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eastAsiaTheme="minorHAnsi" w:hAnsi="Arial"/>
          <w:color w:val="0E2841" w:themeColor="text2"/>
          <w:kern w:val="2"/>
          <w:sz w:val="2"/>
          <w:szCs w:val="24"/>
          <w:lang w:val="en-AU" w:eastAsia="en-US"/>
          <w14:ligatures w14:val="standardContextual"/>
        </w:rPr>
        <w:id w:val="-16156012"/>
        <w:docPartObj>
          <w:docPartGallery w:val="Cover Pages"/>
          <w:docPartUnique/>
        </w:docPartObj>
      </w:sdtPr>
      <w:sdtEndPr>
        <w:rPr>
          <w:sz w:val="22"/>
        </w:rPr>
      </w:sdtEndPr>
      <w:sdtContent>
        <w:p w14:paraId="021D08EC" w14:textId="1B9A233C" w:rsidR="00155761" w:rsidRPr="007E2F2A" w:rsidRDefault="00B24C40" w:rsidP="007E2F2A">
          <w:pPr>
            <w:pStyle w:val="NoSpacing"/>
            <w:rPr>
              <w:rFonts w:ascii="Arial" w:eastAsiaTheme="minorHAnsi" w:hAnsi="Arial"/>
              <w:kern w:val="2"/>
              <w:sz w:val="100"/>
              <w:szCs w:val="100"/>
              <w:lang w:val="en-AU" w:eastAsia="en-US"/>
              <w14:ligatures w14:val="standardContextual"/>
            </w:rPr>
          </w:pPr>
          <w:r>
            <w:rPr>
              <w:noProof/>
            </w:rPr>
            <w:drawing>
              <wp:anchor distT="0" distB="0" distL="114300" distR="114300" simplePos="0" relativeHeight="251679744" behindDoc="1" locked="0" layoutInCell="1" allowOverlap="1" wp14:anchorId="1D951AF4" wp14:editId="3A4E8214">
                <wp:simplePos x="0" y="0"/>
                <wp:positionH relativeFrom="page">
                  <wp:posOffset>0</wp:posOffset>
                </wp:positionH>
                <wp:positionV relativeFrom="paragraph">
                  <wp:posOffset>-914400</wp:posOffset>
                </wp:positionV>
                <wp:extent cx="7572375" cy="10702925"/>
                <wp:effectExtent l="0" t="0" r="9525" b="3175"/>
                <wp:wrapNone/>
                <wp:docPr id="1521398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0702925"/>
                        </a:xfrm>
                        <a:prstGeom prst="rect">
                          <a:avLst/>
                        </a:prstGeom>
                      </pic:spPr>
                    </pic:pic>
                  </a:graphicData>
                </a:graphic>
                <wp14:sizeRelH relativeFrom="page">
                  <wp14:pctWidth>0</wp14:pctWidth>
                </wp14:sizeRelH>
                <wp14:sizeRelV relativeFrom="page">
                  <wp14:pctHeight>0</wp14:pctHeight>
                </wp14:sizeRelV>
              </wp:anchor>
            </w:drawing>
          </w:r>
        </w:p>
        <w:p w14:paraId="335CFA55" w14:textId="77777777" w:rsidR="007E2F2A" w:rsidRDefault="007E2F2A" w:rsidP="007E2F2A">
          <w:pPr>
            <w:pStyle w:val="NoSpacing"/>
            <w:rPr>
              <w:rFonts w:ascii="Arial" w:eastAsiaTheme="minorHAnsi" w:hAnsi="Arial"/>
              <w:kern w:val="2"/>
              <w:sz w:val="2"/>
              <w:szCs w:val="24"/>
              <w:lang w:val="en-AU" w:eastAsia="en-US"/>
              <w14:ligatures w14:val="standardContextual"/>
            </w:rPr>
          </w:pPr>
        </w:p>
        <w:p w14:paraId="39D4FFDC" w14:textId="3FFBBF67" w:rsidR="007E2F2A" w:rsidRPr="007E2F2A" w:rsidRDefault="007E2F2A" w:rsidP="007E2F2A">
          <w:pPr>
            <w:pStyle w:val="NoSpacing"/>
            <w:rPr>
              <w:sz w:val="2"/>
            </w:rPr>
          </w:pPr>
        </w:p>
        <w:sdt>
          <w:sdtPr>
            <w:rPr>
              <w:rFonts w:ascii="Arial" w:eastAsiaTheme="majorEastAsia" w:hAnsi="Arial" w:cs="Arial"/>
              <w:b/>
              <w:bCs/>
              <w:caps/>
              <w:color w:val="FFFFFF" w:themeColor="background1"/>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063732B9" w14:textId="77777777" w:rsidR="007E2F2A" w:rsidRPr="00D867CE" w:rsidRDefault="007E2F2A" w:rsidP="007E2F2A">
              <w:pPr>
                <w:pStyle w:val="NoSpacing"/>
                <w:rPr>
                  <w:rFonts w:ascii="Arial" w:eastAsiaTheme="majorEastAsia" w:hAnsi="Arial" w:cs="Arial"/>
                  <w:b/>
                  <w:bCs/>
                  <w:caps/>
                  <w:color w:val="FFFFFF" w:themeColor="background1"/>
                  <w:sz w:val="68"/>
                  <w:szCs w:val="68"/>
                </w:rPr>
              </w:pPr>
              <w:r w:rsidRPr="00D867CE">
                <w:rPr>
                  <w:rFonts w:ascii="Arial" w:eastAsiaTheme="majorEastAsia" w:hAnsi="Arial" w:cs="Arial"/>
                  <w:b/>
                  <w:bCs/>
                  <w:caps/>
                  <w:color w:val="FFFFFF" w:themeColor="background1"/>
                  <w:sz w:val="64"/>
                  <w:szCs w:val="64"/>
                </w:rPr>
                <w:t>Economic Inclusion Advisory Committee</w:t>
              </w:r>
            </w:p>
          </w:sdtContent>
        </w:sdt>
        <w:p w14:paraId="0EA18574" w14:textId="77777777" w:rsidR="007E2F2A" w:rsidRPr="005B12B4" w:rsidRDefault="007E2F2A" w:rsidP="007E2F2A">
          <w:pPr>
            <w:rPr>
              <w:b/>
              <w:bCs/>
              <w:color w:val="FFFFFF" w:themeColor="background1"/>
              <w:sz w:val="32"/>
              <w:szCs w:val="36"/>
            </w:rPr>
          </w:pPr>
          <w:r w:rsidRPr="005B12B4">
            <w:rPr>
              <w:b/>
              <w:bCs/>
              <w:color w:val="FFFFFF" w:themeColor="background1"/>
              <w:sz w:val="32"/>
              <w:szCs w:val="36"/>
            </w:rPr>
            <w:t>2024 Report to Government</w:t>
          </w:r>
        </w:p>
        <w:p w14:paraId="39F06D2F" w14:textId="74DE9F82" w:rsidR="00155761" w:rsidRDefault="00155761">
          <w:pPr>
            <w:spacing w:after="0"/>
          </w:pPr>
          <w:r>
            <w:br w:type="page"/>
          </w:r>
        </w:p>
      </w:sdtContent>
    </w:sdt>
    <w:p w14:paraId="1975417B" w14:textId="6C9E132B" w:rsidR="00155761" w:rsidRPr="00A726F2" w:rsidRDefault="00155761" w:rsidP="00A726F2">
      <w:pPr>
        <w:pStyle w:val="Heading5"/>
      </w:pPr>
      <w:r w:rsidRPr="00A726F2">
        <w:lastRenderedPageBreak/>
        <w:t>Table of Contents</w:t>
      </w:r>
    </w:p>
    <w:p w14:paraId="0078814D" w14:textId="66E26F60" w:rsidR="000B5710" w:rsidRPr="000B5710" w:rsidRDefault="000B5710">
      <w:pPr>
        <w:pStyle w:val="TOC1"/>
        <w:tabs>
          <w:tab w:val="right" w:pos="9016"/>
        </w:tabs>
        <w:rPr>
          <w:rFonts w:eastAsiaTheme="minorEastAsia"/>
          <w:b w:val="0"/>
          <w:bCs w:val="0"/>
          <w:noProof/>
          <w:sz w:val="24"/>
          <w:szCs w:val="24"/>
          <w:lang w:eastAsia="en-GB"/>
        </w:rPr>
      </w:pPr>
      <w:r w:rsidRPr="000B5710">
        <w:rPr>
          <w:b w:val="0"/>
          <w:bCs w:val="0"/>
        </w:rPr>
        <w:fldChar w:fldCharType="begin"/>
      </w:r>
      <w:r w:rsidRPr="000B5710">
        <w:rPr>
          <w:b w:val="0"/>
          <w:bCs w:val="0"/>
        </w:rPr>
        <w:instrText xml:space="preserve"> TOC \o "1-2" \u </w:instrText>
      </w:r>
      <w:r w:rsidRPr="000B5710">
        <w:rPr>
          <w:b w:val="0"/>
          <w:bCs w:val="0"/>
        </w:rPr>
        <w:fldChar w:fldCharType="separate"/>
      </w:r>
      <w:r w:rsidRPr="000B5710">
        <w:rPr>
          <w:noProof/>
        </w:rPr>
        <w:t>Abbreviations</w:t>
      </w:r>
      <w:r w:rsidRPr="000B5710">
        <w:rPr>
          <w:noProof/>
        </w:rPr>
        <w:tab/>
      </w:r>
      <w:r w:rsidRPr="000B5710">
        <w:rPr>
          <w:noProof/>
        </w:rPr>
        <w:fldChar w:fldCharType="begin"/>
      </w:r>
      <w:r w:rsidRPr="000B5710">
        <w:rPr>
          <w:noProof/>
        </w:rPr>
        <w:instrText xml:space="preserve"> PAGEREF _Toc165366840 \h </w:instrText>
      </w:r>
      <w:r w:rsidRPr="000B5710">
        <w:rPr>
          <w:noProof/>
        </w:rPr>
      </w:r>
      <w:r w:rsidRPr="000B5710">
        <w:rPr>
          <w:noProof/>
        </w:rPr>
        <w:fldChar w:fldCharType="separate"/>
      </w:r>
      <w:r w:rsidRPr="000B5710">
        <w:rPr>
          <w:noProof/>
        </w:rPr>
        <w:t>5</w:t>
      </w:r>
      <w:r w:rsidRPr="000B5710">
        <w:rPr>
          <w:noProof/>
        </w:rPr>
        <w:fldChar w:fldCharType="end"/>
      </w:r>
    </w:p>
    <w:p w14:paraId="2A0521DE" w14:textId="2AC63B09" w:rsidR="000B5710" w:rsidRPr="000B5710" w:rsidRDefault="000B5710">
      <w:pPr>
        <w:pStyle w:val="TOC1"/>
        <w:tabs>
          <w:tab w:val="right" w:pos="9016"/>
        </w:tabs>
        <w:rPr>
          <w:rFonts w:eastAsiaTheme="minorEastAsia"/>
          <w:b w:val="0"/>
          <w:bCs w:val="0"/>
          <w:noProof/>
          <w:sz w:val="24"/>
          <w:szCs w:val="24"/>
          <w:lang w:eastAsia="en-GB"/>
        </w:rPr>
      </w:pPr>
      <w:r w:rsidRPr="000B5710">
        <w:rPr>
          <w:noProof/>
        </w:rPr>
        <w:t>Introduction</w:t>
      </w:r>
      <w:r w:rsidRPr="000B5710">
        <w:rPr>
          <w:noProof/>
        </w:rPr>
        <w:tab/>
      </w:r>
      <w:r w:rsidRPr="000B5710">
        <w:rPr>
          <w:noProof/>
        </w:rPr>
        <w:fldChar w:fldCharType="begin"/>
      </w:r>
      <w:r w:rsidRPr="000B5710">
        <w:rPr>
          <w:noProof/>
        </w:rPr>
        <w:instrText xml:space="preserve"> PAGEREF _Toc165366841 \h </w:instrText>
      </w:r>
      <w:r w:rsidRPr="000B5710">
        <w:rPr>
          <w:noProof/>
        </w:rPr>
      </w:r>
      <w:r w:rsidRPr="000B5710">
        <w:rPr>
          <w:noProof/>
        </w:rPr>
        <w:fldChar w:fldCharType="separate"/>
      </w:r>
      <w:r w:rsidRPr="000B5710">
        <w:rPr>
          <w:noProof/>
        </w:rPr>
        <w:t>7</w:t>
      </w:r>
      <w:r w:rsidRPr="000B5710">
        <w:rPr>
          <w:noProof/>
        </w:rPr>
        <w:fldChar w:fldCharType="end"/>
      </w:r>
    </w:p>
    <w:p w14:paraId="21F112A6" w14:textId="0B918224" w:rsidR="000B5710" w:rsidRPr="000B5710" w:rsidRDefault="000B5710">
      <w:pPr>
        <w:pStyle w:val="TOC2"/>
        <w:tabs>
          <w:tab w:val="right" w:pos="9016"/>
        </w:tabs>
        <w:rPr>
          <w:rFonts w:eastAsiaTheme="minorEastAsia"/>
          <w:i w:val="0"/>
          <w:iCs w:val="0"/>
          <w:noProof/>
          <w:sz w:val="24"/>
          <w:szCs w:val="24"/>
          <w:lang w:eastAsia="en-GB"/>
        </w:rPr>
      </w:pPr>
      <w:r w:rsidRPr="000B5710">
        <w:rPr>
          <w:noProof/>
        </w:rPr>
        <w:t>The Economic Inclusion Advisory Committee</w:t>
      </w:r>
      <w:r w:rsidRPr="000B5710">
        <w:rPr>
          <w:noProof/>
        </w:rPr>
        <w:tab/>
      </w:r>
      <w:r w:rsidRPr="000B5710">
        <w:rPr>
          <w:noProof/>
        </w:rPr>
        <w:fldChar w:fldCharType="begin"/>
      </w:r>
      <w:r w:rsidRPr="000B5710">
        <w:rPr>
          <w:noProof/>
        </w:rPr>
        <w:instrText xml:space="preserve"> PAGEREF _Toc165366842 \h </w:instrText>
      </w:r>
      <w:r w:rsidRPr="000B5710">
        <w:rPr>
          <w:noProof/>
        </w:rPr>
      </w:r>
      <w:r w:rsidRPr="000B5710">
        <w:rPr>
          <w:noProof/>
        </w:rPr>
        <w:fldChar w:fldCharType="separate"/>
      </w:r>
      <w:r w:rsidRPr="000B5710">
        <w:rPr>
          <w:noProof/>
        </w:rPr>
        <w:t>8</w:t>
      </w:r>
      <w:r w:rsidRPr="000B5710">
        <w:rPr>
          <w:noProof/>
        </w:rPr>
        <w:fldChar w:fldCharType="end"/>
      </w:r>
    </w:p>
    <w:p w14:paraId="386536D8" w14:textId="710505CE" w:rsidR="000B5710" w:rsidRPr="000B5710" w:rsidRDefault="000B5710">
      <w:pPr>
        <w:pStyle w:val="TOC2"/>
        <w:tabs>
          <w:tab w:val="right" w:pos="9016"/>
        </w:tabs>
        <w:rPr>
          <w:rFonts w:eastAsiaTheme="minorEastAsia"/>
          <w:i w:val="0"/>
          <w:iCs w:val="0"/>
          <w:noProof/>
          <w:sz w:val="24"/>
          <w:szCs w:val="24"/>
          <w:lang w:eastAsia="en-GB"/>
        </w:rPr>
      </w:pPr>
      <w:r w:rsidRPr="000B5710">
        <w:rPr>
          <w:noProof/>
        </w:rPr>
        <w:t>An Economic Inclusion Framework for Government</w:t>
      </w:r>
      <w:r w:rsidRPr="000B5710">
        <w:rPr>
          <w:noProof/>
        </w:rPr>
        <w:tab/>
      </w:r>
      <w:r w:rsidRPr="000B5710">
        <w:rPr>
          <w:noProof/>
        </w:rPr>
        <w:fldChar w:fldCharType="begin"/>
      </w:r>
      <w:r w:rsidRPr="000B5710">
        <w:rPr>
          <w:noProof/>
        </w:rPr>
        <w:instrText xml:space="preserve"> PAGEREF _Toc165366843 \h </w:instrText>
      </w:r>
      <w:r w:rsidRPr="000B5710">
        <w:rPr>
          <w:noProof/>
        </w:rPr>
      </w:r>
      <w:r w:rsidRPr="000B5710">
        <w:rPr>
          <w:noProof/>
        </w:rPr>
        <w:fldChar w:fldCharType="separate"/>
      </w:r>
      <w:r w:rsidRPr="000B5710">
        <w:rPr>
          <w:noProof/>
        </w:rPr>
        <w:t>8</w:t>
      </w:r>
      <w:r w:rsidRPr="000B5710">
        <w:rPr>
          <w:noProof/>
        </w:rPr>
        <w:fldChar w:fldCharType="end"/>
      </w:r>
    </w:p>
    <w:p w14:paraId="1DF5D812" w14:textId="527658DA" w:rsidR="000B5710" w:rsidRPr="000B5710" w:rsidRDefault="000B5710">
      <w:pPr>
        <w:pStyle w:val="TOC2"/>
        <w:tabs>
          <w:tab w:val="right" w:pos="9016"/>
        </w:tabs>
        <w:rPr>
          <w:rFonts w:eastAsiaTheme="minorEastAsia"/>
          <w:i w:val="0"/>
          <w:iCs w:val="0"/>
          <w:noProof/>
          <w:sz w:val="24"/>
          <w:szCs w:val="24"/>
          <w:lang w:eastAsia="en-GB"/>
        </w:rPr>
      </w:pPr>
      <w:r w:rsidRPr="000B5710">
        <w:rPr>
          <w:noProof/>
        </w:rPr>
        <w:t>Policy priorities for 2024</w:t>
      </w:r>
      <w:r w:rsidRPr="000B5710">
        <w:rPr>
          <w:noProof/>
        </w:rPr>
        <w:tab/>
      </w:r>
      <w:r w:rsidRPr="000B5710">
        <w:rPr>
          <w:noProof/>
        </w:rPr>
        <w:fldChar w:fldCharType="begin"/>
      </w:r>
      <w:r w:rsidRPr="000B5710">
        <w:rPr>
          <w:noProof/>
        </w:rPr>
        <w:instrText xml:space="preserve"> PAGEREF _Toc165366844 \h </w:instrText>
      </w:r>
      <w:r w:rsidRPr="000B5710">
        <w:rPr>
          <w:noProof/>
        </w:rPr>
      </w:r>
      <w:r w:rsidRPr="000B5710">
        <w:rPr>
          <w:noProof/>
        </w:rPr>
        <w:fldChar w:fldCharType="separate"/>
      </w:r>
      <w:r w:rsidRPr="000B5710">
        <w:rPr>
          <w:noProof/>
        </w:rPr>
        <w:t>8</w:t>
      </w:r>
      <w:r w:rsidRPr="000B5710">
        <w:rPr>
          <w:noProof/>
        </w:rPr>
        <w:fldChar w:fldCharType="end"/>
      </w:r>
    </w:p>
    <w:p w14:paraId="7B6EF35E" w14:textId="4B845B99" w:rsidR="000B5710" w:rsidRPr="000B5710" w:rsidRDefault="000B5710">
      <w:pPr>
        <w:pStyle w:val="TOC1"/>
        <w:tabs>
          <w:tab w:val="right" w:pos="9016"/>
        </w:tabs>
        <w:rPr>
          <w:rFonts w:eastAsiaTheme="minorEastAsia"/>
          <w:b w:val="0"/>
          <w:bCs w:val="0"/>
          <w:noProof/>
          <w:sz w:val="24"/>
          <w:szCs w:val="24"/>
          <w:lang w:eastAsia="en-GB"/>
        </w:rPr>
      </w:pPr>
      <w:r w:rsidRPr="000B5710">
        <w:rPr>
          <w:noProof/>
        </w:rPr>
        <w:t>Findings and recommendations</w:t>
      </w:r>
      <w:r w:rsidRPr="000B5710">
        <w:rPr>
          <w:noProof/>
        </w:rPr>
        <w:tab/>
      </w:r>
      <w:r w:rsidRPr="000B5710">
        <w:rPr>
          <w:noProof/>
        </w:rPr>
        <w:fldChar w:fldCharType="begin"/>
      </w:r>
      <w:r w:rsidRPr="000B5710">
        <w:rPr>
          <w:noProof/>
        </w:rPr>
        <w:instrText xml:space="preserve"> PAGEREF _Toc165366845 \h </w:instrText>
      </w:r>
      <w:r w:rsidRPr="000B5710">
        <w:rPr>
          <w:noProof/>
        </w:rPr>
      </w:r>
      <w:r w:rsidRPr="000B5710">
        <w:rPr>
          <w:noProof/>
        </w:rPr>
        <w:fldChar w:fldCharType="separate"/>
      </w:r>
      <w:r w:rsidRPr="000B5710">
        <w:rPr>
          <w:noProof/>
        </w:rPr>
        <w:t>11</w:t>
      </w:r>
      <w:r w:rsidRPr="000B5710">
        <w:rPr>
          <w:noProof/>
        </w:rPr>
        <w:fldChar w:fldCharType="end"/>
      </w:r>
    </w:p>
    <w:p w14:paraId="6A7B4C44" w14:textId="00FCF336" w:rsidR="000B5710" w:rsidRPr="000B5710" w:rsidRDefault="000B5710">
      <w:pPr>
        <w:pStyle w:val="TOC2"/>
        <w:tabs>
          <w:tab w:val="right" w:pos="9016"/>
        </w:tabs>
        <w:rPr>
          <w:rFonts w:eastAsiaTheme="minorEastAsia"/>
          <w:i w:val="0"/>
          <w:iCs w:val="0"/>
          <w:noProof/>
          <w:sz w:val="24"/>
          <w:szCs w:val="24"/>
          <w:lang w:eastAsia="en-GB"/>
        </w:rPr>
      </w:pPr>
      <w:r w:rsidRPr="000B5710">
        <w:rPr>
          <w:noProof/>
        </w:rPr>
        <w:t>Gemma: JobSeeker and would be student</w:t>
      </w:r>
      <w:r w:rsidRPr="000B5710">
        <w:rPr>
          <w:noProof/>
        </w:rPr>
        <w:tab/>
      </w:r>
      <w:r w:rsidRPr="000B5710">
        <w:rPr>
          <w:noProof/>
        </w:rPr>
        <w:fldChar w:fldCharType="begin"/>
      </w:r>
      <w:r w:rsidRPr="000B5710">
        <w:rPr>
          <w:noProof/>
        </w:rPr>
        <w:instrText xml:space="preserve"> PAGEREF _Toc165366846 \h </w:instrText>
      </w:r>
      <w:r w:rsidRPr="000B5710">
        <w:rPr>
          <w:noProof/>
        </w:rPr>
      </w:r>
      <w:r w:rsidRPr="000B5710">
        <w:rPr>
          <w:noProof/>
        </w:rPr>
        <w:fldChar w:fldCharType="separate"/>
      </w:r>
      <w:r w:rsidRPr="000B5710">
        <w:rPr>
          <w:noProof/>
        </w:rPr>
        <w:t>17</w:t>
      </w:r>
      <w:r w:rsidRPr="000B5710">
        <w:rPr>
          <w:noProof/>
        </w:rPr>
        <w:fldChar w:fldCharType="end"/>
      </w:r>
    </w:p>
    <w:p w14:paraId="1729B4EE" w14:textId="0D036125"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1:  An Economic Inclusion Framework for Government</w:t>
      </w:r>
      <w:r w:rsidRPr="000B5710">
        <w:rPr>
          <w:noProof/>
        </w:rPr>
        <w:tab/>
      </w:r>
      <w:r w:rsidRPr="000B5710">
        <w:rPr>
          <w:noProof/>
        </w:rPr>
        <w:fldChar w:fldCharType="begin"/>
      </w:r>
      <w:r w:rsidRPr="000B5710">
        <w:rPr>
          <w:noProof/>
        </w:rPr>
        <w:instrText xml:space="preserve"> PAGEREF _Toc165366847 \h </w:instrText>
      </w:r>
      <w:r w:rsidRPr="000B5710">
        <w:rPr>
          <w:noProof/>
        </w:rPr>
      </w:r>
      <w:r w:rsidRPr="000B5710">
        <w:rPr>
          <w:noProof/>
        </w:rPr>
        <w:fldChar w:fldCharType="separate"/>
      </w:r>
      <w:r w:rsidRPr="000B5710">
        <w:rPr>
          <w:noProof/>
        </w:rPr>
        <w:t>19</w:t>
      </w:r>
      <w:r w:rsidRPr="000B5710">
        <w:rPr>
          <w:noProof/>
        </w:rPr>
        <w:fldChar w:fldCharType="end"/>
      </w:r>
    </w:p>
    <w:p w14:paraId="360EDB57" w14:textId="46C09C15" w:rsidR="000B5710" w:rsidRPr="000B5710" w:rsidRDefault="000B5710">
      <w:pPr>
        <w:pStyle w:val="TOC2"/>
        <w:tabs>
          <w:tab w:val="right" w:pos="9016"/>
        </w:tabs>
        <w:rPr>
          <w:rFonts w:eastAsiaTheme="minorEastAsia"/>
          <w:i w:val="0"/>
          <w:iCs w:val="0"/>
          <w:noProof/>
          <w:sz w:val="24"/>
          <w:szCs w:val="24"/>
          <w:lang w:eastAsia="en-GB"/>
        </w:rPr>
      </w:pPr>
      <w:r w:rsidRPr="000B5710">
        <w:rPr>
          <w:noProof/>
        </w:rPr>
        <w:t>1.1 Rationale</w:t>
      </w:r>
      <w:r w:rsidRPr="000B5710">
        <w:rPr>
          <w:noProof/>
        </w:rPr>
        <w:tab/>
      </w:r>
      <w:r w:rsidRPr="000B5710">
        <w:rPr>
          <w:noProof/>
        </w:rPr>
        <w:fldChar w:fldCharType="begin"/>
      </w:r>
      <w:r w:rsidRPr="000B5710">
        <w:rPr>
          <w:noProof/>
        </w:rPr>
        <w:instrText xml:space="preserve"> PAGEREF _Toc165366848 \h </w:instrText>
      </w:r>
      <w:r w:rsidRPr="000B5710">
        <w:rPr>
          <w:noProof/>
        </w:rPr>
      </w:r>
      <w:r w:rsidRPr="000B5710">
        <w:rPr>
          <w:noProof/>
        </w:rPr>
        <w:fldChar w:fldCharType="separate"/>
      </w:r>
      <w:r w:rsidRPr="000B5710">
        <w:rPr>
          <w:noProof/>
        </w:rPr>
        <w:t>20</w:t>
      </w:r>
      <w:r w:rsidRPr="000B5710">
        <w:rPr>
          <w:noProof/>
        </w:rPr>
        <w:fldChar w:fldCharType="end"/>
      </w:r>
    </w:p>
    <w:p w14:paraId="73015A04" w14:textId="4F049090" w:rsidR="000B5710" w:rsidRPr="000B5710" w:rsidRDefault="000B5710">
      <w:pPr>
        <w:pStyle w:val="TOC2"/>
        <w:tabs>
          <w:tab w:val="right" w:pos="9016"/>
        </w:tabs>
        <w:rPr>
          <w:rFonts w:eastAsiaTheme="minorEastAsia"/>
          <w:i w:val="0"/>
          <w:iCs w:val="0"/>
          <w:noProof/>
          <w:sz w:val="24"/>
          <w:szCs w:val="24"/>
          <w:lang w:eastAsia="en-GB"/>
        </w:rPr>
      </w:pPr>
      <w:r w:rsidRPr="000B5710">
        <w:rPr>
          <w:noProof/>
        </w:rPr>
        <w:t>1.2 A definition of Economic Inclusion</w:t>
      </w:r>
      <w:r w:rsidRPr="000B5710">
        <w:rPr>
          <w:noProof/>
        </w:rPr>
        <w:tab/>
      </w:r>
      <w:r w:rsidRPr="000B5710">
        <w:rPr>
          <w:noProof/>
        </w:rPr>
        <w:fldChar w:fldCharType="begin"/>
      </w:r>
      <w:r w:rsidRPr="000B5710">
        <w:rPr>
          <w:noProof/>
        </w:rPr>
        <w:instrText xml:space="preserve"> PAGEREF _Toc165366849 \h </w:instrText>
      </w:r>
      <w:r w:rsidRPr="000B5710">
        <w:rPr>
          <w:noProof/>
        </w:rPr>
      </w:r>
      <w:r w:rsidRPr="000B5710">
        <w:rPr>
          <w:noProof/>
        </w:rPr>
        <w:fldChar w:fldCharType="separate"/>
      </w:r>
      <w:r w:rsidRPr="000B5710">
        <w:rPr>
          <w:noProof/>
        </w:rPr>
        <w:t>20</w:t>
      </w:r>
      <w:r w:rsidRPr="000B5710">
        <w:rPr>
          <w:noProof/>
        </w:rPr>
        <w:fldChar w:fldCharType="end"/>
      </w:r>
    </w:p>
    <w:p w14:paraId="15E73B40" w14:textId="1DC4E5AE" w:rsidR="000B5710" w:rsidRPr="000B5710" w:rsidRDefault="000B5710">
      <w:pPr>
        <w:pStyle w:val="TOC2"/>
        <w:tabs>
          <w:tab w:val="right" w:pos="9016"/>
        </w:tabs>
        <w:rPr>
          <w:rFonts w:eastAsiaTheme="minorEastAsia"/>
          <w:i w:val="0"/>
          <w:iCs w:val="0"/>
          <w:noProof/>
          <w:sz w:val="24"/>
          <w:szCs w:val="24"/>
          <w:lang w:eastAsia="en-GB"/>
        </w:rPr>
      </w:pPr>
      <w:r w:rsidRPr="000B5710">
        <w:rPr>
          <w:noProof/>
        </w:rPr>
        <w:t>1.3 A four point Economic Inclusion Framework</w:t>
      </w:r>
      <w:r w:rsidRPr="000B5710">
        <w:rPr>
          <w:noProof/>
        </w:rPr>
        <w:tab/>
      </w:r>
      <w:r w:rsidRPr="000B5710">
        <w:rPr>
          <w:noProof/>
        </w:rPr>
        <w:fldChar w:fldCharType="begin"/>
      </w:r>
      <w:r w:rsidRPr="000B5710">
        <w:rPr>
          <w:noProof/>
        </w:rPr>
        <w:instrText xml:space="preserve"> PAGEREF _Toc165366850 \h </w:instrText>
      </w:r>
      <w:r w:rsidRPr="000B5710">
        <w:rPr>
          <w:noProof/>
        </w:rPr>
      </w:r>
      <w:r w:rsidRPr="000B5710">
        <w:rPr>
          <w:noProof/>
        </w:rPr>
        <w:fldChar w:fldCharType="separate"/>
      </w:r>
      <w:r w:rsidRPr="000B5710">
        <w:rPr>
          <w:noProof/>
        </w:rPr>
        <w:t>21</w:t>
      </w:r>
      <w:r w:rsidRPr="000B5710">
        <w:rPr>
          <w:noProof/>
        </w:rPr>
        <w:fldChar w:fldCharType="end"/>
      </w:r>
    </w:p>
    <w:p w14:paraId="62D8BA06" w14:textId="73CD18DB" w:rsidR="000B5710" w:rsidRPr="000B5710" w:rsidRDefault="000B5710">
      <w:pPr>
        <w:pStyle w:val="TOC2"/>
        <w:tabs>
          <w:tab w:val="right" w:pos="9016"/>
        </w:tabs>
        <w:rPr>
          <w:rFonts w:eastAsiaTheme="minorEastAsia"/>
          <w:i w:val="0"/>
          <w:iCs w:val="0"/>
          <w:noProof/>
          <w:sz w:val="24"/>
          <w:szCs w:val="24"/>
          <w:lang w:eastAsia="en-GB"/>
        </w:rPr>
      </w:pPr>
      <w:r w:rsidRPr="000B5710">
        <w:rPr>
          <w:noProof/>
        </w:rPr>
        <w:t>Paul: JobSeeker with physical and mental health issues</w:t>
      </w:r>
      <w:r w:rsidRPr="000B5710">
        <w:rPr>
          <w:noProof/>
        </w:rPr>
        <w:tab/>
      </w:r>
      <w:r w:rsidRPr="000B5710">
        <w:rPr>
          <w:noProof/>
        </w:rPr>
        <w:fldChar w:fldCharType="begin"/>
      </w:r>
      <w:r w:rsidRPr="000B5710">
        <w:rPr>
          <w:noProof/>
        </w:rPr>
        <w:instrText xml:space="preserve"> PAGEREF _Toc165366851 \h </w:instrText>
      </w:r>
      <w:r w:rsidRPr="000B5710">
        <w:rPr>
          <w:noProof/>
        </w:rPr>
      </w:r>
      <w:r w:rsidRPr="000B5710">
        <w:rPr>
          <w:noProof/>
        </w:rPr>
        <w:fldChar w:fldCharType="separate"/>
      </w:r>
      <w:r w:rsidRPr="000B5710">
        <w:rPr>
          <w:noProof/>
        </w:rPr>
        <w:t>27</w:t>
      </w:r>
      <w:r w:rsidRPr="000B5710">
        <w:rPr>
          <w:noProof/>
        </w:rPr>
        <w:fldChar w:fldCharType="end"/>
      </w:r>
    </w:p>
    <w:p w14:paraId="2F6565BA" w14:textId="54D71ED7"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2A:  Adequacy of working age payments – an update</w:t>
      </w:r>
      <w:r w:rsidRPr="000B5710">
        <w:rPr>
          <w:noProof/>
        </w:rPr>
        <w:tab/>
      </w:r>
      <w:r w:rsidRPr="000B5710">
        <w:rPr>
          <w:noProof/>
        </w:rPr>
        <w:fldChar w:fldCharType="begin"/>
      </w:r>
      <w:r w:rsidRPr="000B5710">
        <w:rPr>
          <w:noProof/>
        </w:rPr>
        <w:instrText xml:space="preserve"> PAGEREF _Toc165366852 \h </w:instrText>
      </w:r>
      <w:r w:rsidRPr="000B5710">
        <w:rPr>
          <w:noProof/>
        </w:rPr>
      </w:r>
      <w:r w:rsidRPr="000B5710">
        <w:rPr>
          <w:noProof/>
        </w:rPr>
        <w:fldChar w:fldCharType="separate"/>
      </w:r>
      <w:r w:rsidRPr="000B5710">
        <w:rPr>
          <w:noProof/>
        </w:rPr>
        <w:t>29</w:t>
      </w:r>
      <w:r w:rsidRPr="000B5710">
        <w:rPr>
          <w:noProof/>
        </w:rPr>
        <w:fldChar w:fldCharType="end"/>
      </w:r>
    </w:p>
    <w:p w14:paraId="5FFC5979" w14:textId="77A9FB22"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2A.1 Introduction</w:t>
      </w:r>
      <w:r w:rsidRPr="000B5710">
        <w:rPr>
          <w:noProof/>
        </w:rPr>
        <w:tab/>
      </w:r>
      <w:r w:rsidRPr="000B5710">
        <w:rPr>
          <w:noProof/>
        </w:rPr>
        <w:fldChar w:fldCharType="begin"/>
      </w:r>
      <w:r w:rsidRPr="000B5710">
        <w:rPr>
          <w:noProof/>
        </w:rPr>
        <w:instrText xml:space="preserve"> PAGEREF _Toc165366853 \h </w:instrText>
      </w:r>
      <w:r w:rsidRPr="000B5710">
        <w:rPr>
          <w:noProof/>
        </w:rPr>
      </w:r>
      <w:r w:rsidRPr="000B5710">
        <w:rPr>
          <w:noProof/>
        </w:rPr>
        <w:fldChar w:fldCharType="separate"/>
      </w:r>
      <w:r w:rsidRPr="000B5710">
        <w:rPr>
          <w:noProof/>
        </w:rPr>
        <w:t>30</w:t>
      </w:r>
      <w:r w:rsidRPr="000B5710">
        <w:rPr>
          <w:noProof/>
        </w:rPr>
        <w:fldChar w:fldCharType="end"/>
      </w:r>
    </w:p>
    <w:p w14:paraId="6F016D0B" w14:textId="795F6A51"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2A.2 Key findings</w:t>
      </w:r>
      <w:r w:rsidRPr="000B5710">
        <w:rPr>
          <w:noProof/>
        </w:rPr>
        <w:tab/>
      </w:r>
      <w:r w:rsidRPr="000B5710">
        <w:rPr>
          <w:noProof/>
        </w:rPr>
        <w:fldChar w:fldCharType="begin"/>
      </w:r>
      <w:r w:rsidRPr="000B5710">
        <w:rPr>
          <w:noProof/>
        </w:rPr>
        <w:instrText xml:space="preserve"> PAGEREF _Toc165366854 \h </w:instrText>
      </w:r>
      <w:r w:rsidRPr="000B5710">
        <w:rPr>
          <w:noProof/>
        </w:rPr>
      </w:r>
      <w:r w:rsidRPr="000B5710">
        <w:rPr>
          <w:noProof/>
        </w:rPr>
        <w:fldChar w:fldCharType="separate"/>
      </w:r>
      <w:r w:rsidRPr="000B5710">
        <w:rPr>
          <w:noProof/>
        </w:rPr>
        <w:t>30</w:t>
      </w:r>
      <w:r w:rsidRPr="000B5710">
        <w:rPr>
          <w:noProof/>
        </w:rPr>
        <w:fldChar w:fldCharType="end"/>
      </w:r>
    </w:p>
    <w:p w14:paraId="24C12307" w14:textId="7494AD97"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2A.3 Financial stress and people receiving social security in Australia</w:t>
      </w:r>
      <w:r w:rsidRPr="000B5710">
        <w:rPr>
          <w:noProof/>
        </w:rPr>
        <w:tab/>
      </w:r>
      <w:r w:rsidRPr="000B5710">
        <w:rPr>
          <w:noProof/>
        </w:rPr>
        <w:fldChar w:fldCharType="begin"/>
      </w:r>
      <w:r w:rsidRPr="000B5710">
        <w:rPr>
          <w:noProof/>
        </w:rPr>
        <w:instrText xml:space="preserve"> PAGEREF _Toc165366855 \h </w:instrText>
      </w:r>
      <w:r w:rsidRPr="000B5710">
        <w:rPr>
          <w:noProof/>
        </w:rPr>
      </w:r>
      <w:r w:rsidRPr="000B5710">
        <w:rPr>
          <w:noProof/>
        </w:rPr>
        <w:fldChar w:fldCharType="separate"/>
      </w:r>
      <w:r w:rsidRPr="000B5710">
        <w:rPr>
          <w:noProof/>
        </w:rPr>
        <w:t>33</w:t>
      </w:r>
      <w:r w:rsidRPr="000B5710">
        <w:rPr>
          <w:noProof/>
        </w:rPr>
        <w:fldChar w:fldCharType="end"/>
      </w:r>
    </w:p>
    <w:p w14:paraId="206989E7" w14:textId="5B6B1F03"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2A.4 Why has the gap between unemployment payments and Age Pensions widened?</w:t>
      </w:r>
      <w:r w:rsidRPr="000B5710">
        <w:rPr>
          <w:noProof/>
        </w:rPr>
        <w:tab/>
      </w:r>
      <w:r w:rsidRPr="000B5710">
        <w:rPr>
          <w:noProof/>
        </w:rPr>
        <w:fldChar w:fldCharType="begin"/>
      </w:r>
      <w:r w:rsidRPr="000B5710">
        <w:rPr>
          <w:noProof/>
        </w:rPr>
        <w:instrText xml:space="preserve"> PAGEREF _Toc165366856 \h </w:instrText>
      </w:r>
      <w:r w:rsidRPr="000B5710">
        <w:rPr>
          <w:noProof/>
        </w:rPr>
      </w:r>
      <w:r w:rsidRPr="000B5710">
        <w:rPr>
          <w:noProof/>
        </w:rPr>
        <w:fldChar w:fldCharType="separate"/>
      </w:r>
      <w:r w:rsidRPr="000B5710">
        <w:rPr>
          <w:noProof/>
        </w:rPr>
        <w:t>39</w:t>
      </w:r>
      <w:r w:rsidRPr="000B5710">
        <w:rPr>
          <w:noProof/>
        </w:rPr>
        <w:fldChar w:fldCharType="end"/>
      </w:r>
    </w:p>
    <w:p w14:paraId="0BDC2BE7" w14:textId="692693DD"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2A.5 Fiscal and inflationary impacts</w:t>
      </w:r>
      <w:r w:rsidRPr="000B5710">
        <w:rPr>
          <w:noProof/>
        </w:rPr>
        <w:tab/>
      </w:r>
      <w:r w:rsidRPr="000B5710">
        <w:rPr>
          <w:noProof/>
        </w:rPr>
        <w:fldChar w:fldCharType="begin"/>
      </w:r>
      <w:r w:rsidRPr="000B5710">
        <w:rPr>
          <w:noProof/>
        </w:rPr>
        <w:instrText xml:space="preserve"> PAGEREF _Toc165366857 \h </w:instrText>
      </w:r>
      <w:r w:rsidRPr="000B5710">
        <w:rPr>
          <w:noProof/>
        </w:rPr>
      </w:r>
      <w:r w:rsidRPr="000B5710">
        <w:rPr>
          <w:noProof/>
        </w:rPr>
        <w:fldChar w:fldCharType="separate"/>
      </w:r>
      <w:r w:rsidRPr="000B5710">
        <w:rPr>
          <w:noProof/>
        </w:rPr>
        <w:t>48</w:t>
      </w:r>
      <w:r w:rsidRPr="000B5710">
        <w:rPr>
          <w:noProof/>
        </w:rPr>
        <w:fldChar w:fldCharType="end"/>
      </w:r>
    </w:p>
    <w:p w14:paraId="188CED40" w14:textId="39C71398" w:rsidR="000B5710" w:rsidRPr="000B5710" w:rsidRDefault="000B5710">
      <w:pPr>
        <w:pStyle w:val="TOC2"/>
        <w:tabs>
          <w:tab w:val="right" w:pos="9016"/>
        </w:tabs>
        <w:rPr>
          <w:rFonts w:eastAsiaTheme="minorEastAsia"/>
          <w:i w:val="0"/>
          <w:iCs w:val="0"/>
          <w:noProof/>
          <w:sz w:val="24"/>
          <w:szCs w:val="24"/>
          <w:lang w:eastAsia="en-GB"/>
        </w:rPr>
      </w:pPr>
      <w:r w:rsidRPr="000B5710">
        <w:rPr>
          <w:noProof/>
        </w:rPr>
        <w:t>2A.6 Conclusion</w:t>
      </w:r>
      <w:r w:rsidRPr="000B5710">
        <w:rPr>
          <w:noProof/>
        </w:rPr>
        <w:tab/>
      </w:r>
      <w:r w:rsidRPr="000B5710">
        <w:rPr>
          <w:noProof/>
        </w:rPr>
        <w:fldChar w:fldCharType="begin"/>
      </w:r>
      <w:r w:rsidRPr="000B5710">
        <w:rPr>
          <w:noProof/>
        </w:rPr>
        <w:instrText xml:space="preserve"> PAGEREF _Toc165366858 \h </w:instrText>
      </w:r>
      <w:r w:rsidRPr="000B5710">
        <w:rPr>
          <w:noProof/>
        </w:rPr>
      </w:r>
      <w:r w:rsidRPr="000B5710">
        <w:rPr>
          <w:noProof/>
        </w:rPr>
        <w:fldChar w:fldCharType="separate"/>
      </w:r>
      <w:r w:rsidRPr="000B5710">
        <w:rPr>
          <w:noProof/>
        </w:rPr>
        <w:t>49</w:t>
      </w:r>
      <w:r w:rsidRPr="000B5710">
        <w:rPr>
          <w:noProof/>
        </w:rPr>
        <w:fldChar w:fldCharType="end"/>
      </w:r>
    </w:p>
    <w:p w14:paraId="717669CB" w14:textId="50AC477C"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2B:  Would a rise in JobSeeker affect incentives for paid work?</w:t>
      </w:r>
      <w:r w:rsidRPr="000B5710">
        <w:rPr>
          <w:noProof/>
        </w:rPr>
        <w:tab/>
      </w:r>
      <w:r w:rsidRPr="000B5710">
        <w:rPr>
          <w:noProof/>
        </w:rPr>
        <w:fldChar w:fldCharType="begin"/>
      </w:r>
      <w:r w:rsidRPr="000B5710">
        <w:rPr>
          <w:noProof/>
        </w:rPr>
        <w:instrText xml:space="preserve"> PAGEREF _Toc165366859 \h </w:instrText>
      </w:r>
      <w:r w:rsidRPr="000B5710">
        <w:rPr>
          <w:noProof/>
        </w:rPr>
      </w:r>
      <w:r w:rsidRPr="000B5710">
        <w:rPr>
          <w:noProof/>
        </w:rPr>
        <w:fldChar w:fldCharType="separate"/>
      </w:r>
      <w:r w:rsidRPr="000B5710">
        <w:rPr>
          <w:noProof/>
        </w:rPr>
        <w:t>50</w:t>
      </w:r>
      <w:r w:rsidRPr="000B5710">
        <w:rPr>
          <w:noProof/>
        </w:rPr>
        <w:fldChar w:fldCharType="end"/>
      </w:r>
    </w:p>
    <w:p w14:paraId="66C57DC4" w14:textId="0A9CF55E"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2B.1 Introduction</w:t>
      </w:r>
      <w:r w:rsidRPr="000B5710">
        <w:rPr>
          <w:noProof/>
        </w:rPr>
        <w:tab/>
      </w:r>
      <w:r w:rsidRPr="000B5710">
        <w:rPr>
          <w:noProof/>
        </w:rPr>
        <w:fldChar w:fldCharType="begin"/>
      </w:r>
      <w:r w:rsidRPr="000B5710">
        <w:rPr>
          <w:noProof/>
        </w:rPr>
        <w:instrText xml:space="preserve"> PAGEREF _Toc165366860 \h </w:instrText>
      </w:r>
      <w:r w:rsidRPr="000B5710">
        <w:rPr>
          <w:noProof/>
        </w:rPr>
      </w:r>
      <w:r w:rsidRPr="000B5710">
        <w:rPr>
          <w:noProof/>
        </w:rPr>
        <w:fldChar w:fldCharType="separate"/>
      </w:r>
      <w:r w:rsidRPr="000B5710">
        <w:rPr>
          <w:noProof/>
        </w:rPr>
        <w:t>51</w:t>
      </w:r>
      <w:r w:rsidRPr="000B5710">
        <w:rPr>
          <w:noProof/>
        </w:rPr>
        <w:fldChar w:fldCharType="end"/>
      </w:r>
    </w:p>
    <w:p w14:paraId="4176AD22" w14:textId="1D3B9E23"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2B.2 How economists think about choosing the optimal level of unemployment income support payment</w:t>
      </w:r>
      <w:r w:rsidRPr="000B5710">
        <w:rPr>
          <w:noProof/>
        </w:rPr>
        <w:tab/>
      </w:r>
      <w:r w:rsidRPr="000B5710">
        <w:rPr>
          <w:noProof/>
        </w:rPr>
        <w:fldChar w:fldCharType="begin"/>
      </w:r>
      <w:r w:rsidRPr="000B5710">
        <w:rPr>
          <w:noProof/>
        </w:rPr>
        <w:instrText xml:space="preserve"> PAGEREF _Toc165366861 \h </w:instrText>
      </w:r>
      <w:r w:rsidRPr="000B5710">
        <w:rPr>
          <w:noProof/>
        </w:rPr>
      </w:r>
      <w:r w:rsidRPr="000B5710">
        <w:rPr>
          <w:noProof/>
        </w:rPr>
        <w:fldChar w:fldCharType="separate"/>
      </w:r>
      <w:r w:rsidRPr="000B5710">
        <w:rPr>
          <w:noProof/>
        </w:rPr>
        <w:t>51</w:t>
      </w:r>
      <w:r w:rsidRPr="000B5710">
        <w:rPr>
          <w:noProof/>
        </w:rPr>
        <w:fldChar w:fldCharType="end"/>
      </w:r>
    </w:p>
    <w:p w14:paraId="00DCBE88" w14:textId="343EAB82" w:rsidR="000B5710" w:rsidRPr="000B5710" w:rsidRDefault="000B5710">
      <w:pPr>
        <w:pStyle w:val="TOC2"/>
        <w:tabs>
          <w:tab w:val="right" w:pos="9016"/>
        </w:tabs>
        <w:rPr>
          <w:rFonts w:eastAsiaTheme="minorEastAsia"/>
          <w:i w:val="0"/>
          <w:iCs w:val="0"/>
          <w:noProof/>
          <w:sz w:val="24"/>
          <w:szCs w:val="24"/>
          <w:lang w:eastAsia="en-GB"/>
        </w:rPr>
      </w:pPr>
      <w:r w:rsidRPr="000B5710">
        <w:rPr>
          <w:noProof/>
        </w:rPr>
        <w:t>2B.3 Existing evidence on the impact of unemployment payments on incentives to move into employment</w:t>
      </w:r>
      <w:r w:rsidRPr="000B5710">
        <w:rPr>
          <w:noProof/>
        </w:rPr>
        <w:tab/>
      </w:r>
      <w:r w:rsidRPr="000B5710">
        <w:rPr>
          <w:noProof/>
        </w:rPr>
        <w:fldChar w:fldCharType="begin"/>
      </w:r>
      <w:r w:rsidRPr="000B5710">
        <w:rPr>
          <w:noProof/>
        </w:rPr>
        <w:instrText xml:space="preserve"> PAGEREF _Toc165366862 \h </w:instrText>
      </w:r>
      <w:r w:rsidRPr="000B5710">
        <w:rPr>
          <w:noProof/>
        </w:rPr>
      </w:r>
      <w:r w:rsidRPr="000B5710">
        <w:rPr>
          <w:noProof/>
        </w:rPr>
        <w:fldChar w:fldCharType="separate"/>
      </w:r>
      <w:r w:rsidRPr="000B5710">
        <w:rPr>
          <w:noProof/>
        </w:rPr>
        <w:t>51</w:t>
      </w:r>
      <w:r w:rsidRPr="000B5710">
        <w:rPr>
          <w:noProof/>
        </w:rPr>
        <w:fldChar w:fldCharType="end"/>
      </w:r>
    </w:p>
    <w:p w14:paraId="2F861E54" w14:textId="06203FDB" w:rsidR="000B5710" w:rsidRPr="000B5710" w:rsidRDefault="000B5710">
      <w:pPr>
        <w:pStyle w:val="TOC2"/>
        <w:tabs>
          <w:tab w:val="right" w:pos="9016"/>
        </w:tabs>
        <w:rPr>
          <w:rFonts w:eastAsiaTheme="minorEastAsia"/>
          <w:i w:val="0"/>
          <w:iCs w:val="0"/>
          <w:noProof/>
          <w:sz w:val="24"/>
          <w:szCs w:val="24"/>
          <w:lang w:eastAsia="en-GB"/>
        </w:rPr>
      </w:pPr>
      <w:r w:rsidRPr="000B5710">
        <w:rPr>
          <w:noProof/>
        </w:rPr>
        <w:t>Tahnee: Single parent living in a remote community</w:t>
      </w:r>
      <w:r w:rsidRPr="000B5710">
        <w:rPr>
          <w:noProof/>
        </w:rPr>
        <w:tab/>
      </w:r>
      <w:r w:rsidRPr="000B5710">
        <w:rPr>
          <w:noProof/>
        </w:rPr>
        <w:fldChar w:fldCharType="begin"/>
      </w:r>
      <w:r w:rsidRPr="000B5710">
        <w:rPr>
          <w:noProof/>
        </w:rPr>
        <w:instrText xml:space="preserve"> PAGEREF _Toc165366863 \h </w:instrText>
      </w:r>
      <w:r w:rsidRPr="000B5710">
        <w:rPr>
          <w:noProof/>
        </w:rPr>
      </w:r>
      <w:r w:rsidRPr="000B5710">
        <w:rPr>
          <w:noProof/>
        </w:rPr>
        <w:fldChar w:fldCharType="separate"/>
      </w:r>
      <w:r w:rsidRPr="000B5710">
        <w:rPr>
          <w:noProof/>
        </w:rPr>
        <w:t>58</w:t>
      </w:r>
      <w:r w:rsidRPr="000B5710">
        <w:rPr>
          <w:noProof/>
        </w:rPr>
        <w:fldChar w:fldCharType="end"/>
      </w:r>
    </w:p>
    <w:p w14:paraId="47465BD3" w14:textId="20EB1304"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3: Commonwealth Rent Assistance</w:t>
      </w:r>
      <w:r w:rsidRPr="000B5710">
        <w:rPr>
          <w:noProof/>
        </w:rPr>
        <w:tab/>
      </w:r>
      <w:r w:rsidRPr="000B5710">
        <w:rPr>
          <w:noProof/>
        </w:rPr>
        <w:fldChar w:fldCharType="begin"/>
      </w:r>
      <w:r w:rsidRPr="000B5710">
        <w:rPr>
          <w:noProof/>
        </w:rPr>
        <w:instrText xml:space="preserve"> PAGEREF _Toc165366864 \h </w:instrText>
      </w:r>
      <w:r w:rsidRPr="000B5710">
        <w:rPr>
          <w:noProof/>
        </w:rPr>
      </w:r>
      <w:r w:rsidRPr="000B5710">
        <w:rPr>
          <w:noProof/>
        </w:rPr>
        <w:fldChar w:fldCharType="separate"/>
      </w:r>
      <w:r w:rsidRPr="000B5710">
        <w:rPr>
          <w:noProof/>
        </w:rPr>
        <w:t>60</w:t>
      </w:r>
      <w:r w:rsidRPr="000B5710">
        <w:rPr>
          <w:noProof/>
        </w:rPr>
        <w:fldChar w:fldCharType="end"/>
      </w:r>
    </w:p>
    <w:p w14:paraId="713D94CA" w14:textId="1DEE7618" w:rsidR="000B5710" w:rsidRPr="000B5710" w:rsidRDefault="000B5710">
      <w:pPr>
        <w:pStyle w:val="TOC2"/>
        <w:tabs>
          <w:tab w:val="right" w:pos="9016"/>
        </w:tabs>
        <w:rPr>
          <w:rFonts w:eastAsiaTheme="minorEastAsia"/>
          <w:i w:val="0"/>
          <w:iCs w:val="0"/>
          <w:noProof/>
          <w:sz w:val="24"/>
          <w:szCs w:val="24"/>
          <w:lang w:eastAsia="en-GB"/>
        </w:rPr>
      </w:pPr>
      <w:r w:rsidRPr="000B5710">
        <w:rPr>
          <w:noProof/>
        </w:rPr>
        <w:t>3.1 Introduction</w:t>
      </w:r>
      <w:r w:rsidRPr="000B5710">
        <w:rPr>
          <w:noProof/>
        </w:rPr>
        <w:tab/>
      </w:r>
      <w:r w:rsidRPr="000B5710">
        <w:rPr>
          <w:noProof/>
        </w:rPr>
        <w:fldChar w:fldCharType="begin"/>
      </w:r>
      <w:r w:rsidRPr="000B5710">
        <w:rPr>
          <w:noProof/>
        </w:rPr>
        <w:instrText xml:space="preserve"> PAGEREF _Toc165366865 \h </w:instrText>
      </w:r>
      <w:r w:rsidRPr="000B5710">
        <w:rPr>
          <w:noProof/>
        </w:rPr>
      </w:r>
      <w:r w:rsidRPr="000B5710">
        <w:rPr>
          <w:noProof/>
        </w:rPr>
        <w:fldChar w:fldCharType="separate"/>
      </w:r>
      <w:r w:rsidRPr="000B5710">
        <w:rPr>
          <w:noProof/>
        </w:rPr>
        <w:t>61</w:t>
      </w:r>
      <w:r w:rsidRPr="000B5710">
        <w:rPr>
          <w:noProof/>
        </w:rPr>
        <w:fldChar w:fldCharType="end"/>
      </w:r>
    </w:p>
    <w:p w14:paraId="6281F787" w14:textId="4E213FB2" w:rsidR="000B5710" w:rsidRPr="000B5710" w:rsidRDefault="000B5710">
      <w:pPr>
        <w:pStyle w:val="TOC2"/>
        <w:tabs>
          <w:tab w:val="right" w:pos="9016"/>
        </w:tabs>
        <w:rPr>
          <w:rFonts w:eastAsiaTheme="minorEastAsia"/>
          <w:i w:val="0"/>
          <w:iCs w:val="0"/>
          <w:noProof/>
          <w:sz w:val="24"/>
          <w:szCs w:val="24"/>
          <w:lang w:eastAsia="en-GB"/>
        </w:rPr>
      </w:pPr>
      <w:r w:rsidRPr="000B5710">
        <w:rPr>
          <w:noProof/>
        </w:rPr>
        <w:t>3.2 Adequacy of Commonwealth Rent Assistance</w:t>
      </w:r>
      <w:r w:rsidRPr="000B5710">
        <w:rPr>
          <w:noProof/>
        </w:rPr>
        <w:tab/>
      </w:r>
      <w:r w:rsidRPr="000B5710">
        <w:rPr>
          <w:noProof/>
        </w:rPr>
        <w:fldChar w:fldCharType="begin"/>
      </w:r>
      <w:r w:rsidRPr="000B5710">
        <w:rPr>
          <w:noProof/>
        </w:rPr>
        <w:instrText xml:space="preserve"> PAGEREF _Toc165366866 \h </w:instrText>
      </w:r>
      <w:r w:rsidRPr="000B5710">
        <w:rPr>
          <w:noProof/>
        </w:rPr>
      </w:r>
      <w:r w:rsidRPr="000B5710">
        <w:rPr>
          <w:noProof/>
        </w:rPr>
        <w:fldChar w:fldCharType="separate"/>
      </w:r>
      <w:r w:rsidRPr="000B5710">
        <w:rPr>
          <w:noProof/>
        </w:rPr>
        <w:t>61</w:t>
      </w:r>
      <w:r w:rsidRPr="000B5710">
        <w:rPr>
          <w:noProof/>
        </w:rPr>
        <w:fldChar w:fldCharType="end"/>
      </w:r>
    </w:p>
    <w:p w14:paraId="2F01D055" w14:textId="696C32CF"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3.3 Housing Costs for Low Income Renter Households</w:t>
      </w:r>
      <w:r w:rsidRPr="000B5710">
        <w:rPr>
          <w:noProof/>
        </w:rPr>
        <w:tab/>
      </w:r>
      <w:r w:rsidRPr="000B5710">
        <w:rPr>
          <w:noProof/>
        </w:rPr>
        <w:fldChar w:fldCharType="begin"/>
      </w:r>
      <w:r w:rsidRPr="000B5710">
        <w:rPr>
          <w:noProof/>
        </w:rPr>
        <w:instrText xml:space="preserve"> PAGEREF _Toc165366867 \h </w:instrText>
      </w:r>
      <w:r w:rsidRPr="000B5710">
        <w:rPr>
          <w:noProof/>
        </w:rPr>
      </w:r>
      <w:r w:rsidRPr="000B5710">
        <w:rPr>
          <w:noProof/>
        </w:rPr>
        <w:fldChar w:fldCharType="separate"/>
      </w:r>
      <w:r w:rsidRPr="000B5710">
        <w:rPr>
          <w:noProof/>
        </w:rPr>
        <w:t>64</w:t>
      </w:r>
      <w:r w:rsidRPr="000B5710">
        <w:rPr>
          <w:noProof/>
        </w:rPr>
        <w:fldChar w:fldCharType="end"/>
      </w:r>
    </w:p>
    <w:p w14:paraId="73A221FF" w14:textId="2E50580B" w:rsidR="000B5710" w:rsidRPr="000B5710" w:rsidRDefault="000B5710">
      <w:pPr>
        <w:pStyle w:val="TOC2"/>
        <w:tabs>
          <w:tab w:val="right" w:pos="9016"/>
        </w:tabs>
        <w:rPr>
          <w:rFonts w:eastAsiaTheme="minorEastAsia"/>
          <w:i w:val="0"/>
          <w:iCs w:val="0"/>
          <w:noProof/>
          <w:sz w:val="24"/>
          <w:szCs w:val="24"/>
          <w:lang w:eastAsia="en-GB"/>
        </w:rPr>
      </w:pPr>
      <w:r w:rsidRPr="000B5710">
        <w:rPr>
          <w:noProof/>
        </w:rPr>
        <w:t>3.4 Policy Options</w:t>
      </w:r>
      <w:r w:rsidRPr="000B5710">
        <w:rPr>
          <w:noProof/>
        </w:rPr>
        <w:tab/>
      </w:r>
      <w:r w:rsidRPr="000B5710">
        <w:rPr>
          <w:noProof/>
        </w:rPr>
        <w:fldChar w:fldCharType="begin"/>
      </w:r>
      <w:r w:rsidRPr="000B5710">
        <w:rPr>
          <w:noProof/>
        </w:rPr>
        <w:instrText xml:space="preserve"> PAGEREF _Toc165366868 \h </w:instrText>
      </w:r>
      <w:r w:rsidRPr="000B5710">
        <w:rPr>
          <w:noProof/>
        </w:rPr>
      </w:r>
      <w:r w:rsidRPr="000B5710">
        <w:rPr>
          <w:noProof/>
        </w:rPr>
        <w:fldChar w:fldCharType="separate"/>
      </w:r>
      <w:r w:rsidRPr="000B5710">
        <w:rPr>
          <w:noProof/>
        </w:rPr>
        <w:t>65</w:t>
      </w:r>
      <w:r w:rsidRPr="000B5710">
        <w:rPr>
          <w:noProof/>
        </w:rPr>
        <w:fldChar w:fldCharType="end"/>
      </w:r>
    </w:p>
    <w:p w14:paraId="2DFF1AAA" w14:textId="46D267BD" w:rsidR="000B5710" w:rsidRPr="000B5710" w:rsidRDefault="000B5710">
      <w:pPr>
        <w:pStyle w:val="TOC2"/>
        <w:tabs>
          <w:tab w:val="right" w:pos="9016"/>
        </w:tabs>
        <w:rPr>
          <w:rFonts w:eastAsiaTheme="minorEastAsia"/>
          <w:i w:val="0"/>
          <w:iCs w:val="0"/>
          <w:noProof/>
          <w:sz w:val="24"/>
          <w:szCs w:val="24"/>
          <w:lang w:eastAsia="en-GB"/>
        </w:rPr>
      </w:pPr>
      <w:r w:rsidRPr="000B5710">
        <w:rPr>
          <w:noProof/>
        </w:rPr>
        <w:t>3.5 Discussion</w:t>
      </w:r>
      <w:r w:rsidRPr="000B5710">
        <w:rPr>
          <w:noProof/>
        </w:rPr>
        <w:tab/>
      </w:r>
      <w:r w:rsidRPr="000B5710">
        <w:rPr>
          <w:noProof/>
        </w:rPr>
        <w:fldChar w:fldCharType="begin"/>
      </w:r>
      <w:r w:rsidRPr="000B5710">
        <w:rPr>
          <w:noProof/>
        </w:rPr>
        <w:instrText xml:space="preserve"> PAGEREF _Toc165366869 \h </w:instrText>
      </w:r>
      <w:r w:rsidRPr="000B5710">
        <w:rPr>
          <w:noProof/>
        </w:rPr>
      </w:r>
      <w:r w:rsidRPr="000B5710">
        <w:rPr>
          <w:noProof/>
        </w:rPr>
        <w:fldChar w:fldCharType="separate"/>
      </w:r>
      <w:r w:rsidRPr="000B5710">
        <w:rPr>
          <w:noProof/>
        </w:rPr>
        <w:t>66</w:t>
      </w:r>
      <w:r w:rsidRPr="000B5710">
        <w:rPr>
          <w:noProof/>
        </w:rPr>
        <w:fldChar w:fldCharType="end"/>
      </w:r>
    </w:p>
    <w:p w14:paraId="2EAEBC4F" w14:textId="48C8F26F" w:rsidR="000B5710" w:rsidRPr="000B5710" w:rsidRDefault="000B5710">
      <w:pPr>
        <w:pStyle w:val="TOC2"/>
        <w:tabs>
          <w:tab w:val="right" w:pos="9016"/>
        </w:tabs>
        <w:rPr>
          <w:rFonts w:eastAsiaTheme="minorEastAsia"/>
          <w:i w:val="0"/>
          <w:iCs w:val="0"/>
          <w:noProof/>
          <w:sz w:val="24"/>
          <w:szCs w:val="24"/>
          <w:lang w:eastAsia="en-GB"/>
        </w:rPr>
      </w:pPr>
      <w:r w:rsidRPr="000B5710">
        <w:rPr>
          <w:noProof/>
        </w:rPr>
        <w:t>Cliff: Regional mature aged JobSeeker</w:t>
      </w:r>
      <w:r w:rsidRPr="000B5710">
        <w:rPr>
          <w:noProof/>
        </w:rPr>
        <w:tab/>
      </w:r>
      <w:r w:rsidRPr="000B5710">
        <w:rPr>
          <w:noProof/>
        </w:rPr>
        <w:fldChar w:fldCharType="begin"/>
      </w:r>
      <w:r w:rsidRPr="000B5710">
        <w:rPr>
          <w:noProof/>
        </w:rPr>
        <w:instrText xml:space="preserve"> PAGEREF _Toc165366870 \h </w:instrText>
      </w:r>
      <w:r w:rsidRPr="000B5710">
        <w:rPr>
          <w:noProof/>
        </w:rPr>
      </w:r>
      <w:r w:rsidRPr="000B5710">
        <w:rPr>
          <w:noProof/>
        </w:rPr>
        <w:fldChar w:fldCharType="separate"/>
      </w:r>
      <w:r w:rsidRPr="000B5710">
        <w:rPr>
          <w:noProof/>
        </w:rPr>
        <w:t>67</w:t>
      </w:r>
      <w:r w:rsidRPr="000B5710">
        <w:rPr>
          <w:noProof/>
        </w:rPr>
        <w:fldChar w:fldCharType="end"/>
      </w:r>
    </w:p>
    <w:p w14:paraId="007AE04B" w14:textId="5AA42B1C" w:rsidR="000B5710" w:rsidRPr="000B5710" w:rsidRDefault="000B5710">
      <w:pPr>
        <w:pStyle w:val="TOC1"/>
        <w:tabs>
          <w:tab w:val="right" w:pos="9016"/>
        </w:tabs>
        <w:rPr>
          <w:rFonts w:eastAsiaTheme="minorEastAsia"/>
          <w:b w:val="0"/>
          <w:bCs w:val="0"/>
          <w:noProof/>
          <w:sz w:val="24"/>
          <w:szCs w:val="24"/>
          <w:lang w:eastAsia="en-GB"/>
        </w:rPr>
      </w:pPr>
      <w:r w:rsidRPr="000B5710">
        <w:rPr>
          <w:noProof/>
          <w:lang w:val="en-GB"/>
        </w:rPr>
        <w:t xml:space="preserve">Chapter 4:  </w:t>
      </w:r>
      <w:r w:rsidRPr="000B5710">
        <w:rPr>
          <w:noProof/>
        </w:rPr>
        <w:t>Removing barriers to employment and supporting participation</w:t>
      </w:r>
      <w:r w:rsidRPr="000B5710">
        <w:rPr>
          <w:noProof/>
        </w:rPr>
        <w:tab/>
      </w:r>
      <w:r w:rsidRPr="000B5710">
        <w:rPr>
          <w:noProof/>
        </w:rPr>
        <w:fldChar w:fldCharType="begin"/>
      </w:r>
      <w:r w:rsidRPr="000B5710">
        <w:rPr>
          <w:noProof/>
        </w:rPr>
        <w:instrText xml:space="preserve"> PAGEREF _Toc165366871 \h </w:instrText>
      </w:r>
      <w:r w:rsidRPr="000B5710">
        <w:rPr>
          <w:noProof/>
        </w:rPr>
      </w:r>
      <w:r w:rsidRPr="000B5710">
        <w:rPr>
          <w:noProof/>
        </w:rPr>
        <w:fldChar w:fldCharType="separate"/>
      </w:r>
      <w:r w:rsidRPr="000B5710">
        <w:rPr>
          <w:noProof/>
        </w:rPr>
        <w:t>69</w:t>
      </w:r>
      <w:r w:rsidRPr="000B5710">
        <w:rPr>
          <w:noProof/>
        </w:rPr>
        <w:fldChar w:fldCharType="end"/>
      </w:r>
    </w:p>
    <w:p w14:paraId="04FB5C90" w14:textId="267D7687" w:rsidR="000B5710" w:rsidRPr="000B5710" w:rsidRDefault="000B5710">
      <w:pPr>
        <w:pStyle w:val="TOC2"/>
        <w:tabs>
          <w:tab w:val="right" w:pos="9016"/>
        </w:tabs>
        <w:rPr>
          <w:rFonts w:eastAsiaTheme="minorEastAsia"/>
          <w:i w:val="0"/>
          <w:iCs w:val="0"/>
          <w:noProof/>
          <w:sz w:val="24"/>
          <w:szCs w:val="24"/>
          <w:lang w:eastAsia="en-GB"/>
        </w:rPr>
      </w:pPr>
      <w:r w:rsidRPr="000B5710">
        <w:rPr>
          <w:noProof/>
        </w:rPr>
        <w:t>4.1 Introduction</w:t>
      </w:r>
      <w:r w:rsidRPr="000B5710">
        <w:rPr>
          <w:noProof/>
        </w:rPr>
        <w:tab/>
      </w:r>
      <w:r w:rsidRPr="000B5710">
        <w:rPr>
          <w:noProof/>
        </w:rPr>
        <w:fldChar w:fldCharType="begin"/>
      </w:r>
      <w:r w:rsidRPr="000B5710">
        <w:rPr>
          <w:noProof/>
        </w:rPr>
        <w:instrText xml:space="preserve"> PAGEREF _Toc165366872 \h </w:instrText>
      </w:r>
      <w:r w:rsidRPr="000B5710">
        <w:rPr>
          <w:noProof/>
        </w:rPr>
      </w:r>
      <w:r w:rsidRPr="000B5710">
        <w:rPr>
          <w:noProof/>
        </w:rPr>
        <w:fldChar w:fldCharType="separate"/>
      </w:r>
      <w:r w:rsidRPr="000B5710">
        <w:rPr>
          <w:noProof/>
        </w:rPr>
        <w:t>70</w:t>
      </w:r>
      <w:r w:rsidRPr="000B5710">
        <w:rPr>
          <w:noProof/>
        </w:rPr>
        <w:fldChar w:fldCharType="end"/>
      </w:r>
    </w:p>
    <w:p w14:paraId="3A1AC672" w14:textId="7DA7698D" w:rsidR="000B5710" w:rsidRPr="000B5710" w:rsidRDefault="000B5710">
      <w:pPr>
        <w:pStyle w:val="TOC2"/>
        <w:tabs>
          <w:tab w:val="right" w:pos="9016"/>
        </w:tabs>
        <w:rPr>
          <w:rFonts w:eastAsiaTheme="minorEastAsia"/>
          <w:i w:val="0"/>
          <w:iCs w:val="0"/>
          <w:noProof/>
          <w:sz w:val="24"/>
          <w:szCs w:val="24"/>
          <w:lang w:eastAsia="en-GB"/>
        </w:rPr>
      </w:pPr>
      <w:r w:rsidRPr="000B5710">
        <w:rPr>
          <w:noProof/>
        </w:rPr>
        <w:lastRenderedPageBreak/>
        <w:t>4.2 The problem to overcome</w:t>
      </w:r>
      <w:r w:rsidRPr="000B5710">
        <w:rPr>
          <w:noProof/>
        </w:rPr>
        <w:tab/>
      </w:r>
      <w:r w:rsidRPr="000B5710">
        <w:rPr>
          <w:noProof/>
        </w:rPr>
        <w:fldChar w:fldCharType="begin"/>
      </w:r>
      <w:r w:rsidRPr="000B5710">
        <w:rPr>
          <w:noProof/>
        </w:rPr>
        <w:instrText xml:space="preserve"> PAGEREF _Toc165366873 \h </w:instrText>
      </w:r>
      <w:r w:rsidRPr="000B5710">
        <w:rPr>
          <w:noProof/>
        </w:rPr>
      </w:r>
      <w:r w:rsidRPr="000B5710">
        <w:rPr>
          <w:noProof/>
        </w:rPr>
        <w:fldChar w:fldCharType="separate"/>
      </w:r>
      <w:r w:rsidRPr="000B5710">
        <w:rPr>
          <w:noProof/>
        </w:rPr>
        <w:t>70</w:t>
      </w:r>
      <w:r w:rsidRPr="000B5710">
        <w:rPr>
          <w:noProof/>
        </w:rPr>
        <w:fldChar w:fldCharType="end"/>
      </w:r>
    </w:p>
    <w:p w14:paraId="303BE95B" w14:textId="2D7DE0A6" w:rsidR="000B5710" w:rsidRPr="000B5710" w:rsidRDefault="000B5710">
      <w:pPr>
        <w:pStyle w:val="TOC2"/>
        <w:tabs>
          <w:tab w:val="right" w:pos="9016"/>
        </w:tabs>
        <w:rPr>
          <w:rFonts w:eastAsiaTheme="minorEastAsia"/>
          <w:i w:val="0"/>
          <w:iCs w:val="0"/>
          <w:noProof/>
          <w:sz w:val="24"/>
          <w:szCs w:val="24"/>
          <w:lang w:eastAsia="en-GB"/>
        </w:rPr>
      </w:pPr>
      <w:r w:rsidRPr="000B5710">
        <w:rPr>
          <w:noProof/>
        </w:rPr>
        <w:t>4.3 Rebuilding employment services</w:t>
      </w:r>
      <w:r w:rsidRPr="000B5710">
        <w:rPr>
          <w:noProof/>
        </w:rPr>
        <w:tab/>
      </w:r>
      <w:r w:rsidRPr="000B5710">
        <w:rPr>
          <w:noProof/>
        </w:rPr>
        <w:fldChar w:fldCharType="begin"/>
      </w:r>
      <w:r w:rsidRPr="000B5710">
        <w:rPr>
          <w:noProof/>
        </w:rPr>
        <w:instrText xml:space="preserve"> PAGEREF _Toc165366874 \h </w:instrText>
      </w:r>
      <w:r w:rsidRPr="000B5710">
        <w:rPr>
          <w:noProof/>
        </w:rPr>
      </w:r>
      <w:r w:rsidRPr="000B5710">
        <w:rPr>
          <w:noProof/>
        </w:rPr>
        <w:fldChar w:fldCharType="separate"/>
      </w:r>
      <w:r w:rsidRPr="000B5710">
        <w:rPr>
          <w:noProof/>
        </w:rPr>
        <w:t>72</w:t>
      </w:r>
      <w:r w:rsidRPr="000B5710">
        <w:rPr>
          <w:noProof/>
        </w:rPr>
        <w:fldChar w:fldCharType="end"/>
      </w:r>
    </w:p>
    <w:p w14:paraId="05741371" w14:textId="46986BE5" w:rsidR="000B5710" w:rsidRPr="000B5710" w:rsidRDefault="000B5710">
      <w:pPr>
        <w:pStyle w:val="TOC2"/>
        <w:tabs>
          <w:tab w:val="right" w:pos="9016"/>
        </w:tabs>
        <w:rPr>
          <w:rFonts w:eastAsiaTheme="minorEastAsia"/>
          <w:i w:val="0"/>
          <w:iCs w:val="0"/>
          <w:noProof/>
          <w:sz w:val="24"/>
          <w:szCs w:val="24"/>
          <w:lang w:eastAsia="en-GB"/>
        </w:rPr>
      </w:pPr>
      <w:r w:rsidRPr="000B5710">
        <w:rPr>
          <w:noProof/>
        </w:rPr>
        <w:t>4.4 Addressing barriers to employment and supporting participation</w:t>
      </w:r>
      <w:r w:rsidRPr="000B5710">
        <w:rPr>
          <w:noProof/>
        </w:rPr>
        <w:tab/>
      </w:r>
      <w:r w:rsidRPr="000B5710">
        <w:rPr>
          <w:noProof/>
        </w:rPr>
        <w:fldChar w:fldCharType="begin"/>
      </w:r>
      <w:r w:rsidRPr="000B5710">
        <w:rPr>
          <w:noProof/>
        </w:rPr>
        <w:instrText xml:space="preserve"> PAGEREF _Toc165366875 \h </w:instrText>
      </w:r>
      <w:r w:rsidRPr="000B5710">
        <w:rPr>
          <w:noProof/>
        </w:rPr>
      </w:r>
      <w:r w:rsidRPr="000B5710">
        <w:rPr>
          <w:noProof/>
        </w:rPr>
        <w:fldChar w:fldCharType="separate"/>
      </w:r>
      <w:r w:rsidRPr="000B5710">
        <w:rPr>
          <w:noProof/>
        </w:rPr>
        <w:t>76</w:t>
      </w:r>
      <w:r w:rsidRPr="000B5710">
        <w:rPr>
          <w:noProof/>
        </w:rPr>
        <w:fldChar w:fldCharType="end"/>
      </w:r>
    </w:p>
    <w:p w14:paraId="511A7F30" w14:textId="37CD5AF5"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GB"/>
        </w:rPr>
        <w:t>Immediate changes</w:t>
      </w:r>
      <w:r w:rsidRPr="000B5710">
        <w:rPr>
          <w:noProof/>
        </w:rPr>
        <w:tab/>
      </w:r>
      <w:r w:rsidRPr="000B5710">
        <w:rPr>
          <w:noProof/>
        </w:rPr>
        <w:fldChar w:fldCharType="begin"/>
      </w:r>
      <w:r w:rsidRPr="000B5710">
        <w:rPr>
          <w:noProof/>
        </w:rPr>
        <w:instrText xml:space="preserve"> PAGEREF _Toc165366876 \h </w:instrText>
      </w:r>
      <w:r w:rsidRPr="000B5710">
        <w:rPr>
          <w:noProof/>
        </w:rPr>
      </w:r>
      <w:r w:rsidRPr="000B5710">
        <w:rPr>
          <w:noProof/>
        </w:rPr>
        <w:fldChar w:fldCharType="separate"/>
      </w:r>
      <w:r w:rsidRPr="000B5710">
        <w:rPr>
          <w:noProof/>
        </w:rPr>
        <w:t>76</w:t>
      </w:r>
      <w:r w:rsidRPr="000B5710">
        <w:rPr>
          <w:noProof/>
        </w:rPr>
        <w:fldChar w:fldCharType="end"/>
      </w:r>
    </w:p>
    <w:p w14:paraId="008E2391" w14:textId="7BD8B864" w:rsidR="000B5710" w:rsidRPr="000B5710" w:rsidRDefault="000B5710">
      <w:pPr>
        <w:pStyle w:val="TOC2"/>
        <w:tabs>
          <w:tab w:val="right" w:pos="9016"/>
        </w:tabs>
        <w:rPr>
          <w:rFonts w:eastAsiaTheme="minorEastAsia"/>
          <w:i w:val="0"/>
          <w:iCs w:val="0"/>
          <w:noProof/>
          <w:sz w:val="24"/>
          <w:szCs w:val="24"/>
          <w:lang w:eastAsia="en-GB"/>
        </w:rPr>
      </w:pPr>
      <w:r w:rsidRPr="000B5710">
        <w:rPr>
          <w:noProof/>
        </w:rPr>
        <w:t>4.5 Conclusion</w:t>
      </w:r>
      <w:r w:rsidRPr="000B5710">
        <w:rPr>
          <w:noProof/>
        </w:rPr>
        <w:tab/>
      </w:r>
      <w:r w:rsidRPr="000B5710">
        <w:rPr>
          <w:noProof/>
        </w:rPr>
        <w:fldChar w:fldCharType="begin"/>
      </w:r>
      <w:r w:rsidRPr="000B5710">
        <w:rPr>
          <w:noProof/>
        </w:rPr>
        <w:instrText xml:space="preserve"> PAGEREF _Toc165366877 \h </w:instrText>
      </w:r>
      <w:r w:rsidRPr="000B5710">
        <w:rPr>
          <w:noProof/>
        </w:rPr>
      </w:r>
      <w:r w:rsidRPr="000B5710">
        <w:rPr>
          <w:noProof/>
        </w:rPr>
        <w:fldChar w:fldCharType="separate"/>
      </w:r>
      <w:r w:rsidRPr="000B5710">
        <w:rPr>
          <w:noProof/>
        </w:rPr>
        <w:t>83</w:t>
      </w:r>
      <w:r w:rsidRPr="000B5710">
        <w:rPr>
          <w:noProof/>
        </w:rPr>
        <w:fldChar w:fldCharType="end"/>
      </w:r>
    </w:p>
    <w:p w14:paraId="67F71DF5" w14:textId="34F7264B" w:rsidR="000B5710" w:rsidRPr="000B5710" w:rsidRDefault="000B5710">
      <w:pPr>
        <w:pStyle w:val="TOC2"/>
        <w:tabs>
          <w:tab w:val="right" w:pos="9016"/>
        </w:tabs>
        <w:rPr>
          <w:rFonts w:eastAsiaTheme="minorEastAsia"/>
          <w:i w:val="0"/>
          <w:iCs w:val="0"/>
          <w:noProof/>
          <w:sz w:val="24"/>
          <w:szCs w:val="24"/>
          <w:lang w:eastAsia="en-GB"/>
        </w:rPr>
      </w:pPr>
      <w:r w:rsidRPr="000B5710">
        <w:rPr>
          <w:noProof/>
        </w:rPr>
        <w:t>Tara: Single parent receiving JobSeeker Payment</w:t>
      </w:r>
      <w:r w:rsidRPr="000B5710">
        <w:rPr>
          <w:noProof/>
        </w:rPr>
        <w:tab/>
      </w:r>
      <w:r w:rsidRPr="000B5710">
        <w:rPr>
          <w:noProof/>
        </w:rPr>
        <w:fldChar w:fldCharType="begin"/>
      </w:r>
      <w:r w:rsidRPr="000B5710">
        <w:rPr>
          <w:noProof/>
        </w:rPr>
        <w:instrText xml:space="preserve"> PAGEREF _Toc165366878 \h </w:instrText>
      </w:r>
      <w:r w:rsidRPr="000B5710">
        <w:rPr>
          <w:noProof/>
        </w:rPr>
      </w:r>
      <w:r w:rsidRPr="000B5710">
        <w:rPr>
          <w:noProof/>
        </w:rPr>
        <w:fldChar w:fldCharType="separate"/>
      </w:r>
      <w:r w:rsidRPr="000B5710">
        <w:rPr>
          <w:noProof/>
        </w:rPr>
        <w:t>84</w:t>
      </w:r>
      <w:r w:rsidRPr="000B5710">
        <w:rPr>
          <w:noProof/>
        </w:rPr>
        <w:fldChar w:fldCharType="end"/>
      </w:r>
    </w:p>
    <w:p w14:paraId="0E452742" w14:textId="1E43F14E"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5:  Improving support for children and families</w:t>
      </w:r>
      <w:r w:rsidRPr="000B5710">
        <w:rPr>
          <w:noProof/>
        </w:rPr>
        <w:tab/>
      </w:r>
      <w:r w:rsidRPr="000B5710">
        <w:rPr>
          <w:noProof/>
        </w:rPr>
        <w:fldChar w:fldCharType="begin"/>
      </w:r>
      <w:r w:rsidRPr="000B5710">
        <w:rPr>
          <w:noProof/>
        </w:rPr>
        <w:instrText xml:space="preserve"> PAGEREF _Toc165366879 \h </w:instrText>
      </w:r>
      <w:r w:rsidRPr="000B5710">
        <w:rPr>
          <w:noProof/>
        </w:rPr>
      </w:r>
      <w:r w:rsidRPr="000B5710">
        <w:rPr>
          <w:noProof/>
        </w:rPr>
        <w:fldChar w:fldCharType="separate"/>
      </w:r>
      <w:r w:rsidRPr="000B5710">
        <w:rPr>
          <w:noProof/>
        </w:rPr>
        <w:t>86</w:t>
      </w:r>
      <w:r w:rsidRPr="000B5710">
        <w:rPr>
          <w:noProof/>
        </w:rPr>
        <w:fldChar w:fldCharType="end"/>
      </w:r>
    </w:p>
    <w:p w14:paraId="0DFFD975" w14:textId="52ACADD1" w:rsidR="000B5710" w:rsidRPr="000B5710" w:rsidRDefault="000B5710">
      <w:pPr>
        <w:pStyle w:val="TOC2"/>
        <w:tabs>
          <w:tab w:val="right" w:pos="9016"/>
        </w:tabs>
        <w:rPr>
          <w:rFonts w:eastAsiaTheme="minorEastAsia"/>
          <w:i w:val="0"/>
          <w:iCs w:val="0"/>
          <w:noProof/>
          <w:sz w:val="24"/>
          <w:szCs w:val="24"/>
          <w:lang w:eastAsia="en-GB"/>
        </w:rPr>
      </w:pPr>
      <w:r w:rsidRPr="000B5710">
        <w:rPr>
          <w:noProof/>
        </w:rPr>
        <w:t>5.1 Introduction</w:t>
      </w:r>
      <w:r w:rsidRPr="000B5710">
        <w:rPr>
          <w:noProof/>
        </w:rPr>
        <w:tab/>
      </w:r>
      <w:r w:rsidRPr="000B5710">
        <w:rPr>
          <w:noProof/>
        </w:rPr>
        <w:fldChar w:fldCharType="begin"/>
      </w:r>
      <w:r w:rsidRPr="000B5710">
        <w:rPr>
          <w:noProof/>
        </w:rPr>
        <w:instrText xml:space="preserve"> PAGEREF _Toc165366880 \h </w:instrText>
      </w:r>
      <w:r w:rsidRPr="000B5710">
        <w:rPr>
          <w:noProof/>
        </w:rPr>
      </w:r>
      <w:r w:rsidRPr="000B5710">
        <w:rPr>
          <w:noProof/>
        </w:rPr>
        <w:fldChar w:fldCharType="separate"/>
      </w:r>
      <w:r w:rsidRPr="000B5710">
        <w:rPr>
          <w:noProof/>
        </w:rPr>
        <w:t>87</w:t>
      </w:r>
      <w:r w:rsidRPr="000B5710">
        <w:rPr>
          <w:noProof/>
        </w:rPr>
        <w:fldChar w:fldCharType="end"/>
      </w:r>
    </w:p>
    <w:p w14:paraId="2B46261C" w14:textId="642B8DD9" w:rsidR="000B5710" w:rsidRPr="000B5710" w:rsidRDefault="000B5710">
      <w:pPr>
        <w:pStyle w:val="TOC2"/>
        <w:tabs>
          <w:tab w:val="right" w:pos="9016"/>
        </w:tabs>
        <w:rPr>
          <w:rFonts w:eastAsiaTheme="minorEastAsia"/>
          <w:i w:val="0"/>
          <w:iCs w:val="0"/>
          <w:noProof/>
          <w:sz w:val="24"/>
          <w:szCs w:val="24"/>
          <w:lang w:eastAsia="en-GB"/>
        </w:rPr>
      </w:pPr>
      <w:r w:rsidRPr="000B5710">
        <w:rPr>
          <w:noProof/>
        </w:rPr>
        <w:t>5.2 Developing a universal early childhood development system</w:t>
      </w:r>
      <w:r w:rsidRPr="000B5710">
        <w:rPr>
          <w:noProof/>
        </w:rPr>
        <w:tab/>
      </w:r>
      <w:r w:rsidRPr="000B5710">
        <w:rPr>
          <w:noProof/>
        </w:rPr>
        <w:fldChar w:fldCharType="begin"/>
      </w:r>
      <w:r w:rsidRPr="000B5710">
        <w:rPr>
          <w:noProof/>
        </w:rPr>
        <w:instrText xml:space="preserve"> PAGEREF _Toc165366881 \h </w:instrText>
      </w:r>
      <w:r w:rsidRPr="000B5710">
        <w:rPr>
          <w:noProof/>
        </w:rPr>
      </w:r>
      <w:r w:rsidRPr="000B5710">
        <w:rPr>
          <w:noProof/>
        </w:rPr>
        <w:fldChar w:fldCharType="separate"/>
      </w:r>
      <w:r w:rsidRPr="000B5710">
        <w:rPr>
          <w:noProof/>
        </w:rPr>
        <w:t>88</w:t>
      </w:r>
      <w:r w:rsidRPr="000B5710">
        <w:rPr>
          <w:noProof/>
        </w:rPr>
        <w:fldChar w:fldCharType="end"/>
      </w:r>
    </w:p>
    <w:p w14:paraId="3D30DA63" w14:textId="2996FDA5" w:rsidR="000B5710" w:rsidRPr="000B5710" w:rsidRDefault="000B5710">
      <w:pPr>
        <w:pStyle w:val="TOC2"/>
        <w:tabs>
          <w:tab w:val="right" w:pos="9016"/>
        </w:tabs>
        <w:rPr>
          <w:rFonts w:eastAsiaTheme="minorEastAsia"/>
          <w:i w:val="0"/>
          <w:iCs w:val="0"/>
          <w:noProof/>
          <w:sz w:val="24"/>
          <w:szCs w:val="24"/>
          <w:lang w:eastAsia="en-GB"/>
        </w:rPr>
      </w:pPr>
      <w:r w:rsidRPr="000B5710">
        <w:rPr>
          <w:noProof/>
        </w:rPr>
        <w:t>5.3 Access to ECEC and early years services</w:t>
      </w:r>
      <w:r w:rsidRPr="000B5710">
        <w:rPr>
          <w:noProof/>
        </w:rPr>
        <w:tab/>
      </w:r>
      <w:r w:rsidRPr="000B5710">
        <w:rPr>
          <w:noProof/>
        </w:rPr>
        <w:fldChar w:fldCharType="begin"/>
      </w:r>
      <w:r w:rsidRPr="000B5710">
        <w:rPr>
          <w:noProof/>
        </w:rPr>
        <w:instrText xml:space="preserve"> PAGEREF _Toc165366882 \h </w:instrText>
      </w:r>
      <w:r w:rsidRPr="000B5710">
        <w:rPr>
          <w:noProof/>
        </w:rPr>
      </w:r>
      <w:r w:rsidRPr="000B5710">
        <w:rPr>
          <w:noProof/>
        </w:rPr>
        <w:fldChar w:fldCharType="separate"/>
      </w:r>
      <w:r w:rsidRPr="000B5710">
        <w:rPr>
          <w:noProof/>
        </w:rPr>
        <w:t>89</w:t>
      </w:r>
      <w:r w:rsidRPr="000B5710">
        <w:rPr>
          <w:noProof/>
        </w:rPr>
        <w:fldChar w:fldCharType="end"/>
      </w:r>
    </w:p>
    <w:p w14:paraId="1636D61E" w14:textId="3DE20533" w:rsidR="000B5710" w:rsidRPr="000B5710" w:rsidRDefault="000B5710">
      <w:pPr>
        <w:pStyle w:val="TOC2"/>
        <w:tabs>
          <w:tab w:val="right" w:pos="9016"/>
        </w:tabs>
        <w:rPr>
          <w:rFonts w:eastAsiaTheme="minorEastAsia"/>
          <w:i w:val="0"/>
          <w:iCs w:val="0"/>
          <w:noProof/>
          <w:sz w:val="24"/>
          <w:szCs w:val="24"/>
          <w:lang w:eastAsia="en-GB"/>
        </w:rPr>
      </w:pPr>
      <w:r w:rsidRPr="000B5710">
        <w:rPr>
          <w:noProof/>
        </w:rPr>
        <w:t>5.4 Reforms to the Family Tax Benefit and Child Support Systems</w:t>
      </w:r>
      <w:r w:rsidRPr="000B5710">
        <w:rPr>
          <w:noProof/>
        </w:rPr>
        <w:tab/>
      </w:r>
      <w:r w:rsidRPr="000B5710">
        <w:rPr>
          <w:noProof/>
        </w:rPr>
        <w:fldChar w:fldCharType="begin"/>
      </w:r>
      <w:r w:rsidRPr="000B5710">
        <w:rPr>
          <w:noProof/>
        </w:rPr>
        <w:instrText xml:space="preserve"> PAGEREF _Toc165366883 \h </w:instrText>
      </w:r>
      <w:r w:rsidRPr="000B5710">
        <w:rPr>
          <w:noProof/>
        </w:rPr>
      </w:r>
      <w:r w:rsidRPr="000B5710">
        <w:rPr>
          <w:noProof/>
        </w:rPr>
        <w:fldChar w:fldCharType="separate"/>
      </w:r>
      <w:r w:rsidRPr="000B5710">
        <w:rPr>
          <w:noProof/>
        </w:rPr>
        <w:t>95</w:t>
      </w:r>
      <w:r w:rsidRPr="000B5710">
        <w:rPr>
          <w:noProof/>
        </w:rPr>
        <w:fldChar w:fldCharType="end"/>
      </w:r>
    </w:p>
    <w:p w14:paraId="50C101AF" w14:textId="75F7231C" w:rsidR="000B5710" w:rsidRPr="000B5710" w:rsidRDefault="000B5710">
      <w:pPr>
        <w:pStyle w:val="TOC2"/>
        <w:tabs>
          <w:tab w:val="right" w:pos="9016"/>
        </w:tabs>
        <w:rPr>
          <w:rFonts w:eastAsiaTheme="minorEastAsia"/>
          <w:i w:val="0"/>
          <w:iCs w:val="0"/>
          <w:noProof/>
          <w:sz w:val="24"/>
          <w:szCs w:val="24"/>
          <w:lang w:eastAsia="en-GB"/>
        </w:rPr>
      </w:pPr>
      <w:r w:rsidRPr="000B5710">
        <w:rPr>
          <w:noProof/>
        </w:rPr>
        <w:t>5.5 Conclusion</w:t>
      </w:r>
      <w:r w:rsidRPr="000B5710">
        <w:rPr>
          <w:noProof/>
        </w:rPr>
        <w:tab/>
      </w:r>
      <w:r w:rsidRPr="000B5710">
        <w:rPr>
          <w:noProof/>
        </w:rPr>
        <w:fldChar w:fldCharType="begin"/>
      </w:r>
      <w:r w:rsidRPr="000B5710">
        <w:rPr>
          <w:noProof/>
        </w:rPr>
        <w:instrText xml:space="preserve"> PAGEREF _Toc165366884 \h </w:instrText>
      </w:r>
      <w:r w:rsidRPr="000B5710">
        <w:rPr>
          <w:noProof/>
        </w:rPr>
      </w:r>
      <w:r w:rsidRPr="000B5710">
        <w:rPr>
          <w:noProof/>
        </w:rPr>
        <w:fldChar w:fldCharType="separate"/>
      </w:r>
      <w:r w:rsidRPr="000B5710">
        <w:rPr>
          <w:noProof/>
        </w:rPr>
        <w:t>101</w:t>
      </w:r>
      <w:r w:rsidRPr="000B5710">
        <w:rPr>
          <w:noProof/>
        </w:rPr>
        <w:fldChar w:fldCharType="end"/>
      </w:r>
    </w:p>
    <w:p w14:paraId="176A66AD" w14:textId="4AFEB164" w:rsidR="000B5710" w:rsidRPr="000B5710" w:rsidRDefault="000B5710">
      <w:pPr>
        <w:pStyle w:val="TOC2"/>
        <w:tabs>
          <w:tab w:val="right" w:pos="9016"/>
        </w:tabs>
        <w:rPr>
          <w:rFonts w:eastAsiaTheme="minorEastAsia"/>
          <w:i w:val="0"/>
          <w:iCs w:val="0"/>
          <w:noProof/>
          <w:sz w:val="24"/>
          <w:szCs w:val="24"/>
          <w:lang w:eastAsia="en-GB"/>
        </w:rPr>
      </w:pPr>
      <w:r w:rsidRPr="000B5710">
        <w:rPr>
          <w:noProof/>
        </w:rPr>
        <w:t>Farnaz: Mature-aged JobSeeker</w:t>
      </w:r>
      <w:r w:rsidRPr="000B5710">
        <w:rPr>
          <w:noProof/>
        </w:rPr>
        <w:tab/>
      </w:r>
      <w:r w:rsidRPr="000B5710">
        <w:rPr>
          <w:noProof/>
        </w:rPr>
        <w:fldChar w:fldCharType="begin"/>
      </w:r>
      <w:r w:rsidRPr="000B5710">
        <w:rPr>
          <w:noProof/>
        </w:rPr>
        <w:instrText xml:space="preserve"> PAGEREF _Toc165366885 \h </w:instrText>
      </w:r>
      <w:r w:rsidRPr="000B5710">
        <w:rPr>
          <w:noProof/>
        </w:rPr>
      </w:r>
      <w:r w:rsidRPr="000B5710">
        <w:rPr>
          <w:noProof/>
        </w:rPr>
        <w:fldChar w:fldCharType="separate"/>
      </w:r>
      <w:r w:rsidRPr="000B5710">
        <w:rPr>
          <w:noProof/>
        </w:rPr>
        <w:t>102</w:t>
      </w:r>
      <w:r w:rsidRPr="000B5710">
        <w:rPr>
          <w:noProof/>
        </w:rPr>
        <w:fldChar w:fldCharType="end"/>
      </w:r>
    </w:p>
    <w:p w14:paraId="67F1B4FD" w14:textId="79E2F449"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6:  The culture, purpose and intent of the social security system</w:t>
      </w:r>
      <w:r w:rsidRPr="000B5710">
        <w:rPr>
          <w:noProof/>
        </w:rPr>
        <w:tab/>
      </w:r>
      <w:r w:rsidRPr="000B5710">
        <w:rPr>
          <w:noProof/>
        </w:rPr>
        <w:fldChar w:fldCharType="begin"/>
      </w:r>
      <w:r w:rsidRPr="000B5710">
        <w:rPr>
          <w:noProof/>
        </w:rPr>
        <w:instrText xml:space="preserve"> PAGEREF _Toc165366886 \h </w:instrText>
      </w:r>
      <w:r w:rsidRPr="000B5710">
        <w:rPr>
          <w:noProof/>
        </w:rPr>
      </w:r>
      <w:r w:rsidRPr="000B5710">
        <w:rPr>
          <w:noProof/>
        </w:rPr>
        <w:fldChar w:fldCharType="separate"/>
      </w:r>
      <w:r w:rsidRPr="000B5710">
        <w:rPr>
          <w:noProof/>
        </w:rPr>
        <w:t>104</w:t>
      </w:r>
      <w:r w:rsidRPr="000B5710">
        <w:rPr>
          <w:noProof/>
        </w:rPr>
        <w:fldChar w:fldCharType="end"/>
      </w:r>
    </w:p>
    <w:p w14:paraId="3EB94C51" w14:textId="4F5BCC5D" w:rsidR="000B5710" w:rsidRPr="000B5710" w:rsidRDefault="000B5710">
      <w:pPr>
        <w:pStyle w:val="TOC2"/>
        <w:tabs>
          <w:tab w:val="right" w:pos="9016"/>
        </w:tabs>
        <w:rPr>
          <w:rFonts w:eastAsiaTheme="minorEastAsia"/>
          <w:i w:val="0"/>
          <w:iCs w:val="0"/>
          <w:noProof/>
          <w:sz w:val="24"/>
          <w:szCs w:val="24"/>
          <w:lang w:eastAsia="en-GB"/>
        </w:rPr>
      </w:pPr>
      <w:r w:rsidRPr="000B5710">
        <w:rPr>
          <w:noProof/>
        </w:rPr>
        <w:t>6.1 Introduction</w:t>
      </w:r>
      <w:r w:rsidRPr="000B5710">
        <w:rPr>
          <w:noProof/>
        </w:rPr>
        <w:tab/>
      </w:r>
      <w:r w:rsidRPr="000B5710">
        <w:rPr>
          <w:noProof/>
        </w:rPr>
        <w:fldChar w:fldCharType="begin"/>
      </w:r>
      <w:r w:rsidRPr="000B5710">
        <w:rPr>
          <w:noProof/>
        </w:rPr>
        <w:instrText xml:space="preserve"> PAGEREF _Toc165366887 \h </w:instrText>
      </w:r>
      <w:r w:rsidRPr="000B5710">
        <w:rPr>
          <w:noProof/>
        </w:rPr>
      </w:r>
      <w:r w:rsidRPr="000B5710">
        <w:rPr>
          <w:noProof/>
        </w:rPr>
        <w:fldChar w:fldCharType="separate"/>
      </w:r>
      <w:r w:rsidRPr="000B5710">
        <w:rPr>
          <w:noProof/>
        </w:rPr>
        <w:t>105</w:t>
      </w:r>
      <w:r w:rsidRPr="000B5710">
        <w:rPr>
          <w:noProof/>
        </w:rPr>
        <w:fldChar w:fldCharType="end"/>
      </w:r>
    </w:p>
    <w:p w14:paraId="65B1834F" w14:textId="2A41549F" w:rsidR="000B5710" w:rsidRPr="000B5710" w:rsidRDefault="000B5710">
      <w:pPr>
        <w:pStyle w:val="TOC2"/>
        <w:tabs>
          <w:tab w:val="right" w:pos="9016"/>
        </w:tabs>
        <w:rPr>
          <w:rFonts w:eastAsiaTheme="minorEastAsia"/>
          <w:i w:val="0"/>
          <w:iCs w:val="0"/>
          <w:noProof/>
          <w:sz w:val="24"/>
          <w:szCs w:val="24"/>
          <w:lang w:eastAsia="en-GB"/>
        </w:rPr>
      </w:pPr>
      <w:r w:rsidRPr="000B5710">
        <w:rPr>
          <w:noProof/>
        </w:rPr>
        <w:t>6.2 Setting a new purpose for the social security system – to support economic inclusion and wellbeing</w:t>
      </w:r>
      <w:r w:rsidRPr="000B5710">
        <w:rPr>
          <w:noProof/>
        </w:rPr>
        <w:tab/>
      </w:r>
      <w:r w:rsidRPr="000B5710">
        <w:rPr>
          <w:noProof/>
        </w:rPr>
        <w:fldChar w:fldCharType="begin"/>
      </w:r>
      <w:r w:rsidRPr="000B5710">
        <w:rPr>
          <w:noProof/>
        </w:rPr>
        <w:instrText xml:space="preserve"> PAGEREF _Toc165366888 \h </w:instrText>
      </w:r>
      <w:r w:rsidRPr="000B5710">
        <w:rPr>
          <w:noProof/>
        </w:rPr>
      </w:r>
      <w:r w:rsidRPr="000B5710">
        <w:rPr>
          <w:noProof/>
        </w:rPr>
        <w:fldChar w:fldCharType="separate"/>
      </w:r>
      <w:r w:rsidRPr="000B5710">
        <w:rPr>
          <w:noProof/>
        </w:rPr>
        <w:t>107</w:t>
      </w:r>
      <w:r w:rsidRPr="000B5710">
        <w:rPr>
          <w:noProof/>
        </w:rPr>
        <w:fldChar w:fldCharType="end"/>
      </w:r>
    </w:p>
    <w:p w14:paraId="66075D44" w14:textId="2DC1AD5C" w:rsidR="000B5710" w:rsidRPr="000B5710" w:rsidRDefault="000B5710">
      <w:pPr>
        <w:pStyle w:val="TOC2"/>
        <w:tabs>
          <w:tab w:val="right" w:pos="9016"/>
        </w:tabs>
        <w:rPr>
          <w:rFonts w:eastAsiaTheme="minorEastAsia"/>
          <w:i w:val="0"/>
          <w:iCs w:val="0"/>
          <w:noProof/>
          <w:sz w:val="24"/>
          <w:szCs w:val="24"/>
          <w:lang w:eastAsia="en-GB"/>
        </w:rPr>
      </w:pPr>
      <w:r w:rsidRPr="000B5710">
        <w:rPr>
          <w:noProof/>
        </w:rPr>
        <w:t>6.3 Acknowledging that the social security system is for all of us</w:t>
      </w:r>
      <w:r w:rsidRPr="000B5710">
        <w:rPr>
          <w:noProof/>
        </w:rPr>
        <w:tab/>
      </w:r>
      <w:r w:rsidRPr="000B5710">
        <w:rPr>
          <w:noProof/>
        </w:rPr>
        <w:fldChar w:fldCharType="begin"/>
      </w:r>
      <w:r w:rsidRPr="000B5710">
        <w:rPr>
          <w:noProof/>
        </w:rPr>
        <w:instrText xml:space="preserve"> PAGEREF _Toc165366889 \h </w:instrText>
      </w:r>
      <w:r w:rsidRPr="000B5710">
        <w:rPr>
          <w:noProof/>
        </w:rPr>
      </w:r>
      <w:r w:rsidRPr="000B5710">
        <w:rPr>
          <w:noProof/>
        </w:rPr>
        <w:fldChar w:fldCharType="separate"/>
      </w:r>
      <w:r w:rsidRPr="000B5710">
        <w:rPr>
          <w:noProof/>
        </w:rPr>
        <w:t>108</w:t>
      </w:r>
      <w:r w:rsidRPr="000B5710">
        <w:rPr>
          <w:noProof/>
        </w:rPr>
        <w:fldChar w:fldCharType="end"/>
      </w:r>
    </w:p>
    <w:p w14:paraId="4391E54D" w14:textId="26097650" w:rsidR="000B5710" w:rsidRPr="000B5710" w:rsidRDefault="000B5710">
      <w:pPr>
        <w:pStyle w:val="TOC2"/>
        <w:tabs>
          <w:tab w:val="right" w:pos="9016"/>
        </w:tabs>
        <w:rPr>
          <w:rFonts w:eastAsiaTheme="minorEastAsia"/>
          <w:i w:val="0"/>
          <w:iCs w:val="0"/>
          <w:noProof/>
          <w:sz w:val="24"/>
          <w:szCs w:val="24"/>
          <w:lang w:eastAsia="en-GB"/>
        </w:rPr>
      </w:pPr>
      <w:r w:rsidRPr="000B5710">
        <w:rPr>
          <w:noProof/>
        </w:rPr>
        <w:t>6.4 New guiding principles to renew the social security system</w:t>
      </w:r>
      <w:r w:rsidRPr="000B5710">
        <w:rPr>
          <w:noProof/>
        </w:rPr>
        <w:tab/>
      </w:r>
      <w:r w:rsidRPr="000B5710">
        <w:rPr>
          <w:noProof/>
        </w:rPr>
        <w:fldChar w:fldCharType="begin"/>
      </w:r>
      <w:r w:rsidRPr="000B5710">
        <w:rPr>
          <w:noProof/>
        </w:rPr>
        <w:instrText xml:space="preserve"> PAGEREF _Toc165366890 \h </w:instrText>
      </w:r>
      <w:r w:rsidRPr="000B5710">
        <w:rPr>
          <w:noProof/>
        </w:rPr>
      </w:r>
      <w:r w:rsidRPr="000B5710">
        <w:rPr>
          <w:noProof/>
        </w:rPr>
        <w:fldChar w:fldCharType="separate"/>
      </w:r>
      <w:r w:rsidRPr="000B5710">
        <w:rPr>
          <w:noProof/>
        </w:rPr>
        <w:t>112</w:t>
      </w:r>
      <w:r w:rsidRPr="000B5710">
        <w:rPr>
          <w:noProof/>
        </w:rPr>
        <w:fldChar w:fldCharType="end"/>
      </w:r>
    </w:p>
    <w:p w14:paraId="4F168E84" w14:textId="5AB7C567" w:rsidR="000B5710" w:rsidRPr="000B5710" w:rsidRDefault="000B5710">
      <w:pPr>
        <w:pStyle w:val="TOC2"/>
        <w:tabs>
          <w:tab w:val="right" w:pos="9016"/>
        </w:tabs>
        <w:rPr>
          <w:rFonts w:eastAsiaTheme="minorEastAsia"/>
          <w:i w:val="0"/>
          <w:iCs w:val="0"/>
          <w:noProof/>
          <w:sz w:val="24"/>
          <w:szCs w:val="24"/>
          <w:lang w:eastAsia="en-GB"/>
        </w:rPr>
      </w:pPr>
      <w:r w:rsidRPr="000B5710">
        <w:rPr>
          <w:noProof/>
        </w:rPr>
        <w:t>6.5 Conclusion</w:t>
      </w:r>
      <w:r w:rsidRPr="000B5710">
        <w:rPr>
          <w:noProof/>
        </w:rPr>
        <w:tab/>
      </w:r>
      <w:r w:rsidRPr="000B5710">
        <w:rPr>
          <w:noProof/>
        </w:rPr>
        <w:fldChar w:fldCharType="begin"/>
      </w:r>
      <w:r w:rsidRPr="000B5710">
        <w:rPr>
          <w:noProof/>
        </w:rPr>
        <w:instrText xml:space="preserve"> PAGEREF _Toc165366891 \h </w:instrText>
      </w:r>
      <w:r w:rsidRPr="000B5710">
        <w:rPr>
          <w:noProof/>
        </w:rPr>
      </w:r>
      <w:r w:rsidRPr="000B5710">
        <w:rPr>
          <w:noProof/>
        </w:rPr>
        <w:fldChar w:fldCharType="separate"/>
      </w:r>
      <w:r w:rsidRPr="000B5710">
        <w:rPr>
          <w:noProof/>
        </w:rPr>
        <w:t>123</w:t>
      </w:r>
      <w:r w:rsidRPr="000B5710">
        <w:rPr>
          <w:noProof/>
        </w:rPr>
        <w:fldChar w:fldCharType="end"/>
      </w:r>
    </w:p>
    <w:p w14:paraId="2F664C19" w14:textId="6E0454CF" w:rsidR="000B5710" w:rsidRPr="000B5710" w:rsidRDefault="000B5710">
      <w:pPr>
        <w:pStyle w:val="TOC1"/>
        <w:tabs>
          <w:tab w:val="right" w:pos="9016"/>
        </w:tabs>
        <w:rPr>
          <w:rFonts w:eastAsiaTheme="minorEastAsia"/>
          <w:b w:val="0"/>
          <w:bCs w:val="0"/>
          <w:noProof/>
          <w:sz w:val="24"/>
          <w:szCs w:val="24"/>
          <w:lang w:eastAsia="en-GB"/>
        </w:rPr>
      </w:pPr>
      <w:r w:rsidRPr="000B5710">
        <w:rPr>
          <w:noProof/>
        </w:rPr>
        <w:t>Chapter 7:  Assessing Government responses to the 2023 report</w:t>
      </w:r>
      <w:r w:rsidRPr="000B5710">
        <w:rPr>
          <w:noProof/>
        </w:rPr>
        <w:tab/>
      </w:r>
      <w:r w:rsidRPr="000B5710">
        <w:rPr>
          <w:noProof/>
        </w:rPr>
        <w:fldChar w:fldCharType="begin"/>
      </w:r>
      <w:r w:rsidRPr="000B5710">
        <w:rPr>
          <w:noProof/>
        </w:rPr>
        <w:instrText xml:space="preserve"> PAGEREF _Toc165366892 \h </w:instrText>
      </w:r>
      <w:r w:rsidRPr="000B5710">
        <w:rPr>
          <w:noProof/>
        </w:rPr>
      </w:r>
      <w:r w:rsidRPr="000B5710">
        <w:rPr>
          <w:noProof/>
        </w:rPr>
        <w:fldChar w:fldCharType="separate"/>
      </w:r>
      <w:r w:rsidRPr="000B5710">
        <w:rPr>
          <w:noProof/>
        </w:rPr>
        <w:t>124</w:t>
      </w:r>
      <w:r w:rsidRPr="000B5710">
        <w:rPr>
          <w:noProof/>
        </w:rPr>
        <w:fldChar w:fldCharType="end"/>
      </w:r>
    </w:p>
    <w:p w14:paraId="02823560" w14:textId="1C3A506A"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A - List of members</w:t>
      </w:r>
      <w:r w:rsidRPr="000B5710">
        <w:rPr>
          <w:noProof/>
        </w:rPr>
        <w:tab/>
      </w:r>
      <w:r w:rsidRPr="000B5710">
        <w:rPr>
          <w:noProof/>
        </w:rPr>
        <w:fldChar w:fldCharType="begin"/>
      </w:r>
      <w:r w:rsidRPr="000B5710">
        <w:rPr>
          <w:noProof/>
        </w:rPr>
        <w:instrText xml:space="preserve"> PAGEREF _Toc165366893 \h </w:instrText>
      </w:r>
      <w:r w:rsidRPr="000B5710">
        <w:rPr>
          <w:noProof/>
        </w:rPr>
      </w:r>
      <w:r w:rsidRPr="000B5710">
        <w:rPr>
          <w:noProof/>
        </w:rPr>
        <w:fldChar w:fldCharType="separate"/>
      </w:r>
      <w:r w:rsidRPr="000B5710">
        <w:rPr>
          <w:noProof/>
        </w:rPr>
        <w:t>140</w:t>
      </w:r>
      <w:r w:rsidRPr="000B5710">
        <w:rPr>
          <w:noProof/>
        </w:rPr>
        <w:fldChar w:fldCharType="end"/>
      </w:r>
    </w:p>
    <w:p w14:paraId="584652A1" w14:textId="0E6BC8C7"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B - Economic Inclusion Advisory Committee Act 2023</w:t>
      </w:r>
      <w:r w:rsidRPr="000B5710">
        <w:rPr>
          <w:noProof/>
        </w:rPr>
        <w:tab/>
      </w:r>
      <w:r w:rsidRPr="000B5710">
        <w:rPr>
          <w:noProof/>
        </w:rPr>
        <w:fldChar w:fldCharType="begin"/>
      </w:r>
      <w:r w:rsidRPr="000B5710">
        <w:rPr>
          <w:noProof/>
        </w:rPr>
        <w:instrText xml:space="preserve"> PAGEREF _Toc165366894 \h </w:instrText>
      </w:r>
      <w:r w:rsidRPr="000B5710">
        <w:rPr>
          <w:noProof/>
        </w:rPr>
      </w:r>
      <w:r w:rsidRPr="000B5710">
        <w:rPr>
          <w:noProof/>
        </w:rPr>
        <w:fldChar w:fldCharType="separate"/>
      </w:r>
      <w:r w:rsidRPr="000B5710">
        <w:rPr>
          <w:noProof/>
        </w:rPr>
        <w:t>140</w:t>
      </w:r>
      <w:r w:rsidRPr="000B5710">
        <w:rPr>
          <w:noProof/>
        </w:rPr>
        <w:fldChar w:fldCharType="end"/>
      </w:r>
    </w:p>
    <w:p w14:paraId="1CDCD185" w14:textId="78D491A7" w:rsidR="000B5710" w:rsidRPr="000B5710" w:rsidRDefault="000B5710">
      <w:pPr>
        <w:pStyle w:val="TOC2"/>
        <w:tabs>
          <w:tab w:val="right" w:pos="9016"/>
        </w:tabs>
        <w:rPr>
          <w:rFonts w:eastAsiaTheme="minorEastAsia"/>
          <w:i w:val="0"/>
          <w:iCs w:val="0"/>
          <w:noProof/>
          <w:sz w:val="24"/>
          <w:szCs w:val="24"/>
          <w:lang w:eastAsia="en-GB"/>
        </w:rPr>
      </w:pPr>
      <w:r w:rsidRPr="000B5710">
        <w:rPr>
          <w:noProof/>
          <w:lang w:val="en-US"/>
        </w:rPr>
        <w:t>Appendix C - Additional data for Economic Inclusion Framework</w:t>
      </w:r>
      <w:r w:rsidRPr="000B5710">
        <w:rPr>
          <w:noProof/>
        </w:rPr>
        <w:tab/>
      </w:r>
      <w:r w:rsidRPr="000B5710">
        <w:rPr>
          <w:noProof/>
        </w:rPr>
        <w:fldChar w:fldCharType="begin"/>
      </w:r>
      <w:r w:rsidRPr="000B5710">
        <w:rPr>
          <w:noProof/>
        </w:rPr>
        <w:instrText xml:space="preserve"> PAGEREF _Toc165366895 \h </w:instrText>
      </w:r>
      <w:r w:rsidRPr="000B5710">
        <w:rPr>
          <w:noProof/>
        </w:rPr>
      </w:r>
      <w:r w:rsidRPr="000B5710">
        <w:rPr>
          <w:noProof/>
        </w:rPr>
        <w:fldChar w:fldCharType="separate"/>
      </w:r>
      <w:r w:rsidRPr="000B5710">
        <w:rPr>
          <w:noProof/>
        </w:rPr>
        <w:t>140</w:t>
      </w:r>
      <w:r w:rsidRPr="000B5710">
        <w:rPr>
          <w:noProof/>
        </w:rPr>
        <w:fldChar w:fldCharType="end"/>
      </w:r>
    </w:p>
    <w:p w14:paraId="5E5E9C6D" w14:textId="165E2954" w:rsidR="000B5710" w:rsidRPr="000B5710" w:rsidRDefault="000B5710">
      <w:pPr>
        <w:pStyle w:val="TOC2"/>
        <w:tabs>
          <w:tab w:val="right" w:pos="9016"/>
        </w:tabs>
        <w:rPr>
          <w:rFonts w:eastAsiaTheme="minorEastAsia"/>
          <w:i w:val="0"/>
          <w:iCs w:val="0"/>
          <w:noProof/>
          <w:sz w:val="24"/>
          <w:szCs w:val="24"/>
          <w:lang w:eastAsia="en-GB"/>
        </w:rPr>
      </w:pPr>
      <w:r w:rsidRPr="000B5710">
        <w:rPr>
          <w:noProof/>
        </w:rPr>
        <w:t>Appendix D - Aboriginal and Torres Strait Islander Housing Review</w:t>
      </w:r>
      <w:r w:rsidRPr="000B5710">
        <w:rPr>
          <w:noProof/>
        </w:rPr>
        <w:tab/>
      </w:r>
      <w:r w:rsidRPr="000B5710">
        <w:rPr>
          <w:noProof/>
        </w:rPr>
        <w:fldChar w:fldCharType="begin"/>
      </w:r>
      <w:r w:rsidRPr="000B5710">
        <w:rPr>
          <w:noProof/>
        </w:rPr>
        <w:instrText xml:space="preserve"> PAGEREF _Toc165366896 \h </w:instrText>
      </w:r>
      <w:r w:rsidRPr="000B5710">
        <w:rPr>
          <w:noProof/>
        </w:rPr>
      </w:r>
      <w:r w:rsidRPr="000B5710">
        <w:rPr>
          <w:noProof/>
        </w:rPr>
        <w:fldChar w:fldCharType="separate"/>
      </w:r>
      <w:r w:rsidRPr="000B5710">
        <w:rPr>
          <w:noProof/>
        </w:rPr>
        <w:t>141</w:t>
      </w:r>
      <w:r w:rsidRPr="000B5710">
        <w:rPr>
          <w:noProof/>
        </w:rPr>
        <w:fldChar w:fldCharType="end"/>
      </w:r>
    </w:p>
    <w:p w14:paraId="7C4ED205" w14:textId="6EA3FBE1" w:rsidR="00155761" w:rsidRPr="000B5710" w:rsidRDefault="000B5710" w:rsidP="00155761">
      <w:r w:rsidRPr="000B5710">
        <w:rPr>
          <w:rFonts w:asciiTheme="minorHAnsi" w:hAnsiTheme="minorHAnsi"/>
          <w:b/>
          <w:bCs/>
          <w:sz w:val="20"/>
          <w:szCs w:val="20"/>
        </w:rPr>
        <w:fldChar w:fldCharType="end"/>
      </w:r>
    </w:p>
    <w:p w14:paraId="1F9BBA73" w14:textId="77777777" w:rsidR="004125C3" w:rsidRDefault="004125C3">
      <w:pPr>
        <w:spacing w:after="0"/>
        <w:sectPr w:rsidR="004125C3" w:rsidSect="0039440B">
          <w:headerReference w:type="default" r:id="rId9"/>
          <w:footerReference w:type="even" r:id="rId10"/>
          <w:footerReference w:type="default" r:id="rId11"/>
          <w:footerReference w:type="first" r:id="rId12"/>
          <w:pgSz w:w="11906" w:h="16838"/>
          <w:pgMar w:top="1440" w:right="1440" w:bottom="1440" w:left="1440" w:header="709" w:footer="708" w:gutter="0"/>
          <w:cols w:space="708"/>
          <w:titlePg/>
          <w:docGrid w:linePitch="360"/>
        </w:sectPr>
      </w:pPr>
    </w:p>
    <w:p w14:paraId="2F1416E8" w14:textId="624ECF6D" w:rsidR="00155761" w:rsidRPr="000B6F5A" w:rsidRDefault="00155761" w:rsidP="000B6F5A">
      <w:pPr>
        <w:pStyle w:val="Heading5"/>
        <w:rPr>
          <w:rStyle w:val="NavyDarkColour"/>
          <w:color w:val="0E2841" w:themeColor="text2"/>
        </w:rPr>
      </w:pPr>
      <w:r w:rsidRPr="000B6F5A">
        <w:rPr>
          <w:rStyle w:val="NavyDarkColour"/>
          <w:color w:val="0E2841" w:themeColor="text2"/>
        </w:rPr>
        <w:lastRenderedPageBreak/>
        <w:t>The Economic Inclusion Advisory Committee acknowledges the traditional owners of country throughout Australia, and their continuing connection to land, water and community. We pay our respects to them and their cultures, and to Elders both past and present.</w:t>
      </w:r>
    </w:p>
    <w:p w14:paraId="1A98A7E9" w14:textId="77777777" w:rsidR="006D7E2B" w:rsidRDefault="006D7E2B">
      <w:pPr>
        <w:spacing w:after="0"/>
        <w:sectPr w:rsidR="006D7E2B" w:rsidSect="0039440B">
          <w:headerReference w:type="first" r:id="rId13"/>
          <w:pgSz w:w="11906" w:h="16838"/>
          <w:pgMar w:top="1440" w:right="1440" w:bottom="1440" w:left="1440" w:header="708" w:footer="708" w:gutter="0"/>
          <w:cols w:space="708"/>
          <w:titlePg/>
          <w:docGrid w:linePitch="360"/>
        </w:sectPr>
      </w:pPr>
    </w:p>
    <w:p w14:paraId="6BD11B16" w14:textId="32A038D5" w:rsidR="00155761" w:rsidRPr="00155761" w:rsidRDefault="00155761" w:rsidP="00155761">
      <w:pPr>
        <w:pStyle w:val="Heading1"/>
      </w:pPr>
      <w:bookmarkStart w:id="0" w:name="_Toc165366840"/>
      <w:r w:rsidRPr="00155761">
        <w:lastRenderedPageBreak/>
        <w:t>Abbreviations</w:t>
      </w:r>
      <w:bookmarkEnd w:id="0"/>
    </w:p>
    <w:p w14:paraId="71618452" w14:textId="77777777" w:rsidR="00155761" w:rsidRDefault="00155761" w:rsidP="00155761">
      <w:pPr>
        <w:rPr>
          <w:rStyle w:val="BasicSansBold"/>
        </w:rPr>
      </w:pPr>
    </w:p>
    <w:p w14:paraId="5B5DE816" w14:textId="61A42663" w:rsidR="00155761" w:rsidRDefault="00155761" w:rsidP="00155761">
      <w:r>
        <w:rPr>
          <w:rStyle w:val="BasicSansBold"/>
        </w:rPr>
        <w:t>ABS</w:t>
      </w:r>
      <w:r>
        <w:br/>
        <w:t>Australian Bureau of Statistics</w:t>
      </w:r>
    </w:p>
    <w:p w14:paraId="3C9D7E04" w14:textId="77777777" w:rsidR="00155761" w:rsidRDefault="00155761" w:rsidP="00155761">
      <w:r>
        <w:rPr>
          <w:rStyle w:val="BasicSansBold"/>
        </w:rPr>
        <w:t>ACCC</w:t>
      </w:r>
      <w:r>
        <w:br/>
        <w:t>Australian Competition and Consumer Commission</w:t>
      </w:r>
    </w:p>
    <w:p w14:paraId="00F83A1F" w14:textId="77777777" w:rsidR="00155761" w:rsidRDefault="00155761" w:rsidP="00155761">
      <w:r>
        <w:rPr>
          <w:rStyle w:val="BasicSansBold"/>
        </w:rPr>
        <w:t>CHINS</w:t>
      </w:r>
      <w:r>
        <w:br/>
        <w:t>Community Housing Infrastructure Needs</w:t>
      </w:r>
    </w:p>
    <w:p w14:paraId="4DDA627F" w14:textId="77777777" w:rsidR="00155761" w:rsidRDefault="00155761" w:rsidP="00155761">
      <w:r>
        <w:rPr>
          <w:rStyle w:val="BasicSansBold"/>
        </w:rPr>
        <w:t>CPI</w:t>
      </w:r>
      <w:r>
        <w:br/>
        <w:t>Consumer Price Index</w:t>
      </w:r>
    </w:p>
    <w:p w14:paraId="4E01748F" w14:textId="77777777" w:rsidR="00155761" w:rsidRDefault="00155761" w:rsidP="00155761">
      <w:r>
        <w:rPr>
          <w:rStyle w:val="BasicSansBold"/>
        </w:rPr>
        <w:t>CRA</w:t>
      </w:r>
      <w:r>
        <w:br/>
        <w:t>Commonwealth Rent Assistance</w:t>
      </w:r>
    </w:p>
    <w:p w14:paraId="28E16FC3" w14:textId="77777777" w:rsidR="00155761" w:rsidRDefault="00155761" w:rsidP="00155761">
      <w:r>
        <w:rPr>
          <w:rStyle w:val="BasicSansBold"/>
        </w:rPr>
        <w:t>DSS</w:t>
      </w:r>
      <w:r>
        <w:br/>
        <w:t>Department of Social Services</w:t>
      </w:r>
    </w:p>
    <w:p w14:paraId="6B894F33" w14:textId="77777777" w:rsidR="00155761" w:rsidRDefault="00155761" w:rsidP="00155761">
      <w:r>
        <w:rPr>
          <w:rStyle w:val="BasicSansBold"/>
        </w:rPr>
        <w:t>ECEC</w:t>
      </w:r>
      <w:r>
        <w:br/>
        <w:t>Early Childhood Education and Care</w:t>
      </w:r>
    </w:p>
    <w:p w14:paraId="0DB03CAF" w14:textId="77777777" w:rsidR="00155761" w:rsidRDefault="00155761" w:rsidP="00155761">
      <w:r>
        <w:rPr>
          <w:rStyle w:val="BasicSansBold"/>
        </w:rPr>
        <w:t>EDHI</w:t>
      </w:r>
      <w:r>
        <w:br/>
        <w:t>Equivalised Disposable Household Income</w:t>
      </w:r>
    </w:p>
    <w:p w14:paraId="3D14C14B" w14:textId="77777777" w:rsidR="00155761" w:rsidRDefault="00155761" w:rsidP="00155761">
      <w:r>
        <w:rPr>
          <w:rStyle w:val="BasicSansBold"/>
        </w:rPr>
        <w:t>FTB</w:t>
      </w:r>
      <w:r>
        <w:br/>
        <w:t>Family Tax Benefit</w:t>
      </w:r>
    </w:p>
    <w:p w14:paraId="60482B2B" w14:textId="77777777" w:rsidR="00155761" w:rsidRDefault="00155761" w:rsidP="00155761">
      <w:r>
        <w:rPr>
          <w:rStyle w:val="BasicSansBold"/>
        </w:rPr>
        <w:t>FTB Part A</w:t>
      </w:r>
      <w:r>
        <w:br/>
        <w:t>Family Tax Benefit Part A</w:t>
      </w:r>
    </w:p>
    <w:p w14:paraId="4BACF10E" w14:textId="77777777" w:rsidR="00155761" w:rsidRDefault="00155761" w:rsidP="00155761">
      <w:r>
        <w:rPr>
          <w:rStyle w:val="BasicSansBold"/>
        </w:rPr>
        <w:t>FTB Part B</w:t>
      </w:r>
      <w:r>
        <w:br/>
        <w:t>Family Tax Benefit Part B</w:t>
      </w:r>
    </w:p>
    <w:p w14:paraId="44A87729" w14:textId="77777777" w:rsidR="00155761" w:rsidRDefault="00155761" w:rsidP="00155761">
      <w:r>
        <w:rPr>
          <w:rStyle w:val="BasicSansBold"/>
        </w:rPr>
        <w:t>HILDA</w:t>
      </w:r>
      <w:r>
        <w:br/>
        <w:t>Household, Income and Labour Dynamics in Australia</w:t>
      </w:r>
    </w:p>
    <w:p w14:paraId="0DF027E7" w14:textId="77777777" w:rsidR="00155761" w:rsidRDefault="00155761" w:rsidP="00155761">
      <w:r>
        <w:rPr>
          <w:rStyle w:val="BasicSansBold"/>
        </w:rPr>
        <w:t>IGR</w:t>
      </w:r>
      <w:r>
        <w:br/>
        <w:t>Intergenerational Report</w:t>
      </w:r>
    </w:p>
    <w:p w14:paraId="513791BF" w14:textId="77777777" w:rsidR="00155761" w:rsidRDefault="00155761" w:rsidP="00155761">
      <w:r>
        <w:rPr>
          <w:rStyle w:val="BasicSansBold"/>
        </w:rPr>
        <w:t>LAWP</w:t>
      </w:r>
      <w:r>
        <w:br/>
        <w:t>Liquid Assets Waiting Period</w:t>
      </w:r>
    </w:p>
    <w:p w14:paraId="5BDF3B81" w14:textId="77777777" w:rsidR="00155761" w:rsidRDefault="00155761" w:rsidP="00155761">
      <w:r>
        <w:rPr>
          <w:rStyle w:val="BasicSansBold"/>
        </w:rPr>
        <w:t>MIT</w:t>
      </w:r>
      <w:r>
        <w:br/>
        <w:t>Maintenance Income Test</w:t>
      </w:r>
    </w:p>
    <w:p w14:paraId="1DFAAC04" w14:textId="77777777" w:rsidR="00155761" w:rsidRDefault="00155761" w:rsidP="00155761">
      <w:r>
        <w:rPr>
          <w:rStyle w:val="BasicSansBold"/>
        </w:rPr>
        <w:t>MTAWE</w:t>
      </w:r>
      <w:r>
        <w:br/>
        <w:t>Male Total Average Weekly Earnings</w:t>
      </w:r>
    </w:p>
    <w:p w14:paraId="34A5DB5D" w14:textId="77777777" w:rsidR="00155761" w:rsidRDefault="00155761" w:rsidP="00155761">
      <w:r>
        <w:rPr>
          <w:rStyle w:val="BasicSansBold"/>
        </w:rPr>
        <w:t>NACCHO</w:t>
      </w:r>
      <w:r>
        <w:br/>
        <w:t xml:space="preserve">National Aboriginal Community Controlled Health Organisation </w:t>
      </w:r>
    </w:p>
    <w:p w14:paraId="59DD4451" w14:textId="77777777" w:rsidR="00155761" w:rsidRDefault="00155761" w:rsidP="00155761">
      <w:r>
        <w:rPr>
          <w:rStyle w:val="BasicSansBold"/>
        </w:rPr>
        <w:t>NATISHA</w:t>
      </w:r>
      <w:r>
        <w:br/>
        <w:t>National Aboriginal and Torres Strait Islander Housing Association</w:t>
      </w:r>
    </w:p>
    <w:p w14:paraId="1892C6D9" w14:textId="77777777" w:rsidR="00155761" w:rsidRDefault="00155761" w:rsidP="00155761">
      <w:r>
        <w:rPr>
          <w:rStyle w:val="BasicSansBold"/>
        </w:rPr>
        <w:t>NDIS</w:t>
      </w:r>
      <w:r>
        <w:br/>
        <w:t>National Disability Insurance Scheme</w:t>
      </w:r>
    </w:p>
    <w:p w14:paraId="51E32A21" w14:textId="77777777" w:rsidR="00155761" w:rsidRDefault="00155761" w:rsidP="00155761">
      <w:r>
        <w:rPr>
          <w:rStyle w:val="BasicSansBold"/>
        </w:rPr>
        <w:lastRenderedPageBreak/>
        <w:t>NHHA</w:t>
      </w:r>
      <w:r>
        <w:br/>
        <w:t>National Housing and Homelessness Agreement</w:t>
      </w:r>
    </w:p>
    <w:p w14:paraId="12D40FC7" w14:textId="77777777" w:rsidR="00155761" w:rsidRDefault="00155761" w:rsidP="00155761">
      <w:r>
        <w:rPr>
          <w:rStyle w:val="BasicSansBold"/>
        </w:rPr>
        <w:t>NIAA</w:t>
      </w:r>
      <w:r>
        <w:br/>
        <w:t>National Indigenous Australians Agency</w:t>
      </w:r>
    </w:p>
    <w:p w14:paraId="6C6E0C53" w14:textId="77777777" w:rsidR="00155761" w:rsidRDefault="00155761" w:rsidP="00155761">
      <w:r>
        <w:rPr>
          <w:rStyle w:val="BasicSansBold"/>
        </w:rPr>
        <w:t>NT</w:t>
      </w:r>
      <w:r>
        <w:br/>
        <w:t>Northern Territory</w:t>
      </w:r>
    </w:p>
    <w:p w14:paraId="54DBAD7C" w14:textId="77777777" w:rsidR="00155761" w:rsidRDefault="00155761" w:rsidP="00155761">
      <w:r>
        <w:rPr>
          <w:rStyle w:val="BasicSansBold"/>
        </w:rPr>
        <w:t>NPRHNT</w:t>
      </w:r>
      <w:r>
        <w:br/>
        <w:t>National Partnership for Remote Housing Northern Territory</w:t>
      </w:r>
    </w:p>
    <w:p w14:paraId="0A9B4617" w14:textId="77777777" w:rsidR="00155761" w:rsidRDefault="00155761" w:rsidP="00155761">
      <w:r>
        <w:rPr>
          <w:rStyle w:val="BasicSansBold"/>
        </w:rPr>
        <w:t>PBLCI</w:t>
      </w:r>
      <w:r>
        <w:br/>
        <w:t>Pensioner and Beneficiary Living Cost Index</w:t>
      </w:r>
    </w:p>
    <w:p w14:paraId="01DCA43F" w14:textId="77777777" w:rsidR="00155761" w:rsidRDefault="00155761" w:rsidP="00155761">
      <w:r>
        <w:rPr>
          <w:rStyle w:val="BasicSansBold"/>
        </w:rPr>
        <w:t>RAA</w:t>
      </w:r>
      <w:r>
        <w:rPr>
          <w:rStyle w:val="BasicSansBold"/>
        </w:rPr>
        <w:br/>
      </w:r>
      <w:r>
        <w:t>Remote Area Allowance</w:t>
      </w:r>
    </w:p>
    <w:p w14:paraId="6F6D4E04" w14:textId="0895A7BB" w:rsidR="00155761" w:rsidRDefault="00155761" w:rsidP="00155761">
      <w:r>
        <w:rPr>
          <w:rStyle w:val="BasicSansBold"/>
        </w:rPr>
        <w:t>SIH</w:t>
      </w:r>
      <w:r>
        <w:br/>
        <w:t>Survey of Income and Housing (ABS)</w:t>
      </w:r>
    </w:p>
    <w:p w14:paraId="1134A18A" w14:textId="77777777" w:rsidR="0087472C" w:rsidRPr="0087472C" w:rsidRDefault="0087472C" w:rsidP="0087472C"/>
    <w:p w14:paraId="3B4BA331" w14:textId="77777777" w:rsidR="0087472C" w:rsidRPr="0087472C" w:rsidRDefault="0087472C" w:rsidP="0087472C">
      <w:r w:rsidRPr="0087472C">
        <w:t>Throughout the report, reference to ‘</w:t>
      </w:r>
      <w:r w:rsidRPr="0087472C">
        <w:rPr>
          <w:b/>
          <w:bCs/>
        </w:rPr>
        <w:t>the Government</w:t>
      </w:r>
      <w:r w:rsidRPr="0087472C">
        <w:t xml:space="preserve">’ should be taken to mean the </w:t>
      </w:r>
      <w:r w:rsidRPr="0087472C">
        <w:rPr>
          <w:b/>
          <w:bCs/>
        </w:rPr>
        <w:t>Commonwealth Government</w:t>
      </w:r>
      <w:r w:rsidRPr="0087472C">
        <w:t xml:space="preserve"> unless otherwise stated.</w:t>
      </w:r>
    </w:p>
    <w:p w14:paraId="0AD3F3C5" w14:textId="77777777" w:rsidR="00DC43EE" w:rsidRDefault="00DC43EE">
      <w:pPr>
        <w:spacing w:after="0"/>
        <w:sectPr w:rsidR="00DC43EE" w:rsidSect="0039440B">
          <w:headerReference w:type="default" r:id="rId14"/>
          <w:headerReference w:type="first" r:id="rId15"/>
          <w:pgSz w:w="11906" w:h="16838"/>
          <w:pgMar w:top="1440" w:right="1440" w:bottom="1440" w:left="1440" w:header="708" w:footer="708" w:gutter="0"/>
          <w:cols w:space="708"/>
          <w:titlePg/>
          <w:docGrid w:linePitch="360"/>
        </w:sectPr>
      </w:pPr>
    </w:p>
    <w:p w14:paraId="124E64F2" w14:textId="7534D94A" w:rsidR="0087472C" w:rsidRPr="001B1A3A" w:rsidRDefault="00262D09" w:rsidP="0087472C">
      <w:pPr>
        <w:pStyle w:val="Heading1"/>
        <w:rPr>
          <w:color w:val="F9F1E7" w:themeColor="background2"/>
        </w:rPr>
      </w:pPr>
      <w:bookmarkStart w:id="1" w:name="_Toc165366841"/>
      <w:r>
        <w:rPr>
          <w:noProof/>
        </w:rPr>
        <w:lastRenderedPageBreak/>
        <w:drawing>
          <wp:anchor distT="0" distB="0" distL="114300" distR="114300" simplePos="0" relativeHeight="251661312" behindDoc="1" locked="0" layoutInCell="1" allowOverlap="1" wp14:anchorId="11733063" wp14:editId="2041E5AD">
            <wp:simplePos x="0" y="0"/>
            <wp:positionH relativeFrom="page">
              <wp:align>left</wp:align>
            </wp:positionH>
            <wp:positionV relativeFrom="paragraph">
              <wp:posOffset>-914400</wp:posOffset>
            </wp:positionV>
            <wp:extent cx="7560310" cy="10687050"/>
            <wp:effectExtent l="0" t="0" r="2540" b="0"/>
            <wp:wrapNone/>
            <wp:docPr id="120727331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2"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87472C" w:rsidRPr="001B1A3A">
        <w:rPr>
          <w:color w:val="F9F1E7" w:themeColor="background2"/>
        </w:rPr>
        <w:t>Introduction</w:t>
      </w:r>
      <w:bookmarkEnd w:id="1"/>
    </w:p>
    <w:p w14:paraId="0E6EC2F4" w14:textId="01C171BC" w:rsidR="0087472C" w:rsidRDefault="0087472C">
      <w:pPr>
        <w:spacing w:after="0"/>
      </w:pPr>
      <w:r>
        <w:br w:type="page"/>
      </w:r>
    </w:p>
    <w:p w14:paraId="1B503CE7" w14:textId="0A1623F9" w:rsidR="0087472C" w:rsidRPr="0087472C" w:rsidRDefault="0087472C" w:rsidP="0087472C">
      <w:pPr>
        <w:pStyle w:val="Heading2"/>
      </w:pPr>
      <w:bookmarkStart w:id="2" w:name="_Toc165366842"/>
      <w:r w:rsidRPr="0087472C">
        <w:lastRenderedPageBreak/>
        <w:t>The Economic Inclusion Advisory Committee</w:t>
      </w:r>
      <w:bookmarkEnd w:id="2"/>
    </w:p>
    <w:p w14:paraId="703D24E2" w14:textId="77777777" w:rsidR="0087472C" w:rsidRPr="0087472C" w:rsidRDefault="0087472C" w:rsidP="0087472C">
      <w:r w:rsidRPr="0087472C">
        <w:t>On 8 December 2023, the Economic Inclusion Advisory Committee Act 2023 (the Act) received Royal Assent, establishing the Economic Inclusion Advisory Committee (the Committee). The Committee takes the place of the Interim Economic Inclusion Advisory Committee established in November 2022.</w:t>
      </w:r>
    </w:p>
    <w:p w14:paraId="74BCF06E" w14:textId="77777777" w:rsidR="0087472C" w:rsidRPr="0087472C" w:rsidRDefault="0087472C" w:rsidP="0087472C">
      <w:r w:rsidRPr="0087472C">
        <w:t xml:space="preserve">The Committee provides non-binding advice on boosting economic inclusion and tackling disadvantage, including policy settings, systems and structures, and the adequacy, effectiveness and sustainability of income support payments. Its advice is to be delivered ahead of every Federal Budget. </w:t>
      </w:r>
    </w:p>
    <w:p w14:paraId="0F608F3F" w14:textId="77777777" w:rsidR="0087472C" w:rsidRPr="0087472C" w:rsidRDefault="0087472C" w:rsidP="0087472C">
      <w:r w:rsidRPr="0087472C">
        <w:t xml:space="preserve">The Committee is comprised of social security and economics experts and leaders from the community sector, advocacy organisations, unions, business, and philanthropy. A list of current members of the Committee can be found in Appendix A. Legislation which provides the Terms of Reference for the Committee can be found in Appendix B. </w:t>
      </w:r>
    </w:p>
    <w:p w14:paraId="06640AEE" w14:textId="77777777" w:rsidR="0087472C" w:rsidRPr="0087472C" w:rsidRDefault="0087472C" w:rsidP="0087472C">
      <w:r w:rsidRPr="0087472C">
        <w:t>The Committee’s 2024 Report aims to assist the Government in its ongoing efforts to improve support for vulnerable people in Australia and enable wider economic and social participation. We recognise it is for the Government to determine whether to accept our advice and note the Government’s consideration and potential approval of the Committee’s recommendations must ensure the long-term sustainability of the social security system and minimise the impact on long-term debt.</w:t>
      </w:r>
    </w:p>
    <w:p w14:paraId="4703F1ED" w14:textId="77777777" w:rsidR="0087472C" w:rsidRPr="0087472C" w:rsidRDefault="0087472C" w:rsidP="0087472C">
      <w:r w:rsidRPr="0087472C">
        <w:t>In compiling this Report, the Committee held consultations with people who interact with Australia’s social security system. The Committee is grateful to those who participated in these consultations, who greatly helped to guide our advice and to improve our recommendations. We have reflected some of the experiences generously shared with us through composite and individual stories from participants, as well as the service experience of Committee members at the start of each chapter and in quotes throughout the Report. Now the Committee is permanently established, it will be possible to improve the way we consult in an ongoing way. The Committee also recommends that people with current or recent direct experience of the income support system be members of the Committee to help ensure that priorities for reform are informed by people receiving income support.</w:t>
      </w:r>
    </w:p>
    <w:p w14:paraId="7D64E40A" w14:textId="77777777" w:rsidR="0087472C" w:rsidRPr="0087472C" w:rsidRDefault="0087472C" w:rsidP="0087472C">
      <w:pPr>
        <w:pStyle w:val="Heading2"/>
      </w:pPr>
      <w:bookmarkStart w:id="3" w:name="_Toc165366843"/>
      <w:r w:rsidRPr="0087472C">
        <w:t>An Economic Inclusion Framework for Government</w:t>
      </w:r>
      <w:bookmarkEnd w:id="3"/>
    </w:p>
    <w:p w14:paraId="228D56C2" w14:textId="77777777" w:rsidR="0087472C" w:rsidRPr="0087472C" w:rsidRDefault="0087472C" w:rsidP="0087472C">
      <w:r w:rsidRPr="0087472C">
        <w:t>To inform its approach, the Committee has drafted an Economic Inclusion Framework. The Framework provides a clear definition of economic inclusion and an outline of the broad problems that need to be addressed to reduce the economic exclusion that is very real for so many Australians (see Chapter 1).</w:t>
      </w:r>
    </w:p>
    <w:p w14:paraId="2346255F" w14:textId="77777777" w:rsidR="0087472C" w:rsidRPr="0087472C" w:rsidRDefault="0087472C" w:rsidP="0087472C">
      <w:r w:rsidRPr="0087472C">
        <w:t>The Framework defines economic inclusion as ensuring that all people can participate fully in society, improve their economic wellbeing, and contribute to a stronger nation.</w:t>
      </w:r>
    </w:p>
    <w:p w14:paraId="55147FA2" w14:textId="77777777" w:rsidR="0087472C" w:rsidRPr="0087472C" w:rsidRDefault="0087472C" w:rsidP="0087472C">
      <w:r w:rsidRPr="0087472C">
        <w:t xml:space="preserve">The Framework outlines four domains to guide policy to advance economic inclusion: </w:t>
      </w:r>
    </w:p>
    <w:p w14:paraId="0E7146B1" w14:textId="77777777" w:rsidR="0087472C" w:rsidRPr="0087472C" w:rsidRDefault="0087472C" w:rsidP="0087472C">
      <w:pPr>
        <w:pStyle w:val="ListParagraph"/>
        <w:numPr>
          <w:ilvl w:val="0"/>
          <w:numId w:val="1"/>
        </w:numPr>
      </w:pPr>
      <w:r w:rsidRPr="0087472C">
        <w:t>economic security</w:t>
      </w:r>
    </w:p>
    <w:p w14:paraId="2AB1A9CD" w14:textId="77777777" w:rsidR="0087472C" w:rsidRPr="0087472C" w:rsidRDefault="0087472C" w:rsidP="0087472C">
      <w:pPr>
        <w:pStyle w:val="ListParagraph"/>
        <w:numPr>
          <w:ilvl w:val="0"/>
          <w:numId w:val="1"/>
        </w:numPr>
      </w:pPr>
      <w:r w:rsidRPr="0087472C">
        <w:t>equal opportunities</w:t>
      </w:r>
    </w:p>
    <w:p w14:paraId="7CCBEB78" w14:textId="77777777" w:rsidR="0087472C" w:rsidRPr="0087472C" w:rsidRDefault="0087472C" w:rsidP="0087472C">
      <w:pPr>
        <w:pStyle w:val="ListParagraph"/>
        <w:numPr>
          <w:ilvl w:val="0"/>
          <w:numId w:val="1"/>
        </w:numPr>
      </w:pPr>
      <w:r w:rsidRPr="0087472C">
        <w:t>growth and equal sharing of growth</w:t>
      </w:r>
    </w:p>
    <w:p w14:paraId="36155E2B" w14:textId="77777777" w:rsidR="0087472C" w:rsidRPr="0087472C" w:rsidRDefault="0087472C" w:rsidP="0087472C">
      <w:pPr>
        <w:pStyle w:val="ListParagraph"/>
        <w:numPr>
          <w:ilvl w:val="0"/>
          <w:numId w:val="1"/>
        </w:numPr>
      </w:pPr>
      <w:r w:rsidRPr="0087472C">
        <w:t>efficient and responsive governments.</w:t>
      </w:r>
    </w:p>
    <w:p w14:paraId="6CCA6FF6" w14:textId="77777777" w:rsidR="0087472C" w:rsidRPr="0087472C" w:rsidRDefault="0087472C" w:rsidP="0087472C">
      <w:r w:rsidRPr="0087472C">
        <w:t>The Committee plans to strengthen the framework and its key measures ahead of our 2025 report.</w:t>
      </w:r>
    </w:p>
    <w:p w14:paraId="2D361021" w14:textId="77777777" w:rsidR="0087472C" w:rsidRPr="0087472C" w:rsidRDefault="0087472C" w:rsidP="0087472C">
      <w:pPr>
        <w:pStyle w:val="Heading2"/>
      </w:pPr>
      <w:bookmarkStart w:id="4" w:name="_Toc165366844"/>
      <w:r w:rsidRPr="0087472C">
        <w:t>Policy priorities for 2024</w:t>
      </w:r>
      <w:bookmarkEnd w:id="4"/>
    </w:p>
    <w:p w14:paraId="0E157AB6" w14:textId="77777777" w:rsidR="0087472C" w:rsidRPr="0087472C" w:rsidRDefault="0087472C" w:rsidP="0087472C">
      <w:r w:rsidRPr="0087472C">
        <w:t xml:space="preserve">Guided by its Terms of Reference and the Act, the Committee has provided 22 recommendations to inform the Commonwealth Government of how best to improve economic inclusion and create a more equal and prosperous nation. We have had regard to </w:t>
      </w:r>
      <w:r w:rsidRPr="0087472C">
        <w:lastRenderedPageBreak/>
        <w:t>the fiscal implications of our recommendations, and their effect on workforce participation, relevant Government policies, and the long-term sustainability of the social security system.</w:t>
      </w:r>
    </w:p>
    <w:p w14:paraId="69115ED9" w14:textId="77777777" w:rsidR="0087472C" w:rsidRPr="0087472C" w:rsidRDefault="0087472C" w:rsidP="0087472C">
      <w:r w:rsidRPr="0087472C">
        <w:t>The Committee draws the Government’s attention to five priority recommendations to address the needs of the most economically excluded Australians. The priority recommendations are to:</w:t>
      </w:r>
    </w:p>
    <w:p w14:paraId="5A7096A7" w14:textId="33D650B4" w:rsidR="0087472C" w:rsidRPr="0087472C" w:rsidRDefault="0087472C" w:rsidP="0087472C">
      <w:pPr>
        <w:rPr>
          <w:b/>
          <w:bCs/>
        </w:rPr>
      </w:pPr>
      <w:r w:rsidRPr="0087472C">
        <w:rPr>
          <w:b/>
          <w:bCs/>
        </w:rPr>
        <w:t xml:space="preserve">1. Substantially increase JobSeeker and related working age payments and improve the indexation arrangements for those payments. </w:t>
      </w:r>
    </w:p>
    <w:p w14:paraId="2C506D1F" w14:textId="77777777" w:rsidR="0087472C" w:rsidRPr="0087472C" w:rsidRDefault="0087472C" w:rsidP="0087472C">
      <w:r w:rsidRPr="0087472C">
        <w:t>The current rates for the JobSeeker and related working age payments (including Youth Allowance, Austudy, ABSTUDY and Special Benefit) are too low. Despite the $40 base rate increase delivered in last year’s Federal Budget, people receiving these payments told the Committee that they regularly go without life’s essentials because they simply cannot afford them. This is in part the result of unsatisfactory indexation arrangements over many years. Without change to indexation arrangements, the living standards of recipients of these payments will continue to fall – whether measured relative to average or National Minimum Wages, pensions, or income poverty measures (see Chapter 2A).</w:t>
      </w:r>
    </w:p>
    <w:p w14:paraId="2476F9AF" w14:textId="77777777" w:rsidR="0087472C" w:rsidRPr="0087472C" w:rsidRDefault="0087472C" w:rsidP="0087472C">
      <w:r w:rsidRPr="0087472C">
        <w:t>Importantly, the Committee’s assessment is that any negative effect on incentives to work due to an increase in the Jobseeker Payment is likely to be small. For people facing economic exclusion, some literature suggests that higher income support payments may improve the capacity to search for and accept employment (see Chapter 2B).</w:t>
      </w:r>
    </w:p>
    <w:p w14:paraId="7DDBBBAD" w14:textId="239204FE" w:rsidR="0087472C" w:rsidRPr="0087472C" w:rsidRDefault="0087472C" w:rsidP="0087472C">
      <w:pPr>
        <w:rPr>
          <w:b/>
          <w:bCs/>
        </w:rPr>
      </w:pPr>
      <w:r w:rsidRPr="0087472C">
        <w:rPr>
          <w:b/>
          <w:bCs/>
        </w:rPr>
        <w:t>2. Increase the rate of Commonwealth Rent Assistance.</w:t>
      </w:r>
    </w:p>
    <w:p w14:paraId="71BBD1C9" w14:textId="77777777" w:rsidR="0087472C" w:rsidRPr="0087472C" w:rsidRDefault="0087472C" w:rsidP="0087472C">
      <w:r w:rsidRPr="0087472C">
        <w:t xml:space="preserve">Rental costs in recent decades have exceeded household incomes for lower income families and individuals. The composition of the rental market has also shifted from lower cost public housing to the higher cost private rental market. Over the past two years many renters have experienced particularly high increases in private rental costs. Continued strong rental growth in asking rents and actual rents is expected through 2024. Australians on income support payments often suffer from high rates of rental stress, with many finding their incomes heavily absorbed by rent, pushing them further into poverty or unsuitable and unsafe forms of accommodation. </w:t>
      </w:r>
    </w:p>
    <w:p w14:paraId="4D6BF90A" w14:textId="77777777" w:rsidR="0087472C" w:rsidRPr="0087472C" w:rsidRDefault="0087472C" w:rsidP="0087472C">
      <w:r w:rsidRPr="0087472C">
        <w:t>While Commonwealth Rent Assistance (CRA) helps alleviate this problem and rose by 15% in 2023-24, indexation of this payment has not kept pace with the spiralling cost of rents, especially in a housing market with a declining proportion of social housing. In addition to its priority call for a substantial increase to JobSeeker and related payments, the Committee calls for a further increase in the rate of CRA (see Chapter 3).</w:t>
      </w:r>
    </w:p>
    <w:p w14:paraId="59D0367D" w14:textId="128215FB" w:rsidR="0087472C" w:rsidRPr="0087472C" w:rsidRDefault="0087472C" w:rsidP="0087472C">
      <w:pPr>
        <w:rPr>
          <w:b/>
          <w:bCs/>
        </w:rPr>
      </w:pPr>
      <w:r w:rsidRPr="0087472C">
        <w:rPr>
          <w:b/>
          <w:bCs/>
        </w:rPr>
        <w:t xml:space="preserve">3. Create a new employment services system to underpin the goal of full employment and ensure a more positive focus on supporting Australians seeking work. </w:t>
      </w:r>
    </w:p>
    <w:p w14:paraId="23C736B3" w14:textId="77777777" w:rsidR="0087472C" w:rsidRPr="0087472C" w:rsidRDefault="0087472C" w:rsidP="0087472C">
      <w:r w:rsidRPr="0087472C">
        <w:t xml:space="preserve">Two important recent reports – the 2023 Employment White Paper and the 2023 House of Representatives Select Committee on Workforce Australia Employment Services Final Report – agree that Australia’s current employment services system is not fit for purpose and is causing harm. The system’s failings have been laid bare: there is an urgent need to remove automated payments suspensions; its culture is negative, unsympathetic and punitive; participants are regularly left dispirited and broken by its excessive, often pointless and frequently counterproductive compliance measures; it provides poor service that other Australians would not be asked to accept; and it is highly inefficient, producing an unacceptably low employment success rate. This is the right time to replace it with an employment service that promotes economic inclusion instead of one that worsens economic exclusion. While this is a multi-year reform effort, it must start now. Some elements of the new model will need to be tested, but trials should not delay decisive action. The Committee believes strongly that undertaking comprehensive employment services reform is one of the decisive measures the Government can take this year to increase </w:t>
      </w:r>
      <w:r w:rsidRPr="0087472C">
        <w:lastRenderedPageBreak/>
        <w:t xml:space="preserve">economic inclusion. It is a necessary condition to achieve the goal of sustained and inclusive full employment (see Chapter 4). </w:t>
      </w:r>
    </w:p>
    <w:p w14:paraId="2C8A29F9" w14:textId="3FE2C75B" w:rsidR="0087472C" w:rsidRPr="0087472C" w:rsidRDefault="0087472C" w:rsidP="0087472C">
      <w:pPr>
        <w:rPr>
          <w:b/>
          <w:bCs/>
        </w:rPr>
      </w:pPr>
      <w:r w:rsidRPr="0087472C">
        <w:rPr>
          <w:b/>
          <w:bCs/>
        </w:rPr>
        <w:t>4. Implement a national early childhood development system that is available to every child, beginning with abolishing the Activity Test for the Child Care Subsidy to guarantee all children access to a minimum three days of high-quality early childhood educationand care (ECEC).</w:t>
      </w:r>
    </w:p>
    <w:p w14:paraId="4B791118" w14:textId="77777777" w:rsidR="0087472C" w:rsidRPr="0087472C" w:rsidRDefault="0087472C" w:rsidP="0087472C">
      <w:r w:rsidRPr="0087472C">
        <w:t>The Committee continues with its call for the creation of a national early child development system in partnership with the states and territories, including making ECEC services available to every child.</w:t>
      </w:r>
    </w:p>
    <w:p w14:paraId="7E91A52D" w14:textId="77777777" w:rsidR="0087472C" w:rsidRPr="0087472C" w:rsidRDefault="0087472C" w:rsidP="0087472C">
      <w:r w:rsidRPr="0087472C">
        <w:t>Currently, the Activity Test limits access to Child Care Subsidy based on parental work related activity and is designed to incentivise workforce participation by parents. One of its unfortunate consequences has been to limit access to ECEC for some of the children who could stand to benefit from it the most. It is arguable that the children most likely to gain from interaction with an early childhood education environment are those whose parents who are not in the paid workforce. Abolishing the Activity Test and providing a guarantee of three days of care to every Australian child would address this issue and has the potential to make a considerable difference to their life chances (see Chapter 5).</w:t>
      </w:r>
    </w:p>
    <w:p w14:paraId="5E496D06" w14:textId="785F3137" w:rsidR="0087472C" w:rsidRPr="0087472C" w:rsidRDefault="0087472C" w:rsidP="0087472C">
      <w:pPr>
        <w:rPr>
          <w:b/>
          <w:bCs/>
        </w:rPr>
      </w:pPr>
      <w:r w:rsidRPr="0087472C">
        <w:rPr>
          <w:b/>
          <w:bCs/>
        </w:rPr>
        <w:t>5. Renewing the culture and practice of the social security system to support economic inclusion and wellbeing.</w:t>
      </w:r>
    </w:p>
    <w:p w14:paraId="41E87079" w14:textId="77777777" w:rsidR="0087472C" w:rsidRPr="0087472C" w:rsidRDefault="0087472C" w:rsidP="0087472C">
      <w:r w:rsidRPr="0087472C">
        <w:t>Australians who receive income support payments can face strong antipathy, commonly finding themselves misrepresented as ‘dole bludgers’, ‘welfare cheats’, ‘rorters’, ‘leaners’ and so on, when the actual evidence for welfare fraud and intentional evasion of mutual obligation requirements is miniscule. This has fostered a punitive attitude that extends from parts of the media to the Parliament, the government, and the administration of the social security system. The result is a social security system insufficiently informed by the real-life circumstances of people it is supposed to support. Such demonstrably false premises lead inevitably to poor public policy, with services that are often harmful, unfair, complex, costly to administer, counterproductive, and bound to fail.</w:t>
      </w:r>
    </w:p>
    <w:p w14:paraId="6557F41D" w14:textId="76EFF2E7" w:rsidR="0087472C" w:rsidRDefault="0087472C" w:rsidP="0087472C">
      <w:r w:rsidRPr="0087472C">
        <w:t>Starting with government and social security agencies, leadership is needed to replace ill-informed, negative and discriminatory language and attitudes towards people receiving income support with ones that are accurate, positive and conducive to good policy making. A new and positively framed objective for the social security system should inform a new statement of purpose or charter (see Chapter 6).</w:t>
      </w:r>
    </w:p>
    <w:p w14:paraId="0AFBBEDE" w14:textId="77777777" w:rsidR="007350B0" w:rsidRDefault="007350B0">
      <w:pPr>
        <w:spacing w:after="0"/>
        <w:sectPr w:rsidR="007350B0" w:rsidSect="0039440B">
          <w:headerReference w:type="first" r:id="rId17"/>
          <w:pgSz w:w="11906" w:h="16838"/>
          <w:pgMar w:top="1440" w:right="1440" w:bottom="1440" w:left="1440" w:header="708" w:footer="708" w:gutter="0"/>
          <w:cols w:space="708"/>
          <w:titlePg/>
          <w:docGrid w:linePitch="360"/>
        </w:sectPr>
      </w:pPr>
    </w:p>
    <w:p w14:paraId="4CF6F5F2" w14:textId="7F563166" w:rsidR="00FB722E" w:rsidRPr="007350B0" w:rsidRDefault="00262D09" w:rsidP="00FB722E">
      <w:pPr>
        <w:pStyle w:val="Heading1"/>
        <w:rPr>
          <w:color w:val="F9F1E7" w:themeColor="background2"/>
        </w:rPr>
      </w:pPr>
      <w:bookmarkStart w:id="5" w:name="_Toc165366845"/>
      <w:r>
        <w:rPr>
          <w:noProof/>
        </w:rPr>
        <w:lastRenderedPageBreak/>
        <w:drawing>
          <wp:anchor distT="0" distB="0" distL="114300" distR="114300" simplePos="0" relativeHeight="251659264" behindDoc="1" locked="0" layoutInCell="1" allowOverlap="1" wp14:anchorId="3C81FBB1" wp14:editId="4E5B5111">
            <wp:simplePos x="0" y="0"/>
            <wp:positionH relativeFrom="page">
              <wp:align>left</wp:align>
            </wp:positionH>
            <wp:positionV relativeFrom="paragraph">
              <wp:posOffset>-885825</wp:posOffset>
            </wp:positionV>
            <wp:extent cx="7560310" cy="10687050"/>
            <wp:effectExtent l="0" t="0" r="2540" b="0"/>
            <wp:wrapNone/>
            <wp:docPr id="123523368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FB722E" w:rsidRPr="007350B0">
        <w:rPr>
          <w:color w:val="F9F1E7" w:themeColor="background2"/>
        </w:rPr>
        <w:t>Findings and recommendations</w:t>
      </w:r>
      <w:bookmarkEnd w:id="5"/>
    </w:p>
    <w:p w14:paraId="0FC8DE24" w14:textId="21561AFD" w:rsidR="00FB722E" w:rsidRPr="00FB722E" w:rsidRDefault="00FB722E" w:rsidP="00FB722E">
      <w:r w:rsidRPr="00FB722E">
        <w:br w:type="page"/>
      </w:r>
    </w:p>
    <w:p w14:paraId="442EAC87" w14:textId="77777777" w:rsidR="00FB722E" w:rsidRPr="00FB722E" w:rsidRDefault="00FB722E" w:rsidP="00FB722E">
      <w:pPr>
        <w:pStyle w:val="Heading5"/>
      </w:pPr>
      <w:r w:rsidRPr="00FB722E">
        <w:lastRenderedPageBreak/>
        <w:t xml:space="preserve">Chapter 2A: Adequacy of working age payments – an update </w:t>
      </w:r>
    </w:p>
    <w:p w14:paraId="4D9D9022" w14:textId="77777777" w:rsidR="00FB722E" w:rsidRPr="00FB722E" w:rsidRDefault="00FB722E" w:rsidP="00FB722E">
      <w:r w:rsidRPr="00FB722E">
        <w:rPr>
          <w:b/>
          <w:bCs/>
        </w:rPr>
        <w:t>Recommendation 1</w:t>
      </w:r>
      <w:r w:rsidRPr="00FB722E">
        <w:br/>
        <w:t>The Government commit to a substantial increase in the base rates of JobSeeker Payment and related working age payments as a first priority.</w:t>
      </w:r>
    </w:p>
    <w:p w14:paraId="30AF4111" w14:textId="77777777" w:rsidR="00FB722E" w:rsidRPr="00FB722E" w:rsidRDefault="00FB722E" w:rsidP="00FB722E">
      <w:r w:rsidRPr="00FB722E">
        <w:t>Finding: Indexing JobSeeker Payment and related income supports only in line with the Consumer Price Index (CPI) has resulted in their relative base rates falling significantly below existing benchmarks such as the Age Pension. Increasing their rate to 90% of the Age Pension would improve adequacy and return them to payment relativities of 1999.</w:t>
      </w:r>
    </w:p>
    <w:p w14:paraId="4E600569" w14:textId="77777777" w:rsidR="00FB722E" w:rsidRPr="00FB722E" w:rsidRDefault="00FB722E" w:rsidP="00FB722E">
      <w:r w:rsidRPr="00FB722E">
        <w:rPr>
          <w:b/>
          <w:bCs/>
        </w:rPr>
        <w:t>Recommendation 2</w:t>
      </w:r>
      <w:r w:rsidRPr="00FB722E">
        <w:br/>
        <w:t xml:space="preserve">The Government commit to a timeframe for the full increases of JobSeeker and related payments to be implemented, if increases are to be staged. </w:t>
      </w:r>
    </w:p>
    <w:p w14:paraId="54BC7DFC" w14:textId="77777777" w:rsidR="00FB722E" w:rsidRPr="00FB722E" w:rsidRDefault="00FB722E" w:rsidP="00FB722E">
      <w:r w:rsidRPr="00FB722E">
        <w:rPr>
          <w:b/>
          <w:bCs/>
        </w:rPr>
        <w:t>Recommendation 3</w:t>
      </w:r>
      <w:r w:rsidRPr="00FB722E">
        <w:br/>
        <w:t>The gap between the current level of JobSeeker Payment and the Age Pension is primarily the consequence of the benchmarking of pensions but not allowances to Male Total Average Weekly Earnings (MTAWE) since 1997. Maintaining the current approach to benchmarking in the long run will recreate the same or an even wider gap. The Committee recommends the Government improve the adequacy of indexation of working-age payments immediately, and regularly reviews and monitors the relationship between working age payments levels and widely accepted measures of community living standards, including wages.</w:t>
      </w:r>
    </w:p>
    <w:p w14:paraId="5E3A1B84" w14:textId="77777777" w:rsidR="00FB722E" w:rsidRPr="00FB722E" w:rsidRDefault="00FB722E" w:rsidP="00FB722E">
      <w:r w:rsidRPr="00FB722E">
        <w:rPr>
          <w:b/>
          <w:bCs/>
        </w:rPr>
        <w:t>Recommendation 4</w:t>
      </w:r>
      <w:r w:rsidRPr="00FB722E">
        <w:br/>
        <w:t xml:space="preserve">The Australian Bureau of Statistics (ABS) or an appropriate researcher or research centre in partnership with remote communities should be funded to undertake analysis of the additional costs of living in remote areas, but the case for an immediate increase in the Remote Area Allowance (RAA) seems particularly strong. </w:t>
      </w:r>
    </w:p>
    <w:p w14:paraId="763E712A" w14:textId="77777777" w:rsidR="00FB722E" w:rsidRPr="00FB722E" w:rsidRDefault="00FB722E" w:rsidP="00FB722E">
      <w:pPr>
        <w:pStyle w:val="Heading5"/>
      </w:pPr>
      <w:r w:rsidRPr="00FB722E">
        <w:t>Chapter 3: Commonwealth Rent Assistance</w:t>
      </w:r>
    </w:p>
    <w:p w14:paraId="54884CC5" w14:textId="77777777" w:rsidR="00FB722E" w:rsidRPr="00FB722E" w:rsidRDefault="00FB722E" w:rsidP="00FB722E">
      <w:r w:rsidRPr="00FB722E">
        <w:rPr>
          <w:b/>
          <w:bCs/>
        </w:rPr>
        <w:t>Recommendation 5</w:t>
      </w:r>
      <w:r w:rsidRPr="00FB722E">
        <w:rPr>
          <w:b/>
          <w:bCs/>
        </w:rPr>
        <w:br/>
      </w:r>
      <w:r w:rsidRPr="00FB722E">
        <w:t>In addition to substantially increasing base rates of JobSeeker Payment and related payments, further increase the rate of CRA to address the long-term reduction in adequacy and better reflect rents paid.</w:t>
      </w:r>
    </w:p>
    <w:p w14:paraId="0BF60CCB" w14:textId="77777777" w:rsidR="00FB722E" w:rsidRPr="00FB722E" w:rsidRDefault="00FB722E" w:rsidP="00FB722E">
      <w:pPr>
        <w:pStyle w:val="Heading5"/>
      </w:pPr>
      <w:r w:rsidRPr="00FB722E">
        <w:t xml:space="preserve">Chapter 4: Removing barriers to employment and participation </w:t>
      </w:r>
    </w:p>
    <w:p w14:paraId="79557872" w14:textId="77777777" w:rsidR="00FB722E" w:rsidRPr="00FB722E" w:rsidRDefault="00FB722E" w:rsidP="00FB722E">
      <w:r w:rsidRPr="00FB722E">
        <w:rPr>
          <w:b/>
          <w:bCs/>
        </w:rPr>
        <w:t>Recommendation 6</w:t>
      </w:r>
      <w:r w:rsidRPr="00FB722E">
        <w:br/>
        <w:t>The Government commit to a full-scale redesign of Australia’s employment services system by adopting the recommendations in the report from the Select Committee on Workforce Australia Employment Services.</w:t>
      </w:r>
    </w:p>
    <w:p w14:paraId="5EFAB02A" w14:textId="77777777" w:rsidR="00FB722E" w:rsidRPr="00FB722E" w:rsidRDefault="00FB722E" w:rsidP="00FB722E">
      <w:r w:rsidRPr="00FB722E">
        <w:t>As a priority the Government should:</w:t>
      </w:r>
    </w:p>
    <w:p w14:paraId="524513BF" w14:textId="77777777" w:rsidR="00FB722E" w:rsidRPr="00FB722E" w:rsidRDefault="00FB722E" w:rsidP="008E198C">
      <w:pPr>
        <w:pStyle w:val="ListParagraph"/>
        <w:numPr>
          <w:ilvl w:val="0"/>
          <w:numId w:val="2"/>
        </w:numPr>
      </w:pPr>
      <w:r w:rsidRPr="00FB722E">
        <w:t>Finalise an implementation plan and enact necessary legislative changes in 2024.</w:t>
      </w:r>
    </w:p>
    <w:p w14:paraId="3F137415" w14:textId="77777777" w:rsidR="00FB722E" w:rsidRPr="00FB722E" w:rsidRDefault="00FB722E" w:rsidP="008E198C">
      <w:pPr>
        <w:pStyle w:val="ListParagraph"/>
        <w:numPr>
          <w:ilvl w:val="0"/>
          <w:numId w:val="2"/>
        </w:numPr>
      </w:pPr>
      <w:r w:rsidRPr="00FB722E">
        <w:t>Commit to a full redesign of the mutual obligations and compliance settings in the Workforce Australia system that focus on building capability and confidence to support people into work, consistent with the directions outlined in the Select Committee’s report.</w:t>
      </w:r>
    </w:p>
    <w:p w14:paraId="68592078" w14:textId="77777777" w:rsidR="00FB722E" w:rsidRPr="00FB722E" w:rsidRDefault="00FB722E" w:rsidP="008E198C">
      <w:pPr>
        <w:pStyle w:val="ListParagraph"/>
        <w:numPr>
          <w:ilvl w:val="0"/>
          <w:numId w:val="2"/>
        </w:numPr>
      </w:pPr>
      <w:r w:rsidRPr="00FB722E">
        <w:t>Build and refine a new practice model that genuinely meets the needs of people furthest from the labour market, including through:</w:t>
      </w:r>
    </w:p>
    <w:p w14:paraId="3E3F8970" w14:textId="77777777" w:rsidR="00FB722E" w:rsidRPr="00DA56F2" w:rsidRDefault="00FB722E" w:rsidP="00DA56F2">
      <w:pPr>
        <w:pStyle w:val="ListBullet2"/>
      </w:pPr>
      <w:r w:rsidRPr="00DA56F2">
        <w:t>A network of demonstration sites and regional hubs that enable stronger connections to local human services systems and place-based direction of effort.</w:t>
      </w:r>
    </w:p>
    <w:p w14:paraId="26887278" w14:textId="77777777" w:rsidR="00FB722E" w:rsidRPr="00DA56F2" w:rsidRDefault="00FB722E" w:rsidP="00DA56F2">
      <w:pPr>
        <w:pStyle w:val="ListBullet2"/>
      </w:pPr>
      <w:r w:rsidRPr="00DA56F2">
        <w:t>Strengthened approaches to employer engagement.</w:t>
      </w:r>
    </w:p>
    <w:p w14:paraId="5B9C24D5" w14:textId="77777777" w:rsidR="00FB722E" w:rsidRPr="00DA56F2" w:rsidRDefault="00FB722E" w:rsidP="00DA56F2">
      <w:pPr>
        <w:pStyle w:val="ListBullet2"/>
      </w:pPr>
      <w:r w:rsidRPr="00DA56F2">
        <w:t>Greater investment in national paid work experience and training programs assessed as significantly improving employment prospects of people who are unemployed long term.</w:t>
      </w:r>
    </w:p>
    <w:p w14:paraId="103DE4E9" w14:textId="77777777" w:rsidR="00FB722E" w:rsidRPr="00DA56F2" w:rsidRDefault="00FB722E" w:rsidP="00DA56F2">
      <w:pPr>
        <w:pStyle w:val="ListBullet2"/>
      </w:pPr>
      <w:r w:rsidRPr="00DA56F2">
        <w:lastRenderedPageBreak/>
        <w:t>Commissioning that incentivises collaboration and rebuilds the public core of the system.</w:t>
      </w:r>
    </w:p>
    <w:p w14:paraId="318376D8" w14:textId="77777777" w:rsidR="00FB722E" w:rsidRPr="00DA56F2" w:rsidRDefault="00FB722E" w:rsidP="00DA56F2">
      <w:pPr>
        <w:pStyle w:val="ListBullet2"/>
      </w:pPr>
      <w:r w:rsidRPr="00DA56F2">
        <w:t>An independent Employment Services Quality Commission to set minimum quality standards, drive improvements in qualifications and skills of frontline staff, share best practice, and handle licensing and complaints.</w:t>
      </w:r>
    </w:p>
    <w:p w14:paraId="1B72F8CA" w14:textId="77777777" w:rsidR="00FB722E" w:rsidRPr="00DA56F2" w:rsidRDefault="00FB722E" w:rsidP="00DA56F2">
      <w:pPr>
        <w:pStyle w:val="ListBullet2"/>
      </w:pPr>
      <w:r w:rsidRPr="00DA56F2">
        <w:t>A client council (or councils) so the voices of people experiencing the system influence its redesign.</w:t>
      </w:r>
    </w:p>
    <w:p w14:paraId="523B6AFB" w14:textId="77777777" w:rsidR="00FB722E" w:rsidRPr="00FB722E" w:rsidRDefault="00FB722E" w:rsidP="00FB722E">
      <w:r w:rsidRPr="00DA56F2">
        <w:rPr>
          <w:b/>
          <w:bCs/>
        </w:rPr>
        <w:t>Recommendation 7</w:t>
      </w:r>
      <w:r w:rsidRPr="00FB722E">
        <w:br/>
        <w:t>The Government take immediate actions to end automatic payment suspensions and the damaging effects of current settings while broader reforms are progressed, including by:</w:t>
      </w:r>
    </w:p>
    <w:p w14:paraId="4C83F341" w14:textId="77777777" w:rsidR="00FB722E" w:rsidRPr="00FB722E" w:rsidRDefault="00FB722E">
      <w:pPr>
        <w:pStyle w:val="ListParagraph"/>
        <w:numPr>
          <w:ilvl w:val="0"/>
          <w:numId w:val="17"/>
        </w:numPr>
      </w:pPr>
      <w:r w:rsidRPr="00FB722E">
        <w:t>Tripling the Liquid Assets Waiting Period (LAWP) amount threshold, consistent with increases in inflation and its relativity to payments, and have a single waiting period of four weeks, and reconsidering the need for the LAWP given the complexity it adds to the system when there are already income and asset tests in place.</w:t>
      </w:r>
    </w:p>
    <w:p w14:paraId="7D17D6CE" w14:textId="77777777" w:rsidR="00FB722E" w:rsidRPr="00FB722E" w:rsidRDefault="00FB722E">
      <w:pPr>
        <w:pStyle w:val="ListParagraph"/>
        <w:numPr>
          <w:ilvl w:val="0"/>
          <w:numId w:val="17"/>
        </w:numPr>
      </w:pPr>
      <w:r w:rsidRPr="00FB722E">
        <w:t>Reviewing the role of sickness allowances, the length for which medical exemptions are granted and the process to obtain them, and eligibility for the Disability Support Pension (DSP), as suggested by Recommendations 32-34 of the Select Committee’s report.</w:t>
      </w:r>
    </w:p>
    <w:p w14:paraId="1698A702" w14:textId="77777777" w:rsidR="00FB722E" w:rsidRPr="00FB722E" w:rsidRDefault="00FB722E" w:rsidP="00FB722E">
      <w:r w:rsidRPr="00DA56F2">
        <w:rPr>
          <w:b/>
          <w:bCs/>
        </w:rPr>
        <w:t>Recommendation 8</w:t>
      </w:r>
      <w:r w:rsidRPr="00FB722E">
        <w:br/>
        <w:t>The Government changes Working Credit settings that have not been updated since 2003, to bring the Working Credit system closer in line with other employment credit schemes such as the Pension Work Bonus and help smooth the transition to work. Specifically, to:</w:t>
      </w:r>
    </w:p>
    <w:p w14:paraId="794BA91A" w14:textId="77777777" w:rsidR="00FB722E" w:rsidRPr="00FB722E" w:rsidRDefault="00FB722E">
      <w:pPr>
        <w:pStyle w:val="ListParagraph"/>
        <w:numPr>
          <w:ilvl w:val="0"/>
          <w:numId w:val="18"/>
        </w:numPr>
      </w:pPr>
      <w:r w:rsidRPr="00FB722E">
        <w:t>Grow the Working Credit accrual rate for all eligible payments from $48 to $150 per fortnight, consistent with the income free area, and shift from a daily to fortnightly calculation.</w:t>
      </w:r>
    </w:p>
    <w:p w14:paraId="66A33F2E" w14:textId="77777777" w:rsidR="00FB722E" w:rsidRPr="00FB722E" w:rsidRDefault="00FB722E">
      <w:pPr>
        <w:pStyle w:val="ListParagraph"/>
        <w:numPr>
          <w:ilvl w:val="0"/>
          <w:numId w:val="18"/>
        </w:numPr>
      </w:pPr>
      <w:r w:rsidRPr="00FB722E">
        <w:t xml:space="preserve">Increase the maximum balance of the Working Credit up to $7,800 (equivalent </w:t>
      </w:r>
      <w:r w:rsidRPr="00FB722E">
        <w:br/>
        <w:t>to two years of accruals of $150 per fortnight), and index to CPI.</w:t>
      </w:r>
    </w:p>
    <w:p w14:paraId="1FBBC7C4" w14:textId="77777777" w:rsidR="00FB722E" w:rsidRPr="00FB722E" w:rsidRDefault="00FB722E">
      <w:pPr>
        <w:pStyle w:val="ListParagraph"/>
        <w:numPr>
          <w:ilvl w:val="0"/>
          <w:numId w:val="18"/>
        </w:numPr>
      </w:pPr>
      <w:r w:rsidRPr="00FB722E">
        <w:t>Introduce an initial ‘boost’ so each eligible recipient has a starting balance of $500 in the Working Credit.</w:t>
      </w:r>
    </w:p>
    <w:p w14:paraId="01EB6DF1" w14:textId="77777777" w:rsidR="00FB722E" w:rsidRPr="00FB722E" w:rsidRDefault="00FB722E">
      <w:pPr>
        <w:pStyle w:val="ListParagraph"/>
        <w:numPr>
          <w:ilvl w:val="0"/>
          <w:numId w:val="18"/>
        </w:numPr>
      </w:pPr>
      <w:r w:rsidRPr="00FB722E">
        <w:t>Develop a communications approach to accompany the reforms, so that people receiving payments better understand the Working Credit and how it can help them, and design implementation to enable evaluation of the impacts of these changes.</w:t>
      </w:r>
    </w:p>
    <w:p w14:paraId="3FE571D2" w14:textId="77777777" w:rsidR="00FB722E" w:rsidRPr="00FB722E" w:rsidRDefault="00FB722E" w:rsidP="00FB722E">
      <w:r w:rsidRPr="00DA56F2">
        <w:rPr>
          <w:b/>
          <w:bCs/>
        </w:rPr>
        <w:t>Recommendation 9</w:t>
      </w:r>
      <w:r w:rsidRPr="00FB722E">
        <w:br/>
        <w:t>The Government relax work limit rules on payments to encourage and enable workforce participation, particularly for people who have fluctuating or episodic conditions or caring responsibilities, including by:</w:t>
      </w:r>
    </w:p>
    <w:p w14:paraId="604C52C4" w14:textId="77777777" w:rsidR="00FB722E" w:rsidRPr="00FB722E" w:rsidRDefault="00FB722E">
      <w:pPr>
        <w:pStyle w:val="ListParagraph"/>
        <w:numPr>
          <w:ilvl w:val="0"/>
          <w:numId w:val="19"/>
        </w:numPr>
      </w:pPr>
      <w:r w:rsidRPr="00FB722E">
        <w:t>Removing the 30 hour per week work limit for DSP recipients.</w:t>
      </w:r>
    </w:p>
    <w:p w14:paraId="6B101300" w14:textId="77777777" w:rsidR="00FB722E" w:rsidRPr="00FB722E" w:rsidRDefault="00FB722E">
      <w:pPr>
        <w:pStyle w:val="ListParagraph"/>
        <w:numPr>
          <w:ilvl w:val="0"/>
          <w:numId w:val="19"/>
        </w:numPr>
      </w:pPr>
      <w:r w:rsidRPr="00FB722E">
        <w:t>Adjusting the 25-hour participation rule for the Carer Payment to give carers greater flexibility to undertake paid work, by:</w:t>
      </w:r>
    </w:p>
    <w:p w14:paraId="62B5D31F" w14:textId="77777777" w:rsidR="00FB722E" w:rsidRPr="00DA56F2" w:rsidRDefault="00FB722E" w:rsidP="00DA56F2">
      <w:pPr>
        <w:pStyle w:val="ListBullet2"/>
      </w:pPr>
      <w:r w:rsidRPr="00DA56F2">
        <w:t>Changing the 25 hours per week work participation limit to an allowance of 100 hours over four weeks, and applying the participation limit only to employment (not study, volunteering or transport time).</w:t>
      </w:r>
    </w:p>
    <w:p w14:paraId="74712A4B" w14:textId="77777777" w:rsidR="00FB722E" w:rsidRPr="00DA56F2" w:rsidRDefault="00FB722E" w:rsidP="00DA56F2">
      <w:pPr>
        <w:pStyle w:val="ListBullet2"/>
      </w:pPr>
      <w:r w:rsidRPr="00DA56F2">
        <w:t>Suspending, rather than cancelling, the Carer Payment where a carer exceeds a participation hours or earnings limit.</w:t>
      </w:r>
    </w:p>
    <w:p w14:paraId="34707DE0" w14:textId="77777777" w:rsidR="00FB722E" w:rsidRPr="00DA56F2" w:rsidRDefault="00FB722E" w:rsidP="00DA56F2">
      <w:pPr>
        <w:pStyle w:val="ListBullet2"/>
      </w:pPr>
      <w:r w:rsidRPr="00DA56F2">
        <w:t>Allowing the single Temporary Cessation of Care days provision to be applied to one-off or occasional instances of exceeding the participation hours limit.</w:t>
      </w:r>
    </w:p>
    <w:p w14:paraId="5A46D576" w14:textId="77777777" w:rsidR="00FB722E" w:rsidRPr="00FB722E" w:rsidRDefault="00FB722E" w:rsidP="00FB722E">
      <w:r w:rsidRPr="00DA56F2">
        <w:rPr>
          <w:b/>
          <w:bCs/>
        </w:rPr>
        <w:t>Recommendation 10</w:t>
      </w:r>
      <w:r w:rsidRPr="00FB722E">
        <w:br/>
        <w:t xml:space="preserve">The Government urgently commit substantial investment to address need in public housing and homelessness for Aboriginal and Torres Strait Islander peoples, including maintenance and upgrades, community infrastructure and the Aboriginal and Torres Strait Islander housing sector. </w:t>
      </w:r>
    </w:p>
    <w:p w14:paraId="6A77FC96" w14:textId="77777777" w:rsidR="00FB722E" w:rsidRPr="00FB722E" w:rsidRDefault="00FB722E" w:rsidP="00FB722E">
      <w:r w:rsidRPr="00FB722E">
        <w:lastRenderedPageBreak/>
        <w:t xml:space="preserve">To improve the economic efficiency of investments, the Government should fund a National Aboriginal and Torres Strait Islander Housing Data Register to improve data availability, quality and sharing. The register should be developed in partnership with the Coalition of Aboriginal and Torres Strait Islander Community-Controlled Peak Organisations and the Housing Policy Partnership and agreed as part of the new Housing and Homelessness Agreement (NHHA). </w:t>
      </w:r>
    </w:p>
    <w:p w14:paraId="1821F5D7" w14:textId="77777777" w:rsidR="00FB722E" w:rsidRPr="00FB722E" w:rsidRDefault="00FB722E" w:rsidP="00FB722E">
      <w:r w:rsidRPr="00FB722E">
        <w:t xml:space="preserve">To better target existing investment, including from the Housing Australia Future Fund and Social Housing Accelerator Fund, the Government should: </w:t>
      </w:r>
    </w:p>
    <w:p w14:paraId="69E0E96F" w14:textId="77777777" w:rsidR="00FB722E" w:rsidRPr="00FB722E" w:rsidRDefault="00FB722E">
      <w:pPr>
        <w:pStyle w:val="ListParagraph"/>
        <w:numPr>
          <w:ilvl w:val="0"/>
          <w:numId w:val="20"/>
        </w:numPr>
      </w:pPr>
      <w:r w:rsidRPr="00FB722E">
        <w:t>Negotiate improved performance reporting and data sharing within intergovernmental agreements and arrangements.</w:t>
      </w:r>
    </w:p>
    <w:p w14:paraId="7468273B" w14:textId="77777777" w:rsidR="00FB722E" w:rsidRPr="00FB722E" w:rsidRDefault="00FB722E">
      <w:pPr>
        <w:pStyle w:val="ListParagraph"/>
        <w:numPr>
          <w:ilvl w:val="0"/>
          <w:numId w:val="20"/>
        </w:numPr>
      </w:pPr>
      <w:r w:rsidRPr="00FB722E">
        <w:t>Undertake rapid needs assessments of homelessness and overcrowding, maintenance, repair and community infrastructure requirements in remote hotspot areas.</w:t>
      </w:r>
    </w:p>
    <w:p w14:paraId="5AB5EF74" w14:textId="77777777" w:rsidR="00FB722E" w:rsidRPr="00FB722E" w:rsidRDefault="00FB722E">
      <w:pPr>
        <w:pStyle w:val="ListParagraph"/>
        <w:numPr>
          <w:ilvl w:val="0"/>
          <w:numId w:val="20"/>
        </w:numPr>
      </w:pPr>
      <w:r w:rsidRPr="00FB722E">
        <w:t xml:space="preserve">Commission a redesigned Community Housing Infrastructure Needs (CHINS)-like survey, which considers limitations of earlier iterations and subsequent advancements in data collection. </w:t>
      </w:r>
    </w:p>
    <w:p w14:paraId="10B01A12" w14:textId="77777777" w:rsidR="00FB722E" w:rsidRPr="00FB722E" w:rsidRDefault="00FB722E" w:rsidP="00FB722E">
      <w:r w:rsidRPr="00FB722E">
        <w:t xml:space="preserve">Information collected through these mechanisms, along with existing collections, can underpin the new register. The register should be accessible to communities to support local decision making. </w:t>
      </w:r>
    </w:p>
    <w:p w14:paraId="4EE4F1B7" w14:textId="77777777" w:rsidR="00FB722E" w:rsidRPr="00DA56F2" w:rsidRDefault="00FB722E" w:rsidP="00DA56F2">
      <w:pPr>
        <w:pStyle w:val="Heading5"/>
      </w:pPr>
      <w:r w:rsidRPr="00DA56F2">
        <w:t xml:space="preserve">Chapter 5: Improving support for families and children </w:t>
      </w:r>
    </w:p>
    <w:p w14:paraId="4019D6C4" w14:textId="77777777" w:rsidR="00FB722E" w:rsidRPr="00FB722E" w:rsidRDefault="00FB722E" w:rsidP="00FB722E">
      <w:r w:rsidRPr="003777DD">
        <w:rPr>
          <w:b/>
          <w:bCs/>
        </w:rPr>
        <w:t>Recommendation 11</w:t>
      </w:r>
      <w:r w:rsidRPr="00FB722E">
        <w:br/>
        <w:t>The Government commit to developing a national early childhood development system in partnership with the states and territories.</w:t>
      </w:r>
    </w:p>
    <w:p w14:paraId="3A50FC83" w14:textId="77777777" w:rsidR="00FB722E" w:rsidRPr="00FB722E" w:rsidRDefault="00FB722E">
      <w:pPr>
        <w:pStyle w:val="ListParagraph"/>
        <w:numPr>
          <w:ilvl w:val="0"/>
          <w:numId w:val="21"/>
        </w:numPr>
      </w:pPr>
      <w:r w:rsidRPr="00FB722E">
        <w:t>This system should connect child and maternal health services, early learning, family supports, and other services into a well joined-up pipeline of supports for children and families through the early years.</w:t>
      </w:r>
    </w:p>
    <w:p w14:paraId="4FF4093A" w14:textId="77777777" w:rsidR="00FB722E" w:rsidRPr="00FB722E" w:rsidRDefault="00FB722E">
      <w:pPr>
        <w:pStyle w:val="ListParagraph"/>
        <w:numPr>
          <w:ilvl w:val="0"/>
          <w:numId w:val="21"/>
        </w:numPr>
      </w:pPr>
      <w:r w:rsidRPr="00FB722E">
        <w:t>The system should be built upon proportionate universalism principles and particularly focus on improving supports for families with the lowest incomes or with extra needs.</w:t>
      </w:r>
    </w:p>
    <w:p w14:paraId="6012D587" w14:textId="77777777" w:rsidR="00FB722E" w:rsidRPr="00FB722E" w:rsidRDefault="00FB722E">
      <w:pPr>
        <w:pStyle w:val="ListParagraph"/>
        <w:numPr>
          <w:ilvl w:val="0"/>
          <w:numId w:val="21"/>
        </w:numPr>
      </w:pPr>
      <w:r w:rsidRPr="00FB722E">
        <w:t xml:space="preserve">The commitment to Australia’s new childhood development system should be enshrined in legislation and a new or expanded national partnership agreement. </w:t>
      </w:r>
    </w:p>
    <w:p w14:paraId="4D96859E" w14:textId="77777777" w:rsidR="00FB722E" w:rsidRPr="00FB722E" w:rsidRDefault="00FB722E">
      <w:pPr>
        <w:pStyle w:val="ListParagraph"/>
        <w:numPr>
          <w:ilvl w:val="0"/>
          <w:numId w:val="21"/>
        </w:numPr>
      </w:pPr>
      <w:r w:rsidRPr="00FB722E">
        <w:t xml:space="preserve">The Government, in collaboration with state and territory governments, should establish an Early Childhood Development Commission to oversee the coordination and implementation of the early years reform agenda that will deliver the new system over time. </w:t>
      </w:r>
    </w:p>
    <w:p w14:paraId="2290D59E" w14:textId="77777777" w:rsidR="00FB722E" w:rsidRPr="00FB722E" w:rsidRDefault="00FB722E" w:rsidP="00FB722E">
      <w:r w:rsidRPr="003777DD">
        <w:rPr>
          <w:b/>
          <w:bCs/>
        </w:rPr>
        <w:t>Recommendation 12</w:t>
      </w:r>
      <w:r w:rsidRPr="00FB722E">
        <w:br/>
        <w:t xml:space="preserve">The Government build upon the recommendations from the Productivity Commission and the Australian Competition and Consumer Commission (ACCC) to support access to Early Childhood Education and Care services for all children in Australia. </w:t>
      </w:r>
    </w:p>
    <w:p w14:paraId="295FD25C" w14:textId="77777777" w:rsidR="00FB722E" w:rsidRPr="00FB722E" w:rsidRDefault="00FB722E">
      <w:pPr>
        <w:pStyle w:val="ListParagraph"/>
        <w:numPr>
          <w:ilvl w:val="0"/>
          <w:numId w:val="22"/>
        </w:numPr>
      </w:pPr>
      <w:r w:rsidRPr="00FB722E">
        <w:t>As an immediate first step the Government should abolish the Activity Test on the Child Care Subsidy and guarantee all children access to a minimum three days of ECEC.</w:t>
      </w:r>
    </w:p>
    <w:p w14:paraId="5C15E398" w14:textId="77777777" w:rsidR="00FB722E" w:rsidRPr="00FB722E" w:rsidRDefault="00FB722E">
      <w:pPr>
        <w:pStyle w:val="ListParagraph"/>
        <w:numPr>
          <w:ilvl w:val="0"/>
          <w:numId w:val="22"/>
        </w:numPr>
      </w:pPr>
      <w:r w:rsidRPr="00FB722E">
        <w:t>The Government should further progress funding model reform to make appropriate use of supply as well as demand side supports and consider block funding if necessary to ensure access.</w:t>
      </w:r>
    </w:p>
    <w:p w14:paraId="4EC925B2" w14:textId="77777777" w:rsidR="00FB722E" w:rsidRPr="00FB722E" w:rsidRDefault="00FB722E">
      <w:pPr>
        <w:pStyle w:val="ListParagraph"/>
        <w:numPr>
          <w:ilvl w:val="0"/>
          <w:numId w:val="22"/>
        </w:numPr>
      </w:pPr>
      <w:r w:rsidRPr="00FB722E">
        <w:t>The Government should support through the reformed funding mechanism the delivery of new, more holistic models of ECEC that include opportunities for health and family support services.</w:t>
      </w:r>
    </w:p>
    <w:p w14:paraId="15B7F196" w14:textId="77777777" w:rsidR="00FB722E" w:rsidRPr="00FB722E" w:rsidRDefault="00FB722E" w:rsidP="00FB722E">
      <w:r w:rsidRPr="003777DD">
        <w:rPr>
          <w:b/>
          <w:bCs/>
        </w:rPr>
        <w:t>Recommendation 13</w:t>
      </w:r>
      <w:r w:rsidRPr="00FB722E">
        <w:br/>
        <w:t>Support applications in the Fair Work Commission that seek to raise the wages and improve the job quality of early childhood educators. As a step to remedying historical undervaluation of educators’ work, ensure that the outcomes of these cases are fully funded.</w:t>
      </w:r>
    </w:p>
    <w:p w14:paraId="4CBBCBC0" w14:textId="77777777" w:rsidR="00FB722E" w:rsidRPr="00FB722E" w:rsidRDefault="00FB722E" w:rsidP="00FB722E"/>
    <w:p w14:paraId="5B8470CC" w14:textId="77777777" w:rsidR="00FB722E" w:rsidRPr="00FB722E" w:rsidRDefault="00FB722E" w:rsidP="00FB722E">
      <w:r w:rsidRPr="003777DD">
        <w:rPr>
          <w:b/>
          <w:bCs/>
        </w:rPr>
        <w:lastRenderedPageBreak/>
        <w:t>Recommendation 14</w:t>
      </w:r>
      <w:r w:rsidRPr="00FB722E">
        <w:br/>
        <w:t xml:space="preserve">As an early action of the new Early Years Strategy, the Government commits to wider scale delivery of integrated child and family centres and holistic “full service” school models targeted to communities of highest need. </w:t>
      </w:r>
    </w:p>
    <w:p w14:paraId="02E8191B" w14:textId="77777777" w:rsidR="00FB722E" w:rsidRPr="00FB722E" w:rsidRDefault="00FB722E">
      <w:pPr>
        <w:pStyle w:val="ListParagraph"/>
        <w:numPr>
          <w:ilvl w:val="0"/>
          <w:numId w:val="23"/>
        </w:numPr>
      </w:pPr>
      <w:r w:rsidRPr="00FB722E">
        <w:t>To deliver on this commitment the Government should create a national framework, funding scheme and evaluation and learning framework.</w:t>
      </w:r>
    </w:p>
    <w:p w14:paraId="1D17CFDE" w14:textId="77777777" w:rsidR="00FB722E" w:rsidRPr="00FB722E" w:rsidRDefault="00FB722E">
      <w:pPr>
        <w:pStyle w:val="ListParagraph"/>
        <w:numPr>
          <w:ilvl w:val="0"/>
          <w:numId w:val="23"/>
        </w:numPr>
      </w:pPr>
      <w:r w:rsidRPr="00FB722E">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358E2DD3" w14:textId="77777777" w:rsidR="00FB722E" w:rsidRPr="00FB722E" w:rsidRDefault="00FB722E">
      <w:pPr>
        <w:pStyle w:val="ListParagraph"/>
        <w:numPr>
          <w:ilvl w:val="0"/>
          <w:numId w:val="23"/>
        </w:numPr>
      </w:pPr>
      <w:r w:rsidRPr="00FB722E">
        <w:t xml:space="preserve">As a supporting measure the Government should take further steps to advance place-based approaches in target communities and consider a fuller response to recommendations provided in the Committee’s 2023 Report. </w:t>
      </w:r>
    </w:p>
    <w:p w14:paraId="2A80CEA5" w14:textId="77777777" w:rsidR="00FB722E" w:rsidRPr="00FB722E" w:rsidRDefault="00FB722E" w:rsidP="00FB722E">
      <w:r w:rsidRPr="003777DD">
        <w:rPr>
          <w:b/>
          <w:bCs/>
        </w:rPr>
        <w:t>Recommendation 15</w:t>
      </w:r>
      <w:r w:rsidRPr="00FB722E">
        <w:br/>
        <w:t>The Government implement Recommendation 33 from the Committee’s 2023 Report, namely, to remove the Maintenance Income Test (MIT) from the calculation of Family Tax Benefit Part A (FTB Part A) for child support customers. Payment criteria should be adjusted so that affected families receive a similar amount of family benefits as would have resulted under the MIT. The desired outcome is that FTB Part A payments are made more predictable for recipients, rather than significantly altering payment values. The removal of the MIT would result in more certain FTB Part A payments for financially vulnerable families, remove the prospect of retrospectively applied FTB Part A debts, and concurrently close a loophole that allows child support and FTB Part A to be used as vehicles for enacting financial abuse.</w:t>
      </w:r>
    </w:p>
    <w:p w14:paraId="2A84655C" w14:textId="77777777" w:rsidR="00FB722E" w:rsidRPr="003777DD" w:rsidRDefault="00FB722E" w:rsidP="003777DD">
      <w:pPr>
        <w:pStyle w:val="Heading5"/>
      </w:pPr>
      <w:r w:rsidRPr="003777DD">
        <w:t>Chapter 6: The culture, purpose and intent of the social security system</w:t>
      </w:r>
    </w:p>
    <w:p w14:paraId="343156F6" w14:textId="77777777" w:rsidR="00FB722E" w:rsidRPr="00FB722E" w:rsidRDefault="00FB722E" w:rsidP="00FB722E">
      <w:r w:rsidRPr="003777DD">
        <w:rPr>
          <w:b/>
          <w:bCs/>
        </w:rPr>
        <w:t>Recommendation 16</w:t>
      </w:r>
      <w:r w:rsidRPr="00FB722E">
        <w:br/>
        <w:t>The Government adopt a refreshed mandate for Australia’s social security system and that this mandate should be to promote economic inclusion and wellbeing.</w:t>
      </w:r>
    </w:p>
    <w:p w14:paraId="63E1DB5B" w14:textId="77777777" w:rsidR="00FB722E" w:rsidRPr="00FB722E" w:rsidRDefault="00FB722E" w:rsidP="00FB722E">
      <w:r w:rsidRPr="003777DD">
        <w:rPr>
          <w:b/>
          <w:bCs/>
        </w:rPr>
        <w:t>Recommendation 17</w:t>
      </w:r>
      <w:r w:rsidRPr="00FB722E">
        <w:br/>
        <w:t xml:space="preserve">The Government adopt a set of guiding principles to support an ongoing process of renewal in culture and practice across the social security system. These guiding principles should align with the system’s primary purpose to support economic inclusion and wellbeing. The Committee proposes that these principles be: </w:t>
      </w:r>
    </w:p>
    <w:p w14:paraId="6AA9108A" w14:textId="77777777" w:rsidR="00FB722E" w:rsidRPr="003777DD" w:rsidRDefault="00FB722E" w:rsidP="003777DD">
      <w:pPr>
        <w:pStyle w:val="ListBullet"/>
      </w:pPr>
      <w:r w:rsidRPr="003777DD">
        <w:t>Adequacy</w:t>
      </w:r>
    </w:p>
    <w:p w14:paraId="72EC8035" w14:textId="77777777" w:rsidR="00FB722E" w:rsidRPr="003777DD" w:rsidRDefault="00FB722E" w:rsidP="003777DD">
      <w:pPr>
        <w:pStyle w:val="ListBullet"/>
      </w:pPr>
      <w:r w:rsidRPr="003777DD">
        <w:t>Dignity and autonomy</w:t>
      </w:r>
    </w:p>
    <w:p w14:paraId="75FF57AE" w14:textId="77777777" w:rsidR="00FB722E" w:rsidRPr="003777DD" w:rsidRDefault="00FB722E" w:rsidP="003777DD">
      <w:pPr>
        <w:pStyle w:val="ListBullet"/>
      </w:pPr>
      <w:r w:rsidRPr="003777DD">
        <w:t>Equity and fairness</w:t>
      </w:r>
    </w:p>
    <w:p w14:paraId="5FD393BD" w14:textId="77777777" w:rsidR="00FB722E" w:rsidRPr="003777DD" w:rsidRDefault="00FB722E" w:rsidP="003777DD">
      <w:pPr>
        <w:pStyle w:val="ListBullet"/>
      </w:pPr>
      <w:r w:rsidRPr="003777DD">
        <w:t>Accountability and acting on evidence</w:t>
      </w:r>
    </w:p>
    <w:p w14:paraId="52D7984B" w14:textId="77777777" w:rsidR="00FB722E" w:rsidRPr="003777DD" w:rsidRDefault="00FB722E" w:rsidP="003777DD">
      <w:pPr>
        <w:pStyle w:val="ListBullet"/>
      </w:pPr>
      <w:r w:rsidRPr="003777DD">
        <w:t>Person-centredness</w:t>
      </w:r>
    </w:p>
    <w:p w14:paraId="33FA5EE5" w14:textId="77777777" w:rsidR="00FB722E" w:rsidRPr="003777DD" w:rsidRDefault="00FB722E" w:rsidP="003777DD">
      <w:pPr>
        <w:pStyle w:val="ListBullet"/>
      </w:pPr>
      <w:r w:rsidRPr="003777DD">
        <w:t>A safety net for all.</w:t>
      </w:r>
    </w:p>
    <w:p w14:paraId="45332A14" w14:textId="77777777" w:rsidR="00FB722E" w:rsidRPr="00FB722E" w:rsidRDefault="00FB722E" w:rsidP="00FB722E">
      <w:r w:rsidRPr="003777DD">
        <w:rPr>
          <w:b/>
          <w:bCs/>
        </w:rPr>
        <w:t>Recommendation 18</w:t>
      </w:r>
      <w:r w:rsidRPr="00FB722E">
        <w:br/>
        <w:t>The Government regularly update language guidance with respect to people receiving income support and that terms like “dole” and “welfare” are replaced in legislation. This language guidance should be extended as a requirement for contracted service providers who engage with people receiving income support and incorporated into their performance and contract review framework.</w:t>
      </w:r>
    </w:p>
    <w:p w14:paraId="56E211D0" w14:textId="77777777" w:rsidR="00FB722E" w:rsidRPr="00FB722E" w:rsidRDefault="00FB722E" w:rsidP="00FB722E">
      <w:r w:rsidRPr="003777DD">
        <w:rPr>
          <w:b/>
          <w:bCs/>
        </w:rPr>
        <w:t>Recommendation 19</w:t>
      </w:r>
      <w:r w:rsidRPr="00FB722E">
        <w:br/>
        <w:t xml:space="preserve">The Government reform aspects of the compulsory activation and compliance framework within the social security system that are at odds with its proposed mandate to support economic inclusion and wellbeing. This will require the systematic improvement of many practices over time. A priority focus should be on rethinking processes and rules that risk </w:t>
      </w:r>
      <w:r w:rsidRPr="00FB722E">
        <w:lastRenderedPageBreak/>
        <w:t>harmful effects on people who are more at risk – such as people with long-term barriers to employment who rely on the JobSeeker Payment. The Government should establish co-design, feedback and consultation structures with people directly affected and other stakeholders to inform the program of reform.</w:t>
      </w:r>
    </w:p>
    <w:p w14:paraId="516879A1" w14:textId="7E0C33B7" w:rsidR="00FB722E" w:rsidRPr="00FB722E" w:rsidRDefault="00FB722E" w:rsidP="00FB722E">
      <w:r w:rsidRPr="003777DD">
        <w:rPr>
          <w:b/>
          <w:bCs/>
        </w:rPr>
        <w:t>Recommendation 20</w:t>
      </w:r>
      <w:r w:rsidRPr="00FB722E">
        <w:br/>
        <w:t>People with current, direct experience of receiving income support and/or economic exclusion be members of the Economic Inclusion Advisory Committee. Attention must be given to ensuring there is sufficient representation of different experiences in the Membership.</w:t>
      </w:r>
    </w:p>
    <w:p w14:paraId="300F01FC" w14:textId="77777777" w:rsidR="00FB722E" w:rsidRPr="00FB722E" w:rsidRDefault="00FB722E" w:rsidP="00FB722E">
      <w:r w:rsidRPr="003777DD">
        <w:rPr>
          <w:b/>
          <w:bCs/>
        </w:rPr>
        <w:t>Recommendation 21</w:t>
      </w:r>
      <w:r w:rsidRPr="00FB722E">
        <w:br/>
        <w:t>The Government revise strategies that delay access to payments for those who need them by addressing the underlying policy, legislative and resourcing drivers of these delays. This should include:</w:t>
      </w:r>
    </w:p>
    <w:p w14:paraId="4ACBFAFC" w14:textId="77777777" w:rsidR="00FB722E" w:rsidRPr="00FB722E" w:rsidRDefault="00FB722E">
      <w:pPr>
        <w:pStyle w:val="ListParagraph"/>
        <w:numPr>
          <w:ilvl w:val="0"/>
          <w:numId w:val="24"/>
        </w:numPr>
      </w:pPr>
      <w:r w:rsidRPr="00FB722E">
        <w:t>Taking urgent action to reduce wait times for claims.</w:t>
      </w:r>
    </w:p>
    <w:p w14:paraId="0E68789B" w14:textId="77777777" w:rsidR="00FB722E" w:rsidRPr="00FB722E" w:rsidRDefault="00FB722E">
      <w:pPr>
        <w:pStyle w:val="ListParagraph"/>
        <w:numPr>
          <w:ilvl w:val="0"/>
          <w:numId w:val="24"/>
        </w:numPr>
      </w:pPr>
      <w:r w:rsidRPr="00FB722E">
        <w:t>Reconsidering the need and rationale for waiting periods for payments that currently attract them.</w:t>
      </w:r>
    </w:p>
    <w:p w14:paraId="58E78ABA" w14:textId="77777777" w:rsidR="00FB722E" w:rsidRPr="00FB722E" w:rsidRDefault="00FB722E" w:rsidP="00FB722E">
      <w:r w:rsidRPr="003777DD">
        <w:rPr>
          <w:b/>
          <w:bCs/>
        </w:rPr>
        <w:t>Recommendation 22</w:t>
      </w:r>
      <w:r w:rsidRPr="00FB722E">
        <w:br/>
        <w:t xml:space="preserve">The Government should consider a collaborative process to develop a new charter for the Australian social security system. This charter should be centred upon the proposed new mandate for the social security system to promote economic inclusion and wellbeing. </w:t>
      </w:r>
    </w:p>
    <w:p w14:paraId="45C1F928" w14:textId="77777777" w:rsidR="00FB722E" w:rsidRPr="00FB722E" w:rsidRDefault="00FB722E">
      <w:pPr>
        <w:pStyle w:val="ListParagraph"/>
        <w:numPr>
          <w:ilvl w:val="0"/>
          <w:numId w:val="25"/>
        </w:numPr>
      </w:pPr>
      <w:r w:rsidRPr="00FB722E">
        <w:t xml:space="preserve">This co-design process should involve people receiving social security payments and a broad range of other stakeholders. </w:t>
      </w:r>
    </w:p>
    <w:p w14:paraId="3D804979" w14:textId="77777777" w:rsidR="00FB722E" w:rsidRPr="00FB722E" w:rsidRDefault="00FB722E">
      <w:pPr>
        <w:pStyle w:val="ListParagraph"/>
        <w:numPr>
          <w:ilvl w:val="0"/>
          <w:numId w:val="25"/>
        </w:numPr>
      </w:pPr>
      <w:r w:rsidRPr="00FB722E">
        <w:t>The Government should consider legislating the resulting statement, so it guides reform, policy development and practice long term.</w:t>
      </w:r>
    </w:p>
    <w:p w14:paraId="75A15F92" w14:textId="0BD24A8E" w:rsidR="00FB722E" w:rsidRDefault="00FB722E">
      <w:pPr>
        <w:pStyle w:val="ListParagraph"/>
        <w:numPr>
          <w:ilvl w:val="0"/>
          <w:numId w:val="25"/>
        </w:numPr>
      </w:pPr>
      <w:r w:rsidRPr="00FB722E">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w:t>
      </w:r>
    </w:p>
    <w:p w14:paraId="2455881D" w14:textId="5C515DF2" w:rsidR="003777DD" w:rsidRDefault="003777DD">
      <w:pPr>
        <w:spacing w:after="0"/>
      </w:pPr>
      <w:r>
        <w:br w:type="page"/>
      </w:r>
    </w:p>
    <w:p w14:paraId="20939151" w14:textId="77777777" w:rsidR="00990E04" w:rsidRDefault="00990E04" w:rsidP="00990E04">
      <w:pPr>
        <w:pStyle w:val="Heading2"/>
      </w:pPr>
      <w:bookmarkStart w:id="6" w:name="_Toc165366846"/>
      <w:r>
        <w:lastRenderedPageBreak/>
        <w:t>Gemma: JobSeeker and would be student</w:t>
      </w:r>
      <w:bookmarkEnd w:id="6"/>
    </w:p>
    <w:p w14:paraId="3B97A4C2" w14:textId="311F808E" w:rsidR="003777DD" w:rsidRPr="00990E04" w:rsidRDefault="003777DD" w:rsidP="00990E04">
      <w:pPr>
        <w:rPr>
          <w:rStyle w:val="Emphasis"/>
        </w:rPr>
      </w:pPr>
      <w:r w:rsidRPr="00990E04">
        <w:rPr>
          <w:rStyle w:val="Emphasis"/>
        </w:rPr>
        <w:t xml:space="preserve">Gemma is 24. She had been receiving Austudy when she was doing a communication design course and she’s now receiving the JobSeeker Payment. </w:t>
      </w:r>
    </w:p>
    <w:p w14:paraId="43987347" w14:textId="77777777" w:rsidR="003777DD" w:rsidRPr="003777DD" w:rsidRDefault="003777DD" w:rsidP="003777DD">
      <w:r w:rsidRPr="003777DD">
        <w:t>Gemma had to drop out of her course after two years because she couldn’t afford to live near the university and when she moved further away, it took her so long to get to and from classes on public transport that she didn’t have the time to work enough hours to live on.</w:t>
      </w:r>
    </w:p>
    <w:p w14:paraId="4A8B4B9A" w14:textId="77777777" w:rsidR="003777DD" w:rsidRPr="003777DD" w:rsidRDefault="003777DD" w:rsidP="003777DD">
      <w:r w:rsidRPr="003777DD">
        <w:t xml:space="preserve">After two years of struggling to get by Gemma quit university with a large HECS debt and moved back to her hometown where she now lives with her mother, a casual disability support worker. Gemma now works also casually at a petrol station, but finds the hours are unreliable and the job extremely low paid. This was the only job that was within walking distance of her house – she doesn’t have her licence and public transport in her small town is irregular, unreliable and unsafe, especially in winter when it gets dark early. </w:t>
      </w:r>
    </w:p>
    <w:p w14:paraId="5CE0207F" w14:textId="77777777" w:rsidR="003777DD" w:rsidRPr="003777DD" w:rsidRDefault="003777DD" w:rsidP="003777DD">
      <w:r w:rsidRPr="003777DD">
        <w:t xml:space="preserve">When she first quit her course and moved back to her hometown, she only planned to receive JobSeeker for a semester or two, to get herself back on her feet and find a way to continue with her studies at the regional university an hour away. </w:t>
      </w:r>
    </w:p>
    <w:p w14:paraId="1D4B81E7" w14:textId="77777777" w:rsidR="003777DD" w:rsidRPr="008E198C" w:rsidRDefault="003777DD" w:rsidP="003777DD">
      <w:pPr>
        <w:rPr>
          <w:rStyle w:val="Emphasis"/>
        </w:rPr>
      </w:pPr>
      <w:r w:rsidRPr="008E198C">
        <w:rPr>
          <w:rStyle w:val="Emphasis"/>
        </w:rPr>
        <w:t xml:space="preserve">It has now been five years and she is frustrated and feeling stuck in a system she can’t exit. She is now even more reliant on Centrelink, as her income each month is inadequate, causing her to get further and further behind. </w:t>
      </w:r>
    </w:p>
    <w:p w14:paraId="74C3459E" w14:textId="77777777" w:rsidR="003777DD" w:rsidRPr="003777DD" w:rsidRDefault="003777DD" w:rsidP="003777DD">
      <w:r w:rsidRPr="003777DD">
        <w:t xml:space="preserve">She’s had to ask her mother and her siblings for money to pay for food and bills. She’s discovered that even though her family members love her, there’s only so much you can ask. The shame she feels for always having to ask for help is enormous, and there’s no way she can ever pay people back. Her mother is barely making ends meet herself, and her siblings are trying to save for their own houses. Clearly, they’re not in a position to keep giving her money, and she wonders what she will do when her family members tell her they can’t help any longer. The guilt she feels is enormous. </w:t>
      </w:r>
    </w:p>
    <w:p w14:paraId="0252C247" w14:textId="77777777" w:rsidR="003777DD" w:rsidRPr="003777DD" w:rsidRDefault="003777DD" w:rsidP="003777DD">
      <w:r w:rsidRPr="003777DD">
        <w:t xml:space="preserve">Gemma is now finding that her physical health is suffering because she can’t afford to look after herself. She’s had to give up going to the gym and going out with her friends, which is affecting her mental health. </w:t>
      </w:r>
    </w:p>
    <w:p w14:paraId="3BF3C548" w14:textId="77777777" w:rsidR="003777DD" w:rsidRPr="003777DD" w:rsidRDefault="003777DD" w:rsidP="003777DD">
      <w:r w:rsidRPr="003777DD">
        <w:t xml:space="preserve">Gemma lives in a tourist town where housing is hard to come by and where permanent, well-paid jobs are scarce. She would love to move out with friends or get a place of her own but there are no affordable houses available. She would love to have a communication design job, but she can’t afford to travel or move to the regional centre where she could resume her course. Instead, she has a large debt and worsening mental and physical health. </w:t>
      </w:r>
    </w:p>
    <w:p w14:paraId="11E42A70" w14:textId="77777777" w:rsidR="003777DD" w:rsidRPr="003777DD" w:rsidRDefault="003777DD" w:rsidP="003777DD">
      <w:r w:rsidRPr="003777DD">
        <w:t>What Gemma really needs is her driver’s licence and a bit more money to buy a car, but her first employment service provider only offered her resume writing courses and job search training. The jobs they recommended required a car or were labouring work which is hard for her as she has rheumatoid arthritis.</w:t>
      </w:r>
    </w:p>
    <w:p w14:paraId="793CB58B" w14:textId="77777777" w:rsidR="003777DD" w:rsidRPr="003777DD" w:rsidRDefault="003777DD" w:rsidP="003777DD">
      <w:r w:rsidRPr="003777DD">
        <w:t>There aren’t any jobs in her area that match her interests, so she felt it was all a bit pointless. She changed providers, and the new service is helping her to get her licence. Gemma is now hopeful that she can get things back on track.</w:t>
      </w:r>
    </w:p>
    <w:p w14:paraId="290D91CE" w14:textId="77777777" w:rsidR="003777DD" w:rsidRPr="003777DD" w:rsidRDefault="003777DD" w:rsidP="003777DD">
      <w:r w:rsidRPr="003777DD">
        <w:t xml:space="preserve">Gemma thinks that if the Government took a longer-term view and actually helped people to achieve what they know will help them over the long term, then the whole country and taxpayers would be better off. Instead, she believes Centrelink regards her as a ‘dole bludger’ trying to dodge work, and that employment service provider staff look down on her. </w:t>
      </w:r>
    </w:p>
    <w:p w14:paraId="3B1A7F3C" w14:textId="77777777" w:rsidR="003777DD" w:rsidRDefault="003777DD" w:rsidP="003777DD">
      <w:r w:rsidRPr="003777DD">
        <w:lastRenderedPageBreak/>
        <w:t xml:space="preserve">It’s all imposing a huge toll on her mental health. She’s trying to improve her life and trying to get ahead. But the system often puts barriers in her way. She found that all of the pressure put on her to take any job exacerbated her mental health issues and made finding a secure long-term income even further out of reach. </w:t>
      </w:r>
    </w:p>
    <w:p w14:paraId="388DE75A" w14:textId="0C19212D" w:rsidR="003777DD" w:rsidRDefault="003777DD" w:rsidP="003777DD">
      <w:r w:rsidRPr="003777DD">
        <w:t>When she left high school and went to university in the city, Gemma had hopes for a bright future. She could see an enjoyable career ahead. But she has found that that once you’re down, the Centrelink system can sometimes keep you down. She doesn’t know why Australia insists she wastes her life in dead end jobs rather than supporting her to succeed.</w:t>
      </w:r>
    </w:p>
    <w:p w14:paraId="28347BC6" w14:textId="77777777" w:rsidR="00921054" w:rsidRDefault="00921054">
      <w:pPr>
        <w:spacing w:after="0"/>
        <w:sectPr w:rsidR="00921054" w:rsidSect="0039440B">
          <w:headerReference w:type="first" r:id="rId18"/>
          <w:pgSz w:w="11906" w:h="16838"/>
          <w:pgMar w:top="1440" w:right="1440" w:bottom="1440" w:left="1440" w:header="708" w:footer="708" w:gutter="0"/>
          <w:cols w:space="708"/>
          <w:titlePg/>
          <w:docGrid w:linePitch="360"/>
        </w:sectPr>
      </w:pPr>
    </w:p>
    <w:p w14:paraId="3AF802C6" w14:textId="4E59EAA5" w:rsidR="003777DD" w:rsidRPr="00921054" w:rsidRDefault="00262D09" w:rsidP="003777DD">
      <w:pPr>
        <w:pStyle w:val="Heading1"/>
        <w:rPr>
          <w:color w:val="F9F1E7" w:themeColor="background2"/>
        </w:rPr>
      </w:pPr>
      <w:bookmarkStart w:id="7" w:name="_Toc165366847"/>
      <w:r>
        <w:rPr>
          <w:noProof/>
        </w:rPr>
        <w:lastRenderedPageBreak/>
        <w:drawing>
          <wp:anchor distT="0" distB="0" distL="114300" distR="114300" simplePos="0" relativeHeight="251663360" behindDoc="1" locked="0" layoutInCell="1" allowOverlap="1" wp14:anchorId="01267A19" wp14:editId="1BA61AB5">
            <wp:simplePos x="0" y="0"/>
            <wp:positionH relativeFrom="page">
              <wp:align>left</wp:align>
            </wp:positionH>
            <wp:positionV relativeFrom="paragraph">
              <wp:posOffset>-904875</wp:posOffset>
            </wp:positionV>
            <wp:extent cx="7560310" cy="10687050"/>
            <wp:effectExtent l="0" t="0" r="2540" b="0"/>
            <wp:wrapNone/>
            <wp:docPr id="11735437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3777DD" w:rsidRPr="00921054">
        <w:rPr>
          <w:color w:val="F9F1E7" w:themeColor="background2"/>
        </w:rPr>
        <w:t xml:space="preserve">Chapter 1: </w:t>
      </w:r>
      <w:r w:rsidR="00921054">
        <w:rPr>
          <w:color w:val="F9F1E7" w:themeColor="background2"/>
        </w:rPr>
        <w:br/>
      </w:r>
      <w:r w:rsidR="003777DD" w:rsidRPr="00921054">
        <w:rPr>
          <w:color w:val="F9F1E7" w:themeColor="background2"/>
        </w:rPr>
        <w:t>An Economic Inclusion Framework for Government</w:t>
      </w:r>
      <w:bookmarkEnd w:id="7"/>
    </w:p>
    <w:p w14:paraId="09288546" w14:textId="0D81F9D4" w:rsidR="003777DD" w:rsidRDefault="003777DD">
      <w:pPr>
        <w:spacing w:after="0"/>
      </w:pPr>
      <w:r>
        <w:br w:type="page"/>
      </w:r>
    </w:p>
    <w:p w14:paraId="1E65513E" w14:textId="03D12296" w:rsidR="003777DD" w:rsidRPr="003777DD" w:rsidRDefault="003777DD" w:rsidP="003777DD">
      <w:pPr>
        <w:pStyle w:val="Heading2"/>
      </w:pPr>
      <w:bookmarkStart w:id="8" w:name="_Toc165366848"/>
      <w:r w:rsidRPr="003777DD">
        <w:lastRenderedPageBreak/>
        <w:t>1.1 Rationale</w:t>
      </w:r>
      <w:bookmarkEnd w:id="8"/>
    </w:p>
    <w:p w14:paraId="2FEA6B4D" w14:textId="77777777" w:rsidR="003777DD" w:rsidRPr="0009306C" w:rsidRDefault="003777DD" w:rsidP="003777DD">
      <w:pPr>
        <w:rPr>
          <w:rStyle w:val="Emphasis"/>
        </w:rPr>
      </w:pPr>
      <w:r w:rsidRPr="0009306C">
        <w:rPr>
          <w:rStyle w:val="Emphasis"/>
        </w:rPr>
        <w:t xml:space="preserve">Under the </w:t>
      </w:r>
      <w:r w:rsidRPr="00713A82">
        <w:rPr>
          <w:rStyle w:val="Emphasis"/>
          <w:i/>
          <w:iCs w:val="0"/>
        </w:rPr>
        <w:t>Economic Inclusion Advisory Committee Act 2023</w:t>
      </w:r>
      <w:r w:rsidRPr="0009306C">
        <w:rPr>
          <w:rStyle w:val="Emphasis"/>
        </w:rPr>
        <w:t xml:space="preserve"> the Committee’s annual report must consist of advice on the following matters as they relate to the policies, programs and responsibilities of the Commonwealth Government: </w:t>
      </w:r>
    </w:p>
    <w:p w14:paraId="4F233027" w14:textId="77777777" w:rsidR="003777DD" w:rsidRPr="003777DD" w:rsidRDefault="003777DD" w:rsidP="003777DD">
      <w:pPr>
        <w:pStyle w:val="ListBullet"/>
      </w:pPr>
      <w:r w:rsidRPr="003777DD">
        <w:t xml:space="preserve">economic inclusion, including approaches to boost economic participation through policy settings, systems and structures in the social security system and other relevant programs and policies </w:t>
      </w:r>
    </w:p>
    <w:p w14:paraId="13FB3771" w14:textId="77777777" w:rsidR="003777DD" w:rsidRPr="003777DD" w:rsidRDefault="003777DD" w:rsidP="003777DD">
      <w:pPr>
        <w:pStyle w:val="ListBullet"/>
      </w:pPr>
      <w:r w:rsidRPr="003777DD">
        <w:t xml:space="preserve">the adequacy, effectiveness and sustainability of income support payments, including options to boost economic inclusion and tackle disadvantage </w:t>
      </w:r>
    </w:p>
    <w:p w14:paraId="278A936A" w14:textId="77777777" w:rsidR="003777DD" w:rsidRPr="003777DD" w:rsidRDefault="003777DD" w:rsidP="003777DD">
      <w:pPr>
        <w:pStyle w:val="ListBullet"/>
      </w:pPr>
      <w:r w:rsidRPr="003777DD">
        <w:t xml:space="preserve">options to reduce barriers and disincentives to work, including in relation to social security and employment services </w:t>
      </w:r>
    </w:p>
    <w:p w14:paraId="0A46072D" w14:textId="77777777" w:rsidR="003777DD" w:rsidRPr="003777DD" w:rsidRDefault="003777DD" w:rsidP="003777DD">
      <w:pPr>
        <w:pStyle w:val="ListBullet"/>
      </w:pPr>
      <w:r w:rsidRPr="003777DD">
        <w:t xml:space="preserve">options for tailored responses to address barriers to economic inclusion for long term unemployed and disadvantaged groups, including place-based approaches at the local level, having regard to the split between commonwealth, state, territory and local government responsibilities </w:t>
      </w:r>
    </w:p>
    <w:p w14:paraId="3B8E0FA2" w14:textId="77777777" w:rsidR="003777DD" w:rsidRPr="003777DD" w:rsidRDefault="003777DD" w:rsidP="003777DD">
      <w:pPr>
        <w:pStyle w:val="ListBullet"/>
      </w:pPr>
      <w:r w:rsidRPr="003777DD">
        <w:t xml:space="preserve">the impact of economic inclusion policies on people with barriers to work, including (without limitation) people with caring responsibilities, Indigenous Australians, and people with disability </w:t>
      </w:r>
    </w:p>
    <w:p w14:paraId="53FA7BDD" w14:textId="77777777" w:rsidR="003777DD" w:rsidRPr="003777DD" w:rsidRDefault="003777DD" w:rsidP="003777DD">
      <w:pPr>
        <w:pStyle w:val="ListBullet"/>
      </w:pPr>
      <w:r w:rsidRPr="003777DD">
        <w:t>the impact of economic inclusion policies on gender equality</w:t>
      </w:r>
    </w:p>
    <w:p w14:paraId="4B6EA819" w14:textId="77777777" w:rsidR="003777DD" w:rsidRPr="003777DD" w:rsidRDefault="003777DD" w:rsidP="003777DD">
      <w:pPr>
        <w:pStyle w:val="ListBullet"/>
      </w:pPr>
      <w:r w:rsidRPr="003777DD">
        <w:t>the trends of inequality markers in Australia and international comparisons.</w:t>
      </w:r>
    </w:p>
    <w:p w14:paraId="6F33A69D" w14:textId="77777777" w:rsidR="003777DD" w:rsidRPr="003777DD" w:rsidRDefault="003777DD" w:rsidP="003777DD">
      <w:r w:rsidRPr="003777DD">
        <w:t xml:space="preserve">To aid the preparation of this advice to Government and aid the Government’s policymaking in this area, the Committee has developed the following working definition and framework of economic inclusion. The definition and framework aim to provide the Committee and Government with clarity about the nature and extent of economic exclusion and how policies might promote economic inclusion generally. The definition and framework are intended as a living document that evolves over time. </w:t>
      </w:r>
    </w:p>
    <w:p w14:paraId="2B8BC594" w14:textId="77777777" w:rsidR="003777DD" w:rsidRPr="003777DD" w:rsidRDefault="003777DD" w:rsidP="003777DD">
      <w:r w:rsidRPr="003777DD">
        <w:t>The Committee has started the process of developing indicators to complement the framework and help identify areas of focus for the work of the Committee. Examples of these are provided in this year’s report and will be expanded in future years as the work of the Committee proceeds.</w:t>
      </w:r>
    </w:p>
    <w:p w14:paraId="2C2791DD" w14:textId="77777777" w:rsidR="003777DD" w:rsidRPr="003777DD" w:rsidRDefault="003777DD" w:rsidP="003777DD">
      <w:pPr>
        <w:pStyle w:val="Heading2"/>
      </w:pPr>
      <w:bookmarkStart w:id="9" w:name="_Toc165366849"/>
      <w:r w:rsidRPr="003777DD">
        <w:t>1.2 A definition of Economic Inclusion</w:t>
      </w:r>
      <w:bookmarkEnd w:id="9"/>
    </w:p>
    <w:p w14:paraId="5A799369" w14:textId="60A6C630" w:rsidR="003777DD" w:rsidRPr="003777DD" w:rsidRDefault="003777DD" w:rsidP="003777DD">
      <w:r w:rsidRPr="003777DD">
        <w:t xml:space="preserve">Economic inclusion is the process of ensuring that all people have the opportunity to participate fully in society and to improve their economic well-being. Economic inclusion is based on the premise that every member of our society has the right to fully participate and that our economy and society would be stronger if this was the case. </w:t>
      </w:r>
    </w:p>
    <w:p w14:paraId="05191C62" w14:textId="77777777" w:rsidR="003777DD" w:rsidRPr="003777DD" w:rsidRDefault="003777DD" w:rsidP="003777DD">
      <w:r w:rsidRPr="003777DD">
        <w:t>The Committee has identified four domains to guide its work and advice:</w:t>
      </w:r>
    </w:p>
    <w:p w14:paraId="2F628B08" w14:textId="77777777" w:rsidR="003777DD" w:rsidRPr="003777DD" w:rsidRDefault="003777DD" w:rsidP="003777DD">
      <w:pPr>
        <w:pStyle w:val="ListBullet"/>
      </w:pPr>
      <w:r w:rsidRPr="003777DD">
        <w:t>economic security</w:t>
      </w:r>
    </w:p>
    <w:p w14:paraId="727C8AEB" w14:textId="77777777" w:rsidR="003777DD" w:rsidRPr="003777DD" w:rsidRDefault="003777DD" w:rsidP="003777DD">
      <w:pPr>
        <w:pStyle w:val="ListBullet"/>
      </w:pPr>
      <w:r w:rsidRPr="003777DD">
        <w:t>equal opportunities</w:t>
      </w:r>
    </w:p>
    <w:p w14:paraId="2EEA517C" w14:textId="77777777" w:rsidR="003777DD" w:rsidRPr="003777DD" w:rsidRDefault="003777DD" w:rsidP="003777DD">
      <w:pPr>
        <w:pStyle w:val="ListBullet"/>
      </w:pPr>
      <w:r w:rsidRPr="003777DD">
        <w:t>growth and ensuring equal sharing of growth</w:t>
      </w:r>
    </w:p>
    <w:p w14:paraId="6E44BC1D" w14:textId="77777777" w:rsidR="003777DD" w:rsidRPr="003777DD" w:rsidRDefault="003777DD" w:rsidP="003777DD">
      <w:pPr>
        <w:pStyle w:val="ListBullet"/>
      </w:pPr>
      <w:r w:rsidRPr="003777DD">
        <w:t>efficient and responsive Government.</w:t>
      </w:r>
    </w:p>
    <w:p w14:paraId="5DF19BF8" w14:textId="77777777" w:rsidR="003777DD" w:rsidRPr="003777DD" w:rsidRDefault="003777DD" w:rsidP="003777DD">
      <w:r w:rsidRPr="003777DD">
        <w:t xml:space="preserve">These domains are not mutually exclusive, and there is overlap but they provide a framework helpful for guiding the Committee’s advice to Government. </w:t>
      </w:r>
    </w:p>
    <w:p w14:paraId="18F96777" w14:textId="77777777" w:rsidR="003777DD" w:rsidRPr="003777DD" w:rsidRDefault="003777DD" w:rsidP="003777DD">
      <w:r w:rsidRPr="003777DD">
        <w:t xml:space="preserve">Across all areas of the Committee’s work an intersectional lens will be applied that accounts for the different experiences, needs and approaches for all priority groups, including Aboriginal and Torres Strait Islander Australians, people with a disability that are able or not able to participate in paid work, women, people from a non-English speaking background, </w:t>
      </w:r>
      <w:r w:rsidRPr="003777DD">
        <w:lastRenderedPageBreak/>
        <w:t xml:space="preserve">people living in regional and remote Australia, and households with children. The Committee has endeavoured throughout to include distributional analysis on the effects of its recommendations, including across different household types and priority groups. </w:t>
      </w:r>
    </w:p>
    <w:p w14:paraId="3319721E" w14:textId="1728857F" w:rsidR="003777DD" w:rsidRDefault="003777DD" w:rsidP="003777DD">
      <w:r w:rsidRPr="003777DD">
        <w:t>This chapter presents the framework and a snapshot of selected measures within the framework. Appendix C contains more data, including methodological notes and caveats. For some measures, additional data is available on the Measuring What Matters dashboard on the Treasury website.</w:t>
      </w:r>
    </w:p>
    <w:p w14:paraId="4924A084" w14:textId="77777777" w:rsidR="003777DD" w:rsidRPr="003777DD" w:rsidRDefault="003777DD" w:rsidP="003777DD">
      <w:pPr>
        <w:pStyle w:val="Heading2"/>
      </w:pPr>
      <w:bookmarkStart w:id="10" w:name="_Toc165366850"/>
      <w:r w:rsidRPr="003777DD">
        <w:t>1.3 A four point Economic Inclusion Framework</w:t>
      </w:r>
      <w:bookmarkEnd w:id="10"/>
    </w:p>
    <w:p w14:paraId="010CA217" w14:textId="4D05C8BD" w:rsidR="003777DD" w:rsidRDefault="003777DD" w:rsidP="00A726F2">
      <w:r>
        <w:rPr>
          <w:noProof/>
        </w:rPr>
        <w:drawing>
          <wp:inline distT="0" distB="0" distL="0" distR="0" wp14:anchorId="71F2D459" wp14:editId="35A525C1">
            <wp:extent cx="5731510" cy="5731510"/>
            <wp:effectExtent l="0" t="0" r="0" b="0"/>
            <wp:docPr id="1457144941" name="Picture 1" descr="Economic Inclusion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44941" name="Picture 1" descr="Economic Inclusion Framework diagr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D6C29B2" w14:textId="491E34A1" w:rsidR="003777DD" w:rsidRPr="00BE60A2" w:rsidRDefault="003777DD" w:rsidP="00BE60A2">
      <w:pPr>
        <w:rPr>
          <w:b/>
          <w:bCs/>
        </w:rPr>
      </w:pPr>
      <w:r w:rsidRPr="00BE60A2">
        <w:rPr>
          <w:b/>
          <w:bCs/>
        </w:rPr>
        <w:t>Economic Security</w:t>
      </w:r>
    </w:p>
    <w:p w14:paraId="4D955850" w14:textId="77777777" w:rsidR="003777DD" w:rsidRDefault="003777DD" w:rsidP="003777DD">
      <w:r w:rsidRPr="003777DD">
        <w:t>Without economic security it is not possible for individuals or families to fully participate in society or the economy.</w:t>
      </w:r>
    </w:p>
    <w:p w14:paraId="2D04F81E" w14:textId="27825220" w:rsidR="003777DD" w:rsidRPr="003777DD" w:rsidRDefault="003777DD" w:rsidP="003777DD">
      <w:r w:rsidRPr="003777DD">
        <w:t>Measures:</w:t>
      </w:r>
    </w:p>
    <w:p w14:paraId="76DD8FEA" w14:textId="77777777" w:rsidR="003777DD" w:rsidRPr="003777DD" w:rsidRDefault="003777DD" w:rsidP="003777DD">
      <w:pPr>
        <w:pStyle w:val="ListBullet"/>
      </w:pPr>
      <w:r w:rsidRPr="003777DD">
        <w:t>Adequacy of income support payments</w:t>
      </w:r>
    </w:p>
    <w:p w14:paraId="2CE70436" w14:textId="77777777" w:rsidR="003777DD" w:rsidRPr="003777DD" w:rsidRDefault="003777DD" w:rsidP="003777DD">
      <w:pPr>
        <w:pStyle w:val="ListBullet"/>
      </w:pPr>
      <w:r w:rsidRPr="003777DD">
        <w:t>Material deprivation</w:t>
      </w:r>
    </w:p>
    <w:p w14:paraId="35995D5D" w14:textId="77777777" w:rsidR="003777DD" w:rsidRPr="003777DD" w:rsidRDefault="003777DD" w:rsidP="003777DD">
      <w:pPr>
        <w:pStyle w:val="ListBullet"/>
      </w:pPr>
      <w:r w:rsidRPr="003777DD">
        <w:t>Financial stress</w:t>
      </w:r>
    </w:p>
    <w:p w14:paraId="579F9924" w14:textId="77777777" w:rsidR="003777DD" w:rsidRPr="003777DD" w:rsidRDefault="003777DD" w:rsidP="003777DD">
      <w:pPr>
        <w:pStyle w:val="ListBullet"/>
      </w:pPr>
      <w:r w:rsidRPr="003777DD">
        <w:lastRenderedPageBreak/>
        <w:t>Poverty rates</w:t>
      </w:r>
    </w:p>
    <w:p w14:paraId="20C2EA8C" w14:textId="77777777" w:rsidR="003777DD" w:rsidRPr="003777DD" w:rsidRDefault="003777DD" w:rsidP="003777DD">
      <w:pPr>
        <w:pStyle w:val="ListBullet"/>
      </w:pPr>
      <w:r w:rsidRPr="003777DD">
        <w:t xml:space="preserve">Poverty gap </w:t>
      </w:r>
    </w:p>
    <w:p w14:paraId="74E8D0DB" w14:textId="70ACC8FC" w:rsidR="003777DD" w:rsidRDefault="003777DD" w:rsidP="003777DD">
      <w:pPr>
        <w:pStyle w:val="ListBullet"/>
      </w:pPr>
      <w:r w:rsidRPr="003777DD">
        <w:t>Persistence of poverty</w:t>
      </w:r>
    </w:p>
    <w:p w14:paraId="154DB725" w14:textId="1712B3B1" w:rsidR="003777DD" w:rsidRPr="00BE60A2" w:rsidRDefault="003777DD" w:rsidP="00BE60A2">
      <w:pPr>
        <w:rPr>
          <w:b/>
          <w:bCs/>
        </w:rPr>
      </w:pPr>
      <w:r w:rsidRPr="00BE60A2">
        <w:rPr>
          <w:b/>
          <w:bCs/>
        </w:rPr>
        <w:t>Equal Opportunities</w:t>
      </w:r>
    </w:p>
    <w:p w14:paraId="6996221F" w14:textId="77777777" w:rsidR="003777DD" w:rsidRDefault="003777DD" w:rsidP="003777DD">
      <w:r w:rsidRPr="003777DD">
        <w:t>Economic inclusion requires the opportunity to participate in economic activity and having agency to choose one’s own future path.</w:t>
      </w:r>
    </w:p>
    <w:p w14:paraId="0D88F716" w14:textId="20DA164C" w:rsidR="003777DD" w:rsidRPr="003777DD" w:rsidRDefault="003777DD" w:rsidP="003777DD">
      <w:r w:rsidRPr="003777DD">
        <w:t>Measures:</w:t>
      </w:r>
    </w:p>
    <w:p w14:paraId="40CD08D2" w14:textId="77777777" w:rsidR="003777DD" w:rsidRPr="003777DD" w:rsidRDefault="003777DD" w:rsidP="003777DD">
      <w:pPr>
        <w:pStyle w:val="ListBullet"/>
      </w:pPr>
      <w:r w:rsidRPr="003777DD">
        <w:t xml:space="preserve">Australian Early Development Census outcomes </w:t>
      </w:r>
    </w:p>
    <w:p w14:paraId="14D83EA0" w14:textId="77777777" w:rsidR="003777DD" w:rsidRPr="003777DD" w:rsidRDefault="003777DD" w:rsidP="003777DD">
      <w:pPr>
        <w:pStyle w:val="ListBullet"/>
      </w:pPr>
      <w:r w:rsidRPr="003777DD">
        <w:t>Home ownership</w:t>
      </w:r>
    </w:p>
    <w:p w14:paraId="46E74DE7" w14:textId="77777777" w:rsidR="003777DD" w:rsidRPr="003777DD" w:rsidRDefault="003777DD" w:rsidP="003777DD">
      <w:pPr>
        <w:pStyle w:val="ListBullet"/>
      </w:pPr>
      <w:r w:rsidRPr="003777DD">
        <w:t>Housing stress</w:t>
      </w:r>
    </w:p>
    <w:p w14:paraId="46DD9FA0" w14:textId="32A45F3A" w:rsidR="003777DD" w:rsidRDefault="003777DD" w:rsidP="003777DD">
      <w:pPr>
        <w:pStyle w:val="ListBullet"/>
      </w:pPr>
      <w:r w:rsidRPr="003777DD">
        <w:t>School completion</w:t>
      </w:r>
    </w:p>
    <w:p w14:paraId="69693AE7" w14:textId="6E486CFE" w:rsidR="003777DD" w:rsidRPr="00BE60A2" w:rsidRDefault="003777DD" w:rsidP="00BE60A2">
      <w:pPr>
        <w:rPr>
          <w:b/>
          <w:bCs/>
        </w:rPr>
      </w:pPr>
      <w:r w:rsidRPr="00BE60A2">
        <w:rPr>
          <w:b/>
          <w:bCs/>
        </w:rPr>
        <w:t>Growth and equal share of growth</w:t>
      </w:r>
    </w:p>
    <w:p w14:paraId="4655CB49" w14:textId="77777777" w:rsidR="003777DD" w:rsidRDefault="003777DD" w:rsidP="003777DD">
      <w:r w:rsidRPr="003777DD">
        <w:t>There is a symbiotic relationship between strong economic growth and economic inclusion.</w:t>
      </w:r>
    </w:p>
    <w:p w14:paraId="38050EE1" w14:textId="32281260" w:rsidR="003777DD" w:rsidRPr="003777DD" w:rsidRDefault="003777DD" w:rsidP="003777DD">
      <w:r w:rsidRPr="003777DD">
        <w:t>Measures:</w:t>
      </w:r>
    </w:p>
    <w:p w14:paraId="2EE6B5C7" w14:textId="77777777" w:rsidR="003777DD" w:rsidRPr="003777DD" w:rsidRDefault="003777DD" w:rsidP="003777DD">
      <w:pPr>
        <w:pStyle w:val="ListBullet"/>
      </w:pPr>
      <w:r w:rsidRPr="003777DD">
        <w:t>Full employment</w:t>
      </w:r>
    </w:p>
    <w:p w14:paraId="63D86018" w14:textId="77777777" w:rsidR="003777DD" w:rsidRPr="003777DD" w:rsidRDefault="003777DD" w:rsidP="003777DD">
      <w:pPr>
        <w:pStyle w:val="ListBullet"/>
      </w:pPr>
      <w:r w:rsidRPr="003777DD">
        <w:t>Secure employment</w:t>
      </w:r>
    </w:p>
    <w:p w14:paraId="7EEB5986" w14:textId="77777777" w:rsidR="003777DD" w:rsidRPr="003777DD" w:rsidRDefault="003777DD" w:rsidP="003777DD">
      <w:pPr>
        <w:pStyle w:val="ListBullet"/>
      </w:pPr>
      <w:r w:rsidRPr="003777DD">
        <w:t>Adequacy of minimum wage</w:t>
      </w:r>
    </w:p>
    <w:p w14:paraId="25D65D98" w14:textId="77777777" w:rsidR="003777DD" w:rsidRPr="003777DD" w:rsidRDefault="003777DD" w:rsidP="003777DD">
      <w:pPr>
        <w:pStyle w:val="ListBullet"/>
      </w:pPr>
      <w:r w:rsidRPr="003777DD">
        <w:t>Levels of business dynamism</w:t>
      </w:r>
    </w:p>
    <w:p w14:paraId="2BD16A0F" w14:textId="77777777" w:rsidR="003777DD" w:rsidRPr="003777DD" w:rsidRDefault="003777DD" w:rsidP="003777DD">
      <w:pPr>
        <w:pStyle w:val="ListBullet"/>
      </w:pPr>
      <w:r w:rsidRPr="003777DD">
        <w:t>Effective marginal tax rates</w:t>
      </w:r>
    </w:p>
    <w:p w14:paraId="307A1A8A" w14:textId="1BDE9320" w:rsidR="003777DD" w:rsidRDefault="003777DD" w:rsidP="003777DD">
      <w:pPr>
        <w:pStyle w:val="ListBullet"/>
      </w:pPr>
      <w:r w:rsidRPr="003777DD">
        <w:t>Income and wealth inequality</w:t>
      </w:r>
    </w:p>
    <w:p w14:paraId="7C790257" w14:textId="0879C0AF" w:rsidR="003777DD" w:rsidRPr="00BE60A2" w:rsidRDefault="003777DD" w:rsidP="00BE60A2">
      <w:pPr>
        <w:rPr>
          <w:b/>
          <w:bCs/>
        </w:rPr>
      </w:pPr>
      <w:r w:rsidRPr="00BE60A2">
        <w:rPr>
          <w:b/>
          <w:bCs/>
        </w:rPr>
        <w:t>Efficient and responsive Governments</w:t>
      </w:r>
    </w:p>
    <w:p w14:paraId="3CE51B6B" w14:textId="77777777" w:rsidR="003777DD" w:rsidRDefault="003777DD" w:rsidP="003777DD">
      <w:r w:rsidRPr="003777DD">
        <w:t>Government processes and maintaining administrative justice underpin economic inclusion through public accountability, transparency, and participation.</w:t>
      </w:r>
    </w:p>
    <w:p w14:paraId="71880003" w14:textId="7020FF0A" w:rsidR="003777DD" w:rsidRPr="003777DD" w:rsidRDefault="003777DD" w:rsidP="003777DD">
      <w:r w:rsidRPr="003777DD">
        <w:t>Measures:</w:t>
      </w:r>
    </w:p>
    <w:p w14:paraId="3BF91C63" w14:textId="77777777" w:rsidR="003777DD" w:rsidRPr="003777DD" w:rsidRDefault="003777DD" w:rsidP="003777DD">
      <w:pPr>
        <w:pStyle w:val="ListBullet"/>
      </w:pPr>
      <w:r w:rsidRPr="003777DD">
        <w:t>Administration of government payments and services</w:t>
      </w:r>
    </w:p>
    <w:p w14:paraId="5EC2E877" w14:textId="77777777" w:rsidR="003777DD" w:rsidRPr="003777DD" w:rsidRDefault="003777DD" w:rsidP="003777DD">
      <w:pPr>
        <w:pStyle w:val="ListBullet"/>
      </w:pPr>
      <w:r w:rsidRPr="003777DD">
        <w:t>Involvement of underrepresented or excluded populations in decision making</w:t>
      </w:r>
    </w:p>
    <w:p w14:paraId="62A55B1C" w14:textId="765D09A6" w:rsidR="003777DD" w:rsidRDefault="003777DD" w:rsidP="003777DD">
      <w:pPr>
        <w:pStyle w:val="ListBullet"/>
      </w:pPr>
      <w:r w:rsidRPr="003777DD">
        <w:t>Crisis response</w:t>
      </w:r>
    </w:p>
    <w:p w14:paraId="24EE4AB6" w14:textId="77777777" w:rsidR="003777DD" w:rsidRPr="003777DD" w:rsidRDefault="003777DD" w:rsidP="003777DD">
      <w:pPr>
        <w:pStyle w:val="Heading3"/>
      </w:pPr>
      <w:r w:rsidRPr="003777DD">
        <w:t xml:space="preserve">1.3.1 Economic Security </w:t>
      </w:r>
    </w:p>
    <w:p w14:paraId="64B4F691" w14:textId="77777777" w:rsidR="003777DD" w:rsidRPr="003777DD" w:rsidRDefault="003777DD" w:rsidP="003777DD">
      <w:pPr>
        <w:rPr>
          <w:rStyle w:val="Emphasis"/>
          <w:lang w:val="en-US"/>
        </w:rPr>
      </w:pPr>
      <w:r w:rsidRPr="003777DD">
        <w:rPr>
          <w:rStyle w:val="Emphasis"/>
          <w:lang w:val="en-US"/>
        </w:rPr>
        <w:t xml:space="preserve">The Committee recognises that without economic security it is not possible for individuals or families to fully participate in society or the economy. </w:t>
      </w:r>
    </w:p>
    <w:p w14:paraId="0D63F956" w14:textId="77777777" w:rsidR="003777DD" w:rsidRDefault="003777DD" w:rsidP="003777DD">
      <w:pPr>
        <w:rPr>
          <w:lang w:val="en-GB"/>
        </w:rPr>
      </w:pPr>
      <w:r w:rsidRPr="003777DD">
        <w:rPr>
          <w:lang w:val="en-GB"/>
        </w:rPr>
        <w:t xml:space="preserve">Economic security can be advanced through a strong social safety net for those who cannot fully participate in paid work either during episodes of vulnerability or for longer periods of time and through access to secure employment. Economic security is crucial for the healthy development and educational success of children. </w:t>
      </w:r>
    </w:p>
    <w:p w14:paraId="1292F587" w14:textId="2AE20360" w:rsidR="003777DD" w:rsidRDefault="003777DD" w:rsidP="003777DD">
      <w:pPr>
        <w:pStyle w:val="Heading4"/>
      </w:pPr>
      <w:r w:rsidRPr="003777DD">
        <w:t>Table 1: measures of Economic Security</w:t>
      </w:r>
    </w:p>
    <w:tbl>
      <w:tblPr>
        <w:tblStyle w:val="TableGrid"/>
        <w:tblW w:w="0" w:type="auto"/>
        <w:tblLook w:val="04A0" w:firstRow="1" w:lastRow="0" w:firstColumn="1" w:lastColumn="0" w:noHBand="0" w:noVBand="1"/>
      </w:tblPr>
      <w:tblGrid>
        <w:gridCol w:w="2830"/>
        <w:gridCol w:w="6186"/>
      </w:tblGrid>
      <w:tr w:rsidR="0012579D" w14:paraId="09CD560A" w14:textId="77777777" w:rsidTr="00FD7AE5">
        <w:trPr>
          <w:cnfStyle w:val="100000000000" w:firstRow="1" w:lastRow="0" w:firstColumn="0" w:lastColumn="0" w:oddVBand="0" w:evenVBand="0" w:oddHBand="0" w:evenHBand="0" w:firstRowFirstColumn="0" w:firstRowLastColumn="0" w:lastRowFirstColumn="0" w:lastRowLastColumn="0"/>
        </w:trPr>
        <w:tc>
          <w:tcPr>
            <w:tcW w:w="2830" w:type="dxa"/>
            <w:vAlign w:val="center"/>
          </w:tcPr>
          <w:p w14:paraId="0740CAF4" w14:textId="1DEA4A20" w:rsidR="0012579D" w:rsidRPr="008E198C" w:rsidRDefault="0012579D" w:rsidP="008E198C">
            <w:pPr>
              <w:rPr>
                <w:color w:val="FFFFFF" w:themeColor="background1"/>
              </w:rPr>
            </w:pPr>
            <w:r w:rsidRPr="008E198C">
              <w:rPr>
                <w:color w:val="FFFFFF" w:themeColor="background1"/>
              </w:rPr>
              <w:t>Measure</w:t>
            </w:r>
            <w:bookmarkStart w:id="11" w:name="ColumnTitle_MeasuresofEconomicSecurity"/>
            <w:bookmarkEnd w:id="11"/>
          </w:p>
        </w:tc>
        <w:tc>
          <w:tcPr>
            <w:tcW w:w="6186" w:type="dxa"/>
            <w:vAlign w:val="center"/>
          </w:tcPr>
          <w:p w14:paraId="5BB6AB0F" w14:textId="402A7854" w:rsidR="0012579D" w:rsidRPr="008E198C" w:rsidRDefault="0012579D" w:rsidP="008E198C">
            <w:pPr>
              <w:rPr>
                <w:color w:val="FFFFFF" w:themeColor="background1"/>
              </w:rPr>
            </w:pPr>
            <w:r w:rsidRPr="008E198C">
              <w:rPr>
                <w:color w:val="FFFFFF" w:themeColor="background1"/>
              </w:rPr>
              <w:t>Relevance</w:t>
            </w:r>
          </w:p>
        </w:tc>
      </w:tr>
      <w:tr w:rsidR="0012579D" w14:paraId="557F858B"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256A6D37" w14:textId="38570C07" w:rsidR="0012579D" w:rsidRPr="0012579D" w:rsidRDefault="0012579D" w:rsidP="0012579D">
            <w:r w:rsidRPr="0012579D">
              <w:t>Adequacy of Income Support Payments</w:t>
            </w:r>
          </w:p>
        </w:tc>
        <w:tc>
          <w:tcPr>
            <w:tcW w:w="6186" w:type="dxa"/>
          </w:tcPr>
          <w:p w14:paraId="7EEC9791" w14:textId="7E753664" w:rsidR="0012579D" w:rsidRPr="0012579D" w:rsidRDefault="0012579D" w:rsidP="0012579D">
            <w:r w:rsidRPr="0012579D">
              <w:t>The adequacy of income support payments can influence levels of poverty and financial stress.</w:t>
            </w:r>
          </w:p>
        </w:tc>
      </w:tr>
      <w:tr w:rsidR="0012579D" w14:paraId="62800EAE" w14:textId="77777777" w:rsidTr="00FD7AE5">
        <w:tc>
          <w:tcPr>
            <w:tcW w:w="2830" w:type="dxa"/>
          </w:tcPr>
          <w:p w14:paraId="183306AE" w14:textId="71B48FF6" w:rsidR="0012579D" w:rsidRPr="0012579D" w:rsidRDefault="0012579D" w:rsidP="0012579D">
            <w:r w:rsidRPr="0012579D">
              <w:t>Material Deprivation</w:t>
            </w:r>
          </w:p>
        </w:tc>
        <w:tc>
          <w:tcPr>
            <w:tcW w:w="6186" w:type="dxa"/>
          </w:tcPr>
          <w:p w14:paraId="78940B3D" w14:textId="3703D750" w:rsidR="0012579D" w:rsidRPr="0012579D" w:rsidRDefault="0012579D" w:rsidP="0012579D">
            <w:r w:rsidRPr="0012579D">
              <w:t>Individuals can have high levels of wealth but low levels of income, and thereby not experience the same level of material deprivation as groups with low levels of wealth and low levels of income.</w:t>
            </w:r>
          </w:p>
        </w:tc>
      </w:tr>
      <w:tr w:rsidR="0012579D" w14:paraId="3FF58658"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65C01C39" w14:textId="2967F726" w:rsidR="0012579D" w:rsidRPr="0012579D" w:rsidRDefault="0012579D" w:rsidP="0012579D">
            <w:r w:rsidRPr="0012579D">
              <w:lastRenderedPageBreak/>
              <w:t>Financial Stress</w:t>
            </w:r>
          </w:p>
        </w:tc>
        <w:tc>
          <w:tcPr>
            <w:tcW w:w="6186" w:type="dxa"/>
          </w:tcPr>
          <w:p w14:paraId="1607AFF2" w14:textId="1481338A" w:rsidR="0012579D" w:rsidRPr="0012579D" w:rsidRDefault="0012579D" w:rsidP="0012579D">
            <w:r w:rsidRPr="0012579D">
              <w:t>Financial stress is linked to poorer mental health, poorer general health, lower educational outcomes for children, and lower workforce productivity.</w:t>
            </w:r>
          </w:p>
        </w:tc>
      </w:tr>
      <w:tr w:rsidR="0012579D" w14:paraId="786A249A" w14:textId="77777777" w:rsidTr="00FD7AE5">
        <w:tc>
          <w:tcPr>
            <w:tcW w:w="2830" w:type="dxa"/>
          </w:tcPr>
          <w:p w14:paraId="492FB6FC" w14:textId="3BA2FA98" w:rsidR="0012579D" w:rsidRPr="0012579D" w:rsidRDefault="0012579D" w:rsidP="0012579D">
            <w:r w:rsidRPr="0012579D">
              <w:t>Poverty Rates</w:t>
            </w:r>
          </w:p>
        </w:tc>
        <w:tc>
          <w:tcPr>
            <w:tcW w:w="6186" w:type="dxa"/>
          </w:tcPr>
          <w:p w14:paraId="468BB34B" w14:textId="76745B4D" w:rsidR="0012579D" w:rsidRPr="0012579D" w:rsidRDefault="0012579D" w:rsidP="0012579D">
            <w:r w:rsidRPr="0012579D">
              <w:t>Experiencing poverty and material deprivation is linked to poorer mental and physical health, lower productivity, and can undermine child development outcomes. Reporting on rates of poverty and the impact of proposed policies on its incidence will provide important an important tool for Australian public policy.</w:t>
            </w:r>
          </w:p>
        </w:tc>
      </w:tr>
      <w:tr w:rsidR="0012579D" w14:paraId="0AD5238B" w14:textId="77777777" w:rsidTr="00FD7AE5">
        <w:trPr>
          <w:cnfStyle w:val="000000100000" w:firstRow="0" w:lastRow="0" w:firstColumn="0" w:lastColumn="0" w:oddVBand="0" w:evenVBand="0" w:oddHBand="1" w:evenHBand="0" w:firstRowFirstColumn="0" w:firstRowLastColumn="0" w:lastRowFirstColumn="0" w:lastRowLastColumn="0"/>
        </w:trPr>
        <w:tc>
          <w:tcPr>
            <w:tcW w:w="2830" w:type="dxa"/>
          </w:tcPr>
          <w:p w14:paraId="1B0B186A" w14:textId="68DFA11D" w:rsidR="0012579D" w:rsidRPr="0012579D" w:rsidRDefault="0012579D" w:rsidP="0012579D">
            <w:r w:rsidRPr="0012579D">
              <w:t>Poverty Gap</w:t>
            </w:r>
          </w:p>
        </w:tc>
        <w:tc>
          <w:tcPr>
            <w:tcW w:w="6186" w:type="dxa"/>
          </w:tcPr>
          <w:p w14:paraId="13B466B7" w14:textId="6634D762" w:rsidR="0012579D" w:rsidRPr="0012579D" w:rsidRDefault="0012579D" w:rsidP="0012579D">
            <w:r w:rsidRPr="0012579D">
              <w:t>Households can fall just below a poverty line or be well below the level consistent with a decent standard of living. Understanding the severity of poverty across the community allows the prioritisation of policy responses.</w:t>
            </w:r>
          </w:p>
        </w:tc>
      </w:tr>
      <w:tr w:rsidR="00FD7AE5" w14:paraId="2D38310A" w14:textId="77777777" w:rsidTr="00FD7AE5">
        <w:tc>
          <w:tcPr>
            <w:tcW w:w="2830" w:type="dxa"/>
          </w:tcPr>
          <w:p w14:paraId="3CFB15DB" w14:textId="27221880" w:rsidR="00FD7AE5" w:rsidRPr="00FD7AE5" w:rsidRDefault="00FD7AE5" w:rsidP="00FD7AE5">
            <w:r w:rsidRPr="00FD7AE5">
              <w:t>Persistence of Poverty</w:t>
            </w:r>
          </w:p>
        </w:tc>
        <w:tc>
          <w:tcPr>
            <w:tcW w:w="6186" w:type="dxa"/>
          </w:tcPr>
          <w:p w14:paraId="07824FB3" w14:textId="6212B087" w:rsidR="00FD7AE5" w:rsidRPr="00FD7AE5" w:rsidRDefault="00FD7AE5" w:rsidP="00FD7AE5">
            <w:r w:rsidRPr="00FD7AE5">
              <w:t>Individuals can cycle in and out of poverty, but persistent poverty has greater long-term effects on health and productivity.</w:t>
            </w:r>
          </w:p>
        </w:tc>
      </w:tr>
    </w:tbl>
    <w:p w14:paraId="2EDF8A30" w14:textId="77777777" w:rsidR="007126F8" w:rsidRPr="004061F3" w:rsidRDefault="007126F8" w:rsidP="004061F3">
      <w:pPr>
        <w:pStyle w:val="Heading3"/>
      </w:pPr>
      <w:r w:rsidRPr="004061F3">
        <w:t>Snapshot into poverty rates</w:t>
      </w:r>
    </w:p>
    <w:p w14:paraId="7D2CD944" w14:textId="47C5CE13" w:rsidR="007126F8" w:rsidRPr="007126F8" w:rsidRDefault="007126F8" w:rsidP="007126F8">
      <w:r w:rsidRPr="007126F8">
        <w:rPr>
          <w:b/>
          <w:bCs/>
          <w:lang w:val="en-US"/>
        </w:rPr>
        <w:t>3 million</w:t>
      </w:r>
      <w:r w:rsidRPr="007126F8">
        <w:rPr>
          <w:b/>
          <w:bCs/>
        </w:rPr>
        <w:t xml:space="preserve"> </w:t>
      </w:r>
      <w:r w:rsidRPr="007126F8">
        <w:rPr>
          <w:b/>
          <w:bCs/>
          <w:lang w:val="en-US"/>
        </w:rPr>
        <w:t xml:space="preserve">people </w:t>
      </w:r>
      <w:r w:rsidRPr="007126F8">
        <w:rPr>
          <w:b/>
          <w:bCs/>
        </w:rPr>
        <w:t xml:space="preserve">currently experience poverty in Australia. </w:t>
      </w:r>
      <w:r w:rsidRPr="007126F8">
        <w:rPr>
          <w:b/>
          <w:bCs/>
        </w:rPr>
        <w:br/>
      </w:r>
      <w:r w:rsidRPr="007126F8">
        <w:rPr>
          <w:lang w:val="en-US"/>
        </w:rPr>
        <w:t>Between 9.8% - 13.4% of people, depending on which poverty line is used.</w:t>
      </w:r>
    </w:p>
    <w:p w14:paraId="54283D7A" w14:textId="77777777" w:rsidR="007126F8" w:rsidRPr="007126F8" w:rsidRDefault="007126F8" w:rsidP="007126F8">
      <w:pPr>
        <w:rPr>
          <w:b/>
          <w:bCs/>
          <w:lang w:val="en-US"/>
        </w:rPr>
      </w:pPr>
      <w:r w:rsidRPr="007126F8">
        <w:rPr>
          <w:b/>
          <w:bCs/>
          <w:lang w:val="en-US"/>
        </w:rPr>
        <w:t>There are a range of measures relevant to assessing poverty in Australia.</w:t>
      </w:r>
    </w:p>
    <w:p w14:paraId="21B16797" w14:textId="34BA2431" w:rsidR="007126F8" w:rsidRPr="007126F8" w:rsidRDefault="007126F8" w:rsidP="007126F8">
      <w:pPr>
        <w:rPr>
          <w:b/>
          <w:bCs/>
          <w:lang w:val="en-US"/>
        </w:rPr>
      </w:pPr>
      <w:r w:rsidRPr="007126F8">
        <w:rPr>
          <w:b/>
          <w:bCs/>
          <w:lang w:val="en-US"/>
        </w:rPr>
        <w:t>There has been a steady decline in the level of income support payments over two decades.</w:t>
      </w:r>
      <w:r>
        <w:rPr>
          <w:b/>
          <w:bCs/>
          <w:lang w:val="en-US"/>
        </w:rPr>
        <w:br/>
      </w:r>
      <w:r w:rsidRPr="007126F8">
        <w:rPr>
          <w:lang w:val="en-US"/>
        </w:rPr>
        <w:t xml:space="preserve">Except for a brief spike during the COVID-19 pandemic. </w:t>
      </w:r>
      <w:r w:rsidRPr="007126F8">
        <w:rPr>
          <w:lang w:val="en-GB"/>
        </w:rPr>
        <w:t>This is relative to all poverty line measures.</w:t>
      </w:r>
    </w:p>
    <w:p w14:paraId="6A15AA7E" w14:textId="1E30E520" w:rsidR="007126F8" w:rsidRPr="007126F8" w:rsidRDefault="007126F8" w:rsidP="007126F8">
      <w:pPr>
        <w:rPr>
          <w:b/>
          <w:bCs/>
          <w:lang w:val="en-US"/>
        </w:rPr>
      </w:pPr>
      <w:r w:rsidRPr="007126F8">
        <w:rPr>
          <w:b/>
          <w:bCs/>
          <w:lang w:val="en-US"/>
        </w:rPr>
        <w:t>The current rate of JobSeeker Payment is well below all poverty lines used in Australia.</w:t>
      </w:r>
      <w:r>
        <w:rPr>
          <w:b/>
          <w:bCs/>
          <w:lang w:val="en-US"/>
        </w:rPr>
        <w:br/>
      </w:r>
      <w:r w:rsidRPr="007126F8">
        <w:rPr>
          <w:lang w:val="en-GB"/>
        </w:rPr>
        <w:t xml:space="preserve">Depending on which poverty line is chosen, it is between 57% - 72% of the poverty line. </w:t>
      </w:r>
    </w:p>
    <w:p w14:paraId="42CC6627" w14:textId="77777777" w:rsidR="007126F8" w:rsidRPr="007126F8" w:rsidRDefault="007126F8" w:rsidP="007126F8">
      <w:pPr>
        <w:pStyle w:val="Heading4"/>
      </w:pPr>
      <w:r w:rsidRPr="007126F8">
        <w:t>Graph 1: JobSeeker payment as a percentage of poverty measures</w:t>
      </w:r>
    </w:p>
    <w:p w14:paraId="633EE24C" w14:textId="33B1B07C" w:rsidR="007126F8" w:rsidRPr="007126F8" w:rsidRDefault="007126F8" w:rsidP="007126F8">
      <w:pPr>
        <w:rPr>
          <w:lang w:val="en-US"/>
        </w:rPr>
      </w:pPr>
      <w:r w:rsidRPr="007126F8">
        <w:rPr>
          <w:lang w:val="en-US"/>
        </w:rPr>
        <w:t>Excluding Commonwealth Rent Assistance, Before Housing Costs</w:t>
      </w:r>
    </w:p>
    <w:p w14:paraId="7951E279" w14:textId="03CC461A" w:rsidR="007126F8" w:rsidRDefault="007126F8" w:rsidP="007126F8">
      <w:pPr>
        <w:rPr>
          <w:lang w:val="en-US"/>
        </w:rPr>
      </w:pPr>
      <w:r w:rsidRPr="007126F8">
        <w:rPr>
          <w:noProof/>
        </w:rPr>
        <w:drawing>
          <wp:inline distT="0" distB="0" distL="0" distR="0" wp14:anchorId="4EA9F8AF" wp14:editId="0DB9C496">
            <wp:extent cx="5372100" cy="2781300"/>
            <wp:effectExtent l="0" t="0" r="0" b="0"/>
            <wp:docPr id="1628744154" name="Picture 2" descr="Graph 1: JobSeeker payment as a percentage of povert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4154" name="Picture 2" descr="Graph 1: JobSeeker payment as a percentage of poverty measur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72100" cy="2781300"/>
                    </a:xfrm>
                    <a:prstGeom prst="rect">
                      <a:avLst/>
                    </a:prstGeom>
                  </pic:spPr>
                </pic:pic>
              </a:graphicData>
            </a:graphic>
          </wp:inline>
        </w:drawing>
      </w:r>
    </w:p>
    <w:p w14:paraId="47E515EB" w14:textId="77777777" w:rsidR="007126F8" w:rsidRPr="004061F3" w:rsidRDefault="007126F8" w:rsidP="004061F3">
      <w:pPr>
        <w:pStyle w:val="Heading3"/>
      </w:pPr>
      <w:r w:rsidRPr="004061F3">
        <w:lastRenderedPageBreak/>
        <w:t xml:space="preserve">1.3.2 Equal Opportunities </w:t>
      </w:r>
    </w:p>
    <w:p w14:paraId="3A86B270" w14:textId="393701E9" w:rsidR="007126F8" w:rsidRPr="007126F8" w:rsidRDefault="007126F8" w:rsidP="004061F3">
      <w:pPr>
        <w:rPr>
          <w:rStyle w:val="Emphasis"/>
          <w:lang w:val="en-US"/>
        </w:rPr>
      </w:pPr>
      <w:r w:rsidRPr="007126F8">
        <w:rPr>
          <w:rStyle w:val="Emphasis"/>
          <w:lang w:val="en-US"/>
        </w:rPr>
        <w:t xml:space="preserve">Economic inclusion requires the opportunity to participate in economic activity and having agency to choose one’s own future path. </w:t>
      </w:r>
    </w:p>
    <w:p w14:paraId="5C7832E6" w14:textId="77777777" w:rsidR="007126F8" w:rsidRPr="007126F8" w:rsidRDefault="007126F8" w:rsidP="004061F3">
      <w:pPr>
        <w:rPr>
          <w:lang w:val="en-GB"/>
        </w:rPr>
      </w:pPr>
      <w:r w:rsidRPr="007126F8">
        <w:rPr>
          <w:lang w:val="en-GB"/>
        </w:rPr>
        <w:t>The Committee’s policy advice is informed by an understanding that disadvantages due to place of origin, early childhood education, access to housing, health, and labour market need to be addressed so that they do not compound throughout the life cycle and undermine inclusion.</w:t>
      </w:r>
    </w:p>
    <w:p w14:paraId="1DC61188" w14:textId="0A4594F3" w:rsidR="007126F8" w:rsidRDefault="007126F8" w:rsidP="004061F3">
      <w:pPr>
        <w:rPr>
          <w:lang w:val="en-GB"/>
        </w:rPr>
      </w:pPr>
      <w:r w:rsidRPr="004061F3">
        <w:rPr>
          <w:lang w:val="en-GB"/>
        </w:rPr>
        <w:t>This compounding of life opportunities is seen in many areas. For example, children with a disability who attend a special school are more likely to end up working in an Australian Disability Enterprise (where the earning capacity is well below the minimum wage) and living in group homes where there may be barriers to accessing work outside Disability Enterprises.</w:t>
      </w:r>
    </w:p>
    <w:p w14:paraId="7B0D13E2" w14:textId="1E84BDD5" w:rsidR="004061F3" w:rsidRPr="004061F3" w:rsidRDefault="004061F3" w:rsidP="004061F3">
      <w:pPr>
        <w:pStyle w:val="Heading4"/>
      </w:pPr>
      <w:r w:rsidRPr="004061F3">
        <w:t>Table 2: Measures of equal opportunity</w:t>
      </w:r>
    </w:p>
    <w:tbl>
      <w:tblPr>
        <w:tblStyle w:val="TableGrid"/>
        <w:tblW w:w="0" w:type="auto"/>
        <w:tblLook w:val="04A0" w:firstRow="1" w:lastRow="0" w:firstColumn="1" w:lastColumn="0" w:noHBand="0" w:noVBand="1"/>
      </w:tblPr>
      <w:tblGrid>
        <w:gridCol w:w="4508"/>
        <w:gridCol w:w="4508"/>
      </w:tblGrid>
      <w:tr w:rsidR="0012579D" w14:paraId="12D84B03" w14:textId="77777777" w:rsidTr="00872711">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216333D3" w14:textId="6615130A" w:rsidR="0012579D" w:rsidRPr="008E198C" w:rsidRDefault="0012579D" w:rsidP="0012579D">
            <w:pPr>
              <w:rPr>
                <w:color w:val="FFFFFF" w:themeColor="background1"/>
              </w:rPr>
            </w:pPr>
            <w:r w:rsidRPr="008E198C">
              <w:rPr>
                <w:color w:val="FFFFFF" w:themeColor="background1"/>
              </w:rPr>
              <w:t>Measure</w:t>
            </w:r>
            <w:bookmarkStart w:id="12" w:name="ColumnTitle_MeasuresofEqualOpportunity"/>
            <w:bookmarkEnd w:id="12"/>
          </w:p>
        </w:tc>
        <w:tc>
          <w:tcPr>
            <w:tcW w:w="4508" w:type="dxa"/>
            <w:vAlign w:val="center"/>
          </w:tcPr>
          <w:p w14:paraId="75C7F393" w14:textId="51886017" w:rsidR="0012579D" w:rsidRPr="008E198C" w:rsidRDefault="0012579D" w:rsidP="0012579D">
            <w:pPr>
              <w:rPr>
                <w:color w:val="FFFFFF" w:themeColor="background1"/>
              </w:rPr>
            </w:pPr>
            <w:r w:rsidRPr="008E198C">
              <w:rPr>
                <w:color w:val="FFFFFF" w:themeColor="background1"/>
              </w:rPr>
              <w:t>Relevance</w:t>
            </w:r>
          </w:p>
        </w:tc>
      </w:tr>
      <w:tr w:rsidR="0012579D" w14:paraId="0F883CCA"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0EC26844" w14:textId="77DB3D0D" w:rsidR="0012579D" w:rsidRPr="0012579D" w:rsidRDefault="0012579D" w:rsidP="0012579D">
            <w:r w:rsidRPr="0012579D">
              <w:t xml:space="preserve">Australian Early Development Census Outcomes </w:t>
            </w:r>
          </w:p>
        </w:tc>
        <w:tc>
          <w:tcPr>
            <w:tcW w:w="4508" w:type="dxa"/>
          </w:tcPr>
          <w:p w14:paraId="5326B8B1" w14:textId="30C20EBD" w:rsidR="0012579D" w:rsidRPr="0012579D" w:rsidRDefault="0012579D" w:rsidP="0012579D">
            <w:r w:rsidRPr="0012579D">
              <w:t>Developmental outcomes at school entry are associated with school performance and completion, and life-long health and wellbeing measures. They are influenced by access to ECEC.</w:t>
            </w:r>
          </w:p>
        </w:tc>
      </w:tr>
      <w:tr w:rsidR="0012579D" w14:paraId="51D9E0F3" w14:textId="77777777" w:rsidTr="0012579D">
        <w:tc>
          <w:tcPr>
            <w:tcW w:w="4508" w:type="dxa"/>
          </w:tcPr>
          <w:p w14:paraId="7890C6BB" w14:textId="1FBC3B9C" w:rsidR="0012579D" w:rsidRPr="0012579D" w:rsidRDefault="0012579D" w:rsidP="0012579D">
            <w:r w:rsidRPr="0012579D">
              <w:t>Home Ownership</w:t>
            </w:r>
          </w:p>
        </w:tc>
        <w:tc>
          <w:tcPr>
            <w:tcW w:w="4508" w:type="dxa"/>
          </w:tcPr>
          <w:p w14:paraId="6524DA5C" w14:textId="13478613" w:rsidR="0012579D" w:rsidRPr="0012579D" w:rsidRDefault="0012579D" w:rsidP="0012579D">
            <w:r w:rsidRPr="0012579D">
              <w:t>Home ownership is linked to greater economic inclusion, and lower rates of poverty, especially in older age.</w:t>
            </w:r>
          </w:p>
        </w:tc>
      </w:tr>
      <w:tr w:rsidR="0012579D" w14:paraId="0AC49D8B"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2E97A8D7" w14:textId="39EF356F" w:rsidR="0012579D" w:rsidRPr="0012579D" w:rsidRDefault="0012579D" w:rsidP="0012579D">
            <w:r w:rsidRPr="0012579D">
              <w:t>Housing Stress</w:t>
            </w:r>
          </w:p>
        </w:tc>
        <w:tc>
          <w:tcPr>
            <w:tcW w:w="4508" w:type="dxa"/>
          </w:tcPr>
          <w:p w14:paraId="0B34FC6D" w14:textId="28E1B573" w:rsidR="0012579D" w:rsidRPr="0012579D" w:rsidRDefault="0012579D" w:rsidP="0012579D">
            <w:r w:rsidRPr="0012579D">
              <w:t>Access to affordable housing underpins broader economic participation.</w:t>
            </w:r>
          </w:p>
        </w:tc>
      </w:tr>
      <w:tr w:rsidR="0012579D" w14:paraId="57D363E2" w14:textId="77777777" w:rsidTr="0012579D">
        <w:tc>
          <w:tcPr>
            <w:tcW w:w="4508" w:type="dxa"/>
          </w:tcPr>
          <w:p w14:paraId="33DC9CF6" w14:textId="75FAB33F" w:rsidR="0012579D" w:rsidRPr="0012579D" w:rsidRDefault="0012579D" w:rsidP="0012579D">
            <w:r w:rsidRPr="0012579D">
              <w:t>School completion</w:t>
            </w:r>
          </w:p>
        </w:tc>
        <w:tc>
          <w:tcPr>
            <w:tcW w:w="4508" w:type="dxa"/>
          </w:tcPr>
          <w:p w14:paraId="317E5D70" w14:textId="2DBB7A1D" w:rsidR="0012579D" w:rsidRPr="0012579D" w:rsidRDefault="0012579D" w:rsidP="0012579D">
            <w:r w:rsidRPr="0012579D">
              <w:t>School completion is associated with significantly higher life-long earnings and improved health outcomes.</w:t>
            </w:r>
          </w:p>
        </w:tc>
      </w:tr>
    </w:tbl>
    <w:p w14:paraId="3BCD7110" w14:textId="77777777" w:rsidR="004061F3" w:rsidRPr="004061F3" w:rsidRDefault="004061F3" w:rsidP="004061F3">
      <w:pPr>
        <w:pStyle w:val="Heading3"/>
      </w:pPr>
      <w:r w:rsidRPr="004061F3">
        <w:t>Snapshot into housing stress</w:t>
      </w:r>
    </w:p>
    <w:p w14:paraId="09BA4132" w14:textId="0C3CE34B" w:rsidR="004061F3" w:rsidRPr="004061F3" w:rsidRDefault="004061F3" w:rsidP="004061F3">
      <w:pPr>
        <w:rPr>
          <w:b/>
          <w:bCs/>
          <w:lang w:val="en-US"/>
        </w:rPr>
      </w:pPr>
      <w:r w:rsidRPr="004061F3">
        <w:rPr>
          <w:b/>
          <w:bCs/>
          <w:lang w:val="en-US"/>
        </w:rPr>
        <w:t>Levels of homelessness and housing stress across Australia are unacceptably hig</w:t>
      </w:r>
      <w:r>
        <w:rPr>
          <w:b/>
          <w:bCs/>
          <w:lang w:val="en-US"/>
        </w:rPr>
        <w:t>h.</w:t>
      </w:r>
    </w:p>
    <w:p w14:paraId="2B3A64E5" w14:textId="6C5F041A" w:rsidR="004061F3" w:rsidRPr="004061F3" w:rsidRDefault="004061F3" w:rsidP="004061F3">
      <w:pPr>
        <w:rPr>
          <w:lang w:val="en-US"/>
        </w:rPr>
      </w:pPr>
      <w:r w:rsidRPr="004061F3">
        <w:rPr>
          <w:b/>
          <w:bCs/>
          <w:lang w:val="en-US"/>
        </w:rPr>
        <w:t xml:space="preserve">48 people per 10,000 experience homelessness. </w:t>
      </w:r>
      <w:r w:rsidRPr="004061F3">
        <w:rPr>
          <w:lang w:val="en-GB"/>
        </w:rPr>
        <w:t xml:space="preserve">(ABS census, 2021). </w:t>
      </w:r>
      <w:r>
        <w:rPr>
          <w:lang w:val="en-US"/>
        </w:rPr>
        <w:br/>
      </w:r>
      <w:r w:rsidRPr="004061F3">
        <w:rPr>
          <w:lang w:val="en-GB"/>
        </w:rPr>
        <w:t>The rate of homelessness has risen over the past 15 years</w:t>
      </w:r>
    </w:p>
    <w:p w14:paraId="1889A2D6" w14:textId="2AF78580" w:rsidR="004061F3" w:rsidRPr="004061F3" w:rsidRDefault="004061F3" w:rsidP="004061F3">
      <w:pPr>
        <w:rPr>
          <w:b/>
          <w:bCs/>
          <w:lang w:val="en-US"/>
        </w:rPr>
      </w:pPr>
      <w:r w:rsidRPr="004061F3">
        <w:rPr>
          <w:b/>
          <w:bCs/>
          <w:lang w:val="en-US"/>
        </w:rPr>
        <w:t>Young people &amp; First nations people experience homelessness at a higher rate than the national average.</w:t>
      </w:r>
    </w:p>
    <w:p w14:paraId="15D404AA" w14:textId="333C503C" w:rsidR="004061F3" w:rsidRPr="004061F3" w:rsidRDefault="004061F3" w:rsidP="004061F3">
      <w:pPr>
        <w:rPr>
          <w:b/>
          <w:bCs/>
          <w:lang w:val="en-US"/>
        </w:rPr>
      </w:pPr>
      <w:r w:rsidRPr="004061F3">
        <w:rPr>
          <w:b/>
          <w:bCs/>
          <w:lang w:val="en-US"/>
        </w:rPr>
        <w:t>More than half (58%) of lower income households who rent from a private landlord experience housing stress.</w:t>
      </w:r>
      <w:r>
        <w:rPr>
          <w:b/>
          <w:bCs/>
          <w:lang w:val="en-US"/>
        </w:rPr>
        <w:br/>
      </w:r>
      <w:r w:rsidRPr="004061F3">
        <w:rPr>
          <w:lang w:val="en-US"/>
        </w:rPr>
        <w:t>This means they spend</w:t>
      </w:r>
      <w:r>
        <w:rPr>
          <w:lang w:val="en-US"/>
        </w:rPr>
        <w:t xml:space="preserve"> </w:t>
      </w:r>
      <w:r w:rsidRPr="004061F3">
        <w:rPr>
          <w:lang w:val="en-US"/>
        </w:rPr>
        <w:t>more than 30%</w:t>
      </w:r>
      <w:r>
        <w:rPr>
          <w:lang w:val="en-US"/>
        </w:rPr>
        <w:t xml:space="preserve"> </w:t>
      </w:r>
      <w:r w:rsidRPr="004061F3">
        <w:rPr>
          <w:lang w:val="en-US"/>
        </w:rPr>
        <w:t>of their income on housing costs.</w:t>
      </w:r>
      <w:r>
        <w:rPr>
          <w:lang w:val="en-US"/>
        </w:rPr>
        <w:t xml:space="preserve"> </w:t>
      </w:r>
      <w:r w:rsidRPr="004061F3">
        <w:rPr>
          <w:lang w:val="en-GB"/>
        </w:rPr>
        <w:t>(ABS Housing and Occupancy Costs, 2019-20).</w:t>
      </w:r>
    </w:p>
    <w:p w14:paraId="2A00BF43" w14:textId="0965DB82" w:rsidR="004061F3" w:rsidRPr="004061F3" w:rsidRDefault="004061F3" w:rsidP="004061F3">
      <w:pPr>
        <w:rPr>
          <w:b/>
          <w:bCs/>
          <w:lang w:val="en-US"/>
        </w:rPr>
      </w:pPr>
      <w:r w:rsidRPr="004061F3">
        <w:rPr>
          <w:b/>
          <w:bCs/>
          <w:lang w:val="en-US"/>
        </w:rPr>
        <w:t>In regional areas, the rate of housing stress experienced by low income renter households has been substantially increasing over the past decade.</w:t>
      </w:r>
    </w:p>
    <w:p w14:paraId="282759E6" w14:textId="6D213370" w:rsidR="004061F3" w:rsidRPr="004061F3" w:rsidRDefault="004061F3" w:rsidP="004061F3">
      <w:pPr>
        <w:rPr>
          <w:lang w:val="en-US"/>
        </w:rPr>
      </w:pPr>
      <w:r w:rsidRPr="004061F3">
        <w:rPr>
          <w:lang w:val="en-US"/>
        </w:rPr>
        <w:t>20.8% of</w:t>
      </w:r>
      <w:r>
        <w:rPr>
          <w:lang w:val="en-US"/>
        </w:rPr>
        <w:t xml:space="preserve"> </w:t>
      </w:r>
      <w:r w:rsidRPr="004061F3">
        <w:rPr>
          <w:lang w:val="en-US"/>
        </w:rPr>
        <w:t>single parents</w:t>
      </w:r>
    </w:p>
    <w:p w14:paraId="154657E1" w14:textId="77777777" w:rsidR="004061F3" w:rsidRPr="004061F3" w:rsidRDefault="004061F3" w:rsidP="004061F3">
      <w:pPr>
        <w:rPr>
          <w:lang w:val="en-US"/>
        </w:rPr>
      </w:pPr>
      <w:r w:rsidRPr="004061F3">
        <w:rPr>
          <w:lang w:val="en-US"/>
        </w:rPr>
        <w:t>5.0% of couples with dependent children</w:t>
      </w:r>
    </w:p>
    <w:p w14:paraId="5D35A8EC" w14:textId="7A852AC4" w:rsidR="004061F3" w:rsidRPr="004061F3" w:rsidRDefault="004061F3" w:rsidP="004061F3">
      <w:pPr>
        <w:rPr>
          <w:lang w:val="en-US"/>
        </w:rPr>
      </w:pPr>
      <w:r w:rsidRPr="004061F3">
        <w:rPr>
          <w:lang w:val="en-US"/>
        </w:rPr>
        <w:t>4.4% o</w:t>
      </w:r>
      <w:r>
        <w:rPr>
          <w:lang w:val="en-US"/>
        </w:rPr>
        <w:t xml:space="preserve">f </w:t>
      </w:r>
      <w:r w:rsidRPr="004061F3">
        <w:rPr>
          <w:lang w:val="en-US"/>
        </w:rPr>
        <w:t>non-elderly couples</w:t>
      </w:r>
    </w:p>
    <w:p w14:paraId="70C0FBBB" w14:textId="0A34115B" w:rsidR="004061F3" w:rsidRPr="004061F3" w:rsidRDefault="004061F3" w:rsidP="004061F3">
      <w:pPr>
        <w:rPr>
          <w:lang w:val="en-US"/>
        </w:rPr>
      </w:pPr>
      <w:r w:rsidRPr="004061F3">
        <w:rPr>
          <w:lang w:val="en-US"/>
        </w:rPr>
        <w:t>10.7% o</w:t>
      </w:r>
      <w:r>
        <w:rPr>
          <w:lang w:val="en-US"/>
        </w:rPr>
        <w:t xml:space="preserve">f </w:t>
      </w:r>
      <w:r w:rsidRPr="004061F3">
        <w:rPr>
          <w:lang w:val="en-US"/>
        </w:rPr>
        <w:t>single non-elderly people</w:t>
      </w:r>
    </w:p>
    <w:p w14:paraId="5142814D" w14:textId="20356381" w:rsidR="004061F3" w:rsidRDefault="004061F3" w:rsidP="004061F3">
      <w:pPr>
        <w:rPr>
          <w:lang w:val="en-GB"/>
        </w:rPr>
      </w:pPr>
      <w:r w:rsidRPr="004061F3">
        <w:rPr>
          <w:lang w:val="en-US"/>
        </w:rPr>
        <w:t>experience housing stress</w:t>
      </w:r>
      <w:r>
        <w:rPr>
          <w:lang w:val="en-US"/>
        </w:rPr>
        <w:t xml:space="preserve"> </w:t>
      </w:r>
      <w:r w:rsidRPr="004061F3">
        <w:rPr>
          <w:lang w:val="en-GB"/>
        </w:rPr>
        <w:t>(HILDA, 2021)</w:t>
      </w:r>
    </w:p>
    <w:p w14:paraId="471A3A52" w14:textId="77777777" w:rsidR="004061F3" w:rsidRPr="004061F3" w:rsidRDefault="004061F3" w:rsidP="004061F3">
      <w:pPr>
        <w:pStyle w:val="Heading3"/>
      </w:pPr>
      <w:r w:rsidRPr="004061F3">
        <w:lastRenderedPageBreak/>
        <w:t xml:space="preserve">1.3.3 Growth and equal share of growth </w:t>
      </w:r>
    </w:p>
    <w:p w14:paraId="543C2CC9" w14:textId="77777777" w:rsidR="004061F3" w:rsidRPr="004061F3" w:rsidRDefault="004061F3" w:rsidP="004061F3">
      <w:pPr>
        <w:rPr>
          <w:rStyle w:val="Emphasis"/>
          <w:lang w:val="en-US"/>
        </w:rPr>
      </w:pPr>
      <w:r w:rsidRPr="004061F3">
        <w:rPr>
          <w:rStyle w:val="Emphasis"/>
          <w:lang w:val="en-US"/>
        </w:rPr>
        <w:t xml:space="preserve">The Committee considers that there is a symbiotic relationship between strong economic growth and economic inclusion. </w:t>
      </w:r>
    </w:p>
    <w:p w14:paraId="238F026C" w14:textId="77777777" w:rsidR="004061F3" w:rsidRPr="004061F3" w:rsidRDefault="004061F3" w:rsidP="004061F3">
      <w:pPr>
        <w:rPr>
          <w:lang w:val="en-GB"/>
        </w:rPr>
      </w:pPr>
      <w:r w:rsidRPr="004061F3">
        <w:rPr>
          <w:lang w:val="en-GB"/>
        </w:rPr>
        <w:t>Strong economic growth enhances economic inclusion, and economic inclusion underpins stronger economic growth. Full employment, a fair minimum wage, and removing disincentives to work are key levers for achieving economic inclusion – and these understandings are reflected in this report.</w:t>
      </w:r>
    </w:p>
    <w:p w14:paraId="405CB630" w14:textId="77777777" w:rsidR="004061F3" w:rsidRDefault="004061F3" w:rsidP="004061F3">
      <w:pPr>
        <w:rPr>
          <w:lang w:val="en-GB"/>
        </w:rPr>
      </w:pPr>
      <w:r w:rsidRPr="004061F3">
        <w:rPr>
          <w:lang w:val="en-GB"/>
        </w:rPr>
        <w:t>In the Australian context, the interaction of marginal tax rates and the removal of government benefits can result in individuals facing very high effective marginal tax rates. For people with a disability or high health care costs these barriers can be even higher, as individuals can lose access to health benefits and disability supports as they increase their participation in paid work.</w:t>
      </w:r>
    </w:p>
    <w:p w14:paraId="56C6B21B" w14:textId="276D8A08" w:rsidR="004061F3" w:rsidRPr="004061F3" w:rsidRDefault="004061F3" w:rsidP="004061F3">
      <w:pPr>
        <w:pStyle w:val="Heading4"/>
      </w:pPr>
      <w:r w:rsidRPr="004061F3">
        <w:t>Table 3: Measures of sharing growth</w:t>
      </w:r>
    </w:p>
    <w:tbl>
      <w:tblPr>
        <w:tblStyle w:val="TableGrid"/>
        <w:tblW w:w="0" w:type="auto"/>
        <w:tblLook w:val="04A0" w:firstRow="1" w:lastRow="0" w:firstColumn="1" w:lastColumn="0" w:noHBand="0" w:noVBand="1"/>
      </w:tblPr>
      <w:tblGrid>
        <w:gridCol w:w="4508"/>
        <w:gridCol w:w="4508"/>
      </w:tblGrid>
      <w:tr w:rsidR="0012579D" w14:paraId="6FCD39E1" w14:textId="77777777" w:rsidTr="00203376">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00915C36" w14:textId="63406B77" w:rsidR="0012579D" w:rsidRPr="008E198C" w:rsidRDefault="0012579D" w:rsidP="0012579D">
            <w:pPr>
              <w:rPr>
                <w:color w:val="FFFFFF" w:themeColor="background1"/>
              </w:rPr>
            </w:pPr>
            <w:r w:rsidRPr="008E198C">
              <w:rPr>
                <w:color w:val="FFFFFF" w:themeColor="background1"/>
              </w:rPr>
              <w:t>Measure</w:t>
            </w:r>
            <w:bookmarkStart w:id="13" w:name="ColumnTitle_MeasuresofSharingGrowth"/>
            <w:bookmarkEnd w:id="13"/>
          </w:p>
        </w:tc>
        <w:tc>
          <w:tcPr>
            <w:tcW w:w="4508" w:type="dxa"/>
            <w:vAlign w:val="center"/>
          </w:tcPr>
          <w:p w14:paraId="638B3DC2" w14:textId="3967AAD8" w:rsidR="0012579D" w:rsidRPr="008E198C" w:rsidRDefault="0012579D" w:rsidP="0012579D">
            <w:pPr>
              <w:rPr>
                <w:color w:val="FFFFFF" w:themeColor="background1"/>
              </w:rPr>
            </w:pPr>
            <w:r w:rsidRPr="008E198C">
              <w:rPr>
                <w:color w:val="FFFFFF" w:themeColor="background1"/>
              </w:rPr>
              <w:t>Relevance</w:t>
            </w:r>
          </w:p>
        </w:tc>
      </w:tr>
      <w:tr w:rsidR="00FD7AE5" w14:paraId="4D29FA46"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2F326274" w14:textId="454661BA" w:rsidR="00FD7AE5" w:rsidRPr="00FD7AE5" w:rsidRDefault="00FD7AE5" w:rsidP="00FD7AE5">
            <w:r w:rsidRPr="00FD7AE5">
              <w:t>Full Employment</w:t>
            </w:r>
          </w:p>
        </w:tc>
        <w:tc>
          <w:tcPr>
            <w:tcW w:w="4508" w:type="dxa"/>
          </w:tcPr>
          <w:p w14:paraId="3AF7BD67" w14:textId="3BD87BDA" w:rsidR="00FD7AE5" w:rsidRPr="00FD7AE5" w:rsidRDefault="00FD7AE5" w:rsidP="00FD7AE5">
            <w:r w:rsidRPr="00FD7AE5">
              <w:t>Full employment ensures that everyone who wishes to work can find work in a reasonable time frame.</w:t>
            </w:r>
          </w:p>
        </w:tc>
      </w:tr>
      <w:tr w:rsidR="00FD7AE5" w14:paraId="428E0C96" w14:textId="77777777" w:rsidTr="0012579D">
        <w:tc>
          <w:tcPr>
            <w:tcW w:w="4508" w:type="dxa"/>
          </w:tcPr>
          <w:p w14:paraId="5E7331CF" w14:textId="52E33A82" w:rsidR="00FD7AE5" w:rsidRPr="00FD7AE5" w:rsidRDefault="00FD7AE5" w:rsidP="00FD7AE5">
            <w:r w:rsidRPr="00FD7AE5">
              <w:t>Secure Employment</w:t>
            </w:r>
          </w:p>
        </w:tc>
        <w:tc>
          <w:tcPr>
            <w:tcW w:w="4508" w:type="dxa"/>
          </w:tcPr>
          <w:p w14:paraId="044ABF00" w14:textId="5EBDC7D0" w:rsidR="00FD7AE5" w:rsidRPr="00FD7AE5" w:rsidRDefault="00FD7AE5" w:rsidP="00FD7AE5">
            <w:r w:rsidRPr="00FD7AE5">
              <w:t>Access to secure employment underpins economic security and access to credit markets.</w:t>
            </w:r>
          </w:p>
        </w:tc>
      </w:tr>
      <w:tr w:rsidR="00FD7AE5" w14:paraId="2FB7A138"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5E85A910" w14:textId="7B82088D" w:rsidR="00FD7AE5" w:rsidRPr="00FD7AE5" w:rsidRDefault="00FD7AE5" w:rsidP="00FD7AE5">
            <w:r w:rsidRPr="00FD7AE5">
              <w:t>Adequacy of Minimum Wage</w:t>
            </w:r>
          </w:p>
        </w:tc>
        <w:tc>
          <w:tcPr>
            <w:tcW w:w="4508" w:type="dxa"/>
          </w:tcPr>
          <w:p w14:paraId="48B3AB18" w14:textId="77D3F311" w:rsidR="00FD7AE5" w:rsidRPr="00FD7AE5" w:rsidRDefault="00FD7AE5" w:rsidP="00FD7AE5">
            <w:r w:rsidRPr="00FD7AE5">
              <w:t>The minimum wage underpins the living standards of working Australians.</w:t>
            </w:r>
          </w:p>
        </w:tc>
      </w:tr>
      <w:tr w:rsidR="00FD7AE5" w14:paraId="27BD286F" w14:textId="77777777" w:rsidTr="0012579D">
        <w:tc>
          <w:tcPr>
            <w:tcW w:w="4508" w:type="dxa"/>
          </w:tcPr>
          <w:p w14:paraId="64B4CD93" w14:textId="1920CA04" w:rsidR="00FD7AE5" w:rsidRPr="00FD7AE5" w:rsidRDefault="00FD7AE5" w:rsidP="00FD7AE5">
            <w:r w:rsidRPr="00FD7AE5">
              <w:t>Levels of business dynamism</w:t>
            </w:r>
          </w:p>
        </w:tc>
        <w:tc>
          <w:tcPr>
            <w:tcW w:w="4508" w:type="dxa"/>
          </w:tcPr>
          <w:p w14:paraId="073F7020" w14:textId="19F2B214" w:rsidR="00FD7AE5" w:rsidRPr="00FD7AE5" w:rsidRDefault="00FD7AE5" w:rsidP="00FD7AE5">
            <w:r w:rsidRPr="00FD7AE5">
              <w:t>Productivity growth requires the movement of resources across firms, and the free entry and exit from industries.</w:t>
            </w:r>
          </w:p>
        </w:tc>
      </w:tr>
      <w:tr w:rsidR="00FD7AE5" w14:paraId="08366568"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4E919510" w14:textId="0EA66CB4" w:rsidR="00FD7AE5" w:rsidRPr="00FD7AE5" w:rsidRDefault="00FD7AE5" w:rsidP="00FD7AE5">
            <w:r w:rsidRPr="00FD7AE5">
              <w:t>Effective Marginal Tax Rates (EMTRs)</w:t>
            </w:r>
          </w:p>
        </w:tc>
        <w:tc>
          <w:tcPr>
            <w:tcW w:w="4508" w:type="dxa"/>
          </w:tcPr>
          <w:p w14:paraId="42105915" w14:textId="21A4FB27" w:rsidR="00FD7AE5" w:rsidRPr="00FD7AE5" w:rsidRDefault="00FD7AE5" w:rsidP="00FD7AE5">
            <w:r w:rsidRPr="00FD7AE5">
              <w:t>High EMTRs can act to discourage labour force participation.</w:t>
            </w:r>
          </w:p>
        </w:tc>
      </w:tr>
      <w:tr w:rsidR="00FD7AE5" w14:paraId="298758F5" w14:textId="77777777" w:rsidTr="0012579D">
        <w:tc>
          <w:tcPr>
            <w:tcW w:w="4508" w:type="dxa"/>
          </w:tcPr>
          <w:p w14:paraId="19816FC6" w14:textId="5143BEC4" w:rsidR="00FD7AE5" w:rsidRPr="00FD7AE5" w:rsidRDefault="00FD7AE5" w:rsidP="00FD7AE5">
            <w:r w:rsidRPr="00FD7AE5">
              <w:t>Income and wealth inequality</w:t>
            </w:r>
          </w:p>
        </w:tc>
        <w:tc>
          <w:tcPr>
            <w:tcW w:w="4508" w:type="dxa"/>
          </w:tcPr>
          <w:p w14:paraId="15A9AE10" w14:textId="2EFA3680" w:rsidR="00FD7AE5" w:rsidRPr="00FD7AE5" w:rsidRDefault="00FD7AE5" w:rsidP="00FD7AE5">
            <w:r w:rsidRPr="00FD7AE5">
              <w:t>The distribution of income and wealth is an important aspect of community wellbeing and cohesion.</w:t>
            </w:r>
          </w:p>
        </w:tc>
      </w:tr>
    </w:tbl>
    <w:p w14:paraId="21416FCB" w14:textId="77777777" w:rsidR="004061F3" w:rsidRPr="004061F3" w:rsidRDefault="004061F3" w:rsidP="004061F3">
      <w:pPr>
        <w:pStyle w:val="Heading3"/>
      </w:pPr>
      <w:r w:rsidRPr="004061F3">
        <w:t>Snapshot into full employment</w:t>
      </w:r>
    </w:p>
    <w:p w14:paraId="3DDF3A94" w14:textId="77777777" w:rsidR="004061F3" w:rsidRPr="004061F3" w:rsidRDefault="004061F3" w:rsidP="004061F3">
      <w:pPr>
        <w:rPr>
          <w:b/>
          <w:bCs/>
        </w:rPr>
      </w:pPr>
      <w:r w:rsidRPr="004061F3">
        <w:rPr>
          <w:b/>
          <w:bCs/>
        </w:rPr>
        <w:t>Full employment ensures that everyone who wishes to work can find work in a reasonable time frame</w:t>
      </w:r>
    </w:p>
    <w:p w14:paraId="40234DCC" w14:textId="77777777" w:rsidR="004061F3" w:rsidRDefault="004061F3" w:rsidP="004061F3">
      <w:r w:rsidRPr="004061F3">
        <w:t>In 2023:</w:t>
      </w:r>
    </w:p>
    <w:p w14:paraId="3F39FCC6" w14:textId="0CB969FA" w:rsidR="004061F3" w:rsidRPr="004061F3" w:rsidRDefault="004061F3" w:rsidP="004061F3">
      <w:r w:rsidRPr="004061F3">
        <w:rPr>
          <w:b/>
          <w:bCs/>
        </w:rPr>
        <w:t>The unemployment rate reached a near 50-year low at 3.5%</w:t>
      </w:r>
      <w:r>
        <w:br/>
      </w:r>
      <w:r w:rsidRPr="004061F3">
        <w:t>This is the percentage of the labour force who are actively looking for work but haven’t found a job yet.</w:t>
      </w:r>
    </w:p>
    <w:p w14:paraId="0EFD7107" w14:textId="44908394" w:rsidR="004061F3" w:rsidRPr="004061F3" w:rsidRDefault="004061F3" w:rsidP="004061F3">
      <w:pPr>
        <w:rPr>
          <w:b/>
          <w:bCs/>
        </w:rPr>
      </w:pPr>
      <w:r w:rsidRPr="004061F3">
        <w:rPr>
          <w:b/>
          <w:bCs/>
        </w:rPr>
        <w:t>The long-term unemployment rate reached its lowest levels since 2008 at 87,000</w:t>
      </w:r>
      <w:r>
        <w:rPr>
          <w:b/>
          <w:bCs/>
        </w:rPr>
        <w:br/>
      </w:r>
      <w:r w:rsidRPr="004061F3">
        <w:t>This is the number of people who have been unemployed for a year or more.</w:t>
      </w:r>
    </w:p>
    <w:p w14:paraId="41A78D3E" w14:textId="0922CA18" w:rsidR="004061F3" w:rsidRPr="004061F3" w:rsidRDefault="004061F3" w:rsidP="004061F3">
      <w:pPr>
        <w:rPr>
          <w:b/>
          <w:bCs/>
        </w:rPr>
      </w:pPr>
      <w:r w:rsidRPr="004061F3">
        <w:rPr>
          <w:b/>
          <w:bCs/>
        </w:rPr>
        <w:t>The underemployment rate reached a low of 5.9%</w:t>
      </w:r>
      <w:r>
        <w:rPr>
          <w:b/>
          <w:bCs/>
        </w:rPr>
        <w:br/>
      </w:r>
      <w:r w:rsidRPr="004061F3">
        <w:t>This is the percentage of the labour force who aren’t getting the hours they want.</w:t>
      </w:r>
    </w:p>
    <w:p w14:paraId="44DE58CB" w14:textId="6A730016" w:rsidR="004061F3" w:rsidRPr="004061F3" w:rsidRDefault="004061F3" w:rsidP="004061F3">
      <w:r w:rsidRPr="004061F3">
        <w:t>In recent months, there has been an uptick in</w:t>
      </w:r>
      <w:r>
        <w:t xml:space="preserve"> </w:t>
      </w:r>
      <w:r w:rsidRPr="004061F3">
        <w:t>long-term and short-term unemployment</w:t>
      </w:r>
    </w:p>
    <w:p w14:paraId="2012848C" w14:textId="10D1E34A" w:rsidR="004061F3" w:rsidRPr="004061F3" w:rsidRDefault="004061F3" w:rsidP="004061F3">
      <w:r w:rsidRPr="004061F3">
        <w:t>The Committee considers</w:t>
      </w:r>
      <w:r>
        <w:t xml:space="preserve"> a</w:t>
      </w:r>
      <w:r w:rsidRPr="004061F3">
        <w:t>n appropriate target for the rate of unemployment to be close to 3.5%</w:t>
      </w:r>
    </w:p>
    <w:p w14:paraId="6DBB9402" w14:textId="77777777" w:rsidR="004061F3" w:rsidRPr="004061F3" w:rsidRDefault="004061F3" w:rsidP="004061F3">
      <w:pPr>
        <w:pStyle w:val="Heading3"/>
      </w:pPr>
      <w:r w:rsidRPr="004061F3">
        <w:lastRenderedPageBreak/>
        <w:t>1.3.4 efficient and responsive Governments</w:t>
      </w:r>
    </w:p>
    <w:p w14:paraId="502A00AB" w14:textId="77777777" w:rsidR="004061F3" w:rsidRPr="004061F3" w:rsidRDefault="004061F3" w:rsidP="004061F3">
      <w:pPr>
        <w:rPr>
          <w:rStyle w:val="Emphasis"/>
          <w:lang w:val="en-US"/>
        </w:rPr>
      </w:pPr>
      <w:r w:rsidRPr="004061F3">
        <w:rPr>
          <w:rStyle w:val="Emphasis"/>
          <w:lang w:val="en-US"/>
        </w:rPr>
        <w:t xml:space="preserve">The Committee considers that the processes of government and the maintenance of administrative justice underpin economic inclusion by maintaining public accountability, transparency, and participation. </w:t>
      </w:r>
    </w:p>
    <w:p w14:paraId="233DCB78" w14:textId="2681C436" w:rsidR="004061F3" w:rsidRDefault="004061F3" w:rsidP="004061F3">
      <w:pPr>
        <w:rPr>
          <w:lang w:val="en-GB"/>
        </w:rPr>
      </w:pPr>
      <w:r w:rsidRPr="004061F3">
        <w:rPr>
          <w:lang w:val="en-GB"/>
        </w:rPr>
        <w:t xml:space="preserve">Processes that involve underrepresented or excluded populations in decision-making are better able to reflect the needs of those populations, as evidenced by governments’ commitment to greater community led solutions under the Closing the Gap Agreement. </w:t>
      </w:r>
    </w:p>
    <w:p w14:paraId="51116274" w14:textId="0867D454" w:rsidR="004061F3" w:rsidRPr="004061F3" w:rsidRDefault="004061F3" w:rsidP="004061F3">
      <w:pPr>
        <w:pStyle w:val="Heading4"/>
      </w:pPr>
      <w:r w:rsidRPr="004061F3">
        <w:t>Table 4: Measures of building efficient and responsive Governments</w:t>
      </w:r>
    </w:p>
    <w:tbl>
      <w:tblPr>
        <w:tblStyle w:val="TableGrid"/>
        <w:tblW w:w="0" w:type="auto"/>
        <w:tblLook w:val="04A0" w:firstRow="1" w:lastRow="0" w:firstColumn="1" w:lastColumn="0" w:noHBand="0" w:noVBand="1"/>
      </w:tblPr>
      <w:tblGrid>
        <w:gridCol w:w="4508"/>
        <w:gridCol w:w="4508"/>
      </w:tblGrid>
      <w:tr w:rsidR="0012579D" w14:paraId="3F2881F5" w14:textId="77777777" w:rsidTr="00794C4E">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27DCFE6D" w14:textId="19758051" w:rsidR="0012579D" w:rsidRPr="008E198C" w:rsidRDefault="0012579D" w:rsidP="008E198C">
            <w:pPr>
              <w:rPr>
                <w:color w:val="FFFFFF" w:themeColor="background1"/>
              </w:rPr>
            </w:pPr>
            <w:r w:rsidRPr="008E198C">
              <w:rPr>
                <w:color w:val="FFFFFF" w:themeColor="background1"/>
              </w:rPr>
              <w:t>Measure</w:t>
            </w:r>
            <w:bookmarkStart w:id="14" w:name="ColumnTitle_MeasuresofBuildingEfficient"/>
            <w:bookmarkEnd w:id="14"/>
          </w:p>
        </w:tc>
        <w:tc>
          <w:tcPr>
            <w:tcW w:w="4508" w:type="dxa"/>
            <w:vAlign w:val="center"/>
          </w:tcPr>
          <w:p w14:paraId="6419719D" w14:textId="4BC8509B" w:rsidR="0012579D" w:rsidRPr="008E198C" w:rsidRDefault="0012579D" w:rsidP="008E198C">
            <w:pPr>
              <w:rPr>
                <w:color w:val="FFFFFF" w:themeColor="background1"/>
              </w:rPr>
            </w:pPr>
            <w:r w:rsidRPr="008E198C">
              <w:rPr>
                <w:color w:val="FFFFFF" w:themeColor="background1"/>
              </w:rPr>
              <w:t>Relevance</w:t>
            </w:r>
          </w:p>
        </w:tc>
      </w:tr>
      <w:tr w:rsidR="0012579D" w14:paraId="2B525751"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100E5964" w14:textId="5EC93874" w:rsidR="0012579D" w:rsidRPr="0012579D" w:rsidRDefault="0012579D" w:rsidP="0012579D">
            <w:r w:rsidRPr="0012579D">
              <w:t>Administration of government payments and services</w:t>
            </w:r>
          </w:p>
        </w:tc>
        <w:tc>
          <w:tcPr>
            <w:tcW w:w="4508" w:type="dxa"/>
          </w:tcPr>
          <w:p w14:paraId="11880C73" w14:textId="6887946D" w:rsidR="0012579D" w:rsidRPr="0012579D" w:rsidRDefault="0012579D" w:rsidP="0012579D">
            <w:r w:rsidRPr="0012579D">
              <w:t>Fair and timely administration of government processes is an important component to economic security, and encompasses information on wait times, complaints data and ease of access.</w:t>
            </w:r>
          </w:p>
        </w:tc>
      </w:tr>
      <w:tr w:rsidR="0012579D" w14:paraId="1F24EC84" w14:textId="77777777" w:rsidTr="0012579D">
        <w:tc>
          <w:tcPr>
            <w:tcW w:w="4508" w:type="dxa"/>
          </w:tcPr>
          <w:p w14:paraId="10EC9978" w14:textId="34561515" w:rsidR="0012579D" w:rsidRPr="0012579D" w:rsidRDefault="0012579D" w:rsidP="0012579D">
            <w:r w:rsidRPr="0012579D">
              <w:t>Involvement of underrepresented or excluded populations in decision making</w:t>
            </w:r>
          </w:p>
        </w:tc>
        <w:tc>
          <w:tcPr>
            <w:tcW w:w="4508" w:type="dxa"/>
          </w:tcPr>
          <w:p w14:paraId="5FC8384E" w14:textId="6573874A" w:rsidR="0012579D" w:rsidRPr="0012579D" w:rsidRDefault="0012579D" w:rsidP="0012579D">
            <w:r w:rsidRPr="0012579D">
              <w:t>Processes that involve underrepresented or excluded populations in decision-making are better able to reflect the needs of those populations.</w:t>
            </w:r>
          </w:p>
        </w:tc>
      </w:tr>
      <w:tr w:rsidR="0012579D" w14:paraId="10D30A77" w14:textId="77777777" w:rsidTr="0012579D">
        <w:trPr>
          <w:cnfStyle w:val="000000100000" w:firstRow="0" w:lastRow="0" w:firstColumn="0" w:lastColumn="0" w:oddVBand="0" w:evenVBand="0" w:oddHBand="1" w:evenHBand="0" w:firstRowFirstColumn="0" w:firstRowLastColumn="0" w:lastRowFirstColumn="0" w:lastRowLastColumn="0"/>
        </w:trPr>
        <w:tc>
          <w:tcPr>
            <w:tcW w:w="4508" w:type="dxa"/>
          </w:tcPr>
          <w:p w14:paraId="6692582C" w14:textId="1C1A18B9" w:rsidR="0012579D" w:rsidRPr="0012579D" w:rsidRDefault="0012579D" w:rsidP="0012579D">
            <w:r w:rsidRPr="0012579D">
              <w:t>Crisis response</w:t>
            </w:r>
          </w:p>
        </w:tc>
        <w:tc>
          <w:tcPr>
            <w:tcW w:w="4508" w:type="dxa"/>
          </w:tcPr>
          <w:p w14:paraId="174D701F" w14:textId="303327D5" w:rsidR="0012579D" w:rsidRPr="0012579D" w:rsidRDefault="0012579D" w:rsidP="0012579D">
            <w:r w:rsidRPr="0012579D">
              <w:t>How government protects its citizens, not just in times of stability, but in times of crisis, is important to building a cohesive society.</w:t>
            </w:r>
          </w:p>
        </w:tc>
      </w:tr>
    </w:tbl>
    <w:p w14:paraId="4C9D658A" w14:textId="77777777" w:rsidR="00E02107" w:rsidRPr="00E02107" w:rsidRDefault="00E02107" w:rsidP="00E02107">
      <w:pPr>
        <w:pStyle w:val="Heading3"/>
      </w:pPr>
      <w:r w:rsidRPr="00E02107">
        <w:t>Snapshot into social security wait times</w:t>
      </w:r>
    </w:p>
    <w:p w14:paraId="727D5FC1" w14:textId="77777777" w:rsidR="00E02107" w:rsidRPr="00E02107" w:rsidRDefault="00E02107" w:rsidP="00E02107">
      <w:pPr>
        <w:rPr>
          <w:b/>
          <w:bCs/>
          <w:lang w:val="en-US"/>
        </w:rPr>
      </w:pPr>
      <w:r w:rsidRPr="00E02107">
        <w:rPr>
          <w:b/>
          <w:bCs/>
          <w:lang w:val="en-US"/>
        </w:rPr>
        <w:t>Fair and timely administration of government processes is an important component to economic security</w:t>
      </w:r>
    </w:p>
    <w:p w14:paraId="68B85C08" w14:textId="77777777" w:rsidR="00E02107" w:rsidRPr="00E02107" w:rsidRDefault="00E02107" w:rsidP="00E02107">
      <w:pPr>
        <w:rPr>
          <w:lang w:val="en-US"/>
        </w:rPr>
      </w:pPr>
      <w:r w:rsidRPr="00E02107">
        <w:rPr>
          <w:lang w:val="en-US"/>
        </w:rPr>
        <w:t>In Dec 2023:</w:t>
      </w:r>
    </w:p>
    <w:p w14:paraId="4FA20419" w14:textId="363EDB36" w:rsidR="00E02107" w:rsidRPr="00E02107" w:rsidRDefault="00E02107" w:rsidP="00E02107">
      <w:pPr>
        <w:rPr>
          <w:lang w:val="en-US"/>
        </w:rPr>
      </w:pPr>
      <w:r w:rsidRPr="00E02107">
        <w:rPr>
          <w:lang w:val="en-US"/>
        </w:rPr>
        <w:t>Social security claims</w:t>
      </w:r>
      <w:r>
        <w:rPr>
          <w:lang w:val="en-US"/>
        </w:rPr>
        <w:t xml:space="preserve"> </w:t>
      </w:r>
      <w:r w:rsidRPr="00E02107">
        <w:rPr>
          <w:lang w:val="en-US"/>
        </w:rPr>
        <w:t>took an average of 40.1 days to process.</w:t>
      </w:r>
    </w:p>
    <w:p w14:paraId="62348643" w14:textId="77777777" w:rsidR="00E02107" w:rsidRPr="00E02107" w:rsidRDefault="00E02107" w:rsidP="00E02107">
      <w:r w:rsidRPr="00E02107">
        <w:t xml:space="preserve">The JobSeeker Payment, which is meant to be processed in 16 days, took an average of 24 days to process. </w:t>
      </w:r>
    </w:p>
    <w:p w14:paraId="62DCF069" w14:textId="142792E6" w:rsidR="00E02107" w:rsidRPr="00E02107" w:rsidRDefault="00E02107" w:rsidP="00E02107">
      <w:pPr>
        <w:rPr>
          <w:lang w:val="en-US"/>
        </w:rPr>
      </w:pPr>
      <w:r>
        <w:rPr>
          <w:lang w:val="en-US"/>
        </w:rPr>
        <w:t>T</w:t>
      </w:r>
      <w:r w:rsidRPr="00E02107">
        <w:rPr>
          <w:lang w:val="en-US"/>
        </w:rPr>
        <w:t>he disability support pension</w:t>
      </w:r>
      <w:r>
        <w:rPr>
          <w:lang w:val="en-US"/>
        </w:rPr>
        <w:t xml:space="preserve"> </w:t>
      </w:r>
      <w:r w:rsidRPr="00E02107">
        <w:rPr>
          <w:lang w:val="en-US"/>
        </w:rPr>
        <w:t>took an average of 86 days to process.</w:t>
      </w:r>
      <w:r>
        <w:rPr>
          <w:lang w:val="en-US"/>
        </w:rPr>
        <w:br/>
      </w:r>
      <w:r>
        <w:t>W</w:t>
      </w:r>
      <w:r w:rsidRPr="00E02107">
        <w:t>ith some local government areas experiencing average wait times of more than 200 days.</w:t>
      </w:r>
    </w:p>
    <w:p w14:paraId="4619A9D1" w14:textId="33480CF1" w:rsidR="00E02107" w:rsidRPr="00E02107" w:rsidRDefault="00E02107" w:rsidP="00E02107">
      <w:pPr>
        <w:rPr>
          <w:lang w:val="en-US"/>
        </w:rPr>
      </w:pPr>
      <w:r w:rsidRPr="00E02107">
        <w:rPr>
          <w:lang w:val="en-US"/>
        </w:rPr>
        <w:t>1.1 Million</w:t>
      </w:r>
      <w:r>
        <w:rPr>
          <w:lang w:val="en-US"/>
        </w:rPr>
        <w:t xml:space="preserve"> </w:t>
      </w:r>
      <w:r w:rsidRPr="00E02107">
        <w:rPr>
          <w:lang w:val="en-US"/>
        </w:rPr>
        <w:t>Claims</w:t>
      </w:r>
      <w:r>
        <w:rPr>
          <w:lang w:val="en-US"/>
        </w:rPr>
        <w:t xml:space="preserve"> </w:t>
      </w:r>
      <w:r w:rsidRPr="00E02107">
        <w:rPr>
          <w:lang w:val="en-US"/>
        </w:rPr>
        <w:t>were on backlog across all payments.</w:t>
      </w:r>
    </w:p>
    <w:p w14:paraId="06C7E57B" w14:textId="1AD20598" w:rsidR="00E02107" w:rsidRPr="00E02107" w:rsidRDefault="00E02107" w:rsidP="00E02107">
      <w:r w:rsidRPr="00E02107">
        <w:t>From 1 Sept to 31 Dec 2023:</w:t>
      </w:r>
    </w:p>
    <w:p w14:paraId="7BCA856A" w14:textId="7D640C7B" w:rsidR="00E02107" w:rsidRPr="00E02107" w:rsidRDefault="00E02107" w:rsidP="00E02107">
      <w:pPr>
        <w:rPr>
          <w:lang w:val="en-US"/>
        </w:rPr>
      </w:pPr>
      <w:r w:rsidRPr="00E02107">
        <w:rPr>
          <w:lang w:val="en-US"/>
        </w:rPr>
        <w:t>5.1 million</w:t>
      </w:r>
      <w:r>
        <w:rPr>
          <w:lang w:val="en-US"/>
        </w:rPr>
        <w:t xml:space="preserve"> </w:t>
      </w:r>
      <w:r w:rsidRPr="00E02107">
        <w:rPr>
          <w:lang w:val="en-US"/>
        </w:rPr>
        <w:t>Centrelink calls failed with congestion messages received.</w:t>
      </w:r>
    </w:p>
    <w:p w14:paraId="46CBEACA" w14:textId="77A7DA24" w:rsidR="00E02107" w:rsidRPr="00E02107" w:rsidRDefault="00E02107" w:rsidP="00E02107">
      <w:pPr>
        <w:rPr>
          <w:lang w:val="en-US"/>
        </w:rPr>
      </w:pPr>
      <w:r w:rsidRPr="00E02107">
        <w:rPr>
          <w:lang w:val="en-US"/>
        </w:rPr>
        <w:t>Less than</w:t>
      </w:r>
      <w:r>
        <w:rPr>
          <w:lang w:val="en-US"/>
        </w:rPr>
        <w:t xml:space="preserve"> h</w:t>
      </w:r>
      <w:r w:rsidRPr="00E02107">
        <w:rPr>
          <w:lang w:val="en-US"/>
        </w:rPr>
        <w:t>alf (46%)</w:t>
      </w:r>
      <w:r>
        <w:rPr>
          <w:lang w:val="en-US"/>
        </w:rPr>
        <w:t xml:space="preserve"> </w:t>
      </w:r>
      <w:r w:rsidRPr="00E02107">
        <w:rPr>
          <w:lang w:val="en-US"/>
        </w:rPr>
        <w:t>of calls to Centrelink were answered and handled.</w:t>
      </w:r>
    </w:p>
    <w:p w14:paraId="7B387245" w14:textId="7E485035" w:rsidR="00E02107" w:rsidRPr="00E02107" w:rsidRDefault="00E02107" w:rsidP="00E02107">
      <w:pPr>
        <w:rPr>
          <w:lang w:val="en-US"/>
        </w:rPr>
      </w:pPr>
      <w:r w:rsidRPr="00E02107">
        <w:rPr>
          <w:lang w:val="en-US"/>
        </w:rPr>
        <w:t>2</w:t>
      </w:r>
      <w:r>
        <w:rPr>
          <w:lang w:val="en-US"/>
        </w:rPr>
        <w:t>0 m</w:t>
      </w:r>
      <w:r w:rsidRPr="00E02107">
        <w:rPr>
          <w:lang w:val="en-US"/>
        </w:rPr>
        <w:t>inutes</w:t>
      </w:r>
      <w:r>
        <w:rPr>
          <w:lang w:val="en-US"/>
        </w:rPr>
        <w:t xml:space="preserve"> </w:t>
      </w:r>
      <w:r w:rsidRPr="00E02107">
        <w:rPr>
          <w:lang w:val="en-US"/>
        </w:rPr>
        <w:t>was the average wait time of calls answered.</w:t>
      </w:r>
    </w:p>
    <w:p w14:paraId="2E30944E" w14:textId="64744F6B" w:rsidR="00E02107" w:rsidRDefault="00E02107">
      <w:pPr>
        <w:spacing w:after="0"/>
        <w:rPr>
          <w:lang w:val="en-US"/>
        </w:rPr>
      </w:pPr>
      <w:r>
        <w:rPr>
          <w:lang w:val="en-US"/>
        </w:rPr>
        <w:br w:type="page"/>
      </w:r>
    </w:p>
    <w:p w14:paraId="1A1FFF9B" w14:textId="77777777" w:rsidR="00990E04" w:rsidRPr="00990E04" w:rsidRDefault="00990E04" w:rsidP="00990E04">
      <w:pPr>
        <w:pStyle w:val="Heading2"/>
      </w:pPr>
      <w:bookmarkStart w:id="15" w:name="_Toc165366851"/>
      <w:r w:rsidRPr="00990E04">
        <w:lastRenderedPageBreak/>
        <w:t>Paul: JobSeeker with physical and mental health issues</w:t>
      </w:r>
      <w:bookmarkEnd w:id="15"/>
    </w:p>
    <w:p w14:paraId="2E6805E2" w14:textId="5E37B4CD" w:rsidR="00E02107" w:rsidRPr="00990E04" w:rsidRDefault="00E02107" w:rsidP="00990E04">
      <w:pPr>
        <w:rPr>
          <w:rStyle w:val="Emphasis"/>
        </w:rPr>
      </w:pPr>
      <w:r w:rsidRPr="00990E04">
        <w:rPr>
          <w:rStyle w:val="Emphasis"/>
        </w:rPr>
        <w:t>Paul is a 28-year-old who suffers from fibromyalgia and mental health issues. He was first diagnosed with these conditions when he was 23 after suffering an acute mental health issue that saw him admitted to a psychiatric inpatient facility.</w:t>
      </w:r>
    </w:p>
    <w:p w14:paraId="60E414E5" w14:textId="5265474B" w:rsidR="00E02107" w:rsidRPr="00E02107" w:rsidRDefault="00E02107" w:rsidP="00E02107">
      <w:r w:rsidRPr="00E02107">
        <w:t xml:space="preserve">He has been receiving JobSeeker payment for the last five years, having been turned down from the DSP three times.  </w:t>
      </w:r>
    </w:p>
    <w:p w14:paraId="29027121" w14:textId="77777777" w:rsidR="00E02107" w:rsidRPr="00E02107" w:rsidRDefault="00E02107" w:rsidP="00E02107">
      <w:r w:rsidRPr="00E02107">
        <w:t>With the amount of money Paul receives from JobSeeker, he’s falling behind every fortnight. His income is less than his rent and he fears that he will be evicted any day. He can’t afford anything but the most basic of food and he can’t afford all of the medications that he needs each month. Paul must choose which of his three prescriptions he is going to fill and which two he’s going to do without.</w:t>
      </w:r>
    </w:p>
    <w:p w14:paraId="5DBAD3F5" w14:textId="77777777" w:rsidR="00E02107" w:rsidRPr="00E02107" w:rsidRDefault="00E02107" w:rsidP="00E02107">
      <w:r w:rsidRPr="00E02107">
        <w:t xml:space="preserve">Paul has mutual obligations where he’s required to undertake 15 hours of employment or job search each fortnight. Paul’s employment provider often sends him to training courses or to volunteer activities that don’t match his interests, skills or needs. </w:t>
      </w:r>
    </w:p>
    <w:p w14:paraId="63623718" w14:textId="77777777" w:rsidR="00E02107" w:rsidRPr="008E198C" w:rsidRDefault="00E02107" w:rsidP="00E02107">
      <w:pPr>
        <w:rPr>
          <w:rStyle w:val="Emphasis"/>
        </w:rPr>
      </w:pPr>
      <w:r w:rsidRPr="008E198C">
        <w:rPr>
          <w:rStyle w:val="Emphasis"/>
        </w:rPr>
        <w:t>Paul has a degree, was previously employed as an office worker, and has retail experience. He knows how to get a job. What he needs is support in finding employment that he can do with his health conditions.</w:t>
      </w:r>
    </w:p>
    <w:p w14:paraId="49E86C6F" w14:textId="77777777" w:rsidR="00E02107" w:rsidRPr="00E02107" w:rsidRDefault="00E02107" w:rsidP="00E02107">
      <w:r w:rsidRPr="00E02107">
        <w:t xml:space="preserve">For a short time, Paul found employment on his own as an accessibility worker, providing phone support to students undertaking vocational education. His employment was casual, with hours varying by term and decreasing markedly over the summer. Paul found this caused problems with his Centrelink payments. </w:t>
      </w:r>
    </w:p>
    <w:p w14:paraId="7494BA8F" w14:textId="77777777" w:rsidR="00E02107" w:rsidRPr="00E02107" w:rsidRDefault="00E02107" w:rsidP="00E02107">
      <w:r w:rsidRPr="00E02107">
        <w:t>Sometimes he would be over the income threshold and other times he wasn’t meeting his mutual obligation work hours requirement. He also found that having to work 15 hours per fortnight was more than he could physically and mentally cope with. His job service provider told him that he had to come in for appointments and attend training courses when his hours dipped down, even though he knew that he was getting more shifts in the coming weeks. His job service provider breached him at one point for failing to attend an appointment when they knew that he was working 20 hours that week. Paul tried to tell him that he couldn’t come because he was working, but they wouldn’t accept that as a reasonable excuse.</w:t>
      </w:r>
    </w:p>
    <w:p w14:paraId="08C5F0CB" w14:textId="77777777" w:rsidR="00E02107" w:rsidRPr="00E02107" w:rsidRDefault="00E02107" w:rsidP="00E02107">
      <w:r w:rsidRPr="00E02107">
        <w:t xml:space="preserve">At busy times of year, Paul often found that his employer gave him more work than he was able to do. When he worked more than about 10 hours per week, his physical health condition flared up and his mental health declined. He then needed to refuse shifts, which his employer and his job service provider frowned upon. He was only allowed to lodge three medical certificates as reasons for refusing shifts with Centrelink before they refused them outright. </w:t>
      </w:r>
    </w:p>
    <w:p w14:paraId="2CB3645A" w14:textId="77777777" w:rsidR="00E02107" w:rsidRPr="00E02107" w:rsidRDefault="00E02107" w:rsidP="00E02107">
      <w:r w:rsidRPr="00E02107">
        <w:t>He was recently breached and lost his payments when he failed to attend an appointment with his job service provider. He did not attend because a mental health episode had left him unable to leave the house. Unable to provide medical documentation, his provider suspended his payments, leaving Paul without any income and unable to eat anything other than toast for the next few days until an emergency payment was arranged.</w:t>
      </w:r>
    </w:p>
    <w:p w14:paraId="791DAAE8" w14:textId="77777777" w:rsidR="00E02107" w:rsidRPr="00E02107" w:rsidRDefault="00E02107" w:rsidP="00E02107">
      <w:r w:rsidRPr="00E02107">
        <w:t xml:space="preserve">To get the crisis payment, Paul needed to arrange documentation of his circumstances, his health condition, his finances and his immediate financial needs. Paul didn’t have the money to get a medical certificate as his doctor doesn’t bulk bill. He is also unable to see his specialist within the public system as it’s a three to four month wait. Paul doesn’t have a printer or any device where he can print out bank statements and he isn’t able to upload these to Centrelink because he doesn’t have enough data on his prepaid Internet plan. As Paul didn’t have the bus fare to be able to travel to the local Centrelink office, he phoned the </w:t>
      </w:r>
      <w:r w:rsidRPr="00E02107">
        <w:lastRenderedPageBreak/>
        <w:t>help line and was on hold for three hours. While he was on the phone, Paul missed another call from his job service provider and he’s hoping that he’s got not going to be breached again.</w:t>
      </w:r>
    </w:p>
    <w:p w14:paraId="02327ACD" w14:textId="77777777" w:rsidR="00E02107" w:rsidRPr="00E02107" w:rsidRDefault="00E02107" w:rsidP="00E02107">
      <w:r w:rsidRPr="00E02107">
        <w:t>His worker suggested that he should just get moved to the DSP, which he was unable to do. Instead, he was breached for refusing work and his employer soon stopped offering him shifts. Now the prospect of taking on work causes his mental health to deteriorate because of the uncertainty and the likelihood of being breached.</w:t>
      </w:r>
    </w:p>
    <w:p w14:paraId="659DA8F7" w14:textId="77777777" w:rsidR="00E02107" w:rsidRPr="00E02107" w:rsidRDefault="00E02107" w:rsidP="00E02107">
      <w:r w:rsidRPr="00E02107">
        <w:t xml:space="preserve">What Paul wants is actual support. He wants someone to help him find a job that works for him. He wants employers that recognise that physical and mental health is real and needs to be managed. He wants Centrelink to support people when they need support instead of punishing them for not being able to work as if they had no mental and physical health difficulties. </w:t>
      </w:r>
    </w:p>
    <w:p w14:paraId="6C680929" w14:textId="77777777" w:rsidR="00E02107" w:rsidRPr="00E02107" w:rsidRDefault="00E02107" w:rsidP="00E02107">
      <w:r w:rsidRPr="00E02107">
        <w:t xml:space="preserve">Paul wants enough money to be able to get well, but now he can’t afford the prescriptions, medical and mental health services he needs to improve. Centrelink is not providing him enough money to eat good food and he can’t have the social life or security essential for his full recovery. </w:t>
      </w:r>
    </w:p>
    <w:p w14:paraId="6E345D48" w14:textId="77777777" w:rsidR="00E02107" w:rsidRPr="00E02107" w:rsidRDefault="00E02107" w:rsidP="00E02107">
      <w:r w:rsidRPr="00E02107">
        <w:t xml:space="preserve">Paul is therefore stuck – blamed for not being able to work and not supported to contribute to society. </w:t>
      </w:r>
    </w:p>
    <w:p w14:paraId="69EB88DE" w14:textId="77777777" w:rsidR="00E02107" w:rsidRPr="00E02107" w:rsidRDefault="00E02107" w:rsidP="00E02107">
      <w:r w:rsidRPr="00E02107">
        <w:t xml:space="preserve">He has tried to do everything that the Government has asked him to do, like working and studying but his mental and physical health problems have prevented him from continuing. </w:t>
      </w:r>
    </w:p>
    <w:p w14:paraId="0BEE9447" w14:textId="77777777" w:rsidR="00E02107" w:rsidRPr="00E02107" w:rsidRDefault="00E02107" w:rsidP="00E02107">
      <w:r w:rsidRPr="00E02107">
        <w:t xml:space="preserve">He has tried getting help, but every time he reaches out to Centrelink, they say ‘no’  and more things are taken away. He thinks that with a bit more money and a bit more autonomy he could choose to do the things that will help him achieve success. </w:t>
      </w:r>
    </w:p>
    <w:p w14:paraId="065A30D2" w14:textId="77777777" w:rsidR="00921054" w:rsidRDefault="00921054">
      <w:pPr>
        <w:spacing w:after="0"/>
        <w:rPr>
          <w:lang w:val="en-US"/>
        </w:rPr>
        <w:sectPr w:rsidR="00921054" w:rsidSect="0039440B">
          <w:pgSz w:w="11906" w:h="16838"/>
          <w:pgMar w:top="1440" w:right="1440" w:bottom="1440" w:left="1440" w:header="708" w:footer="708" w:gutter="0"/>
          <w:cols w:space="708"/>
          <w:titlePg/>
          <w:docGrid w:linePitch="360"/>
        </w:sectPr>
      </w:pPr>
    </w:p>
    <w:p w14:paraId="696811C6" w14:textId="15466B2E" w:rsidR="00475350" w:rsidRPr="00921054" w:rsidRDefault="00262D09" w:rsidP="00D24350">
      <w:pPr>
        <w:pStyle w:val="Heading1"/>
        <w:rPr>
          <w:color w:val="F9F1E7" w:themeColor="background2"/>
        </w:rPr>
      </w:pPr>
      <w:bookmarkStart w:id="16" w:name="_Toc165366852"/>
      <w:r>
        <w:rPr>
          <w:noProof/>
        </w:rPr>
        <w:lastRenderedPageBreak/>
        <w:drawing>
          <wp:anchor distT="0" distB="0" distL="114300" distR="114300" simplePos="0" relativeHeight="251665408" behindDoc="1" locked="0" layoutInCell="1" allowOverlap="1" wp14:anchorId="7DB4A6B0" wp14:editId="32C1133A">
            <wp:simplePos x="0" y="0"/>
            <wp:positionH relativeFrom="page">
              <wp:align>left</wp:align>
            </wp:positionH>
            <wp:positionV relativeFrom="paragraph">
              <wp:posOffset>-895350</wp:posOffset>
            </wp:positionV>
            <wp:extent cx="7560310" cy="10687050"/>
            <wp:effectExtent l="0" t="0" r="2540" b="0"/>
            <wp:wrapNone/>
            <wp:docPr id="54134493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475350" w:rsidRPr="00921054">
        <w:rPr>
          <w:color w:val="F9F1E7" w:themeColor="background2"/>
        </w:rPr>
        <w:t xml:space="preserve">Chapter 2A: </w:t>
      </w:r>
      <w:r w:rsidR="00921054">
        <w:rPr>
          <w:color w:val="F9F1E7" w:themeColor="background2"/>
        </w:rPr>
        <w:br/>
      </w:r>
      <w:r w:rsidR="00475350" w:rsidRPr="00921054">
        <w:rPr>
          <w:color w:val="F9F1E7" w:themeColor="background2"/>
        </w:rPr>
        <w:t>Adequacy of working age payments – an update</w:t>
      </w:r>
      <w:bookmarkEnd w:id="16"/>
    </w:p>
    <w:p w14:paraId="03D139E2" w14:textId="690F914F" w:rsidR="00475350" w:rsidRPr="00D24350" w:rsidRDefault="00475350" w:rsidP="00D24350">
      <w:r w:rsidRPr="00D24350">
        <w:br w:type="page"/>
      </w:r>
    </w:p>
    <w:p w14:paraId="46D4E8CC" w14:textId="77777777" w:rsidR="00D24350" w:rsidRPr="00D24350" w:rsidRDefault="00D24350" w:rsidP="00D24350">
      <w:pPr>
        <w:pStyle w:val="Heading2"/>
      </w:pPr>
      <w:bookmarkStart w:id="17" w:name="_Toc165366853"/>
      <w:r w:rsidRPr="00D24350">
        <w:lastRenderedPageBreak/>
        <w:t>2A.1 Introduction</w:t>
      </w:r>
      <w:bookmarkEnd w:id="17"/>
    </w:p>
    <w:p w14:paraId="514B1770" w14:textId="3CBDAA19" w:rsidR="00D24350" w:rsidRPr="00D24350" w:rsidRDefault="00D24350" w:rsidP="00D24350">
      <w:pPr>
        <w:rPr>
          <w:rStyle w:val="Emphasis"/>
          <w:lang w:val="en-GB"/>
        </w:rPr>
      </w:pPr>
      <w:r w:rsidRPr="00D24350">
        <w:rPr>
          <w:rStyle w:val="Emphasis"/>
          <w:lang w:val="en-GB"/>
        </w:rPr>
        <w:t>The concept of ‘adequacy’ is one of the core values of the Australian social security system. The McClure Review (2015) defined ‘adequacy’ as providing ‘income support recipients with sufficient support to ensure a basic standard of living in line with community standards’.</w:t>
      </w:r>
      <w:r w:rsidRPr="00D24350">
        <w:rPr>
          <w:rStyle w:val="Superscript"/>
          <w:lang w:val="en-GB"/>
        </w:rPr>
        <w:footnoteReference w:id="1"/>
      </w:r>
    </w:p>
    <w:p w14:paraId="48CF0E03" w14:textId="77777777" w:rsidR="00D24350" w:rsidRPr="00D24350" w:rsidRDefault="00D24350" w:rsidP="00D24350">
      <w:pPr>
        <w:rPr>
          <w:lang w:val="en-GB"/>
        </w:rPr>
      </w:pPr>
      <w:r w:rsidRPr="00D24350">
        <w:rPr>
          <w:lang w:val="en-GB"/>
        </w:rPr>
        <w:t>As emphasised in the First Report of the Interim Committee (EIAC, 2023), all indicators reviewed by the Committee showed that rates of social security payments for JobSeeker Payments and related non-pension payments for working-age Australians are seriously inadequate, whether measured relative to average or National Minimum Wages, in comparison with pensions, or measured against a range of income poverty measures. People receiving these payments face the highest levels of financial stress in the Australian community.</w:t>
      </w:r>
    </w:p>
    <w:p w14:paraId="4A595943" w14:textId="77777777" w:rsidR="00D24350" w:rsidRPr="00D24350" w:rsidRDefault="00D24350" w:rsidP="00D24350">
      <w:pPr>
        <w:rPr>
          <w:lang w:val="en-GB"/>
        </w:rPr>
      </w:pPr>
      <w:r w:rsidRPr="00D24350">
        <w:rPr>
          <w:lang w:val="en-GB"/>
        </w:rPr>
        <w:t>The Government has responded to the recommendations of the First Report with a range of measures in the 2023-24 Budget (Department of the Treasury, 2023a), the White Paper on Jobs and Opportunities (Department of the Treasury, 2023b), and through the Tackling Entrenched Disadvantage Package.</w:t>
      </w:r>
    </w:p>
    <w:p w14:paraId="182393D9" w14:textId="1EC4829E" w:rsidR="00D24350" w:rsidRPr="00D24350" w:rsidRDefault="00D24350" w:rsidP="00D24350">
      <w:pPr>
        <w:rPr>
          <w:lang w:val="en-GB"/>
        </w:rPr>
      </w:pPr>
      <w:r w:rsidRPr="00D24350">
        <w:rPr>
          <w:lang w:val="en-GB"/>
        </w:rPr>
        <w:t>This section of our report quantifies the progress that has been made over the past year. In summary, there has been some progress, but it has been limited. The Committee continues to find that rates of working age income support and supplements should be increased to 90% of the pension rate and supplements as a priority to improve the adequacy of the Australian social security system, and if increases are to be staged, that a clear timetable to achieve this objective should be established.</w:t>
      </w:r>
    </w:p>
    <w:p w14:paraId="27EBB018" w14:textId="77777777" w:rsidR="00D24350" w:rsidRPr="00D24350" w:rsidRDefault="00D24350" w:rsidP="00D24350">
      <w:pPr>
        <w:rPr>
          <w:lang w:val="en-GB"/>
        </w:rPr>
      </w:pPr>
      <w:r w:rsidRPr="00D24350">
        <w:rPr>
          <w:lang w:val="en-GB"/>
        </w:rPr>
        <w:t>The section also presents new analysis of trends in financial stress affecting households receiving different income support payments, that has been undertaken since the Committee’s First Report. This complements and deepens the analysis of the first report, emphasising the significant disadvantages experienced by many people receiving inadequate income support.</w:t>
      </w:r>
    </w:p>
    <w:p w14:paraId="17CF4E68" w14:textId="77777777" w:rsidR="00D24350" w:rsidRPr="00D24350" w:rsidRDefault="00D24350" w:rsidP="00D24350">
      <w:pPr>
        <w:rPr>
          <w:lang w:val="en-GB"/>
        </w:rPr>
      </w:pPr>
      <w:r w:rsidRPr="00D24350">
        <w:rPr>
          <w:lang w:val="en-GB"/>
        </w:rPr>
        <w:t>This section then discusses how indexation of payments and benchmarking to wages for pensions has contributed to the wide gap between JobSeeker and related payments and pensions and discusses the policy approaches to ensuring that the gap does not continue to widen in the future.</w:t>
      </w:r>
    </w:p>
    <w:p w14:paraId="064DFCAA" w14:textId="15FDC33C" w:rsidR="0012579D" w:rsidRDefault="00D24350" w:rsidP="0012579D">
      <w:pPr>
        <w:pStyle w:val="Heading2"/>
      </w:pPr>
      <w:bookmarkStart w:id="18" w:name="_Toc165366854"/>
      <w:r w:rsidRPr="00D24350">
        <w:t>2A.2 Key findings</w:t>
      </w:r>
      <w:bookmarkEnd w:id="18"/>
      <w:r w:rsidRPr="00D24350">
        <w:t xml:space="preserve">  </w:t>
      </w:r>
    </w:p>
    <w:p w14:paraId="6183F2DA" w14:textId="1B78E80F" w:rsidR="00D24350" w:rsidRDefault="00D24350" w:rsidP="00D24350">
      <w:pPr>
        <w:rPr>
          <w:lang w:val="en-GB"/>
        </w:rPr>
      </w:pPr>
      <w:r w:rsidRPr="00D24350">
        <w:rPr>
          <w:lang w:val="en-GB"/>
        </w:rPr>
        <w:t>Table 5 summarises the main changes that have been made to payment rates since the Committee’s First Report. It does this by simply comparing the level of payments that applied in March 2023 before the 2023-24 Budget and those applying after September 2023, as a result of the Budget changes and the indexation increases that also come into effect in September. There was a small additional improvement because the $40 a fortnight increase was also added to the base for indexation purposes.</w:t>
      </w:r>
    </w:p>
    <w:p w14:paraId="6D78E98E" w14:textId="21C46E95" w:rsidR="00D24350" w:rsidRPr="00D24350" w:rsidRDefault="00D24350" w:rsidP="00D24350">
      <w:pPr>
        <w:rPr>
          <w:lang w:val="en-GB"/>
        </w:rPr>
      </w:pPr>
      <w:r w:rsidRPr="00D24350">
        <w:rPr>
          <w:lang w:val="en-GB"/>
        </w:rPr>
        <w:t>Table 5 shows that the single base adult rate of JobSeeker increased by 8.1% in this period, or slightly less by 8.0% when including the Energy Supplement (which is not indexed). For couples – whose lower payments were also increased by $40 per fortnight, plus indexation – the increase was higher at 8.7%, while for unemployed young people receiving Youth Allowance at the independent rate, the increase was 7.1%. The rate for this group increased by $40 per fortnight, but their indexation increases are annual and are applied in January each year.</w:t>
      </w:r>
    </w:p>
    <w:p w14:paraId="3890A0D7" w14:textId="77777777" w:rsidR="005F273B" w:rsidRDefault="00D24350" w:rsidP="00D24350">
      <w:pPr>
        <w:rPr>
          <w:lang w:val="en-GB"/>
        </w:rPr>
      </w:pPr>
      <w:r w:rsidRPr="00D24350">
        <w:rPr>
          <w:lang w:val="en-GB"/>
        </w:rPr>
        <w:lastRenderedPageBreak/>
        <w:t>The two largest increases applied to people receiving JobSeeker aged 55 to 59, who were made eligible for the higher rate previously applying to those aged 60 and over receiving payments for nine months or more, and to single parents with a youngest child aged 8 to 14 years, who were moved onto Parenting Payment Single. The increases for these groups were 15.8% and 26.5%, respectively.</w:t>
      </w:r>
    </w:p>
    <w:p w14:paraId="1C64AFD3" w14:textId="307FF96D" w:rsidR="00D24350" w:rsidRPr="00D24350" w:rsidRDefault="00D24350" w:rsidP="00D24350">
      <w:pPr>
        <w:rPr>
          <w:lang w:val="en-GB"/>
        </w:rPr>
      </w:pPr>
      <w:r w:rsidRPr="00D24350">
        <w:rPr>
          <w:lang w:val="en-GB"/>
        </w:rPr>
        <w:t>Table 5 also shows that the single rate of Age Pension plus the Pension and Energy Supplements increased by 3.1% in this period.</w:t>
      </w:r>
      <w:r w:rsidRPr="00D24350">
        <w:rPr>
          <w:rStyle w:val="Superscript"/>
          <w:lang w:val="en-GB"/>
        </w:rPr>
        <w:footnoteReference w:id="2"/>
      </w:r>
      <w:r w:rsidRPr="00D24350">
        <w:rPr>
          <w:lang w:val="en-GB"/>
        </w:rPr>
        <w:t xml:space="preserve"> As a result, the gap between JobSeeker and Age Pension (plus supplements) was reduced from around $362 per fortnight to $339 per fortnight, a reduction of 6.4%.</w:t>
      </w:r>
    </w:p>
    <w:p w14:paraId="5DB9F0BE" w14:textId="2AAB5831" w:rsidR="00D24350" w:rsidRPr="00D24350" w:rsidRDefault="00D24350" w:rsidP="00D24350">
      <w:pPr>
        <w:rPr>
          <w:lang w:val="en-GB"/>
        </w:rPr>
      </w:pPr>
      <w:r w:rsidRPr="00D24350">
        <w:rPr>
          <w:lang w:val="en-GB"/>
        </w:rPr>
        <w:t>Table 5 shows that MTAWE has increased by less than inflation (1.9%). As discussed later in the chapter this is likely to reflect changes in the composition of the workforce. The ABS Wage Price Index increased by 2.5% between March and September 2023, and by a further 1.0% since then</w:t>
      </w:r>
      <w:r w:rsidR="000B687E">
        <w:rPr>
          <w:lang w:val="en-GB"/>
        </w:rPr>
        <w:t>.</w:t>
      </w:r>
      <w:r w:rsidRPr="00D24350">
        <w:rPr>
          <w:rStyle w:val="Superscript"/>
          <w:lang w:val="en-GB"/>
        </w:rPr>
        <w:footnoteReference w:id="3"/>
      </w:r>
    </w:p>
    <w:p w14:paraId="4155809D" w14:textId="77777777" w:rsidR="00D24350" w:rsidRPr="00D24350" w:rsidRDefault="00D24350" w:rsidP="00D24350">
      <w:pPr>
        <w:rPr>
          <w:lang w:val="en-GB"/>
        </w:rPr>
      </w:pPr>
      <w:r w:rsidRPr="00D24350">
        <w:rPr>
          <w:lang w:val="en-GB"/>
        </w:rPr>
        <w:t>It is notable that the Henderson Poverty Line fell by 0.7% between March and September 2023, as it is adjusted by changes in seasonally adjusted household disposable income per head.</w:t>
      </w:r>
      <w:r w:rsidRPr="00D24350">
        <w:rPr>
          <w:rStyle w:val="Superscript"/>
          <w:lang w:val="en-GB"/>
        </w:rPr>
        <w:footnoteReference w:id="4"/>
      </w:r>
    </w:p>
    <w:p w14:paraId="0833EDD7" w14:textId="77777777" w:rsidR="00D24350" w:rsidRPr="00D24350" w:rsidRDefault="00D24350" w:rsidP="00D24350">
      <w:pPr>
        <w:rPr>
          <w:lang w:val="en-GB"/>
        </w:rPr>
      </w:pPr>
      <w:r w:rsidRPr="00D24350">
        <w:rPr>
          <w:lang w:val="en-GB"/>
        </w:rPr>
        <w:t>While the most recent ABS Income Survey is for 2019-20, the ANU POLIS Centre for Social Policy Research has used microsimulation analysis to model recent developments in household incomes.</w:t>
      </w:r>
      <w:r w:rsidRPr="00D24350">
        <w:rPr>
          <w:rStyle w:val="Superscript"/>
          <w:lang w:val="en-GB"/>
        </w:rPr>
        <w:footnoteReference w:id="5"/>
      </w:r>
      <w:r w:rsidRPr="00D24350">
        <w:rPr>
          <w:lang w:val="en-GB"/>
        </w:rPr>
        <w:t xml:space="preserve"> Their results are discussed below.</w:t>
      </w:r>
    </w:p>
    <w:p w14:paraId="4B380CAC" w14:textId="77777777" w:rsidR="00D24350" w:rsidRDefault="00D24350" w:rsidP="00D24350">
      <w:pPr>
        <w:rPr>
          <w:lang w:val="en-GB"/>
        </w:rPr>
      </w:pPr>
      <w:r w:rsidRPr="00D24350">
        <w:rPr>
          <w:lang w:val="en-GB"/>
        </w:rPr>
        <w:t>Table 5 shows that it is estimated that a relative poverty line (50% of median equivalised disposable income) has increased by 5.8% over the past year, suggesting that the Budget changes will have reduced the poverty gap slightly.</w:t>
      </w:r>
      <w:r w:rsidRPr="00D24350">
        <w:rPr>
          <w:rStyle w:val="Superscript"/>
          <w:lang w:val="en-GB"/>
        </w:rPr>
        <w:footnoteReference w:id="6"/>
      </w:r>
    </w:p>
    <w:p w14:paraId="19B11BE5" w14:textId="77777777" w:rsidR="00713A82" w:rsidRPr="005F273B" w:rsidRDefault="00713A82" w:rsidP="00713A82">
      <w:pPr>
        <w:pStyle w:val="Heading4"/>
      </w:pPr>
      <w:r w:rsidRPr="005F273B">
        <w:t>Table 5: Changes in payment rates and benchmarks, March to September 2023, $ per fortnight</w:t>
      </w:r>
    </w:p>
    <w:tbl>
      <w:tblPr>
        <w:tblStyle w:val="TableGrid"/>
        <w:tblW w:w="0" w:type="auto"/>
        <w:tblLook w:val="04A0" w:firstRow="1" w:lastRow="0" w:firstColumn="1" w:lastColumn="0" w:noHBand="0" w:noVBand="1"/>
      </w:tblPr>
      <w:tblGrid>
        <w:gridCol w:w="5098"/>
        <w:gridCol w:w="1411"/>
        <w:gridCol w:w="1293"/>
        <w:gridCol w:w="1214"/>
      </w:tblGrid>
      <w:tr w:rsidR="00713A82" w14:paraId="3D21A280" w14:textId="77777777" w:rsidTr="00237808">
        <w:trPr>
          <w:cnfStyle w:val="100000000000" w:firstRow="1" w:lastRow="0" w:firstColumn="0" w:lastColumn="0" w:oddVBand="0" w:evenVBand="0" w:oddHBand="0" w:evenHBand="0" w:firstRowFirstColumn="0" w:firstRowLastColumn="0" w:lastRowFirstColumn="0" w:lastRowLastColumn="0"/>
        </w:trPr>
        <w:tc>
          <w:tcPr>
            <w:tcW w:w="5098" w:type="dxa"/>
            <w:vAlign w:val="center"/>
          </w:tcPr>
          <w:p w14:paraId="3A87ED4B" w14:textId="77777777" w:rsidR="00713A82" w:rsidRPr="008E198C" w:rsidRDefault="00713A82" w:rsidP="00237808">
            <w:pPr>
              <w:rPr>
                <w:color w:val="FFFFFF" w:themeColor="background1"/>
              </w:rPr>
            </w:pPr>
            <w:bookmarkStart w:id="19" w:name="ColumnTitle_Table5"/>
            <w:bookmarkEnd w:id="19"/>
          </w:p>
        </w:tc>
        <w:tc>
          <w:tcPr>
            <w:tcW w:w="1411" w:type="dxa"/>
            <w:vAlign w:val="center"/>
          </w:tcPr>
          <w:p w14:paraId="0BA72C91" w14:textId="77777777" w:rsidR="00713A82" w:rsidRPr="008E198C" w:rsidRDefault="00713A82" w:rsidP="00237808">
            <w:pPr>
              <w:rPr>
                <w:color w:val="FFFFFF" w:themeColor="background1"/>
              </w:rPr>
            </w:pPr>
            <w:r w:rsidRPr="008E198C">
              <w:rPr>
                <w:color w:val="FFFFFF" w:themeColor="background1"/>
              </w:rPr>
              <w:t>March 2023</w:t>
            </w:r>
          </w:p>
        </w:tc>
        <w:tc>
          <w:tcPr>
            <w:tcW w:w="1293" w:type="dxa"/>
            <w:vAlign w:val="center"/>
          </w:tcPr>
          <w:p w14:paraId="276573BF" w14:textId="77777777" w:rsidR="00713A82" w:rsidRPr="008E198C" w:rsidRDefault="00713A82" w:rsidP="00237808">
            <w:pPr>
              <w:rPr>
                <w:color w:val="FFFFFF" w:themeColor="background1"/>
              </w:rPr>
            </w:pPr>
            <w:r w:rsidRPr="008E198C">
              <w:rPr>
                <w:color w:val="FFFFFF" w:themeColor="background1"/>
              </w:rPr>
              <w:t>September 2023</w:t>
            </w:r>
          </w:p>
        </w:tc>
        <w:tc>
          <w:tcPr>
            <w:tcW w:w="1214" w:type="dxa"/>
            <w:vAlign w:val="center"/>
          </w:tcPr>
          <w:p w14:paraId="7A161B48" w14:textId="77777777" w:rsidR="00713A82" w:rsidRPr="008E198C" w:rsidRDefault="00713A82" w:rsidP="00237808">
            <w:pPr>
              <w:rPr>
                <w:color w:val="FFFFFF" w:themeColor="background1"/>
              </w:rPr>
            </w:pPr>
            <w:r w:rsidRPr="008E198C">
              <w:rPr>
                <w:color w:val="FFFFFF" w:themeColor="background1"/>
              </w:rPr>
              <w:t>% Change</w:t>
            </w:r>
          </w:p>
        </w:tc>
      </w:tr>
      <w:tr w:rsidR="00713A82" w14:paraId="41FB3922"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E63E064" w14:textId="77777777" w:rsidR="00713A82" w:rsidRPr="005F273B" w:rsidRDefault="00713A82" w:rsidP="00237808">
            <w:r w:rsidRPr="005F273B">
              <w:t>Single Adult JobSeeker</w:t>
            </w:r>
          </w:p>
        </w:tc>
        <w:tc>
          <w:tcPr>
            <w:tcW w:w="1411" w:type="dxa"/>
          </w:tcPr>
          <w:p w14:paraId="68A438A3" w14:textId="77777777" w:rsidR="00713A82" w:rsidRPr="005F273B" w:rsidRDefault="00713A82" w:rsidP="00237808">
            <w:r w:rsidRPr="005F273B">
              <w:t>693.10</w:t>
            </w:r>
          </w:p>
        </w:tc>
        <w:tc>
          <w:tcPr>
            <w:tcW w:w="1293" w:type="dxa"/>
          </w:tcPr>
          <w:p w14:paraId="7F1DBD06" w14:textId="77777777" w:rsidR="00713A82" w:rsidRPr="005F273B" w:rsidRDefault="00713A82" w:rsidP="00237808">
            <w:r w:rsidRPr="005F273B">
              <w:t>749.20</w:t>
            </w:r>
          </w:p>
        </w:tc>
        <w:tc>
          <w:tcPr>
            <w:tcW w:w="1214" w:type="dxa"/>
          </w:tcPr>
          <w:p w14:paraId="32E97A07" w14:textId="77777777" w:rsidR="00713A82" w:rsidRPr="005F273B" w:rsidRDefault="00713A82" w:rsidP="00237808">
            <w:r w:rsidRPr="005F273B">
              <w:t>8.1</w:t>
            </w:r>
          </w:p>
        </w:tc>
      </w:tr>
      <w:tr w:rsidR="00713A82" w14:paraId="78F1BCCB" w14:textId="77777777" w:rsidTr="00237808">
        <w:tc>
          <w:tcPr>
            <w:tcW w:w="5098" w:type="dxa"/>
          </w:tcPr>
          <w:p w14:paraId="5DCB97FB" w14:textId="77777777" w:rsidR="00713A82" w:rsidRPr="005F273B" w:rsidRDefault="00713A82" w:rsidP="00237808">
            <w:r w:rsidRPr="005F273B">
              <w:t>Single Adult JobSeeker with Supplements</w:t>
            </w:r>
          </w:p>
        </w:tc>
        <w:tc>
          <w:tcPr>
            <w:tcW w:w="1411" w:type="dxa"/>
          </w:tcPr>
          <w:p w14:paraId="66924EB9" w14:textId="77777777" w:rsidR="00713A82" w:rsidRPr="005F273B" w:rsidRDefault="00713A82" w:rsidP="00237808">
            <w:r w:rsidRPr="005F273B">
              <w:t>701.90</w:t>
            </w:r>
          </w:p>
        </w:tc>
        <w:tc>
          <w:tcPr>
            <w:tcW w:w="1293" w:type="dxa"/>
          </w:tcPr>
          <w:p w14:paraId="15E3078B" w14:textId="77777777" w:rsidR="00713A82" w:rsidRPr="005F273B" w:rsidRDefault="00713A82" w:rsidP="00237808">
            <w:r w:rsidRPr="005F273B">
              <w:t>758.00</w:t>
            </w:r>
          </w:p>
        </w:tc>
        <w:tc>
          <w:tcPr>
            <w:tcW w:w="1214" w:type="dxa"/>
          </w:tcPr>
          <w:p w14:paraId="41A52E65" w14:textId="77777777" w:rsidR="00713A82" w:rsidRPr="005F273B" w:rsidRDefault="00713A82" w:rsidP="00237808">
            <w:r w:rsidRPr="005F273B">
              <w:t>8.0</w:t>
            </w:r>
          </w:p>
        </w:tc>
      </w:tr>
      <w:tr w:rsidR="00713A82" w14:paraId="64F6A52F"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6CE4AB5C" w14:textId="77777777" w:rsidR="00713A82" w:rsidRPr="005F273B" w:rsidRDefault="00713A82" w:rsidP="00237808">
            <w:r w:rsidRPr="005F273B">
              <w:t>JobSeeker Couple (each)</w:t>
            </w:r>
          </w:p>
        </w:tc>
        <w:tc>
          <w:tcPr>
            <w:tcW w:w="1411" w:type="dxa"/>
          </w:tcPr>
          <w:p w14:paraId="1B8ECCC1" w14:textId="77777777" w:rsidR="00713A82" w:rsidRPr="005F273B" w:rsidRDefault="00713A82" w:rsidP="00237808">
            <w:r w:rsidRPr="005F273B">
              <w:t>631.20</w:t>
            </w:r>
          </w:p>
        </w:tc>
        <w:tc>
          <w:tcPr>
            <w:tcW w:w="1293" w:type="dxa"/>
          </w:tcPr>
          <w:p w14:paraId="5051C3FB" w14:textId="77777777" w:rsidR="00713A82" w:rsidRPr="005F273B" w:rsidRDefault="00713A82" w:rsidP="00237808">
            <w:r w:rsidRPr="005F273B">
              <w:t>686.00</w:t>
            </w:r>
          </w:p>
        </w:tc>
        <w:tc>
          <w:tcPr>
            <w:tcW w:w="1214" w:type="dxa"/>
          </w:tcPr>
          <w:p w14:paraId="6BD8530A" w14:textId="77777777" w:rsidR="00713A82" w:rsidRPr="005F273B" w:rsidRDefault="00713A82" w:rsidP="00237808">
            <w:r w:rsidRPr="005F273B">
              <w:t>8.7</w:t>
            </w:r>
          </w:p>
        </w:tc>
      </w:tr>
      <w:tr w:rsidR="00713A82" w14:paraId="0184A88E" w14:textId="77777777" w:rsidTr="00237808">
        <w:tc>
          <w:tcPr>
            <w:tcW w:w="5098" w:type="dxa"/>
          </w:tcPr>
          <w:p w14:paraId="652BF455" w14:textId="77777777" w:rsidR="00713A82" w:rsidRPr="005F273B" w:rsidRDefault="00713A82" w:rsidP="00237808">
            <w:r w:rsidRPr="005F273B">
              <w:t>JobSeeker Couple (each) with Supplements</w:t>
            </w:r>
          </w:p>
        </w:tc>
        <w:tc>
          <w:tcPr>
            <w:tcW w:w="1411" w:type="dxa"/>
          </w:tcPr>
          <w:p w14:paraId="62494F2C" w14:textId="77777777" w:rsidR="00713A82" w:rsidRPr="005F273B" w:rsidRDefault="00713A82" w:rsidP="00237808">
            <w:r w:rsidRPr="005F273B">
              <w:t>639.10</w:t>
            </w:r>
          </w:p>
        </w:tc>
        <w:tc>
          <w:tcPr>
            <w:tcW w:w="1293" w:type="dxa"/>
          </w:tcPr>
          <w:p w14:paraId="316F3336" w14:textId="77777777" w:rsidR="00713A82" w:rsidRPr="005F273B" w:rsidRDefault="00713A82" w:rsidP="00237808">
            <w:r w:rsidRPr="005F273B">
              <w:t>693.90</w:t>
            </w:r>
          </w:p>
        </w:tc>
        <w:tc>
          <w:tcPr>
            <w:tcW w:w="1214" w:type="dxa"/>
          </w:tcPr>
          <w:p w14:paraId="120C6B7F" w14:textId="77777777" w:rsidR="00713A82" w:rsidRPr="005F273B" w:rsidRDefault="00713A82" w:rsidP="00237808">
            <w:r w:rsidRPr="005F273B">
              <w:t>8.6</w:t>
            </w:r>
          </w:p>
        </w:tc>
      </w:tr>
      <w:tr w:rsidR="00713A82" w14:paraId="1CC52A18"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5942F2A7" w14:textId="77777777" w:rsidR="00713A82" w:rsidRPr="005F273B" w:rsidRDefault="00713A82" w:rsidP="00237808">
            <w:r w:rsidRPr="005F273B">
              <w:t>Youth Allowance (away from home)</w:t>
            </w:r>
          </w:p>
        </w:tc>
        <w:tc>
          <w:tcPr>
            <w:tcW w:w="1411" w:type="dxa"/>
          </w:tcPr>
          <w:p w14:paraId="7863CACE" w14:textId="77777777" w:rsidR="00713A82" w:rsidRPr="005F273B" w:rsidRDefault="00713A82" w:rsidP="00237808">
            <w:r w:rsidRPr="005F273B">
              <w:t>562.80</w:t>
            </w:r>
          </w:p>
        </w:tc>
        <w:tc>
          <w:tcPr>
            <w:tcW w:w="1293" w:type="dxa"/>
          </w:tcPr>
          <w:p w14:paraId="276839D9" w14:textId="77777777" w:rsidR="00713A82" w:rsidRPr="005F273B" w:rsidRDefault="00713A82" w:rsidP="00237808">
            <w:r w:rsidRPr="005F273B">
              <w:t>602.80</w:t>
            </w:r>
          </w:p>
        </w:tc>
        <w:tc>
          <w:tcPr>
            <w:tcW w:w="1214" w:type="dxa"/>
          </w:tcPr>
          <w:p w14:paraId="647FFACB" w14:textId="77777777" w:rsidR="00713A82" w:rsidRPr="005F273B" w:rsidRDefault="00713A82" w:rsidP="00237808">
            <w:r w:rsidRPr="005F273B">
              <w:t>7.1</w:t>
            </w:r>
          </w:p>
        </w:tc>
      </w:tr>
      <w:tr w:rsidR="00713A82" w14:paraId="35C380C3" w14:textId="77777777" w:rsidTr="00237808">
        <w:tc>
          <w:tcPr>
            <w:tcW w:w="5098" w:type="dxa"/>
          </w:tcPr>
          <w:p w14:paraId="52ECA738" w14:textId="77777777" w:rsidR="00713A82" w:rsidRPr="005F273B" w:rsidRDefault="00713A82" w:rsidP="00237808">
            <w:r w:rsidRPr="005F273B">
              <w:t>Youth Allowance (away from home) with Supplements</w:t>
            </w:r>
          </w:p>
        </w:tc>
        <w:tc>
          <w:tcPr>
            <w:tcW w:w="1411" w:type="dxa"/>
          </w:tcPr>
          <w:p w14:paraId="5BD7FAA4" w14:textId="77777777" w:rsidR="00713A82" w:rsidRPr="005F273B" w:rsidRDefault="00713A82" w:rsidP="00237808">
            <w:r w:rsidRPr="005F273B">
              <w:t>569.80</w:t>
            </w:r>
          </w:p>
        </w:tc>
        <w:tc>
          <w:tcPr>
            <w:tcW w:w="1293" w:type="dxa"/>
          </w:tcPr>
          <w:p w14:paraId="07B7439E" w14:textId="77777777" w:rsidR="00713A82" w:rsidRPr="005F273B" w:rsidRDefault="00713A82" w:rsidP="00237808">
            <w:r w:rsidRPr="005F273B">
              <w:t>609.80</w:t>
            </w:r>
          </w:p>
        </w:tc>
        <w:tc>
          <w:tcPr>
            <w:tcW w:w="1214" w:type="dxa"/>
          </w:tcPr>
          <w:p w14:paraId="1CA9B64E" w14:textId="77777777" w:rsidR="00713A82" w:rsidRPr="005F273B" w:rsidRDefault="00713A82" w:rsidP="00237808">
            <w:r w:rsidRPr="005F273B">
              <w:t>7.0</w:t>
            </w:r>
          </w:p>
        </w:tc>
      </w:tr>
      <w:tr w:rsidR="00713A82" w14:paraId="4C7839E0"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82F9C0C" w14:textId="77777777" w:rsidR="00713A82" w:rsidRPr="005F273B" w:rsidRDefault="00713A82" w:rsidP="00237808">
            <w:r w:rsidRPr="005F273B">
              <w:t>Single parent, JobSeeker, child 14+</w:t>
            </w:r>
          </w:p>
        </w:tc>
        <w:tc>
          <w:tcPr>
            <w:tcW w:w="1411" w:type="dxa"/>
          </w:tcPr>
          <w:p w14:paraId="45823EB8" w14:textId="77777777" w:rsidR="00713A82" w:rsidRPr="005F273B" w:rsidRDefault="00713A82" w:rsidP="00237808">
            <w:r w:rsidRPr="005F273B">
              <w:t>745.20</w:t>
            </w:r>
          </w:p>
        </w:tc>
        <w:tc>
          <w:tcPr>
            <w:tcW w:w="1293" w:type="dxa"/>
          </w:tcPr>
          <w:p w14:paraId="30ACE1D3" w14:textId="77777777" w:rsidR="00713A82" w:rsidRPr="005F273B" w:rsidRDefault="00713A82" w:rsidP="00237808">
            <w:r w:rsidRPr="005F273B">
              <w:t>802.50</w:t>
            </w:r>
          </w:p>
        </w:tc>
        <w:tc>
          <w:tcPr>
            <w:tcW w:w="1214" w:type="dxa"/>
          </w:tcPr>
          <w:p w14:paraId="73603257" w14:textId="77777777" w:rsidR="00713A82" w:rsidRPr="005F273B" w:rsidRDefault="00713A82" w:rsidP="00237808">
            <w:r w:rsidRPr="005F273B">
              <w:t>7.7</w:t>
            </w:r>
          </w:p>
        </w:tc>
      </w:tr>
      <w:tr w:rsidR="00713A82" w14:paraId="1CBD1B11" w14:textId="77777777" w:rsidTr="00237808">
        <w:tc>
          <w:tcPr>
            <w:tcW w:w="5098" w:type="dxa"/>
          </w:tcPr>
          <w:p w14:paraId="3B513365" w14:textId="77777777" w:rsidR="00713A82" w:rsidRPr="005F273B" w:rsidRDefault="00713A82" w:rsidP="00237808">
            <w:r w:rsidRPr="005F273B">
              <w:t>Single parent, JobSeeker, child 14+ with Supplements</w:t>
            </w:r>
          </w:p>
        </w:tc>
        <w:tc>
          <w:tcPr>
            <w:tcW w:w="1411" w:type="dxa"/>
          </w:tcPr>
          <w:p w14:paraId="352D8E8C" w14:textId="77777777" w:rsidR="00713A82" w:rsidRPr="005F273B" w:rsidRDefault="00713A82" w:rsidP="00237808">
            <w:r w:rsidRPr="005F273B">
              <w:t>754.70</w:t>
            </w:r>
          </w:p>
        </w:tc>
        <w:tc>
          <w:tcPr>
            <w:tcW w:w="1293" w:type="dxa"/>
          </w:tcPr>
          <w:p w14:paraId="2FC25712" w14:textId="77777777" w:rsidR="00713A82" w:rsidRPr="005F273B" w:rsidRDefault="00713A82" w:rsidP="00237808">
            <w:r w:rsidRPr="005F273B">
              <w:t>812.00</w:t>
            </w:r>
          </w:p>
        </w:tc>
        <w:tc>
          <w:tcPr>
            <w:tcW w:w="1214" w:type="dxa"/>
          </w:tcPr>
          <w:p w14:paraId="4D930895" w14:textId="77777777" w:rsidR="00713A82" w:rsidRPr="005F273B" w:rsidRDefault="00713A82" w:rsidP="00237808">
            <w:r w:rsidRPr="005F273B">
              <w:t>7.6</w:t>
            </w:r>
          </w:p>
        </w:tc>
      </w:tr>
      <w:tr w:rsidR="00713A82" w14:paraId="7645313C"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1DC413F9" w14:textId="77777777" w:rsidR="00713A82" w:rsidRPr="005F273B" w:rsidRDefault="00713A82" w:rsidP="00237808">
            <w:r w:rsidRPr="005F273B">
              <w:lastRenderedPageBreak/>
              <w:t>Single parent, child 8-13</w:t>
            </w:r>
          </w:p>
        </w:tc>
        <w:tc>
          <w:tcPr>
            <w:tcW w:w="1411" w:type="dxa"/>
          </w:tcPr>
          <w:p w14:paraId="063F0529" w14:textId="77777777" w:rsidR="00713A82" w:rsidRPr="005F273B" w:rsidRDefault="00713A82" w:rsidP="00237808">
            <w:r w:rsidRPr="005F273B">
              <w:t>745.20</w:t>
            </w:r>
          </w:p>
        </w:tc>
        <w:tc>
          <w:tcPr>
            <w:tcW w:w="1293" w:type="dxa"/>
          </w:tcPr>
          <w:p w14:paraId="3AB5B73C" w14:textId="77777777" w:rsidR="00713A82" w:rsidRPr="005F273B" w:rsidRDefault="00713A82" w:rsidP="00237808">
            <w:r w:rsidRPr="005F273B">
              <w:t>942.40</w:t>
            </w:r>
          </w:p>
        </w:tc>
        <w:tc>
          <w:tcPr>
            <w:tcW w:w="1214" w:type="dxa"/>
          </w:tcPr>
          <w:p w14:paraId="68433B42" w14:textId="77777777" w:rsidR="00713A82" w:rsidRPr="005F273B" w:rsidRDefault="00713A82" w:rsidP="00237808">
            <w:r w:rsidRPr="005F273B">
              <w:t>26.5</w:t>
            </w:r>
          </w:p>
        </w:tc>
      </w:tr>
      <w:tr w:rsidR="00713A82" w14:paraId="623BAA2D" w14:textId="77777777" w:rsidTr="00237808">
        <w:tc>
          <w:tcPr>
            <w:tcW w:w="5098" w:type="dxa"/>
          </w:tcPr>
          <w:p w14:paraId="577EB7F7" w14:textId="77777777" w:rsidR="00713A82" w:rsidRPr="005F273B" w:rsidRDefault="00713A82" w:rsidP="00237808">
            <w:r w:rsidRPr="005F273B">
              <w:t>Single parent, child 8-13 with Supplements</w:t>
            </w:r>
          </w:p>
        </w:tc>
        <w:tc>
          <w:tcPr>
            <w:tcW w:w="1411" w:type="dxa"/>
          </w:tcPr>
          <w:p w14:paraId="33647199" w14:textId="77777777" w:rsidR="00713A82" w:rsidRPr="005F273B" w:rsidRDefault="00713A82" w:rsidP="00237808">
            <w:r w:rsidRPr="005F273B">
              <w:t>754.70</w:t>
            </w:r>
          </w:p>
        </w:tc>
        <w:tc>
          <w:tcPr>
            <w:tcW w:w="1293" w:type="dxa"/>
          </w:tcPr>
          <w:p w14:paraId="2F66BF84" w14:textId="77777777" w:rsidR="00713A82" w:rsidRPr="005F273B" w:rsidRDefault="00713A82" w:rsidP="00237808">
            <w:r w:rsidRPr="005F273B">
              <w:t>982.20</w:t>
            </w:r>
          </w:p>
        </w:tc>
        <w:tc>
          <w:tcPr>
            <w:tcW w:w="1214" w:type="dxa"/>
          </w:tcPr>
          <w:p w14:paraId="13CE08FE" w14:textId="77777777" w:rsidR="00713A82" w:rsidRPr="005F273B" w:rsidRDefault="00713A82" w:rsidP="00237808">
            <w:r w:rsidRPr="005F273B">
              <w:t>30.1</w:t>
            </w:r>
          </w:p>
        </w:tc>
      </w:tr>
      <w:tr w:rsidR="00713A82" w14:paraId="2CD778B9"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5FC5924" w14:textId="77777777" w:rsidR="00713A82" w:rsidRPr="005F273B" w:rsidRDefault="00713A82" w:rsidP="00237808">
            <w:r w:rsidRPr="005F273B">
              <w:t>JobSeeker 55-60</w:t>
            </w:r>
          </w:p>
        </w:tc>
        <w:tc>
          <w:tcPr>
            <w:tcW w:w="1411" w:type="dxa"/>
          </w:tcPr>
          <w:p w14:paraId="5CF476EB" w14:textId="77777777" w:rsidR="00713A82" w:rsidRPr="005F273B" w:rsidRDefault="00713A82" w:rsidP="00237808">
            <w:r w:rsidRPr="005F273B">
              <w:t>693.10</w:t>
            </w:r>
          </w:p>
        </w:tc>
        <w:tc>
          <w:tcPr>
            <w:tcW w:w="1293" w:type="dxa"/>
          </w:tcPr>
          <w:p w14:paraId="29830218" w14:textId="77777777" w:rsidR="00713A82" w:rsidRPr="005F273B" w:rsidRDefault="00713A82" w:rsidP="00237808">
            <w:r w:rsidRPr="005F273B">
              <w:t>802.50</w:t>
            </w:r>
          </w:p>
        </w:tc>
        <w:tc>
          <w:tcPr>
            <w:tcW w:w="1214" w:type="dxa"/>
          </w:tcPr>
          <w:p w14:paraId="21F41BB3" w14:textId="77777777" w:rsidR="00713A82" w:rsidRPr="005F273B" w:rsidRDefault="00713A82" w:rsidP="00237808">
            <w:r w:rsidRPr="005F273B">
              <w:t>15.8</w:t>
            </w:r>
          </w:p>
        </w:tc>
      </w:tr>
      <w:tr w:rsidR="00713A82" w14:paraId="4DEDAF75" w14:textId="77777777" w:rsidTr="00237808">
        <w:tc>
          <w:tcPr>
            <w:tcW w:w="5098" w:type="dxa"/>
          </w:tcPr>
          <w:p w14:paraId="613F0AC0" w14:textId="77777777" w:rsidR="00713A82" w:rsidRPr="005F273B" w:rsidRDefault="00713A82" w:rsidP="00237808">
            <w:r w:rsidRPr="005F273B">
              <w:t>JobSeeker 60+</w:t>
            </w:r>
          </w:p>
        </w:tc>
        <w:tc>
          <w:tcPr>
            <w:tcW w:w="1411" w:type="dxa"/>
          </w:tcPr>
          <w:p w14:paraId="4A8C54C5" w14:textId="77777777" w:rsidR="00713A82" w:rsidRPr="005F273B" w:rsidRDefault="00713A82" w:rsidP="00237808">
            <w:r w:rsidRPr="005F273B">
              <w:t>745.20</w:t>
            </w:r>
          </w:p>
        </w:tc>
        <w:tc>
          <w:tcPr>
            <w:tcW w:w="1293" w:type="dxa"/>
          </w:tcPr>
          <w:p w14:paraId="049CEE6D" w14:textId="77777777" w:rsidR="00713A82" w:rsidRPr="005F273B" w:rsidRDefault="00713A82" w:rsidP="00237808">
            <w:r w:rsidRPr="005F273B">
              <w:t>802.50</w:t>
            </w:r>
          </w:p>
        </w:tc>
        <w:tc>
          <w:tcPr>
            <w:tcW w:w="1214" w:type="dxa"/>
          </w:tcPr>
          <w:p w14:paraId="13736B72" w14:textId="77777777" w:rsidR="00713A82" w:rsidRPr="005F273B" w:rsidRDefault="00713A82" w:rsidP="00237808">
            <w:r w:rsidRPr="005F273B">
              <w:t>7.7</w:t>
            </w:r>
          </w:p>
        </w:tc>
      </w:tr>
      <w:tr w:rsidR="00713A82" w14:paraId="1AFC38A3"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3270FA70" w14:textId="77777777" w:rsidR="00713A82" w:rsidRPr="005F273B" w:rsidRDefault="00713A82" w:rsidP="00237808">
            <w:r w:rsidRPr="005F273B">
              <w:t>Age Pension Single</w:t>
            </w:r>
          </w:p>
        </w:tc>
        <w:tc>
          <w:tcPr>
            <w:tcW w:w="1411" w:type="dxa"/>
          </w:tcPr>
          <w:p w14:paraId="334479D9" w14:textId="77777777" w:rsidR="00713A82" w:rsidRPr="005F273B" w:rsidRDefault="00713A82" w:rsidP="00237808">
            <w:r w:rsidRPr="005F273B">
              <w:t>971.50</w:t>
            </w:r>
          </w:p>
        </w:tc>
        <w:tc>
          <w:tcPr>
            <w:tcW w:w="1293" w:type="dxa"/>
          </w:tcPr>
          <w:p w14:paraId="65034788" w14:textId="77777777" w:rsidR="00713A82" w:rsidRPr="005F273B" w:rsidRDefault="00713A82" w:rsidP="00237808">
            <w:r w:rsidRPr="005F273B">
              <w:t>1002.50</w:t>
            </w:r>
          </w:p>
        </w:tc>
        <w:tc>
          <w:tcPr>
            <w:tcW w:w="1214" w:type="dxa"/>
          </w:tcPr>
          <w:p w14:paraId="49DC141B" w14:textId="77777777" w:rsidR="00713A82" w:rsidRPr="005F273B" w:rsidRDefault="00713A82" w:rsidP="00237808">
            <w:r w:rsidRPr="005F273B">
              <w:t>3.2</w:t>
            </w:r>
          </w:p>
        </w:tc>
      </w:tr>
      <w:tr w:rsidR="00713A82" w14:paraId="0C1CB0FA" w14:textId="77777777" w:rsidTr="00237808">
        <w:tc>
          <w:tcPr>
            <w:tcW w:w="5098" w:type="dxa"/>
          </w:tcPr>
          <w:p w14:paraId="59157D1C" w14:textId="77777777" w:rsidR="00713A82" w:rsidRPr="005F273B" w:rsidRDefault="00713A82" w:rsidP="00237808">
            <w:r w:rsidRPr="005F273B">
              <w:t>Single Age Pension with Supplements</w:t>
            </w:r>
          </w:p>
        </w:tc>
        <w:tc>
          <w:tcPr>
            <w:tcW w:w="1411" w:type="dxa"/>
          </w:tcPr>
          <w:p w14:paraId="286D8858" w14:textId="77777777" w:rsidR="00713A82" w:rsidRPr="005F273B" w:rsidRDefault="00713A82" w:rsidP="00237808">
            <w:r w:rsidRPr="005F273B">
              <w:t>1064.00</w:t>
            </w:r>
          </w:p>
        </w:tc>
        <w:tc>
          <w:tcPr>
            <w:tcW w:w="1293" w:type="dxa"/>
          </w:tcPr>
          <w:p w14:paraId="0D146466" w14:textId="77777777" w:rsidR="00713A82" w:rsidRPr="005F273B" w:rsidRDefault="00713A82" w:rsidP="00237808">
            <w:r w:rsidRPr="005F273B">
              <w:t>1096.70</w:t>
            </w:r>
          </w:p>
        </w:tc>
        <w:tc>
          <w:tcPr>
            <w:tcW w:w="1214" w:type="dxa"/>
          </w:tcPr>
          <w:p w14:paraId="625C5B05" w14:textId="77777777" w:rsidR="00713A82" w:rsidRPr="005F273B" w:rsidRDefault="00713A82" w:rsidP="00237808">
            <w:r w:rsidRPr="005F273B">
              <w:t>3.1</w:t>
            </w:r>
          </w:p>
        </w:tc>
      </w:tr>
      <w:tr w:rsidR="00713A82" w14:paraId="4E495B05"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3BE1859" w14:textId="77777777" w:rsidR="00713A82" w:rsidRPr="005F273B" w:rsidRDefault="00713A82" w:rsidP="00237808">
            <w:r w:rsidRPr="005F273B">
              <w:t>Parenting Payment Single</w:t>
            </w:r>
          </w:p>
        </w:tc>
        <w:tc>
          <w:tcPr>
            <w:tcW w:w="1411" w:type="dxa"/>
          </w:tcPr>
          <w:p w14:paraId="6EB8EAA4" w14:textId="77777777" w:rsidR="00713A82" w:rsidRPr="005F273B" w:rsidRDefault="00713A82" w:rsidP="00237808">
            <w:r w:rsidRPr="005F273B">
              <w:t>922.10</w:t>
            </w:r>
          </w:p>
        </w:tc>
        <w:tc>
          <w:tcPr>
            <w:tcW w:w="1293" w:type="dxa"/>
          </w:tcPr>
          <w:p w14:paraId="470E8D63" w14:textId="77777777" w:rsidR="00713A82" w:rsidRPr="005F273B" w:rsidRDefault="00713A82" w:rsidP="00237808">
            <w:r w:rsidRPr="005F273B">
              <w:t>942.40</w:t>
            </w:r>
          </w:p>
        </w:tc>
        <w:tc>
          <w:tcPr>
            <w:tcW w:w="1214" w:type="dxa"/>
          </w:tcPr>
          <w:p w14:paraId="1452F9E4" w14:textId="77777777" w:rsidR="00713A82" w:rsidRPr="005F273B" w:rsidRDefault="00713A82" w:rsidP="00237808">
            <w:r w:rsidRPr="005F273B">
              <w:t>2.2</w:t>
            </w:r>
          </w:p>
        </w:tc>
      </w:tr>
      <w:tr w:rsidR="00713A82" w14:paraId="3E972773" w14:textId="77777777" w:rsidTr="00237808">
        <w:tc>
          <w:tcPr>
            <w:tcW w:w="5098" w:type="dxa"/>
          </w:tcPr>
          <w:p w14:paraId="6F35BBAF" w14:textId="77777777" w:rsidR="00713A82" w:rsidRPr="005F273B" w:rsidRDefault="00713A82" w:rsidP="00237808">
            <w:r w:rsidRPr="005F273B">
              <w:t>Gap 1</w:t>
            </w:r>
          </w:p>
        </w:tc>
        <w:tc>
          <w:tcPr>
            <w:tcW w:w="1411" w:type="dxa"/>
          </w:tcPr>
          <w:p w14:paraId="7B6E25DA" w14:textId="77777777" w:rsidR="00713A82" w:rsidRPr="005F273B" w:rsidRDefault="00713A82" w:rsidP="00237808">
            <w:r w:rsidRPr="005F273B">
              <w:t>362.00 (66.0)</w:t>
            </w:r>
          </w:p>
        </w:tc>
        <w:tc>
          <w:tcPr>
            <w:tcW w:w="1293" w:type="dxa"/>
          </w:tcPr>
          <w:p w14:paraId="4BAF1102" w14:textId="77777777" w:rsidR="00713A82" w:rsidRPr="005F273B" w:rsidRDefault="00713A82" w:rsidP="00237808">
            <w:r w:rsidRPr="005F273B">
              <w:t>339.00 (69.1)</w:t>
            </w:r>
          </w:p>
        </w:tc>
        <w:tc>
          <w:tcPr>
            <w:tcW w:w="1214" w:type="dxa"/>
          </w:tcPr>
          <w:p w14:paraId="162C5A76" w14:textId="77777777" w:rsidR="00713A82" w:rsidRPr="005F273B" w:rsidRDefault="00713A82" w:rsidP="00237808">
            <w:r w:rsidRPr="005F273B">
              <w:t>-6.4</w:t>
            </w:r>
          </w:p>
        </w:tc>
      </w:tr>
      <w:tr w:rsidR="00713A82" w14:paraId="0BD70F9F"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47D144AA" w14:textId="77777777" w:rsidR="00713A82" w:rsidRPr="005F273B" w:rsidRDefault="00713A82" w:rsidP="00237808">
            <w:r w:rsidRPr="005F273B">
              <w:t>Gap 2</w:t>
            </w:r>
          </w:p>
        </w:tc>
        <w:tc>
          <w:tcPr>
            <w:tcW w:w="1411" w:type="dxa"/>
          </w:tcPr>
          <w:p w14:paraId="4243F816" w14:textId="77777777" w:rsidR="00713A82" w:rsidRPr="005F273B" w:rsidRDefault="00713A82" w:rsidP="00237808">
            <w:r w:rsidRPr="005F273B">
              <w:t>923.30</w:t>
            </w:r>
          </w:p>
        </w:tc>
        <w:tc>
          <w:tcPr>
            <w:tcW w:w="1293" w:type="dxa"/>
          </w:tcPr>
          <w:p w14:paraId="44914506" w14:textId="77777777" w:rsidR="00713A82" w:rsidRPr="005F273B" w:rsidRDefault="00713A82" w:rsidP="00237808">
            <w:r w:rsidRPr="005F273B">
              <w:t>1007.60</w:t>
            </w:r>
          </w:p>
        </w:tc>
        <w:tc>
          <w:tcPr>
            <w:tcW w:w="1214" w:type="dxa"/>
          </w:tcPr>
          <w:p w14:paraId="1411D9A3" w14:textId="77777777" w:rsidR="00713A82" w:rsidRPr="005F273B" w:rsidRDefault="00713A82" w:rsidP="00237808">
            <w:r w:rsidRPr="005F273B">
              <w:t>9.1</w:t>
            </w:r>
          </w:p>
        </w:tc>
      </w:tr>
      <w:tr w:rsidR="00713A82" w14:paraId="794FD37E" w14:textId="77777777" w:rsidTr="00237808">
        <w:tc>
          <w:tcPr>
            <w:tcW w:w="5098" w:type="dxa"/>
          </w:tcPr>
          <w:p w14:paraId="547EEC3A" w14:textId="77777777" w:rsidR="00713A82" w:rsidRPr="005F273B" w:rsidRDefault="00713A82" w:rsidP="00237808">
            <w:r w:rsidRPr="005F273B">
              <w:t>Additional measures</w:t>
            </w:r>
          </w:p>
        </w:tc>
        <w:tc>
          <w:tcPr>
            <w:tcW w:w="1411" w:type="dxa"/>
          </w:tcPr>
          <w:p w14:paraId="24394005" w14:textId="77777777" w:rsidR="00713A82" w:rsidRPr="005F273B" w:rsidRDefault="00713A82" w:rsidP="00237808"/>
        </w:tc>
        <w:tc>
          <w:tcPr>
            <w:tcW w:w="1293" w:type="dxa"/>
          </w:tcPr>
          <w:p w14:paraId="4359B637" w14:textId="77777777" w:rsidR="00713A82" w:rsidRPr="005F273B" w:rsidRDefault="00713A82" w:rsidP="00237808"/>
        </w:tc>
        <w:tc>
          <w:tcPr>
            <w:tcW w:w="1214" w:type="dxa"/>
          </w:tcPr>
          <w:p w14:paraId="63B030DF" w14:textId="77777777" w:rsidR="00713A82" w:rsidRPr="005F273B" w:rsidRDefault="00713A82" w:rsidP="00237808"/>
        </w:tc>
      </w:tr>
      <w:tr w:rsidR="00713A82" w14:paraId="29CFAFC3"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06718BFA" w14:textId="77777777" w:rsidR="00713A82" w:rsidRPr="005F273B" w:rsidRDefault="00713A82" w:rsidP="00237808">
            <w:r w:rsidRPr="005F273B">
              <w:t>MTAWE</w:t>
            </w:r>
          </w:p>
        </w:tc>
        <w:tc>
          <w:tcPr>
            <w:tcW w:w="1411" w:type="dxa"/>
          </w:tcPr>
          <w:p w14:paraId="4D13AB65" w14:textId="77777777" w:rsidR="00713A82" w:rsidRPr="005F273B" w:rsidRDefault="00713A82" w:rsidP="00237808">
            <w:r w:rsidRPr="005F273B">
              <w:t>3281.80</w:t>
            </w:r>
          </w:p>
        </w:tc>
        <w:tc>
          <w:tcPr>
            <w:tcW w:w="1293" w:type="dxa"/>
          </w:tcPr>
          <w:p w14:paraId="06A316AA" w14:textId="77777777" w:rsidR="00713A82" w:rsidRPr="005F273B" w:rsidRDefault="00713A82" w:rsidP="00237808">
            <w:r w:rsidRPr="005F273B">
              <w:t>3345.40</w:t>
            </w:r>
          </w:p>
        </w:tc>
        <w:tc>
          <w:tcPr>
            <w:tcW w:w="1214" w:type="dxa"/>
          </w:tcPr>
          <w:p w14:paraId="39A92A7C" w14:textId="77777777" w:rsidR="00713A82" w:rsidRPr="005F273B" w:rsidRDefault="00713A82" w:rsidP="00237808">
            <w:r w:rsidRPr="005F273B">
              <w:t>1.9</w:t>
            </w:r>
          </w:p>
        </w:tc>
      </w:tr>
      <w:tr w:rsidR="00713A82" w14:paraId="37D85F6F" w14:textId="77777777" w:rsidTr="00237808">
        <w:tc>
          <w:tcPr>
            <w:tcW w:w="5098" w:type="dxa"/>
          </w:tcPr>
          <w:p w14:paraId="1F96A814" w14:textId="77777777" w:rsidR="00713A82" w:rsidRPr="005F273B" w:rsidRDefault="00713A82" w:rsidP="00237808">
            <w:r w:rsidRPr="005F273B">
              <w:t>Wage Price Index</w:t>
            </w:r>
          </w:p>
        </w:tc>
        <w:tc>
          <w:tcPr>
            <w:tcW w:w="1411" w:type="dxa"/>
          </w:tcPr>
          <w:p w14:paraId="71BAD1BE" w14:textId="77777777" w:rsidR="00713A82" w:rsidRPr="005F273B" w:rsidRDefault="00713A82" w:rsidP="00237808">
            <w:r w:rsidRPr="005F273B">
              <w:t>144.3</w:t>
            </w:r>
          </w:p>
        </w:tc>
        <w:tc>
          <w:tcPr>
            <w:tcW w:w="1293" w:type="dxa"/>
          </w:tcPr>
          <w:p w14:paraId="270D54FE" w14:textId="77777777" w:rsidR="00713A82" w:rsidRPr="005F273B" w:rsidRDefault="00713A82" w:rsidP="00237808">
            <w:r w:rsidRPr="005F273B">
              <w:t>147.9</w:t>
            </w:r>
          </w:p>
        </w:tc>
        <w:tc>
          <w:tcPr>
            <w:tcW w:w="1214" w:type="dxa"/>
          </w:tcPr>
          <w:p w14:paraId="45826E90" w14:textId="77777777" w:rsidR="00713A82" w:rsidRPr="005F273B" w:rsidRDefault="00713A82" w:rsidP="00237808">
            <w:r w:rsidRPr="005F273B">
              <w:t>2.5</w:t>
            </w:r>
          </w:p>
        </w:tc>
      </w:tr>
      <w:tr w:rsidR="00713A82" w14:paraId="2607524E"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02D1E5FE" w14:textId="77777777" w:rsidR="00713A82" w:rsidRPr="005F273B" w:rsidRDefault="00713A82" w:rsidP="00237808">
            <w:r w:rsidRPr="005F273B">
              <w:t>Relative poverty line 50% of median equivalised disposable income</w:t>
            </w:r>
          </w:p>
        </w:tc>
        <w:tc>
          <w:tcPr>
            <w:tcW w:w="1411" w:type="dxa"/>
          </w:tcPr>
          <w:p w14:paraId="4970EB62" w14:textId="77777777" w:rsidR="00713A82" w:rsidRPr="005F273B" w:rsidRDefault="00713A82" w:rsidP="00237808">
            <w:r w:rsidRPr="005F273B">
              <w:t>973</w:t>
            </w:r>
          </w:p>
        </w:tc>
        <w:tc>
          <w:tcPr>
            <w:tcW w:w="1293" w:type="dxa"/>
          </w:tcPr>
          <w:p w14:paraId="0C02EB98" w14:textId="77777777" w:rsidR="00713A82" w:rsidRPr="005F273B" w:rsidRDefault="00713A82" w:rsidP="00237808">
            <w:r w:rsidRPr="005F273B">
              <w:t>1029</w:t>
            </w:r>
          </w:p>
        </w:tc>
        <w:tc>
          <w:tcPr>
            <w:tcW w:w="1214" w:type="dxa"/>
          </w:tcPr>
          <w:p w14:paraId="6714DA4B" w14:textId="77777777" w:rsidR="00713A82" w:rsidRPr="005F273B" w:rsidRDefault="00713A82" w:rsidP="00237808">
            <w:r w:rsidRPr="005F273B">
              <w:t>5.8</w:t>
            </w:r>
          </w:p>
        </w:tc>
      </w:tr>
      <w:tr w:rsidR="00713A82" w14:paraId="7B4F3627" w14:textId="77777777" w:rsidTr="00237808">
        <w:tc>
          <w:tcPr>
            <w:tcW w:w="5098" w:type="dxa"/>
          </w:tcPr>
          <w:p w14:paraId="01ED32C3" w14:textId="77777777" w:rsidR="00713A82" w:rsidRPr="005F273B" w:rsidRDefault="00713A82" w:rsidP="00237808">
            <w:r w:rsidRPr="005F273B">
              <w:t xml:space="preserve">Henderson poverty line </w:t>
            </w:r>
            <w:r w:rsidRPr="005F273B">
              <w:br/>
              <w:t>Before and After Housing Costs</w:t>
            </w:r>
            <w:r w:rsidRPr="005F273B">
              <w:br/>
              <w:t>Single</w:t>
            </w:r>
            <w:r w:rsidRPr="005F273B">
              <w:br/>
              <w:t>Head working</w:t>
            </w:r>
            <w:r w:rsidRPr="005F273B">
              <w:br/>
              <w:t>Head not working</w:t>
            </w:r>
          </w:p>
        </w:tc>
        <w:tc>
          <w:tcPr>
            <w:tcW w:w="1411" w:type="dxa"/>
          </w:tcPr>
          <w:p w14:paraId="03C10DB4" w14:textId="77777777" w:rsidR="00713A82" w:rsidRPr="005F273B" w:rsidRDefault="00713A82" w:rsidP="00237808">
            <w:r w:rsidRPr="005F273B">
              <w:t>BHC (AHC)</w:t>
            </w:r>
            <w:r w:rsidRPr="005F273B">
              <w:br/>
              <w:t>1203.00 (809.60)</w:t>
            </w:r>
            <w:r w:rsidRPr="005F273B">
              <w:br/>
              <w:t>975.46 (582.06)</w:t>
            </w:r>
          </w:p>
        </w:tc>
        <w:tc>
          <w:tcPr>
            <w:tcW w:w="1293" w:type="dxa"/>
          </w:tcPr>
          <w:p w14:paraId="203761FA" w14:textId="77777777" w:rsidR="00713A82" w:rsidRPr="005F273B" w:rsidRDefault="00713A82" w:rsidP="00237808">
            <w:r w:rsidRPr="005F273B">
              <w:t>BHC (AHC)</w:t>
            </w:r>
            <w:r w:rsidRPr="005F273B">
              <w:br/>
              <w:t>1194.62 (803.96)</w:t>
            </w:r>
            <w:r w:rsidRPr="005F273B">
              <w:br/>
              <w:t>968.66 (578)</w:t>
            </w:r>
          </w:p>
        </w:tc>
        <w:tc>
          <w:tcPr>
            <w:tcW w:w="1214" w:type="dxa"/>
          </w:tcPr>
          <w:p w14:paraId="07B6650C" w14:textId="77777777" w:rsidR="00713A82" w:rsidRPr="005F273B" w:rsidRDefault="00713A82" w:rsidP="00237808">
            <w:r w:rsidRPr="005F273B">
              <w:t>BHC (AHC)</w:t>
            </w:r>
            <w:r w:rsidRPr="005F273B">
              <w:br/>
              <w:t>-0.7 (-0.7)</w:t>
            </w:r>
            <w:r w:rsidRPr="005F273B">
              <w:br/>
              <w:t>-0.7 (-0.7)</w:t>
            </w:r>
          </w:p>
        </w:tc>
      </w:tr>
      <w:tr w:rsidR="00713A82" w14:paraId="4CA631AE" w14:textId="77777777" w:rsidTr="00237808">
        <w:trPr>
          <w:cnfStyle w:val="000000100000" w:firstRow="0" w:lastRow="0" w:firstColumn="0" w:lastColumn="0" w:oddVBand="0" w:evenVBand="0" w:oddHBand="1" w:evenHBand="0" w:firstRowFirstColumn="0" w:firstRowLastColumn="0" w:lastRowFirstColumn="0" w:lastRowLastColumn="0"/>
        </w:trPr>
        <w:tc>
          <w:tcPr>
            <w:tcW w:w="5098" w:type="dxa"/>
          </w:tcPr>
          <w:p w14:paraId="28DD6A3C" w14:textId="77777777" w:rsidR="00713A82" w:rsidRPr="005F273B" w:rsidRDefault="00713A82" w:rsidP="00237808">
            <w:r w:rsidRPr="005F273B">
              <w:t>CPI</w:t>
            </w:r>
          </w:p>
        </w:tc>
        <w:tc>
          <w:tcPr>
            <w:tcW w:w="1411" w:type="dxa"/>
          </w:tcPr>
          <w:p w14:paraId="51414135" w14:textId="77777777" w:rsidR="00713A82" w:rsidRPr="005F273B" w:rsidRDefault="00713A82" w:rsidP="00237808">
            <w:r w:rsidRPr="005F273B">
              <w:t>132.6</w:t>
            </w:r>
          </w:p>
        </w:tc>
        <w:tc>
          <w:tcPr>
            <w:tcW w:w="1293" w:type="dxa"/>
          </w:tcPr>
          <w:p w14:paraId="4F6F7E0C" w14:textId="77777777" w:rsidR="00713A82" w:rsidRPr="005F273B" w:rsidRDefault="00713A82" w:rsidP="00237808">
            <w:r w:rsidRPr="005F273B">
              <w:t>135.3</w:t>
            </w:r>
          </w:p>
        </w:tc>
        <w:tc>
          <w:tcPr>
            <w:tcW w:w="1214" w:type="dxa"/>
          </w:tcPr>
          <w:p w14:paraId="03436C81" w14:textId="77777777" w:rsidR="00713A82" w:rsidRPr="005F273B" w:rsidRDefault="00713A82" w:rsidP="00237808">
            <w:r w:rsidRPr="005F273B">
              <w:t>2.0</w:t>
            </w:r>
          </w:p>
        </w:tc>
      </w:tr>
    </w:tbl>
    <w:p w14:paraId="1ECCCF7C" w14:textId="77777777" w:rsidR="00713A82" w:rsidRPr="00D24350" w:rsidRDefault="00713A82" w:rsidP="00713A82">
      <w:pPr>
        <w:pStyle w:val="Caption"/>
      </w:pPr>
      <w:r w:rsidRPr="00D24350">
        <w:t>Note:Gap 1 is the difference between the Single Adult rate of JobSeeker and the Age Pension (both including supplements); Gap 2 is the difference between the Single Adult rate of JobSeeker (including supplements) and the gross minimum wage.</w:t>
      </w:r>
    </w:p>
    <w:p w14:paraId="3788E475" w14:textId="70BDFF1B" w:rsidR="00713A82" w:rsidRPr="00713A82" w:rsidRDefault="00713A82" w:rsidP="00713A82">
      <w:pPr>
        <w:pStyle w:val="Caption"/>
      </w:pPr>
      <w:r w:rsidRPr="00D24350">
        <w:t xml:space="preserve">Source: DSS data </w:t>
      </w:r>
    </w:p>
    <w:p w14:paraId="404B0BD5" w14:textId="77777777" w:rsidR="00D24350" w:rsidRPr="00D24350" w:rsidRDefault="00D24350" w:rsidP="00D24350">
      <w:pPr>
        <w:rPr>
          <w:lang w:val="en-GB"/>
        </w:rPr>
      </w:pPr>
      <w:r w:rsidRPr="00D24350">
        <w:rPr>
          <w:lang w:val="en-GB"/>
        </w:rPr>
        <w:t>As shown in the First Report of the Committee (2023), the level of benefits for people short-term unemployed in Australia in 2019 was the lowest in the OECD. When the maximum rate of Coronavirus Supplement was briefly in force in 2020, Australia moved to around the OECD average (Whiteford and Bradbury, 2021).</w:t>
      </w:r>
    </w:p>
    <w:p w14:paraId="1A11D30E" w14:textId="77777777" w:rsidR="00D24350" w:rsidRPr="00D24350" w:rsidRDefault="00D24350" w:rsidP="00D24350">
      <w:pPr>
        <w:rPr>
          <w:lang w:val="en-GB"/>
        </w:rPr>
      </w:pPr>
      <w:r w:rsidRPr="00D24350">
        <w:rPr>
          <w:lang w:val="en-GB"/>
        </w:rPr>
        <w:t>The OECD Benefits and Wages data</w:t>
      </w:r>
      <w:r w:rsidRPr="00D24350">
        <w:rPr>
          <w:rStyle w:val="Superscript"/>
          <w:lang w:val="en-GB"/>
        </w:rPr>
        <w:footnoteReference w:id="7"/>
      </w:r>
      <w:r w:rsidRPr="00D24350">
        <w:rPr>
          <w:rStyle w:val="Superscript"/>
          <w:lang w:val="en-GB"/>
        </w:rPr>
        <w:t xml:space="preserve"> </w:t>
      </w:r>
      <w:r w:rsidRPr="00D24350">
        <w:rPr>
          <w:lang w:val="en-GB"/>
        </w:rPr>
        <w:t xml:space="preserve">show that in 2022 (the most recent data to include Australia), if the new higher rate had applied, it would still have been the lowest in the OECD. </w:t>
      </w:r>
    </w:p>
    <w:p w14:paraId="38DA9069" w14:textId="77777777" w:rsidR="00D24350" w:rsidRPr="00D24350" w:rsidRDefault="00D24350" w:rsidP="00D24350">
      <w:pPr>
        <w:rPr>
          <w:lang w:val="en-GB"/>
        </w:rPr>
      </w:pPr>
      <w:r w:rsidRPr="00D24350">
        <w:rPr>
          <w:lang w:val="en-GB"/>
        </w:rPr>
        <w:t xml:space="preserve">An increase to 90% of the pension rate, would move Australia to being the 4th lowest in the OECD, marginally higher than in New Zealand and exceeding the United States and the United Kingdom. </w:t>
      </w:r>
    </w:p>
    <w:p w14:paraId="33E2DB32" w14:textId="77777777" w:rsidR="00D24350" w:rsidRPr="00D24350" w:rsidRDefault="00D24350" w:rsidP="00D24350">
      <w:pPr>
        <w:rPr>
          <w:lang w:val="en-GB"/>
        </w:rPr>
      </w:pPr>
      <w:r w:rsidRPr="00D24350">
        <w:rPr>
          <w:lang w:val="en-GB"/>
        </w:rPr>
        <w:t xml:space="preserve">In summary, for most people receiving JobSeeker and related working-age payments there has been a slight improvement in the adequacy of income support – with a larger increase </w:t>
      </w:r>
      <w:r w:rsidRPr="00D24350">
        <w:rPr>
          <w:lang w:val="en-GB"/>
        </w:rPr>
        <w:lastRenderedPageBreak/>
        <w:t>for single parents with a youngest child aged 8 to 14 years – but the need for further action remains urgent.</w:t>
      </w:r>
    </w:p>
    <w:p w14:paraId="20FFD8D8" w14:textId="77777777" w:rsidR="00D24350" w:rsidRPr="00D24350" w:rsidRDefault="00D24350" w:rsidP="00D24350">
      <w:pPr>
        <w:rPr>
          <w:lang w:val="en-GB"/>
        </w:rPr>
      </w:pPr>
      <w:r w:rsidRPr="00D24350">
        <w:rPr>
          <w:lang w:val="en-GB"/>
        </w:rPr>
        <w:t>Recommendation 3 of the First Report of the Committee was that “The Government commit to a timeframe for the full increases to be implemented, if increases are to be staged.” While welcoming the improvements that have been made, the Committee emphasises the importance of substantially increasing JobSeeker and related payments, and if this increase is to be staged, committing to a clear process to improve adequacy.</w:t>
      </w:r>
    </w:p>
    <w:p w14:paraId="122E9B7B" w14:textId="77777777" w:rsidR="00D24350" w:rsidRPr="00D24350" w:rsidRDefault="00D24350" w:rsidP="00A726F2">
      <w:pPr>
        <w:pStyle w:val="Heading2"/>
        <w:rPr>
          <w:lang w:val="en-GB"/>
        </w:rPr>
      </w:pPr>
      <w:bookmarkStart w:id="20" w:name="_Toc165366855"/>
      <w:r w:rsidRPr="00D24350">
        <w:rPr>
          <w:lang w:val="en-GB"/>
        </w:rPr>
        <w:t>2A.3 Financial stress and people receiving social security in Australia</w:t>
      </w:r>
      <w:bookmarkEnd w:id="20"/>
    </w:p>
    <w:p w14:paraId="210F7C53" w14:textId="77777777" w:rsidR="00D24350" w:rsidRPr="00D24350" w:rsidRDefault="00D24350" w:rsidP="00D24350">
      <w:pPr>
        <w:rPr>
          <w:lang w:val="en-GB"/>
        </w:rPr>
      </w:pPr>
      <w:r w:rsidRPr="00D24350">
        <w:rPr>
          <w:lang w:val="en-GB"/>
        </w:rPr>
        <w:t xml:space="preserve">Financial stress is broadly defined as the difficulty that an individual or household may have in meeting basic financial commitments due to a shortage of money. The Household Income and Labour Dynamics in Australia (HILDA) survey and the ABS Survey of Income and Housing (SIH) both measure financial stress (due to a lack of money). </w:t>
      </w:r>
    </w:p>
    <w:p w14:paraId="6A21504B" w14:textId="77777777" w:rsidR="00D24350" w:rsidRPr="00D24350" w:rsidRDefault="00D24350" w:rsidP="00D24350">
      <w:pPr>
        <w:rPr>
          <w:lang w:val="en-GB"/>
        </w:rPr>
      </w:pPr>
      <w:r w:rsidRPr="00D24350">
        <w:rPr>
          <w:lang w:val="en-GB"/>
        </w:rPr>
        <w:t>These measures include the following in HILDA and similar are available in the SIH:</w:t>
      </w:r>
    </w:p>
    <w:p w14:paraId="1B124CC7" w14:textId="77777777" w:rsidR="00D24350" w:rsidRPr="000B687E" w:rsidRDefault="00D24350" w:rsidP="000B687E">
      <w:pPr>
        <w:pStyle w:val="ListBullet"/>
      </w:pPr>
      <w:r w:rsidRPr="000B687E">
        <w:t>Could not pay electricity, gas, or telephone bills on time</w:t>
      </w:r>
    </w:p>
    <w:p w14:paraId="2818279D" w14:textId="77777777" w:rsidR="00D24350" w:rsidRPr="000B687E" w:rsidRDefault="00D24350" w:rsidP="000B687E">
      <w:pPr>
        <w:pStyle w:val="ListBullet"/>
      </w:pPr>
      <w:r w:rsidRPr="000B687E">
        <w:t>Could not pay rent or mortgage on time</w:t>
      </w:r>
    </w:p>
    <w:p w14:paraId="41B48A27" w14:textId="77777777" w:rsidR="00D24350" w:rsidRPr="000B687E" w:rsidRDefault="00D24350" w:rsidP="000B687E">
      <w:pPr>
        <w:pStyle w:val="ListBullet"/>
      </w:pPr>
      <w:r w:rsidRPr="000B687E">
        <w:t>Asked for financial help from friends or family</w:t>
      </w:r>
    </w:p>
    <w:p w14:paraId="4624C505" w14:textId="77777777" w:rsidR="00D24350" w:rsidRPr="000B687E" w:rsidRDefault="00D24350" w:rsidP="000B687E">
      <w:pPr>
        <w:pStyle w:val="ListBullet"/>
      </w:pPr>
      <w:r w:rsidRPr="000B687E">
        <w:t>Unable to heat home</w:t>
      </w:r>
    </w:p>
    <w:p w14:paraId="0BA73C44" w14:textId="77777777" w:rsidR="00D24350" w:rsidRPr="000B687E" w:rsidRDefault="00D24350" w:rsidP="000B687E">
      <w:pPr>
        <w:pStyle w:val="ListBullet"/>
      </w:pPr>
      <w:r w:rsidRPr="000B687E">
        <w:t>Went without meals</w:t>
      </w:r>
    </w:p>
    <w:p w14:paraId="29BFC250" w14:textId="77777777" w:rsidR="00D24350" w:rsidRPr="000B687E" w:rsidRDefault="00D24350" w:rsidP="000B687E">
      <w:pPr>
        <w:pStyle w:val="ListBullet"/>
      </w:pPr>
      <w:r w:rsidRPr="000B687E">
        <w:t xml:space="preserve">Pawned or sold something </w:t>
      </w:r>
    </w:p>
    <w:p w14:paraId="3C8E4716" w14:textId="77777777" w:rsidR="00D24350" w:rsidRPr="000B687E" w:rsidRDefault="00D24350" w:rsidP="000B687E">
      <w:pPr>
        <w:pStyle w:val="ListBullet"/>
      </w:pPr>
      <w:r w:rsidRPr="000B687E">
        <w:t>Asked for help from welfare/community organisations</w:t>
      </w:r>
    </w:p>
    <w:p w14:paraId="3949F088" w14:textId="77777777" w:rsidR="00D24350" w:rsidRPr="000B687E" w:rsidRDefault="00D24350" w:rsidP="000B687E">
      <w:pPr>
        <w:pStyle w:val="ListBullet"/>
      </w:pPr>
      <w:r w:rsidRPr="000B687E">
        <w:t>Could not raise $2000 for emergency reasons.</w:t>
      </w:r>
      <w:r w:rsidRPr="000B687E">
        <w:rPr>
          <w:rStyle w:val="Superscript"/>
        </w:rPr>
        <w:footnoteReference w:id="8"/>
      </w:r>
    </w:p>
    <w:p w14:paraId="649D6D91" w14:textId="1828ED6B" w:rsidR="00D24350" w:rsidRPr="00D24350" w:rsidRDefault="00D24350" w:rsidP="00D24350">
      <w:pPr>
        <w:rPr>
          <w:lang w:val="en-GB"/>
        </w:rPr>
      </w:pPr>
      <w:r w:rsidRPr="00D24350">
        <w:rPr>
          <w:lang w:val="en-GB"/>
        </w:rPr>
        <w:t>Financial stress is not uncommon with around 25% of persons recording at least one form of stress and 11% recording two or more forms of stress (HILDA 2021-22). Stress has declined moderately over the HILDA sample period with about 34% of persons experiencing some financial stress in 2000-01.</w:t>
      </w:r>
    </w:p>
    <w:p w14:paraId="06813D8E" w14:textId="77777777" w:rsidR="00D24350" w:rsidRPr="00D24350" w:rsidRDefault="00D24350" w:rsidP="00D24350">
      <w:pPr>
        <w:rPr>
          <w:lang w:val="en-GB"/>
        </w:rPr>
      </w:pPr>
      <w:r w:rsidRPr="00D24350">
        <w:rPr>
          <w:lang w:val="en-GB"/>
        </w:rPr>
        <w:t>This likely reflects improved household incomes and economic growth in Australia.</w:t>
      </w:r>
    </w:p>
    <w:p w14:paraId="272316F3" w14:textId="77777777" w:rsidR="00D24350" w:rsidRPr="00D24350" w:rsidRDefault="00D24350" w:rsidP="00D24350">
      <w:pPr>
        <w:rPr>
          <w:lang w:val="en-GB"/>
        </w:rPr>
      </w:pPr>
      <w:r w:rsidRPr="00D24350">
        <w:rPr>
          <w:lang w:val="en-GB"/>
        </w:rPr>
        <w:t xml:space="preserve">An advantage of financial stress indicators is that unlike poverty measures (typically based on income alone) this measure can take account of many other factors that may affect financial wellbeing, such as wealth, disability, financial literacy, age, and family type. </w:t>
      </w:r>
    </w:p>
    <w:p w14:paraId="0834421F" w14:textId="77777777" w:rsidR="00D24350" w:rsidRPr="00D24350" w:rsidRDefault="00D24350" w:rsidP="00D24350">
      <w:pPr>
        <w:rPr>
          <w:lang w:val="en-GB"/>
        </w:rPr>
      </w:pPr>
      <w:r w:rsidRPr="00D24350">
        <w:rPr>
          <w:lang w:val="en-GB"/>
        </w:rPr>
        <w:t xml:space="preserve">There is no agreed metric to summarise the 8 forms of financial stress listed above but typical measures include an ‘any’ form of stress, the average number of stress responses or a deeper form of stress such as ‘3 or more’ forms of stress. Experience with these different measures is they tend to provide similar results in terms of ranking different individual or household types. </w:t>
      </w:r>
    </w:p>
    <w:p w14:paraId="57D94A92" w14:textId="77777777" w:rsidR="00D24350" w:rsidRPr="00D24350" w:rsidRDefault="00D24350" w:rsidP="00D24350">
      <w:pPr>
        <w:rPr>
          <w:lang w:val="en-GB"/>
        </w:rPr>
      </w:pPr>
      <w:r w:rsidRPr="00D24350">
        <w:rPr>
          <w:lang w:val="en-GB"/>
        </w:rPr>
        <w:t xml:space="preserve">Social security payments such as the Age Pension and JobSeeker are intended to provide people receiving them with a basic living standard or ‘safety net’. Across the population there is a base level of financial stress, however financial stress measures can provide some guidance to how different the financial living standards of social security recipients are and potentially provide some guidance as to the relative position of different recipient types. </w:t>
      </w:r>
    </w:p>
    <w:p w14:paraId="460E9C6E" w14:textId="77777777" w:rsidR="00D24350" w:rsidRPr="00D24350" w:rsidRDefault="00D24350" w:rsidP="00D24350">
      <w:pPr>
        <w:rPr>
          <w:lang w:val="en-GB"/>
        </w:rPr>
      </w:pPr>
      <w:r w:rsidRPr="00D24350">
        <w:rPr>
          <w:lang w:val="en-GB"/>
        </w:rPr>
        <w:t xml:space="preserve">Financial stress measures have their own limitations. For example, for some they may be an indicator of financial mismanagement or a lack of financial literacy. They don’t necessarily imply that an individual or household’s sole reason for financial stress is an income that does not meet what many may consider a basic, or sufficient income. The measures may also not be a good indicator of lower-level forms of financial stress. </w:t>
      </w:r>
    </w:p>
    <w:p w14:paraId="3993F630" w14:textId="77777777" w:rsidR="00D24350" w:rsidRPr="00D24350" w:rsidRDefault="00D24350" w:rsidP="00D24350">
      <w:pPr>
        <w:rPr>
          <w:lang w:val="en-GB"/>
        </w:rPr>
      </w:pPr>
      <w:r w:rsidRPr="00D24350">
        <w:rPr>
          <w:lang w:val="en-GB"/>
        </w:rPr>
        <w:lastRenderedPageBreak/>
        <w:t xml:space="preserve">For example, a family or individual may be making considerable sacrifices to ensure that they are able to meet basic financial commitments such as those listed above. It also may be that certain demographics are more likely to reach out for support such as asking friends or community organisations for financial help. With those caveats in mind the financial stress measures are generally considered to provide a reasonable guide to relative financial wellbeing between different groups in society. </w:t>
      </w:r>
    </w:p>
    <w:p w14:paraId="7C585B30" w14:textId="77777777" w:rsidR="00D24350" w:rsidRPr="000B687E" w:rsidRDefault="00D24350" w:rsidP="000B687E">
      <w:pPr>
        <w:pStyle w:val="Heading3"/>
      </w:pPr>
      <w:r w:rsidRPr="000B687E">
        <w:t>2A.3.1 Results</w:t>
      </w:r>
    </w:p>
    <w:p w14:paraId="303BDD2D" w14:textId="535EA15A" w:rsidR="00D24350" w:rsidRDefault="00D24350" w:rsidP="00D24350">
      <w:pPr>
        <w:rPr>
          <w:lang w:val="en-GB"/>
        </w:rPr>
      </w:pPr>
      <w:r w:rsidRPr="00D24350">
        <w:rPr>
          <w:lang w:val="en-GB"/>
        </w:rPr>
        <w:t xml:space="preserve">The Department of Social Services (DSS) has provided the Committee with time series data for different social security recipients by their primary income support payment along with some general demographic averages from HILDA using (a) average number of financial stress responses, and (b) share (or probability) of having 2 or more forms of financial stress. The results in the figure below show DSS figures based on HILDA up to 2020-21, keeping in mind that 2019-20 and 2020-21 are influenced by supplementary payments from the COVID period that have since been phased out. </w:t>
      </w:r>
    </w:p>
    <w:p w14:paraId="7BE3496D" w14:textId="593DB70C" w:rsidR="00A36DE0" w:rsidRPr="00A36DE0" w:rsidRDefault="00A36DE0" w:rsidP="00A36DE0">
      <w:pPr>
        <w:pStyle w:val="Heading4"/>
      </w:pPr>
      <w:r w:rsidRPr="005F273B">
        <w:t>Figure 5: Measures of Financial Stress among Australian households, 2001 to 2021</w:t>
      </w:r>
    </w:p>
    <w:p w14:paraId="2D61891B" w14:textId="639A4894" w:rsidR="00A36DE0" w:rsidRDefault="00A36DE0" w:rsidP="005F273B">
      <w:pPr>
        <w:pStyle w:val="Heading4"/>
      </w:pPr>
      <w:r>
        <w:rPr>
          <w:noProof/>
        </w:rPr>
        <w:drawing>
          <wp:inline distT="0" distB="0" distL="0" distR="0" wp14:anchorId="30DF50B9" wp14:editId="08B7C97F">
            <wp:extent cx="5743575" cy="1997651"/>
            <wp:effectExtent l="0" t="0" r="0" b="0"/>
            <wp:docPr id="590303556" name="Picture 1" descr="Figure 5: Measures of financial stress among Australian households, 2001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03556" name="Picture 1" descr="Figure 5: Measures of financial stress among Australian households, 2001 to 2021"/>
                    <pic:cNvPicPr/>
                  </pic:nvPicPr>
                  <pic:blipFill rotWithShape="1">
                    <a:blip r:embed="rId21" cstate="print">
                      <a:extLst>
                        <a:ext uri="{28A0092B-C50C-407E-A947-70E740481C1C}">
                          <a14:useLocalDpi xmlns:a14="http://schemas.microsoft.com/office/drawing/2010/main" val="0"/>
                        </a:ext>
                      </a:extLst>
                    </a:blip>
                    <a:srcRect r="2780"/>
                    <a:stretch/>
                  </pic:blipFill>
                  <pic:spPr bwMode="auto">
                    <a:xfrm>
                      <a:off x="0" y="0"/>
                      <a:ext cx="5760282" cy="2003462"/>
                    </a:xfrm>
                    <a:prstGeom prst="rect">
                      <a:avLst/>
                    </a:prstGeom>
                    <a:ln>
                      <a:noFill/>
                    </a:ln>
                    <a:extLst>
                      <a:ext uri="{53640926-AAD7-44D8-BBD7-CCE9431645EC}">
                        <a14:shadowObscured xmlns:a14="http://schemas.microsoft.com/office/drawing/2010/main"/>
                      </a:ext>
                    </a:extLst>
                  </pic:spPr>
                </pic:pic>
              </a:graphicData>
            </a:graphic>
          </wp:inline>
        </w:drawing>
      </w:r>
    </w:p>
    <w:p w14:paraId="45DF9B9B" w14:textId="77777777" w:rsidR="00A36DE0" w:rsidRDefault="00A36DE0" w:rsidP="00A36DE0">
      <w:pPr>
        <w:pStyle w:val="Caption"/>
      </w:pPr>
      <w:r>
        <w:t>Source: HILDA, 2023.</w:t>
      </w:r>
    </w:p>
    <w:p w14:paraId="03A0DBDF" w14:textId="5F36C4C1" w:rsidR="00D24350" w:rsidRPr="00D24350" w:rsidRDefault="00D24350" w:rsidP="00D24350">
      <w:pPr>
        <w:rPr>
          <w:lang w:val="en-GB"/>
        </w:rPr>
      </w:pPr>
      <w:r w:rsidRPr="00D24350">
        <w:rPr>
          <w:lang w:val="en-GB"/>
        </w:rPr>
        <w:t>The main points from this chart are </w:t>
      </w:r>
      <w:r w:rsidR="000B687E">
        <w:rPr>
          <w:lang w:val="en-GB"/>
        </w:rPr>
        <w:t>as follows</w:t>
      </w:r>
      <w:r w:rsidRPr="00D24350">
        <w:rPr>
          <w:lang w:val="en-GB"/>
        </w:rPr>
        <w:t>:</w:t>
      </w:r>
    </w:p>
    <w:p w14:paraId="4D1FA94A" w14:textId="77777777" w:rsidR="00D24350" w:rsidRPr="000B687E" w:rsidRDefault="00D24350">
      <w:pPr>
        <w:pStyle w:val="ListParagraph"/>
        <w:numPr>
          <w:ilvl w:val="0"/>
          <w:numId w:val="6"/>
        </w:numPr>
        <w:rPr>
          <w:lang w:val="en-GB"/>
        </w:rPr>
      </w:pPr>
      <w:r w:rsidRPr="000B687E">
        <w:rPr>
          <w:lang w:val="en-GB"/>
        </w:rPr>
        <w:t>There is significant variation in financial stress between different payment types.</w:t>
      </w:r>
    </w:p>
    <w:p w14:paraId="52AE6D53" w14:textId="77777777" w:rsidR="00D24350" w:rsidRPr="000B687E" w:rsidRDefault="00D24350">
      <w:pPr>
        <w:pStyle w:val="ListParagraph"/>
        <w:numPr>
          <w:ilvl w:val="0"/>
          <w:numId w:val="6"/>
        </w:numPr>
        <w:rPr>
          <w:lang w:val="en-GB"/>
        </w:rPr>
      </w:pPr>
      <w:r w:rsidRPr="000B687E">
        <w:rPr>
          <w:lang w:val="en-GB"/>
        </w:rPr>
        <w:t xml:space="preserve">Age Pensioners have lower financial stress than other social security recipients and lower than the rest of the population with or without income support payments. </w:t>
      </w:r>
    </w:p>
    <w:p w14:paraId="38AABBB0" w14:textId="49B5D199" w:rsidR="00D24350" w:rsidRPr="000B687E" w:rsidRDefault="00D24350">
      <w:pPr>
        <w:pStyle w:val="ListParagraph"/>
        <w:numPr>
          <w:ilvl w:val="0"/>
          <w:numId w:val="6"/>
        </w:numPr>
        <w:rPr>
          <w:lang w:val="en-GB"/>
        </w:rPr>
      </w:pPr>
      <w:r w:rsidRPr="000B687E">
        <w:rPr>
          <w:lang w:val="en-GB"/>
        </w:rPr>
        <w:t>Working age payments, in particular, Parenting Payments (single and couple), and JobSeeker have very high rates of financial stress – typically around a 30% to 50% probability of stress.</w:t>
      </w:r>
    </w:p>
    <w:p w14:paraId="08EF2017" w14:textId="77777777" w:rsidR="00D24350" w:rsidRPr="000B687E" w:rsidRDefault="00D24350">
      <w:pPr>
        <w:pStyle w:val="ListParagraph"/>
        <w:numPr>
          <w:ilvl w:val="0"/>
          <w:numId w:val="6"/>
        </w:numPr>
        <w:rPr>
          <w:lang w:val="en-GB"/>
        </w:rPr>
      </w:pPr>
      <w:r w:rsidRPr="000B687E">
        <w:rPr>
          <w:lang w:val="en-GB"/>
        </w:rPr>
        <w:t xml:space="preserve">DSP recipients, despite similar payments to the Age Pension, are in a much worse position of stress compared to Age Pension recipients. </w:t>
      </w:r>
    </w:p>
    <w:p w14:paraId="58AEBAF7" w14:textId="77777777" w:rsidR="00D24350" w:rsidRPr="000B687E" w:rsidRDefault="00D24350">
      <w:pPr>
        <w:pStyle w:val="ListParagraph"/>
        <w:numPr>
          <w:ilvl w:val="0"/>
          <w:numId w:val="6"/>
        </w:numPr>
        <w:rPr>
          <w:lang w:val="en-GB"/>
        </w:rPr>
      </w:pPr>
      <w:r w:rsidRPr="000B687E">
        <w:rPr>
          <w:lang w:val="en-GB"/>
        </w:rPr>
        <w:t>Youth Allowance recipients, despite very low payments, are in better financial position than other working age income support recipients.</w:t>
      </w:r>
    </w:p>
    <w:p w14:paraId="424780CE" w14:textId="77777777" w:rsidR="00D24350" w:rsidRPr="000B687E" w:rsidRDefault="00D24350">
      <w:pPr>
        <w:pStyle w:val="ListParagraph"/>
        <w:numPr>
          <w:ilvl w:val="0"/>
          <w:numId w:val="6"/>
        </w:numPr>
        <w:rPr>
          <w:lang w:val="en-GB"/>
        </w:rPr>
      </w:pPr>
      <w:r w:rsidRPr="000B687E">
        <w:rPr>
          <w:lang w:val="en-GB"/>
        </w:rPr>
        <w:t>Financial stress declined through the 2000s but was more stable for the overall population and for Age Pensioners, with some possible improvements to working age recipients through COVID.</w:t>
      </w:r>
      <w:r w:rsidRPr="000B687E">
        <w:rPr>
          <w:rStyle w:val="Superscript"/>
        </w:rPr>
        <w:footnoteReference w:id="9"/>
      </w:r>
    </w:p>
    <w:p w14:paraId="487B135C" w14:textId="0E09D867" w:rsidR="00D24350" w:rsidRPr="00D24350" w:rsidRDefault="00D24350" w:rsidP="00D24350">
      <w:pPr>
        <w:rPr>
          <w:lang w:val="en-GB"/>
        </w:rPr>
      </w:pPr>
      <w:r w:rsidRPr="00D24350">
        <w:rPr>
          <w:lang w:val="en-GB"/>
        </w:rPr>
        <w:t>Additional estimates using HILDA up to 2022 in Figure 6 (DSS estimates are only to 2021) show a similar picture, albeit for more aggregate payments such as ‘parenting payment’ covering both single and couple recipients</w:t>
      </w:r>
      <w:r w:rsidRPr="00F57B7C">
        <w:rPr>
          <w:rStyle w:val="Superscript"/>
        </w:rPr>
        <w:footnoteReference w:id="10"/>
      </w:r>
      <w:r w:rsidRPr="00D24350">
        <w:rPr>
          <w:lang w:val="en-GB"/>
        </w:rPr>
        <w:t xml:space="preserve">. This analysis also included a category for </w:t>
      </w:r>
      <w:r w:rsidRPr="00D24350">
        <w:rPr>
          <w:lang w:val="en-GB"/>
        </w:rPr>
        <w:lastRenderedPageBreak/>
        <w:t xml:space="preserve">people receiving family payments who don’t receive other income support payments but who are generally in the lower half of the family income distribution. </w:t>
      </w:r>
    </w:p>
    <w:p w14:paraId="34A28817" w14:textId="77777777" w:rsidR="00D24350" w:rsidRPr="00D24350" w:rsidRDefault="00D24350" w:rsidP="00D24350">
      <w:pPr>
        <w:rPr>
          <w:lang w:val="en-GB"/>
        </w:rPr>
      </w:pPr>
      <w:r w:rsidRPr="00D24350">
        <w:rPr>
          <w:lang w:val="en-GB"/>
        </w:rPr>
        <w:t>Stress rates for people receiving JobSeeker and Parenting Payment are similar, and both have increased since COVID (significantly) – tentatively this suggests that COVID payments did lower financial stress. With that in mind there are likely to be significant differences between some of these payment types. For example, people receiving Youth Allowance, particularly students, may have more ability to earn private income or have access to support from parents than people receiving JobSeeker. As discussed below, Age Pensioners are likely to have higher wealth with both a home ownership rate and financial wealth significantly greater than people receiving working age payments.</w:t>
      </w:r>
    </w:p>
    <w:p w14:paraId="0F397BC2" w14:textId="77777777" w:rsidR="00713A82" w:rsidRDefault="00713A82" w:rsidP="00713A82">
      <w:pPr>
        <w:pStyle w:val="Heading4"/>
      </w:pPr>
      <w:r>
        <w:t>Figure 6: Measures of Financial Stress among Australian households, 2001 to 2022</w:t>
      </w:r>
    </w:p>
    <w:p w14:paraId="2B4D751B" w14:textId="77777777" w:rsidR="00713A82" w:rsidRDefault="00713A82" w:rsidP="00713A82">
      <w:r>
        <w:rPr>
          <w:noProof/>
        </w:rPr>
        <w:drawing>
          <wp:inline distT="0" distB="0" distL="0" distR="0" wp14:anchorId="6796583B" wp14:editId="0CCBFD0E">
            <wp:extent cx="5731510" cy="2016760"/>
            <wp:effectExtent l="0" t="0" r="0" b="0"/>
            <wp:docPr id="1662062309" name="Picture 2" descr="Figure 6: Measures of Financial Stress among Australian households, 2001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62309" name="Picture 2" descr="Figure 6: Measures of Financial Stress among Australian households, 2001 to 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016760"/>
                    </a:xfrm>
                    <a:prstGeom prst="rect">
                      <a:avLst/>
                    </a:prstGeom>
                  </pic:spPr>
                </pic:pic>
              </a:graphicData>
            </a:graphic>
          </wp:inline>
        </w:drawing>
      </w:r>
    </w:p>
    <w:p w14:paraId="5592460E" w14:textId="77777777" w:rsidR="00713A82" w:rsidRPr="00023091" w:rsidRDefault="00713A82" w:rsidP="00713A82">
      <w:pPr>
        <w:pStyle w:val="Caption"/>
      </w:pPr>
      <w:r>
        <w:t>Source: HILDA, 2023.</w:t>
      </w:r>
    </w:p>
    <w:p w14:paraId="5A4BA1C3" w14:textId="522EE30F" w:rsidR="00D24350" w:rsidRDefault="00D24350" w:rsidP="00D24350">
      <w:pPr>
        <w:rPr>
          <w:lang w:val="en-GB"/>
        </w:rPr>
      </w:pPr>
      <w:r w:rsidRPr="00D24350">
        <w:rPr>
          <w:lang w:val="en-GB"/>
        </w:rPr>
        <w:t>Those persons receiving family payments only (and no main income support payments) have much lower rates of stress than those recipients who do receive working age payments. Their rates of stress have increased over the last 14 years which may be due to some tightening in the eligibility and therefore the group is increasingly made up of lower income families. Stewart et al. (2023) estimate that coverage of FTB has declined, with an estimated 46% of children aged 0 to 18 years receiving FTB in 2021, down from a peak of 68% in 2005. This has resulted in low-income families making up a much higher proportion of families receiving FTB.</w:t>
      </w:r>
    </w:p>
    <w:p w14:paraId="228993A7" w14:textId="77777777" w:rsidR="00D24350" w:rsidRPr="0007323A" w:rsidRDefault="00D24350" w:rsidP="0007323A">
      <w:pPr>
        <w:pStyle w:val="Heading3"/>
      </w:pPr>
      <w:r w:rsidRPr="0007323A">
        <w:t>2A.3.2 Factors underlying differences in financial stress</w:t>
      </w:r>
    </w:p>
    <w:p w14:paraId="12F23108" w14:textId="77777777" w:rsidR="00D24350" w:rsidRPr="00D24350" w:rsidRDefault="00D24350" w:rsidP="00D24350">
      <w:pPr>
        <w:rPr>
          <w:lang w:val="en-GB"/>
        </w:rPr>
      </w:pPr>
      <w:r w:rsidRPr="00D24350">
        <w:rPr>
          <w:lang w:val="en-GB"/>
        </w:rPr>
        <w:t>What explanations are there for the variation in the extent of financial stress among households discussed earlier? This section describes some of the characteristics of households in 2023 associated with different rates of stress.</w:t>
      </w:r>
    </w:p>
    <w:p w14:paraId="704FBEB2" w14:textId="29BC6E6E" w:rsidR="00D24350" w:rsidRDefault="00D24350" w:rsidP="00A726F2">
      <w:r w:rsidRPr="00D24350">
        <w:rPr>
          <w:lang w:val="en-GB"/>
        </w:rPr>
        <w:t xml:space="preserve">Figure 7 shows modelled estimates for rates of financial stress where the household experienced three or more forms of stress in the ABS Survey of Income and Housing. The highest rates of stress were experienced by people receiving Parenting Payment Single. </w:t>
      </w:r>
      <w:r w:rsidRPr="00A726F2">
        <w:t>More than half of these households were experiencing three or more forms of stress.</w:t>
      </w:r>
    </w:p>
    <w:p w14:paraId="5BB52324" w14:textId="77777777" w:rsidR="00713A82" w:rsidRDefault="00713A82" w:rsidP="00713A82">
      <w:pPr>
        <w:pStyle w:val="Heading4"/>
      </w:pPr>
      <w:r>
        <w:lastRenderedPageBreak/>
        <w:t>Figure 7: Modelled Rates of Financial Stress among Australian households, December 2023</w:t>
      </w:r>
    </w:p>
    <w:p w14:paraId="4F11FE89" w14:textId="77777777" w:rsidR="00713A82" w:rsidRDefault="00713A82" w:rsidP="00713A82">
      <w:r>
        <w:rPr>
          <w:noProof/>
        </w:rPr>
        <w:drawing>
          <wp:inline distT="0" distB="0" distL="0" distR="0" wp14:anchorId="4873B2D0" wp14:editId="7CB91CA9">
            <wp:extent cx="5219700" cy="1651000"/>
            <wp:effectExtent l="0" t="0" r="0" b="0"/>
            <wp:docPr id="1962973281" name="Picture 3" descr="Figure 7: Modelled Rates of Financial Stress among Australian households,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73281" name="Picture 3" descr="Figure 7: Modelled Rates of Financial Stress among Australian households, December 2023"/>
                    <pic:cNvPicPr/>
                  </pic:nvPicPr>
                  <pic:blipFill>
                    <a:blip r:embed="rId23">
                      <a:extLst>
                        <a:ext uri="{28A0092B-C50C-407E-A947-70E740481C1C}">
                          <a14:useLocalDpi xmlns:a14="http://schemas.microsoft.com/office/drawing/2010/main" val="0"/>
                        </a:ext>
                      </a:extLst>
                    </a:blip>
                    <a:stretch>
                      <a:fillRect/>
                    </a:stretch>
                  </pic:blipFill>
                  <pic:spPr>
                    <a:xfrm>
                      <a:off x="0" y="0"/>
                      <a:ext cx="5219700" cy="1651000"/>
                    </a:xfrm>
                    <a:prstGeom prst="rect">
                      <a:avLst/>
                    </a:prstGeom>
                  </pic:spPr>
                </pic:pic>
              </a:graphicData>
            </a:graphic>
          </wp:inline>
        </w:drawing>
      </w:r>
    </w:p>
    <w:p w14:paraId="50B570CC" w14:textId="1D106E60" w:rsidR="00713A82" w:rsidRPr="00A726F2" w:rsidRDefault="00713A82" w:rsidP="00713A82">
      <w:pPr>
        <w:pStyle w:val="Caption"/>
      </w:pPr>
      <w:r>
        <w:t>Source: ANU PolicyMod, ABS Survey of Income and Housing 2019-20.</w:t>
      </w:r>
    </w:p>
    <w:p w14:paraId="7E592FC9" w14:textId="77777777" w:rsidR="00A726F2" w:rsidRPr="00A726F2" w:rsidRDefault="00A726F2" w:rsidP="00A726F2">
      <w:r w:rsidRPr="00A726F2">
        <w:t>As discussed, the next highest level was experienced by those receiving Allowances (such as JobSeeker or Youth Allowance), but rates of stress were nearly as high for those on Carer Payment and DSP, which have much higher levels of payment. As can be seen, the lowest household stress rates were among people receiving Age Pensions (8%), lower than families receiving only the Child Care Subsidy or among those not on any payment at all.</w:t>
      </w:r>
    </w:p>
    <w:p w14:paraId="277E3463" w14:textId="415B9542" w:rsidR="00D24350" w:rsidRDefault="00D24350" w:rsidP="00D24350">
      <w:pPr>
        <w:rPr>
          <w:lang w:val="en-GB"/>
        </w:rPr>
      </w:pPr>
      <w:r w:rsidRPr="00D24350">
        <w:rPr>
          <w:lang w:val="en-GB"/>
        </w:rPr>
        <w:t>Figure 8a shows the level of median equivalised wealth in 202</w:t>
      </w:r>
      <w:r w:rsidR="00A726F2">
        <w:rPr>
          <w:lang w:val="en-GB"/>
        </w:rPr>
        <w:t>3</w:t>
      </w:r>
      <w:r w:rsidRPr="00D24350">
        <w:rPr>
          <w:lang w:val="en-GB"/>
        </w:rPr>
        <w:t xml:space="preserve"> for the same household types. The median wealth for Age Pensioner households – both those receiving the full rate and a part rate – was nearly the same as for those completely outside the income support system at around $531-$533 thousand dollars (including the family home). Levels of median wealth for those receiving allowances were less than $40,000 all-inclusive and for those receiving Parenting Payment Single was around $20,000.</w:t>
      </w:r>
    </w:p>
    <w:p w14:paraId="5E1C2DA9" w14:textId="77777777" w:rsidR="00713A82" w:rsidRDefault="00713A82" w:rsidP="00713A82">
      <w:pPr>
        <w:pStyle w:val="Heading4"/>
      </w:pPr>
      <w:r>
        <w:t>Figure 8a: Median equivalised household wealth among Australian households, by type of social security support, 2023</w:t>
      </w:r>
    </w:p>
    <w:p w14:paraId="7A10A613" w14:textId="77777777" w:rsidR="00713A82" w:rsidRDefault="00713A82" w:rsidP="00713A82">
      <w:pPr>
        <w:rPr>
          <w:lang w:val="en-GB"/>
        </w:rPr>
      </w:pPr>
      <w:r>
        <w:rPr>
          <w:noProof/>
          <w:lang w:val="en-GB"/>
        </w:rPr>
        <w:drawing>
          <wp:inline distT="0" distB="0" distL="0" distR="0" wp14:anchorId="45920997" wp14:editId="1A405C09">
            <wp:extent cx="5219700" cy="1651000"/>
            <wp:effectExtent l="0" t="0" r="0" b="0"/>
            <wp:docPr id="1235859032" name="Picture 4" descr="Figure 8a: Median equivalised household wealth among Australian households, by type of social security suppor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59032" name="Picture 4" descr="Figure 8a: Median equivalised household wealth among Australian households, by type of social security support, 2023"/>
                    <pic:cNvPicPr/>
                  </pic:nvPicPr>
                  <pic:blipFill>
                    <a:blip r:embed="rId24">
                      <a:extLst>
                        <a:ext uri="{28A0092B-C50C-407E-A947-70E740481C1C}">
                          <a14:useLocalDpi xmlns:a14="http://schemas.microsoft.com/office/drawing/2010/main" val="0"/>
                        </a:ext>
                      </a:extLst>
                    </a:blip>
                    <a:stretch>
                      <a:fillRect/>
                    </a:stretch>
                  </pic:blipFill>
                  <pic:spPr>
                    <a:xfrm>
                      <a:off x="0" y="0"/>
                      <a:ext cx="5219700" cy="1651000"/>
                    </a:xfrm>
                    <a:prstGeom prst="rect">
                      <a:avLst/>
                    </a:prstGeom>
                  </pic:spPr>
                </pic:pic>
              </a:graphicData>
            </a:graphic>
          </wp:inline>
        </w:drawing>
      </w:r>
    </w:p>
    <w:p w14:paraId="0416147A" w14:textId="62A2DF44" w:rsidR="00713A82" w:rsidRPr="00713A82" w:rsidRDefault="00713A82" w:rsidP="00713A82">
      <w:pPr>
        <w:pStyle w:val="Caption"/>
      </w:pPr>
      <w:r>
        <w:t>Source: ANU PolicyMod.</w:t>
      </w:r>
    </w:p>
    <w:p w14:paraId="2FAC7B01" w14:textId="64D18A88" w:rsidR="00D24350" w:rsidRPr="00D24350" w:rsidRDefault="00D24350" w:rsidP="00D24350">
      <w:pPr>
        <w:rPr>
          <w:lang w:val="en-GB"/>
        </w:rPr>
      </w:pPr>
      <w:r w:rsidRPr="00D24350">
        <w:rPr>
          <w:lang w:val="en-GB"/>
        </w:rPr>
        <w:t xml:space="preserve">Figure 8b uses DSS administrative data from December 2023 to show the average and median level of assessable assets for a range of income support payments. </w:t>
      </w:r>
    </w:p>
    <w:p w14:paraId="1A670DAC" w14:textId="77777777" w:rsidR="00713A82" w:rsidRDefault="00713A82" w:rsidP="00713A82">
      <w:pPr>
        <w:pStyle w:val="Heading4"/>
      </w:pPr>
      <w:r>
        <w:lastRenderedPageBreak/>
        <w:t>Figure 8b Average and Median Assessable assets balances, December 2023</w:t>
      </w:r>
    </w:p>
    <w:p w14:paraId="7E843056" w14:textId="77777777" w:rsidR="00713A82" w:rsidRDefault="00713A82" w:rsidP="00713A82">
      <w:pPr>
        <w:rPr>
          <w:lang w:val="en-GB"/>
        </w:rPr>
      </w:pPr>
      <w:r>
        <w:rPr>
          <w:noProof/>
          <w:lang w:val="en-GB"/>
        </w:rPr>
        <w:drawing>
          <wp:inline distT="0" distB="0" distL="0" distR="0" wp14:anchorId="0529B3EE" wp14:editId="6505A6C4">
            <wp:extent cx="5219700" cy="4219575"/>
            <wp:effectExtent l="0" t="0" r="0" b="0"/>
            <wp:docPr id="1200628942" name="Picture 5" descr="Figure 8b Average and Median Assessable assets balances,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28942" name="Picture 5" descr="Figure 8b Average and Median Assessable assets balances, December 2023"/>
                    <pic:cNvPicPr/>
                  </pic:nvPicPr>
                  <pic:blipFill rotWithShape="1">
                    <a:blip r:embed="rId25">
                      <a:extLst>
                        <a:ext uri="{28A0092B-C50C-407E-A947-70E740481C1C}">
                          <a14:useLocalDpi xmlns:a14="http://schemas.microsoft.com/office/drawing/2010/main" val="0"/>
                        </a:ext>
                      </a:extLst>
                    </a:blip>
                    <a:srcRect t="3196" b="2414"/>
                    <a:stretch/>
                  </pic:blipFill>
                  <pic:spPr bwMode="auto">
                    <a:xfrm>
                      <a:off x="0" y="0"/>
                      <a:ext cx="5219700" cy="4219575"/>
                    </a:xfrm>
                    <a:prstGeom prst="rect">
                      <a:avLst/>
                    </a:prstGeom>
                    <a:ln>
                      <a:noFill/>
                    </a:ln>
                    <a:extLst>
                      <a:ext uri="{53640926-AAD7-44D8-BBD7-CCE9431645EC}">
                        <a14:shadowObscured xmlns:a14="http://schemas.microsoft.com/office/drawing/2010/main"/>
                      </a:ext>
                    </a:extLst>
                  </pic:spPr>
                </pic:pic>
              </a:graphicData>
            </a:graphic>
          </wp:inline>
        </w:drawing>
      </w:r>
    </w:p>
    <w:p w14:paraId="303F3D91" w14:textId="77777777" w:rsidR="00713A82" w:rsidRPr="00D81C00" w:rsidRDefault="00713A82" w:rsidP="00713A82">
      <w:pPr>
        <w:pStyle w:val="Caption"/>
      </w:pPr>
      <w:r w:rsidRPr="00D81C00">
        <w:t>Source: DSS administrative data</w:t>
      </w:r>
    </w:p>
    <w:p w14:paraId="06F7A252" w14:textId="77777777" w:rsidR="00D24350" w:rsidRPr="00D24350" w:rsidRDefault="00D24350" w:rsidP="00D24350">
      <w:pPr>
        <w:rPr>
          <w:lang w:val="en-GB"/>
        </w:rPr>
      </w:pPr>
      <w:r w:rsidRPr="00D24350">
        <w:rPr>
          <w:lang w:val="en-GB"/>
        </w:rPr>
        <w:t>Figure 8b clearly shows that assets for working age income support recipients are typically very small. JobSeeker recipients have median assets of around $4,500 and an average of $25,500. Those on DSP have only marginally more while youth allowance (other) recipients typically have less than $500 in assessable assets. Those on Parenting Payment Single (mostly women) have typical assets of around $3,500 and an average of just over $15,000. These amounts are in stark contrast to age pensioners who have a typical balance of around $134,000 and average asset value of $205,000. These asset values relate to the value of an ‘income unit’ such as a single person or a couple and include a range of assets some of which are ‘liquid’ (e.g., shares or bank accounts) and some which are not liquid, such as home contents. Assessable assets do not include the value of the family home. Figure 8a figures relate to household totals which is conceptually similar but not the same as an income unit. Some households may consist of more than one income unit.</w:t>
      </w:r>
    </w:p>
    <w:p w14:paraId="647790AF" w14:textId="2FDCA04D" w:rsidR="00D24350" w:rsidRPr="00D24350" w:rsidRDefault="00D24350" w:rsidP="00D24350">
      <w:pPr>
        <w:rPr>
          <w:lang w:val="en-GB"/>
        </w:rPr>
      </w:pPr>
      <w:r w:rsidRPr="00D24350">
        <w:rPr>
          <w:lang w:val="en-GB"/>
        </w:rPr>
        <w:t>Figure 8a and Figure 8b indicate that many people receiving social security payments, particularly working age payments, have very low levels of wealth/assets. Combined with typically low incomes such low levels of wealth (particularly liquid wealth) likely explain the high rates of financial stress amongst many working age payment recipients such as those in receipt of the JobSeeker Payment, DSP and Parenting Payment. A lack of liquid wealth will mean, where other assistance is not readily available from friends and family or charities that emergency funds are particularly difficult to find.</w:t>
      </w:r>
    </w:p>
    <w:p w14:paraId="59F6643C" w14:textId="26833BAC" w:rsidR="00D24350" w:rsidRPr="00D24350" w:rsidRDefault="00D24350" w:rsidP="00D24350">
      <w:pPr>
        <w:rPr>
          <w:lang w:val="en-GB"/>
        </w:rPr>
      </w:pPr>
      <w:r w:rsidRPr="00D24350">
        <w:rPr>
          <w:lang w:val="en-GB"/>
        </w:rPr>
        <w:t>Figure 9 shows that rates of home ownership</w:t>
      </w:r>
      <w:r w:rsidRPr="00D24350">
        <w:rPr>
          <w:rStyle w:val="Superscript"/>
          <w:lang w:val="en-GB"/>
        </w:rPr>
        <w:footnoteReference w:id="11"/>
      </w:r>
      <w:r w:rsidRPr="00D24350">
        <w:rPr>
          <w:lang w:val="en-GB"/>
        </w:rPr>
        <w:t xml:space="preserve"> are highest among Age Pensioner households at 80%, which is not surprising given their age. For all the other groups of people </w:t>
      </w:r>
      <w:r w:rsidRPr="00D24350">
        <w:rPr>
          <w:lang w:val="en-GB"/>
        </w:rPr>
        <w:lastRenderedPageBreak/>
        <w:t>receiving income support payments, home ownership is well below 50% - that is the median households in these groups are not home-owners.</w:t>
      </w:r>
    </w:p>
    <w:p w14:paraId="5C7049C1" w14:textId="77777777" w:rsidR="00D24350" w:rsidRDefault="00D24350" w:rsidP="00D24350">
      <w:pPr>
        <w:rPr>
          <w:lang w:val="en-GB"/>
        </w:rPr>
      </w:pPr>
      <w:r w:rsidRPr="00D24350">
        <w:rPr>
          <w:lang w:val="en-GB"/>
        </w:rPr>
        <w:t>People receiving Parenting Payment Single have by far the lowest rates of home ownership at 16%. This is likely to reflect their younger age and the breakup of a relationship that led to their receipt of this payment.</w:t>
      </w:r>
    </w:p>
    <w:p w14:paraId="28126B2B" w14:textId="77777777" w:rsidR="00713A82" w:rsidRPr="00AF347E" w:rsidRDefault="00713A82" w:rsidP="00713A82">
      <w:pPr>
        <w:pStyle w:val="Heading4"/>
      </w:pPr>
      <w:r w:rsidRPr="00AF347E">
        <w:t>Figure 9: Rates of home ownership among Australian households, by type of social security support, 2023</w:t>
      </w:r>
    </w:p>
    <w:p w14:paraId="65A62164" w14:textId="77777777" w:rsidR="00713A82" w:rsidRDefault="00713A82" w:rsidP="00713A82">
      <w:pPr>
        <w:rPr>
          <w:lang w:val="en-GB"/>
        </w:rPr>
      </w:pPr>
      <w:r>
        <w:rPr>
          <w:noProof/>
          <w:lang w:val="en-GB"/>
        </w:rPr>
        <w:drawing>
          <wp:inline distT="0" distB="0" distL="0" distR="0" wp14:anchorId="2F66F4C1" wp14:editId="128A80A0">
            <wp:extent cx="5219700" cy="2082800"/>
            <wp:effectExtent l="0" t="0" r="0" b="0"/>
            <wp:docPr id="778224591" name="Picture 6" descr="Figure 9: Rates of home ownership among Australian households, by type of social security suppor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24591" name="Picture 6" descr="Figure 9: Rates of home ownership among Australian households, by type of social security support, 2023"/>
                    <pic:cNvPicPr/>
                  </pic:nvPicPr>
                  <pic:blipFill>
                    <a:blip r:embed="rId26">
                      <a:extLst>
                        <a:ext uri="{28A0092B-C50C-407E-A947-70E740481C1C}">
                          <a14:useLocalDpi xmlns:a14="http://schemas.microsoft.com/office/drawing/2010/main" val="0"/>
                        </a:ext>
                      </a:extLst>
                    </a:blip>
                    <a:stretch>
                      <a:fillRect/>
                    </a:stretch>
                  </pic:blipFill>
                  <pic:spPr>
                    <a:xfrm>
                      <a:off x="0" y="0"/>
                      <a:ext cx="5219700" cy="2082800"/>
                    </a:xfrm>
                    <a:prstGeom prst="rect">
                      <a:avLst/>
                    </a:prstGeom>
                  </pic:spPr>
                </pic:pic>
              </a:graphicData>
            </a:graphic>
          </wp:inline>
        </w:drawing>
      </w:r>
    </w:p>
    <w:p w14:paraId="15A64E31" w14:textId="6FCCA762" w:rsidR="00713A82" w:rsidRPr="00713A82" w:rsidRDefault="00713A82" w:rsidP="00713A82">
      <w:pPr>
        <w:pStyle w:val="Caption"/>
      </w:pPr>
      <w:r>
        <w:t>Source: ANU PolicyMod.</w:t>
      </w:r>
    </w:p>
    <w:p w14:paraId="5ACA69E5" w14:textId="77777777" w:rsidR="00D24350" w:rsidRPr="0007323A" w:rsidRDefault="00D24350" w:rsidP="0007323A">
      <w:pPr>
        <w:pStyle w:val="Heading3"/>
      </w:pPr>
      <w:r w:rsidRPr="0007323A">
        <w:t>2A3.3 discussion</w:t>
      </w:r>
    </w:p>
    <w:p w14:paraId="224D6EE7" w14:textId="77777777" w:rsidR="00D24350" w:rsidRPr="00D24350" w:rsidRDefault="00D24350" w:rsidP="00D24350">
      <w:pPr>
        <w:rPr>
          <w:lang w:val="en-GB"/>
        </w:rPr>
      </w:pPr>
      <w:r w:rsidRPr="00D24350">
        <w:rPr>
          <w:lang w:val="en-GB"/>
        </w:rPr>
        <w:t>What can this analysis tell us about current rates of social security payments? The high rates of stress amongst Parenting Payment should raise concerns about the levels of Parenting Payment, particularly the Single rate, and raise concerns about the level of family payments – at least for those on the maximum rates of those payments. The rates of stress for all working age payments are well above the rest of the population and are an indication that many people receiving these payments face significant financial barriers.</w:t>
      </w:r>
      <w:r w:rsidRPr="00D24350">
        <w:rPr>
          <w:rStyle w:val="Superscript"/>
          <w:lang w:val="en-GB"/>
        </w:rPr>
        <w:footnoteReference w:id="12"/>
      </w:r>
      <w:r w:rsidRPr="00D24350">
        <w:rPr>
          <w:rStyle w:val="Superscript"/>
          <w:lang w:val="en-GB"/>
        </w:rPr>
        <w:t xml:space="preserve"> </w:t>
      </w:r>
    </w:p>
    <w:p w14:paraId="0FA45F4D" w14:textId="77777777" w:rsidR="00D24350" w:rsidRPr="00D24350" w:rsidRDefault="00D24350" w:rsidP="00D24350">
      <w:pPr>
        <w:rPr>
          <w:lang w:val="en-GB"/>
        </w:rPr>
      </w:pPr>
      <w:r w:rsidRPr="00D24350">
        <w:rPr>
          <w:lang w:val="en-GB"/>
        </w:rPr>
        <w:t xml:space="preserve">This is perhaps a good example of where comparisons of income alone do not necessarily provide an accurate guide to financial well-being and financial stress. Parenting Payment Single has a rate of payment well above JobSeeker ($989 per fortnight compared to $758 per fortnight) and about $108 per fortnight lower than the Age Pension (and DSP) at $1096.70 including supplements. </w:t>
      </w:r>
    </w:p>
    <w:p w14:paraId="2FE8B61C" w14:textId="77777777" w:rsidR="00D24350" w:rsidRPr="00D24350" w:rsidRDefault="00D24350" w:rsidP="00D24350">
      <w:pPr>
        <w:rPr>
          <w:lang w:val="en-GB"/>
        </w:rPr>
      </w:pPr>
      <w:r w:rsidRPr="00D24350">
        <w:rPr>
          <w:lang w:val="en-GB"/>
        </w:rPr>
        <w:t>Despite these income differences, Parenting Payment Single recipients have the highest rates of stress, just above JobSeeker. People receiving the DSP report much higher rates of financial stress than the Age Pension yet have the same social security income.</w:t>
      </w:r>
    </w:p>
    <w:p w14:paraId="0D9F1F4D" w14:textId="77777777" w:rsidR="00D24350" w:rsidRPr="00D24350" w:rsidRDefault="00D24350" w:rsidP="00D24350">
      <w:pPr>
        <w:rPr>
          <w:lang w:val="en-GB"/>
        </w:rPr>
      </w:pPr>
      <w:r w:rsidRPr="00D24350">
        <w:rPr>
          <w:lang w:val="en-GB"/>
        </w:rPr>
        <w:t>The key here is that income is only one driver of financial wellbeing, and it would be expected that there is considerable difference between people receiving these payments regarding their fundamental financial requirements.</w:t>
      </w:r>
    </w:p>
    <w:p w14:paraId="2C807942" w14:textId="77777777" w:rsidR="00D24350" w:rsidRPr="00D24350" w:rsidRDefault="00D24350" w:rsidP="00D24350">
      <w:pPr>
        <w:rPr>
          <w:lang w:val="en-GB"/>
        </w:rPr>
      </w:pPr>
      <w:r w:rsidRPr="00D24350">
        <w:rPr>
          <w:lang w:val="en-GB"/>
        </w:rPr>
        <w:t xml:space="preserve">The most recent estimates from HILDA are from 2021-22 and therefore do not include the changes in the 2023-24 Budget. </w:t>
      </w:r>
    </w:p>
    <w:p w14:paraId="57B899DD" w14:textId="77777777" w:rsidR="00D24350" w:rsidRPr="00D24350" w:rsidRDefault="00D24350" w:rsidP="00D24350">
      <w:pPr>
        <w:rPr>
          <w:lang w:val="en-GB"/>
        </w:rPr>
      </w:pPr>
      <w:r w:rsidRPr="00D24350">
        <w:rPr>
          <w:lang w:val="en-GB"/>
        </w:rPr>
        <w:t xml:space="preserve">These figures in themselves do not provide a clear indication of what the ‘right’ level of payment should be, but they reinforce the picture of disadvantage among people receiving working-age income support payments and suggest further financial assistance is required </w:t>
      </w:r>
      <w:r w:rsidRPr="00D24350">
        <w:rPr>
          <w:lang w:val="en-GB"/>
        </w:rPr>
        <w:lastRenderedPageBreak/>
        <w:t xml:space="preserve">to improve their financial position to a level more closely aligned with the rest of the community. </w:t>
      </w:r>
    </w:p>
    <w:p w14:paraId="5FF398A9" w14:textId="77777777" w:rsidR="00D24350" w:rsidRPr="0007323A" w:rsidRDefault="00D24350" w:rsidP="0007323A">
      <w:pPr>
        <w:pStyle w:val="Heading2"/>
      </w:pPr>
      <w:bookmarkStart w:id="21" w:name="_Toc165366856"/>
      <w:r w:rsidRPr="0007323A">
        <w:t>2A.4 Why has the gap between unemployment payments and Age Pensions widened?</w:t>
      </w:r>
      <w:bookmarkEnd w:id="21"/>
    </w:p>
    <w:p w14:paraId="1F348262" w14:textId="77777777" w:rsidR="00D24350" w:rsidRPr="00D24350" w:rsidRDefault="00D24350" w:rsidP="00D24350">
      <w:pPr>
        <w:rPr>
          <w:lang w:val="en-GB"/>
        </w:rPr>
      </w:pPr>
      <w:r w:rsidRPr="00D24350">
        <w:rPr>
          <w:lang w:val="en-GB"/>
        </w:rPr>
        <w:t>It is important to understand the past processes by which payments for the people who are unemployed have fallen so far from acceptable standards of adequacy.</w:t>
      </w:r>
    </w:p>
    <w:p w14:paraId="3C7AAE29" w14:textId="77777777" w:rsidR="00D24350" w:rsidRPr="00D24350" w:rsidRDefault="00D24350" w:rsidP="00D24350">
      <w:pPr>
        <w:rPr>
          <w:lang w:val="en-GB"/>
        </w:rPr>
      </w:pPr>
      <w:r w:rsidRPr="00D24350">
        <w:rPr>
          <w:lang w:val="en-GB"/>
        </w:rPr>
        <w:t xml:space="preserve">The First Report of the Interim Committee noted that “levels of social security payments in Australia have been set by Parliament through a complex historical process, usually involving long periods of inaction or “set and forget”, interspersed with bursts of activity that have been necessary as a result of the previous inaction” (The Committee, 2023, p.14). </w:t>
      </w:r>
    </w:p>
    <w:p w14:paraId="49783C73" w14:textId="77777777" w:rsidR="00D24350" w:rsidRPr="00D24350" w:rsidRDefault="00D24350" w:rsidP="00D24350">
      <w:pPr>
        <w:rPr>
          <w:lang w:val="en-GB"/>
        </w:rPr>
      </w:pPr>
      <w:r w:rsidRPr="00D24350">
        <w:rPr>
          <w:lang w:val="en-GB"/>
        </w:rPr>
        <w:t>In terms of how adequacy changes over time, the methods of indexing payments – if at all – are the most important influence on long-term trends in benefit levels. In addition, the total level of support is influenced by additional supplements paid to people receiving income support or concessions available to them. Governments have also made explicit policy decisions to improve adequacy for some payments.</w:t>
      </w:r>
    </w:p>
    <w:p w14:paraId="24B3F4A6" w14:textId="77777777" w:rsidR="00D24350" w:rsidRPr="00D24350" w:rsidRDefault="00D24350" w:rsidP="00D24350">
      <w:pPr>
        <w:rPr>
          <w:lang w:val="en-GB"/>
        </w:rPr>
      </w:pPr>
      <w:r w:rsidRPr="00D24350">
        <w:rPr>
          <w:lang w:val="en-GB"/>
        </w:rPr>
        <w:t>In summary, indexing JobSeeker Payment and related income support payments only in line with the CPI has resulted in their relative base rates failing to keep up with other payments such as the Age Pension. This gap has been reinforced by related policy decisions about pension payment levels in other periods.</w:t>
      </w:r>
    </w:p>
    <w:p w14:paraId="26BD5B39" w14:textId="77777777" w:rsidR="00D24350" w:rsidRPr="00D24350" w:rsidRDefault="00D24350" w:rsidP="00D24350">
      <w:pPr>
        <w:rPr>
          <w:lang w:val="en-GB"/>
        </w:rPr>
      </w:pPr>
      <w:r w:rsidRPr="00D24350">
        <w:rPr>
          <w:lang w:val="en-GB"/>
        </w:rPr>
        <w:t>When unemployment payments became payable in 1945, the single rate of payment for a person aged 21 years and over was around 77% of the single rate of pension and the partnered rate was 69% of the pension rate</w:t>
      </w:r>
      <w:r w:rsidRPr="00D24350">
        <w:rPr>
          <w:rStyle w:val="Superscript"/>
          <w:lang w:val="en-GB"/>
        </w:rPr>
        <w:footnoteReference w:id="13"/>
      </w:r>
      <w:r w:rsidRPr="00D24350">
        <w:rPr>
          <w:lang w:val="en-GB"/>
        </w:rPr>
        <w:t>. Payments for people who are unemployed were next increased in 1952, which prior to the increase</w:t>
      </w:r>
      <w:r w:rsidRPr="00D24350">
        <w:rPr>
          <w:rStyle w:val="Superscript"/>
          <w:lang w:val="en-GB"/>
        </w:rPr>
        <w:footnoteReference w:id="14"/>
      </w:r>
      <w:r w:rsidRPr="00D24350">
        <w:rPr>
          <w:lang w:val="en-GB"/>
        </w:rPr>
        <w:t xml:space="preserve">, had fallen to 42% of the pension rate. </w:t>
      </w:r>
    </w:p>
    <w:p w14:paraId="38E5A731" w14:textId="386B734E" w:rsidR="00D24350" w:rsidRPr="00D24350" w:rsidRDefault="00D24350" w:rsidP="00D24350">
      <w:pPr>
        <w:rPr>
          <w:lang w:val="en-GB"/>
        </w:rPr>
      </w:pPr>
      <w:r w:rsidRPr="00D24350">
        <w:rPr>
          <w:lang w:val="en-GB"/>
        </w:rPr>
        <w:t>Over the next twenty years, they were increased eight times – usually during periods of higher unemployment or announced before elections – and in December 1972 the basic payment rates were equalised and significantly increased. The single and partnered rates of unemployment payment and pension rates then remained the same until November 1978, when the benefit rate for singles without dependents was not increased. However, pensioners had access to fringe benefits that reduced specific costs for them, and that were not available to the same extent for beneficiaries.</w:t>
      </w:r>
    </w:p>
    <w:p w14:paraId="5D4BC26A" w14:textId="77777777" w:rsidR="00D24350" w:rsidRPr="00D24350" w:rsidRDefault="00D24350" w:rsidP="00D24350">
      <w:pPr>
        <w:rPr>
          <w:lang w:val="en-GB"/>
        </w:rPr>
      </w:pPr>
      <w:r w:rsidRPr="00D24350">
        <w:rPr>
          <w:lang w:val="en-GB"/>
        </w:rPr>
        <w:t>Indexation of pensions and benefits was legislated in 1976 (Bancroft, 1983)</w:t>
      </w:r>
      <w:r w:rsidRPr="00D24350">
        <w:rPr>
          <w:rStyle w:val="Superscript"/>
          <w:lang w:val="en-GB"/>
        </w:rPr>
        <w:footnoteReference w:id="15"/>
      </w:r>
      <w:r w:rsidRPr="00D24350">
        <w:rPr>
          <w:lang w:val="en-GB"/>
        </w:rPr>
        <w:t>, but was made less regular for pensions and abolished for beneficiaries without children between 1978 and 1980, when the cumulative inflation rate was over 20%. By mid-1982 the lower single benefit rate was less than 80% of the single pension rate, whereas the higher single rate and the partnered rate of benefit continued to be aligned to pension rates.</w:t>
      </w:r>
    </w:p>
    <w:p w14:paraId="3E6E3E84" w14:textId="77777777" w:rsidR="00D24350" w:rsidRPr="00D24350" w:rsidRDefault="00D24350" w:rsidP="00D24350">
      <w:pPr>
        <w:rPr>
          <w:lang w:val="en-GB"/>
        </w:rPr>
      </w:pPr>
      <w:r w:rsidRPr="00D24350">
        <w:rPr>
          <w:lang w:val="en-GB"/>
        </w:rPr>
        <w:t xml:space="preserve">The Fraser Government increased unemployment payments towards the end of its period in Government, and from 1983 onwards the Hawke Government further increased the lower single rate of unemployment payments relative to pensions, so that by 1989 the lower single rate had reached 93% of the pension. In March 1996, the lower single adult rate of payment was around 92% of the basic rate of pension. Including the supplements available to </w:t>
      </w:r>
      <w:r w:rsidRPr="00D24350">
        <w:rPr>
          <w:lang w:val="en-GB"/>
        </w:rPr>
        <w:lastRenderedPageBreak/>
        <w:t>pensioners but not available to people unemployed, the total payments were about 90% of the support available to pensioners.</w:t>
      </w:r>
      <w:r w:rsidRPr="00D24350">
        <w:rPr>
          <w:rStyle w:val="Superscript"/>
          <w:lang w:val="en-GB"/>
        </w:rPr>
        <w:footnoteReference w:id="16"/>
      </w:r>
    </w:p>
    <w:p w14:paraId="266117E9" w14:textId="77777777" w:rsidR="00D24350" w:rsidRPr="00D24350" w:rsidRDefault="00D24350" w:rsidP="00D24350">
      <w:pPr>
        <w:rPr>
          <w:lang w:val="en-GB"/>
        </w:rPr>
      </w:pPr>
      <w:r w:rsidRPr="00D24350">
        <w:rPr>
          <w:lang w:val="en-GB"/>
        </w:rPr>
        <w:t>In 1997, the Howard Government legislatively “benchmarked” pensions to 25% of MTAWE; this meant that if the price indexation increases in March and September each year left the single rate of pension below this, then it was raised to this level. As the change did not apply to the higher single rate or the partnered rate of allowances for people unemployed, over time a gap developed between pension rate and the partnered and higher single rates of benefit/allowance.</w:t>
      </w:r>
    </w:p>
    <w:p w14:paraId="75DF03D5" w14:textId="04A5F642" w:rsidR="00D24350" w:rsidRPr="00D24350" w:rsidRDefault="00D24350" w:rsidP="00D24350">
      <w:pPr>
        <w:rPr>
          <w:lang w:val="en-GB"/>
        </w:rPr>
      </w:pPr>
      <w:r w:rsidRPr="00D24350">
        <w:rPr>
          <w:lang w:val="en-GB"/>
        </w:rPr>
        <w:t>Figure 10 shows trends in the real gap between income support for a single adult on JobSeeker attracting the lower single rate and the single rate of pension (the maximum basic payment rate plus additional supplements) since the 1990s</w:t>
      </w:r>
      <w:r w:rsidRPr="00F57B7C">
        <w:rPr>
          <w:rStyle w:val="Superscript"/>
        </w:rPr>
        <w:footnoteReference w:id="17"/>
      </w:r>
      <w:r w:rsidRPr="00D24350">
        <w:rPr>
          <w:lang w:val="en-GB"/>
        </w:rPr>
        <w:t xml:space="preserve">. </w:t>
      </w:r>
    </w:p>
    <w:p w14:paraId="07A2F972" w14:textId="77777777" w:rsidR="00D24350" w:rsidRPr="00D24350" w:rsidRDefault="00D24350" w:rsidP="00D24350">
      <w:pPr>
        <w:rPr>
          <w:lang w:val="en-GB"/>
        </w:rPr>
      </w:pPr>
      <w:r w:rsidRPr="00D24350">
        <w:rPr>
          <w:lang w:val="en-GB"/>
        </w:rPr>
        <w:t>At the end of the period of the Keating Government, the gap in basic payment rates for a single recipient without dependents was around $53 per fortnight in current terms and including supplementary payments it was around $69 per fortnight.</w:t>
      </w:r>
    </w:p>
    <w:p w14:paraId="12482FA8" w14:textId="77777777" w:rsidR="00D24350" w:rsidRPr="00D24350" w:rsidRDefault="00D24350" w:rsidP="00D24350">
      <w:pPr>
        <w:rPr>
          <w:lang w:val="en-GB"/>
        </w:rPr>
      </w:pPr>
      <w:r w:rsidRPr="00D24350">
        <w:rPr>
          <w:lang w:val="en-GB"/>
        </w:rPr>
        <w:t>Legislative benchmarking the pension to MTAWE started to have a discernible effect after 1998, so that by early 2000 the lower single unemployment payment was worth around 87% of the support for a pensioner, including supplements. The gap in basic payment rates grew to $78 per fortnight in 2000 and $94 including supplements.</w:t>
      </w:r>
    </w:p>
    <w:p w14:paraId="7658FE12" w14:textId="77777777" w:rsidR="00D24350" w:rsidRPr="00D24350" w:rsidRDefault="00D24350" w:rsidP="00D24350">
      <w:pPr>
        <w:rPr>
          <w:lang w:val="en-GB"/>
        </w:rPr>
      </w:pPr>
      <w:r w:rsidRPr="00D24350">
        <w:rPr>
          <w:lang w:val="en-GB"/>
        </w:rPr>
        <w:t>The gap in basic payment rates appears to slightly narrow in 2000. This was a result of the different approaches taken to compensate social security recipients for the July 2000 introduction of the Goods and Services Tax (GST). Basic rates for people unemployed were increased by 4% on 1 July 2000, but basic payments for pensioners were not indexed. Instead, the Government introduced a new GST supplement, which increased the support package by 4%. The reason for doing this appears to be that the new supplement was indexed in line with changes in the CPI, but was excluded from the wage benchmark, potentially reducing expenditure over the longer term.</w:t>
      </w:r>
    </w:p>
    <w:p w14:paraId="4F17E1AA" w14:textId="77777777" w:rsidR="00D24350" w:rsidRPr="00D24350" w:rsidRDefault="00D24350" w:rsidP="00D24350">
      <w:pPr>
        <w:rPr>
          <w:lang w:val="en-GB"/>
        </w:rPr>
      </w:pPr>
      <w:r w:rsidRPr="00D24350">
        <w:rPr>
          <w:lang w:val="en-GB"/>
        </w:rPr>
        <w:t>Real wage growth was stronger in the 2000s (up until the Global Financial Crisis) so that by 2009 the real gap had increased to $142 per fortnight and $179 per fortnight, including supplements.</w:t>
      </w:r>
    </w:p>
    <w:p w14:paraId="62390A9A" w14:textId="77777777" w:rsidR="00D24350" w:rsidRPr="00D24350" w:rsidRDefault="00D24350" w:rsidP="00D24350">
      <w:pPr>
        <w:rPr>
          <w:lang w:val="en-GB"/>
        </w:rPr>
      </w:pPr>
      <w:r w:rsidRPr="00D24350">
        <w:rPr>
          <w:lang w:val="en-GB"/>
        </w:rPr>
        <w:t>As can be seen in Figure 10, the largest single increase in the gap between payments was in 2009 when the basic gap increased by nearly $90 per fortnight and the total gap by $130 per fortnight. Support for the single adults unemployed on the lower rate fell from 79% to 68% of the support for single Age Pensioners, with the relativity for couples falling from 83 to 81%.</w:t>
      </w:r>
    </w:p>
    <w:p w14:paraId="4158999A" w14:textId="77777777" w:rsidR="00D24350" w:rsidRPr="00D24350" w:rsidRDefault="00D24350" w:rsidP="00D24350">
      <w:pPr>
        <w:rPr>
          <w:lang w:val="en-GB"/>
        </w:rPr>
      </w:pPr>
      <w:r w:rsidRPr="00D24350">
        <w:rPr>
          <w:lang w:val="en-GB"/>
        </w:rPr>
        <w:t>This was the result of the increases in pensions as a result of the implementation of recommendations of the Harmer Review, which had been established in May 2008 by the Minister for Families, Housing, Community Services and Indigenous Affairs, the Hon. Jenny Macklin MP. The terms of reference directed the Review to consider:</w:t>
      </w:r>
    </w:p>
    <w:p w14:paraId="7F0972BF" w14:textId="77777777" w:rsidR="00D24350" w:rsidRPr="00713A82" w:rsidRDefault="00D24350" w:rsidP="00713A82">
      <w:pPr>
        <w:pStyle w:val="ListBullet"/>
      </w:pPr>
      <w:r w:rsidRPr="00713A82">
        <w:t>the appropriate levels of income support and allowances, including the base rate of the pension, with reference to the stated purpose of the payment</w:t>
      </w:r>
    </w:p>
    <w:p w14:paraId="2884065E" w14:textId="77777777" w:rsidR="00D24350" w:rsidRPr="00713A82" w:rsidRDefault="00D24350" w:rsidP="00713A82">
      <w:pPr>
        <w:pStyle w:val="ListBullet"/>
      </w:pPr>
      <w:r w:rsidRPr="00713A82">
        <w:t>the frequency of payments, including the efficacy of lump-sum versus ongoing support</w:t>
      </w:r>
    </w:p>
    <w:p w14:paraId="6BF51D16" w14:textId="77777777" w:rsidR="00D24350" w:rsidRPr="00713A82" w:rsidRDefault="00D24350" w:rsidP="00713A82">
      <w:pPr>
        <w:pStyle w:val="ListBullet"/>
      </w:pPr>
      <w:r w:rsidRPr="00713A82">
        <w:t>the structure and payment of concessions or other entitlements that would improve the financial circumstances and security of carers and older Australians.</w:t>
      </w:r>
    </w:p>
    <w:p w14:paraId="234DFD76" w14:textId="77777777" w:rsidR="00713A82" w:rsidRPr="000540D9" w:rsidRDefault="00713A82" w:rsidP="00713A82">
      <w:pPr>
        <w:pStyle w:val="Heading4"/>
        <w:rPr>
          <w:lang w:val="en-US"/>
        </w:rPr>
      </w:pPr>
      <w:r>
        <w:lastRenderedPageBreak/>
        <w:t>Figure 10: Real Gap (Sep 2023$ per fortnight) between JobSeeker Income Support and Pension Income Support, 1995 to September 2023</w:t>
      </w:r>
    </w:p>
    <w:p w14:paraId="02016379" w14:textId="77777777" w:rsidR="00713A82" w:rsidRDefault="00713A82" w:rsidP="00713A82">
      <w:pPr>
        <w:rPr>
          <w:lang w:val="en-GB"/>
        </w:rPr>
      </w:pPr>
      <w:r>
        <w:rPr>
          <w:noProof/>
          <w:lang w:val="en-GB"/>
        </w:rPr>
        <w:drawing>
          <wp:inline distT="0" distB="0" distL="0" distR="0" wp14:anchorId="7AFBB804" wp14:editId="21688652">
            <wp:extent cx="5219700" cy="2616200"/>
            <wp:effectExtent l="0" t="0" r="0" b="0"/>
            <wp:docPr id="1655274494" name="Picture 7" descr="Figure 10: Real Gap (Sep 2023$ per fortnight) between JobSeeker Income Support and Pension Income Support, 1995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74494" name="Picture 7" descr="Figure 10: Real Gap (Sep 2023$ per fortnight) between JobSeeker Income Support and Pension Income Support, 1995 to September 2023"/>
                    <pic:cNvPicPr/>
                  </pic:nvPicPr>
                  <pic:blipFill>
                    <a:blip r:embed="rId27">
                      <a:extLst>
                        <a:ext uri="{28A0092B-C50C-407E-A947-70E740481C1C}">
                          <a14:useLocalDpi xmlns:a14="http://schemas.microsoft.com/office/drawing/2010/main" val="0"/>
                        </a:ext>
                      </a:extLst>
                    </a:blip>
                    <a:stretch>
                      <a:fillRect/>
                    </a:stretch>
                  </pic:blipFill>
                  <pic:spPr>
                    <a:xfrm>
                      <a:off x="0" y="0"/>
                      <a:ext cx="5219700" cy="2616200"/>
                    </a:xfrm>
                    <a:prstGeom prst="rect">
                      <a:avLst/>
                    </a:prstGeom>
                  </pic:spPr>
                </pic:pic>
              </a:graphicData>
            </a:graphic>
          </wp:inline>
        </w:drawing>
      </w:r>
    </w:p>
    <w:p w14:paraId="0A51D700" w14:textId="77777777" w:rsidR="00713A82" w:rsidRPr="000540D9" w:rsidRDefault="00713A82" w:rsidP="00713A82">
      <w:pPr>
        <w:pStyle w:val="Caption"/>
      </w:pPr>
      <w:r w:rsidRPr="000540D9">
        <w:t xml:space="preserve">Note: The Basic Gap is the difference between the maximum basic payment rates for a Single Adult receiving Newstart/JobSeeker and Single Age Pension; the Total Gap includes the additional supplements paid to pensioners and beneficiaries in different periods. </w:t>
      </w:r>
    </w:p>
    <w:p w14:paraId="00B1DDC5" w14:textId="77777777" w:rsidR="00713A82" w:rsidRPr="000540D9" w:rsidRDefault="00713A82" w:rsidP="00713A82">
      <w:pPr>
        <w:pStyle w:val="Caption"/>
      </w:pPr>
      <w:r w:rsidRPr="000540D9">
        <w:t xml:space="preserve">Source: Daniels, D. (2011) Social security payments for the aged, people with disabilities and carers 1901 to 2010, Parliamentary Library Background note, 21 February 2011, Canberra. </w:t>
      </w:r>
    </w:p>
    <w:p w14:paraId="42956C9A" w14:textId="77777777" w:rsidR="00713A82" w:rsidRPr="000540D9" w:rsidRDefault="00713A82" w:rsidP="00713A82">
      <w:pPr>
        <w:pStyle w:val="Caption"/>
      </w:pPr>
      <w:r w:rsidRPr="000540D9">
        <w:t xml:space="preserve">Ey, C. (2012), Social security payments for the unemployed, the sick and those in special circumstances, 1942 to 2012: a chronology, Parliament of Australia Department of Parliamentary Services, BACKGROUND NOTE 4 December 2012 </w:t>
      </w:r>
    </w:p>
    <w:p w14:paraId="79743AAB" w14:textId="77777777" w:rsidR="00713A82" w:rsidRDefault="00713A82" w:rsidP="00713A82">
      <w:pPr>
        <w:pStyle w:val="Caption"/>
        <w:rPr>
          <w:lang w:val="en-GB"/>
        </w:rPr>
      </w:pPr>
      <w:r>
        <w:t>DSS reference Guide to Historical Rates, https://guides.dss.gov.au/social-security-guide/5/2</w:t>
      </w:r>
    </w:p>
    <w:p w14:paraId="3569C623" w14:textId="77777777" w:rsidR="00D24350" w:rsidRPr="00D24350" w:rsidRDefault="00D24350" w:rsidP="00D24350">
      <w:pPr>
        <w:rPr>
          <w:lang w:val="en-GB"/>
        </w:rPr>
      </w:pPr>
      <w:r w:rsidRPr="00D24350">
        <w:rPr>
          <w:lang w:val="en-GB"/>
        </w:rPr>
        <w:t xml:space="preserve">As noted in the First Report of the Committee, the Harmer Review contains the most comprehensive Australian review of payment adequacy, but it was limited to Age Pensions, DSP, and Carer Payment. </w:t>
      </w:r>
    </w:p>
    <w:p w14:paraId="35E2EAD5" w14:textId="77777777" w:rsidR="00D24350" w:rsidRPr="00D24350" w:rsidRDefault="00D24350" w:rsidP="00D24350">
      <w:pPr>
        <w:rPr>
          <w:lang w:val="en-GB"/>
        </w:rPr>
      </w:pPr>
      <w:r w:rsidRPr="00D24350">
        <w:rPr>
          <w:lang w:val="en-GB"/>
        </w:rPr>
        <w:t>It is worth emphasising that the Harmer Review looked at a range of different measures of adequacy and outcomes, to consider both the adequacy of payments per se and the relativities between households, in particular those living alone and those who are members of couples. The Review also recommended changes in the indexation of payments for pensioners.</w:t>
      </w:r>
    </w:p>
    <w:p w14:paraId="5D57B71B" w14:textId="77777777" w:rsidR="00D24350" w:rsidRPr="00D24350" w:rsidRDefault="00D24350" w:rsidP="00D24350">
      <w:pPr>
        <w:rPr>
          <w:lang w:val="en-GB"/>
        </w:rPr>
      </w:pPr>
      <w:r w:rsidRPr="00D24350">
        <w:rPr>
          <w:lang w:val="en-GB"/>
        </w:rPr>
        <w:t>The package of reforms included a large increase in payments for single pensioners</w:t>
      </w:r>
      <w:r w:rsidRPr="00D24350">
        <w:rPr>
          <w:rStyle w:val="Superscript"/>
          <w:lang w:val="en-GB"/>
        </w:rPr>
        <w:footnoteReference w:id="18"/>
      </w:r>
      <w:r w:rsidRPr="00D24350">
        <w:rPr>
          <w:lang w:val="en-GB"/>
        </w:rPr>
        <w:t xml:space="preserve">, simplification of the supplementary payments, with the Pension Supplement replacing the previous GST Supplement and the Pharmaceutical, Telephone and Utilities Allowances, and a change to indexation. </w:t>
      </w:r>
    </w:p>
    <w:p w14:paraId="09187CD3" w14:textId="77777777" w:rsidR="00D24350" w:rsidRPr="00D24350" w:rsidRDefault="00D24350" w:rsidP="00D24350">
      <w:pPr>
        <w:rPr>
          <w:lang w:val="en-GB"/>
        </w:rPr>
      </w:pPr>
      <w:r w:rsidRPr="00D24350">
        <w:rPr>
          <w:lang w:val="en-GB"/>
        </w:rPr>
        <w:t xml:space="preserve">Pensions (including the Age Pension, Service Pension, DSP and Carer Payment) are now indexed twice each year by the greater of the increase in the CPI or the Pensioner and Beneficiary Living Cost Index (PBLCI). They are then ‘benchmarked’ against a percentage of MTAWE. </w:t>
      </w:r>
    </w:p>
    <w:p w14:paraId="0B79615B" w14:textId="77777777" w:rsidR="00D24350" w:rsidRPr="00D24350" w:rsidRDefault="00D24350" w:rsidP="00D24350">
      <w:pPr>
        <w:rPr>
          <w:lang w:val="en-GB"/>
        </w:rPr>
      </w:pPr>
      <w:r w:rsidRPr="00D24350">
        <w:rPr>
          <w:lang w:val="en-GB"/>
        </w:rPr>
        <w:t xml:space="preserve">The combined couple rate is benchmarked to 41.76% of MTAWE; the single rate of pension is set at 66.33% of the combined couple rate (which is equal to around 27.7% of MTAWE). ‘Benchmarked’ means that after it has been indexed, the combined couple rate is checked to </w:t>
      </w:r>
      <w:r w:rsidRPr="00D24350">
        <w:rPr>
          <w:lang w:val="en-GB"/>
        </w:rPr>
        <w:lastRenderedPageBreak/>
        <w:t>see whether it is equal to or higher than 41.76% of MTAWE. If the rate is lower than this percentage, the rates are increased to the appropriate benchmark level. The combined couple rate of Pension Supplement is indexed to increases in CPI only, with the single rate set at 66.33% of the combined couple rate.</w:t>
      </w:r>
    </w:p>
    <w:p w14:paraId="4A988419" w14:textId="77777777" w:rsidR="00D24350" w:rsidRPr="00D24350" w:rsidRDefault="00D24350" w:rsidP="00D24350">
      <w:pPr>
        <w:rPr>
          <w:lang w:val="en-GB"/>
        </w:rPr>
      </w:pPr>
      <w:r w:rsidRPr="00D24350">
        <w:rPr>
          <w:lang w:val="en-GB"/>
        </w:rPr>
        <w:t>As a result of these changes, the gap continued to increase until recently so that by early 2020, the basic payment gap was more than $340 per fortnight and the total gap was nearly $430 per fortnight.</w:t>
      </w:r>
    </w:p>
    <w:p w14:paraId="58109B15" w14:textId="77777777" w:rsidR="00D24350" w:rsidRPr="00D24350" w:rsidRDefault="00D24350" w:rsidP="00D24350">
      <w:pPr>
        <w:rPr>
          <w:lang w:val="en-GB"/>
        </w:rPr>
      </w:pPr>
      <w:r w:rsidRPr="00D24350">
        <w:rPr>
          <w:lang w:val="en-GB"/>
        </w:rPr>
        <w:t xml:space="preserve">The introduction of the temporary Coronavirus Supplement raised the rate of JobSeeker Payment to above the Age Pension for a short period, but in March 2021 the gap had returned to its previous levels. </w:t>
      </w:r>
    </w:p>
    <w:p w14:paraId="101A52F8" w14:textId="77777777" w:rsidR="00D24350" w:rsidRPr="00D24350" w:rsidRDefault="00D24350" w:rsidP="00D24350">
      <w:pPr>
        <w:rPr>
          <w:lang w:val="en-GB"/>
        </w:rPr>
      </w:pPr>
      <w:r w:rsidRPr="00D24350">
        <w:rPr>
          <w:lang w:val="en-GB"/>
        </w:rPr>
        <w:t>In April 2021, the Morrison Government increased payment rates so that the gaps fell by nearly $60 per fortnight in current terms, with the increase in September 2023 reducing the gap to $253.30 per fortnight for basic payment rates and $339 per fortnight including supplements.</w:t>
      </w:r>
      <w:r w:rsidRPr="00D24350">
        <w:rPr>
          <w:rStyle w:val="Superscript"/>
          <w:lang w:val="en-GB"/>
        </w:rPr>
        <w:footnoteReference w:id="19"/>
      </w:r>
    </w:p>
    <w:p w14:paraId="5CED9B81" w14:textId="77777777" w:rsidR="00D24350" w:rsidRPr="00D24350" w:rsidRDefault="00D24350" w:rsidP="00D24350">
      <w:pPr>
        <w:rPr>
          <w:lang w:val="en-GB"/>
        </w:rPr>
      </w:pPr>
      <w:r w:rsidRPr="00D24350">
        <w:rPr>
          <w:lang w:val="en-GB"/>
        </w:rPr>
        <w:t xml:space="preserve">In summary, the gap between total payment rates for those receiving JobSeeker Payments and pensions has widened over the past 30 years, mainly as a result of deliberate policy choices to improve support for pensioners – and more recently, has narrowed with policy decisions to improve support for people who are unemployed. </w:t>
      </w:r>
    </w:p>
    <w:p w14:paraId="22739289" w14:textId="392A91A7" w:rsidR="00D24350" w:rsidRPr="00D24350" w:rsidRDefault="00D24350" w:rsidP="00D24350">
      <w:pPr>
        <w:rPr>
          <w:lang w:val="en-GB"/>
        </w:rPr>
      </w:pPr>
      <w:r w:rsidRPr="00D24350">
        <w:rPr>
          <w:lang w:val="en-GB"/>
        </w:rPr>
        <w:t>Table 6 shows an estimate of how the real level of the differences in support packages has evolved since 1997, when the legislated benchmarking to MTAWE commenced, and the current situation.</w:t>
      </w:r>
    </w:p>
    <w:p w14:paraId="341320CF" w14:textId="4D8AA50D" w:rsidR="00D24350" w:rsidRPr="00D24350" w:rsidRDefault="00D24350" w:rsidP="00D24350">
      <w:pPr>
        <w:rPr>
          <w:lang w:val="en-GB"/>
        </w:rPr>
      </w:pPr>
      <w:r w:rsidRPr="00D24350">
        <w:rPr>
          <w:lang w:val="en-GB"/>
        </w:rPr>
        <w:t>The largest single change related to the implementation of the Harmer Review recommendations to improve the adequacy of pensions, when the difference in support packages for single adults increased by more than $130 a fortnight, comprising an increase of $89 in the difference in basic payments rates and nearly $44 in fortnightly supplements.</w:t>
      </w:r>
    </w:p>
    <w:p w14:paraId="5CDE687C" w14:textId="729702B8" w:rsidR="00D24350" w:rsidRDefault="00D24350" w:rsidP="00D24350">
      <w:pPr>
        <w:rPr>
          <w:lang w:val="en-GB"/>
        </w:rPr>
      </w:pPr>
      <w:r w:rsidRPr="00D24350">
        <w:rPr>
          <w:lang w:val="en-GB"/>
        </w:rPr>
        <w:t>However, indexation and benchmarking – which are policy choices – also play an important role. Benchmarking to wages saw the differences in real basic support increase by $90 per fortnight between July 2000 and May 2009. The real increase in the difference in support packages was nearly $113 a fortnight between September 2009 and September 2020. It can be roughly calculated that around 60% of the gap in support packages at its peak was a consequence of the benchmarking of pensions to MTAWE.</w:t>
      </w:r>
    </w:p>
    <w:p w14:paraId="15059E96" w14:textId="77777777" w:rsidR="00713A82" w:rsidRDefault="00713A82" w:rsidP="00713A82">
      <w:pPr>
        <w:pStyle w:val="Heading4"/>
      </w:pPr>
      <w:r>
        <w:t>Table 6: Changes in differences in real values of components of income support packages for people receiving JobSeeker and pensioners, September 1997 to September 2023 (September 2023$ per fortnight)</w:t>
      </w:r>
    </w:p>
    <w:tbl>
      <w:tblPr>
        <w:tblStyle w:val="TableGrid"/>
        <w:tblW w:w="0" w:type="auto"/>
        <w:tblLook w:val="04A0" w:firstRow="1" w:lastRow="0" w:firstColumn="1" w:lastColumn="0" w:noHBand="0" w:noVBand="1"/>
      </w:tblPr>
      <w:tblGrid>
        <w:gridCol w:w="1051"/>
        <w:gridCol w:w="1125"/>
        <w:gridCol w:w="1261"/>
        <w:gridCol w:w="1598"/>
        <w:gridCol w:w="1125"/>
        <w:gridCol w:w="1258"/>
        <w:gridCol w:w="1598"/>
      </w:tblGrid>
      <w:tr w:rsidR="00713A82" w:rsidRPr="00D737F8" w14:paraId="1F7667A2" w14:textId="77777777" w:rsidTr="00237808">
        <w:trPr>
          <w:cnfStyle w:val="100000000000" w:firstRow="1" w:lastRow="0" w:firstColumn="0" w:lastColumn="0" w:oddVBand="0" w:evenVBand="0" w:oddHBand="0" w:evenHBand="0" w:firstRowFirstColumn="0" w:firstRowLastColumn="0" w:lastRowFirstColumn="0" w:lastRowLastColumn="0"/>
        </w:trPr>
        <w:tc>
          <w:tcPr>
            <w:tcW w:w="1051" w:type="dxa"/>
          </w:tcPr>
          <w:p w14:paraId="13A1AEA5" w14:textId="77777777" w:rsidR="00713A82" w:rsidRPr="009F5B82" w:rsidRDefault="00713A82" w:rsidP="00237808">
            <w:pPr>
              <w:rPr>
                <w:color w:val="FFFFFF" w:themeColor="background1"/>
              </w:rPr>
            </w:pPr>
            <w:bookmarkStart w:id="22" w:name="ColumnTitle_Table6"/>
            <w:bookmarkEnd w:id="22"/>
          </w:p>
        </w:tc>
        <w:tc>
          <w:tcPr>
            <w:tcW w:w="3984" w:type="dxa"/>
            <w:gridSpan w:val="3"/>
          </w:tcPr>
          <w:p w14:paraId="3CB5B4BA" w14:textId="77777777" w:rsidR="00713A82" w:rsidRPr="009F5B82" w:rsidRDefault="00713A82" w:rsidP="00237808">
            <w:pPr>
              <w:rPr>
                <w:color w:val="FFFFFF" w:themeColor="background1"/>
              </w:rPr>
            </w:pPr>
            <w:r w:rsidRPr="009F5B82">
              <w:rPr>
                <w:color w:val="FFFFFF" w:themeColor="background1"/>
              </w:rPr>
              <w:t>Differences in support at chosen dates</w:t>
            </w:r>
          </w:p>
        </w:tc>
        <w:tc>
          <w:tcPr>
            <w:tcW w:w="3981" w:type="dxa"/>
            <w:gridSpan w:val="3"/>
          </w:tcPr>
          <w:p w14:paraId="21E313AC" w14:textId="77777777" w:rsidR="00713A82" w:rsidRPr="009F5B82" w:rsidRDefault="00713A82" w:rsidP="00237808">
            <w:pPr>
              <w:rPr>
                <w:color w:val="FFFFFF" w:themeColor="background1"/>
              </w:rPr>
            </w:pPr>
            <w:r w:rsidRPr="009F5B82">
              <w:rPr>
                <w:color w:val="FFFFFF" w:themeColor="background1"/>
              </w:rPr>
              <w:t>Change in differences in support from previous date</w:t>
            </w:r>
          </w:p>
        </w:tc>
      </w:tr>
      <w:tr w:rsidR="00713A82" w:rsidRPr="00D737F8" w14:paraId="17C2EA62"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1C726388" w14:textId="77777777" w:rsidR="00713A82" w:rsidRPr="00D737F8" w:rsidRDefault="00713A82" w:rsidP="00237808"/>
        </w:tc>
        <w:tc>
          <w:tcPr>
            <w:tcW w:w="1125" w:type="dxa"/>
            <w:vAlign w:val="center"/>
          </w:tcPr>
          <w:p w14:paraId="6B611C4A" w14:textId="77777777" w:rsidR="00713A82" w:rsidRPr="00D737F8" w:rsidRDefault="00713A82" w:rsidP="00237808">
            <w:pPr>
              <w:rPr>
                <w:b/>
                <w:bCs/>
              </w:rPr>
            </w:pPr>
            <w:r w:rsidRPr="00D737F8">
              <w:rPr>
                <w:b/>
                <w:bCs/>
              </w:rPr>
              <w:t>Total</w:t>
            </w:r>
          </w:p>
        </w:tc>
        <w:tc>
          <w:tcPr>
            <w:tcW w:w="1261" w:type="dxa"/>
            <w:vAlign w:val="center"/>
          </w:tcPr>
          <w:p w14:paraId="07873274" w14:textId="77777777" w:rsidR="00713A82" w:rsidRPr="00D737F8" w:rsidRDefault="00713A82" w:rsidP="00237808">
            <w:pPr>
              <w:rPr>
                <w:b/>
                <w:bCs/>
              </w:rPr>
            </w:pPr>
            <w:r w:rsidRPr="00D737F8">
              <w:rPr>
                <w:b/>
                <w:bCs/>
              </w:rPr>
              <w:t>Basic Payments</w:t>
            </w:r>
          </w:p>
        </w:tc>
        <w:tc>
          <w:tcPr>
            <w:tcW w:w="1598" w:type="dxa"/>
            <w:vAlign w:val="center"/>
          </w:tcPr>
          <w:p w14:paraId="68A75172" w14:textId="77777777" w:rsidR="00713A82" w:rsidRPr="00D737F8" w:rsidRDefault="00713A82" w:rsidP="00237808">
            <w:pPr>
              <w:rPr>
                <w:b/>
                <w:bCs/>
              </w:rPr>
            </w:pPr>
            <w:r w:rsidRPr="00D737F8">
              <w:rPr>
                <w:b/>
                <w:bCs/>
              </w:rPr>
              <w:t>Supplements</w:t>
            </w:r>
          </w:p>
        </w:tc>
        <w:tc>
          <w:tcPr>
            <w:tcW w:w="1125" w:type="dxa"/>
            <w:vAlign w:val="center"/>
          </w:tcPr>
          <w:p w14:paraId="75EC834A" w14:textId="77777777" w:rsidR="00713A82" w:rsidRPr="00D737F8" w:rsidRDefault="00713A82" w:rsidP="00237808">
            <w:pPr>
              <w:rPr>
                <w:b/>
                <w:bCs/>
              </w:rPr>
            </w:pPr>
            <w:r w:rsidRPr="00D737F8">
              <w:rPr>
                <w:b/>
                <w:bCs/>
              </w:rPr>
              <w:t>Total</w:t>
            </w:r>
          </w:p>
        </w:tc>
        <w:tc>
          <w:tcPr>
            <w:tcW w:w="1258" w:type="dxa"/>
            <w:vAlign w:val="center"/>
          </w:tcPr>
          <w:p w14:paraId="0D7597E9" w14:textId="77777777" w:rsidR="00713A82" w:rsidRPr="00D737F8" w:rsidRDefault="00713A82" w:rsidP="00237808">
            <w:pPr>
              <w:rPr>
                <w:b/>
                <w:bCs/>
              </w:rPr>
            </w:pPr>
            <w:r w:rsidRPr="00D737F8">
              <w:rPr>
                <w:b/>
                <w:bCs/>
              </w:rPr>
              <w:t>Basic payments</w:t>
            </w:r>
          </w:p>
        </w:tc>
        <w:tc>
          <w:tcPr>
            <w:tcW w:w="1598" w:type="dxa"/>
            <w:vAlign w:val="center"/>
          </w:tcPr>
          <w:p w14:paraId="73517A04" w14:textId="77777777" w:rsidR="00713A82" w:rsidRPr="00D737F8" w:rsidRDefault="00713A82" w:rsidP="00237808">
            <w:pPr>
              <w:rPr>
                <w:b/>
                <w:bCs/>
              </w:rPr>
            </w:pPr>
            <w:r w:rsidRPr="00D737F8">
              <w:rPr>
                <w:b/>
                <w:bCs/>
              </w:rPr>
              <w:t>Supplements</w:t>
            </w:r>
          </w:p>
        </w:tc>
      </w:tr>
      <w:tr w:rsidR="00713A82" w:rsidRPr="00D737F8" w14:paraId="7DB37697" w14:textId="77777777" w:rsidTr="00237808">
        <w:tc>
          <w:tcPr>
            <w:tcW w:w="1051" w:type="dxa"/>
            <w:vAlign w:val="center"/>
          </w:tcPr>
          <w:p w14:paraId="2BA67FE7" w14:textId="77777777" w:rsidR="00713A82" w:rsidRPr="00D737F8" w:rsidRDefault="00713A82" w:rsidP="00237808">
            <w:r w:rsidRPr="00D737F8">
              <w:t>Sep-97</w:t>
            </w:r>
          </w:p>
        </w:tc>
        <w:tc>
          <w:tcPr>
            <w:tcW w:w="1125" w:type="dxa"/>
            <w:vAlign w:val="center"/>
          </w:tcPr>
          <w:p w14:paraId="2D8593A4" w14:textId="77777777" w:rsidR="00713A82" w:rsidRPr="00D737F8" w:rsidRDefault="00713A82" w:rsidP="00237808">
            <w:r w:rsidRPr="00D737F8">
              <w:t>69.28</w:t>
            </w:r>
          </w:p>
        </w:tc>
        <w:tc>
          <w:tcPr>
            <w:tcW w:w="1261" w:type="dxa"/>
            <w:vAlign w:val="center"/>
          </w:tcPr>
          <w:p w14:paraId="787DC26E" w14:textId="77777777" w:rsidR="00713A82" w:rsidRPr="00D737F8" w:rsidRDefault="00713A82" w:rsidP="00237808">
            <w:r w:rsidRPr="00D737F8">
              <w:t>53.43</w:t>
            </w:r>
          </w:p>
        </w:tc>
        <w:tc>
          <w:tcPr>
            <w:tcW w:w="1598" w:type="dxa"/>
            <w:vAlign w:val="center"/>
          </w:tcPr>
          <w:p w14:paraId="0B98FD96" w14:textId="77777777" w:rsidR="00713A82" w:rsidRPr="00D737F8" w:rsidRDefault="00713A82" w:rsidP="00237808">
            <w:r w:rsidRPr="00D737F8">
              <w:t>15.85</w:t>
            </w:r>
          </w:p>
        </w:tc>
        <w:tc>
          <w:tcPr>
            <w:tcW w:w="1125" w:type="dxa"/>
            <w:vAlign w:val="center"/>
          </w:tcPr>
          <w:p w14:paraId="07450E21" w14:textId="77777777" w:rsidR="00713A82" w:rsidRPr="00D737F8" w:rsidRDefault="00713A82" w:rsidP="00237808"/>
        </w:tc>
        <w:tc>
          <w:tcPr>
            <w:tcW w:w="1258" w:type="dxa"/>
            <w:vAlign w:val="center"/>
          </w:tcPr>
          <w:p w14:paraId="7F3BC906" w14:textId="77777777" w:rsidR="00713A82" w:rsidRPr="00D737F8" w:rsidRDefault="00713A82" w:rsidP="00237808"/>
        </w:tc>
        <w:tc>
          <w:tcPr>
            <w:tcW w:w="1598" w:type="dxa"/>
            <w:vAlign w:val="center"/>
          </w:tcPr>
          <w:p w14:paraId="339BDE7F" w14:textId="77777777" w:rsidR="00713A82" w:rsidRPr="00D737F8" w:rsidRDefault="00713A82" w:rsidP="00237808"/>
        </w:tc>
      </w:tr>
      <w:tr w:rsidR="00713A82" w:rsidRPr="00D737F8" w14:paraId="6E67F78D"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68D9717E" w14:textId="77777777" w:rsidR="00713A82" w:rsidRPr="00D737F8" w:rsidRDefault="00713A82" w:rsidP="00237808">
            <w:r w:rsidRPr="00D737F8">
              <w:t>Jul-00</w:t>
            </w:r>
          </w:p>
        </w:tc>
        <w:tc>
          <w:tcPr>
            <w:tcW w:w="1125" w:type="dxa"/>
            <w:vAlign w:val="center"/>
          </w:tcPr>
          <w:p w14:paraId="78E3EB87" w14:textId="77777777" w:rsidR="00713A82" w:rsidRPr="00D737F8" w:rsidRDefault="00713A82" w:rsidP="00237808">
            <w:r w:rsidRPr="00D737F8">
              <w:t>96.66</w:t>
            </w:r>
          </w:p>
        </w:tc>
        <w:tc>
          <w:tcPr>
            <w:tcW w:w="1261" w:type="dxa"/>
            <w:vAlign w:val="center"/>
          </w:tcPr>
          <w:p w14:paraId="5ACF8471" w14:textId="77777777" w:rsidR="00713A82" w:rsidRPr="00D737F8" w:rsidRDefault="00713A82" w:rsidP="00237808">
            <w:r w:rsidRPr="00D737F8">
              <w:t>52.53</w:t>
            </w:r>
          </w:p>
        </w:tc>
        <w:tc>
          <w:tcPr>
            <w:tcW w:w="1598" w:type="dxa"/>
            <w:vAlign w:val="center"/>
          </w:tcPr>
          <w:p w14:paraId="6618BA31" w14:textId="77777777" w:rsidR="00713A82" w:rsidRPr="00D737F8" w:rsidRDefault="00713A82" w:rsidP="00237808">
            <w:r w:rsidRPr="00D737F8">
              <w:t>44.75</w:t>
            </w:r>
          </w:p>
        </w:tc>
        <w:tc>
          <w:tcPr>
            <w:tcW w:w="1125" w:type="dxa"/>
            <w:vAlign w:val="center"/>
          </w:tcPr>
          <w:p w14:paraId="5DABCD27" w14:textId="77777777" w:rsidR="00713A82" w:rsidRPr="00D737F8" w:rsidRDefault="00713A82" w:rsidP="00237808">
            <w:r w:rsidRPr="00D737F8">
              <w:t>28.08</w:t>
            </w:r>
          </w:p>
        </w:tc>
        <w:tc>
          <w:tcPr>
            <w:tcW w:w="1258" w:type="dxa"/>
            <w:vAlign w:val="center"/>
          </w:tcPr>
          <w:p w14:paraId="22EA4BD4" w14:textId="77777777" w:rsidR="00713A82" w:rsidRPr="00D737F8" w:rsidRDefault="00713A82" w:rsidP="00237808">
            <w:r w:rsidRPr="00D737F8">
              <w:t>-0.82</w:t>
            </w:r>
          </w:p>
        </w:tc>
        <w:tc>
          <w:tcPr>
            <w:tcW w:w="1598" w:type="dxa"/>
            <w:vAlign w:val="center"/>
          </w:tcPr>
          <w:p w14:paraId="116BC4C2" w14:textId="77777777" w:rsidR="00713A82" w:rsidRPr="00D737F8" w:rsidRDefault="00713A82" w:rsidP="00237808">
            <w:r w:rsidRPr="00D737F8">
              <w:t>28.90</w:t>
            </w:r>
          </w:p>
        </w:tc>
      </w:tr>
      <w:tr w:rsidR="00713A82" w:rsidRPr="00D737F8" w14:paraId="7E8C1D58" w14:textId="77777777" w:rsidTr="00237808">
        <w:tc>
          <w:tcPr>
            <w:tcW w:w="1051" w:type="dxa"/>
            <w:vAlign w:val="center"/>
          </w:tcPr>
          <w:p w14:paraId="2590DB74" w14:textId="77777777" w:rsidR="00713A82" w:rsidRPr="00D737F8" w:rsidRDefault="00713A82" w:rsidP="00237808">
            <w:r w:rsidRPr="00D737F8">
              <w:t>May-09</w:t>
            </w:r>
          </w:p>
        </w:tc>
        <w:tc>
          <w:tcPr>
            <w:tcW w:w="1125" w:type="dxa"/>
            <w:vAlign w:val="center"/>
          </w:tcPr>
          <w:p w14:paraId="413FB4F3" w14:textId="77777777" w:rsidR="00713A82" w:rsidRPr="00D737F8" w:rsidRDefault="00713A82" w:rsidP="00237808">
            <w:r w:rsidRPr="00D737F8">
              <w:t>213.54</w:t>
            </w:r>
          </w:p>
        </w:tc>
        <w:tc>
          <w:tcPr>
            <w:tcW w:w="1261" w:type="dxa"/>
            <w:vAlign w:val="center"/>
          </w:tcPr>
          <w:p w14:paraId="440DB6E1" w14:textId="77777777" w:rsidR="00713A82" w:rsidRPr="00D737F8" w:rsidRDefault="00713A82" w:rsidP="00237808">
            <w:r w:rsidRPr="00D737F8">
              <w:t>141.88</w:t>
            </w:r>
          </w:p>
        </w:tc>
        <w:tc>
          <w:tcPr>
            <w:tcW w:w="1598" w:type="dxa"/>
            <w:vAlign w:val="center"/>
          </w:tcPr>
          <w:p w14:paraId="5D2D9F17" w14:textId="77777777" w:rsidR="00713A82" w:rsidRPr="00D737F8" w:rsidRDefault="00713A82" w:rsidP="00237808">
            <w:r w:rsidRPr="00D737F8">
              <w:t>71.66</w:t>
            </w:r>
          </w:p>
        </w:tc>
        <w:tc>
          <w:tcPr>
            <w:tcW w:w="1125" w:type="dxa"/>
            <w:vAlign w:val="center"/>
          </w:tcPr>
          <w:p w14:paraId="3A3D2EE4" w14:textId="77777777" w:rsidR="00713A82" w:rsidRPr="00D737F8" w:rsidRDefault="00713A82" w:rsidP="00237808">
            <w:r w:rsidRPr="00D737F8">
              <w:t>81.82</w:t>
            </w:r>
          </w:p>
        </w:tc>
        <w:tc>
          <w:tcPr>
            <w:tcW w:w="1258" w:type="dxa"/>
            <w:vAlign w:val="center"/>
          </w:tcPr>
          <w:p w14:paraId="583CAC21" w14:textId="77777777" w:rsidR="00713A82" w:rsidRPr="00D737F8" w:rsidRDefault="00713A82" w:rsidP="00237808">
            <w:r w:rsidRPr="00D737F8">
              <w:t>89.27</w:t>
            </w:r>
          </w:p>
        </w:tc>
        <w:tc>
          <w:tcPr>
            <w:tcW w:w="1598" w:type="dxa"/>
            <w:vAlign w:val="center"/>
          </w:tcPr>
          <w:p w14:paraId="2AA45CE2" w14:textId="77777777" w:rsidR="00713A82" w:rsidRPr="00D737F8" w:rsidRDefault="00713A82" w:rsidP="00237808">
            <w:r w:rsidRPr="00D737F8">
              <w:t>-7.45</w:t>
            </w:r>
          </w:p>
        </w:tc>
      </w:tr>
      <w:tr w:rsidR="00713A82" w:rsidRPr="00D737F8" w14:paraId="105AB8C9"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604EB19A" w14:textId="77777777" w:rsidR="00713A82" w:rsidRPr="00D737F8" w:rsidRDefault="00713A82" w:rsidP="00237808">
            <w:r w:rsidRPr="00D737F8">
              <w:t>Sep-09</w:t>
            </w:r>
          </w:p>
        </w:tc>
        <w:tc>
          <w:tcPr>
            <w:tcW w:w="1125" w:type="dxa"/>
            <w:vAlign w:val="center"/>
          </w:tcPr>
          <w:p w14:paraId="46004BB8" w14:textId="77777777" w:rsidR="00713A82" w:rsidRPr="00D737F8" w:rsidRDefault="00713A82" w:rsidP="00237808">
            <w:r w:rsidRPr="00D737F8">
              <w:t>311.42</w:t>
            </w:r>
          </w:p>
        </w:tc>
        <w:tc>
          <w:tcPr>
            <w:tcW w:w="1261" w:type="dxa"/>
            <w:vAlign w:val="center"/>
          </w:tcPr>
          <w:p w14:paraId="1465A577" w14:textId="77777777" w:rsidR="00713A82" w:rsidRPr="00D737F8" w:rsidRDefault="00713A82" w:rsidP="00237808">
            <w:r w:rsidRPr="00D737F8">
              <w:t>230.50</w:t>
            </w:r>
          </w:p>
        </w:tc>
        <w:tc>
          <w:tcPr>
            <w:tcW w:w="1598" w:type="dxa"/>
            <w:vAlign w:val="center"/>
          </w:tcPr>
          <w:p w14:paraId="1A8994FC" w14:textId="77777777" w:rsidR="00713A82" w:rsidRPr="00D737F8" w:rsidRDefault="00713A82" w:rsidP="00237808">
            <w:r w:rsidRPr="00D737F8">
              <w:t>80.92</w:t>
            </w:r>
          </w:p>
        </w:tc>
        <w:tc>
          <w:tcPr>
            <w:tcW w:w="1125" w:type="dxa"/>
            <w:vAlign w:val="center"/>
          </w:tcPr>
          <w:p w14:paraId="2B25375A" w14:textId="77777777" w:rsidR="00713A82" w:rsidRPr="00D737F8" w:rsidRDefault="00713A82" w:rsidP="00237808">
            <w:r w:rsidRPr="00D737F8">
              <w:t>132.24</w:t>
            </w:r>
          </w:p>
        </w:tc>
        <w:tc>
          <w:tcPr>
            <w:tcW w:w="1258" w:type="dxa"/>
            <w:vAlign w:val="center"/>
          </w:tcPr>
          <w:p w14:paraId="4DC94D30" w14:textId="77777777" w:rsidR="00713A82" w:rsidRPr="00D737F8" w:rsidRDefault="00713A82" w:rsidP="00237808">
            <w:r w:rsidRPr="00D737F8">
              <w:t>88.62</w:t>
            </w:r>
          </w:p>
        </w:tc>
        <w:tc>
          <w:tcPr>
            <w:tcW w:w="1598" w:type="dxa"/>
            <w:vAlign w:val="center"/>
          </w:tcPr>
          <w:p w14:paraId="3EA30DF1" w14:textId="77777777" w:rsidR="00713A82" w:rsidRPr="00D737F8" w:rsidRDefault="00713A82" w:rsidP="00237808">
            <w:r w:rsidRPr="00D737F8">
              <w:t>43.62</w:t>
            </w:r>
          </w:p>
        </w:tc>
      </w:tr>
      <w:tr w:rsidR="00713A82" w:rsidRPr="00D737F8" w14:paraId="53509CAC" w14:textId="77777777" w:rsidTr="00237808">
        <w:tc>
          <w:tcPr>
            <w:tcW w:w="1051" w:type="dxa"/>
            <w:vAlign w:val="center"/>
          </w:tcPr>
          <w:p w14:paraId="036FAF85" w14:textId="77777777" w:rsidR="00713A82" w:rsidRPr="00D737F8" w:rsidRDefault="00713A82" w:rsidP="00237808">
            <w:r w:rsidRPr="00D737F8">
              <w:t>Sep-20</w:t>
            </w:r>
          </w:p>
        </w:tc>
        <w:tc>
          <w:tcPr>
            <w:tcW w:w="1125" w:type="dxa"/>
            <w:vAlign w:val="center"/>
          </w:tcPr>
          <w:p w14:paraId="6EAD3324" w14:textId="77777777" w:rsidR="00713A82" w:rsidRPr="00D737F8" w:rsidRDefault="00713A82" w:rsidP="00237808">
            <w:r w:rsidRPr="00D737F8">
              <w:t>430.58</w:t>
            </w:r>
          </w:p>
        </w:tc>
        <w:tc>
          <w:tcPr>
            <w:tcW w:w="1261" w:type="dxa"/>
            <w:vAlign w:val="center"/>
          </w:tcPr>
          <w:p w14:paraId="058FE444" w14:textId="77777777" w:rsidR="00713A82" w:rsidRPr="00D737F8" w:rsidRDefault="00713A82" w:rsidP="00237808">
            <w:r w:rsidRPr="00D737F8">
              <w:t>343.37</w:t>
            </w:r>
          </w:p>
        </w:tc>
        <w:tc>
          <w:tcPr>
            <w:tcW w:w="1598" w:type="dxa"/>
            <w:vAlign w:val="center"/>
          </w:tcPr>
          <w:p w14:paraId="7C34C5AA" w14:textId="77777777" w:rsidR="00713A82" w:rsidRPr="00D737F8" w:rsidRDefault="00713A82" w:rsidP="00237808">
            <w:r w:rsidRPr="00D737F8">
              <w:t>86.75</w:t>
            </w:r>
          </w:p>
        </w:tc>
        <w:tc>
          <w:tcPr>
            <w:tcW w:w="1125" w:type="dxa"/>
            <w:vAlign w:val="center"/>
          </w:tcPr>
          <w:p w14:paraId="0F8FF71B" w14:textId="77777777" w:rsidR="00713A82" w:rsidRPr="00D737F8" w:rsidRDefault="00713A82" w:rsidP="00237808">
            <w:r w:rsidRPr="00D737F8">
              <w:t>116.74</w:t>
            </w:r>
          </w:p>
        </w:tc>
        <w:tc>
          <w:tcPr>
            <w:tcW w:w="1258" w:type="dxa"/>
            <w:vAlign w:val="center"/>
          </w:tcPr>
          <w:p w14:paraId="21079350" w14:textId="77777777" w:rsidR="00713A82" w:rsidRPr="00D737F8" w:rsidRDefault="00713A82" w:rsidP="00237808">
            <w:r w:rsidRPr="00D737F8">
              <w:t>110.91</w:t>
            </w:r>
          </w:p>
        </w:tc>
        <w:tc>
          <w:tcPr>
            <w:tcW w:w="1598" w:type="dxa"/>
            <w:vAlign w:val="center"/>
          </w:tcPr>
          <w:p w14:paraId="3AAB28FF" w14:textId="77777777" w:rsidR="00713A82" w:rsidRPr="00D737F8" w:rsidRDefault="00713A82" w:rsidP="00237808">
            <w:r w:rsidRPr="00D737F8">
              <w:t>5.83</w:t>
            </w:r>
          </w:p>
        </w:tc>
      </w:tr>
      <w:tr w:rsidR="00713A82" w:rsidRPr="00D737F8" w14:paraId="711DDDD4" w14:textId="77777777" w:rsidTr="00237808">
        <w:trPr>
          <w:cnfStyle w:val="000000100000" w:firstRow="0" w:lastRow="0" w:firstColumn="0" w:lastColumn="0" w:oddVBand="0" w:evenVBand="0" w:oddHBand="1" w:evenHBand="0" w:firstRowFirstColumn="0" w:firstRowLastColumn="0" w:lastRowFirstColumn="0" w:lastRowLastColumn="0"/>
        </w:trPr>
        <w:tc>
          <w:tcPr>
            <w:tcW w:w="1051" w:type="dxa"/>
            <w:vAlign w:val="center"/>
          </w:tcPr>
          <w:p w14:paraId="56974AC0" w14:textId="77777777" w:rsidR="00713A82" w:rsidRPr="00D737F8" w:rsidRDefault="00713A82" w:rsidP="00237808">
            <w:r w:rsidRPr="00D737F8">
              <w:lastRenderedPageBreak/>
              <w:t>Sep-23</w:t>
            </w:r>
          </w:p>
        </w:tc>
        <w:tc>
          <w:tcPr>
            <w:tcW w:w="1125" w:type="dxa"/>
            <w:vAlign w:val="center"/>
          </w:tcPr>
          <w:p w14:paraId="051B808B" w14:textId="77777777" w:rsidR="00713A82" w:rsidRPr="00D737F8" w:rsidRDefault="00713A82" w:rsidP="00237808">
            <w:r w:rsidRPr="00D737F8">
              <w:t>338.70</w:t>
            </w:r>
          </w:p>
        </w:tc>
        <w:tc>
          <w:tcPr>
            <w:tcW w:w="1261" w:type="dxa"/>
            <w:vAlign w:val="center"/>
          </w:tcPr>
          <w:p w14:paraId="0B1F1157" w14:textId="77777777" w:rsidR="00713A82" w:rsidRPr="00D737F8" w:rsidRDefault="00713A82" w:rsidP="00237808">
            <w:r w:rsidRPr="00D737F8">
              <w:t>253.30</w:t>
            </w:r>
          </w:p>
        </w:tc>
        <w:tc>
          <w:tcPr>
            <w:tcW w:w="1598" w:type="dxa"/>
            <w:vAlign w:val="center"/>
          </w:tcPr>
          <w:p w14:paraId="41E8FCF7" w14:textId="77777777" w:rsidR="00713A82" w:rsidRPr="00D737F8" w:rsidRDefault="00713A82" w:rsidP="00237808">
            <w:r w:rsidRPr="00D737F8">
              <w:t>85.40</w:t>
            </w:r>
          </w:p>
        </w:tc>
        <w:tc>
          <w:tcPr>
            <w:tcW w:w="1125" w:type="dxa"/>
            <w:vAlign w:val="center"/>
          </w:tcPr>
          <w:p w14:paraId="223D58B6" w14:textId="77777777" w:rsidR="00713A82" w:rsidRPr="00D737F8" w:rsidRDefault="00713A82" w:rsidP="00237808">
            <w:r w:rsidRPr="00D737F8">
              <w:t>-89.46</w:t>
            </w:r>
          </w:p>
        </w:tc>
        <w:tc>
          <w:tcPr>
            <w:tcW w:w="1258" w:type="dxa"/>
            <w:vAlign w:val="center"/>
          </w:tcPr>
          <w:p w14:paraId="268114D0" w14:textId="77777777" w:rsidR="00713A82" w:rsidRPr="00D737F8" w:rsidRDefault="00713A82" w:rsidP="00237808">
            <w:r w:rsidRPr="00D737F8">
              <w:t>-88.11</w:t>
            </w:r>
          </w:p>
        </w:tc>
        <w:tc>
          <w:tcPr>
            <w:tcW w:w="1598" w:type="dxa"/>
            <w:vAlign w:val="center"/>
          </w:tcPr>
          <w:p w14:paraId="4108291C" w14:textId="77777777" w:rsidR="00713A82" w:rsidRPr="00D737F8" w:rsidRDefault="00713A82" w:rsidP="00237808">
            <w:r w:rsidRPr="00D737F8">
              <w:t>-1.35</w:t>
            </w:r>
          </w:p>
        </w:tc>
      </w:tr>
    </w:tbl>
    <w:p w14:paraId="21D3F2DF" w14:textId="77777777" w:rsidR="00713A82" w:rsidRDefault="00713A82" w:rsidP="00713A82">
      <w:pPr>
        <w:pStyle w:val="Caption"/>
      </w:pPr>
      <w:r>
        <w:t>Notes: September 1997 was the date when benchmarking of pensions to MTAWE was introduced although the first increase above inflation was in March 1998; July 2000 was the introduction of the GST and compensation packages; March 2009 was the indexation date immediately before the Government implemented recommendations of the Harmer Pension Review; September 2009 was the introduction of the Review recommendations; September 2020 was the point of greatest real difference between support for people receiving JobSeeker and pensioners (excluding the Coronavirus supplement); September 2023 reflects the impact of changes in 2021 and the 2023-24 Budget.</w:t>
      </w:r>
    </w:p>
    <w:p w14:paraId="6118F1EB" w14:textId="6D3614C0" w:rsidR="00713A82" w:rsidRPr="00713A82" w:rsidRDefault="00713A82" w:rsidP="00713A82">
      <w:pPr>
        <w:pStyle w:val="Caption"/>
      </w:pPr>
      <w:r>
        <w:t xml:space="preserve">Source: Daniels, D. (2011) Social security payments for the aged, people with disabilities and carers 1901 to 2010, Parliamentary Library Background note, 21 February 2011, Canberra. </w:t>
      </w:r>
      <w:r>
        <w:br/>
        <w:t>Ey, C. (2012), Social security payments for the unemployed, the sick and those in special circumstances, 1942 to 2012: a chronology, Parliament of Australia Department of Parliamentary Services, BACKGROUND NOTE 4 December 2012</w:t>
      </w:r>
      <w:r>
        <w:br/>
        <w:t>DSS, Guide to Historical Rates, https://guides.dss.gov.au/social-security-guide/5/2</w:t>
      </w:r>
    </w:p>
    <w:p w14:paraId="5B5B3B3B" w14:textId="77777777" w:rsidR="00D24350" w:rsidRPr="00D24350" w:rsidRDefault="00D24350" w:rsidP="00D24350">
      <w:pPr>
        <w:rPr>
          <w:lang w:val="en-GB"/>
        </w:rPr>
      </w:pPr>
      <w:r w:rsidRPr="00D24350">
        <w:rPr>
          <w:lang w:val="en-GB"/>
        </w:rPr>
        <w:t>The gap was narrowed by the increases by the Morrison Government in 2021 and in last year’s Budget.</w:t>
      </w:r>
    </w:p>
    <w:p w14:paraId="55FC2CA3" w14:textId="516E3E57" w:rsidR="00D24350" w:rsidRPr="00D24350" w:rsidRDefault="00D24350" w:rsidP="00D24350">
      <w:pPr>
        <w:rPr>
          <w:lang w:val="en-GB"/>
        </w:rPr>
      </w:pPr>
      <w:r w:rsidRPr="00D24350">
        <w:rPr>
          <w:lang w:val="en-GB"/>
        </w:rPr>
        <w:t>Figure 11 shows trends in the real value of the MTAWE benchmark over time. While Male Total Average Weekly Earnings rose in real terms from $1,405 a week in 2001 to $1,765 per week in May 2013, it subsequently fell, and then did not increase for the next six years. There was a spike in early 2020, and it subsequently fell and by May 2023 it was about the same level as in November 2009.</w:t>
      </w:r>
    </w:p>
    <w:p w14:paraId="7F323E6C" w14:textId="0B62F33A" w:rsidR="00D24350" w:rsidRDefault="00D24350" w:rsidP="00D24350">
      <w:pPr>
        <w:rPr>
          <w:lang w:val="en-GB"/>
        </w:rPr>
      </w:pPr>
      <w:r w:rsidRPr="00D24350">
        <w:rPr>
          <w:lang w:val="en-GB"/>
        </w:rPr>
        <w:t>It should be noted that MTAWE is affected by changes in the composition of the male workforce as well as by changes in male wage rates. It is likely that the spike in the real level of MTAWE in 2020 was affected by the increase in unemployment at the time, when lower paid workers either became unemployed, left the workforce or were supported by the Coronavirus Supplement. Correspondingly, the fall in MTAWE up to November 2022 is likely to be affected by the dramatic fall in unemployment rates, bringing low paid workers into jobs.</w:t>
      </w:r>
    </w:p>
    <w:p w14:paraId="163B20B9" w14:textId="77777777" w:rsidR="00713A82" w:rsidRPr="00D737F8" w:rsidRDefault="00713A82" w:rsidP="00713A82">
      <w:pPr>
        <w:pStyle w:val="Heading4"/>
        <w:rPr>
          <w:lang w:val="en-US"/>
        </w:rPr>
      </w:pPr>
      <w:r>
        <w:t>Figure 11: Trends in real (May 2023$ per fortnight) MTAWE, 1995 to November 2023</w:t>
      </w:r>
    </w:p>
    <w:p w14:paraId="75630590" w14:textId="77777777" w:rsidR="00713A82" w:rsidRDefault="00713A82" w:rsidP="00713A82">
      <w:pPr>
        <w:rPr>
          <w:lang w:val="en-GB"/>
        </w:rPr>
      </w:pPr>
      <w:r>
        <w:rPr>
          <w:noProof/>
          <w:lang w:val="en-GB"/>
        </w:rPr>
        <w:drawing>
          <wp:inline distT="0" distB="0" distL="0" distR="0" wp14:anchorId="181FA5C7" wp14:editId="387B186D">
            <wp:extent cx="5219700" cy="2514600"/>
            <wp:effectExtent l="0" t="0" r="0" b="0"/>
            <wp:docPr id="1041101297" name="Picture 9" descr="Figure 11: Trends in real (May 2023$ per fortnight) MTAWE, 1995 to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101297" name="Picture 9" descr="Figure 11: Trends in real (May 2023$ per fortnight) MTAWE, 1995 to November 2023"/>
                    <pic:cNvPicPr/>
                  </pic:nvPicPr>
                  <pic:blipFill>
                    <a:blip r:embed="rId28">
                      <a:extLst>
                        <a:ext uri="{28A0092B-C50C-407E-A947-70E740481C1C}">
                          <a14:useLocalDpi xmlns:a14="http://schemas.microsoft.com/office/drawing/2010/main" val="0"/>
                        </a:ext>
                      </a:extLst>
                    </a:blip>
                    <a:stretch>
                      <a:fillRect/>
                    </a:stretch>
                  </pic:blipFill>
                  <pic:spPr>
                    <a:xfrm>
                      <a:off x="0" y="0"/>
                      <a:ext cx="5219700" cy="2514600"/>
                    </a:xfrm>
                    <a:prstGeom prst="rect">
                      <a:avLst/>
                    </a:prstGeom>
                  </pic:spPr>
                </pic:pic>
              </a:graphicData>
            </a:graphic>
          </wp:inline>
        </w:drawing>
      </w:r>
    </w:p>
    <w:p w14:paraId="01863F68" w14:textId="331DE891" w:rsidR="00713A82" w:rsidRPr="00713A82" w:rsidRDefault="00713A82" w:rsidP="00713A82">
      <w:pPr>
        <w:pStyle w:val="Caption"/>
      </w:pPr>
      <w:r>
        <w:t>Source: Calculated from ABS (2023), Average Weekly Earnings, November 2023, https://www.abs.gov.au/statistics/labour/earnings-and-working-conditions/average-weekly-earnings-australia/latest-release and ABS (2023)</w:t>
      </w:r>
    </w:p>
    <w:p w14:paraId="4591A1BC" w14:textId="77777777" w:rsidR="00D24350" w:rsidRPr="00D24350" w:rsidRDefault="00D24350" w:rsidP="00D24350">
      <w:pPr>
        <w:rPr>
          <w:lang w:val="en-GB"/>
        </w:rPr>
      </w:pPr>
      <w:r w:rsidRPr="00D24350">
        <w:rPr>
          <w:lang w:val="en-GB"/>
        </w:rPr>
        <w:t>While benchmarking to MTAWE is not responsible for the increasing value of pensions after 2013, there is an anomaly in the indexation measures that should be noted.</w:t>
      </w:r>
    </w:p>
    <w:p w14:paraId="7EF6744C" w14:textId="23E4B1BE" w:rsidR="00D24350" w:rsidRDefault="00D24350" w:rsidP="00D24350">
      <w:pPr>
        <w:rPr>
          <w:lang w:val="en-GB"/>
        </w:rPr>
      </w:pPr>
      <w:r w:rsidRPr="00D24350">
        <w:rPr>
          <w:lang w:val="en-GB"/>
        </w:rPr>
        <w:lastRenderedPageBreak/>
        <w:t>Figure 12 shows the cumulative changes in the CPI and different living cost indexes between September 2009 and September 2023 (May 2023 for MTAWE). The calculations start from September 2009, as this was the date when indexation was based on the greater of the increase in the CPI or the PBLCI.</w:t>
      </w:r>
    </w:p>
    <w:p w14:paraId="42439175" w14:textId="77777777" w:rsidR="00713A82" w:rsidRDefault="00713A82" w:rsidP="00713A82">
      <w:pPr>
        <w:pStyle w:val="Heading4"/>
      </w:pPr>
      <w:r>
        <w:t>Figure 12: Change in CPI and Living Cost Indexes, September 2009 to September 2023</w:t>
      </w:r>
    </w:p>
    <w:p w14:paraId="3530133D" w14:textId="77777777" w:rsidR="00713A82" w:rsidRDefault="00713A82" w:rsidP="00713A82">
      <w:pPr>
        <w:rPr>
          <w:lang w:val="en-GB"/>
        </w:rPr>
      </w:pPr>
      <w:r>
        <w:rPr>
          <w:noProof/>
          <w:lang w:val="en-GB"/>
        </w:rPr>
        <w:drawing>
          <wp:inline distT="0" distB="0" distL="0" distR="0" wp14:anchorId="24DA1349" wp14:editId="5FF6CC37">
            <wp:extent cx="5219700" cy="2667000"/>
            <wp:effectExtent l="0" t="0" r="0" b="0"/>
            <wp:docPr id="1566521388" name="Picture 10" descr="Figure 12: Change in CPI and Living Cost Indexes, September 2009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21388" name="Picture 10" descr="Figure 12: Change in CPI and Living Cost Indexes, September 2009 to September 2023"/>
                    <pic:cNvPicPr/>
                  </pic:nvPicPr>
                  <pic:blipFill rotWithShape="1">
                    <a:blip r:embed="rId29">
                      <a:extLst>
                        <a:ext uri="{28A0092B-C50C-407E-A947-70E740481C1C}">
                          <a14:useLocalDpi xmlns:a14="http://schemas.microsoft.com/office/drawing/2010/main" val="0"/>
                        </a:ext>
                      </a:extLst>
                    </a:blip>
                    <a:srcRect b="13934"/>
                    <a:stretch/>
                  </pic:blipFill>
                  <pic:spPr bwMode="auto">
                    <a:xfrm>
                      <a:off x="0" y="0"/>
                      <a:ext cx="5219700" cy="2667000"/>
                    </a:xfrm>
                    <a:prstGeom prst="rect">
                      <a:avLst/>
                    </a:prstGeom>
                    <a:ln>
                      <a:noFill/>
                    </a:ln>
                    <a:extLst>
                      <a:ext uri="{53640926-AAD7-44D8-BBD7-CCE9431645EC}">
                        <a14:shadowObscured xmlns:a14="http://schemas.microsoft.com/office/drawing/2010/main"/>
                      </a:ext>
                    </a:extLst>
                  </pic:spPr>
                </pic:pic>
              </a:graphicData>
            </a:graphic>
          </wp:inline>
        </w:drawing>
      </w:r>
    </w:p>
    <w:p w14:paraId="7D1FA681" w14:textId="1268FCBC" w:rsidR="00713A82" w:rsidRPr="00713A82" w:rsidRDefault="00713A82" w:rsidP="00713A82">
      <w:pPr>
        <w:pStyle w:val="Caption"/>
      </w:pPr>
      <w:r w:rsidRPr="00733181">
        <w:t xml:space="preserve">Source: https://www.abs.gov.au/statistics/economy/price-indexes-and-inflation/consumer-price-index-australia/sep-quarter-2023 </w:t>
      </w:r>
    </w:p>
    <w:p w14:paraId="4FD880FE" w14:textId="77777777" w:rsidR="00D24350" w:rsidRPr="00D24350" w:rsidRDefault="00D24350" w:rsidP="00D24350">
      <w:pPr>
        <w:rPr>
          <w:lang w:val="en-GB"/>
        </w:rPr>
      </w:pPr>
      <w:r w:rsidRPr="00D24350">
        <w:rPr>
          <w:lang w:val="en-GB"/>
        </w:rPr>
        <w:t>Figure 12 shows that the Pensioner and Beneficiary Living Cost Index increased by 45.3% over this period, compared to an increase of 44.2% in the CPI. However, the Beneficiary Living Cost Index</w:t>
      </w:r>
      <w:r w:rsidRPr="00D24350">
        <w:rPr>
          <w:rStyle w:val="Superscript"/>
          <w:lang w:val="en-GB"/>
        </w:rPr>
        <w:footnoteReference w:id="20"/>
      </w:r>
      <w:r w:rsidRPr="00D24350">
        <w:rPr>
          <w:lang w:val="en-GB"/>
        </w:rPr>
        <w:t xml:space="preserve"> increased by 47.1% over this period, while the Living Cost Index for Pensioners increased by somewhat less than the CPI (43.1%).</w:t>
      </w:r>
    </w:p>
    <w:p w14:paraId="14441B24" w14:textId="6E19A9F9" w:rsidR="00D24350" w:rsidRPr="00D24350" w:rsidRDefault="00D24350" w:rsidP="00D24350">
      <w:pPr>
        <w:rPr>
          <w:lang w:val="en-GB"/>
        </w:rPr>
      </w:pPr>
      <w:r w:rsidRPr="00D24350">
        <w:rPr>
          <w:lang w:val="en-GB"/>
        </w:rPr>
        <w:t xml:space="preserve">What this means is that part of the increase in the difference between basic payments was due to the fact that living costs increased most for people receiving working age income support payments, raising the PBLCI at a faster rate than the CPI. </w:t>
      </w:r>
    </w:p>
    <w:p w14:paraId="13D1E037" w14:textId="77777777" w:rsidR="00D24350" w:rsidRPr="00D24350" w:rsidRDefault="00D24350" w:rsidP="00D24350">
      <w:pPr>
        <w:rPr>
          <w:lang w:val="en-GB"/>
        </w:rPr>
      </w:pPr>
      <w:r w:rsidRPr="00D24350">
        <w:rPr>
          <w:lang w:val="en-GB"/>
        </w:rPr>
        <w:t xml:space="preserve">So, pensioners benefited from the rising cost of living of working age income support recipients, while actual working age income support recipients did not. </w:t>
      </w:r>
    </w:p>
    <w:p w14:paraId="2F94A815" w14:textId="699AA53D" w:rsidR="00D24350" w:rsidRPr="00D24350" w:rsidRDefault="00D24350" w:rsidP="00D24350">
      <w:pPr>
        <w:rPr>
          <w:lang w:val="en-GB"/>
        </w:rPr>
      </w:pPr>
      <w:r w:rsidRPr="00D24350">
        <w:rPr>
          <w:lang w:val="en-GB"/>
        </w:rPr>
        <w:t>In addition, the single basic rate of pension in May 2023 was around 29.6% of MTAWE, well above the benchmark of 27.7%, meaning that price indexation will continue to dominate benchmarking for some period after wage increases return to above inflation.</w:t>
      </w:r>
    </w:p>
    <w:p w14:paraId="7500FD93" w14:textId="77777777" w:rsidR="00D24350" w:rsidRPr="00D24350" w:rsidRDefault="00D24350" w:rsidP="00D24350">
      <w:pPr>
        <w:rPr>
          <w:lang w:val="en-GB"/>
        </w:rPr>
      </w:pPr>
      <w:r w:rsidRPr="00D24350">
        <w:rPr>
          <w:lang w:val="en-GB"/>
        </w:rPr>
        <w:t>The next section describes in more detail the range of current indexation provisions applying to payments and how these have developed over time to influence the disparities between payments. This is followed by a discussion of approaches to indexation that improve the adequacy of payments, as well as improving the coherence of the social security system and simplifying the system both for people receiving payments and for administration.</w:t>
      </w:r>
    </w:p>
    <w:p w14:paraId="420CE956" w14:textId="77777777" w:rsidR="00D24350" w:rsidRPr="00D24350" w:rsidRDefault="00D24350" w:rsidP="00653881">
      <w:pPr>
        <w:pStyle w:val="Heading3"/>
        <w:rPr>
          <w:lang w:val="en-GB"/>
        </w:rPr>
      </w:pPr>
      <w:r w:rsidRPr="00D24350">
        <w:rPr>
          <w:lang w:val="en-GB"/>
        </w:rPr>
        <w:t>2A.4.1 Current Indexation of Pensions and Benefits</w:t>
      </w:r>
    </w:p>
    <w:p w14:paraId="2EA8CFC5" w14:textId="6CC20660" w:rsidR="00D24350" w:rsidRPr="00D24350" w:rsidRDefault="00D24350" w:rsidP="00D24350">
      <w:pPr>
        <w:rPr>
          <w:lang w:val="en-GB"/>
        </w:rPr>
      </w:pPr>
      <w:r w:rsidRPr="00D24350">
        <w:rPr>
          <w:lang w:val="en-GB"/>
        </w:rPr>
        <w:t>Table 7 summarises the current indexation provisions.</w:t>
      </w:r>
    </w:p>
    <w:p w14:paraId="2325A098" w14:textId="77777777" w:rsidR="00DE7D93" w:rsidRDefault="00DE7D93" w:rsidP="00DE7D93">
      <w:pPr>
        <w:pStyle w:val="Heading4"/>
      </w:pPr>
      <w:r>
        <w:lastRenderedPageBreak/>
        <w:t>Table 7: Indexation provisions in the social security system</w:t>
      </w:r>
    </w:p>
    <w:tbl>
      <w:tblPr>
        <w:tblStyle w:val="TableGrid"/>
        <w:tblW w:w="0" w:type="auto"/>
        <w:tblLook w:val="04A0" w:firstRow="1" w:lastRow="0" w:firstColumn="1" w:lastColumn="0" w:noHBand="0" w:noVBand="1"/>
      </w:tblPr>
      <w:tblGrid>
        <w:gridCol w:w="4508"/>
        <w:gridCol w:w="4508"/>
      </w:tblGrid>
      <w:tr w:rsidR="00DE7D93" w14:paraId="27701312" w14:textId="77777777" w:rsidTr="00DD6141">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63B09BF5" w14:textId="4108110F" w:rsidR="00DE7D93" w:rsidRPr="009F5B82" w:rsidRDefault="00DE7D93" w:rsidP="00DE7D93">
            <w:pPr>
              <w:rPr>
                <w:color w:val="FFFFFF" w:themeColor="background1"/>
              </w:rPr>
            </w:pPr>
            <w:r w:rsidRPr="009F5B82">
              <w:rPr>
                <w:color w:val="FFFFFF" w:themeColor="background1"/>
              </w:rPr>
              <w:t>Payment</w:t>
            </w:r>
            <w:bookmarkStart w:id="23" w:name="ColumnTitle_Table7"/>
            <w:bookmarkEnd w:id="23"/>
          </w:p>
        </w:tc>
        <w:tc>
          <w:tcPr>
            <w:tcW w:w="4508" w:type="dxa"/>
            <w:vAlign w:val="center"/>
          </w:tcPr>
          <w:p w14:paraId="095BF26E" w14:textId="6D833F78" w:rsidR="00DE7D93" w:rsidRPr="009F5B82" w:rsidRDefault="00DE7D93" w:rsidP="00DE7D93">
            <w:pPr>
              <w:rPr>
                <w:color w:val="FFFFFF" w:themeColor="background1"/>
              </w:rPr>
            </w:pPr>
            <w:r w:rsidRPr="009F5B82">
              <w:rPr>
                <w:color w:val="FFFFFF" w:themeColor="background1"/>
              </w:rPr>
              <w:t>Indexation</w:t>
            </w:r>
          </w:p>
        </w:tc>
      </w:tr>
      <w:tr w:rsidR="00DE7D93" w14:paraId="4E36998D"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11985A5B" w14:textId="5F26C252" w:rsidR="00DE7D93" w:rsidRPr="00DE7D93" w:rsidRDefault="00DE7D93" w:rsidP="00DE7D93">
            <w:r w:rsidRPr="00DE7D93">
              <w:t>Age Pension, Service Pension, DSP, Carer Payment</w:t>
            </w:r>
          </w:p>
        </w:tc>
        <w:tc>
          <w:tcPr>
            <w:tcW w:w="4508" w:type="dxa"/>
          </w:tcPr>
          <w:p w14:paraId="1CCF0D1C" w14:textId="6CF9BAFF" w:rsidR="00DE7D93" w:rsidRPr="00DE7D93" w:rsidRDefault="00DE7D93" w:rsidP="00DE7D93">
            <w:r w:rsidRPr="00DE7D93">
              <w:t>Indexed twice each year by the greater of the movement in the CPI or the PBLCI. They are then ‘benchmarked’ against a percentage of MTAWE. (See text for details.)</w:t>
            </w:r>
          </w:p>
        </w:tc>
      </w:tr>
      <w:tr w:rsidR="00DE7D93" w14:paraId="33BCB70E" w14:textId="77777777" w:rsidTr="00DE7D93">
        <w:tc>
          <w:tcPr>
            <w:tcW w:w="4508" w:type="dxa"/>
          </w:tcPr>
          <w:p w14:paraId="1FADA0C6" w14:textId="4387C877" w:rsidR="00DE7D93" w:rsidRPr="00DE7D93" w:rsidRDefault="00DE7D93" w:rsidP="00DE7D93">
            <w:r w:rsidRPr="00DE7D93">
              <w:t>Parenting Payment Single</w:t>
            </w:r>
          </w:p>
        </w:tc>
        <w:tc>
          <w:tcPr>
            <w:tcW w:w="4508" w:type="dxa"/>
          </w:tcPr>
          <w:p w14:paraId="62FD8AA5" w14:textId="4B22526C" w:rsidR="00DE7D93" w:rsidRPr="00DE7D93" w:rsidRDefault="00DE7D93" w:rsidP="00DE7D93">
            <w:r w:rsidRPr="00DE7D93">
              <w:t>Indexed twice each year by movements in the CPI and benchmarked to 25% of MTAWE.</w:t>
            </w:r>
          </w:p>
        </w:tc>
      </w:tr>
      <w:tr w:rsidR="00DE7D93" w14:paraId="32CA5BF4"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69C76921" w14:textId="7EC0E73A" w:rsidR="00DE7D93" w:rsidRPr="00DE7D93" w:rsidRDefault="00DE7D93" w:rsidP="00DE7D93">
            <w:r w:rsidRPr="00DE7D93">
              <w:t>JobSeeker Payment, Rent Assistance and rent thresholds</w:t>
            </w:r>
          </w:p>
        </w:tc>
        <w:tc>
          <w:tcPr>
            <w:tcW w:w="4508" w:type="dxa"/>
          </w:tcPr>
          <w:p w14:paraId="2218F70C" w14:textId="49738EC9" w:rsidR="00DE7D93" w:rsidRPr="00DE7D93" w:rsidRDefault="00DE7D93" w:rsidP="00DE7D93">
            <w:r w:rsidRPr="00DE7D93">
              <w:t>Indexed twice each year by movements in the CPI.</w:t>
            </w:r>
          </w:p>
        </w:tc>
      </w:tr>
      <w:tr w:rsidR="00DE7D93" w14:paraId="0A3C0B68" w14:textId="77777777" w:rsidTr="00DE7D93">
        <w:tc>
          <w:tcPr>
            <w:tcW w:w="4508" w:type="dxa"/>
          </w:tcPr>
          <w:p w14:paraId="18367C41" w14:textId="71399274" w:rsidR="00DE7D93" w:rsidRPr="00DE7D93" w:rsidRDefault="00DE7D93" w:rsidP="00DE7D93">
            <w:r w:rsidRPr="00DE7D93">
              <w:t>Youth Allowance (Student)</w:t>
            </w:r>
          </w:p>
        </w:tc>
        <w:tc>
          <w:tcPr>
            <w:tcW w:w="4508" w:type="dxa"/>
          </w:tcPr>
          <w:p w14:paraId="7D499091" w14:textId="48B45963" w:rsidR="00DE7D93" w:rsidRPr="00DE7D93" w:rsidRDefault="00DE7D93" w:rsidP="00DE7D93">
            <w:r w:rsidRPr="00DE7D93">
              <w:t>Indexed once a year on 1 January by movements in the CPI.</w:t>
            </w:r>
          </w:p>
        </w:tc>
      </w:tr>
      <w:tr w:rsidR="00DE7D93" w14:paraId="0C626B6B"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3C8E4A81" w14:textId="49D5FE5C" w:rsidR="00DE7D93" w:rsidRPr="00DE7D93" w:rsidRDefault="00DE7D93" w:rsidP="00DE7D93">
            <w:r w:rsidRPr="00DE7D93">
              <w:t>Telephone Allowance</w:t>
            </w:r>
          </w:p>
        </w:tc>
        <w:tc>
          <w:tcPr>
            <w:tcW w:w="4508" w:type="dxa"/>
          </w:tcPr>
          <w:p w14:paraId="39CD19C5" w14:textId="318BEFA2" w:rsidR="00DE7D93" w:rsidRPr="00DE7D93" w:rsidRDefault="00DE7D93" w:rsidP="00DE7D93">
            <w:r w:rsidRPr="00DE7D93">
              <w:t>Indexed on 20 September each year by movements in the CPI.</w:t>
            </w:r>
          </w:p>
        </w:tc>
      </w:tr>
      <w:tr w:rsidR="00DE7D93" w14:paraId="44FD294D" w14:textId="77777777" w:rsidTr="00DE7D93">
        <w:tc>
          <w:tcPr>
            <w:tcW w:w="4508" w:type="dxa"/>
          </w:tcPr>
          <w:p w14:paraId="36BF9AF9" w14:textId="6074D604" w:rsidR="00DE7D93" w:rsidRPr="00DE7D93" w:rsidRDefault="00DE7D93" w:rsidP="00DE7D93">
            <w:r w:rsidRPr="00DE7D93">
              <w:t>Pharmaceutical Allowance</w:t>
            </w:r>
          </w:p>
        </w:tc>
        <w:tc>
          <w:tcPr>
            <w:tcW w:w="4508" w:type="dxa"/>
          </w:tcPr>
          <w:p w14:paraId="6FA917A6" w14:textId="7D43522F" w:rsidR="00DE7D93" w:rsidRPr="00DE7D93" w:rsidRDefault="00DE7D93" w:rsidP="00DE7D93">
            <w:r w:rsidRPr="00DE7D93">
              <w:t>Indexation is on 1 January each year using CPI for the year to the previous September quarter.</w:t>
            </w:r>
          </w:p>
        </w:tc>
      </w:tr>
      <w:tr w:rsidR="00DE7D93" w14:paraId="0852D3DF"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3F263B53" w14:textId="1AB4C326" w:rsidR="00DE7D93" w:rsidRPr="00DE7D93" w:rsidRDefault="00DE7D93" w:rsidP="00DE7D93">
            <w:r w:rsidRPr="00DE7D93">
              <w:t>Essential medical equipment payment</w:t>
            </w:r>
          </w:p>
        </w:tc>
        <w:tc>
          <w:tcPr>
            <w:tcW w:w="4508" w:type="dxa"/>
          </w:tcPr>
          <w:p w14:paraId="38BEBC84" w14:textId="23AF35D7" w:rsidR="00DE7D93" w:rsidRPr="00DE7D93" w:rsidRDefault="00DE7D93" w:rsidP="00DE7D93">
            <w:r w:rsidRPr="00DE7D93">
              <w:t>Indexation is on 1 July each year using CPI.</w:t>
            </w:r>
          </w:p>
        </w:tc>
      </w:tr>
      <w:tr w:rsidR="00DE7D93" w14:paraId="7A584176" w14:textId="77777777" w:rsidTr="00DE7D93">
        <w:tc>
          <w:tcPr>
            <w:tcW w:w="4508" w:type="dxa"/>
          </w:tcPr>
          <w:p w14:paraId="6B4A66C2" w14:textId="4B65B883" w:rsidR="00DE7D93" w:rsidRPr="00DE7D93" w:rsidRDefault="00DE7D93" w:rsidP="00DE7D93">
            <w:r w:rsidRPr="00DE7D93">
              <w:t>Pensioner Education Supplement; Remote Area Allowance; Energy Supplement</w:t>
            </w:r>
          </w:p>
        </w:tc>
        <w:tc>
          <w:tcPr>
            <w:tcW w:w="4508" w:type="dxa"/>
          </w:tcPr>
          <w:p w14:paraId="2055101F" w14:textId="18644ABE" w:rsidR="00DE7D93" w:rsidRPr="00DE7D93" w:rsidRDefault="00DE7D93" w:rsidP="00DE7D93">
            <w:r w:rsidRPr="00DE7D93">
              <w:t>Not indexed.</w:t>
            </w:r>
          </w:p>
        </w:tc>
      </w:tr>
      <w:tr w:rsidR="00DE7D93" w14:paraId="602CB71A" w14:textId="77777777" w:rsidTr="00DE7D93">
        <w:trPr>
          <w:cnfStyle w:val="000000100000" w:firstRow="0" w:lastRow="0" w:firstColumn="0" w:lastColumn="0" w:oddVBand="0" w:evenVBand="0" w:oddHBand="1" w:evenHBand="0" w:firstRowFirstColumn="0" w:firstRowLastColumn="0" w:lastRowFirstColumn="0" w:lastRowLastColumn="0"/>
        </w:trPr>
        <w:tc>
          <w:tcPr>
            <w:tcW w:w="4508" w:type="dxa"/>
          </w:tcPr>
          <w:p w14:paraId="49E01234" w14:textId="1D3A1229" w:rsidR="00DE7D93" w:rsidRPr="00DE7D93" w:rsidRDefault="00DE7D93" w:rsidP="00DE7D93">
            <w:r w:rsidRPr="00DE7D93">
              <w:t>Family Tax Benefits</w:t>
            </w:r>
          </w:p>
        </w:tc>
        <w:tc>
          <w:tcPr>
            <w:tcW w:w="4508" w:type="dxa"/>
          </w:tcPr>
          <w:p w14:paraId="70F66E7B" w14:textId="77777777" w:rsidR="00F57B7C" w:rsidRDefault="00DE7D93" w:rsidP="00DE7D93">
            <w:r w:rsidRPr="00DE7D93">
              <w:t xml:space="preserve">Indexation was paused between July 2016 and July 2019. </w:t>
            </w:r>
          </w:p>
          <w:p w14:paraId="0E2BDC9A" w14:textId="6CBB8551" w:rsidR="00F57B7C" w:rsidRDefault="00DE7D93" w:rsidP="00DE7D93">
            <w:r w:rsidRPr="00DE7D93">
              <w:t>The following rates and thresholds, where indexation has not been paused, are indexed on 1 July each year based on CPI increases:</w:t>
            </w:r>
          </w:p>
          <w:p w14:paraId="46031D42" w14:textId="7CB38615" w:rsidR="00DE7D93" w:rsidRPr="00F57B7C" w:rsidRDefault="00DE7D93" w:rsidP="00F57B7C">
            <w:pPr>
              <w:pStyle w:val="ListBullet"/>
            </w:pPr>
            <w:r w:rsidRPr="00F57B7C">
              <w:t>FTB Part A rates</w:t>
            </w:r>
          </w:p>
          <w:p w14:paraId="008640C0" w14:textId="77777777" w:rsidR="00DE7D93" w:rsidRPr="00F57B7C" w:rsidRDefault="00DE7D93" w:rsidP="00F57B7C">
            <w:pPr>
              <w:pStyle w:val="ListBullet"/>
            </w:pPr>
            <w:r w:rsidRPr="00F57B7C">
              <w:t>newborn supplement</w:t>
            </w:r>
          </w:p>
          <w:p w14:paraId="396EC78A" w14:textId="77777777" w:rsidR="00DE7D93" w:rsidRPr="00F57B7C" w:rsidRDefault="00DE7D93" w:rsidP="00F57B7C">
            <w:pPr>
              <w:pStyle w:val="ListBullet"/>
            </w:pPr>
            <w:r w:rsidRPr="00F57B7C">
              <w:t>newborn upfront payment</w:t>
            </w:r>
          </w:p>
          <w:p w14:paraId="69E9BF0A" w14:textId="77777777" w:rsidR="00DE7D93" w:rsidRPr="00F57B7C" w:rsidRDefault="00DE7D93" w:rsidP="00F57B7C">
            <w:pPr>
              <w:pStyle w:val="ListBullet"/>
            </w:pPr>
            <w:r w:rsidRPr="00F57B7C">
              <w:t>FTB Part A supplement</w:t>
            </w:r>
          </w:p>
          <w:p w14:paraId="4752D9FE" w14:textId="77777777" w:rsidR="00DE7D93" w:rsidRPr="00F57B7C" w:rsidRDefault="00DE7D93" w:rsidP="00F57B7C">
            <w:pPr>
              <w:pStyle w:val="ListBullet"/>
            </w:pPr>
            <w:r w:rsidRPr="00F57B7C">
              <w:t>FTB Part B supplement</w:t>
            </w:r>
          </w:p>
          <w:p w14:paraId="5081CCAC" w14:textId="77777777" w:rsidR="00DE7D93" w:rsidRPr="00F57B7C" w:rsidRDefault="00DE7D93" w:rsidP="00F57B7C">
            <w:pPr>
              <w:pStyle w:val="ListBullet"/>
            </w:pPr>
            <w:r w:rsidRPr="00F57B7C">
              <w:t>multiple birth allowance</w:t>
            </w:r>
          </w:p>
          <w:p w14:paraId="1E95D5CD" w14:textId="77777777" w:rsidR="00DE7D93" w:rsidRPr="00F57B7C" w:rsidRDefault="00DE7D93" w:rsidP="00F57B7C">
            <w:pPr>
              <w:pStyle w:val="ListBullet"/>
            </w:pPr>
            <w:r w:rsidRPr="00F57B7C">
              <w:t>the FTB Part B rates</w:t>
            </w:r>
          </w:p>
          <w:p w14:paraId="7537E1DA" w14:textId="77777777" w:rsidR="00DE7D93" w:rsidRPr="00F57B7C" w:rsidRDefault="00DE7D93" w:rsidP="00F57B7C">
            <w:pPr>
              <w:pStyle w:val="ListBullet"/>
            </w:pPr>
            <w:r w:rsidRPr="00F57B7C">
              <w:t>the FTB ACO (1.1.A.80) rate</w:t>
            </w:r>
          </w:p>
          <w:p w14:paraId="7BE053DD" w14:textId="77777777" w:rsidR="00DE7D93" w:rsidRPr="00F57B7C" w:rsidRDefault="00DE7D93" w:rsidP="00F57B7C">
            <w:pPr>
              <w:pStyle w:val="ListBullet"/>
            </w:pPr>
            <w:r w:rsidRPr="00F57B7C">
              <w:t>the FTB Part A income free area</w:t>
            </w:r>
          </w:p>
          <w:p w14:paraId="67FE463C" w14:textId="77777777" w:rsidR="00DE7D93" w:rsidRPr="00F57B7C" w:rsidRDefault="00DE7D93" w:rsidP="00F57B7C">
            <w:pPr>
              <w:pStyle w:val="ListBullet"/>
            </w:pPr>
            <w:r w:rsidRPr="00F57B7C">
              <w:t>the FTB Part A higher income free area</w:t>
            </w:r>
          </w:p>
          <w:p w14:paraId="20D95CDE" w14:textId="77777777" w:rsidR="00DE7D93" w:rsidRPr="00F57B7C" w:rsidRDefault="00DE7D93" w:rsidP="00F57B7C">
            <w:pPr>
              <w:pStyle w:val="ListBullet"/>
            </w:pPr>
            <w:r w:rsidRPr="00F57B7C">
              <w:t>standard basic MIFA, double basic MIFA and additional MIFA</w:t>
            </w:r>
          </w:p>
          <w:p w14:paraId="4DCC67CC" w14:textId="77777777" w:rsidR="00DE7D93" w:rsidRPr="00F57B7C" w:rsidRDefault="00DE7D93" w:rsidP="00F57B7C">
            <w:pPr>
              <w:pStyle w:val="ListBullet"/>
            </w:pPr>
            <w:r w:rsidRPr="00F57B7C">
              <w:t>the FTB Part B secondary earner (1.1.S.25) income free area (1.1.I.40), and</w:t>
            </w:r>
          </w:p>
          <w:p w14:paraId="35B6CAF6" w14:textId="77777777" w:rsidR="00DE7D93" w:rsidRPr="00F57B7C" w:rsidRDefault="00DE7D93" w:rsidP="00F57B7C">
            <w:pPr>
              <w:pStyle w:val="ListBullet"/>
            </w:pPr>
            <w:r w:rsidRPr="00F57B7C">
              <w:t>the FTB Part B primary earner (1.1.P.122) income limit.</w:t>
            </w:r>
          </w:p>
          <w:p w14:paraId="34273BC5" w14:textId="40950EA4" w:rsidR="00DE7D93" w:rsidRPr="00DE7D93" w:rsidRDefault="00DE7D93" w:rsidP="00DE7D93">
            <w:r w:rsidRPr="00DE7D93">
              <w:t>Single Income Family Supplement rates are not subject to indexation.</w:t>
            </w:r>
          </w:p>
        </w:tc>
      </w:tr>
    </w:tbl>
    <w:p w14:paraId="1D378093" w14:textId="5C7E1DFB" w:rsidR="00D24350" w:rsidRPr="00D24350" w:rsidRDefault="00D24350" w:rsidP="00D24350">
      <w:pPr>
        <w:rPr>
          <w:lang w:val="en-GB"/>
        </w:rPr>
      </w:pPr>
      <w:r w:rsidRPr="00D24350">
        <w:rPr>
          <w:lang w:val="en-GB"/>
        </w:rPr>
        <w:lastRenderedPageBreak/>
        <w:t xml:space="preserve">It is apparent that there are a wide range of specific indexation approaches. The rationale for some of these different approaches is not evident. For example, indexation of youth payments on a 12 monthly basis continues to reflect that Austudy was formerly an annual ‘calendar year’ entitlement aligned to the study year, but it also means that calculation of financial incentives to study rather than look for work change during the calendar year. </w:t>
      </w:r>
    </w:p>
    <w:p w14:paraId="754C503B" w14:textId="77777777" w:rsidR="00D24350" w:rsidRPr="00D24350" w:rsidRDefault="00D24350" w:rsidP="00D24350">
      <w:pPr>
        <w:rPr>
          <w:lang w:val="en-GB"/>
        </w:rPr>
      </w:pPr>
      <w:r w:rsidRPr="00D24350">
        <w:rPr>
          <w:lang w:val="en-GB"/>
        </w:rPr>
        <w:t>In addition, the different indexation and benchmarking provisions means that the relativities between payments change over time. For families with children, the delinking of FTB Part A from wage benchmarking in 2009, and the suspension of price indexation between 2016 and 2019, means that the level of payments per child has fallen below the benchmarks introduced by the Hawke Government as a result of its pledge to eliminate child poverty in 1987 (Cass and Whiteford, 2009; Stewart et al., 2023).</w:t>
      </w:r>
      <w:r w:rsidRPr="00D24350">
        <w:rPr>
          <w:rStyle w:val="Superscript"/>
          <w:lang w:val="en-GB"/>
        </w:rPr>
        <w:footnoteReference w:id="21"/>
      </w:r>
    </w:p>
    <w:p w14:paraId="0BAED68E" w14:textId="77777777" w:rsidR="00D24350" w:rsidRPr="00D24350" w:rsidRDefault="00D24350" w:rsidP="00D24350">
      <w:pPr>
        <w:rPr>
          <w:lang w:val="en-GB"/>
        </w:rPr>
      </w:pPr>
      <w:r w:rsidRPr="00D24350">
        <w:rPr>
          <w:lang w:val="en-GB"/>
        </w:rPr>
        <w:t>Under current indexation and benchmarking arrangements it is inevitable that these gaps will recur and continue to widen.</w:t>
      </w:r>
    </w:p>
    <w:p w14:paraId="4D69C773" w14:textId="77777777" w:rsidR="00D24350" w:rsidRPr="00D24350" w:rsidRDefault="00D24350" w:rsidP="00D24350">
      <w:pPr>
        <w:rPr>
          <w:lang w:val="en-GB"/>
        </w:rPr>
      </w:pPr>
      <w:r w:rsidRPr="00D24350">
        <w:rPr>
          <w:lang w:val="en-GB"/>
        </w:rPr>
        <w:t xml:space="preserve">This can be seen in all of the projections of the Intergenerational Reports to the Government since 2002. Using the assumptions specified in the 2023 Intergenerational Report (IGR), for example, average earnings rise by 3.7% per year and prices by 2.5% per year over the next 40 years. </w:t>
      </w:r>
    </w:p>
    <w:p w14:paraId="6E1553A7" w14:textId="77777777" w:rsidR="00D24350" w:rsidRPr="00D24350" w:rsidRDefault="00D24350" w:rsidP="00D24350">
      <w:pPr>
        <w:rPr>
          <w:lang w:val="en-GB"/>
        </w:rPr>
      </w:pPr>
      <w:r w:rsidRPr="00D24350">
        <w:rPr>
          <w:lang w:val="en-GB"/>
        </w:rPr>
        <w:t>On average, employed Australians and those on pensions benchmarked to wages will be better off in real terms by nearly 60 per cent. However, the same assumptions imply that the people living on price-indexed payments in the future Australian community will not share in any increase in real living standards. The single rate of unemployment payments would fall from 74% of the pension to 47% by 2063. The improvements in payments achieved in 2022 and 2023 would be undone by 2035.</w:t>
      </w:r>
    </w:p>
    <w:p w14:paraId="333E7FEB" w14:textId="7725115A" w:rsidR="00D24350" w:rsidRPr="00D24350" w:rsidRDefault="00D24350" w:rsidP="00D24350">
      <w:pPr>
        <w:rPr>
          <w:lang w:val="en-GB"/>
        </w:rPr>
      </w:pPr>
      <w:r w:rsidRPr="00D24350">
        <w:rPr>
          <w:lang w:val="en-GB"/>
        </w:rPr>
        <w:t>The result would be much higher relative poverty among people of working-age receiving benefits in the future. Child poverty would also increase very substantially.</w:t>
      </w:r>
    </w:p>
    <w:p w14:paraId="7FBE3B79" w14:textId="77777777" w:rsidR="00D24350" w:rsidRPr="00D24350" w:rsidRDefault="00D24350" w:rsidP="00D24350">
      <w:pPr>
        <w:rPr>
          <w:lang w:val="en-GB"/>
        </w:rPr>
      </w:pPr>
      <w:r w:rsidRPr="00D24350">
        <w:rPr>
          <w:lang w:val="en-GB"/>
        </w:rPr>
        <w:t>If deep poverty among future disadvantaged working-age adults and their children is to be avoided, then spending on social security payments needs to keep pace with general improvements in population living standards, with implications for future spending.</w:t>
      </w:r>
    </w:p>
    <w:p w14:paraId="3FFCA0BF" w14:textId="77777777" w:rsidR="00D24350" w:rsidRPr="00D24350" w:rsidRDefault="00D24350" w:rsidP="00D24350">
      <w:pPr>
        <w:rPr>
          <w:lang w:val="en-GB"/>
        </w:rPr>
      </w:pPr>
      <w:r w:rsidRPr="00D24350">
        <w:rPr>
          <w:lang w:val="en-GB"/>
        </w:rPr>
        <w:t>The discussion of the gap between pensions and working age income support payments has widened primarily because of the benchmarking of pensions to MTAWE. If benchmarking and indexation are not reformed, then the problems that have developed since 1997 will become even wider over the next 40 years.</w:t>
      </w:r>
    </w:p>
    <w:p w14:paraId="59AF88BE" w14:textId="77777777" w:rsidR="00D24350" w:rsidRPr="00D24350" w:rsidRDefault="00D24350" w:rsidP="00D24350">
      <w:pPr>
        <w:rPr>
          <w:lang w:val="en-GB"/>
        </w:rPr>
      </w:pPr>
      <w:r w:rsidRPr="00D24350">
        <w:rPr>
          <w:lang w:val="en-GB"/>
        </w:rPr>
        <w:t xml:space="preserve">In terms of the simplicity of the overall system and providing a sustainable level of adequacy, a more consistent approach to indexation must be developed. </w:t>
      </w:r>
    </w:p>
    <w:p w14:paraId="1496AD78" w14:textId="6417A999" w:rsidR="00D24350" w:rsidRPr="00D24350" w:rsidRDefault="00D24350" w:rsidP="00D24350">
      <w:pPr>
        <w:rPr>
          <w:lang w:val="en-GB"/>
        </w:rPr>
      </w:pPr>
      <w:r w:rsidRPr="00D24350">
        <w:rPr>
          <w:lang w:val="en-GB"/>
        </w:rPr>
        <w:t xml:space="preserve">The Committee recommends the Government improve the adequacy of indexation of working-age payments immediately, and regularly reviews and monitors the relationship between working-age payments levels and widely accepted measures of community living standards, including wages. </w:t>
      </w:r>
    </w:p>
    <w:p w14:paraId="73899D1F" w14:textId="77777777" w:rsidR="00D24350" w:rsidRPr="009F6360" w:rsidRDefault="00D24350" w:rsidP="009F6360">
      <w:pPr>
        <w:pStyle w:val="Heading3"/>
      </w:pPr>
      <w:r w:rsidRPr="009F6360">
        <w:t>2A.4.2 Differences in supplements</w:t>
      </w:r>
    </w:p>
    <w:p w14:paraId="015DA7E0" w14:textId="77777777" w:rsidR="00D24350" w:rsidRPr="00D24350" w:rsidRDefault="00D24350" w:rsidP="00D24350">
      <w:pPr>
        <w:rPr>
          <w:lang w:val="en-GB"/>
        </w:rPr>
      </w:pPr>
      <w:r w:rsidRPr="00D24350">
        <w:rPr>
          <w:lang w:val="en-GB"/>
        </w:rPr>
        <w:t>Three other specific issues may warrant attention – the coverage of Pharmaceutical Allowance and the Telephone Allowance, and the level and indexation of Remote Area Allowance (RAA).</w:t>
      </w:r>
    </w:p>
    <w:p w14:paraId="00FDE85D" w14:textId="77777777" w:rsidR="00D24350" w:rsidRPr="00D24350" w:rsidRDefault="00D24350" w:rsidP="00D24350">
      <w:pPr>
        <w:rPr>
          <w:lang w:val="en-GB"/>
        </w:rPr>
      </w:pPr>
      <w:r w:rsidRPr="00D24350">
        <w:rPr>
          <w:lang w:val="en-GB"/>
        </w:rPr>
        <w:lastRenderedPageBreak/>
        <w:t xml:space="preserve">Pharmaceutical Allowance is designed to help those with additional needs for medical prescriptions, but mainly assumes that these are Age Pensioners or people qualifying for DSP or Carer Payment, for whom this support is now part of the Pension Supplement. This assumes that anyone over the age of 67 or people with disabilities or are carers have increased needs for this assistance. </w:t>
      </w:r>
    </w:p>
    <w:p w14:paraId="27C7DCCD" w14:textId="77777777" w:rsidR="00D24350" w:rsidRPr="00D24350" w:rsidRDefault="00D24350" w:rsidP="00D24350">
      <w:pPr>
        <w:rPr>
          <w:lang w:val="en-GB"/>
        </w:rPr>
      </w:pPr>
      <w:r w:rsidRPr="00D24350">
        <w:rPr>
          <w:lang w:val="en-GB"/>
        </w:rPr>
        <w:t xml:space="preserve">Evidence to the Committee and the changing composition of the population receiving JobSeeker Payment – in part a consequence of the declining number of younger people receiving DSP due to restrictions on access to payments – suggest that the coverage of this assistance should be considered. </w:t>
      </w:r>
    </w:p>
    <w:p w14:paraId="5F1D0BBA" w14:textId="1B63BF2C" w:rsidR="00D24350" w:rsidRPr="00D24350" w:rsidRDefault="00D24350" w:rsidP="00D24350">
      <w:pPr>
        <w:rPr>
          <w:lang w:val="en-GB"/>
        </w:rPr>
      </w:pPr>
      <w:r w:rsidRPr="00D24350">
        <w:rPr>
          <w:lang w:val="en-GB"/>
        </w:rPr>
        <w:t>While the Government’s Budget changes to the Pharmaceutical Benefit Scheme are very welcome, health costs for those on working age payments may be a major barrier to increasing participation and employment.</w:t>
      </w:r>
    </w:p>
    <w:p w14:paraId="7857BABB" w14:textId="77777777" w:rsidR="00D24350" w:rsidRPr="00D24350" w:rsidRDefault="00D24350" w:rsidP="00D24350">
      <w:pPr>
        <w:rPr>
          <w:lang w:val="en-GB"/>
        </w:rPr>
      </w:pPr>
      <w:r w:rsidRPr="00D24350">
        <w:rPr>
          <w:lang w:val="en-GB"/>
        </w:rPr>
        <w:t xml:space="preserve">The Telephone Allowance (TAL) was introduced from 1 July 1992 to replace telephone rental concession vouchers, following the privatisation of the public telephone carrier. Since 2008, there are 2 rates of TAL – standard TAL being paid to subscribers of a telephone service and a higher rate of TAL being paid to eligible recipients who also subscribe to a home internet connection. </w:t>
      </w:r>
    </w:p>
    <w:p w14:paraId="58A381CE" w14:textId="77777777" w:rsidR="00D24350" w:rsidRPr="00D24350" w:rsidRDefault="00D24350" w:rsidP="00D24350">
      <w:pPr>
        <w:rPr>
          <w:lang w:val="en-GB"/>
        </w:rPr>
      </w:pPr>
      <w:r w:rsidRPr="00D24350">
        <w:rPr>
          <w:lang w:val="en-GB"/>
        </w:rPr>
        <w:t xml:space="preserve">TAL is part of the Pension Supplement, but is also paid to people receiving DSP (under 21 years of age without children), Parenting Payment (Single), or receiving JobSeeker Payment or Special Benefit, provided they are at least 55 years of age and have been receiving a social security pension or benefit continuously for the previous 9 months, or receiving JobSeeker or Youth Allowance (job seeker) and who have a partial capacity to work, or who is a single principal carer. </w:t>
      </w:r>
    </w:p>
    <w:p w14:paraId="13B7AF01" w14:textId="77777777" w:rsidR="00D24350" w:rsidRPr="00D24350" w:rsidRDefault="00D24350" w:rsidP="00D24350">
      <w:pPr>
        <w:rPr>
          <w:lang w:val="en-GB"/>
        </w:rPr>
      </w:pPr>
      <w:r w:rsidRPr="00D24350">
        <w:rPr>
          <w:lang w:val="en-GB"/>
        </w:rPr>
        <w:t>The Committee will undertake further analysis of these supplements as part of its future agenda.</w:t>
      </w:r>
    </w:p>
    <w:p w14:paraId="08C173D0" w14:textId="77777777" w:rsidR="00D24350" w:rsidRPr="00D24350" w:rsidRDefault="00D24350" w:rsidP="00D24350">
      <w:pPr>
        <w:rPr>
          <w:lang w:val="en-GB"/>
        </w:rPr>
      </w:pPr>
      <w:r w:rsidRPr="00D24350">
        <w:rPr>
          <w:lang w:val="en-GB"/>
        </w:rPr>
        <w:t xml:space="preserve">The RAA was introduced by the Hawke Government in 1984 in recognition of the higher cost of living in remote areas but was increased only twice since then. It is not indexed and was last increased in July 2000. </w:t>
      </w:r>
    </w:p>
    <w:p w14:paraId="008499C1" w14:textId="77777777" w:rsidR="00D24350" w:rsidRPr="00D24350" w:rsidRDefault="00D24350" w:rsidP="00D24350">
      <w:pPr>
        <w:rPr>
          <w:lang w:val="en-GB"/>
        </w:rPr>
      </w:pPr>
      <w:r w:rsidRPr="00D24350">
        <w:rPr>
          <w:lang w:val="en-GB"/>
        </w:rPr>
        <w:t>Recent research from the ANU Centre for Aboriginal Economic Policy Research</w:t>
      </w:r>
      <w:r w:rsidRPr="00D24350">
        <w:rPr>
          <w:rStyle w:val="Superscript"/>
          <w:lang w:val="en-GB"/>
        </w:rPr>
        <w:footnoteReference w:id="22"/>
      </w:r>
      <w:r w:rsidRPr="00D24350">
        <w:rPr>
          <w:lang w:val="en-GB"/>
        </w:rPr>
        <w:t xml:space="preserve"> has highlighted that conventional (cash) income poverty rates are extremely high in the 2021 Census in remote and very remote areas, at 41.0% and 51.7%, respectively. However, cash poverty rates do not capture the impact of the much higher living costs in these areas.</w:t>
      </w:r>
    </w:p>
    <w:p w14:paraId="7A0B3483" w14:textId="77777777" w:rsidR="00D24350" w:rsidRPr="00D24350" w:rsidRDefault="00D24350" w:rsidP="00D24350">
      <w:pPr>
        <w:rPr>
          <w:lang w:val="en-GB"/>
        </w:rPr>
      </w:pPr>
      <w:r w:rsidRPr="00D24350">
        <w:rPr>
          <w:lang w:val="en-GB"/>
        </w:rPr>
        <w:t xml:space="preserve">Evidence from the lived experience of members of the Committee is that the cost of living in remote areas – particularly the cost of a healthy diet for children and adults – is much higher than the RAA. </w:t>
      </w:r>
    </w:p>
    <w:p w14:paraId="1AEA76A9" w14:textId="77777777" w:rsidR="00D24350" w:rsidRPr="00D24350" w:rsidRDefault="00D24350" w:rsidP="00D24350">
      <w:pPr>
        <w:rPr>
          <w:lang w:val="en-GB"/>
        </w:rPr>
      </w:pPr>
      <w:r w:rsidRPr="00D24350">
        <w:rPr>
          <w:lang w:val="en-GB"/>
        </w:rPr>
        <w:t xml:space="preserve">Markham (2024) calculates that if the RAA had been indexed to inflation since 1984, then the single rate would be $52.50 per fortnight (rather than $18.20 per fortnight), or if it had kept pace with the single rate of Age Pension it would be $78.50 per fortnight. </w:t>
      </w:r>
    </w:p>
    <w:p w14:paraId="2FD6F402" w14:textId="77777777" w:rsidR="00D24350" w:rsidRPr="00D24350" w:rsidRDefault="00D24350" w:rsidP="00D24350">
      <w:pPr>
        <w:rPr>
          <w:lang w:val="en-GB"/>
        </w:rPr>
      </w:pPr>
      <w:r w:rsidRPr="00D24350">
        <w:rPr>
          <w:lang w:val="en-GB"/>
        </w:rPr>
        <w:t>Markham (2024) uses a variety of data sources</w:t>
      </w:r>
      <w:r w:rsidRPr="00D24350">
        <w:rPr>
          <w:rStyle w:val="Superscript"/>
          <w:lang w:val="en-GB"/>
        </w:rPr>
        <w:footnoteReference w:id="23"/>
      </w:r>
      <w:r w:rsidRPr="00D24350">
        <w:rPr>
          <w:lang w:val="en-GB"/>
        </w:rPr>
        <w:t xml:space="preserve"> to estimate that the estimated cost of living (for food and drink, transport, electricity, tobacco products and other goods and services) is </w:t>
      </w:r>
      <w:r w:rsidRPr="00D24350">
        <w:rPr>
          <w:lang w:val="en-GB"/>
        </w:rPr>
        <w:lastRenderedPageBreak/>
        <w:t>38.8% higher for Indigenous households in very remote areas and their counterparts in metropolitan areas. If this estimate was applied, then the RAA for a single adult on JobSeeker would need to be around $290 per fortnight, with higher levels for larger households.</w:t>
      </w:r>
    </w:p>
    <w:p w14:paraId="645BB68F" w14:textId="77777777" w:rsidR="00D24350" w:rsidRPr="00D24350" w:rsidRDefault="00D24350" w:rsidP="00D24350">
      <w:pPr>
        <w:rPr>
          <w:lang w:val="en-GB"/>
        </w:rPr>
      </w:pPr>
      <w:r w:rsidRPr="00D24350">
        <w:rPr>
          <w:lang w:val="en-GB"/>
        </w:rPr>
        <w:t>It may also be the case that RAA could be better targeted to areas with higher essential costs. Markham (2024) argues that some of the people receiving RAA do not live in areas where costs are so elevated, suggesting that the appropriate geographical boundaries for higher payments need to be assessed, as well as the structure of the payment.</w:t>
      </w:r>
    </w:p>
    <w:p w14:paraId="2D7770E1" w14:textId="77777777" w:rsidR="00D24350" w:rsidRPr="00D24350" w:rsidRDefault="00D24350" w:rsidP="00D24350">
      <w:pPr>
        <w:rPr>
          <w:lang w:val="en-GB"/>
        </w:rPr>
      </w:pPr>
      <w:r w:rsidRPr="00D24350">
        <w:rPr>
          <w:lang w:val="en-GB"/>
        </w:rPr>
        <w:t xml:space="preserve">Improving the evidence base for assessing the role of this allowance in helping households with very high costs of living is essential. In this context, particular attention could be paid to recent developments in Canada. In 2018, the government of Canada released Opportunity for All, Canada’s First Poverty Reduction Strategy, which contained long-term commitments to guide current and future Government actions and investments to reduce poverty. </w:t>
      </w:r>
    </w:p>
    <w:p w14:paraId="5A3234EA" w14:textId="77777777" w:rsidR="00D24350" w:rsidRPr="00D24350" w:rsidRDefault="00D24350" w:rsidP="00D24350">
      <w:pPr>
        <w:rPr>
          <w:lang w:val="en-GB"/>
        </w:rPr>
      </w:pPr>
      <w:r w:rsidRPr="00D24350">
        <w:rPr>
          <w:lang w:val="en-GB"/>
        </w:rPr>
        <w:t xml:space="preserve">Since the release of Opportunity for All, Statistics Canada has investigated Market Basket Measure thresholds for Canada’s remote territories, (Yukon, the Northwest Territories and Nunavut). These poverty thresholds are also adequacy benchmarks, which are likely to be of relevance to related work in Australia. </w:t>
      </w:r>
    </w:p>
    <w:p w14:paraId="5324D24B" w14:textId="77777777" w:rsidR="00D24350" w:rsidRPr="00D24350" w:rsidRDefault="00D24350" w:rsidP="00D24350">
      <w:pPr>
        <w:rPr>
          <w:lang w:val="en-GB"/>
        </w:rPr>
      </w:pPr>
      <w:r w:rsidRPr="00D24350">
        <w:rPr>
          <w:lang w:val="en-GB"/>
        </w:rPr>
        <w:t>Statistics Canada has also consulted extensively with First Nations people in the development of these measures. The ABS or an appropriate researcher or research centre in partnership with remote communities should be supported to undertake similar analysis, but the case for an immediate increase in the RAA seems particularly strong.</w:t>
      </w:r>
    </w:p>
    <w:p w14:paraId="46A4668E" w14:textId="77777777" w:rsidR="00D24350" w:rsidRPr="009F6360" w:rsidRDefault="00D24350" w:rsidP="009F6360">
      <w:pPr>
        <w:pStyle w:val="Heading2"/>
      </w:pPr>
      <w:bookmarkStart w:id="24" w:name="_Toc165366857"/>
      <w:r w:rsidRPr="009F6360">
        <w:t>2A.5 Fiscal and inflationary impacts</w:t>
      </w:r>
      <w:bookmarkEnd w:id="24"/>
    </w:p>
    <w:p w14:paraId="2BFF313A" w14:textId="77777777" w:rsidR="00D24350" w:rsidRPr="00D24350" w:rsidRDefault="00D24350" w:rsidP="00D24350">
      <w:pPr>
        <w:rPr>
          <w:lang w:val="en-GB"/>
        </w:rPr>
      </w:pPr>
      <w:r w:rsidRPr="00D24350">
        <w:rPr>
          <w:lang w:val="en-GB"/>
        </w:rPr>
        <w:t xml:space="preserve">The implementation of recommendations will have an impact on the Government’s short- and long-term fiscal strategy. The Committee recognises these reforms will add to the pre-existing fiscal pressures facing the Government due to an ageing population as outlined in its 2023 Intergenerational Report. </w:t>
      </w:r>
    </w:p>
    <w:p w14:paraId="21212FD6" w14:textId="753F051A" w:rsidR="00D24350" w:rsidRPr="00D24350" w:rsidRDefault="00D24350" w:rsidP="00D24350">
      <w:pPr>
        <w:rPr>
          <w:lang w:val="en-GB"/>
        </w:rPr>
      </w:pPr>
      <w:r w:rsidRPr="00D24350">
        <w:rPr>
          <w:lang w:val="en-GB"/>
        </w:rPr>
        <w:t xml:space="preserve">While overall the proposed increase in income support payments will add to the fiscal task facing the Government, how it meets this broader challenge will have important impacts on economic inclusion. Ensuring that the fiscal challenge is met in a way that both maximises economic growth and maintains equity can underpin greater economic inclusion. </w:t>
      </w:r>
    </w:p>
    <w:p w14:paraId="1134D5AC" w14:textId="77777777" w:rsidR="00D24350" w:rsidRPr="00D24350" w:rsidRDefault="00D24350" w:rsidP="00D24350">
      <w:pPr>
        <w:rPr>
          <w:lang w:val="en-GB"/>
        </w:rPr>
      </w:pPr>
      <w:r w:rsidRPr="00D24350">
        <w:rPr>
          <w:lang w:val="en-GB"/>
        </w:rPr>
        <w:t xml:space="preserve">The Committee has also considered analysis on whether an increase to JobSeeker by the Government consistent with our recommendations would be inflationary. We have done so because of the heightened concern around inflation in Australia and the associated need to assess proposed increases in Government spending for their potential impact on inflation. </w:t>
      </w:r>
    </w:p>
    <w:p w14:paraId="32F5F26A" w14:textId="77777777" w:rsidR="00D24350" w:rsidRPr="00D24350" w:rsidRDefault="00D24350" w:rsidP="00D24350">
      <w:pPr>
        <w:rPr>
          <w:lang w:val="en-GB"/>
        </w:rPr>
      </w:pPr>
      <w:r w:rsidRPr="00D24350">
        <w:rPr>
          <w:lang w:val="en-GB"/>
        </w:rPr>
        <w:t xml:space="preserve">In its deliberations on this issue, the Committee acknowledged the difficulty of calculating the likelihood of any increase in inflation due to the proposed rise in JobSeeker and related payments. Ultimately the Committee was advised that any impact would likely be small to negligible. This is primarily because the increases represent a small share of overall expenditure in the economy. An increase in the rate of JobSeeker and related payments to 90% of the Age Pension would cost approximately $4.6 billion per annum and represent around 0.43% of total household consumption and 0.16% of GDP. </w:t>
      </w:r>
    </w:p>
    <w:p w14:paraId="5B268DCC" w14:textId="5CFF10BF" w:rsidR="00D24350" w:rsidRPr="00D24350" w:rsidRDefault="00D24350" w:rsidP="00D24350">
      <w:pPr>
        <w:rPr>
          <w:lang w:val="en-GB"/>
        </w:rPr>
      </w:pPr>
      <w:r w:rsidRPr="00D24350">
        <w:rPr>
          <w:lang w:val="en-GB"/>
        </w:rPr>
        <w:t>There may be a one-off marginal increase to inflation if the additional payments fully flowed through to household spending, but any change is likely to be small to negligible and depend on how such a change is implemented. The Committee would welcome further analysis by Treasury on these matters, and any subsequent decision should be based on the Treasury analysis.</w:t>
      </w:r>
    </w:p>
    <w:p w14:paraId="711AC1DE" w14:textId="77777777" w:rsidR="00D24350" w:rsidRPr="009F6360" w:rsidRDefault="00D24350" w:rsidP="009F6360">
      <w:pPr>
        <w:pStyle w:val="Heading2"/>
      </w:pPr>
      <w:bookmarkStart w:id="25" w:name="_Toc165366858"/>
      <w:r w:rsidRPr="009F6360">
        <w:lastRenderedPageBreak/>
        <w:t>2A.6 Conclusion</w:t>
      </w:r>
      <w:bookmarkEnd w:id="25"/>
    </w:p>
    <w:p w14:paraId="2A8C5E08" w14:textId="77777777" w:rsidR="00D24350" w:rsidRPr="00D24350" w:rsidRDefault="00D24350" w:rsidP="00D24350">
      <w:pPr>
        <w:rPr>
          <w:lang w:val="en-GB"/>
        </w:rPr>
      </w:pPr>
      <w:r w:rsidRPr="00D24350">
        <w:rPr>
          <w:lang w:val="en-GB"/>
        </w:rPr>
        <w:t>As emphasised in the First Report of the Committee (EIAC 2023), all indicators reviewed by the Committee continue to show that rates for JobSeeker Payment and related non-pension payments for working-age Australians are seriously inadequate, whether measured relative to average or National Minimum Wages, in comparison with pensions, or measured against a range of income poverty measures. People receiving these payments face the highest levels of financial stress in the Australian community.</w:t>
      </w:r>
    </w:p>
    <w:p w14:paraId="66002076" w14:textId="77777777" w:rsidR="00D24350" w:rsidRPr="00D24350" w:rsidRDefault="00D24350" w:rsidP="00D24350">
      <w:pPr>
        <w:rPr>
          <w:lang w:val="en-GB"/>
        </w:rPr>
      </w:pPr>
      <w:r w:rsidRPr="00D24350">
        <w:rPr>
          <w:lang w:val="en-GB"/>
        </w:rPr>
        <w:t>The Government has responded to the recommendations of the First Report with a range of measures in the 2023-24 Budget, the White Paper on Jobs and Opportunities, and through the Tackling Entrenched Disadvantage Package.</w:t>
      </w:r>
    </w:p>
    <w:p w14:paraId="2DEA3A9E" w14:textId="77777777" w:rsidR="00D24350" w:rsidRPr="00D24350" w:rsidRDefault="00D24350" w:rsidP="00D24350">
      <w:pPr>
        <w:rPr>
          <w:lang w:val="en-GB"/>
        </w:rPr>
      </w:pPr>
      <w:r w:rsidRPr="00D24350">
        <w:rPr>
          <w:lang w:val="en-GB"/>
        </w:rPr>
        <w:t>In summary, there has been some progress, but it has been limited. The Committee continues to argue that rates of working age income support and supplements should be increased to 90% of the pension rate and supplements as a priority to improve the adequacy of the Australian social security system. If these increases are to be staged, a clear timetable to achieve this objective should be established.</w:t>
      </w:r>
    </w:p>
    <w:p w14:paraId="1E83FFDC" w14:textId="0A2C4FDE" w:rsidR="00D24350" w:rsidRPr="00D24350" w:rsidRDefault="00D24350" w:rsidP="00D24350">
      <w:pPr>
        <w:rPr>
          <w:lang w:val="en-GB"/>
        </w:rPr>
      </w:pPr>
      <w:r w:rsidRPr="00D24350">
        <w:rPr>
          <w:lang w:val="en-GB"/>
        </w:rPr>
        <w:t>Since the 1990s, the gap between pensions and most working-age payments widened primarily as a result of the benchmarking of pensions to MTAWE, which was applied to the Age Pension and DSP and Carer Payment, but not to other working age social security payments.</w:t>
      </w:r>
    </w:p>
    <w:p w14:paraId="48FB4F99" w14:textId="77777777" w:rsidR="00D24350" w:rsidRPr="00D24350" w:rsidRDefault="00D24350" w:rsidP="00D24350">
      <w:pPr>
        <w:rPr>
          <w:lang w:val="en-GB"/>
        </w:rPr>
      </w:pPr>
      <w:r w:rsidRPr="00D24350">
        <w:rPr>
          <w:lang w:val="en-GB"/>
        </w:rPr>
        <w:t>The Committee recommends the Government improve the adequacy of indexation of working-age payments immediately, and regularly reviews and monitors the relationship between working age payments levels and widely accepted measures of community living standards, including wages.</w:t>
      </w:r>
    </w:p>
    <w:p w14:paraId="6C296EA8" w14:textId="77777777" w:rsidR="00D24350" w:rsidRPr="00D24350" w:rsidRDefault="00D24350" w:rsidP="00D24350">
      <w:pPr>
        <w:rPr>
          <w:lang w:val="en-GB"/>
        </w:rPr>
      </w:pPr>
      <w:r w:rsidRPr="00D24350">
        <w:rPr>
          <w:lang w:val="en-GB"/>
        </w:rPr>
        <w:t xml:space="preserve">The social security system is complex. The Committee considers it essential that further analysis be undertaken of the overall system of support for working-age households. </w:t>
      </w:r>
    </w:p>
    <w:p w14:paraId="0DDBDB6A" w14:textId="77777777" w:rsidR="009F6360" w:rsidRDefault="00D24350" w:rsidP="00D24350">
      <w:pPr>
        <w:rPr>
          <w:lang w:val="en-GB"/>
        </w:rPr>
      </w:pPr>
      <w:r w:rsidRPr="00D24350">
        <w:rPr>
          <w:lang w:val="en-GB"/>
        </w:rPr>
        <w:t>However, the immediate priority remains substantial increases to the base rates of JobSeeker Payment and related payments.</w:t>
      </w:r>
    </w:p>
    <w:p w14:paraId="196EBD72" w14:textId="77777777" w:rsidR="00DE7D93" w:rsidRPr="00DE7D93" w:rsidRDefault="00DE7D93" w:rsidP="005C7B9D">
      <w:pPr>
        <w:shd w:val="clear" w:color="auto" w:fill="FAF1E8" w:themeFill="accent2"/>
        <w:rPr>
          <w:b/>
          <w:bCs/>
        </w:rPr>
      </w:pPr>
      <w:r w:rsidRPr="00DE7D93">
        <w:rPr>
          <w:b/>
          <w:bCs/>
        </w:rPr>
        <w:t>Recommendation 1</w:t>
      </w:r>
    </w:p>
    <w:p w14:paraId="48667676" w14:textId="77777777" w:rsidR="00DE7D93" w:rsidRPr="00DE7D93" w:rsidRDefault="00DE7D93" w:rsidP="005C7B9D">
      <w:pPr>
        <w:shd w:val="clear" w:color="auto" w:fill="FAF1E8" w:themeFill="accent2"/>
        <w:rPr>
          <w:b/>
          <w:bCs/>
        </w:rPr>
      </w:pPr>
      <w:r w:rsidRPr="00DE7D93">
        <w:rPr>
          <w:b/>
          <w:bCs/>
        </w:rPr>
        <w:t>The Government commit to a substantial increase in the base rates of JobSeeker Payment and related working age payments as a first priority.</w:t>
      </w:r>
    </w:p>
    <w:p w14:paraId="4F7EFFE7" w14:textId="77777777" w:rsidR="00DE7D93" w:rsidRPr="00DE7D93" w:rsidRDefault="00DE7D93" w:rsidP="005C7B9D">
      <w:pPr>
        <w:shd w:val="clear" w:color="auto" w:fill="FAF1E8" w:themeFill="accent2"/>
        <w:rPr>
          <w:b/>
          <w:bCs/>
        </w:rPr>
      </w:pPr>
      <w:r w:rsidRPr="00DE7D93">
        <w:rPr>
          <w:b/>
          <w:bCs/>
        </w:rPr>
        <w:t>Recommendation 2</w:t>
      </w:r>
    </w:p>
    <w:p w14:paraId="562C1B95" w14:textId="77777777" w:rsidR="00DE7D93" w:rsidRPr="00DE7D93" w:rsidRDefault="00DE7D93" w:rsidP="005C7B9D">
      <w:pPr>
        <w:shd w:val="clear" w:color="auto" w:fill="FAF1E8" w:themeFill="accent2"/>
        <w:rPr>
          <w:b/>
          <w:bCs/>
        </w:rPr>
      </w:pPr>
      <w:r w:rsidRPr="00DE7D93">
        <w:rPr>
          <w:b/>
          <w:bCs/>
        </w:rPr>
        <w:t xml:space="preserve">The Government commit to a timeframe for the full increases of JobSeeker and related payments to be implemented, if increases are to be staged. </w:t>
      </w:r>
    </w:p>
    <w:p w14:paraId="3D3FE920" w14:textId="77777777" w:rsidR="00DE7D93" w:rsidRPr="00DE7D93" w:rsidRDefault="00DE7D93" w:rsidP="005C7B9D">
      <w:pPr>
        <w:shd w:val="clear" w:color="auto" w:fill="FAF1E8" w:themeFill="accent2"/>
        <w:rPr>
          <w:b/>
          <w:bCs/>
        </w:rPr>
      </w:pPr>
      <w:r w:rsidRPr="00DE7D93">
        <w:rPr>
          <w:b/>
          <w:bCs/>
        </w:rPr>
        <w:t>Recommendation 3</w:t>
      </w:r>
    </w:p>
    <w:p w14:paraId="57DF346F" w14:textId="77777777" w:rsidR="00DE7D93" w:rsidRPr="00DE7D93" w:rsidRDefault="00DE7D93" w:rsidP="005C7B9D">
      <w:pPr>
        <w:shd w:val="clear" w:color="auto" w:fill="FAF1E8" w:themeFill="accent2"/>
        <w:rPr>
          <w:b/>
          <w:bCs/>
        </w:rPr>
      </w:pPr>
      <w:r w:rsidRPr="00DE7D93">
        <w:rPr>
          <w:b/>
          <w:bCs/>
        </w:rPr>
        <w:t xml:space="preserve">The gap between the current level of JobSeeker Payment and the Age Pension is primarily the consequence of the benchmarking of pensions but not allowances to MTAWE since 1997. Maintaining the current approach to benchmarking in the long run will recreate the same or an even wider gap. </w:t>
      </w:r>
    </w:p>
    <w:p w14:paraId="28EB6EED" w14:textId="77777777" w:rsidR="00DE7D93" w:rsidRPr="00DE7D93" w:rsidRDefault="00DE7D93" w:rsidP="005C7B9D">
      <w:pPr>
        <w:shd w:val="clear" w:color="auto" w:fill="FAF1E8" w:themeFill="accent2"/>
        <w:rPr>
          <w:b/>
          <w:bCs/>
        </w:rPr>
      </w:pPr>
      <w:r w:rsidRPr="00DE7D93">
        <w:rPr>
          <w:b/>
          <w:bCs/>
        </w:rPr>
        <w:t>The Government improve the adequacy of indexation of working-age payments immediately, and regularly reviews and monitors the relationship between working age payments levels and widely accepted measures of community living standards, including wages.</w:t>
      </w:r>
    </w:p>
    <w:p w14:paraId="6D464A8F" w14:textId="77777777" w:rsidR="00DE7D93" w:rsidRPr="00DE7D93" w:rsidRDefault="00DE7D93" w:rsidP="005C7B9D">
      <w:pPr>
        <w:shd w:val="clear" w:color="auto" w:fill="FAF1E8" w:themeFill="accent2"/>
        <w:rPr>
          <w:b/>
          <w:bCs/>
        </w:rPr>
      </w:pPr>
      <w:r w:rsidRPr="00DE7D93">
        <w:rPr>
          <w:b/>
          <w:bCs/>
        </w:rPr>
        <w:t>Recommendation 4</w:t>
      </w:r>
    </w:p>
    <w:p w14:paraId="3B129161" w14:textId="345CC405" w:rsidR="00DE7D93" w:rsidRPr="00DE7D93" w:rsidRDefault="00DE7D93" w:rsidP="005C7B9D">
      <w:pPr>
        <w:shd w:val="clear" w:color="auto" w:fill="FAF1E8" w:themeFill="accent2"/>
        <w:rPr>
          <w:b/>
          <w:bCs/>
          <w:lang w:val="en-US"/>
        </w:rPr>
      </w:pPr>
      <w:r w:rsidRPr="00DE7D93">
        <w:rPr>
          <w:b/>
          <w:bCs/>
        </w:rPr>
        <w:t>The ABS or an appropriate researcher or research centre in partnership with remote communities should be funded to undertake analysis of the additional costs of living in remote areas, but the case for an immediate increase in the RAA seems particularly strong.</w:t>
      </w:r>
    </w:p>
    <w:p w14:paraId="0002BD02" w14:textId="77777777" w:rsidR="0061582F" w:rsidRDefault="0061582F">
      <w:pPr>
        <w:spacing w:after="0"/>
        <w:rPr>
          <w:lang w:val="en-GB"/>
        </w:rPr>
        <w:sectPr w:rsidR="0061582F" w:rsidSect="0039440B">
          <w:headerReference w:type="first" r:id="rId30"/>
          <w:pgSz w:w="11906" w:h="16838"/>
          <w:pgMar w:top="1440" w:right="1440" w:bottom="1440" w:left="1440" w:header="708" w:footer="708" w:gutter="0"/>
          <w:cols w:space="708"/>
          <w:titlePg/>
          <w:docGrid w:linePitch="360"/>
        </w:sectPr>
      </w:pPr>
    </w:p>
    <w:p w14:paraId="0C870737" w14:textId="701747A2" w:rsidR="009F6360" w:rsidRPr="0061582F" w:rsidRDefault="00262D09" w:rsidP="009F6360">
      <w:pPr>
        <w:pStyle w:val="Heading1"/>
        <w:rPr>
          <w:color w:val="F9F1E7" w:themeColor="background2"/>
        </w:rPr>
      </w:pPr>
      <w:bookmarkStart w:id="26" w:name="_Toc165366859"/>
      <w:r>
        <w:rPr>
          <w:noProof/>
        </w:rPr>
        <w:lastRenderedPageBreak/>
        <w:drawing>
          <wp:anchor distT="0" distB="0" distL="114300" distR="114300" simplePos="0" relativeHeight="251667456" behindDoc="1" locked="0" layoutInCell="1" allowOverlap="1" wp14:anchorId="229FE433" wp14:editId="64E8EC3E">
            <wp:simplePos x="0" y="0"/>
            <wp:positionH relativeFrom="page">
              <wp:align>left</wp:align>
            </wp:positionH>
            <wp:positionV relativeFrom="paragraph">
              <wp:posOffset>-914400</wp:posOffset>
            </wp:positionV>
            <wp:extent cx="7560310" cy="10687050"/>
            <wp:effectExtent l="0" t="0" r="2540" b="0"/>
            <wp:wrapNone/>
            <wp:docPr id="164964665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61582F" w:rsidRPr="0061582F">
        <w:rPr>
          <w:color w:val="F9F1E7" w:themeColor="background2"/>
        </w:rPr>
        <w:t xml:space="preserve">Chapter 2B: </w:t>
      </w:r>
      <w:r w:rsidR="009F5B82">
        <w:rPr>
          <w:color w:val="F9F1E7" w:themeColor="background2"/>
        </w:rPr>
        <w:br/>
      </w:r>
      <w:r w:rsidR="009F6360" w:rsidRPr="0061582F">
        <w:rPr>
          <w:color w:val="F9F1E7" w:themeColor="background2"/>
        </w:rPr>
        <w:t>Would a rise in JobSeeker affect incentives for paid work?</w:t>
      </w:r>
      <w:bookmarkEnd w:id="26"/>
    </w:p>
    <w:p w14:paraId="15E5869A" w14:textId="6D36F30E" w:rsidR="009F6360" w:rsidRDefault="009F6360">
      <w:pPr>
        <w:spacing w:after="0"/>
        <w:rPr>
          <w:rFonts w:eastAsiaTheme="majorEastAsia" w:cstheme="majorBidi"/>
          <w:b/>
          <w:color w:val="131727" w:themeColor="text1"/>
          <w:sz w:val="36"/>
          <w:szCs w:val="40"/>
        </w:rPr>
      </w:pPr>
      <w:r>
        <w:br w:type="page"/>
      </w:r>
    </w:p>
    <w:p w14:paraId="332C76EA" w14:textId="77777777" w:rsidR="00D24350" w:rsidRPr="009F6360" w:rsidRDefault="00D24350" w:rsidP="009F6360">
      <w:pPr>
        <w:pStyle w:val="Heading2"/>
      </w:pPr>
      <w:bookmarkStart w:id="27" w:name="_Toc165366860"/>
      <w:r w:rsidRPr="009F6360">
        <w:lastRenderedPageBreak/>
        <w:t>2B.1 Introduction</w:t>
      </w:r>
      <w:bookmarkEnd w:id="27"/>
    </w:p>
    <w:p w14:paraId="1F9509D5" w14:textId="0ABCC3B2" w:rsidR="00D24350" w:rsidRPr="0009306C" w:rsidRDefault="00D24350" w:rsidP="00D24350">
      <w:pPr>
        <w:rPr>
          <w:rStyle w:val="Emphasis"/>
        </w:rPr>
      </w:pPr>
      <w:r w:rsidRPr="0009306C">
        <w:rPr>
          <w:rStyle w:val="Emphasis"/>
        </w:rPr>
        <w:t xml:space="preserve">This section examines how an increase in the JobSeeker Payment might affect incentives for people receiving JobSeeker to take up employment. More precisely, it examines the potential effect on the take up of employment of increasing the JobSeeker Payment to 90% of the Age Pension, as is proposed in this report. </w:t>
      </w:r>
    </w:p>
    <w:p w14:paraId="33A6E2E2" w14:textId="77777777" w:rsidR="00D24350" w:rsidRPr="00D24350" w:rsidRDefault="00D24350" w:rsidP="00D24350">
      <w:pPr>
        <w:rPr>
          <w:lang w:val="en-GB"/>
        </w:rPr>
      </w:pPr>
      <w:r w:rsidRPr="00D24350">
        <w:rPr>
          <w:lang w:val="en-GB"/>
        </w:rPr>
        <w:t xml:space="preserve">The Committee’s assessment is that the negative effect of increased JobSeeker Payments on incentives to take up employment is likely to be small. This is true even for a relatively large increase to 90% of the Age Pension. The major cause of this is that the current level of JobSeeker Payments is so low that even a substantial increase would still leave unemployed Australians on extremely low incomes compared to having a job. Indeed, they would still earn less than 97.5% of employed Australians. The financial benefits of employment would remain large, and the substantial non-financial benefits of employment only add to the motivation for employment. </w:t>
      </w:r>
    </w:p>
    <w:p w14:paraId="245ABBEA" w14:textId="77777777" w:rsidR="00D24350" w:rsidRPr="00D24350" w:rsidRDefault="00D24350" w:rsidP="00D24350">
      <w:pPr>
        <w:rPr>
          <w:lang w:val="en-GB"/>
        </w:rPr>
      </w:pPr>
      <w:r w:rsidRPr="00D24350">
        <w:rPr>
          <w:lang w:val="en-GB"/>
        </w:rPr>
        <w:t>For job seekers facing economic exclusion, for whom financial stress is a major issue, some literature suggests that higher income support payments may improve the capacity to search for and accept employment. The Committee would welcome further work by Commonwealth Treasury to build evidence on these matters.</w:t>
      </w:r>
    </w:p>
    <w:p w14:paraId="47E7C23F" w14:textId="77777777" w:rsidR="00D24350" w:rsidRPr="00106700" w:rsidRDefault="00D24350" w:rsidP="00106700">
      <w:pPr>
        <w:pStyle w:val="Heading2"/>
      </w:pPr>
      <w:bookmarkStart w:id="28" w:name="_Toc165366861"/>
      <w:r w:rsidRPr="00106700">
        <w:t>2B.2 How economists think about choosing the optimal level of unemployment income support payment</w:t>
      </w:r>
      <w:bookmarkEnd w:id="28"/>
    </w:p>
    <w:p w14:paraId="2113B43E" w14:textId="77777777" w:rsidR="00D24350" w:rsidRPr="00D24350" w:rsidRDefault="00D24350" w:rsidP="00D24350">
      <w:pPr>
        <w:rPr>
          <w:lang w:val="en-GB"/>
        </w:rPr>
      </w:pPr>
      <w:r w:rsidRPr="00D24350">
        <w:rPr>
          <w:lang w:val="en-GB"/>
        </w:rPr>
        <w:t>The standard economic model identifies a key trade-off over the effect of a higher unemployment income support payment on society’s wellbeing. Social wellbeing is raised when the income of an unemployed person is increased (towards the level they would earn when employed). However, to the extent that the unemployed person’s incentive to move into employment is lowered, implying a longer time out of employment and lost output, society’s well-being is lowered. Choosing the level of income support that maximises society’s wellbeing therefore requires balancing the benefit and cost of a higher payment level.</w:t>
      </w:r>
      <w:r w:rsidRPr="00D24350">
        <w:rPr>
          <w:rStyle w:val="Superscript"/>
          <w:lang w:val="en-GB"/>
        </w:rPr>
        <w:footnoteReference w:id="24"/>
      </w:r>
      <w:r w:rsidRPr="00D24350">
        <w:rPr>
          <w:rStyle w:val="Superscript"/>
          <w:lang w:val="en-GB"/>
        </w:rPr>
        <w:t xml:space="preserve">  </w:t>
      </w:r>
    </w:p>
    <w:p w14:paraId="0BF681B3" w14:textId="77777777" w:rsidR="00D24350" w:rsidRPr="00D24350" w:rsidRDefault="00D24350" w:rsidP="00D24350">
      <w:pPr>
        <w:rPr>
          <w:lang w:val="en-GB"/>
        </w:rPr>
      </w:pPr>
      <w:r w:rsidRPr="00D24350">
        <w:rPr>
          <w:lang w:val="en-GB"/>
        </w:rPr>
        <w:t xml:space="preserve">A range of other macroeconomic effects of raising the level of unemployment income support can arise: </w:t>
      </w:r>
    </w:p>
    <w:p w14:paraId="0ADA54F8" w14:textId="77777777" w:rsidR="00D24350" w:rsidRPr="00106700" w:rsidRDefault="00D24350">
      <w:pPr>
        <w:pStyle w:val="ListParagraph"/>
        <w:numPr>
          <w:ilvl w:val="0"/>
          <w:numId w:val="7"/>
        </w:numPr>
        <w:rPr>
          <w:lang w:val="en-GB"/>
        </w:rPr>
      </w:pPr>
      <w:r w:rsidRPr="00106700">
        <w:rPr>
          <w:lang w:val="en-GB"/>
        </w:rPr>
        <w:t xml:space="preserve">Extra tax revenue must be raised to pay for the higher payment, which causes a cost to society via costs of tax collection and distortions to resource allocation from taxation. </w:t>
      </w:r>
    </w:p>
    <w:p w14:paraId="74FA769F" w14:textId="77777777" w:rsidR="00D24350" w:rsidRPr="00106700" w:rsidRDefault="00D24350">
      <w:pPr>
        <w:pStyle w:val="ListParagraph"/>
        <w:numPr>
          <w:ilvl w:val="0"/>
          <w:numId w:val="7"/>
        </w:numPr>
        <w:rPr>
          <w:lang w:val="en-GB"/>
        </w:rPr>
      </w:pPr>
      <w:r w:rsidRPr="00106700">
        <w:rPr>
          <w:lang w:val="en-GB"/>
        </w:rPr>
        <w:t>By improving well-being for job seekers, compared to being out of the labour force, a higher payment can increase labour force participation.</w:t>
      </w:r>
    </w:p>
    <w:p w14:paraId="47A5AB5F" w14:textId="77777777" w:rsidR="00D24350" w:rsidRPr="00106700" w:rsidRDefault="00D24350">
      <w:pPr>
        <w:pStyle w:val="ListParagraph"/>
        <w:numPr>
          <w:ilvl w:val="0"/>
          <w:numId w:val="7"/>
        </w:numPr>
        <w:rPr>
          <w:lang w:val="en-GB"/>
        </w:rPr>
      </w:pPr>
      <w:r w:rsidRPr="00106700">
        <w:rPr>
          <w:lang w:val="en-GB"/>
        </w:rPr>
        <w:t>By increasing a worker’s bargaining power (via their options outside employment being improved), a higher unemployment income support payment can result in increased wages in an economy, with consequent benefits for equity.</w:t>
      </w:r>
      <w:r w:rsidRPr="00106700">
        <w:rPr>
          <w:rStyle w:val="Superscript"/>
        </w:rPr>
        <w:footnoteReference w:id="25"/>
      </w:r>
    </w:p>
    <w:p w14:paraId="1D681C4D" w14:textId="77777777" w:rsidR="00D24350" w:rsidRPr="00106700" w:rsidRDefault="00D24350" w:rsidP="00106700">
      <w:pPr>
        <w:pStyle w:val="Heading2"/>
      </w:pPr>
      <w:bookmarkStart w:id="29" w:name="_Toc165366862"/>
      <w:r w:rsidRPr="00106700">
        <w:t>2B.3 Existing evidence on the impact of unemployment payments on incentives to move into employment</w:t>
      </w:r>
      <w:bookmarkEnd w:id="29"/>
    </w:p>
    <w:p w14:paraId="3E128579" w14:textId="77777777" w:rsidR="00D24350" w:rsidRPr="00D24350" w:rsidRDefault="00D24350" w:rsidP="00D24350">
      <w:pPr>
        <w:rPr>
          <w:lang w:val="en-GB"/>
        </w:rPr>
      </w:pPr>
      <w:r w:rsidRPr="00D24350">
        <w:rPr>
          <w:lang w:val="en-GB"/>
        </w:rPr>
        <w:t>Australian evidence on the impact of the level of unemployment income support payment on time taken to move into employment is limited.</w:t>
      </w:r>
      <w:r w:rsidRPr="00D24350">
        <w:rPr>
          <w:rStyle w:val="Superscript"/>
          <w:lang w:val="en-GB"/>
        </w:rPr>
        <w:footnoteReference w:id="26"/>
      </w:r>
      <w:r w:rsidRPr="00D24350">
        <w:rPr>
          <w:lang w:val="en-GB"/>
        </w:rPr>
        <w:t xml:space="preserve"> International evidence suggests an average </w:t>
      </w:r>
      <w:r w:rsidRPr="00D24350">
        <w:rPr>
          <w:lang w:val="en-GB"/>
        </w:rPr>
        <w:lastRenderedPageBreak/>
        <w:t>negative effect from higher unemployment benefit levels on incentives for job seekers to move into employment. A recent major review found that the median estimate of the cost to society from a $1 increase in payment – via the negative incentive effect – is $1.35. That is, in addition to paying the $1, the Government must make up an additional 35 cents of tax revenue due to the reduced labour supply/time in employment of the person who receives that higher payment.</w:t>
      </w:r>
      <w:r w:rsidRPr="00F57B7C">
        <w:rPr>
          <w:rStyle w:val="Superscript"/>
        </w:rPr>
        <w:footnoteReference w:id="27"/>
      </w:r>
      <w:r w:rsidRPr="00D24350">
        <w:rPr>
          <w:lang w:val="en-GB"/>
        </w:rPr>
        <w:t xml:space="preserve">  </w:t>
      </w:r>
    </w:p>
    <w:p w14:paraId="30CEF247" w14:textId="5C77F7ED" w:rsidR="00D24350" w:rsidRPr="00D24350" w:rsidRDefault="00D24350" w:rsidP="00D24350">
      <w:pPr>
        <w:rPr>
          <w:lang w:val="en-GB"/>
        </w:rPr>
      </w:pPr>
      <w:r w:rsidRPr="00D24350">
        <w:rPr>
          <w:lang w:val="en-GB"/>
        </w:rPr>
        <w:t xml:space="preserve">An earlier review had similarly concluded that: </w:t>
      </w:r>
    </w:p>
    <w:p w14:paraId="7E67C77A" w14:textId="21C34D44" w:rsidR="00D24350" w:rsidRPr="00D24350" w:rsidRDefault="00D24350" w:rsidP="00D24350">
      <w:pPr>
        <w:rPr>
          <w:rStyle w:val="SubtleEmphasis"/>
          <w:lang w:val="en-GB"/>
        </w:rPr>
      </w:pPr>
      <w:r w:rsidRPr="00D24350">
        <w:rPr>
          <w:rStyle w:val="SubtleEmphasis"/>
          <w:lang w:val="en-GB"/>
        </w:rPr>
        <w:t>‘The main conclusion that can be drawn on the basis of the overview of studies…is that there are substantial effects on unemployment duration if the replacement rate (the ratio of unemployment income support payment to average earnings) changes…Consistent with the theory, most of the effect of the increase in benefit levels takes place early in the spell…’</w:t>
      </w:r>
      <w:r w:rsidRPr="00D24350">
        <w:rPr>
          <w:rStyle w:val="Superscript"/>
          <w:lang w:val="en-GB"/>
        </w:rPr>
        <w:footnoteReference w:id="28"/>
      </w:r>
    </w:p>
    <w:p w14:paraId="6E5C7E3E" w14:textId="77777777" w:rsidR="00D24350" w:rsidRPr="00D24350" w:rsidRDefault="00D24350" w:rsidP="00D24350">
      <w:pPr>
        <w:rPr>
          <w:lang w:val="en-GB"/>
        </w:rPr>
      </w:pPr>
      <w:r w:rsidRPr="00D24350">
        <w:rPr>
          <w:lang w:val="en-GB"/>
        </w:rPr>
        <w:t xml:space="preserve">The major difficulty with applying existing evidence to judge what would be the impact of an increase in JobSeeker is that the relevance of that evidence is questionable. The financial disincentive effect from receipt of an income support payment for unemployment depends on the size of gap between the income support payment and labour market earnings that could be achieved from moving into employment. </w:t>
      </w:r>
    </w:p>
    <w:p w14:paraId="6D63F227" w14:textId="77777777" w:rsidR="00D24350" w:rsidRPr="00D24350" w:rsidRDefault="00D24350" w:rsidP="00D24350">
      <w:pPr>
        <w:rPr>
          <w:lang w:val="en-GB"/>
        </w:rPr>
      </w:pPr>
      <w:r w:rsidRPr="00D24350">
        <w:rPr>
          <w:lang w:val="en-GB"/>
        </w:rPr>
        <w:t xml:space="preserve">The level of JobSeeker Payment is so low in Australia compared to other countries, and the fact that Australia has a relatively high minimum wage, mean that international studies are based on changes in income support that have occurred with much smaller starting gaps between the payment and potential labour market earnings than in Australia. This difference is likely to cause significantly different implications for financial disincentives from increasing income support for job seekers in Australia compared to other countries. </w:t>
      </w:r>
    </w:p>
    <w:p w14:paraId="2E4DB615" w14:textId="77777777" w:rsidR="00D24350" w:rsidRPr="00D24350" w:rsidRDefault="00D24350" w:rsidP="00D24350">
      <w:pPr>
        <w:rPr>
          <w:lang w:val="en-GB"/>
        </w:rPr>
      </w:pPr>
      <w:r w:rsidRPr="00D24350">
        <w:rPr>
          <w:lang w:val="en-GB"/>
        </w:rPr>
        <w:t>What would be the impact of increasing JobSeeker on incentives to move into employment in Australia?</w:t>
      </w:r>
    </w:p>
    <w:p w14:paraId="764F1D77" w14:textId="77777777" w:rsidR="00D24350" w:rsidRPr="00D24350" w:rsidRDefault="00D24350" w:rsidP="00D24350">
      <w:pPr>
        <w:rPr>
          <w:lang w:val="en-GB"/>
        </w:rPr>
      </w:pPr>
      <w:r w:rsidRPr="00D24350">
        <w:rPr>
          <w:lang w:val="en-GB"/>
        </w:rPr>
        <w:t xml:space="preserve">With existing evidence being of limited relevance, the best way to proceed to analyse the impact of an increase in JobSeeker on financial disincentives for work is to present descriptive information on the size of gap between JobSeeker and potential labour market earnings that would exist following an increase in JobSeeker.  </w:t>
      </w:r>
    </w:p>
    <w:p w14:paraId="542A5644" w14:textId="77777777" w:rsidR="00D24350" w:rsidRPr="005C6684" w:rsidRDefault="00D24350" w:rsidP="005C6684">
      <w:pPr>
        <w:pStyle w:val="Heading3"/>
      </w:pPr>
      <w:r w:rsidRPr="005C6684">
        <w:t>2B.3.1 Financial disincentives</w:t>
      </w:r>
    </w:p>
    <w:p w14:paraId="773C4817" w14:textId="77777777" w:rsidR="00D24350" w:rsidRPr="00D24350" w:rsidRDefault="00D24350" w:rsidP="00D24350">
      <w:pPr>
        <w:rPr>
          <w:lang w:val="en-GB"/>
        </w:rPr>
      </w:pPr>
      <w:r w:rsidRPr="00D24350">
        <w:rPr>
          <w:lang w:val="en-GB"/>
        </w:rPr>
        <w:t xml:space="preserve">Decisions about whether to take up extra work occur on different margins. The extensive margin is whether to move into work from unemployment – for example, a JobSeeker recipient who is not in paid work may have the opportunity to move into full-time employment. The intensive margin is the amount of time worked – for example, a JobSeeker Payment recipient who is currently working may need to decide whether to agree to extend their current amount of work by an extra day. </w:t>
      </w:r>
    </w:p>
    <w:p w14:paraId="5EA68EF1" w14:textId="77777777" w:rsidR="00D24350" w:rsidRPr="005C6684" w:rsidRDefault="00D24350" w:rsidP="005C6684">
      <w:pPr>
        <w:pStyle w:val="Heading3"/>
      </w:pPr>
      <w:r w:rsidRPr="005C6684">
        <w:t>2B.3.2 Shift from no work to full-time employment</w:t>
      </w:r>
    </w:p>
    <w:p w14:paraId="36C6A5AB" w14:textId="77777777" w:rsidR="00D24350" w:rsidRPr="00D24350" w:rsidRDefault="00D24350" w:rsidP="00D24350">
      <w:pPr>
        <w:rPr>
          <w:lang w:val="en-GB"/>
        </w:rPr>
      </w:pPr>
      <w:r w:rsidRPr="00D24350">
        <w:rPr>
          <w:lang w:val="en-GB"/>
        </w:rPr>
        <w:t xml:space="preserve">The size of the JobSeeker Payment could increase by a substantial amount without significantly reducing the relative monetary returns from working compared to receiving only the payment. </w:t>
      </w:r>
    </w:p>
    <w:p w14:paraId="7DCE5D18" w14:textId="78D90555" w:rsidR="00D24350" w:rsidRDefault="00D24350" w:rsidP="00D24350">
      <w:pPr>
        <w:rPr>
          <w:lang w:val="en-GB"/>
        </w:rPr>
      </w:pPr>
      <w:r w:rsidRPr="00D24350">
        <w:rPr>
          <w:lang w:val="en-GB"/>
        </w:rPr>
        <w:lastRenderedPageBreak/>
        <w:t>One comparison is with the National Minimum Wage (NMW). Currently, the NMW is $882.80. At its current level of $379.00 per week (including energy supplement), the JobSeeker Payment is 42.9% of the NMW. If JobSeeker was to be raised to equal 90% of the single Age Pension, $493.52 per week, it would still be only 55.9%.</w:t>
      </w:r>
      <w:r w:rsidRPr="00D24350">
        <w:rPr>
          <w:rStyle w:val="Superscript"/>
          <w:lang w:val="en-GB"/>
        </w:rPr>
        <w:footnoteReference w:id="29"/>
      </w:r>
      <w:r w:rsidRPr="00D24350">
        <w:rPr>
          <w:rStyle w:val="Superscript"/>
          <w:lang w:val="en-GB"/>
        </w:rPr>
        <w:t xml:space="preserve"> </w:t>
      </w:r>
      <w:r w:rsidRPr="00D24350">
        <w:rPr>
          <w:lang w:val="en-GB"/>
        </w:rPr>
        <w:t xml:space="preserve">Table 8 shows this information for a variety of sizes of increase to the JobSeeker Payment. </w:t>
      </w:r>
    </w:p>
    <w:p w14:paraId="2AFB944C" w14:textId="79BDDD8A" w:rsidR="0053795E" w:rsidRDefault="0053795E" w:rsidP="0053795E">
      <w:pPr>
        <w:pStyle w:val="Heading4"/>
      </w:pPr>
      <w:r>
        <w:t>Table 8: Increased JobSeeker Payments as a percentage of the National Minimum Wage</w:t>
      </w:r>
    </w:p>
    <w:tbl>
      <w:tblPr>
        <w:tblStyle w:val="TableGrid"/>
        <w:tblW w:w="0" w:type="auto"/>
        <w:tblLook w:val="04A0" w:firstRow="1" w:lastRow="0" w:firstColumn="1" w:lastColumn="0" w:noHBand="0" w:noVBand="1"/>
      </w:tblPr>
      <w:tblGrid>
        <w:gridCol w:w="4508"/>
        <w:gridCol w:w="4508"/>
      </w:tblGrid>
      <w:tr w:rsidR="0053795E" w14:paraId="42395BAE" w14:textId="77777777" w:rsidTr="00FF6A56">
        <w:trPr>
          <w:cnfStyle w:val="100000000000" w:firstRow="1" w:lastRow="0" w:firstColumn="0" w:lastColumn="0" w:oddVBand="0" w:evenVBand="0" w:oddHBand="0" w:evenHBand="0" w:firstRowFirstColumn="0" w:firstRowLastColumn="0" w:lastRowFirstColumn="0" w:lastRowLastColumn="0"/>
        </w:trPr>
        <w:tc>
          <w:tcPr>
            <w:tcW w:w="4508" w:type="dxa"/>
            <w:vAlign w:val="center"/>
          </w:tcPr>
          <w:p w14:paraId="6844E003" w14:textId="2E65AEB1" w:rsidR="0053795E" w:rsidRPr="009F5B82" w:rsidRDefault="0053795E" w:rsidP="0053795E">
            <w:pPr>
              <w:rPr>
                <w:color w:val="FFFFFF" w:themeColor="background1"/>
              </w:rPr>
            </w:pPr>
            <w:r w:rsidRPr="009F5B82">
              <w:rPr>
                <w:color w:val="FFFFFF" w:themeColor="background1"/>
              </w:rPr>
              <w:t>I</w:t>
            </w:r>
            <w:bookmarkStart w:id="30" w:name="ColumnTitle_Table8"/>
            <w:bookmarkEnd w:id="30"/>
            <w:r w:rsidRPr="009F5B82">
              <w:rPr>
                <w:color w:val="FFFFFF" w:themeColor="background1"/>
              </w:rPr>
              <w:t>ncrease in JobSeeker ($ per week)</w:t>
            </w:r>
          </w:p>
        </w:tc>
        <w:tc>
          <w:tcPr>
            <w:tcW w:w="4508" w:type="dxa"/>
            <w:vAlign w:val="center"/>
          </w:tcPr>
          <w:p w14:paraId="3552BD6A" w14:textId="0DEB7D0B" w:rsidR="0053795E" w:rsidRPr="009F5B82" w:rsidRDefault="0053795E" w:rsidP="0053795E">
            <w:pPr>
              <w:rPr>
                <w:color w:val="FFFFFF" w:themeColor="background1"/>
              </w:rPr>
            </w:pPr>
            <w:r w:rsidRPr="009F5B82">
              <w:rPr>
                <w:color w:val="FFFFFF" w:themeColor="background1"/>
              </w:rPr>
              <w:t>Per cent of National Minimum Wage</w:t>
            </w:r>
          </w:p>
        </w:tc>
      </w:tr>
      <w:tr w:rsidR="0053795E" w14:paraId="03605430" w14:textId="77777777" w:rsidTr="00FF6A56">
        <w:trPr>
          <w:cnfStyle w:val="000000100000" w:firstRow="0" w:lastRow="0" w:firstColumn="0" w:lastColumn="0" w:oddVBand="0" w:evenVBand="0" w:oddHBand="1" w:evenHBand="0" w:firstRowFirstColumn="0" w:firstRowLastColumn="0" w:lastRowFirstColumn="0" w:lastRowLastColumn="0"/>
        </w:trPr>
        <w:tc>
          <w:tcPr>
            <w:tcW w:w="4508" w:type="dxa"/>
            <w:vAlign w:val="center"/>
          </w:tcPr>
          <w:p w14:paraId="2D7F09B0" w14:textId="1E28C014" w:rsidR="0053795E" w:rsidRPr="0053795E" w:rsidRDefault="0053795E" w:rsidP="0053795E">
            <w:r w:rsidRPr="0053795E">
              <w:t>0 (Current rate = $379)</w:t>
            </w:r>
          </w:p>
        </w:tc>
        <w:tc>
          <w:tcPr>
            <w:tcW w:w="4508" w:type="dxa"/>
            <w:vAlign w:val="center"/>
          </w:tcPr>
          <w:p w14:paraId="7DA378DB" w14:textId="1C5D71C5" w:rsidR="0053795E" w:rsidRPr="0053795E" w:rsidRDefault="0053795E" w:rsidP="0053795E">
            <w:r w:rsidRPr="0053795E">
              <w:t>42.9</w:t>
            </w:r>
          </w:p>
        </w:tc>
      </w:tr>
      <w:tr w:rsidR="0053795E" w14:paraId="41D4D3E7" w14:textId="77777777" w:rsidTr="00FF6A56">
        <w:tc>
          <w:tcPr>
            <w:tcW w:w="4508" w:type="dxa"/>
            <w:vAlign w:val="center"/>
          </w:tcPr>
          <w:p w14:paraId="218A54D6" w14:textId="47E25660" w:rsidR="0053795E" w:rsidRPr="0053795E" w:rsidRDefault="0053795E" w:rsidP="0053795E">
            <w:r w:rsidRPr="0053795E">
              <w:t>25</w:t>
            </w:r>
          </w:p>
        </w:tc>
        <w:tc>
          <w:tcPr>
            <w:tcW w:w="4508" w:type="dxa"/>
            <w:vAlign w:val="center"/>
          </w:tcPr>
          <w:p w14:paraId="52E54D57" w14:textId="51188979" w:rsidR="0053795E" w:rsidRPr="0053795E" w:rsidRDefault="0053795E" w:rsidP="0053795E">
            <w:r w:rsidRPr="0053795E">
              <w:t>45.8</w:t>
            </w:r>
          </w:p>
        </w:tc>
      </w:tr>
      <w:tr w:rsidR="0053795E" w14:paraId="7D88E2B5" w14:textId="77777777" w:rsidTr="00FF6A56">
        <w:trPr>
          <w:cnfStyle w:val="000000100000" w:firstRow="0" w:lastRow="0" w:firstColumn="0" w:lastColumn="0" w:oddVBand="0" w:evenVBand="0" w:oddHBand="1" w:evenHBand="0" w:firstRowFirstColumn="0" w:firstRowLastColumn="0" w:lastRowFirstColumn="0" w:lastRowLastColumn="0"/>
        </w:trPr>
        <w:tc>
          <w:tcPr>
            <w:tcW w:w="4508" w:type="dxa"/>
            <w:vAlign w:val="center"/>
          </w:tcPr>
          <w:p w14:paraId="1CD221D5" w14:textId="355ED6AD" w:rsidR="0053795E" w:rsidRPr="0053795E" w:rsidRDefault="0053795E" w:rsidP="0053795E">
            <w:r w:rsidRPr="0053795E">
              <w:t>50</w:t>
            </w:r>
          </w:p>
        </w:tc>
        <w:tc>
          <w:tcPr>
            <w:tcW w:w="4508" w:type="dxa"/>
            <w:vAlign w:val="center"/>
          </w:tcPr>
          <w:p w14:paraId="4468A4D9" w14:textId="125E7E05" w:rsidR="0053795E" w:rsidRPr="0053795E" w:rsidRDefault="0053795E" w:rsidP="0053795E">
            <w:r w:rsidRPr="0053795E">
              <w:t>48.6</w:t>
            </w:r>
          </w:p>
        </w:tc>
      </w:tr>
      <w:tr w:rsidR="0053795E" w14:paraId="1CB87DA5" w14:textId="77777777" w:rsidTr="00FF6A56">
        <w:tc>
          <w:tcPr>
            <w:tcW w:w="4508" w:type="dxa"/>
            <w:vAlign w:val="center"/>
          </w:tcPr>
          <w:p w14:paraId="076E3DB5" w14:textId="4E15511E" w:rsidR="0053795E" w:rsidRPr="0053795E" w:rsidRDefault="0053795E" w:rsidP="0053795E">
            <w:r w:rsidRPr="0053795E">
              <w:t>114.52 (90% of Single Age Pension)</w:t>
            </w:r>
          </w:p>
        </w:tc>
        <w:tc>
          <w:tcPr>
            <w:tcW w:w="4508" w:type="dxa"/>
            <w:vAlign w:val="center"/>
          </w:tcPr>
          <w:p w14:paraId="2B41F749" w14:textId="22D5DACB" w:rsidR="0053795E" w:rsidRPr="0053795E" w:rsidRDefault="0053795E" w:rsidP="0053795E">
            <w:r w:rsidRPr="0053795E">
              <w:t>55.9</w:t>
            </w:r>
          </w:p>
        </w:tc>
      </w:tr>
    </w:tbl>
    <w:p w14:paraId="05EF5CA8" w14:textId="77777777" w:rsidR="0053795E" w:rsidRDefault="0053795E" w:rsidP="0053795E">
      <w:pPr>
        <w:pStyle w:val="Caption"/>
      </w:pPr>
      <w:r>
        <w:t>Source: Calculated from income support rates effective from 20 September 2023 from https://www.servicesaustralia.gov.au/sites/default/files/2023-09/co029-2309.pdf;  https://www.fwc.gov.au/agreements-awards/minimum-wages-and-conditions/national-minimum-wage#:~:text=The%20national%20minimum%20wage%20sets,hours%20(%2423.23%20per%20hour)</w:t>
      </w:r>
    </w:p>
    <w:p w14:paraId="70D668F6" w14:textId="38AE8DEF" w:rsidR="00D24350" w:rsidRDefault="00D24350" w:rsidP="00D24350">
      <w:pPr>
        <w:rPr>
          <w:lang w:val="en-GB"/>
        </w:rPr>
      </w:pPr>
      <w:r w:rsidRPr="00D24350">
        <w:rPr>
          <w:lang w:val="en-GB"/>
        </w:rPr>
        <w:t xml:space="preserve">Comparison with weekly earnings of the current workforce provides an even stronger message about the minimal disincentive effect from an increase in JobSeeker. Figure 13 shows the distribution of weekly earnings of full-time employees in Australia in 2023. At the current rate of payment, a JobSeeker recipient is receiving just above the weekly earnings of an employee at the 1st percentile of the distribution. If the JobSeeker Payment was to be increased to be 90% of the Age Pension, it would still be at a level just above the weekly earnings of a worker at the 2nd percentile of the distribution. That is, more than 97.5% of full-time employees would be earning more than the JobSeeker Payment recipient. </w:t>
      </w:r>
    </w:p>
    <w:p w14:paraId="6C85A052" w14:textId="56DE638F" w:rsidR="00D24350" w:rsidRDefault="00D24350" w:rsidP="00D24350">
      <w:pPr>
        <w:rPr>
          <w:lang w:val="en-GB"/>
        </w:rPr>
      </w:pPr>
      <w:r w:rsidRPr="00D24350">
        <w:rPr>
          <w:lang w:val="en-GB"/>
        </w:rPr>
        <w:t>Even if it was thought that JobSeeker recipients were mainly likely to move into jobs at the bottom of the distribution of earnings, there would still be a substantial gain in their incomes from doing that. For example, a worker at the 10th percentile had weekly earnings of $847 per week in 2023. So only moving to a job at the 10th percentile would still raise the income of a JobSeeker recipient by 70%, even after an increase in JobSeeker to 90% of the Age Pension.</w:t>
      </w:r>
      <w:r w:rsidRPr="00D24350">
        <w:rPr>
          <w:rStyle w:val="Superscript"/>
          <w:lang w:val="en-GB"/>
        </w:rPr>
        <w:footnoteReference w:id="30"/>
      </w:r>
    </w:p>
    <w:p w14:paraId="7C8ED003" w14:textId="77777777" w:rsidR="005C7B9D" w:rsidRPr="0053795E" w:rsidRDefault="005C7B9D" w:rsidP="005C7B9D">
      <w:pPr>
        <w:pStyle w:val="Heading4"/>
        <w:rPr>
          <w:lang w:val="en-US"/>
        </w:rPr>
      </w:pPr>
      <w:r>
        <w:lastRenderedPageBreak/>
        <w:t>Figure 13: JobSeeker Payment (increased to 90% of the Age Pension) compared against the distribution of weekly earnings of full-time employees, Australia, 2023</w:t>
      </w:r>
    </w:p>
    <w:p w14:paraId="0DCF03E5" w14:textId="77777777" w:rsidR="005C7B9D" w:rsidRDefault="005C7B9D" w:rsidP="005C7B9D">
      <w:pPr>
        <w:rPr>
          <w:lang w:val="en-GB"/>
        </w:rPr>
      </w:pPr>
      <w:r>
        <w:rPr>
          <w:noProof/>
          <w:lang w:val="en-GB"/>
        </w:rPr>
        <w:drawing>
          <wp:inline distT="0" distB="0" distL="0" distR="0" wp14:anchorId="60F7B0C1" wp14:editId="6BFDB4DB">
            <wp:extent cx="5219700" cy="2832100"/>
            <wp:effectExtent l="0" t="0" r="0" b="0"/>
            <wp:docPr id="1038688857" name="Picture 11" descr="Figure 13: JobSeeker Payment (increased to 90% of the Age Pension) compared against the distribution of weekly earnings of full-time employees, Australi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88857" name="Picture 11" descr="Figure 13: JobSeeker Payment (increased to 90% of the Age Pension) compared against the distribution of weekly earnings of full-time employees, Australia, 2023"/>
                    <pic:cNvPicPr/>
                  </pic:nvPicPr>
                  <pic:blipFill rotWithShape="1">
                    <a:blip r:embed="rId31">
                      <a:extLst>
                        <a:ext uri="{28A0092B-C50C-407E-A947-70E740481C1C}">
                          <a14:useLocalDpi xmlns:a14="http://schemas.microsoft.com/office/drawing/2010/main" val="0"/>
                        </a:ext>
                      </a:extLst>
                    </a:blip>
                    <a:srcRect t="19495"/>
                    <a:stretch/>
                  </pic:blipFill>
                  <pic:spPr bwMode="auto">
                    <a:xfrm>
                      <a:off x="0" y="0"/>
                      <a:ext cx="5219700" cy="2832100"/>
                    </a:xfrm>
                    <a:prstGeom prst="rect">
                      <a:avLst/>
                    </a:prstGeom>
                    <a:ln>
                      <a:noFill/>
                    </a:ln>
                    <a:extLst>
                      <a:ext uri="{53640926-AAD7-44D8-BBD7-CCE9431645EC}">
                        <a14:shadowObscured xmlns:a14="http://schemas.microsoft.com/office/drawing/2010/main"/>
                      </a:ext>
                    </a:extLst>
                  </pic:spPr>
                </pic:pic>
              </a:graphicData>
            </a:graphic>
          </wp:inline>
        </w:drawing>
      </w:r>
    </w:p>
    <w:p w14:paraId="099D8F4A" w14:textId="7FDC3714" w:rsidR="005C7B9D" w:rsidRPr="005C7B9D" w:rsidRDefault="005C7B9D" w:rsidP="005C7B9D">
      <w:pPr>
        <w:pStyle w:val="Caption"/>
      </w:pPr>
      <w:r>
        <w:t>Source: ABS, Employee Earnings, August 2023, Table 8.</w:t>
      </w:r>
    </w:p>
    <w:p w14:paraId="5D646CD6" w14:textId="77777777" w:rsidR="00D24350" w:rsidRPr="00D24350" w:rsidRDefault="00D24350" w:rsidP="005C6684">
      <w:pPr>
        <w:pStyle w:val="Heading3"/>
        <w:rPr>
          <w:lang w:val="en-GB"/>
        </w:rPr>
      </w:pPr>
      <w:r w:rsidRPr="00D24350">
        <w:rPr>
          <w:lang w:val="en-US"/>
        </w:rPr>
        <w:t>2B.3.3 Increasing current time worked by a day</w:t>
      </w:r>
    </w:p>
    <w:p w14:paraId="70B0421A" w14:textId="4A93FE4F" w:rsidR="00D24350" w:rsidRPr="00D24350" w:rsidRDefault="00D24350" w:rsidP="00D24350">
      <w:pPr>
        <w:rPr>
          <w:lang w:val="en-GB"/>
        </w:rPr>
      </w:pPr>
      <w:r w:rsidRPr="00D24350">
        <w:rPr>
          <w:lang w:val="en-GB"/>
        </w:rPr>
        <w:t xml:space="preserve">Should the JobSeeker Payment be increased to 90% of the Age Pension, recipients would retain a significant financial incentive to work extra days. Table 9 shows financial gains from extra days of employment: the total gain compared to no work and the marginal gain from an extra day of work. These are shown for the current JobSeeker Payment (1) and under the scenario where the JobSeeker Payment is increased to 90% of the Age Pension (2). Calculations reported assume that the minimum wage is paid for work done,  income testing arrangements for JobSeeker remain the same as at present and make adjustments for income tax (but not the Medicare levy). </w:t>
      </w:r>
    </w:p>
    <w:p w14:paraId="34E4E305" w14:textId="77777777" w:rsidR="00D24350" w:rsidRPr="00D24350" w:rsidRDefault="00D24350" w:rsidP="00D24350">
      <w:pPr>
        <w:rPr>
          <w:lang w:val="en-GB"/>
        </w:rPr>
      </w:pPr>
      <w:r w:rsidRPr="00D24350">
        <w:rPr>
          <w:lang w:val="en-GB"/>
        </w:rPr>
        <w:t xml:space="preserve">Under both scenarios, the gain from an extra day of employment is always positive. </w:t>
      </w:r>
    </w:p>
    <w:p w14:paraId="53E0514A" w14:textId="7C17D692" w:rsidR="00D24350" w:rsidRDefault="00D24350" w:rsidP="00D24350">
      <w:pPr>
        <w:rPr>
          <w:lang w:val="en-GB"/>
        </w:rPr>
      </w:pPr>
      <w:r w:rsidRPr="00D24350">
        <w:rPr>
          <w:lang w:val="en-GB"/>
        </w:rPr>
        <w:t>Was JobSeeker to be increased by $114.52 per week, to be equivalent to 90% of the Age Pension, the marginal gain from working an extra day is similar to at present for the 1st to 4th days of work, and smaller for the 5th day. The smaller gain from working on the 5th day is due to the JobSeeker Payment cutting out after four days at present, but only cutting out on the 5th day if the payment was to be increased to 90% of the Age Pension. It is important to note that calculations reported in Table 9 assume income test arrangements remain as at present. Hence, by also adjusting income test arrangements at the same time as increasing the JobSeeker Payment, it would be possible to (for example) create an increasing marginal financial gain from an extra day of work across days.</w:t>
      </w:r>
    </w:p>
    <w:p w14:paraId="13FB097B" w14:textId="77777777" w:rsidR="005C7B9D" w:rsidRPr="0053795E" w:rsidRDefault="005C7B9D" w:rsidP="005C7B9D">
      <w:pPr>
        <w:pStyle w:val="Heading4"/>
        <w:rPr>
          <w:lang w:val="en-US"/>
        </w:rPr>
      </w:pPr>
      <w:r>
        <w:t>Table 9: Gains from an extra day of employment for a single adult on JobSeeker Payment</w:t>
      </w:r>
    </w:p>
    <w:tbl>
      <w:tblPr>
        <w:tblStyle w:val="TableGrid"/>
        <w:tblW w:w="0" w:type="auto"/>
        <w:tblLook w:val="04A0" w:firstRow="1" w:lastRow="0" w:firstColumn="1" w:lastColumn="0" w:noHBand="0" w:noVBand="1"/>
      </w:tblPr>
      <w:tblGrid>
        <w:gridCol w:w="3650"/>
        <w:gridCol w:w="889"/>
        <w:gridCol w:w="921"/>
        <w:gridCol w:w="889"/>
        <w:gridCol w:w="889"/>
        <w:gridCol w:w="889"/>
        <w:gridCol w:w="889"/>
      </w:tblGrid>
      <w:tr w:rsidR="005C7B9D" w14:paraId="31990D3C" w14:textId="77777777" w:rsidTr="00237808">
        <w:trPr>
          <w:cnfStyle w:val="100000000000" w:firstRow="1" w:lastRow="0" w:firstColumn="0" w:lastColumn="0" w:oddVBand="0" w:evenVBand="0" w:oddHBand="0" w:evenHBand="0" w:firstRowFirstColumn="0" w:firstRowLastColumn="0" w:lastRowFirstColumn="0" w:lastRowLastColumn="0"/>
        </w:trPr>
        <w:tc>
          <w:tcPr>
            <w:tcW w:w="3650" w:type="dxa"/>
            <w:vAlign w:val="center"/>
          </w:tcPr>
          <w:p w14:paraId="20A77074" w14:textId="77777777" w:rsidR="005C7B9D" w:rsidRPr="009F5B82" w:rsidRDefault="005C7B9D" w:rsidP="00237808">
            <w:pPr>
              <w:rPr>
                <w:color w:val="FFFFFF" w:themeColor="background1"/>
              </w:rPr>
            </w:pPr>
            <w:bookmarkStart w:id="31" w:name="ColumnTitle_Table9"/>
            <w:bookmarkEnd w:id="31"/>
            <w:r w:rsidRPr="009F5B82">
              <w:rPr>
                <w:color w:val="FFFFFF" w:themeColor="background1"/>
              </w:rPr>
              <w:t>Days worked per week at minimum wage</w:t>
            </w:r>
          </w:p>
        </w:tc>
        <w:tc>
          <w:tcPr>
            <w:tcW w:w="889" w:type="dxa"/>
            <w:vAlign w:val="center"/>
          </w:tcPr>
          <w:p w14:paraId="5291D187" w14:textId="77777777" w:rsidR="005C7B9D" w:rsidRPr="009F5B82" w:rsidRDefault="005C7B9D" w:rsidP="00237808">
            <w:pPr>
              <w:rPr>
                <w:color w:val="FFFFFF" w:themeColor="background1"/>
              </w:rPr>
            </w:pPr>
            <w:r w:rsidRPr="009F5B82">
              <w:rPr>
                <w:color w:val="FFFFFF" w:themeColor="background1"/>
              </w:rPr>
              <w:t>0</w:t>
            </w:r>
          </w:p>
        </w:tc>
        <w:tc>
          <w:tcPr>
            <w:tcW w:w="921" w:type="dxa"/>
            <w:vAlign w:val="center"/>
          </w:tcPr>
          <w:p w14:paraId="3F201B82" w14:textId="77777777" w:rsidR="005C7B9D" w:rsidRPr="009F5B82" w:rsidRDefault="005C7B9D" w:rsidP="00237808">
            <w:pPr>
              <w:rPr>
                <w:color w:val="FFFFFF" w:themeColor="background1"/>
              </w:rPr>
            </w:pPr>
            <w:r w:rsidRPr="009F5B82">
              <w:rPr>
                <w:color w:val="FFFFFF" w:themeColor="background1"/>
              </w:rPr>
              <w:t>1</w:t>
            </w:r>
          </w:p>
        </w:tc>
        <w:tc>
          <w:tcPr>
            <w:tcW w:w="889" w:type="dxa"/>
            <w:vAlign w:val="center"/>
          </w:tcPr>
          <w:p w14:paraId="4DCC208B" w14:textId="77777777" w:rsidR="005C7B9D" w:rsidRPr="009F5B82" w:rsidRDefault="005C7B9D" w:rsidP="00237808">
            <w:pPr>
              <w:rPr>
                <w:color w:val="FFFFFF" w:themeColor="background1"/>
              </w:rPr>
            </w:pPr>
            <w:r w:rsidRPr="009F5B82">
              <w:rPr>
                <w:color w:val="FFFFFF" w:themeColor="background1"/>
              </w:rPr>
              <w:t>2</w:t>
            </w:r>
          </w:p>
        </w:tc>
        <w:tc>
          <w:tcPr>
            <w:tcW w:w="889" w:type="dxa"/>
            <w:vAlign w:val="center"/>
          </w:tcPr>
          <w:p w14:paraId="2B0957ED" w14:textId="77777777" w:rsidR="005C7B9D" w:rsidRPr="009F5B82" w:rsidRDefault="005C7B9D" w:rsidP="00237808">
            <w:pPr>
              <w:rPr>
                <w:color w:val="FFFFFF" w:themeColor="background1"/>
              </w:rPr>
            </w:pPr>
            <w:r w:rsidRPr="009F5B82">
              <w:rPr>
                <w:color w:val="FFFFFF" w:themeColor="background1"/>
              </w:rPr>
              <w:t>3</w:t>
            </w:r>
          </w:p>
        </w:tc>
        <w:tc>
          <w:tcPr>
            <w:tcW w:w="889" w:type="dxa"/>
            <w:vAlign w:val="center"/>
          </w:tcPr>
          <w:p w14:paraId="207EFA5D" w14:textId="77777777" w:rsidR="005C7B9D" w:rsidRPr="009F5B82" w:rsidRDefault="005C7B9D" w:rsidP="00237808">
            <w:pPr>
              <w:rPr>
                <w:color w:val="FFFFFF" w:themeColor="background1"/>
              </w:rPr>
            </w:pPr>
            <w:r w:rsidRPr="009F5B82">
              <w:rPr>
                <w:color w:val="FFFFFF" w:themeColor="background1"/>
              </w:rPr>
              <w:t>4</w:t>
            </w:r>
          </w:p>
        </w:tc>
        <w:tc>
          <w:tcPr>
            <w:tcW w:w="889" w:type="dxa"/>
            <w:vAlign w:val="center"/>
          </w:tcPr>
          <w:p w14:paraId="42577E67" w14:textId="77777777" w:rsidR="005C7B9D" w:rsidRPr="009F5B82" w:rsidRDefault="005C7B9D" w:rsidP="00237808">
            <w:pPr>
              <w:rPr>
                <w:color w:val="FFFFFF" w:themeColor="background1"/>
              </w:rPr>
            </w:pPr>
            <w:r w:rsidRPr="009F5B82">
              <w:rPr>
                <w:color w:val="FFFFFF" w:themeColor="background1"/>
              </w:rPr>
              <w:t>5</w:t>
            </w:r>
          </w:p>
        </w:tc>
      </w:tr>
      <w:tr w:rsidR="005C7B9D" w14:paraId="7E52D063" w14:textId="77777777" w:rsidTr="00237808">
        <w:trPr>
          <w:cnfStyle w:val="000000100000" w:firstRow="0" w:lastRow="0" w:firstColumn="0" w:lastColumn="0" w:oddVBand="0" w:evenVBand="0" w:oddHBand="1" w:evenHBand="0" w:firstRowFirstColumn="0" w:firstRowLastColumn="0" w:lastRowFirstColumn="0" w:lastRowLastColumn="0"/>
          <w:trHeight w:val="491"/>
        </w:trPr>
        <w:tc>
          <w:tcPr>
            <w:tcW w:w="3650" w:type="dxa"/>
            <w:vAlign w:val="center"/>
          </w:tcPr>
          <w:p w14:paraId="579D8C24" w14:textId="77777777" w:rsidR="005C7B9D" w:rsidRPr="0053795E" w:rsidRDefault="005C7B9D" w:rsidP="00237808">
            <w:r w:rsidRPr="0053795E">
              <w:t>Gross earnings ($ per week)</w:t>
            </w:r>
          </w:p>
        </w:tc>
        <w:tc>
          <w:tcPr>
            <w:tcW w:w="889" w:type="dxa"/>
            <w:vAlign w:val="center"/>
          </w:tcPr>
          <w:p w14:paraId="521616A5" w14:textId="77777777" w:rsidR="005C7B9D" w:rsidRPr="0053795E" w:rsidRDefault="005C7B9D" w:rsidP="00237808">
            <w:r w:rsidRPr="0053795E">
              <w:t>0</w:t>
            </w:r>
          </w:p>
        </w:tc>
        <w:tc>
          <w:tcPr>
            <w:tcW w:w="921" w:type="dxa"/>
            <w:vAlign w:val="center"/>
          </w:tcPr>
          <w:p w14:paraId="346FA26A" w14:textId="77777777" w:rsidR="005C7B9D" w:rsidRPr="0053795E" w:rsidRDefault="005C7B9D" w:rsidP="00237808">
            <w:r w:rsidRPr="0053795E">
              <w:t>176.56</w:t>
            </w:r>
          </w:p>
        </w:tc>
        <w:tc>
          <w:tcPr>
            <w:tcW w:w="889" w:type="dxa"/>
            <w:vAlign w:val="center"/>
          </w:tcPr>
          <w:p w14:paraId="39B69A9E" w14:textId="77777777" w:rsidR="005C7B9D" w:rsidRPr="0053795E" w:rsidRDefault="005C7B9D" w:rsidP="00237808">
            <w:r w:rsidRPr="0053795E">
              <w:t>353.12</w:t>
            </w:r>
          </w:p>
        </w:tc>
        <w:tc>
          <w:tcPr>
            <w:tcW w:w="889" w:type="dxa"/>
            <w:vAlign w:val="center"/>
          </w:tcPr>
          <w:p w14:paraId="2D567EA2" w14:textId="77777777" w:rsidR="005C7B9D" w:rsidRPr="0053795E" w:rsidRDefault="005C7B9D" w:rsidP="00237808">
            <w:r w:rsidRPr="0053795E">
              <w:t>529.68</w:t>
            </w:r>
          </w:p>
        </w:tc>
        <w:tc>
          <w:tcPr>
            <w:tcW w:w="889" w:type="dxa"/>
            <w:vAlign w:val="center"/>
          </w:tcPr>
          <w:p w14:paraId="6A44E185" w14:textId="77777777" w:rsidR="005C7B9D" w:rsidRPr="0053795E" w:rsidRDefault="005C7B9D" w:rsidP="00237808">
            <w:r w:rsidRPr="0053795E">
              <w:t>706.24</w:t>
            </w:r>
          </w:p>
        </w:tc>
        <w:tc>
          <w:tcPr>
            <w:tcW w:w="889" w:type="dxa"/>
            <w:vAlign w:val="center"/>
          </w:tcPr>
          <w:p w14:paraId="6F8C8EE5" w14:textId="77777777" w:rsidR="005C7B9D" w:rsidRPr="0053795E" w:rsidRDefault="005C7B9D" w:rsidP="00237808">
            <w:r w:rsidRPr="0053795E">
              <w:t>882.80</w:t>
            </w:r>
          </w:p>
        </w:tc>
      </w:tr>
      <w:tr w:rsidR="005C7B9D" w14:paraId="18ABCFD2" w14:textId="77777777" w:rsidTr="00237808">
        <w:tc>
          <w:tcPr>
            <w:tcW w:w="9016" w:type="dxa"/>
            <w:gridSpan w:val="7"/>
          </w:tcPr>
          <w:p w14:paraId="4A116711" w14:textId="77777777" w:rsidR="005C7B9D" w:rsidRPr="0053795E" w:rsidRDefault="005C7B9D" w:rsidP="00237808">
            <w:r w:rsidRPr="0053795E">
              <w:rPr>
                <w:b/>
                <w:bCs/>
              </w:rPr>
              <w:t>(1) Current JobSeeker Payment &amp; income test</w:t>
            </w:r>
          </w:p>
        </w:tc>
      </w:tr>
      <w:tr w:rsidR="005C7B9D" w14:paraId="0B0D1B0D"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12505A33" w14:textId="77777777" w:rsidR="005C7B9D" w:rsidRPr="0053795E" w:rsidRDefault="005C7B9D" w:rsidP="00237808">
            <w:r w:rsidRPr="0053795E">
              <w:t>JobSeeker Payment</w:t>
            </w:r>
          </w:p>
        </w:tc>
        <w:tc>
          <w:tcPr>
            <w:tcW w:w="889" w:type="dxa"/>
            <w:vAlign w:val="center"/>
          </w:tcPr>
          <w:p w14:paraId="2FA0FEC4" w14:textId="77777777" w:rsidR="005C7B9D" w:rsidRPr="0053795E" w:rsidRDefault="005C7B9D" w:rsidP="00237808">
            <w:r w:rsidRPr="0053795E">
              <w:t>379.00</w:t>
            </w:r>
          </w:p>
        </w:tc>
        <w:tc>
          <w:tcPr>
            <w:tcW w:w="921" w:type="dxa"/>
            <w:vAlign w:val="center"/>
          </w:tcPr>
          <w:p w14:paraId="4E5A6D6F" w14:textId="77777777" w:rsidR="005C7B9D" w:rsidRPr="0053795E" w:rsidRDefault="005C7B9D" w:rsidP="00237808">
            <w:r w:rsidRPr="0053795E">
              <w:t>323.36</w:t>
            </w:r>
          </w:p>
        </w:tc>
        <w:tc>
          <w:tcPr>
            <w:tcW w:w="889" w:type="dxa"/>
            <w:vAlign w:val="center"/>
          </w:tcPr>
          <w:p w14:paraId="7E25190E" w14:textId="77777777" w:rsidR="005C7B9D" w:rsidRPr="0053795E" w:rsidRDefault="005C7B9D" w:rsidP="00237808">
            <w:r w:rsidRPr="0053795E">
              <w:t>217.43</w:t>
            </w:r>
          </w:p>
        </w:tc>
        <w:tc>
          <w:tcPr>
            <w:tcW w:w="889" w:type="dxa"/>
            <w:vAlign w:val="center"/>
          </w:tcPr>
          <w:p w14:paraId="703F3734" w14:textId="77777777" w:rsidR="005C7B9D" w:rsidRPr="0053795E" w:rsidRDefault="005C7B9D" w:rsidP="00237808">
            <w:r w:rsidRPr="0053795E">
              <w:t>111.49</w:t>
            </w:r>
          </w:p>
        </w:tc>
        <w:tc>
          <w:tcPr>
            <w:tcW w:w="889" w:type="dxa"/>
            <w:vAlign w:val="center"/>
          </w:tcPr>
          <w:p w14:paraId="4435AF2A" w14:textId="77777777" w:rsidR="005C7B9D" w:rsidRPr="0053795E" w:rsidRDefault="005C7B9D" w:rsidP="00237808">
            <w:r w:rsidRPr="0053795E">
              <w:t>5.56</w:t>
            </w:r>
          </w:p>
        </w:tc>
        <w:tc>
          <w:tcPr>
            <w:tcW w:w="889" w:type="dxa"/>
            <w:vAlign w:val="center"/>
          </w:tcPr>
          <w:p w14:paraId="5A8DC00A" w14:textId="77777777" w:rsidR="005C7B9D" w:rsidRPr="0053795E" w:rsidRDefault="005C7B9D" w:rsidP="00237808">
            <w:r w:rsidRPr="0053795E">
              <w:t>0</w:t>
            </w:r>
          </w:p>
        </w:tc>
      </w:tr>
      <w:tr w:rsidR="005C7B9D" w14:paraId="7075BB46" w14:textId="77777777" w:rsidTr="00237808">
        <w:tc>
          <w:tcPr>
            <w:tcW w:w="3650" w:type="dxa"/>
            <w:vAlign w:val="center"/>
          </w:tcPr>
          <w:p w14:paraId="10D365EB" w14:textId="77777777" w:rsidR="005C7B9D" w:rsidRPr="0053795E" w:rsidRDefault="005C7B9D" w:rsidP="00237808">
            <w:r w:rsidRPr="0053795E">
              <w:t>Total net gain from employment</w:t>
            </w:r>
          </w:p>
        </w:tc>
        <w:tc>
          <w:tcPr>
            <w:tcW w:w="889" w:type="dxa"/>
            <w:vAlign w:val="center"/>
          </w:tcPr>
          <w:p w14:paraId="18F99196" w14:textId="77777777" w:rsidR="005C7B9D" w:rsidRPr="0053795E" w:rsidRDefault="005C7B9D" w:rsidP="00237808">
            <w:r w:rsidRPr="0053795E">
              <w:t>0</w:t>
            </w:r>
          </w:p>
        </w:tc>
        <w:tc>
          <w:tcPr>
            <w:tcW w:w="921" w:type="dxa"/>
            <w:vAlign w:val="center"/>
          </w:tcPr>
          <w:p w14:paraId="3952D739" w14:textId="77777777" w:rsidR="005C7B9D" w:rsidRPr="0053795E" w:rsidRDefault="005C7B9D" w:rsidP="00237808">
            <w:r w:rsidRPr="0053795E">
              <w:t>92.44</w:t>
            </w:r>
          </w:p>
        </w:tc>
        <w:tc>
          <w:tcPr>
            <w:tcW w:w="889" w:type="dxa"/>
            <w:vAlign w:val="center"/>
          </w:tcPr>
          <w:p w14:paraId="3A17743C" w14:textId="77777777" w:rsidR="005C7B9D" w:rsidRPr="0053795E" w:rsidRDefault="005C7B9D" w:rsidP="00237808">
            <w:r w:rsidRPr="0053795E">
              <w:t>149.65</w:t>
            </w:r>
          </w:p>
        </w:tc>
        <w:tc>
          <w:tcPr>
            <w:tcW w:w="889" w:type="dxa"/>
            <w:vAlign w:val="center"/>
          </w:tcPr>
          <w:p w14:paraId="30D2E310" w14:textId="77777777" w:rsidR="005C7B9D" w:rsidRPr="0053795E" w:rsidRDefault="005C7B9D" w:rsidP="00237808">
            <w:r w:rsidRPr="0053795E">
              <w:t>206.85</w:t>
            </w:r>
          </w:p>
        </w:tc>
        <w:tc>
          <w:tcPr>
            <w:tcW w:w="889" w:type="dxa"/>
            <w:vAlign w:val="center"/>
          </w:tcPr>
          <w:p w14:paraId="255D984F" w14:textId="77777777" w:rsidR="005C7B9D" w:rsidRPr="0053795E" w:rsidRDefault="005C7B9D" w:rsidP="00237808">
            <w:r w:rsidRPr="0053795E">
              <w:t>264.05</w:t>
            </w:r>
          </w:p>
        </w:tc>
        <w:tc>
          <w:tcPr>
            <w:tcW w:w="889" w:type="dxa"/>
            <w:vAlign w:val="center"/>
          </w:tcPr>
          <w:p w14:paraId="12A8CAB8" w14:textId="77777777" w:rsidR="005C7B9D" w:rsidRPr="0053795E" w:rsidRDefault="005C7B9D" w:rsidP="00237808">
            <w:r w:rsidRPr="0053795E">
              <w:t>400.22</w:t>
            </w:r>
          </w:p>
        </w:tc>
      </w:tr>
      <w:tr w:rsidR="005C7B9D" w14:paraId="37DAEDE8"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6F9E62BD" w14:textId="77777777" w:rsidR="005C7B9D" w:rsidRPr="0053795E" w:rsidRDefault="005C7B9D" w:rsidP="00237808">
            <w:r w:rsidRPr="0053795E">
              <w:lastRenderedPageBreak/>
              <w:t>Marginal gain from working an extra day</w:t>
            </w:r>
          </w:p>
        </w:tc>
        <w:tc>
          <w:tcPr>
            <w:tcW w:w="889" w:type="dxa"/>
            <w:vAlign w:val="center"/>
          </w:tcPr>
          <w:p w14:paraId="2A3EE5AC" w14:textId="77777777" w:rsidR="005C7B9D" w:rsidRPr="0053795E" w:rsidRDefault="005C7B9D" w:rsidP="00237808"/>
        </w:tc>
        <w:tc>
          <w:tcPr>
            <w:tcW w:w="921" w:type="dxa"/>
            <w:vAlign w:val="center"/>
          </w:tcPr>
          <w:p w14:paraId="49FDB872" w14:textId="77777777" w:rsidR="005C7B9D" w:rsidRPr="0053795E" w:rsidRDefault="005C7B9D" w:rsidP="00237808">
            <w:r w:rsidRPr="0053795E">
              <w:t>92.44</w:t>
            </w:r>
          </w:p>
        </w:tc>
        <w:tc>
          <w:tcPr>
            <w:tcW w:w="889" w:type="dxa"/>
            <w:vAlign w:val="center"/>
          </w:tcPr>
          <w:p w14:paraId="2599D9C3" w14:textId="77777777" w:rsidR="005C7B9D" w:rsidRPr="0053795E" w:rsidRDefault="005C7B9D" w:rsidP="00237808">
            <w:r w:rsidRPr="0053795E">
              <w:t>57.21</w:t>
            </w:r>
          </w:p>
        </w:tc>
        <w:tc>
          <w:tcPr>
            <w:tcW w:w="889" w:type="dxa"/>
            <w:vAlign w:val="center"/>
          </w:tcPr>
          <w:p w14:paraId="1A43DA58" w14:textId="77777777" w:rsidR="005C7B9D" w:rsidRPr="0053795E" w:rsidRDefault="005C7B9D" w:rsidP="00237808">
            <w:r w:rsidRPr="0053795E">
              <w:t>57.20</w:t>
            </w:r>
          </w:p>
        </w:tc>
        <w:tc>
          <w:tcPr>
            <w:tcW w:w="889" w:type="dxa"/>
            <w:vAlign w:val="center"/>
          </w:tcPr>
          <w:p w14:paraId="381C26E7" w14:textId="77777777" w:rsidR="005C7B9D" w:rsidRPr="0053795E" w:rsidRDefault="005C7B9D" w:rsidP="00237808">
            <w:r w:rsidRPr="0053795E">
              <w:t>57.20</w:t>
            </w:r>
          </w:p>
        </w:tc>
        <w:tc>
          <w:tcPr>
            <w:tcW w:w="889" w:type="dxa"/>
            <w:vAlign w:val="center"/>
          </w:tcPr>
          <w:p w14:paraId="2B0D49F4" w14:textId="77777777" w:rsidR="005C7B9D" w:rsidRPr="0053795E" w:rsidRDefault="005C7B9D" w:rsidP="00237808">
            <w:r w:rsidRPr="0053795E">
              <w:t>136.17</w:t>
            </w:r>
          </w:p>
        </w:tc>
      </w:tr>
      <w:tr w:rsidR="005C7B9D" w14:paraId="5B86B3BE" w14:textId="77777777" w:rsidTr="00237808">
        <w:tc>
          <w:tcPr>
            <w:tcW w:w="9016" w:type="dxa"/>
            <w:gridSpan w:val="7"/>
          </w:tcPr>
          <w:p w14:paraId="64E5B612" w14:textId="77777777" w:rsidR="005C7B9D" w:rsidRPr="0053795E" w:rsidRDefault="005C7B9D" w:rsidP="00237808">
            <w:pPr>
              <w:rPr>
                <w:b/>
                <w:bCs/>
              </w:rPr>
            </w:pPr>
            <w:r w:rsidRPr="0053795E">
              <w:rPr>
                <w:b/>
                <w:bCs/>
              </w:rPr>
              <w:t>(2) Increase in base JobSeeker rate to 90% of Age Pension &amp; current income test</w:t>
            </w:r>
          </w:p>
        </w:tc>
      </w:tr>
      <w:tr w:rsidR="005C7B9D" w14:paraId="07801FBB"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59AA6CBE" w14:textId="77777777" w:rsidR="005C7B9D" w:rsidRPr="0053795E" w:rsidRDefault="005C7B9D" w:rsidP="00237808">
            <w:r w:rsidRPr="0053795E">
              <w:t xml:space="preserve">JobSeeker Payment </w:t>
            </w:r>
          </w:p>
        </w:tc>
        <w:tc>
          <w:tcPr>
            <w:tcW w:w="889" w:type="dxa"/>
            <w:vAlign w:val="center"/>
          </w:tcPr>
          <w:p w14:paraId="7A1AA45D" w14:textId="77777777" w:rsidR="005C7B9D" w:rsidRPr="0053795E" w:rsidRDefault="005C7B9D" w:rsidP="00237808">
            <w:r w:rsidRPr="0053795E">
              <w:t>493.51</w:t>
            </w:r>
          </w:p>
        </w:tc>
        <w:tc>
          <w:tcPr>
            <w:tcW w:w="921" w:type="dxa"/>
            <w:vAlign w:val="center"/>
          </w:tcPr>
          <w:p w14:paraId="6B2080D7" w14:textId="77777777" w:rsidR="005C7B9D" w:rsidRPr="0053795E" w:rsidRDefault="005C7B9D" w:rsidP="00237808">
            <w:r w:rsidRPr="0053795E">
              <w:t>437.88</w:t>
            </w:r>
          </w:p>
        </w:tc>
        <w:tc>
          <w:tcPr>
            <w:tcW w:w="889" w:type="dxa"/>
            <w:vAlign w:val="center"/>
          </w:tcPr>
          <w:p w14:paraId="58FB9816" w14:textId="77777777" w:rsidR="005C7B9D" w:rsidRPr="0053795E" w:rsidRDefault="005C7B9D" w:rsidP="00237808">
            <w:r w:rsidRPr="0053795E">
              <w:t>331.95</w:t>
            </w:r>
          </w:p>
        </w:tc>
        <w:tc>
          <w:tcPr>
            <w:tcW w:w="889" w:type="dxa"/>
            <w:vAlign w:val="center"/>
          </w:tcPr>
          <w:p w14:paraId="4706780E" w14:textId="77777777" w:rsidR="005C7B9D" w:rsidRPr="0053795E" w:rsidRDefault="005C7B9D" w:rsidP="00237808">
            <w:r w:rsidRPr="0053795E">
              <w:t>226.01</w:t>
            </w:r>
          </w:p>
        </w:tc>
        <w:tc>
          <w:tcPr>
            <w:tcW w:w="889" w:type="dxa"/>
            <w:vAlign w:val="center"/>
          </w:tcPr>
          <w:p w14:paraId="5E3898C9" w14:textId="77777777" w:rsidR="005C7B9D" w:rsidRPr="0053795E" w:rsidRDefault="005C7B9D" w:rsidP="00237808">
            <w:r w:rsidRPr="0053795E">
              <w:t>120.08</w:t>
            </w:r>
          </w:p>
        </w:tc>
        <w:tc>
          <w:tcPr>
            <w:tcW w:w="889" w:type="dxa"/>
            <w:vAlign w:val="center"/>
          </w:tcPr>
          <w:p w14:paraId="3C4A3FD8" w14:textId="77777777" w:rsidR="005C7B9D" w:rsidRPr="0053795E" w:rsidRDefault="005C7B9D" w:rsidP="00237808">
            <w:r w:rsidRPr="0053795E">
              <w:t>14.14</w:t>
            </w:r>
          </w:p>
        </w:tc>
      </w:tr>
      <w:tr w:rsidR="005C7B9D" w14:paraId="69868F41" w14:textId="77777777" w:rsidTr="00237808">
        <w:tc>
          <w:tcPr>
            <w:tcW w:w="3650" w:type="dxa"/>
            <w:vAlign w:val="center"/>
          </w:tcPr>
          <w:p w14:paraId="594E0FBD" w14:textId="77777777" w:rsidR="005C7B9D" w:rsidRPr="0053795E" w:rsidRDefault="005C7B9D" w:rsidP="00237808">
            <w:r w:rsidRPr="0053795E">
              <w:t xml:space="preserve">Total net gain from employment </w:t>
            </w:r>
          </w:p>
        </w:tc>
        <w:tc>
          <w:tcPr>
            <w:tcW w:w="889" w:type="dxa"/>
            <w:vAlign w:val="center"/>
          </w:tcPr>
          <w:p w14:paraId="22BEB874" w14:textId="77777777" w:rsidR="005C7B9D" w:rsidRPr="0053795E" w:rsidRDefault="005C7B9D" w:rsidP="00237808">
            <w:r w:rsidRPr="0053795E">
              <w:t>0</w:t>
            </w:r>
          </w:p>
        </w:tc>
        <w:tc>
          <w:tcPr>
            <w:tcW w:w="921" w:type="dxa"/>
            <w:vAlign w:val="center"/>
          </w:tcPr>
          <w:p w14:paraId="09B6F81C" w14:textId="77777777" w:rsidR="005C7B9D" w:rsidRPr="0053795E" w:rsidRDefault="005C7B9D" w:rsidP="00237808">
            <w:r w:rsidRPr="0053795E">
              <w:t>70.68</w:t>
            </w:r>
          </w:p>
        </w:tc>
        <w:tc>
          <w:tcPr>
            <w:tcW w:w="889" w:type="dxa"/>
            <w:vAlign w:val="center"/>
          </w:tcPr>
          <w:p w14:paraId="4B5905F7" w14:textId="77777777" w:rsidR="005C7B9D" w:rsidRPr="0053795E" w:rsidRDefault="005C7B9D" w:rsidP="00237808">
            <w:r w:rsidRPr="0053795E">
              <w:t>127.89</w:t>
            </w:r>
          </w:p>
        </w:tc>
        <w:tc>
          <w:tcPr>
            <w:tcW w:w="889" w:type="dxa"/>
            <w:vAlign w:val="center"/>
          </w:tcPr>
          <w:p w14:paraId="3146AC9F" w14:textId="77777777" w:rsidR="005C7B9D" w:rsidRPr="0053795E" w:rsidRDefault="005C7B9D" w:rsidP="00237808">
            <w:r w:rsidRPr="0053795E">
              <w:t>185.09</w:t>
            </w:r>
          </w:p>
        </w:tc>
        <w:tc>
          <w:tcPr>
            <w:tcW w:w="889" w:type="dxa"/>
            <w:vAlign w:val="center"/>
          </w:tcPr>
          <w:p w14:paraId="7F592C12" w14:textId="77777777" w:rsidR="005C7B9D" w:rsidRPr="0053795E" w:rsidRDefault="005C7B9D" w:rsidP="00237808">
            <w:r w:rsidRPr="0053795E">
              <w:t>242.30</w:t>
            </w:r>
          </w:p>
        </w:tc>
        <w:tc>
          <w:tcPr>
            <w:tcW w:w="889" w:type="dxa"/>
            <w:vAlign w:val="center"/>
          </w:tcPr>
          <w:p w14:paraId="1AFCA65A" w14:textId="77777777" w:rsidR="005C7B9D" w:rsidRPr="0053795E" w:rsidRDefault="005C7B9D" w:rsidP="00237808">
            <w:r w:rsidRPr="0053795E">
              <w:t>295.24</w:t>
            </w:r>
          </w:p>
        </w:tc>
      </w:tr>
      <w:tr w:rsidR="005C7B9D" w14:paraId="2D6A3848" w14:textId="77777777" w:rsidTr="00237808">
        <w:trPr>
          <w:cnfStyle w:val="000000100000" w:firstRow="0" w:lastRow="0" w:firstColumn="0" w:lastColumn="0" w:oddVBand="0" w:evenVBand="0" w:oddHBand="1" w:evenHBand="0" w:firstRowFirstColumn="0" w:firstRowLastColumn="0" w:lastRowFirstColumn="0" w:lastRowLastColumn="0"/>
        </w:trPr>
        <w:tc>
          <w:tcPr>
            <w:tcW w:w="3650" w:type="dxa"/>
            <w:vAlign w:val="center"/>
          </w:tcPr>
          <w:p w14:paraId="6A32922B" w14:textId="77777777" w:rsidR="005C7B9D" w:rsidRPr="0053795E" w:rsidRDefault="005C7B9D" w:rsidP="00237808">
            <w:r w:rsidRPr="0053795E">
              <w:t>Marginal gain from working an extra day</w:t>
            </w:r>
          </w:p>
        </w:tc>
        <w:tc>
          <w:tcPr>
            <w:tcW w:w="889" w:type="dxa"/>
            <w:vAlign w:val="center"/>
          </w:tcPr>
          <w:p w14:paraId="311E687E" w14:textId="77777777" w:rsidR="005C7B9D" w:rsidRPr="0053795E" w:rsidRDefault="005C7B9D" w:rsidP="00237808"/>
        </w:tc>
        <w:tc>
          <w:tcPr>
            <w:tcW w:w="921" w:type="dxa"/>
            <w:vAlign w:val="center"/>
          </w:tcPr>
          <w:p w14:paraId="769B80B0" w14:textId="77777777" w:rsidR="005C7B9D" w:rsidRPr="0053795E" w:rsidRDefault="005C7B9D" w:rsidP="00237808">
            <w:r w:rsidRPr="0053795E">
              <w:t>70.68</w:t>
            </w:r>
          </w:p>
        </w:tc>
        <w:tc>
          <w:tcPr>
            <w:tcW w:w="889" w:type="dxa"/>
            <w:vAlign w:val="center"/>
          </w:tcPr>
          <w:p w14:paraId="46A4D4C0" w14:textId="77777777" w:rsidR="005C7B9D" w:rsidRPr="0053795E" w:rsidRDefault="005C7B9D" w:rsidP="00237808">
            <w:r w:rsidRPr="0053795E">
              <w:t>57.21</w:t>
            </w:r>
          </w:p>
        </w:tc>
        <w:tc>
          <w:tcPr>
            <w:tcW w:w="889" w:type="dxa"/>
            <w:vAlign w:val="center"/>
          </w:tcPr>
          <w:p w14:paraId="3C82AA7C" w14:textId="77777777" w:rsidR="005C7B9D" w:rsidRPr="0053795E" w:rsidRDefault="005C7B9D" w:rsidP="00237808">
            <w:r w:rsidRPr="0053795E">
              <w:t>57.20</w:t>
            </w:r>
          </w:p>
        </w:tc>
        <w:tc>
          <w:tcPr>
            <w:tcW w:w="889" w:type="dxa"/>
            <w:vAlign w:val="center"/>
          </w:tcPr>
          <w:p w14:paraId="7BD31DA0" w14:textId="77777777" w:rsidR="005C7B9D" w:rsidRPr="0053795E" w:rsidRDefault="005C7B9D" w:rsidP="00237808">
            <w:r w:rsidRPr="0053795E">
              <w:t>57.21</w:t>
            </w:r>
          </w:p>
        </w:tc>
        <w:tc>
          <w:tcPr>
            <w:tcW w:w="889" w:type="dxa"/>
            <w:vAlign w:val="center"/>
          </w:tcPr>
          <w:p w14:paraId="6D24875F" w14:textId="77777777" w:rsidR="005C7B9D" w:rsidRPr="0053795E" w:rsidRDefault="005C7B9D" w:rsidP="00237808">
            <w:r w:rsidRPr="0053795E">
              <w:t>52.94</w:t>
            </w:r>
          </w:p>
        </w:tc>
      </w:tr>
    </w:tbl>
    <w:p w14:paraId="7058A691" w14:textId="4D1BA0F3" w:rsidR="005C7B9D" w:rsidRPr="005C7B9D" w:rsidRDefault="005C7B9D" w:rsidP="005C7B9D">
      <w:pPr>
        <w:pStyle w:val="Caption"/>
      </w:pPr>
      <w:r>
        <w:t>Note: Includes income tax. Employer superannuation contributions are not included and would increase the financial rewards from work.</w:t>
      </w:r>
    </w:p>
    <w:p w14:paraId="5F9B62F7" w14:textId="77777777" w:rsidR="00D24350" w:rsidRPr="005C6684" w:rsidRDefault="00D24350" w:rsidP="005C6684">
      <w:pPr>
        <w:pStyle w:val="Heading3"/>
      </w:pPr>
      <w:r w:rsidRPr="005C6684">
        <w:t>2B.3.4 Non-financial incentives for work</w:t>
      </w:r>
    </w:p>
    <w:p w14:paraId="67308AD3" w14:textId="10424A1B" w:rsidR="00D24350" w:rsidRPr="002C62EF" w:rsidRDefault="00D24350" w:rsidP="002C62EF">
      <w:r w:rsidRPr="00D24350">
        <w:rPr>
          <w:lang w:val="en-GB"/>
        </w:rPr>
        <w:t xml:space="preserve">Comparing the monetary earnings from work to the JobSeeker Payment substantially understates the incentive to move from unemployment to work. A major body of empirical research has established a significant positive effect of employment on people’s health and </w:t>
      </w:r>
      <w:r w:rsidRPr="002C62EF">
        <w:t xml:space="preserve">psychological well-being. These effects are generally estimated to be large. </w:t>
      </w:r>
    </w:p>
    <w:p w14:paraId="383EC36B" w14:textId="77777777" w:rsidR="002C62EF" w:rsidRPr="002C62EF" w:rsidRDefault="002C62EF" w:rsidP="002C62EF">
      <w:pPr>
        <w:rPr>
          <w:b/>
          <w:bCs/>
        </w:rPr>
      </w:pPr>
      <w:r w:rsidRPr="002C62EF">
        <w:rPr>
          <w:b/>
          <w:bCs/>
        </w:rPr>
        <w:t>Conclusion 1</w:t>
      </w:r>
    </w:p>
    <w:p w14:paraId="5ADBBE21" w14:textId="77777777" w:rsidR="002C62EF" w:rsidRPr="002C62EF" w:rsidRDefault="002C62EF" w:rsidP="002C62EF">
      <w:pPr>
        <w:rPr>
          <w:b/>
          <w:bCs/>
        </w:rPr>
      </w:pPr>
      <w:r w:rsidRPr="002C62EF">
        <w:rPr>
          <w:b/>
          <w:bCs/>
        </w:rPr>
        <w:t xml:space="preserve">In the Committee’s assessment, and noting the utility of building an evidence base, any negative effect on incentives to move into employment from an increase in JobSeeker is likely to be small. </w:t>
      </w:r>
    </w:p>
    <w:p w14:paraId="437223E9" w14:textId="11AE1B51" w:rsidR="002C62EF" w:rsidRPr="002C62EF" w:rsidRDefault="002C62EF" w:rsidP="002C62EF">
      <w:pPr>
        <w:rPr>
          <w:b/>
          <w:bCs/>
        </w:rPr>
      </w:pPr>
      <w:r w:rsidRPr="002C62EF">
        <w:rPr>
          <w:b/>
          <w:bCs/>
        </w:rPr>
        <w:t xml:space="preserve">The low current level of the payment relative to labour market earnings likely to be obtained by jobseekers means that no significant financial disincentive to shift into employment should result from a large increase in JobSeeker Payment. This holds if the payment is increased to 90% of the Age Pension. The prediction that any negative incentive effect would be limited is only made stronger when it is recognised that the employment brings substantial non-monetary as well as monetary benefits. </w:t>
      </w:r>
    </w:p>
    <w:p w14:paraId="4C4AAC79" w14:textId="77777777" w:rsidR="00D24350" w:rsidRPr="00D24350" w:rsidRDefault="00D24350" w:rsidP="002C62EF">
      <w:pPr>
        <w:rPr>
          <w:lang w:val="en-GB"/>
        </w:rPr>
      </w:pPr>
      <w:r w:rsidRPr="002C62EF">
        <w:t>For example, some studies of the determinants of happiness find that the non</w:t>
      </w:r>
      <w:r w:rsidRPr="00D24350">
        <w:rPr>
          <w:lang w:val="en-GB"/>
        </w:rPr>
        <w:t>-financial returns to work outweigh the financial returns.</w:t>
      </w:r>
      <w:r w:rsidRPr="00F57B7C">
        <w:rPr>
          <w:rStyle w:val="Superscript"/>
        </w:rPr>
        <w:footnoteReference w:id="31"/>
      </w:r>
    </w:p>
    <w:p w14:paraId="67C78668" w14:textId="77777777" w:rsidR="00D24350" w:rsidRPr="005C6684" w:rsidRDefault="00D24350" w:rsidP="005C6684">
      <w:pPr>
        <w:pStyle w:val="Heading3"/>
      </w:pPr>
      <w:r w:rsidRPr="005C6684">
        <w:t>2B.3.5 What if there is a negative impact on incentives to move into employment from raising JobSeeker?</w:t>
      </w:r>
    </w:p>
    <w:p w14:paraId="71B9E0B9" w14:textId="7EDD70EE" w:rsidR="00D24350" w:rsidRPr="00D24350" w:rsidRDefault="00D24350" w:rsidP="00D24350">
      <w:pPr>
        <w:rPr>
          <w:lang w:val="en-GB"/>
        </w:rPr>
      </w:pPr>
      <w:r w:rsidRPr="00D24350">
        <w:rPr>
          <w:lang w:val="en-GB"/>
        </w:rPr>
        <w:t>Suppose that raising JobSeeker did – similar to as found in international studies and contrary to what has just been argued is likely to be the case – slow the rate at which recipients move into employment. This is still not a sufficient reason against increasing the JobSeeker Payment. Only if the cost to society from a slower rate of movement into employment by job seekers outweighs the benefit to society from payment recipients receiving a higher income, would it not be optimal not to increase JobSeeker.</w:t>
      </w:r>
    </w:p>
    <w:p w14:paraId="27643D47" w14:textId="5AE9D483" w:rsidR="00D24350" w:rsidRPr="00D24350" w:rsidRDefault="00D24350" w:rsidP="00D24350">
      <w:pPr>
        <w:rPr>
          <w:lang w:val="en-GB"/>
        </w:rPr>
      </w:pPr>
      <w:r w:rsidRPr="00D24350">
        <w:rPr>
          <w:lang w:val="en-GB"/>
        </w:rPr>
        <w:t xml:space="preserve">But this seems unlikely. The same recent review of international evidence as cited earlier concludes that: </w:t>
      </w:r>
    </w:p>
    <w:p w14:paraId="30F475A5" w14:textId="5A21BA02" w:rsidR="00D24350" w:rsidRPr="00D24350" w:rsidRDefault="00D24350" w:rsidP="00D24350">
      <w:pPr>
        <w:rPr>
          <w:lang w:val="en-GB"/>
        </w:rPr>
      </w:pPr>
      <w:r w:rsidRPr="002C62EF">
        <w:rPr>
          <w:rStyle w:val="SubtleEmphasis"/>
        </w:rPr>
        <w:t>‘Overall, it is clear that the welfare gain of a marginal increase in UI benefits is positive and likely to be substantial, especially in recessions.’</w:t>
      </w:r>
      <w:r w:rsidRPr="00D24350">
        <w:rPr>
          <w:rStyle w:val="Superscript"/>
          <w:lang w:val="en-GB"/>
        </w:rPr>
        <w:footnoteReference w:id="32"/>
      </w:r>
      <w:r w:rsidRPr="00D24350">
        <w:rPr>
          <w:rStyle w:val="Superscript"/>
          <w:lang w:val="en-GB"/>
        </w:rPr>
        <w:t xml:space="preserve"> </w:t>
      </w:r>
    </w:p>
    <w:p w14:paraId="2D521A1A" w14:textId="77777777" w:rsidR="00D24350" w:rsidRPr="00D24350" w:rsidRDefault="00D24350" w:rsidP="00D24350">
      <w:pPr>
        <w:rPr>
          <w:lang w:val="en-GB"/>
        </w:rPr>
      </w:pPr>
      <w:r w:rsidRPr="00D24350">
        <w:rPr>
          <w:lang w:val="en-GB"/>
        </w:rPr>
        <w:lastRenderedPageBreak/>
        <w:t>Given that the level of JobSeeker compared to average labour market earnings in Australia is much lower than in most other developed countries, the welfare gain from an increase in JobSeeker will be even higher than in the countries from which that evidence was generated.</w:t>
      </w:r>
      <w:r w:rsidRPr="00D24350">
        <w:rPr>
          <w:rStyle w:val="Superscript"/>
          <w:lang w:val="en-GB"/>
        </w:rPr>
        <w:footnoteReference w:id="33"/>
      </w:r>
    </w:p>
    <w:p w14:paraId="66958469" w14:textId="77777777" w:rsidR="005C6684" w:rsidRDefault="00D24350" w:rsidP="00D24350">
      <w:pPr>
        <w:rPr>
          <w:lang w:val="en-GB"/>
        </w:rPr>
      </w:pPr>
      <w:r w:rsidRPr="00D24350">
        <w:rPr>
          <w:lang w:val="en-GB"/>
        </w:rPr>
        <w:t xml:space="preserve">This is reinforced by evidence that JobSeeker recipients on average are forced to decrease their spending after moving on to the payment; for example, by 10.5% in the first year after job loss. A recent study has concluded: </w:t>
      </w:r>
    </w:p>
    <w:p w14:paraId="1862DABF" w14:textId="38E28F05" w:rsidR="00D24350" w:rsidRPr="00D24350" w:rsidRDefault="00D24350" w:rsidP="00D24350">
      <w:pPr>
        <w:rPr>
          <w:lang w:val="en-GB"/>
        </w:rPr>
      </w:pPr>
      <w:r w:rsidRPr="002C62EF">
        <w:rPr>
          <w:rStyle w:val="SubtleEmphasis"/>
        </w:rPr>
        <w:t>‘The payment rate appears insufficient to prevent a large and sustained drop in spending by many of those who receive it.’</w:t>
      </w:r>
      <w:r w:rsidRPr="00D24350">
        <w:rPr>
          <w:rStyle w:val="Superscript"/>
          <w:lang w:val="en-GB"/>
        </w:rPr>
        <w:footnoteReference w:id="34"/>
      </w:r>
    </w:p>
    <w:p w14:paraId="127F67D9" w14:textId="77777777" w:rsidR="002C62EF" w:rsidRPr="002C62EF" w:rsidRDefault="002C62EF" w:rsidP="002C62EF">
      <w:pPr>
        <w:rPr>
          <w:b/>
          <w:bCs/>
        </w:rPr>
      </w:pPr>
      <w:r w:rsidRPr="002C62EF">
        <w:rPr>
          <w:b/>
          <w:bCs/>
        </w:rPr>
        <w:t>Conclusion 2</w:t>
      </w:r>
    </w:p>
    <w:p w14:paraId="3CBF98E5" w14:textId="77777777" w:rsidR="002C62EF" w:rsidRPr="002C62EF" w:rsidRDefault="002C62EF" w:rsidP="002C62EF">
      <w:pPr>
        <w:rPr>
          <w:b/>
          <w:bCs/>
        </w:rPr>
      </w:pPr>
      <w:r w:rsidRPr="002C62EF">
        <w:rPr>
          <w:b/>
          <w:bCs/>
        </w:rPr>
        <w:t xml:space="preserve">Choosing the optimal level of unemployment payment requires considering both the welfare gain and cost from increases to the payment. </w:t>
      </w:r>
    </w:p>
    <w:p w14:paraId="1D59515A" w14:textId="77777777" w:rsidR="002C62EF" w:rsidRPr="002C62EF" w:rsidRDefault="002C62EF" w:rsidP="002C62EF">
      <w:pPr>
        <w:rPr>
          <w:b/>
          <w:bCs/>
        </w:rPr>
      </w:pPr>
      <w:r w:rsidRPr="002C62EF">
        <w:rPr>
          <w:b/>
          <w:bCs/>
        </w:rPr>
        <w:t xml:space="preserve">Hence, even if an increased level of JobSeeker did slow movement into employment, the negative effect must be more than the welfare benefit, for it not to be optimal to increase the payment level. </w:t>
      </w:r>
    </w:p>
    <w:p w14:paraId="236E8F5B" w14:textId="2B5C170C" w:rsidR="00D24350" w:rsidRPr="005C6684" w:rsidRDefault="00D24350" w:rsidP="005C6684">
      <w:pPr>
        <w:pStyle w:val="Heading3"/>
      </w:pPr>
      <w:r w:rsidRPr="005C6684">
        <w:t>2B.3.6 A positive impact on the capacity to move into employment from a higher JobSeeker Payment?</w:t>
      </w:r>
    </w:p>
    <w:p w14:paraId="637E51D9" w14:textId="77777777" w:rsidR="00D24350" w:rsidRPr="00D24350" w:rsidRDefault="00D24350" w:rsidP="00D24350">
      <w:pPr>
        <w:rPr>
          <w:lang w:val="en-GB"/>
        </w:rPr>
      </w:pPr>
      <w:r w:rsidRPr="00D24350">
        <w:rPr>
          <w:lang w:val="en-GB"/>
        </w:rPr>
        <w:t xml:space="preserve">There are reasons to believe that, for those job seekers facing economic exclusion (such as very long-term unemployed), an increased JobSeeker Payment will not adversely affect job search activity, and in fact may even increase that activity and hence also increase the speed of movement to employment. </w:t>
      </w:r>
    </w:p>
    <w:p w14:paraId="0016F017" w14:textId="77777777" w:rsidR="00D24350" w:rsidRPr="00D24350" w:rsidRDefault="00D24350" w:rsidP="00D24350">
      <w:pPr>
        <w:rPr>
          <w:lang w:val="en-GB"/>
        </w:rPr>
      </w:pPr>
      <w:r w:rsidRPr="00D24350">
        <w:rPr>
          <w:lang w:val="en-GB"/>
        </w:rPr>
        <w:t>The responsiveness of job search to the level of JobSeeker Payment for groups facing economic exclusion (such as the very long-term unemployed) is likely to be relatively low, regardless of the level of payment. This is because many of these payment recipients will perceive they are not likely to obtain employment due to barriers they are facing and will already have a low level of job search activity.</w:t>
      </w:r>
      <w:r w:rsidRPr="00D24350">
        <w:rPr>
          <w:rStyle w:val="Superscript"/>
          <w:lang w:val="en-GB"/>
        </w:rPr>
        <w:footnoteReference w:id="35"/>
      </w:r>
      <w:r w:rsidRPr="00D24350">
        <w:rPr>
          <w:rStyle w:val="Superscript"/>
          <w:lang w:val="en-GB"/>
        </w:rPr>
        <w:t xml:space="preserve"> </w:t>
      </w:r>
      <w:r w:rsidRPr="00D24350">
        <w:rPr>
          <w:lang w:val="en-GB"/>
        </w:rPr>
        <w:t xml:space="preserve">As another way of putting this – only with substantial extra support to increase their probability of employment does job search (and hence incentive effects from unemployment payments) become a relevant consideration for this group. </w:t>
      </w:r>
    </w:p>
    <w:p w14:paraId="671979C8" w14:textId="348599B8" w:rsidR="00D24350" w:rsidRPr="00D24350" w:rsidRDefault="00D24350" w:rsidP="00D24350">
      <w:pPr>
        <w:rPr>
          <w:lang w:val="en-GB"/>
        </w:rPr>
      </w:pPr>
      <w:r w:rsidRPr="00D24350">
        <w:rPr>
          <w:lang w:val="en-GB"/>
        </w:rPr>
        <w:t xml:space="preserve">Job search activity for groups facing economic exclusion may also be constrained by time and money. </w:t>
      </w:r>
    </w:p>
    <w:p w14:paraId="5761E629" w14:textId="77777777" w:rsidR="00D24350" w:rsidRPr="00D24350" w:rsidRDefault="00D24350" w:rsidP="00D24350">
      <w:pPr>
        <w:rPr>
          <w:lang w:val="en-GB"/>
        </w:rPr>
      </w:pPr>
      <w:r w:rsidRPr="00D24350">
        <w:rPr>
          <w:lang w:val="en-GB"/>
        </w:rPr>
        <w:t xml:space="preserve">A higher level of JobSeeker Payment would reduce the financial stress of many recipients, allowing them more time and ‘bandwidth’ to commit to job search. </w:t>
      </w:r>
    </w:p>
    <w:p w14:paraId="1ACBF598" w14:textId="31729BAC" w:rsidR="00D24350" w:rsidRDefault="00D24350" w:rsidP="00D24350">
      <w:pPr>
        <w:rPr>
          <w:lang w:val="en-GB"/>
        </w:rPr>
      </w:pPr>
      <w:r w:rsidRPr="00D24350">
        <w:rPr>
          <w:lang w:val="en-GB"/>
        </w:rPr>
        <w:lastRenderedPageBreak/>
        <w:t>It would also provide greater capacity to pay for job search-related costs, like transport, clothing and grooming for interviews.</w:t>
      </w:r>
      <w:r w:rsidRPr="00D24350">
        <w:rPr>
          <w:rStyle w:val="Superscript"/>
          <w:lang w:val="en-GB"/>
        </w:rPr>
        <w:footnoteReference w:id="36"/>
      </w:r>
    </w:p>
    <w:p w14:paraId="64C30FCF" w14:textId="77777777" w:rsidR="002C62EF" w:rsidRPr="002C62EF" w:rsidRDefault="002C62EF" w:rsidP="002C62EF">
      <w:pPr>
        <w:rPr>
          <w:b/>
          <w:bCs/>
        </w:rPr>
      </w:pPr>
      <w:r w:rsidRPr="002C62EF">
        <w:rPr>
          <w:b/>
          <w:bCs/>
        </w:rPr>
        <w:t>Conclusion 3</w:t>
      </w:r>
    </w:p>
    <w:p w14:paraId="2A425EED" w14:textId="77777777" w:rsidR="002C62EF" w:rsidRPr="002C62EF" w:rsidRDefault="002C62EF" w:rsidP="002C62EF">
      <w:pPr>
        <w:rPr>
          <w:b/>
          <w:bCs/>
        </w:rPr>
      </w:pPr>
      <w:r w:rsidRPr="002C62EF">
        <w:rPr>
          <w:b/>
          <w:bCs/>
        </w:rPr>
        <w:t xml:space="preserve">Focusing on JobSeeker recipients facing potential economic exclusion, there is less reason to expect negative effects on job search incentives. </w:t>
      </w:r>
    </w:p>
    <w:p w14:paraId="52D5A278" w14:textId="79EE8BEA" w:rsidR="002C62EF" w:rsidRPr="002C62EF" w:rsidRDefault="002C62EF" w:rsidP="002C62EF">
      <w:pPr>
        <w:rPr>
          <w:b/>
          <w:bCs/>
        </w:rPr>
      </w:pPr>
      <w:r w:rsidRPr="002C62EF">
        <w:rPr>
          <w:b/>
          <w:bCs/>
        </w:rPr>
        <w:t>For jobseekers experiencing financial stress, a higher level of JobSeeker may increase job search and the likelihood of moving to employment.</w:t>
      </w:r>
    </w:p>
    <w:p w14:paraId="62B3A12C" w14:textId="77777777" w:rsidR="005C6684" w:rsidRDefault="005C6684">
      <w:pPr>
        <w:spacing w:after="0"/>
        <w:rPr>
          <w:lang w:val="en-US"/>
        </w:rPr>
      </w:pPr>
      <w:r>
        <w:rPr>
          <w:lang w:val="en-US"/>
        </w:rPr>
        <w:br w:type="page"/>
      </w:r>
    </w:p>
    <w:p w14:paraId="219D3ACD" w14:textId="77777777" w:rsidR="00990E04" w:rsidRPr="00990E04" w:rsidRDefault="00990E04" w:rsidP="00990E04">
      <w:pPr>
        <w:pStyle w:val="Heading2"/>
      </w:pPr>
      <w:bookmarkStart w:id="32" w:name="_Toc165366863"/>
      <w:r w:rsidRPr="00990E04">
        <w:lastRenderedPageBreak/>
        <w:t>Tahnee: Single parent living in a remote community</w:t>
      </w:r>
      <w:bookmarkEnd w:id="32"/>
    </w:p>
    <w:p w14:paraId="24872933" w14:textId="56A20B6D" w:rsidR="00D24350" w:rsidRPr="00990E04" w:rsidRDefault="00D24350" w:rsidP="00990E04">
      <w:pPr>
        <w:rPr>
          <w:rStyle w:val="Emphasis"/>
        </w:rPr>
      </w:pPr>
      <w:r w:rsidRPr="00990E04">
        <w:rPr>
          <w:rStyle w:val="Emphasis"/>
        </w:rPr>
        <w:t xml:space="preserve">Tahnee is a 34-year old woman living in remote Australia. She has three children aged five, seven and ten and lives in an old three-bedroom house on community. </w:t>
      </w:r>
    </w:p>
    <w:p w14:paraId="70445221" w14:textId="77777777" w:rsidR="00D24350" w:rsidRPr="00D24350" w:rsidRDefault="00D24350" w:rsidP="00D24350">
      <w:pPr>
        <w:rPr>
          <w:lang w:val="en-GB"/>
        </w:rPr>
      </w:pPr>
      <w:r w:rsidRPr="00D24350">
        <w:rPr>
          <w:lang w:val="en-GB"/>
        </w:rPr>
        <w:t xml:space="preserve">Tahnee’s family shares their house with her sister and her four nieces and nephews, aged between 13 and 18 who left a violent relationship two years earlier. There wasn’t a public house available in town for her sister, and her sister’s ex-partner also lives in their small town. Tahnee is scared for her sister – when her ex gets drunk, he sometimes comes over and tries to talk to her. She’s scared that one day he’ll get violent and hurt her, her sister or the children. </w:t>
      </w:r>
    </w:p>
    <w:p w14:paraId="080FBC92" w14:textId="77777777" w:rsidR="00D24350" w:rsidRPr="00D24350" w:rsidRDefault="00D24350" w:rsidP="00D24350">
      <w:pPr>
        <w:rPr>
          <w:lang w:val="en-GB"/>
        </w:rPr>
      </w:pPr>
      <w:r w:rsidRPr="00D24350">
        <w:rPr>
          <w:lang w:val="en-GB"/>
        </w:rPr>
        <w:t>Child protection has been to see them a few times and they tell her sister that she needs to do a better job at protecting her children or they’ll take them away. Tahnee doesn’t know what her sister can do.</w:t>
      </w:r>
    </w:p>
    <w:p w14:paraId="5EC1D4D3" w14:textId="77777777" w:rsidR="00D24350" w:rsidRPr="00D24350" w:rsidRDefault="00D24350" w:rsidP="00D24350">
      <w:pPr>
        <w:rPr>
          <w:lang w:val="en-GB"/>
        </w:rPr>
      </w:pPr>
      <w:r w:rsidRPr="00D24350">
        <w:rPr>
          <w:lang w:val="en-GB"/>
        </w:rPr>
        <w:t>Often, Tahnee’s nieces and nephews don’t stay with them, as there aren’t enough beds for everyone, and the younger ones are also scared of their father showing up. Her 18-year-old niece has been living with her boyfriend’s family and the other three kids often stay with Tahnee and her sister’s cousin or at their aunty’s house. Tahnee wishes that there were enough houses so that her kids and her sister’s families were safe, but there just aren’t enough houses in town and even the ones that are there are in a bad way.</w:t>
      </w:r>
    </w:p>
    <w:p w14:paraId="4D0E8DCD" w14:textId="77777777" w:rsidR="00D24350" w:rsidRPr="00D24350" w:rsidRDefault="00D24350" w:rsidP="00D24350">
      <w:pPr>
        <w:rPr>
          <w:lang w:val="en-GB"/>
        </w:rPr>
      </w:pPr>
      <w:r w:rsidRPr="00D24350">
        <w:rPr>
          <w:lang w:val="en-GB"/>
        </w:rPr>
        <w:t>In Tahnee’s house, the water doesn’t work in the bathroom, so they all have to bring water from the kitchen to have a bath, brush their teeth or flush the toilet. There’s wiring that’s exposed on the front veranda and a hole in the laundry wall, and Tahnee worries that her youngest child might hurt himself one day. She’s asked the housing authority to fix the problems, but she’s on the waiting list for a long time as there just aren’t enough tradespeople to come to their small town. She’s given up trying to get things fixed anymore.</w:t>
      </w:r>
    </w:p>
    <w:p w14:paraId="4262C192" w14:textId="77777777" w:rsidR="00D24350" w:rsidRPr="00D24350" w:rsidRDefault="00D24350" w:rsidP="00D24350">
      <w:pPr>
        <w:rPr>
          <w:lang w:val="en-US"/>
        </w:rPr>
      </w:pPr>
      <w:r w:rsidRPr="00D24350">
        <w:rPr>
          <w:lang w:val="en-US"/>
        </w:rPr>
        <w:t xml:space="preserve">English is Tahnee’s fifth language. While she can get by speaking English, Tahnee finds Centrelink’s site impossible. Yet she’s always told to use the self-service terminals whenever she has a problem and goes into the local office. Tahnee is frustrated that she can’t get the forms or documents she needs in her language. </w:t>
      </w:r>
    </w:p>
    <w:p w14:paraId="61A8DE8C" w14:textId="77777777" w:rsidR="00D24350" w:rsidRPr="00D24350" w:rsidRDefault="00D24350" w:rsidP="00D24350">
      <w:pPr>
        <w:rPr>
          <w:lang w:val="en-GB"/>
        </w:rPr>
      </w:pPr>
      <w:r w:rsidRPr="00D24350">
        <w:rPr>
          <w:lang w:val="en-GB"/>
        </w:rPr>
        <w:t>She’s made a lot of mistakes entering the wrong information into the system because she hasn’t understood the question. There’s always a long wait for an interpreter at the Centrelink office as there are lots of people in her community who can’t read or write well in English.</w:t>
      </w:r>
    </w:p>
    <w:p w14:paraId="266E78E7" w14:textId="77777777" w:rsidR="00D24350" w:rsidRPr="00D24350" w:rsidRDefault="00D24350" w:rsidP="00D24350">
      <w:pPr>
        <w:rPr>
          <w:lang w:val="en-GB"/>
        </w:rPr>
      </w:pPr>
      <w:r w:rsidRPr="00D24350">
        <w:rPr>
          <w:lang w:val="en-GB"/>
        </w:rPr>
        <w:t>Tahnee has had her payments cut off because of mistakes she’s made entering her income. This makes it difficult to feed her children, especially because the cost of food is so high. Even when she receives payments, food is too expensive. Tahnee tries to make do with what food she can afford. The prices for fresh fruit and vegetables are often too high for her at the local store, so she mainly relies on tinned and dried food. Meat is almost always out of the question. She also tries to avoid driving to the bigger town, some two hours away, as petrol is too expensive and it means she’ll have to cut back on other things for the next few weeks.</w:t>
      </w:r>
    </w:p>
    <w:p w14:paraId="7720F9CD" w14:textId="77777777" w:rsidR="00D24350" w:rsidRPr="00D24350" w:rsidRDefault="00D24350" w:rsidP="00D24350">
      <w:pPr>
        <w:rPr>
          <w:lang w:val="en-GB"/>
        </w:rPr>
      </w:pPr>
      <w:r w:rsidRPr="00D24350">
        <w:rPr>
          <w:lang w:val="en-GB"/>
        </w:rPr>
        <w:t>While Tahnee has to pay a portion of her Parenting Payment Single to the state housing authority, she doesn’t receive any Rent Assistance, which makes things that much harder. To make things even worse, she only receives a small amount of Family Tax Benefit Part A, and doesn’t understand the system well enough to potentially get higher payments. No-one at Centrelink told her that she can get an exemption and receive more Family Tax Benefits, and she doesn’t know enough to even ask.</w:t>
      </w:r>
    </w:p>
    <w:p w14:paraId="471C1D0A" w14:textId="77777777" w:rsidR="00D24350" w:rsidRPr="00D24350" w:rsidRDefault="00D24350" w:rsidP="00D24350">
      <w:pPr>
        <w:rPr>
          <w:lang w:val="en-GB"/>
        </w:rPr>
      </w:pPr>
      <w:r w:rsidRPr="00D24350">
        <w:rPr>
          <w:lang w:val="en-GB"/>
        </w:rPr>
        <w:t xml:space="preserve">Sometimes, Tahnee has tried to call the Centrelink phone line, but her telephone reception is poor and she often gets cut off while waiting on hold. She can make calls easier from her </w:t>
      </w:r>
      <w:r w:rsidRPr="00D24350">
        <w:rPr>
          <w:lang w:val="en-GB"/>
        </w:rPr>
        <w:lastRenderedPageBreak/>
        <w:t xml:space="preserve">aunty’s house, but she can’t stay there for hours waiting to get answered and for an interpreter to become available as she has to get home. Tahlee couldn’t get a mobile phone plan on her Parenting Payment Single income, so she got the cheapest pre-paid phone that she could afford. She’s frustrated that she uses up a lot of her credit on Centrelink calls and often doesn’t even get to speak to anyone. When she does speak to someone, they tell her to upload things online – but she doesn’t have a computer or the internet at home and doesn’t know how to use the one at the Centrelink office. She can’t upload documents using her phone, so she has to spend hours waiting at the Centrelink office to see someone who then makes her feel bad for not doing it herself. Still, Tahnee finds it better to go into town if she needs anything from Centrelink, the bank or Medicare, as at least she knows she’ll get seen, because the phone or internet won’t drop out. But that takes most of the day as she can’t afford the petrol and as there’s no public transport near her house. She has to go and come back when someone else is driving there. </w:t>
      </w:r>
    </w:p>
    <w:p w14:paraId="1C92F44F" w14:textId="77777777" w:rsidR="00D24350" w:rsidRPr="00D24350" w:rsidRDefault="00D24350" w:rsidP="00D24350">
      <w:pPr>
        <w:rPr>
          <w:lang w:val="en-GB"/>
        </w:rPr>
      </w:pPr>
      <w:r w:rsidRPr="00D24350">
        <w:rPr>
          <w:lang w:val="en-GB"/>
        </w:rPr>
        <w:t>Tahnee loves her community and wants to see her children, and her nieces and nephews grow up to be strong, healthy and proud. She just wishes that life wasn’t so hard and that there was more investment in her community to make sure everyone had a house and enough money to do what they need. She wants the Government to help rather than blame people like her for how things are.</w:t>
      </w:r>
    </w:p>
    <w:p w14:paraId="7D6F6767" w14:textId="77777777" w:rsidR="00B652C8" w:rsidRDefault="00B652C8">
      <w:pPr>
        <w:spacing w:after="0"/>
        <w:rPr>
          <w:lang w:val="en-GB"/>
        </w:rPr>
        <w:sectPr w:rsidR="00B652C8" w:rsidSect="0039440B">
          <w:pgSz w:w="11906" w:h="16838"/>
          <w:pgMar w:top="1440" w:right="1440" w:bottom="1440" w:left="1440" w:header="708" w:footer="708" w:gutter="0"/>
          <w:cols w:space="708"/>
          <w:titlePg/>
          <w:docGrid w:linePitch="360"/>
        </w:sectPr>
      </w:pPr>
    </w:p>
    <w:p w14:paraId="6BAFEBFD" w14:textId="236581B7" w:rsidR="00B652C8" w:rsidRPr="00B652C8" w:rsidRDefault="00262D09" w:rsidP="00B652C8">
      <w:pPr>
        <w:pStyle w:val="Heading1"/>
        <w:rPr>
          <w:color w:val="F9F1E7" w:themeColor="background2"/>
        </w:rPr>
      </w:pPr>
      <w:bookmarkStart w:id="33" w:name="_Toc165366864"/>
      <w:r>
        <w:rPr>
          <w:noProof/>
        </w:rPr>
        <w:lastRenderedPageBreak/>
        <w:drawing>
          <wp:anchor distT="0" distB="0" distL="114300" distR="114300" simplePos="0" relativeHeight="251669504" behindDoc="1" locked="0" layoutInCell="1" allowOverlap="1" wp14:anchorId="71C8A9CF" wp14:editId="615DC204">
            <wp:simplePos x="0" y="0"/>
            <wp:positionH relativeFrom="margin">
              <wp:posOffset>-904875</wp:posOffset>
            </wp:positionH>
            <wp:positionV relativeFrom="paragraph">
              <wp:posOffset>-915670</wp:posOffset>
            </wp:positionV>
            <wp:extent cx="7560310" cy="10687050"/>
            <wp:effectExtent l="0" t="0" r="2540" b="0"/>
            <wp:wrapNone/>
            <wp:docPr id="8778935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565"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rPr>
        <w:t>Chapter 3:</w:t>
      </w:r>
      <w:r w:rsidR="00B652C8" w:rsidRPr="00B652C8">
        <w:rPr>
          <w:color w:val="F9F1E7" w:themeColor="background2"/>
        </w:rPr>
        <w:br/>
        <w:t>Commonwealth Rent Assistance</w:t>
      </w:r>
      <w:bookmarkEnd w:id="33"/>
    </w:p>
    <w:p w14:paraId="6061C70C" w14:textId="1CAC91E3" w:rsidR="00B652C8" w:rsidRDefault="00B652C8">
      <w:pPr>
        <w:spacing w:after="0"/>
        <w:rPr>
          <w:rFonts w:eastAsiaTheme="majorEastAsia" w:cstheme="majorBidi"/>
          <w:b/>
          <w:color w:val="131727" w:themeColor="text1"/>
          <w:sz w:val="32"/>
          <w:szCs w:val="32"/>
        </w:rPr>
      </w:pPr>
      <w:r>
        <w:br w:type="page"/>
      </w:r>
    </w:p>
    <w:p w14:paraId="4CB32ED9" w14:textId="39572CE3" w:rsidR="00D24350" w:rsidRPr="00930DF9" w:rsidRDefault="00D24350" w:rsidP="00930DF9">
      <w:pPr>
        <w:pStyle w:val="Heading2"/>
      </w:pPr>
      <w:bookmarkStart w:id="34" w:name="_Toc165366865"/>
      <w:r w:rsidRPr="00930DF9">
        <w:lastRenderedPageBreak/>
        <w:t>3.1 Introduction</w:t>
      </w:r>
      <w:bookmarkEnd w:id="34"/>
    </w:p>
    <w:p w14:paraId="0CA7C03A" w14:textId="6A7F13C3" w:rsidR="00D24350" w:rsidRPr="0009306C" w:rsidRDefault="00D24350" w:rsidP="00D24350">
      <w:pPr>
        <w:rPr>
          <w:rStyle w:val="Emphasis"/>
        </w:rPr>
      </w:pPr>
      <w:r w:rsidRPr="0009306C">
        <w:rPr>
          <w:rStyle w:val="Emphasis"/>
        </w:rPr>
        <w:t xml:space="preserve">As in the first Report of the Interim EIAC, while the first priority is addressing the inadequacy in the base rate of JobSeeker Payment and associated payments, the inadequacy of CRA risks leaving households that rent in housing and financial stress. </w:t>
      </w:r>
    </w:p>
    <w:p w14:paraId="1A861C4E" w14:textId="77777777" w:rsidR="00D24350" w:rsidRPr="00D24350" w:rsidRDefault="00D24350" w:rsidP="00D24350">
      <w:pPr>
        <w:rPr>
          <w:lang w:val="en-GB"/>
        </w:rPr>
      </w:pPr>
      <w:r w:rsidRPr="00D24350">
        <w:rPr>
          <w:lang w:val="en-GB"/>
        </w:rPr>
        <w:t>In addition to the increase in income support payments announced following the first Report, rates of CRA were increased by 15%, which combined with the indexation increase in September 2023 produced a total increase for people receiving income support and CRA of 17.6%.</w:t>
      </w:r>
    </w:p>
    <w:p w14:paraId="25F8AEC2" w14:textId="77777777" w:rsidR="00D24350" w:rsidRPr="00D24350" w:rsidRDefault="00D24350" w:rsidP="00D24350">
      <w:pPr>
        <w:rPr>
          <w:lang w:val="en-GB"/>
        </w:rPr>
      </w:pPr>
      <w:r w:rsidRPr="00D24350">
        <w:rPr>
          <w:lang w:val="en-GB"/>
        </w:rPr>
        <w:t>However, the rental market continues to experience very low vacancy rates and the upward pressure on rents has continued. CPI rents for all rental properties have increased by 5.8% since March 2023 and advertised rents for apartments have risen by 10.2% nationally.</w:t>
      </w:r>
      <w:r w:rsidRPr="00D24350">
        <w:rPr>
          <w:rStyle w:val="Superscript"/>
          <w:lang w:val="en-GB"/>
        </w:rPr>
        <w:footnoteReference w:id="37"/>
      </w:r>
    </w:p>
    <w:p w14:paraId="50551AD2" w14:textId="77777777" w:rsidR="00D24350" w:rsidRPr="00D24350" w:rsidRDefault="00D24350" w:rsidP="00D24350">
      <w:pPr>
        <w:rPr>
          <w:lang w:val="en-GB"/>
        </w:rPr>
      </w:pPr>
      <w:r w:rsidRPr="00D24350">
        <w:rPr>
          <w:lang w:val="en-GB"/>
        </w:rPr>
        <w:t>Recent Australian Housing and Urban Research Institute (AHURI)  analysis of the 2021 Census found that 82% of very low-income renting households were in housing affordability stress (where they pay more than 30% of their income in rent).</w:t>
      </w:r>
      <w:r w:rsidRPr="00D24350">
        <w:rPr>
          <w:rStyle w:val="Superscript"/>
          <w:lang w:val="en-GB"/>
        </w:rPr>
        <w:footnoteReference w:id="38"/>
      </w:r>
      <w:r w:rsidRPr="00D24350">
        <w:rPr>
          <w:rStyle w:val="Superscript"/>
          <w:lang w:val="en-GB"/>
        </w:rPr>
        <w:t xml:space="preserve"> </w:t>
      </w:r>
      <w:r w:rsidRPr="00D24350">
        <w:rPr>
          <w:lang w:val="en-GB"/>
        </w:rPr>
        <w:t>Concerningly this analysis refers to a period of relatively favourable rental markets conditions during the COVID-19 pandemic, with rents having risen substantially since that time.</w:t>
      </w:r>
    </w:p>
    <w:p w14:paraId="6BF2DC07" w14:textId="77777777" w:rsidR="00D24350" w:rsidRPr="00D24350" w:rsidRDefault="00D24350" w:rsidP="00D24350">
      <w:pPr>
        <w:rPr>
          <w:lang w:val="en-GB"/>
        </w:rPr>
      </w:pPr>
      <w:r w:rsidRPr="00D24350">
        <w:rPr>
          <w:lang w:val="en-GB"/>
        </w:rPr>
        <w:t>Analysis undertaken by the Committee for last year’s report highlighted the need for an increase in CRA to address the long-term decline in affordability for eligible households. The ongoing upward pressure on rents, that are growing faster than CPI, means this remains a priority area for the Committee.</w:t>
      </w:r>
    </w:p>
    <w:p w14:paraId="5EEFEE67" w14:textId="77777777" w:rsidR="00D24350" w:rsidRPr="00CF29A5" w:rsidRDefault="00D24350" w:rsidP="00CF29A5">
      <w:pPr>
        <w:pStyle w:val="Heading2"/>
      </w:pPr>
      <w:bookmarkStart w:id="35" w:name="_Toc165366866"/>
      <w:r w:rsidRPr="00CF29A5">
        <w:t>3.2 Adequacy of Commonwealth Rent Assistance</w:t>
      </w:r>
      <w:bookmarkEnd w:id="35"/>
    </w:p>
    <w:p w14:paraId="3599DAFB" w14:textId="77777777" w:rsidR="00D24350" w:rsidRPr="00D24350" w:rsidRDefault="00D24350" w:rsidP="00D24350">
      <w:pPr>
        <w:rPr>
          <w:lang w:val="en-GB"/>
        </w:rPr>
      </w:pPr>
      <w:r w:rsidRPr="00D24350">
        <w:rPr>
          <w:lang w:val="en-GB"/>
        </w:rPr>
        <w:t xml:space="preserve">At December 2023, 1.28 million Australian households received CRA, a payment that reflects the fact that renters are at a greater risk of financial stress and poverty, and therefore need additional assistance. </w:t>
      </w:r>
    </w:p>
    <w:p w14:paraId="6A72A8CC" w14:textId="77777777" w:rsidR="00D24350" w:rsidRPr="00D24350" w:rsidRDefault="00D24350" w:rsidP="00D24350">
      <w:pPr>
        <w:rPr>
          <w:lang w:val="en-GB"/>
        </w:rPr>
      </w:pPr>
      <w:r w:rsidRPr="00D24350">
        <w:rPr>
          <w:lang w:val="en-GB"/>
        </w:rPr>
        <w:t>A household is typically described as being in ‘housing stress’ if it is paying more than 30% of its income in housing costs.</w:t>
      </w:r>
      <w:r w:rsidRPr="00D24350">
        <w:rPr>
          <w:rStyle w:val="Superscript"/>
          <w:lang w:val="en-GB"/>
        </w:rPr>
        <w:footnoteReference w:id="39"/>
      </w:r>
    </w:p>
    <w:p w14:paraId="4BC27D3D" w14:textId="77777777" w:rsidR="00D24350" w:rsidRPr="00D24350" w:rsidRDefault="00D24350" w:rsidP="00D24350">
      <w:pPr>
        <w:rPr>
          <w:lang w:val="en-GB"/>
        </w:rPr>
      </w:pPr>
      <w:r w:rsidRPr="00D24350">
        <w:rPr>
          <w:lang w:val="en-GB"/>
        </w:rPr>
        <w:t xml:space="preserve">CRA is not payable until rent paid exceeds a threshold, which is indexed to the CPI. For a Single JobSeeker Payment recipient living alone, the current rent threshold is $143.40 per fortnight, meaning that they would be paying just under 20% of their benefit payment on rent before they start to receive CRA. CRA is then paid at a rate of 75 cents for every $1 of rent paid above the threshold, so that currently the maximum rate of CRA for a single JobSeeker of $184.80 per fortnight would be payable when rent reaches just under $390 per fortnight. </w:t>
      </w:r>
    </w:p>
    <w:p w14:paraId="7F4B72E9" w14:textId="77777777" w:rsidR="00D24350" w:rsidRPr="00D24350" w:rsidRDefault="00D24350" w:rsidP="00D24350">
      <w:pPr>
        <w:rPr>
          <w:lang w:val="en-GB"/>
        </w:rPr>
      </w:pPr>
      <w:r w:rsidRPr="00D24350">
        <w:rPr>
          <w:lang w:val="en-GB"/>
        </w:rPr>
        <w:t>At that level of rent, a single JobSeeker would be currently paying 34.5% of their total income support plus CRA in rent. Moreover, there is no additional CRA payable for rents above this level, so the intensity of housing stress increases even further.</w:t>
      </w:r>
    </w:p>
    <w:p w14:paraId="0C84481D" w14:textId="77777777" w:rsidR="00D24350" w:rsidRPr="00D24350" w:rsidRDefault="00D24350" w:rsidP="00D24350">
      <w:pPr>
        <w:rPr>
          <w:lang w:val="en-GB"/>
        </w:rPr>
      </w:pPr>
      <w:r w:rsidRPr="00D24350">
        <w:rPr>
          <w:lang w:val="en-GB"/>
        </w:rPr>
        <w:t xml:space="preserve">The Productivity Commission Report on Government Services (2024) estimates that between 2011-12 and 2019-20 the share of private renter households in the bottom 40% of the income distribution who spent more than 30% of their income on housing fluctuated </w:t>
      </w:r>
      <w:r w:rsidRPr="00D24350">
        <w:rPr>
          <w:lang w:val="en-GB"/>
        </w:rPr>
        <w:lastRenderedPageBreak/>
        <w:t>between 51% and 54% of this group of low-income households, increasing from around 465,000 households to 565,000 households over this period.</w:t>
      </w:r>
      <w:r w:rsidRPr="00D24350">
        <w:rPr>
          <w:rStyle w:val="Superscript"/>
          <w:lang w:val="en-GB"/>
        </w:rPr>
        <w:footnoteReference w:id="40"/>
      </w:r>
      <w:r w:rsidRPr="00D24350">
        <w:rPr>
          <w:rStyle w:val="Superscript"/>
          <w:lang w:val="en-GB"/>
        </w:rPr>
        <w:t xml:space="preserve"> </w:t>
      </w:r>
    </w:p>
    <w:p w14:paraId="49CF3090" w14:textId="77777777" w:rsidR="00D24350" w:rsidRPr="00D24350" w:rsidRDefault="00D24350" w:rsidP="00D24350">
      <w:pPr>
        <w:rPr>
          <w:lang w:val="en-GB"/>
        </w:rPr>
      </w:pPr>
      <w:r w:rsidRPr="00D24350">
        <w:rPr>
          <w:lang w:val="en-GB"/>
        </w:rPr>
        <w:t>Two-thirds of those experiencing this stress lived in major cities, with 1.1% living in remote or very remote areas – although in the Northern Territory (NT), more than 25% lived in remote or very remote areas.</w:t>
      </w:r>
    </w:p>
    <w:p w14:paraId="2C86EEB6" w14:textId="77777777" w:rsidR="00D24350" w:rsidRPr="00D24350" w:rsidRDefault="00D24350" w:rsidP="00D24350">
      <w:pPr>
        <w:rPr>
          <w:lang w:val="en-GB"/>
        </w:rPr>
      </w:pPr>
      <w:r w:rsidRPr="00D24350">
        <w:rPr>
          <w:lang w:val="en-GB"/>
        </w:rPr>
        <w:t>Using DSS administrative data, the Productivity Commission Report on Government Services (2024) Table GA.13 also estimates that without CRA, 71% of 2023-24 recipients would be paying more than 30% of their income in rent. With CRA, this share is reduced to 43%. They also calculate that without CRA, nearly one-third of recipients (31.8%) would be paying more than 50% of their income in rent, but with CRA this is reduced to 16% (Productivity Commission, 2024, Table GA.14).</w:t>
      </w:r>
    </w:p>
    <w:p w14:paraId="4F809342" w14:textId="77777777" w:rsidR="00D24350" w:rsidRDefault="00D24350" w:rsidP="00D24350">
      <w:pPr>
        <w:rPr>
          <w:lang w:val="en-GB"/>
        </w:rPr>
      </w:pPr>
      <w:r w:rsidRPr="00D24350">
        <w:rPr>
          <w:lang w:val="en-GB"/>
        </w:rPr>
        <w:t>It is also notable that the Productivity Commission Report estimates that across all states and territories the equity group with the highest rates of housing stress, both before and after CRA, are income units including a family member under 25 years of age.</w:t>
      </w:r>
    </w:p>
    <w:p w14:paraId="50335CE5" w14:textId="2A8515B1" w:rsidR="005C7B9D" w:rsidRPr="00D24350" w:rsidRDefault="00D24350" w:rsidP="00D24350">
      <w:pPr>
        <w:rPr>
          <w:lang w:val="en-GB"/>
        </w:rPr>
      </w:pPr>
      <w:r w:rsidRPr="00D24350">
        <w:rPr>
          <w:lang w:val="en-GB"/>
        </w:rPr>
        <w:t xml:space="preserve">Figure 14 shows the share of people receiving the maximum rate of CRA by payment category. This ranges from 50% of those receiving Youth Allowance (Other) to more than 80% of those receiving Parenting Payment Single or Parenting Payment Partnered. </w:t>
      </w:r>
    </w:p>
    <w:p w14:paraId="770B4A15" w14:textId="77777777" w:rsidR="00D24350" w:rsidRDefault="00D24350" w:rsidP="00D24350">
      <w:pPr>
        <w:rPr>
          <w:lang w:val="en-GB"/>
        </w:rPr>
      </w:pPr>
      <w:r w:rsidRPr="00D24350">
        <w:rPr>
          <w:lang w:val="en-GB"/>
        </w:rPr>
        <w:t>DSS data by income unit type show that at December 2023 nearly 150,000 income units with 273 thousand children were paying more than 30% of their income in rent, and thus experiencing high levels of housing stress.</w:t>
      </w:r>
      <w:r w:rsidRPr="00D24350">
        <w:rPr>
          <w:rStyle w:val="Superscript"/>
          <w:lang w:val="en-GB"/>
        </w:rPr>
        <w:footnoteReference w:id="41"/>
      </w:r>
      <w:r w:rsidRPr="00D24350">
        <w:rPr>
          <w:rStyle w:val="Superscript"/>
          <w:lang w:val="en-GB"/>
        </w:rPr>
        <w:t xml:space="preserve"> </w:t>
      </w:r>
      <w:r w:rsidRPr="00D24350">
        <w:rPr>
          <w:lang w:val="en-GB"/>
        </w:rPr>
        <w:t>Around 40% of these children are in households receiving Parenting Payment Single and 13% in families receiving the JobSeeker Payment.</w:t>
      </w:r>
    </w:p>
    <w:p w14:paraId="3855E980" w14:textId="77777777" w:rsidR="005C7B9D" w:rsidRPr="005D5A36" w:rsidRDefault="005C7B9D" w:rsidP="005C7B9D">
      <w:pPr>
        <w:pStyle w:val="Heading4"/>
        <w:rPr>
          <w:lang w:val="en-US"/>
        </w:rPr>
      </w:pPr>
      <w:r>
        <w:t>Figure 14: Percentage of CRA Recipients Receiving Maximum Payment by Income Support category, (December 2023)</w:t>
      </w:r>
    </w:p>
    <w:p w14:paraId="52EB980F" w14:textId="77777777" w:rsidR="005C7B9D" w:rsidRDefault="005C7B9D" w:rsidP="005C7B9D">
      <w:pPr>
        <w:rPr>
          <w:lang w:val="en-GB"/>
        </w:rPr>
      </w:pPr>
      <w:r>
        <w:rPr>
          <w:noProof/>
          <w:lang w:val="en-GB"/>
        </w:rPr>
        <w:drawing>
          <wp:inline distT="0" distB="0" distL="0" distR="0" wp14:anchorId="20A4683C" wp14:editId="54383EBF">
            <wp:extent cx="5731510" cy="2381250"/>
            <wp:effectExtent l="0" t="0" r="0" b="0"/>
            <wp:docPr id="830283482" name="Picture 12" descr="Figure 14: Percentage of CRA Recipients Receiving Maximum Payment by Income Support category,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83482" name="Picture 12" descr="Figure 14: Percentage of CRA Recipients Receiving Maximum Payment by Income Support category, (December 2023)"/>
                    <pic:cNvPicPr/>
                  </pic:nvPicPr>
                  <pic:blipFill rotWithShape="1">
                    <a:blip r:embed="rId32" cstate="print">
                      <a:extLst>
                        <a:ext uri="{28A0092B-C50C-407E-A947-70E740481C1C}">
                          <a14:useLocalDpi xmlns:a14="http://schemas.microsoft.com/office/drawing/2010/main" val="0"/>
                        </a:ext>
                      </a:extLst>
                    </a:blip>
                    <a:srcRect b="8425"/>
                    <a:stretch/>
                  </pic:blipFill>
                  <pic:spPr bwMode="auto">
                    <a:xfrm>
                      <a:off x="0" y="0"/>
                      <a:ext cx="5731510" cy="2381250"/>
                    </a:xfrm>
                    <a:prstGeom prst="rect">
                      <a:avLst/>
                    </a:prstGeom>
                    <a:ln>
                      <a:noFill/>
                    </a:ln>
                    <a:extLst>
                      <a:ext uri="{53640926-AAD7-44D8-BBD7-CCE9431645EC}">
                        <a14:shadowObscured xmlns:a14="http://schemas.microsoft.com/office/drawing/2010/main"/>
                      </a:ext>
                    </a:extLst>
                  </pic:spPr>
                </pic:pic>
              </a:graphicData>
            </a:graphic>
          </wp:inline>
        </w:drawing>
      </w:r>
    </w:p>
    <w:p w14:paraId="1E4E2E60" w14:textId="496BE6EE" w:rsidR="005C7B9D" w:rsidRPr="005C7B9D" w:rsidRDefault="005C7B9D" w:rsidP="005C7B9D">
      <w:pPr>
        <w:pStyle w:val="Caption"/>
      </w:pPr>
      <w:r w:rsidRPr="005D5A36">
        <w:t>Source: DSS (2023), DSS Demographic Data June 2023 and December 2023.</w:t>
      </w:r>
    </w:p>
    <w:p w14:paraId="07260570" w14:textId="77777777" w:rsidR="00D24350" w:rsidRPr="00D24350" w:rsidRDefault="00D24350" w:rsidP="00D24350">
      <w:pPr>
        <w:rPr>
          <w:lang w:val="en-GB"/>
        </w:rPr>
      </w:pPr>
      <w:r w:rsidRPr="00D24350">
        <w:rPr>
          <w:lang w:val="en-GB"/>
        </w:rPr>
        <w:t>The share of CRA recipients receiving the maximum rate of payment fell slightly between June 2023 and December 2023. This is likely the result of the increase in payment rates, which resulted in an increase in the rent qualifying a single JobSeeker to receive the maximum rate from $350 a fortnight to nearly $390 a fortnight.</w:t>
      </w:r>
    </w:p>
    <w:p w14:paraId="58AB4C43" w14:textId="77777777" w:rsidR="00D24350" w:rsidRDefault="00D24350" w:rsidP="00D24350">
      <w:pPr>
        <w:rPr>
          <w:lang w:val="en-GB"/>
        </w:rPr>
      </w:pPr>
      <w:r w:rsidRPr="00D24350">
        <w:rPr>
          <w:lang w:val="en-GB"/>
        </w:rPr>
        <w:t xml:space="preserve">While CRA is invaluable and the increase in the 2023-24 Budget provides improved assistance, the vast majority of people receiving the payment continue to pay rents above </w:t>
      </w:r>
      <w:r w:rsidRPr="00D24350">
        <w:rPr>
          <w:lang w:val="en-GB"/>
        </w:rPr>
        <w:lastRenderedPageBreak/>
        <w:t>the maximum amount of CRA. This means that CRA is not adequately addressing the additional costs faced by renters on Government payments.</w:t>
      </w:r>
    </w:p>
    <w:p w14:paraId="25552E2A" w14:textId="0F317513" w:rsidR="00D24350" w:rsidRPr="00D24350" w:rsidRDefault="00D24350" w:rsidP="00D24350">
      <w:pPr>
        <w:rPr>
          <w:lang w:val="en-GB"/>
        </w:rPr>
      </w:pPr>
      <w:r w:rsidRPr="00D24350">
        <w:rPr>
          <w:lang w:val="en-GB"/>
        </w:rPr>
        <w:t>Further details are provided in Table 10 which also shows the mean and median fortnightly rent paid and the mean and median CRA received. This includes information on the number of Family Tax Benefit Recipients receiving CRA, as well as income support recipients.</w:t>
      </w:r>
    </w:p>
    <w:p w14:paraId="209FD6F8" w14:textId="77777777" w:rsidR="005C7B9D" w:rsidRDefault="005C7B9D" w:rsidP="005C7B9D">
      <w:pPr>
        <w:pStyle w:val="Heading4"/>
      </w:pPr>
      <w:r>
        <w:t>Table 10: CRA by Primary Payment Type, December 2023</w:t>
      </w:r>
    </w:p>
    <w:tbl>
      <w:tblPr>
        <w:tblStyle w:val="TableGrid"/>
        <w:tblW w:w="0" w:type="auto"/>
        <w:tblLook w:val="04A0" w:firstRow="1" w:lastRow="0" w:firstColumn="1" w:lastColumn="0" w:noHBand="0" w:noVBand="1"/>
      </w:tblPr>
      <w:tblGrid>
        <w:gridCol w:w="1551"/>
        <w:gridCol w:w="1195"/>
        <w:gridCol w:w="1146"/>
        <w:gridCol w:w="1012"/>
        <w:gridCol w:w="1012"/>
        <w:gridCol w:w="1012"/>
        <w:gridCol w:w="1012"/>
        <w:gridCol w:w="1086"/>
      </w:tblGrid>
      <w:tr w:rsidR="005C7B9D" w14:paraId="5BBF20AE" w14:textId="77777777" w:rsidTr="00237808">
        <w:trPr>
          <w:cnfStyle w:val="100000000000" w:firstRow="1" w:lastRow="0" w:firstColumn="0" w:lastColumn="0" w:oddVBand="0" w:evenVBand="0" w:oddHBand="0" w:evenHBand="0" w:firstRowFirstColumn="0" w:firstRowLastColumn="0" w:lastRowFirstColumn="0" w:lastRowLastColumn="0"/>
        </w:trPr>
        <w:tc>
          <w:tcPr>
            <w:tcW w:w="1838" w:type="dxa"/>
            <w:vAlign w:val="center"/>
          </w:tcPr>
          <w:p w14:paraId="2F06B8CB" w14:textId="77777777" w:rsidR="005C7B9D" w:rsidRPr="00C312D2" w:rsidRDefault="005C7B9D" w:rsidP="00237808">
            <w:pPr>
              <w:rPr>
                <w:color w:val="FFFFFF" w:themeColor="background1"/>
                <w:sz w:val="20"/>
                <w:szCs w:val="21"/>
              </w:rPr>
            </w:pPr>
            <w:bookmarkStart w:id="36" w:name="ColumnTitle_Table10"/>
            <w:bookmarkEnd w:id="36"/>
            <w:r w:rsidRPr="00C312D2">
              <w:rPr>
                <w:color w:val="FFFFFF" w:themeColor="background1"/>
                <w:sz w:val="20"/>
                <w:szCs w:val="21"/>
              </w:rPr>
              <w:t>Primary payment type</w:t>
            </w:r>
          </w:p>
        </w:tc>
        <w:tc>
          <w:tcPr>
            <w:tcW w:w="2032" w:type="dxa"/>
            <w:gridSpan w:val="2"/>
            <w:vAlign w:val="center"/>
          </w:tcPr>
          <w:p w14:paraId="2FEC0F46" w14:textId="77777777" w:rsidR="005C7B9D" w:rsidRPr="00C312D2" w:rsidRDefault="005C7B9D" w:rsidP="00237808">
            <w:pPr>
              <w:rPr>
                <w:color w:val="FFFFFF" w:themeColor="background1"/>
                <w:sz w:val="20"/>
                <w:szCs w:val="21"/>
              </w:rPr>
            </w:pPr>
            <w:r w:rsidRPr="00C312D2">
              <w:rPr>
                <w:color w:val="FFFFFF" w:themeColor="background1"/>
                <w:sz w:val="20"/>
                <w:szCs w:val="21"/>
              </w:rPr>
              <w:t>Recipient household*</w:t>
            </w:r>
          </w:p>
        </w:tc>
        <w:tc>
          <w:tcPr>
            <w:tcW w:w="2024" w:type="dxa"/>
            <w:gridSpan w:val="2"/>
            <w:vAlign w:val="center"/>
          </w:tcPr>
          <w:p w14:paraId="0E12CDDE" w14:textId="77777777" w:rsidR="005C7B9D" w:rsidRPr="00C312D2" w:rsidRDefault="005C7B9D" w:rsidP="00237808">
            <w:pPr>
              <w:rPr>
                <w:color w:val="FFFFFF" w:themeColor="background1"/>
                <w:sz w:val="20"/>
                <w:szCs w:val="21"/>
              </w:rPr>
            </w:pPr>
            <w:r w:rsidRPr="00C312D2">
              <w:rPr>
                <w:color w:val="FFFFFF" w:themeColor="background1"/>
                <w:sz w:val="20"/>
                <w:szCs w:val="21"/>
              </w:rPr>
              <w:t>Fortnightly rent paid</w:t>
            </w:r>
          </w:p>
        </w:tc>
        <w:tc>
          <w:tcPr>
            <w:tcW w:w="2024" w:type="dxa"/>
            <w:gridSpan w:val="2"/>
            <w:vAlign w:val="center"/>
          </w:tcPr>
          <w:p w14:paraId="02708489" w14:textId="77777777" w:rsidR="005C7B9D" w:rsidRPr="00C312D2" w:rsidRDefault="005C7B9D" w:rsidP="00237808">
            <w:pPr>
              <w:rPr>
                <w:color w:val="FFFFFF" w:themeColor="background1"/>
                <w:sz w:val="20"/>
                <w:szCs w:val="21"/>
              </w:rPr>
            </w:pPr>
            <w:r w:rsidRPr="00C312D2">
              <w:rPr>
                <w:color w:val="FFFFFF" w:themeColor="background1"/>
                <w:sz w:val="20"/>
                <w:szCs w:val="21"/>
              </w:rPr>
              <w:t>Fortnightly CRA</w:t>
            </w:r>
          </w:p>
        </w:tc>
        <w:tc>
          <w:tcPr>
            <w:tcW w:w="1098" w:type="dxa"/>
            <w:vAlign w:val="center"/>
          </w:tcPr>
          <w:p w14:paraId="319928CD" w14:textId="77777777" w:rsidR="005C7B9D" w:rsidRPr="00C312D2" w:rsidRDefault="005C7B9D" w:rsidP="00237808">
            <w:pPr>
              <w:rPr>
                <w:color w:val="FFFFFF" w:themeColor="background1"/>
                <w:sz w:val="20"/>
                <w:szCs w:val="21"/>
              </w:rPr>
            </w:pPr>
            <w:r w:rsidRPr="00C312D2">
              <w:rPr>
                <w:color w:val="FFFFFF" w:themeColor="background1"/>
                <w:sz w:val="20"/>
                <w:szCs w:val="21"/>
              </w:rPr>
              <w:t>% eligible for maximum rate^</w:t>
            </w:r>
          </w:p>
        </w:tc>
      </w:tr>
      <w:tr w:rsidR="005C7B9D" w:rsidRPr="00020503" w14:paraId="3EE03D16" w14:textId="77777777" w:rsidTr="00237808">
        <w:trPr>
          <w:cnfStyle w:val="000000100000" w:firstRow="0" w:lastRow="0" w:firstColumn="0" w:lastColumn="0" w:oddVBand="0" w:evenVBand="0" w:oddHBand="1" w:evenHBand="0" w:firstRowFirstColumn="0" w:firstRowLastColumn="0" w:lastRowFirstColumn="0" w:lastRowLastColumn="0"/>
          <w:trHeight w:val="793"/>
        </w:trPr>
        <w:tc>
          <w:tcPr>
            <w:tcW w:w="1838" w:type="dxa"/>
          </w:tcPr>
          <w:p w14:paraId="4E55ACBE" w14:textId="77777777" w:rsidR="005C7B9D" w:rsidRPr="00020503" w:rsidRDefault="005C7B9D" w:rsidP="00237808">
            <w:pPr>
              <w:rPr>
                <w:lang w:val="en-GB"/>
              </w:rPr>
            </w:pPr>
          </w:p>
        </w:tc>
        <w:tc>
          <w:tcPr>
            <w:tcW w:w="853" w:type="dxa"/>
          </w:tcPr>
          <w:p w14:paraId="47D0E6B1" w14:textId="77777777" w:rsidR="005C7B9D" w:rsidRPr="00020503" w:rsidRDefault="005C7B9D" w:rsidP="00237808">
            <w:pPr>
              <w:rPr>
                <w:sz w:val="18"/>
                <w:szCs w:val="18"/>
                <w:lang w:val="en-GB"/>
              </w:rPr>
            </w:pPr>
            <w:r w:rsidRPr="00020503">
              <w:rPr>
                <w:sz w:val="18"/>
                <w:szCs w:val="18"/>
                <w:lang w:val="en-GB"/>
              </w:rPr>
              <w:t>Number</w:t>
            </w:r>
          </w:p>
        </w:tc>
        <w:tc>
          <w:tcPr>
            <w:tcW w:w="1179" w:type="dxa"/>
          </w:tcPr>
          <w:p w14:paraId="342EDCD5" w14:textId="77777777" w:rsidR="005C7B9D" w:rsidRPr="00020503" w:rsidRDefault="005C7B9D" w:rsidP="00237808">
            <w:pPr>
              <w:rPr>
                <w:sz w:val="18"/>
                <w:szCs w:val="18"/>
                <w:lang w:val="en-GB"/>
              </w:rPr>
            </w:pPr>
            <w:r w:rsidRPr="00020503">
              <w:rPr>
                <w:sz w:val="18"/>
                <w:szCs w:val="18"/>
                <w:lang w:val="en-GB"/>
              </w:rPr>
              <w:t>Per cent of recipient households</w:t>
            </w:r>
          </w:p>
        </w:tc>
        <w:tc>
          <w:tcPr>
            <w:tcW w:w="1012" w:type="dxa"/>
          </w:tcPr>
          <w:p w14:paraId="04DAAAA1" w14:textId="77777777" w:rsidR="005C7B9D" w:rsidRPr="00020503" w:rsidRDefault="005C7B9D" w:rsidP="00237808">
            <w:pPr>
              <w:rPr>
                <w:sz w:val="18"/>
                <w:szCs w:val="18"/>
                <w:lang w:val="en-GB"/>
              </w:rPr>
            </w:pPr>
            <w:r w:rsidRPr="00020503">
              <w:rPr>
                <w:sz w:val="18"/>
                <w:szCs w:val="18"/>
                <w:lang w:val="en-GB"/>
              </w:rPr>
              <w:t>Average</w:t>
            </w:r>
          </w:p>
        </w:tc>
        <w:tc>
          <w:tcPr>
            <w:tcW w:w="1012" w:type="dxa"/>
          </w:tcPr>
          <w:p w14:paraId="53D08E65" w14:textId="77777777" w:rsidR="005C7B9D" w:rsidRPr="00020503" w:rsidRDefault="005C7B9D" w:rsidP="00237808">
            <w:pPr>
              <w:rPr>
                <w:sz w:val="18"/>
                <w:szCs w:val="18"/>
                <w:lang w:val="en-GB"/>
              </w:rPr>
            </w:pPr>
            <w:r w:rsidRPr="00020503">
              <w:rPr>
                <w:sz w:val="18"/>
                <w:szCs w:val="18"/>
                <w:lang w:val="en-GB"/>
              </w:rPr>
              <w:t>Median</w:t>
            </w:r>
          </w:p>
        </w:tc>
        <w:tc>
          <w:tcPr>
            <w:tcW w:w="1012" w:type="dxa"/>
          </w:tcPr>
          <w:p w14:paraId="02F3A378" w14:textId="77777777" w:rsidR="005C7B9D" w:rsidRPr="00020503" w:rsidRDefault="005C7B9D" w:rsidP="00237808">
            <w:pPr>
              <w:rPr>
                <w:sz w:val="18"/>
                <w:szCs w:val="18"/>
                <w:lang w:val="en-GB"/>
              </w:rPr>
            </w:pPr>
            <w:r w:rsidRPr="00020503">
              <w:rPr>
                <w:sz w:val="18"/>
                <w:szCs w:val="18"/>
                <w:lang w:val="en-GB"/>
              </w:rPr>
              <w:t>Average</w:t>
            </w:r>
          </w:p>
        </w:tc>
        <w:tc>
          <w:tcPr>
            <w:tcW w:w="1012" w:type="dxa"/>
          </w:tcPr>
          <w:p w14:paraId="57D2DFD9" w14:textId="77777777" w:rsidR="005C7B9D" w:rsidRPr="00020503" w:rsidRDefault="005C7B9D" w:rsidP="00237808">
            <w:pPr>
              <w:rPr>
                <w:sz w:val="18"/>
                <w:szCs w:val="18"/>
                <w:lang w:val="en-GB"/>
              </w:rPr>
            </w:pPr>
            <w:r w:rsidRPr="00020503">
              <w:rPr>
                <w:sz w:val="18"/>
                <w:szCs w:val="18"/>
                <w:lang w:val="en-GB"/>
              </w:rPr>
              <w:t>Median</w:t>
            </w:r>
          </w:p>
        </w:tc>
        <w:tc>
          <w:tcPr>
            <w:tcW w:w="1098" w:type="dxa"/>
          </w:tcPr>
          <w:p w14:paraId="4FE27CF2" w14:textId="77777777" w:rsidR="005C7B9D" w:rsidRPr="00020503" w:rsidRDefault="005C7B9D" w:rsidP="00237808">
            <w:pPr>
              <w:rPr>
                <w:sz w:val="18"/>
                <w:szCs w:val="18"/>
                <w:lang w:val="en-GB"/>
              </w:rPr>
            </w:pPr>
          </w:p>
        </w:tc>
      </w:tr>
      <w:tr w:rsidR="005C7B9D" w:rsidRPr="00020503" w14:paraId="399019CF" w14:textId="77777777" w:rsidTr="00237808">
        <w:trPr>
          <w:trHeight w:val="566"/>
        </w:trPr>
        <w:tc>
          <w:tcPr>
            <w:tcW w:w="1838" w:type="dxa"/>
          </w:tcPr>
          <w:p w14:paraId="3B94416B" w14:textId="77777777" w:rsidR="005C7B9D" w:rsidRPr="00020503" w:rsidRDefault="005C7B9D" w:rsidP="00237808">
            <w:pPr>
              <w:rPr>
                <w:b/>
                <w:bCs/>
                <w:lang w:val="en-GB"/>
              </w:rPr>
            </w:pPr>
            <w:r w:rsidRPr="00020503">
              <w:rPr>
                <w:b/>
                <w:bCs/>
                <w:lang w:val="en-GB"/>
              </w:rPr>
              <w:t>Disability Support Pension</w:t>
            </w:r>
          </w:p>
        </w:tc>
        <w:tc>
          <w:tcPr>
            <w:tcW w:w="853" w:type="dxa"/>
          </w:tcPr>
          <w:p w14:paraId="419E8A33" w14:textId="77777777" w:rsidR="005C7B9D" w:rsidRPr="00020503" w:rsidRDefault="005C7B9D" w:rsidP="00237808">
            <w:pPr>
              <w:rPr>
                <w:lang w:val="en-GB"/>
              </w:rPr>
            </w:pPr>
            <w:r w:rsidRPr="00020503">
              <w:rPr>
                <w:lang w:val="en-GB"/>
              </w:rPr>
              <w:t>273,130</w:t>
            </w:r>
          </w:p>
        </w:tc>
        <w:tc>
          <w:tcPr>
            <w:tcW w:w="1179" w:type="dxa"/>
          </w:tcPr>
          <w:p w14:paraId="7A28A8AE" w14:textId="77777777" w:rsidR="005C7B9D" w:rsidRPr="00020503" w:rsidRDefault="005C7B9D" w:rsidP="00237808">
            <w:pPr>
              <w:rPr>
                <w:lang w:val="en-GB"/>
              </w:rPr>
            </w:pPr>
            <w:r w:rsidRPr="00020503">
              <w:rPr>
                <w:lang w:val="en-GB"/>
              </w:rPr>
              <w:t>21.3</w:t>
            </w:r>
          </w:p>
        </w:tc>
        <w:tc>
          <w:tcPr>
            <w:tcW w:w="1012" w:type="dxa"/>
          </w:tcPr>
          <w:p w14:paraId="04DC1978" w14:textId="77777777" w:rsidR="005C7B9D" w:rsidRPr="00020503" w:rsidRDefault="005C7B9D" w:rsidP="00237808">
            <w:pPr>
              <w:rPr>
                <w:lang w:val="en-GB"/>
              </w:rPr>
            </w:pPr>
            <w:r w:rsidRPr="00020503">
              <w:rPr>
                <w:lang w:val="en-GB"/>
              </w:rPr>
              <w:t>$497.45</w:t>
            </w:r>
          </w:p>
        </w:tc>
        <w:tc>
          <w:tcPr>
            <w:tcW w:w="1012" w:type="dxa"/>
          </w:tcPr>
          <w:p w14:paraId="0AC9C69F" w14:textId="77777777" w:rsidR="005C7B9D" w:rsidRPr="00020503" w:rsidRDefault="005C7B9D" w:rsidP="00237808">
            <w:pPr>
              <w:rPr>
                <w:lang w:val="en-GB"/>
              </w:rPr>
            </w:pPr>
            <w:r w:rsidRPr="00020503">
              <w:rPr>
                <w:lang w:val="en-GB"/>
              </w:rPr>
              <w:t>$440.00</w:t>
            </w:r>
          </w:p>
        </w:tc>
        <w:tc>
          <w:tcPr>
            <w:tcW w:w="1012" w:type="dxa"/>
          </w:tcPr>
          <w:p w14:paraId="79D573D0" w14:textId="77777777" w:rsidR="005C7B9D" w:rsidRPr="00020503" w:rsidRDefault="005C7B9D" w:rsidP="00237808">
            <w:pPr>
              <w:rPr>
                <w:lang w:val="en-GB"/>
              </w:rPr>
            </w:pPr>
            <w:r w:rsidRPr="00020503">
              <w:rPr>
                <w:lang w:val="en-GB"/>
              </w:rPr>
              <w:t>$160.98</w:t>
            </w:r>
          </w:p>
        </w:tc>
        <w:tc>
          <w:tcPr>
            <w:tcW w:w="1012" w:type="dxa"/>
          </w:tcPr>
          <w:p w14:paraId="0CC8D94B" w14:textId="77777777" w:rsidR="005C7B9D" w:rsidRPr="00020503" w:rsidRDefault="005C7B9D" w:rsidP="00237808">
            <w:pPr>
              <w:rPr>
                <w:lang w:val="en-GB"/>
              </w:rPr>
            </w:pPr>
            <w:r w:rsidRPr="00020503">
              <w:rPr>
                <w:lang w:val="en-GB"/>
              </w:rPr>
              <w:t>$184.80</w:t>
            </w:r>
          </w:p>
        </w:tc>
        <w:tc>
          <w:tcPr>
            <w:tcW w:w="1098" w:type="dxa"/>
          </w:tcPr>
          <w:p w14:paraId="1044C6ED" w14:textId="77777777" w:rsidR="005C7B9D" w:rsidRPr="00020503" w:rsidRDefault="005C7B9D" w:rsidP="00237808">
            <w:pPr>
              <w:rPr>
                <w:b/>
                <w:bCs/>
                <w:lang w:val="en-GB"/>
              </w:rPr>
            </w:pPr>
            <w:r w:rsidRPr="00020503">
              <w:rPr>
                <w:b/>
                <w:bCs/>
                <w:lang w:val="en-GB"/>
              </w:rPr>
              <w:t>64.1</w:t>
            </w:r>
          </w:p>
        </w:tc>
      </w:tr>
      <w:tr w:rsidR="005C7B9D" w:rsidRPr="00020503" w14:paraId="68948ED0"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683AFE60" w14:textId="77777777" w:rsidR="005C7B9D" w:rsidRPr="00020503" w:rsidRDefault="005C7B9D" w:rsidP="00237808">
            <w:pPr>
              <w:rPr>
                <w:b/>
                <w:bCs/>
                <w:lang w:val="en-GB"/>
              </w:rPr>
            </w:pPr>
            <w:r w:rsidRPr="00020503">
              <w:rPr>
                <w:b/>
                <w:bCs/>
                <w:lang w:val="en-GB"/>
              </w:rPr>
              <w:t>Carer Payment</w:t>
            </w:r>
          </w:p>
        </w:tc>
        <w:tc>
          <w:tcPr>
            <w:tcW w:w="853" w:type="dxa"/>
          </w:tcPr>
          <w:p w14:paraId="3A3DA375" w14:textId="77777777" w:rsidR="005C7B9D" w:rsidRPr="00020503" w:rsidRDefault="005C7B9D" w:rsidP="00237808">
            <w:pPr>
              <w:rPr>
                <w:lang w:val="en-GB"/>
              </w:rPr>
            </w:pPr>
            <w:r w:rsidRPr="00020503">
              <w:rPr>
                <w:lang w:val="en-GB"/>
              </w:rPr>
              <w:t>80,550</w:t>
            </w:r>
          </w:p>
        </w:tc>
        <w:tc>
          <w:tcPr>
            <w:tcW w:w="1179" w:type="dxa"/>
          </w:tcPr>
          <w:p w14:paraId="69B49FA2" w14:textId="77777777" w:rsidR="005C7B9D" w:rsidRPr="00020503" w:rsidRDefault="005C7B9D" w:rsidP="00237808">
            <w:pPr>
              <w:rPr>
                <w:lang w:val="en-GB"/>
              </w:rPr>
            </w:pPr>
            <w:r w:rsidRPr="00020503">
              <w:rPr>
                <w:lang w:val="en-GB"/>
              </w:rPr>
              <w:t>6.3</w:t>
            </w:r>
          </w:p>
        </w:tc>
        <w:tc>
          <w:tcPr>
            <w:tcW w:w="1012" w:type="dxa"/>
          </w:tcPr>
          <w:p w14:paraId="515D0BC7" w14:textId="77777777" w:rsidR="005C7B9D" w:rsidRPr="00020503" w:rsidRDefault="005C7B9D" w:rsidP="00237808">
            <w:pPr>
              <w:rPr>
                <w:lang w:val="en-GB"/>
              </w:rPr>
            </w:pPr>
            <w:r w:rsidRPr="00020503">
              <w:rPr>
                <w:lang w:val="en-GB"/>
              </w:rPr>
              <w:t>$656.47</w:t>
            </w:r>
          </w:p>
        </w:tc>
        <w:tc>
          <w:tcPr>
            <w:tcW w:w="1012" w:type="dxa"/>
          </w:tcPr>
          <w:p w14:paraId="7999A9C8" w14:textId="77777777" w:rsidR="005C7B9D" w:rsidRPr="00020503" w:rsidRDefault="005C7B9D" w:rsidP="00237808">
            <w:pPr>
              <w:rPr>
                <w:lang w:val="en-GB"/>
              </w:rPr>
            </w:pPr>
            <w:r w:rsidRPr="00020503">
              <w:rPr>
                <w:lang w:val="en-GB"/>
              </w:rPr>
              <w:t>$600.00</w:t>
            </w:r>
          </w:p>
        </w:tc>
        <w:tc>
          <w:tcPr>
            <w:tcW w:w="1012" w:type="dxa"/>
          </w:tcPr>
          <w:p w14:paraId="17134B5B" w14:textId="77777777" w:rsidR="005C7B9D" w:rsidRPr="00020503" w:rsidRDefault="005C7B9D" w:rsidP="00237808">
            <w:pPr>
              <w:rPr>
                <w:lang w:val="en-GB"/>
              </w:rPr>
            </w:pPr>
            <w:r w:rsidRPr="00020503">
              <w:rPr>
                <w:lang w:val="en-GB"/>
              </w:rPr>
              <w:t>$174.23</w:t>
            </w:r>
          </w:p>
        </w:tc>
        <w:tc>
          <w:tcPr>
            <w:tcW w:w="1012" w:type="dxa"/>
          </w:tcPr>
          <w:p w14:paraId="5A3E9289" w14:textId="77777777" w:rsidR="005C7B9D" w:rsidRPr="00020503" w:rsidRDefault="005C7B9D" w:rsidP="00237808">
            <w:pPr>
              <w:rPr>
                <w:lang w:val="en-GB"/>
              </w:rPr>
            </w:pPr>
            <w:r w:rsidRPr="00020503">
              <w:rPr>
                <w:lang w:val="en-GB"/>
              </w:rPr>
              <w:t>$184.80</w:t>
            </w:r>
          </w:p>
        </w:tc>
        <w:tc>
          <w:tcPr>
            <w:tcW w:w="1098" w:type="dxa"/>
          </w:tcPr>
          <w:p w14:paraId="2D887F9E" w14:textId="77777777" w:rsidR="005C7B9D" w:rsidRPr="00020503" w:rsidRDefault="005C7B9D" w:rsidP="00237808">
            <w:pPr>
              <w:rPr>
                <w:b/>
                <w:bCs/>
                <w:lang w:val="en-GB"/>
              </w:rPr>
            </w:pPr>
            <w:r w:rsidRPr="00020503">
              <w:rPr>
                <w:b/>
                <w:bCs/>
                <w:lang w:val="en-GB"/>
              </w:rPr>
              <w:t>73.5</w:t>
            </w:r>
          </w:p>
        </w:tc>
      </w:tr>
      <w:tr w:rsidR="005C7B9D" w:rsidRPr="00020503" w14:paraId="5CD77E08" w14:textId="77777777" w:rsidTr="00237808">
        <w:trPr>
          <w:trHeight w:val="566"/>
        </w:trPr>
        <w:tc>
          <w:tcPr>
            <w:tcW w:w="1838" w:type="dxa"/>
          </w:tcPr>
          <w:p w14:paraId="2637A72B" w14:textId="77777777" w:rsidR="005C7B9D" w:rsidRPr="00020503" w:rsidRDefault="005C7B9D" w:rsidP="00237808">
            <w:pPr>
              <w:rPr>
                <w:b/>
                <w:bCs/>
                <w:lang w:val="en-GB"/>
              </w:rPr>
            </w:pPr>
            <w:r w:rsidRPr="00020503">
              <w:rPr>
                <w:b/>
                <w:bCs/>
                <w:lang w:val="en-GB"/>
              </w:rPr>
              <w:t>Age Pension</w:t>
            </w:r>
          </w:p>
        </w:tc>
        <w:tc>
          <w:tcPr>
            <w:tcW w:w="853" w:type="dxa"/>
          </w:tcPr>
          <w:p w14:paraId="4014DBC9" w14:textId="77777777" w:rsidR="005C7B9D" w:rsidRPr="00020503" w:rsidRDefault="005C7B9D" w:rsidP="00237808">
            <w:pPr>
              <w:rPr>
                <w:lang w:val="en-GB"/>
              </w:rPr>
            </w:pPr>
            <w:r w:rsidRPr="00020503">
              <w:rPr>
                <w:lang w:val="en-GB"/>
              </w:rPr>
              <w:t>309,560</w:t>
            </w:r>
          </w:p>
        </w:tc>
        <w:tc>
          <w:tcPr>
            <w:tcW w:w="1179" w:type="dxa"/>
          </w:tcPr>
          <w:p w14:paraId="7B408C93" w14:textId="77777777" w:rsidR="005C7B9D" w:rsidRPr="00020503" w:rsidRDefault="005C7B9D" w:rsidP="00237808">
            <w:pPr>
              <w:rPr>
                <w:lang w:val="en-GB"/>
              </w:rPr>
            </w:pPr>
            <w:r w:rsidRPr="00020503">
              <w:rPr>
                <w:lang w:val="en-GB"/>
              </w:rPr>
              <w:t>24.2</w:t>
            </w:r>
          </w:p>
        </w:tc>
        <w:tc>
          <w:tcPr>
            <w:tcW w:w="1012" w:type="dxa"/>
          </w:tcPr>
          <w:p w14:paraId="765DEC71" w14:textId="77777777" w:rsidR="005C7B9D" w:rsidRPr="00020503" w:rsidRDefault="005C7B9D" w:rsidP="00237808">
            <w:pPr>
              <w:rPr>
                <w:lang w:val="en-GB"/>
              </w:rPr>
            </w:pPr>
            <w:r w:rsidRPr="00020503">
              <w:rPr>
                <w:lang w:val="en-GB"/>
              </w:rPr>
              <w:t>$512.53</w:t>
            </w:r>
          </w:p>
        </w:tc>
        <w:tc>
          <w:tcPr>
            <w:tcW w:w="1012" w:type="dxa"/>
          </w:tcPr>
          <w:p w14:paraId="0C44B3CC" w14:textId="77777777" w:rsidR="005C7B9D" w:rsidRPr="00020503" w:rsidRDefault="005C7B9D" w:rsidP="00237808">
            <w:pPr>
              <w:rPr>
                <w:lang w:val="en-GB"/>
              </w:rPr>
            </w:pPr>
            <w:r w:rsidRPr="00020503">
              <w:rPr>
                <w:lang w:val="en-GB"/>
              </w:rPr>
              <w:t>$448.36</w:t>
            </w:r>
          </w:p>
        </w:tc>
        <w:tc>
          <w:tcPr>
            <w:tcW w:w="1012" w:type="dxa"/>
          </w:tcPr>
          <w:p w14:paraId="42B25F9E" w14:textId="77777777" w:rsidR="005C7B9D" w:rsidRPr="00020503" w:rsidRDefault="005C7B9D" w:rsidP="00237808">
            <w:pPr>
              <w:rPr>
                <w:lang w:val="en-GB"/>
              </w:rPr>
            </w:pPr>
            <w:r w:rsidRPr="00020503">
              <w:rPr>
                <w:lang w:val="en-GB"/>
              </w:rPr>
              <w:t>$151.66</w:t>
            </w:r>
          </w:p>
        </w:tc>
        <w:tc>
          <w:tcPr>
            <w:tcW w:w="1012" w:type="dxa"/>
          </w:tcPr>
          <w:p w14:paraId="500B0751" w14:textId="77777777" w:rsidR="005C7B9D" w:rsidRPr="00020503" w:rsidRDefault="005C7B9D" w:rsidP="00237808">
            <w:pPr>
              <w:rPr>
                <w:lang w:val="en-GB"/>
              </w:rPr>
            </w:pPr>
            <w:r w:rsidRPr="00020503">
              <w:rPr>
                <w:lang w:val="en-GB"/>
              </w:rPr>
              <w:t>$174.00</w:t>
            </w:r>
          </w:p>
        </w:tc>
        <w:tc>
          <w:tcPr>
            <w:tcW w:w="1098" w:type="dxa"/>
          </w:tcPr>
          <w:p w14:paraId="52247CE0" w14:textId="77777777" w:rsidR="005C7B9D" w:rsidRPr="00020503" w:rsidRDefault="005C7B9D" w:rsidP="00237808">
            <w:pPr>
              <w:rPr>
                <w:b/>
                <w:bCs/>
                <w:lang w:val="en-GB"/>
              </w:rPr>
            </w:pPr>
            <w:r w:rsidRPr="00020503">
              <w:rPr>
                <w:b/>
                <w:bCs/>
                <w:lang w:val="en-GB"/>
              </w:rPr>
              <w:t>65.7</w:t>
            </w:r>
          </w:p>
        </w:tc>
      </w:tr>
      <w:tr w:rsidR="005C7B9D" w:rsidRPr="00020503" w14:paraId="78DAE1CA"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520ADEE2" w14:textId="77777777" w:rsidR="005C7B9D" w:rsidRPr="00020503" w:rsidRDefault="005C7B9D" w:rsidP="00237808">
            <w:pPr>
              <w:rPr>
                <w:b/>
                <w:bCs/>
                <w:lang w:val="en-GB"/>
              </w:rPr>
            </w:pPr>
            <w:r w:rsidRPr="00020503">
              <w:rPr>
                <w:b/>
                <w:bCs/>
                <w:lang w:val="en-GB"/>
              </w:rPr>
              <w:t>Parenting Payment Single</w:t>
            </w:r>
          </w:p>
        </w:tc>
        <w:tc>
          <w:tcPr>
            <w:tcW w:w="853" w:type="dxa"/>
          </w:tcPr>
          <w:p w14:paraId="0615661D" w14:textId="77777777" w:rsidR="005C7B9D" w:rsidRPr="00020503" w:rsidRDefault="005C7B9D" w:rsidP="00237808">
            <w:pPr>
              <w:rPr>
                <w:lang w:val="en-GB"/>
              </w:rPr>
            </w:pPr>
            <w:r w:rsidRPr="00020503">
              <w:rPr>
                <w:lang w:val="en-GB"/>
              </w:rPr>
              <w:t>148,400</w:t>
            </w:r>
          </w:p>
        </w:tc>
        <w:tc>
          <w:tcPr>
            <w:tcW w:w="1179" w:type="dxa"/>
          </w:tcPr>
          <w:p w14:paraId="7DFB0A1F" w14:textId="77777777" w:rsidR="005C7B9D" w:rsidRPr="00020503" w:rsidRDefault="005C7B9D" w:rsidP="00237808">
            <w:pPr>
              <w:rPr>
                <w:lang w:val="en-GB"/>
              </w:rPr>
            </w:pPr>
            <w:r w:rsidRPr="00020503">
              <w:rPr>
                <w:lang w:val="en-GB"/>
              </w:rPr>
              <w:t>11.6</w:t>
            </w:r>
          </w:p>
        </w:tc>
        <w:tc>
          <w:tcPr>
            <w:tcW w:w="1012" w:type="dxa"/>
          </w:tcPr>
          <w:p w14:paraId="22C0522E" w14:textId="77777777" w:rsidR="005C7B9D" w:rsidRPr="00020503" w:rsidRDefault="005C7B9D" w:rsidP="00237808">
            <w:pPr>
              <w:rPr>
                <w:lang w:val="en-GB"/>
              </w:rPr>
            </w:pPr>
            <w:r w:rsidRPr="00020503">
              <w:rPr>
                <w:lang w:val="en-GB"/>
              </w:rPr>
              <w:t>$715.13</w:t>
            </w:r>
          </w:p>
        </w:tc>
        <w:tc>
          <w:tcPr>
            <w:tcW w:w="1012" w:type="dxa"/>
          </w:tcPr>
          <w:p w14:paraId="471D7F69" w14:textId="77777777" w:rsidR="005C7B9D" w:rsidRPr="00020503" w:rsidRDefault="005C7B9D" w:rsidP="00237808">
            <w:pPr>
              <w:rPr>
                <w:lang w:val="en-GB"/>
              </w:rPr>
            </w:pPr>
            <w:r w:rsidRPr="00020503">
              <w:rPr>
                <w:lang w:val="en-GB"/>
              </w:rPr>
              <w:t>$700.00</w:t>
            </w:r>
          </w:p>
        </w:tc>
        <w:tc>
          <w:tcPr>
            <w:tcW w:w="1012" w:type="dxa"/>
          </w:tcPr>
          <w:p w14:paraId="51ADAAAC" w14:textId="77777777" w:rsidR="005C7B9D" w:rsidRPr="00020503" w:rsidRDefault="005C7B9D" w:rsidP="00237808">
            <w:pPr>
              <w:rPr>
                <w:lang w:val="en-GB"/>
              </w:rPr>
            </w:pPr>
            <w:r w:rsidRPr="00020503">
              <w:rPr>
                <w:lang w:val="en-GB"/>
              </w:rPr>
              <w:t>$179.50</w:t>
            </w:r>
          </w:p>
        </w:tc>
        <w:tc>
          <w:tcPr>
            <w:tcW w:w="1012" w:type="dxa"/>
          </w:tcPr>
          <w:p w14:paraId="0E7965EC" w14:textId="77777777" w:rsidR="005C7B9D" w:rsidRPr="00020503" w:rsidRDefault="005C7B9D" w:rsidP="00237808">
            <w:pPr>
              <w:rPr>
                <w:lang w:val="en-GB"/>
              </w:rPr>
            </w:pPr>
            <w:r w:rsidRPr="00020503">
              <w:rPr>
                <w:lang w:val="en-GB"/>
              </w:rPr>
              <w:t>$191.94</w:t>
            </w:r>
          </w:p>
        </w:tc>
        <w:tc>
          <w:tcPr>
            <w:tcW w:w="1098" w:type="dxa"/>
          </w:tcPr>
          <w:p w14:paraId="6247D59D" w14:textId="77777777" w:rsidR="005C7B9D" w:rsidRPr="00020503" w:rsidRDefault="005C7B9D" w:rsidP="00237808">
            <w:pPr>
              <w:rPr>
                <w:b/>
                <w:bCs/>
                <w:lang w:val="en-GB"/>
              </w:rPr>
            </w:pPr>
            <w:r w:rsidRPr="00020503">
              <w:rPr>
                <w:b/>
                <w:bCs/>
                <w:lang w:val="en-GB"/>
              </w:rPr>
              <w:t>81.3</w:t>
            </w:r>
          </w:p>
        </w:tc>
      </w:tr>
      <w:tr w:rsidR="005C7B9D" w:rsidRPr="00020503" w14:paraId="05CA5DC5" w14:textId="77777777" w:rsidTr="00237808">
        <w:trPr>
          <w:trHeight w:val="566"/>
        </w:trPr>
        <w:tc>
          <w:tcPr>
            <w:tcW w:w="1838" w:type="dxa"/>
          </w:tcPr>
          <w:p w14:paraId="001508F5" w14:textId="77777777" w:rsidR="005C7B9D" w:rsidRPr="00020503" w:rsidRDefault="005C7B9D" w:rsidP="00237808">
            <w:pPr>
              <w:rPr>
                <w:b/>
                <w:bCs/>
                <w:lang w:val="en-GB"/>
              </w:rPr>
            </w:pPr>
            <w:r w:rsidRPr="00020503">
              <w:rPr>
                <w:b/>
                <w:bCs/>
                <w:lang w:val="en-GB"/>
              </w:rPr>
              <w:t>JobSeeker Payment</w:t>
            </w:r>
          </w:p>
        </w:tc>
        <w:tc>
          <w:tcPr>
            <w:tcW w:w="853" w:type="dxa"/>
          </w:tcPr>
          <w:p w14:paraId="42055B2C" w14:textId="77777777" w:rsidR="005C7B9D" w:rsidRPr="00020503" w:rsidRDefault="005C7B9D" w:rsidP="00237808">
            <w:pPr>
              <w:rPr>
                <w:lang w:val="en-GB"/>
              </w:rPr>
            </w:pPr>
            <w:r w:rsidRPr="00020503">
              <w:rPr>
                <w:lang w:val="en-GB"/>
              </w:rPr>
              <w:t>259,300</w:t>
            </w:r>
          </w:p>
        </w:tc>
        <w:tc>
          <w:tcPr>
            <w:tcW w:w="1179" w:type="dxa"/>
          </w:tcPr>
          <w:p w14:paraId="62877B5A" w14:textId="77777777" w:rsidR="005C7B9D" w:rsidRPr="00020503" w:rsidRDefault="005C7B9D" w:rsidP="00237808">
            <w:pPr>
              <w:rPr>
                <w:lang w:val="en-GB"/>
              </w:rPr>
            </w:pPr>
            <w:r w:rsidRPr="00020503">
              <w:rPr>
                <w:lang w:val="en-GB"/>
              </w:rPr>
              <w:t>20.3</w:t>
            </w:r>
          </w:p>
        </w:tc>
        <w:tc>
          <w:tcPr>
            <w:tcW w:w="1012" w:type="dxa"/>
          </w:tcPr>
          <w:p w14:paraId="02942768" w14:textId="77777777" w:rsidR="005C7B9D" w:rsidRPr="00020503" w:rsidRDefault="005C7B9D" w:rsidP="00237808">
            <w:pPr>
              <w:rPr>
                <w:lang w:val="en-GB"/>
              </w:rPr>
            </w:pPr>
            <w:r w:rsidRPr="00020503">
              <w:rPr>
                <w:lang w:val="en-GB"/>
              </w:rPr>
              <w:t>$528.31</w:t>
            </w:r>
          </w:p>
        </w:tc>
        <w:tc>
          <w:tcPr>
            <w:tcW w:w="1012" w:type="dxa"/>
          </w:tcPr>
          <w:p w14:paraId="08B86FFD" w14:textId="77777777" w:rsidR="005C7B9D" w:rsidRPr="00020503" w:rsidRDefault="005C7B9D" w:rsidP="00237808">
            <w:pPr>
              <w:rPr>
                <w:lang w:val="en-GB"/>
              </w:rPr>
            </w:pPr>
            <w:r w:rsidRPr="00020503">
              <w:rPr>
                <w:lang w:val="en-GB"/>
              </w:rPr>
              <w:t>$460.00</w:t>
            </w:r>
          </w:p>
        </w:tc>
        <w:tc>
          <w:tcPr>
            <w:tcW w:w="1012" w:type="dxa"/>
          </w:tcPr>
          <w:p w14:paraId="26AD0106" w14:textId="77777777" w:rsidR="005C7B9D" w:rsidRPr="00020503" w:rsidRDefault="005C7B9D" w:rsidP="00237808">
            <w:pPr>
              <w:rPr>
                <w:lang w:val="en-GB"/>
              </w:rPr>
            </w:pPr>
            <w:r w:rsidRPr="00020503">
              <w:rPr>
                <w:lang w:val="en-GB"/>
              </w:rPr>
              <w:t>$147.95</w:t>
            </w:r>
          </w:p>
        </w:tc>
        <w:tc>
          <w:tcPr>
            <w:tcW w:w="1012" w:type="dxa"/>
          </w:tcPr>
          <w:p w14:paraId="560D11EB" w14:textId="77777777" w:rsidR="005C7B9D" w:rsidRPr="00020503" w:rsidRDefault="005C7B9D" w:rsidP="00237808">
            <w:pPr>
              <w:rPr>
                <w:lang w:val="en-GB"/>
              </w:rPr>
            </w:pPr>
            <w:r w:rsidRPr="00020503">
              <w:rPr>
                <w:lang w:val="en-GB"/>
              </w:rPr>
              <w:t>$162.40</w:t>
            </w:r>
          </w:p>
        </w:tc>
        <w:tc>
          <w:tcPr>
            <w:tcW w:w="1098" w:type="dxa"/>
          </w:tcPr>
          <w:p w14:paraId="4E7551A7" w14:textId="77777777" w:rsidR="005C7B9D" w:rsidRPr="00020503" w:rsidRDefault="005C7B9D" w:rsidP="00237808">
            <w:pPr>
              <w:rPr>
                <w:b/>
                <w:bCs/>
                <w:lang w:val="en-GB"/>
              </w:rPr>
            </w:pPr>
            <w:r w:rsidRPr="00020503">
              <w:rPr>
                <w:b/>
                <w:bCs/>
                <w:lang w:val="en-GB"/>
              </w:rPr>
              <w:t>69.3</w:t>
            </w:r>
          </w:p>
        </w:tc>
      </w:tr>
      <w:tr w:rsidR="005C7B9D" w:rsidRPr="00020503" w14:paraId="709E0097"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3F7C09D6" w14:textId="77777777" w:rsidR="005C7B9D" w:rsidRPr="00020503" w:rsidRDefault="005C7B9D" w:rsidP="00237808">
            <w:pPr>
              <w:rPr>
                <w:b/>
                <w:bCs/>
                <w:lang w:val="en-GB"/>
              </w:rPr>
            </w:pPr>
            <w:r w:rsidRPr="00020503">
              <w:rPr>
                <w:b/>
                <w:bCs/>
                <w:lang w:val="en-GB"/>
              </w:rPr>
              <w:t>Youth Allowance (student)</w:t>
            </w:r>
          </w:p>
        </w:tc>
        <w:tc>
          <w:tcPr>
            <w:tcW w:w="853" w:type="dxa"/>
          </w:tcPr>
          <w:p w14:paraId="14922439" w14:textId="77777777" w:rsidR="005C7B9D" w:rsidRPr="00020503" w:rsidRDefault="005C7B9D" w:rsidP="00237808">
            <w:pPr>
              <w:rPr>
                <w:lang w:val="en-GB"/>
              </w:rPr>
            </w:pPr>
            <w:r w:rsidRPr="00020503">
              <w:rPr>
                <w:lang w:val="en-GB"/>
              </w:rPr>
              <w:t>27,445</w:t>
            </w:r>
          </w:p>
        </w:tc>
        <w:tc>
          <w:tcPr>
            <w:tcW w:w="1179" w:type="dxa"/>
          </w:tcPr>
          <w:p w14:paraId="45844B24" w14:textId="77777777" w:rsidR="005C7B9D" w:rsidRPr="00020503" w:rsidRDefault="005C7B9D" w:rsidP="00237808">
            <w:pPr>
              <w:rPr>
                <w:lang w:val="en-GB"/>
              </w:rPr>
            </w:pPr>
            <w:r w:rsidRPr="00020503">
              <w:rPr>
                <w:lang w:val="en-GB"/>
              </w:rPr>
              <w:t>2.1</w:t>
            </w:r>
          </w:p>
        </w:tc>
        <w:tc>
          <w:tcPr>
            <w:tcW w:w="1012" w:type="dxa"/>
          </w:tcPr>
          <w:p w14:paraId="7F4372E6" w14:textId="77777777" w:rsidR="005C7B9D" w:rsidRPr="00020503" w:rsidRDefault="005C7B9D" w:rsidP="00237808">
            <w:pPr>
              <w:rPr>
                <w:lang w:val="en-GB"/>
              </w:rPr>
            </w:pPr>
            <w:r w:rsidRPr="00020503">
              <w:rPr>
                <w:lang w:val="en-GB"/>
              </w:rPr>
              <w:t>$482.36</w:t>
            </w:r>
          </w:p>
        </w:tc>
        <w:tc>
          <w:tcPr>
            <w:tcW w:w="1012" w:type="dxa"/>
          </w:tcPr>
          <w:p w14:paraId="599BE50D" w14:textId="77777777" w:rsidR="005C7B9D" w:rsidRPr="00020503" w:rsidRDefault="005C7B9D" w:rsidP="00237808">
            <w:pPr>
              <w:rPr>
                <w:lang w:val="en-GB"/>
              </w:rPr>
            </w:pPr>
            <w:r w:rsidRPr="00020503">
              <w:rPr>
                <w:lang w:val="en-GB"/>
              </w:rPr>
              <w:t>$440.76</w:t>
            </w:r>
          </w:p>
        </w:tc>
        <w:tc>
          <w:tcPr>
            <w:tcW w:w="1012" w:type="dxa"/>
          </w:tcPr>
          <w:p w14:paraId="4CAF1B88" w14:textId="77777777" w:rsidR="005C7B9D" w:rsidRPr="00020503" w:rsidRDefault="005C7B9D" w:rsidP="00237808">
            <w:pPr>
              <w:rPr>
                <w:lang w:val="en-GB"/>
              </w:rPr>
            </w:pPr>
            <w:r w:rsidRPr="00020503">
              <w:rPr>
                <w:lang w:val="en-GB"/>
              </w:rPr>
              <w:t>$137.36</w:t>
            </w:r>
          </w:p>
        </w:tc>
        <w:tc>
          <w:tcPr>
            <w:tcW w:w="1012" w:type="dxa"/>
          </w:tcPr>
          <w:p w14:paraId="74C01B40" w14:textId="77777777" w:rsidR="005C7B9D" w:rsidRPr="00020503" w:rsidRDefault="005C7B9D" w:rsidP="00237808">
            <w:pPr>
              <w:rPr>
                <w:lang w:val="en-GB"/>
              </w:rPr>
            </w:pPr>
            <w:r w:rsidRPr="00020503">
              <w:rPr>
                <w:lang w:val="en-GB"/>
              </w:rPr>
              <w:t>$123.20</w:t>
            </w:r>
          </w:p>
        </w:tc>
        <w:tc>
          <w:tcPr>
            <w:tcW w:w="1098" w:type="dxa"/>
          </w:tcPr>
          <w:p w14:paraId="08E26735" w14:textId="77777777" w:rsidR="005C7B9D" w:rsidRPr="00020503" w:rsidRDefault="005C7B9D" w:rsidP="00237808">
            <w:pPr>
              <w:rPr>
                <w:b/>
                <w:bCs/>
                <w:lang w:val="en-GB"/>
              </w:rPr>
            </w:pPr>
            <w:r w:rsidRPr="00020503">
              <w:rPr>
                <w:b/>
                <w:bCs/>
                <w:lang w:val="en-GB"/>
              </w:rPr>
              <w:t>79.2</w:t>
            </w:r>
          </w:p>
        </w:tc>
      </w:tr>
      <w:tr w:rsidR="005C7B9D" w:rsidRPr="00020503" w14:paraId="5091731B" w14:textId="77777777" w:rsidTr="00237808">
        <w:trPr>
          <w:trHeight w:val="566"/>
        </w:trPr>
        <w:tc>
          <w:tcPr>
            <w:tcW w:w="1838" w:type="dxa"/>
          </w:tcPr>
          <w:p w14:paraId="7889A4BA" w14:textId="77777777" w:rsidR="005C7B9D" w:rsidRPr="00020503" w:rsidRDefault="005C7B9D" w:rsidP="00237808">
            <w:pPr>
              <w:rPr>
                <w:b/>
                <w:bCs/>
                <w:lang w:val="en-GB"/>
              </w:rPr>
            </w:pPr>
            <w:r w:rsidRPr="00020503">
              <w:rPr>
                <w:b/>
                <w:bCs/>
                <w:lang w:val="en-GB"/>
              </w:rPr>
              <w:t>Youth Allowance (other)</w:t>
            </w:r>
          </w:p>
        </w:tc>
        <w:tc>
          <w:tcPr>
            <w:tcW w:w="853" w:type="dxa"/>
          </w:tcPr>
          <w:p w14:paraId="538167C9" w14:textId="77777777" w:rsidR="005C7B9D" w:rsidRPr="00020503" w:rsidRDefault="005C7B9D" w:rsidP="00237808">
            <w:pPr>
              <w:rPr>
                <w:lang w:val="en-GB"/>
              </w:rPr>
            </w:pPr>
            <w:r w:rsidRPr="00020503">
              <w:rPr>
                <w:lang w:val="en-GB"/>
              </w:rPr>
              <w:t>9,230</w:t>
            </w:r>
          </w:p>
        </w:tc>
        <w:tc>
          <w:tcPr>
            <w:tcW w:w="1179" w:type="dxa"/>
          </w:tcPr>
          <w:p w14:paraId="2677595F" w14:textId="77777777" w:rsidR="005C7B9D" w:rsidRPr="00020503" w:rsidRDefault="005C7B9D" w:rsidP="00237808">
            <w:pPr>
              <w:rPr>
                <w:lang w:val="en-GB"/>
              </w:rPr>
            </w:pPr>
            <w:r w:rsidRPr="00020503">
              <w:rPr>
                <w:lang w:val="en-GB"/>
              </w:rPr>
              <w:t>0.7</w:t>
            </w:r>
          </w:p>
        </w:tc>
        <w:tc>
          <w:tcPr>
            <w:tcW w:w="1012" w:type="dxa"/>
          </w:tcPr>
          <w:p w14:paraId="4BAC52B3" w14:textId="77777777" w:rsidR="005C7B9D" w:rsidRPr="00020503" w:rsidRDefault="005C7B9D" w:rsidP="00237808">
            <w:pPr>
              <w:rPr>
                <w:lang w:val="en-GB"/>
              </w:rPr>
            </w:pPr>
            <w:r w:rsidRPr="00020503">
              <w:rPr>
                <w:lang w:val="en-GB"/>
              </w:rPr>
              <w:t>$387.51</w:t>
            </w:r>
          </w:p>
        </w:tc>
        <w:tc>
          <w:tcPr>
            <w:tcW w:w="1012" w:type="dxa"/>
          </w:tcPr>
          <w:p w14:paraId="2CED77EB" w14:textId="77777777" w:rsidR="005C7B9D" w:rsidRPr="00020503" w:rsidRDefault="005C7B9D" w:rsidP="00237808">
            <w:pPr>
              <w:rPr>
                <w:lang w:val="en-GB"/>
              </w:rPr>
            </w:pPr>
            <w:r w:rsidRPr="00020503">
              <w:rPr>
                <w:lang w:val="en-GB"/>
              </w:rPr>
              <w:t>$350.00</w:t>
            </w:r>
          </w:p>
        </w:tc>
        <w:tc>
          <w:tcPr>
            <w:tcW w:w="1012" w:type="dxa"/>
          </w:tcPr>
          <w:p w14:paraId="2D1E3283" w14:textId="77777777" w:rsidR="005C7B9D" w:rsidRPr="00020503" w:rsidRDefault="005C7B9D" w:rsidP="00237808">
            <w:pPr>
              <w:rPr>
                <w:lang w:val="en-GB"/>
              </w:rPr>
            </w:pPr>
            <w:r w:rsidRPr="00020503">
              <w:rPr>
                <w:lang w:val="en-GB"/>
              </w:rPr>
              <w:t>$114.85</w:t>
            </w:r>
          </w:p>
        </w:tc>
        <w:tc>
          <w:tcPr>
            <w:tcW w:w="1012" w:type="dxa"/>
          </w:tcPr>
          <w:p w14:paraId="7A8491A5" w14:textId="77777777" w:rsidR="005C7B9D" w:rsidRPr="00020503" w:rsidRDefault="005C7B9D" w:rsidP="00237808">
            <w:pPr>
              <w:rPr>
                <w:lang w:val="en-GB"/>
              </w:rPr>
            </w:pPr>
            <w:r w:rsidRPr="00020503">
              <w:rPr>
                <w:lang w:val="en-GB"/>
              </w:rPr>
              <w:t>$123.20</w:t>
            </w:r>
          </w:p>
        </w:tc>
        <w:tc>
          <w:tcPr>
            <w:tcW w:w="1098" w:type="dxa"/>
          </w:tcPr>
          <w:p w14:paraId="4AD460C6" w14:textId="77777777" w:rsidR="005C7B9D" w:rsidRPr="00020503" w:rsidRDefault="005C7B9D" w:rsidP="00237808">
            <w:pPr>
              <w:rPr>
                <w:b/>
                <w:bCs/>
                <w:lang w:val="en-GB"/>
              </w:rPr>
            </w:pPr>
            <w:r w:rsidRPr="00020503">
              <w:rPr>
                <w:b/>
                <w:bCs/>
                <w:lang w:val="en-GB"/>
              </w:rPr>
              <w:t>50.2</w:t>
            </w:r>
          </w:p>
        </w:tc>
      </w:tr>
      <w:tr w:rsidR="005C7B9D" w:rsidRPr="00020503" w14:paraId="53A9EAA5"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76F9B137" w14:textId="77777777" w:rsidR="005C7B9D" w:rsidRPr="00020503" w:rsidRDefault="005C7B9D" w:rsidP="00237808">
            <w:pPr>
              <w:rPr>
                <w:b/>
                <w:bCs/>
                <w:lang w:val="en-GB"/>
              </w:rPr>
            </w:pPr>
            <w:r w:rsidRPr="00020503">
              <w:rPr>
                <w:b/>
                <w:bCs/>
                <w:lang w:val="en-GB"/>
              </w:rPr>
              <w:t>Youth Allowance (apprentice)</w:t>
            </w:r>
          </w:p>
        </w:tc>
        <w:tc>
          <w:tcPr>
            <w:tcW w:w="853" w:type="dxa"/>
          </w:tcPr>
          <w:p w14:paraId="64108616" w14:textId="77777777" w:rsidR="005C7B9D" w:rsidRPr="00020503" w:rsidRDefault="005C7B9D" w:rsidP="00237808">
            <w:pPr>
              <w:rPr>
                <w:lang w:val="en-GB"/>
              </w:rPr>
            </w:pPr>
            <w:r w:rsidRPr="00020503">
              <w:rPr>
                <w:lang w:val="en-GB"/>
              </w:rPr>
              <w:t>450</w:t>
            </w:r>
          </w:p>
        </w:tc>
        <w:tc>
          <w:tcPr>
            <w:tcW w:w="1179" w:type="dxa"/>
          </w:tcPr>
          <w:p w14:paraId="68F4E49D" w14:textId="77777777" w:rsidR="005C7B9D" w:rsidRPr="00020503" w:rsidRDefault="005C7B9D" w:rsidP="00237808">
            <w:pPr>
              <w:rPr>
                <w:lang w:val="en-GB"/>
              </w:rPr>
            </w:pPr>
            <w:r w:rsidRPr="00020503">
              <w:rPr>
                <w:lang w:val="en-GB"/>
              </w:rPr>
              <w:t>0.0</w:t>
            </w:r>
          </w:p>
        </w:tc>
        <w:tc>
          <w:tcPr>
            <w:tcW w:w="1012" w:type="dxa"/>
          </w:tcPr>
          <w:p w14:paraId="15F34716" w14:textId="77777777" w:rsidR="005C7B9D" w:rsidRPr="00020503" w:rsidRDefault="005C7B9D" w:rsidP="00237808">
            <w:pPr>
              <w:rPr>
                <w:lang w:val="en-GB"/>
              </w:rPr>
            </w:pPr>
            <w:r w:rsidRPr="00020503">
              <w:rPr>
                <w:lang w:val="en-GB"/>
              </w:rPr>
              <w:t>$481.82</w:t>
            </w:r>
          </w:p>
        </w:tc>
        <w:tc>
          <w:tcPr>
            <w:tcW w:w="1012" w:type="dxa"/>
          </w:tcPr>
          <w:p w14:paraId="30FAC79F" w14:textId="77777777" w:rsidR="005C7B9D" w:rsidRPr="00020503" w:rsidRDefault="005C7B9D" w:rsidP="00237808">
            <w:pPr>
              <w:rPr>
                <w:lang w:val="en-GB"/>
              </w:rPr>
            </w:pPr>
            <w:r w:rsidRPr="00020503">
              <w:rPr>
                <w:lang w:val="en-GB"/>
              </w:rPr>
              <w:t>$440.00</w:t>
            </w:r>
          </w:p>
        </w:tc>
        <w:tc>
          <w:tcPr>
            <w:tcW w:w="1012" w:type="dxa"/>
          </w:tcPr>
          <w:p w14:paraId="1FC8F42F" w14:textId="77777777" w:rsidR="005C7B9D" w:rsidRPr="00020503" w:rsidRDefault="005C7B9D" w:rsidP="00237808">
            <w:pPr>
              <w:rPr>
                <w:lang w:val="en-GB"/>
              </w:rPr>
            </w:pPr>
            <w:r w:rsidRPr="00020503">
              <w:rPr>
                <w:lang w:val="en-GB"/>
              </w:rPr>
              <w:t>$132.22</w:t>
            </w:r>
          </w:p>
        </w:tc>
        <w:tc>
          <w:tcPr>
            <w:tcW w:w="1012" w:type="dxa"/>
          </w:tcPr>
          <w:p w14:paraId="7B4C653E" w14:textId="77777777" w:rsidR="005C7B9D" w:rsidRPr="00020503" w:rsidRDefault="005C7B9D" w:rsidP="00237808">
            <w:pPr>
              <w:rPr>
                <w:lang w:val="en-GB"/>
              </w:rPr>
            </w:pPr>
            <w:r w:rsidRPr="00020503">
              <w:rPr>
                <w:lang w:val="en-GB"/>
              </w:rPr>
              <w:t>$123.20</w:t>
            </w:r>
          </w:p>
        </w:tc>
        <w:tc>
          <w:tcPr>
            <w:tcW w:w="1098" w:type="dxa"/>
          </w:tcPr>
          <w:p w14:paraId="3CD5083D" w14:textId="77777777" w:rsidR="005C7B9D" w:rsidRPr="00020503" w:rsidRDefault="005C7B9D" w:rsidP="00237808">
            <w:pPr>
              <w:rPr>
                <w:b/>
                <w:bCs/>
                <w:lang w:val="en-GB"/>
              </w:rPr>
            </w:pPr>
            <w:r w:rsidRPr="00020503">
              <w:rPr>
                <w:b/>
                <w:bCs/>
                <w:lang w:val="en-GB"/>
              </w:rPr>
              <w:t>75.6</w:t>
            </w:r>
          </w:p>
        </w:tc>
      </w:tr>
      <w:tr w:rsidR="005C7B9D" w:rsidRPr="00020503" w14:paraId="6825920A" w14:textId="77777777" w:rsidTr="00237808">
        <w:trPr>
          <w:trHeight w:val="566"/>
        </w:trPr>
        <w:tc>
          <w:tcPr>
            <w:tcW w:w="1838" w:type="dxa"/>
          </w:tcPr>
          <w:p w14:paraId="389B97A8" w14:textId="77777777" w:rsidR="005C7B9D" w:rsidRPr="00020503" w:rsidRDefault="005C7B9D" w:rsidP="00237808">
            <w:pPr>
              <w:rPr>
                <w:b/>
                <w:bCs/>
                <w:lang w:val="en-GB"/>
              </w:rPr>
            </w:pPr>
            <w:r w:rsidRPr="00020503">
              <w:rPr>
                <w:b/>
                <w:bCs/>
                <w:lang w:val="en-GB"/>
              </w:rPr>
              <w:t>Austudy</w:t>
            </w:r>
          </w:p>
        </w:tc>
        <w:tc>
          <w:tcPr>
            <w:tcW w:w="853" w:type="dxa"/>
          </w:tcPr>
          <w:p w14:paraId="4415C818" w14:textId="77777777" w:rsidR="005C7B9D" w:rsidRPr="00020503" w:rsidRDefault="005C7B9D" w:rsidP="00237808">
            <w:pPr>
              <w:rPr>
                <w:lang w:val="en-GB"/>
              </w:rPr>
            </w:pPr>
            <w:r w:rsidRPr="00020503">
              <w:rPr>
                <w:lang w:val="en-GB"/>
              </w:rPr>
              <w:t>8,990</w:t>
            </w:r>
          </w:p>
        </w:tc>
        <w:tc>
          <w:tcPr>
            <w:tcW w:w="1179" w:type="dxa"/>
          </w:tcPr>
          <w:p w14:paraId="12AA262D" w14:textId="77777777" w:rsidR="005C7B9D" w:rsidRPr="00020503" w:rsidRDefault="005C7B9D" w:rsidP="00237808">
            <w:pPr>
              <w:rPr>
                <w:lang w:val="en-GB"/>
              </w:rPr>
            </w:pPr>
            <w:r w:rsidRPr="00020503">
              <w:rPr>
                <w:lang w:val="en-GB"/>
              </w:rPr>
              <w:t>0.7</w:t>
            </w:r>
          </w:p>
        </w:tc>
        <w:tc>
          <w:tcPr>
            <w:tcW w:w="1012" w:type="dxa"/>
          </w:tcPr>
          <w:p w14:paraId="24873D94" w14:textId="77777777" w:rsidR="005C7B9D" w:rsidRPr="00020503" w:rsidRDefault="005C7B9D" w:rsidP="00237808">
            <w:pPr>
              <w:rPr>
                <w:lang w:val="en-GB"/>
              </w:rPr>
            </w:pPr>
            <w:r w:rsidRPr="00020503">
              <w:rPr>
                <w:lang w:val="en-GB"/>
              </w:rPr>
              <w:t>$559.06</w:t>
            </w:r>
          </w:p>
        </w:tc>
        <w:tc>
          <w:tcPr>
            <w:tcW w:w="1012" w:type="dxa"/>
          </w:tcPr>
          <w:p w14:paraId="73521733" w14:textId="77777777" w:rsidR="005C7B9D" w:rsidRPr="00020503" w:rsidRDefault="005C7B9D" w:rsidP="00237808">
            <w:pPr>
              <w:rPr>
                <w:lang w:val="en-GB"/>
              </w:rPr>
            </w:pPr>
            <w:r w:rsidRPr="00020503">
              <w:rPr>
                <w:lang w:val="en-GB"/>
              </w:rPr>
              <w:t>$500.00</w:t>
            </w:r>
          </w:p>
        </w:tc>
        <w:tc>
          <w:tcPr>
            <w:tcW w:w="1012" w:type="dxa"/>
          </w:tcPr>
          <w:p w14:paraId="2F5107D3" w14:textId="77777777" w:rsidR="005C7B9D" w:rsidRPr="00020503" w:rsidRDefault="005C7B9D" w:rsidP="00237808">
            <w:pPr>
              <w:rPr>
                <w:lang w:val="en-GB"/>
              </w:rPr>
            </w:pPr>
            <w:r w:rsidRPr="00020503">
              <w:rPr>
                <w:lang w:val="en-GB"/>
              </w:rPr>
              <w:t>$144.11</w:t>
            </w:r>
          </w:p>
        </w:tc>
        <w:tc>
          <w:tcPr>
            <w:tcW w:w="1012" w:type="dxa"/>
          </w:tcPr>
          <w:p w14:paraId="52A5ECB6" w14:textId="77777777" w:rsidR="005C7B9D" w:rsidRPr="00020503" w:rsidRDefault="005C7B9D" w:rsidP="00237808">
            <w:pPr>
              <w:rPr>
                <w:lang w:val="en-GB"/>
              </w:rPr>
            </w:pPr>
            <w:r w:rsidRPr="00020503">
              <w:rPr>
                <w:lang w:val="en-GB"/>
              </w:rPr>
              <w:t>$123.20</w:t>
            </w:r>
          </w:p>
        </w:tc>
        <w:tc>
          <w:tcPr>
            <w:tcW w:w="1098" w:type="dxa"/>
          </w:tcPr>
          <w:p w14:paraId="4276F1C3" w14:textId="77777777" w:rsidR="005C7B9D" w:rsidRPr="00020503" w:rsidRDefault="005C7B9D" w:rsidP="00237808">
            <w:pPr>
              <w:rPr>
                <w:b/>
                <w:bCs/>
                <w:lang w:val="en-GB"/>
              </w:rPr>
            </w:pPr>
            <w:r w:rsidRPr="00020503">
              <w:rPr>
                <w:b/>
                <w:bCs/>
                <w:lang w:val="en-GB"/>
              </w:rPr>
              <w:t>79.6</w:t>
            </w:r>
          </w:p>
        </w:tc>
      </w:tr>
      <w:tr w:rsidR="005C7B9D" w:rsidRPr="00020503" w14:paraId="3E033E1D"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04607F6D" w14:textId="77777777" w:rsidR="005C7B9D" w:rsidRPr="00020503" w:rsidRDefault="005C7B9D" w:rsidP="00237808">
            <w:pPr>
              <w:rPr>
                <w:b/>
                <w:bCs/>
                <w:lang w:val="en-GB"/>
              </w:rPr>
            </w:pPr>
            <w:r w:rsidRPr="00020503">
              <w:rPr>
                <w:b/>
                <w:bCs/>
                <w:lang w:val="en-GB"/>
              </w:rPr>
              <w:t>Parenting Payment Partnered</w:t>
            </w:r>
          </w:p>
        </w:tc>
        <w:tc>
          <w:tcPr>
            <w:tcW w:w="853" w:type="dxa"/>
          </w:tcPr>
          <w:p w14:paraId="05051A65" w14:textId="77777777" w:rsidR="005C7B9D" w:rsidRPr="00020503" w:rsidRDefault="005C7B9D" w:rsidP="00237808">
            <w:pPr>
              <w:rPr>
                <w:lang w:val="en-GB"/>
              </w:rPr>
            </w:pPr>
            <w:r w:rsidRPr="00020503">
              <w:rPr>
                <w:lang w:val="en-GB"/>
              </w:rPr>
              <w:t>17,115</w:t>
            </w:r>
          </w:p>
        </w:tc>
        <w:tc>
          <w:tcPr>
            <w:tcW w:w="1179" w:type="dxa"/>
          </w:tcPr>
          <w:p w14:paraId="2FD24519" w14:textId="77777777" w:rsidR="005C7B9D" w:rsidRPr="00020503" w:rsidRDefault="005C7B9D" w:rsidP="00237808">
            <w:pPr>
              <w:rPr>
                <w:lang w:val="en-GB"/>
              </w:rPr>
            </w:pPr>
            <w:r w:rsidRPr="00020503">
              <w:rPr>
                <w:lang w:val="en-GB"/>
              </w:rPr>
              <w:t>1.3</w:t>
            </w:r>
          </w:p>
        </w:tc>
        <w:tc>
          <w:tcPr>
            <w:tcW w:w="1012" w:type="dxa"/>
          </w:tcPr>
          <w:p w14:paraId="30B19099" w14:textId="77777777" w:rsidR="005C7B9D" w:rsidRPr="00020503" w:rsidRDefault="005C7B9D" w:rsidP="00237808">
            <w:pPr>
              <w:rPr>
                <w:lang w:val="en-GB"/>
              </w:rPr>
            </w:pPr>
            <w:r w:rsidRPr="00020503">
              <w:rPr>
                <w:lang w:val="en-GB"/>
              </w:rPr>
              <w:t>$869.39</w:t>
            </w:r>
          </w:p>
        </w:tc>
        <w:tc>
          <w:tcPr>
            <w:tcW w:w="1012" w:type="dxa"/>
          </w:tcPr>
          <w:p w14:paraId="2705001F" w14:textId="77777777" w:rsidR="005C7B9D" w:rsidRPr="00020503" w:rsidRDefault="005C7B9D" w:rsidP="00237808">
            <w:pPr>
              <w:rPr>
                <w:lang w:val="en-GB"/>
              </w:rPr>
            </w:pPr>
            <w:r w:rsidRPr="00020503">
              <w:rPr>
                <w:lang w:val="en-GB"/>
              </w:rPr>
              <w:t>$840.00</w:t>
            </w:r>
          </w:p>
        </w:tc>
        <w:tc>
          <w:tcPr>
            <w:tcW w:w="1012" w:type="dxa"/>
          </w:tcPr>
          <w:p w14:paraId="05E26421" w14:textId="77777777" w:rsidR="005C7B9D" w:rsidRPr="00020503" w:rsidRDefault="005C7B9D" w:rsidP="00237808">
            <w:pPr>
              <w:rPr>
                <w:lang w:val="en-GB"/>
              </w:rPr>
            </w:pPr>
            <w:r w:rsidRPr="00020503">
              <w:rPr>
                <w:lang w:val="en-GB"/>
              </w:rPr>
              <w:t>$208.37</w:t>
            </w:r>
          </w:p>
        </w:tc>
        <w:tc>
          <w:tcPr>
            <w:tcW w:w="1012" w:type="dxa"/>
          </w:tcPr>
          <w:p w14:paraId="592808AC" w14:textId="77777777" w:rsidR="005C7B9D" w:rsidRPr="00020503" w:rsidRDefault="005C7B9D" w:rsidP="00237808">
            <w:pPr>
              <w:rPr>
                <w:lang w:val="en-GB"/>
              </w:rPr>
            </w:pPr>
            <w:r w:rsidRPr="00020503">
              <w:rPr>
                <w:lang w:val="en-GB"/>
              </w:rPr>
              <w:t>$217.28</w:t>
            </w:r>
          </w:p>
        </w:tc>
        <w:tc>
          <w:tcPr>
            <w:tcW w:w="1098" w:type="dxa"/>
          </w:tcPr>
          <w:p w14:paraId="6FE1A1A6" w14:textId="77777777" w:rsidR="005C7B9D" w:rsidRPr="00020503" w:rsidRDefault="005C7B9D" w:rsidP="00237808">
            <w:pPr>
              <w:rPr>
                <w:b/>
                <w:bCs/>
                <w:lang w:val="en-GB"/>
              </w:rPr>
            </w:pPr>
            <w:r w:rsidRPr="00020503">
              <w:rPr>
                <w:b/>
                <w:bCs/>
                <w:lang w:val="en-GB"/>
              </w:rPr>
              <w:t>86.8</w:t>
            </w:r>
          </w:p>
        </w:tc>
      </w:tr>
      <w:tr w:rsidR="005C7B9D" w:rsidRPr="00020503" w14:paraId="5C9E81F4" w14:textId="77777777" w:rsidTr="00237808">
        <w:trPr>
          <w:trHeight w:val="566"/>
        </w:trPr>
        <w:tc>
          <w:tcPr>
            <w:tcW w:w="1838" w:type="dxa"/>
          </w:tcPr>
          <w:p w14:paraId="1D72AC17" w14:textId="77777777" w:rsidR="005C7B9D" w:rsidRPr="00020503" w:rsidRDefault="005C7B9D" w:rsidP="00237808">
            <w:pPr>
              <w:rPr>
                <w:b/>
                <w:bCs/>
                <w:lang w:val="en-GB"/>
              </w:rPr>
            </w:pPr>
            <w:r w:rsidRPr="00020503">
              <w:rPr>
                <w:b/>
                <w:bCs/>
                <w:lang w:val="en-GB"/>
              </w:rPr>
              <w:t>Other**</w:t>
            </w:r>
          </w:p>
        </w:tc>
        <w:tc>
          <w:tcPr>
            <w:tcW w:w="853" w:type="dxa"/>
          </w:tcPr>
          <w:p w14:paraId="5340A1C1" w14:textId="77777777" w:rsidR="005C7B9D" w:rsidRPr="00020503" w:rsidRDefault="005C7B9D" w:rsidP="00237808">
            <w:pPr>
              <w:rPr>
                <w:lang w:val="en-GB"/>
              </w:rPr>
            </w:pPr>
            <w:r w:rsidRPr="00020503">
              <w:rPr>
                <w:lang w:val="en-GB"/>
              </w:rPr>
              <w:t>3,040</w:t>
            </w:r>
          </w:p>
        </w:tc>
        <w:tc>
          <w:tcPr>
            <w:tcW w:w="1179" w:type="dxa"/>
          </w:tcPr>
          <w:p w14:paraId="718A5A2D" w14:textId="77777777" w:rsidR="005C7B9D" w:rsidRPr="00020503" w:rsidRDefault="005C7B9D" w:rsidP="00237808">
            <w:pPr>
              <w:rPr>
                <w:lang w:val="en-GB"/>
              </w:rPr>
            </w:pPr>
            <w:r w:rsidRPr="00020503">
              <w:rPr>
                <w:lang w:val="en-GB"/>
              </w:rPr>
              <w:t>0.2</w:t>
            </w:r>
          </w:p>
        </w:tc>
        <w:tc>
          <w:tcPr>
            <w:tcW w:w="1012" w:type="dxa"/>
          </w:tcPr>
          <w:p w14:paraId="63B27438" w14:textId="77777777" w:rsidR="005C7B9D" w:rsidRPr="00020503" w:rsidRDefault="005C7B9D" w:rsidP="00237808">
            <w:pPr>
              <w:rPr>
                <w:lang w:val="en-GB"/>
              </w:rPr>
            </w:pPr>
            <w:r w:rsidRPr="00020503">
              <w:rPr>
                <w:lang w:val="en-GB"/>
              </w:rPr>
              <w:t>$569.10</w:t>
            </w:r>
          </w:p>
        </w:tc>
        <w:tc>
          <w:tcPr>
            <w:tcW w:w="1012" w:type="dxa"/>
          </w:tcPr>
          <w:p w14:paraId="50217C8F" w14:textId="77777777" w:rsidR="005C7B9D" w:rsidRPr="00020503" w:rsidRDefault="005C7B9D" w:rsidP="00237808">
            <w:pPr>
              <w:rPr>
                <w:lang w:val="en-GB"/>
              </w:rPr>
            </w:pPr>
            <w:r w:rsidRPr="00020503">
              <w:rPr>
                <w:lang w:val="en-GB"/>
              </w:rPr>
              <w:t>$500.00</w:t>
            </w:r>
          </w:p>
        </w:tc>
        <w:tc>
          <w:tcPr>
            <w:tcW w:w="1012" w:type="dxa"/>
          </w:tcPr>
          <w:p w14:paraId="2FB4493A" w14:textId="77777777" w:rsidR="005C7B9D" w:rsidRPr="00020503" w:rsidRDefault="005C7B9D" w:rsidP="00237808">
            <w:pPr>
              <w:rPr>
                <w:lang w:val="en-GB"/>
              </w:rPr>
            </w:pPr>
            <w:r w:rsidRPr="00020503">
              <w:rPr>
                <w:lang w:val="en-GB"/>
              </w:rPr>
              <w:t>$153.06</w:t>
            </w:r>
          </w:p>
        </w:tc>
        <w:tc>
          <w:tcPr>
            <w:tcW w:w="1012" w:type="dxa"/>
          </w:tcPr>
          <w:p w14:paraId="3269F04A" w14:textId="77777777" w:rsidR="005C7B9D" w:rsidRPr="00020503" w:rsidRDefault="005C7B9D" w:rsidP="00237808">
            <w:pPr>
              <w:rPr>
                <w:lang w:val="en-GB"/>
              </w:rPr>
            </w:pPr>
            <w:r w:rsidRPr="00020503">
              <w:rPr>
                <w:lang w:val="en-GB"/>
              </w:rPr>
              <w:t>$174.00</w:t>
            </w:r>
          </w:p>
        </w:tc>
        <w:tc>
          <w:tcPr>
            <w:tcW w:w="1098" w:type="dxa"/>
          </w:tcPr>
          <w:p w14:paraId="253425E5" w14:textId="77777777" w:rsidR="005C7B9D" w:rsidRPr="00020503" w:rsidRDefault="005C7B9D" w:rsidP="00237808">
            <w:pPr>
              <w:rPr>
                <w:b/>
                <w:bCs/>
                <w:lang w:val="en-GB"/>
              </w:rPr>
            </w:pPr>
            <w:r w:rsidRPr="00020503">
              <w:rPr>
                <w:b/>
                <w:bCs/>
                <w:lang w:val="en-GB"/>
              </w:rPr>
              <w:t>69.2</w:t>
            </w:r>
          </w:p>
        </w:tc>
      </w:tr>
      <w:tr w:rsidR="005C7B9D" w:rsidRPr="00020503" w14:paraId="57C34F23" w14:textId="77777777" w:rsidTr="00237808">
        <w:trPr>
          <w:cnfStyle w:val="000000100000" w:firstRow="0" w:lastRow="0" w:firstColumn="0" w:lastColumn="0" w:oddVBand="0" w:evenVBand="0" w:oddHBand="1" w:evenHBand="0" w:firstRowFirstColumn="0" w:firstRowLastColumn="0" w:lastRowFirstColumn="0" w:lastRowLastColumn="0"/>
          <w:trHeight w:val="566"/>
        </w:trPr>
        <w:tc>
          <w:tcPr>
            <w:tcW w:w="1838" w:type="dxa"/>
          </w:tcPr>
          <w:p w14:paraId="47EC5D95" w14:textId="77777777" w:rsidR="005C7B9D" w:rsidRPr="00020503" w:rsidRDefault="005C7B9D" w:rsidP="00237808">
            <w:pPr>
              <w:rPr>
                <w:b/>
                <w:bCs/>
                <w:lang w:val="en-GB"/>
              </w:rPr>
            </w:pPr>
            <w:r w:rsidRPr="00020503">
              <w:rPr>
                <w:b/>
                <w:bCs/>
                <w:lang w:val="en-GB"/>
              </w:rPr>
              <w:t>FTB (only)</w:t>
            </w:r>
          </w:p>
        </w:tc>
        <w:tc>
          <w:tcPr>
            <w:tcW w:w="853" w:type="dxa"/>
          </w:tcPr>
          <w:p w14:paraId="51CF0534" w14:textId="77777777" w:rsidR="005C7B9D" w:rsidRPr="00020503" w:rsidRDefault="005C7B9D" w:rsidP="00237808">
            <w:pPr>
              <w:rPr>
                <w:lang w:val="en-GB"/>
              </w:rPr>
            </w:pPr>
            <w:r w:rsidRPr="00020503">
              <w:rPr>
                <w:lang w:val="en-GB"/>
              </w:rPr>
              <w:t>142,560</w:t>
            </w:r>
          </w:p>
        </w:tc>
        <w:tc>
          <w:tcPr>
            <w:tcW w:w="1179" w:type="dxa"/>
          </w:tcPr>
          <w:p w14:paraId="0E078132" w14:textId="77777777" w:rsidR="005C7B9D" w:rsidRPr="00020503" w:rsidRDefault="005C7B9D" w:rsidP="00237808">
            <w:pPr>
              <w:rPr>
                <w:lang w:val="en-GB"/>
              </w:rPr>
            </w:pPr>
            <w:r w:rsidRPr="00020503">
              <w:rPr>
                <w:lang w:val="en-GB"/>
              </w:rPr>
              <w:t>11.1</w:t>
            </w:r>
          </w:p>
        </w:tc>
        <w:tc>
          <w:tcPr>
            <w:tcW w:w="1012" w:type="dxa"/>
          </w:tcPr>
          <w:p w14:paraId="50F424D1" w14:textId="77777777" w:rsidR="005C7B9D" w:rsidRPr="00020503" w:rsidRDefault="005C7B9D" w:rsidP="00237808">
            <w:pPr>
              <w:rPr>
                <w:lang w:val="en-GB"/>
              </w:rPr>
            </w:pPr>
            <w:r w:rsidRPr="00020503">
              <w:rPr>
                <w:lang w:val="en-GB"/>
              </w:rPr>
              <w:t>$881.11</w:t>
            </w:r>
          </w:p>
        </w:tc>
        <w:tc>
          <w:tcPr>
            <w:tcW w:w="1012" w:type="dxa"/>
          </w:tcPr>
          <w:p w14:paraId="413554F8" w14:textId="77777777" w:rsidR="005C7B9D" w:rsidRPr="00020503" w:rsidRDefault="005C7B9D" w:rsidP="00237808">
            <w:pPr>
              <w:rPr>
                <w:lang w:val="en-GB"/>
              </w:rPr>
            </w:pPr>
            <w:r w:rsidRPr="00020503">
              <w:rPr>
                <w:lang w:val="en-GB"/>
              </w:rPr>
              <w:t>$860.00</w:t>
            </w:r>
          </w:p>
        </w:tc>
        <w:tc>
          <w:tcPr>
            <w:tcW w:w="1012" w:type="dxa"/>
          </w:tcPr>
          <w:p w14:paraId="36098F47" w14:textId="77777777" w:rsidR="005C7B9D" w:rsidRPr="00020503" w:rsidRDefault="005C7B9D" w:rsidP="00237808">
            <w:pPr>
              <w:rPr>
                <w:lang w:val="en-GB"/>
              </w:rPr>
            </w:pPr>
            <w:r w:rsidRPr="00020503">
              <w:rPr>
                <w:lang w:val="en-GB"/>
              </w:rPr>
              <w:t>$150.73</w:t>
            </w:r>
          </w:p>
        </w:tc>
        <w:tc>
          <w:tcPr>
            <w:tcW w:w="1012" w:type="dxa"/>
          </w:tcPr>
          <w:p w14:paraId="27CA60D3" w14:textId="77777777" w:rsidR="005C7B9D" w:rsidRPr="00020503" w:rsidRDefault="005C7B9D" w:rsidP="00237808">
            <w:pPr>
              <w:rPr>
                <w:lang w:val="en-GB"/>
              </w:rPr>
            </w:pPr>
            <w:r w:rsidRPr="00020503">
              <w:rPr>
                <w:lang w:val="en-GB"/>
              </w:rPr>
              <w:t>$160.86</w:t>
            </w:r>
          </w:p>
        </w:tc>
        <w:tc>
          <w:tcPr>
            <w:tcW w:w="1098" w:type="dxa"/>
          </w:tcPr>
          <w:p w14:paraId="19F143D0" w14:textId="77777777" w:rsidR="005C7B9D" w:rsidRPr="00020503" w:rsidRDefault="005C7B9D" w:rsidP="00237808">
            <w:pPr>
              <w:rPr>
                <w:b/>
                <w:bCs/>
                <w:lang w:val="en-GB"/>
              </w:rPr>
            </w:pPr>
            <w:r w:rsidRPr="00020503">
              <w:rPr>
                <w:b/>
                <w:bCs/>
                <w:lang w:val="en-GB"/>
              </w:rPr>
              <w:t>90.3</w:t>
            </w:r>
          </w:p>
        </w:tc>
      </w:tr>
      <w:tr w:rsidR="005C7B9D" w:rsidRPr="00020503" w14:paraId="71171AB0" w14:textId="77777777" w:rsidTr="00237808">
        <w:trPr>
          <w:trHeight w:val="566"/>
        </w:trPr>
        <w:tc>
          <w:tcPr>
            <w:tcW w:w="1838" w:type="dxa"/>
          </w:tcPr>
          <w:p w14:paraId="7ABFE3FA" w14:textId="77777777" w:rsidR="005C7B9D" w:rsidRPr="00020503" w:rsidRDefault="005C7B9D" w:rsidP="00237808">
            <w:pPr>
              <w:rPr>
                <w:b/>
                <w:bCs/>
                <w:lang w:val="en-GB"/>
              </w:rPr>
            </w:pPr>
            <w:r w:rsidRPr="00020503">
              <w:rPr>
                <w:b/>
                <w:bCs/>
                <w:lang w:val="en-GB"/>
              </w:rPr>
              <w:t>Total individuals and families</w:t>
            </w:r>
          </w:p>
        </w:tc>
        <w:tc>
          <w:tcPr>
            <w:tcW w:w="853" w:type="dxa"/>
          </w:tcPr>
          <w:p w14:paraId="2E99EE19" w14:textId="77777777" w:rsidR="005C7B9D" w:rsidRPr="00020503" w:rsidRDefault="005C7B9D" w:rsidP="00237808">
            <w:pPr>
              <w:rPr>
                <w:lang w:val="en-GB"/>
              </w:rPr>
            </w:pPr>
            <w:r w:rsidRPr="00020503">
              <w:rPr>
                <w:lang w:val="en-GB"/>
              </w:rPr>
              <w:t>1,279,775</w:t>
            </w:r>
          </w:p>
        </w:tc>
        <w:tc>
          <w:tcPr>
            <w:tcW w:w="1179" w:type="dxa"/>
          </w:tcPr>
          <w:p w14:paraId="62500DB8" w14:textId="77777777" w:rsidR="005C7B9D" w:rsidRPr="00020503" w:rsidRDefault="005C7B9D" w:rsidP="00237808">
            <w:pPr>
              <w:rPr>
                <w:lang w:val="en-GB"/>
              </w:rPr>
            </w:pPr>
            <w:r w:rsidRPr="00020503">
              <w:rPr>
                <w:lang w:val="en-GB"/>
              </w:rPr>
              <w:t>100.0</w:t>
            </w:r>
          </w:p>
        </w:tc>
        <w:tc>
          <w:tcPr>
            <w:tcW w:w="1012" w:type="dxa"/>
          </w:tcPr>
          <w:p w14:paraId="342B477A" w14:textId="77777777" w:rsidR="005C7B9D" w:rsidRPr="00020503" w:rsidRDefault="005C7B9D" w:rsidP="00237808">
            <w:pPr>
              <w:rPr>
                <w:lang w:val="en-GB"/>
              </w:rPr>
            </w:pPr>
            <w:r w:rsidRPr="00020503">
              <w:rPr>
                <w:lang w:val="en-GB"/>
              </w:rPr>
              <w:t>$589.80</w:t>
            </w:r>
          </w:p>
        </w:tc>
        <w:tc>
          <w:tcPr>
            <w:tcW w:w="1012" w:type="dxa"/>
          </w:tcPr>
          <w:p w14:paraId="7B61E1EB" w14:textId="77777777" w:rsidR="005C7B9D" w:rsidRPr="00020503" w:rsidRDefault="005C7B9D" w:rsidP="00237808">
            <w:pPr>
              <w:rPr>
                <w:lang w:val="en-GB"/>
              </w:rPr>
            </w:pPr>
            <w:r w:rsidRPr="00020503">
              <w:rPr>
                <w:lang w:val="en-GB"/>
              </w:rPr>
              <w:t>$520.00</w:t>
            </w:r>
          </w:p>
        </w:tc>
        <w:tc>
          <w:tcPr>
            <w:tcW w:w="1012" w:type="dxa"/>
          </w:tcPr>
          <w:p w14:paraId="7524E2F6" w14:textId="77777777" w:rsidR="005C7B9D" w:rsidRPr="00020503" w:rsidRDefault="005C7B9D" w:rsidP="00237808">
            <w:pPr>
              <w:rPr>
                <w:lang w:val="en-GB"/>
              </w:rPr>
            </w:pPr>
            <w:r w:rsidRPr="00020503">
              <w:rPr>
                <w:lang w:val="en-GB"/>
              </w:rPr>
              <w:t>$157.57</w:t>
            </w:r>
          </w:p>
        </w:tc>
        <w:tc>
          <w:tcPr>
            <w:tcW w:w="1012" w:type="dxa"/>
          </w:tcPr>
          <w:p w14:paraId="2323FB78" w14:textId="77777777" w:rsidR="005C7B9D" w:rsidRPr="00020503" w:rsidRDefault="005C7B9D" w:rsidP="00237808">
            <w:pPr>
              <w:rPr>
                <w:lang w:val="en-GB"/>
              </w:rPr>
            </w:pPr>
            <w:r w:rsidRPr="00020503">
              <w:rPr>
                <w:lang w:val="en-GB"/>
              </w:rPr>
              <w:t>$177.52</w:t>
            </w:r>
          </w:p>
        </w:tc>
        <w:tc>
          <w:tcPr>
            <w:tcW w:w="1098" w:type="dxa"/>
          </w:tcPr>
          <w:p w14:paraId="3672E710" w14:textId="77777777" w:rsidR="005C7B9D" w:rsidRPr="00020503" w:rsidRDefault="005C7B9D" w:rsidP="00237808">
            <w:pPr>
              <w:rPr>
                <w:b/>
                <w:bCs/>
                <w:lang w:val="en-GB"/>
              </w:rPr>
            </w:pPr>
            <w:r w:rsidRPr="00020503">
              <w:rPr>
                <w:b/>
                <w:bCs/>
                <w:lang w:val="en-GB"/>
              </w:rPr>
              <w:t>71.7</w:t>
            </w:r>
          </w:p>
        </w:tc>
      </w:tr>
    </w:tbl>
    <w:p w14:paraId="1E67D5E3" w14:textId="77777777" w:rsidR="005C7B9D" w:rsidRDefault="005C7B9D" w:rsidP="005C7B9D">
      <w:pPr>
        <w:pStyle w:val="Caption"/>
      </w:pPr>
      <w:r>
        <w:t>Source: DSS (2023), DSS Demographic Data December 2023.</w:t>
      </w:r>
    </w:p>
    <w:p w14:paraId="4FD8CAFD" w14:textId="77777777" w:rsidR="00D24350" w:rsidRPr="00D24350" w:rsidRDefault="00D24350" w:rsidP="00D24350">
      <w:pPr>
        <w:rPr>
          <w:lang w:val="en-GB"/>
        </w:rPr>
      </w:pPr>
      <w:r w:rsidRPr="00D24350">
        <w:rPr>
          <w:lang w:val="en-GB"/>
        </w:rPr>
        <w:lastRenderedPageBreak/>
        <w:t>Rates of housing stress are set to increase as observed rental rises in new bonds data and record low vacancy rates flows through to existing leases in annual rent adjustments.</w:t>
      </w:r>
    </w:p>
    <w:p w14:paraId="4AF01B8F" w14:textId="4A6319BB" w:rsidR="00D24350" w:rsidRDefault="00D24350" w:rsidP="00D24350">
      <w:pPr>
        <w:rPr>
          <w:lang w:val="en-GB"/>
        </w:rPr>
      </w:pPr>
      <w:r w:rsidRPr="00D24350">
        <w:rPr>
          <w:lang w:val="en-GB"/>
        </w:rPr>
        <w:t>Since 2000 the impact of rents growing faster than the rate of CRA has led to the maximum rate of CRA for singles falling as a share of average low-income renter housing costs from 28.4% to a projected 22.3%.</w:t>
      </w:r>
      <w:r w:rsidRPr="00D24350">
        <w:rPr>
          <w:rStyle w:val="Superscript"/>
          <w:lang w:val="en-GB"/>
        </w:rPr>
        <w:footnoteReference w:id="42"/>
      </w:r>
      <w:r w:rsidRPr="00D24350">
        <w:rPr>
          <w:lang w:val="en-GB"/>
        </w:rPr>
        <w:t xml:space="preserve"> There has been some recent improvement, this is due to rent assistance increases in the 2023-24 Budget. A concern going forward is that rent growth is expected to remain strong through 2024 with asking rent and actual rent growth remaining strong through the early part of 2024.</w:t>
      </w:r>
      <w:r w:rsidRPr="00D24350">
        <w:rPr>
          <w:rStyle w:val="Superscript"/>
          <w:lang w:val="en-GB"/>
        </w:rPr>
        <w:footnoteReference w:id="43"/>
      </w:r>
    </w:p>
    <w:p w14:paraId="55FCBFFB" w14:textId="77777777" w:rsidR="005C7B9D" w:rsidRDefault="005C7B9D" w:rsidP="005C7B9D">
      <w:pPr>
        <w:pStyle w:val="Heading4"/>
      </w:pPr>
      <w:r>
        <w:t>Figure 15: CRA Maximum Share of Rent (2023 Projection Only)</w:t>
      </w:r>
    </w:p>
    <w:p w14:paraId="5C5DE2A3" w14:textId="77777777" w:rsidR="005C7B9D" w:rsidRDefault="005C7B9D" w:rsidP="005C7B9D">
      <w:r>
        <w:rPr>
          <w:noProof/>
        </w:rPr>
        <w:drawing>
          <wp:inline distT="0" distB="0" distL="0" distR="0" wp14:anchorId="7796BB02" wp14:editId="4CCC3FEC">
            <wp:extent cx="5219700" cy="2514600"/>
            <wp:effectExtent l="0" t="0" r="0" b="0"/>
            <wp:docPr id="1332349791" name="Picture 13" descr="Figure 15: CRA Maximum Share of Rent (2023 Project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49791" name="Picture 13" descr="Figure 15: CRA Maximum Share of Rent (2023 Projection Only)"/>
                    <pic:cNvPicPr/>
                  </pic:nvPicPr>
                  <pic:blipFill>
                    <a:blip r:embed="rId33">
                      <a:extLst>
                        <a:ext uri="{28A0092B-C50C-407E-A947-70E740481C1C}">
                          <a14:useLocalDpi xmlns:a14="http://schemas.microsoft.com/office/drawing/2010/main" val="0"/>
                        </a:ext>
                      </a:extLst>
                    </a:blip>
                    <a:stretch>
                      <a:fillRect/>
                    </a:stretch>
                  </pic:blipFill>
                  <pic:spPr>
                    <a:xfrm>
                      <a:off x="0" y="0"/>
                      <a:ext cx="5219700" cy="2514600"/>
                    </a:xfrm>
                    <a:prstGeom prst="rect">
                      <a:avLst/>
                    </a:prstGeom>
                  </pic:spPr>
                </pic:pic>
              </a:graphicData>
            </a:graphic>
          </wp:inline>
        </w:drawing>
      </w:r>
    </w:p>
    <w:p w14:paraId="379B258F" w14:textId="19AC771C" w:rsidR="005C7B9D" w:rsidRPr="005C7B9D" w:rsidRDefault="005C7B9D" w:rsidP="005C7B9D">
      <w:pPr>
        <w:pStyle w:val="Caption"/>
      </w:pPr>
      <w:r w:rsidRPr="00596803">
        <w:t>Source: Survey of Income and Housing, Rent Assistance Maximum historical amounts</w:t>
      </w:r>
    </w:p>
    <w:p w14:paraId="785E1A02" w14:textId="77777777" w:rsidR="00D24350" w:rsidRPr="00D24350" w:rsidRDefault="00D24350" w:rsidP="00CF29A5">
      <w:pPr>
        <w:pStyle w:val="Heading2"/>
        <w:rPr>
          <w:lang w:val="en-GB"/>
        </w:rPr>
      </w:pPr>
      <w:bookmarkStart w:id="37" w:name="_Toc165366867"/>
      <w:r w:rsidRPr="00D24350">
        <w:rPr>
          <w:lang w:val="en-GB"/>
        </w:rPr>
        <w:t>3.3 Housing Costs for Low Income Renter Households</w:t>
      </w:r>
      <w:bookmarkEnd w:id="37"/>
    </w:p>
    <w:p w14:paraId="4D18AF7E" w14:textId="28A9F29F" w:rsidR="00D24350" w:rsidRDefault="00D24350" w:rsidP="00D24350">
      <w:pPr>
        <w:rPr>
          <w:lang w:val="en-GB"/>
        </w:rPr>
      </w:pPr>
      <w:r w:rsidRPr="00D24350">
        <w:rPr>
          <w:lang w:val="en-GB"/>
        </w:rPr>
        <w:t xml:space="preserve"> The chart to the right shows that housing costs for low-income renter households have increased dramatically over recent decades</w:t>
      </w:r>
      <w:r w:rsidRPr="00D24350">
        <w:rPr>
          <w:rStyle w:val="Superscript"/>
          <w:lang w:val="en-GB"/>
        </w:rPr>
        <w:footnoteReference w:id="44"/>
      </w:r>
      <w:r w:rsidRPr="00D24350">
        <w:rPr>
          <w:rStyle w:val="Superscript"/>
          <w:lang w:val="en-GB"/>
        </w:rPr>
        <w:t>.</w:t>
      </w:r>
      <w:r w:rsidRPr="00D24350">
        <w:rPr>
          <w:lang w:val="en-GB"/>
        </w:rPr>
        <w:t xml:space="preserve"> In 1984, the average ratio of housing costs to disposable income was around 26%. By 2019 this ratio increased to around 33%. The result has been driven by both strong increases in rent costs for low-income households and a structural shift in the housing market away from social housing towards the private rental market. That CRA has not kept up with low income rent growth is expected to have contributed to the upward shift in housing costs relative to income.</w:t>
      </w:r>
    </w:p>
    <w:p w14:paraId="1F8B3BFF" w14:textId="61281AA6" w:rsidR="00596803" w:rsidRDefault="00596803" w:rsidP="00596803">
      <w:pPr>
        <w:pStyle w:val="Heading4"/>
      </w:pPr>
      <w:r w:rsidRPr="00596803">
        <w:lastRenderedPageBreak/>
        <w:t>Figure 16: Housing Costs to income %, Low Income private renters</w:t>
      </w:r>
    </w:p>
    <w:p w14:paraId="79920379" w14:textId="2A003EF9" w:rsidR="00596803" w:rsidRDefault="00596803" w:rsidP="00596803">
      <w:r>
        <w:rPr>
          <w:noProof/>
        </w:rPr>
        <w:drawing>
          <wp:inline distT="0" distB="0" distL="0" distR="0" wp14:anchorId="667CA32E" wp14:editId="739B16EC">
            <wp:extent cx="5219700" cy="2146300"/>
            <wp:effectExtent l="0" t="0" r="0" b="0"/>
            <wp:docPr id="121441883" name="Picture 14" descr="Figure 16: Housing Costs to income %, Low Income private r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883" name="Picture 14" descr="Figure 16: Housing Costs to income %, Low Income private renters"/>
                    <pic:cNvPicPr/>
                  </pic:nvPicPr>
                  <pic:blipFill>
                    <a:blip r:embed="rId34">
                      <a:extLst>
                        <a:ext uri="{28A0092B-C50C-407E-A947-70E740481C1C}">
                          <a14:useLocalDpi xmlns:a14="http://schemas.microsoft.com/office/drawing/2010/main" val="0"/>
                        </a:ext>
                      </a:extLst>
                    </a:blip>
                    <a:stretch>
                      <a:fillRect/>
                    </a:stretch>
                  </pic:blipFill>
                  <pic:spPr>
                    <a:xfrm>
                      <a:off x="0" y="0"/>
                      <a:ext cx="5219700" cy="2146300"/>
                    </a:xfrm>
                    <a:prstGeom prst="rect">
                      <a:avLst/>
                    </a:prstGeom>
                  </pic:spPr>
                </pic:pic>
              </a:graphicData>
            </a:graphic>
          </wp:inline>
        </w:drawing>
      </w:r>
    </w:p>
    <w:p w14:paraId="42273260" w14:textId="39484024" w:rsidR="00596803" w:rsidRPr="00596803" w:rsidRDefault="00596803" w:rsidP="00596803">
      <w:pPr>
        <w:pStyle w:val="Caption"/>
      </w:pPr>
      <w:r w:rsidRPr="00596803">
        <w:t>Source: ANU PolicyMod, ABS Survey of Income and Housing 2019-20</w:t>
      </w:r>
    </w:p>
    <w:p w14:paraId="47115CD9" w14:textId="77777777" w:rsidR="00D24350" w:rsidRPr="00CF29A5" w:rsidRDefault="00D24350" w:rsidP="00CF29A5">
      <w:pPr>
        <w:pStyle w:val="Heading2"/>
      </w:pPr>
      <w:bookmarkStart w:id="38" w:name="_Toc165366868"/>
      <w:r w:rsidRPr="00CF29A5">
        <w:t>3.4 Policy Options</w:t>
      </w:r>
      <w:bookmarkEnd w:id="38"/>
    </w:p>
    <w:p w14:paraId="0023D624" w14:textId="77777777" w:rsidR="00D24350" w:rsidRPr="00D24350" w:rsidRDefault="00D24350" w:rsidP="00D24350">
      <w:pPr>
        <w:rPr>
          <w:lang w:val="en-GB"/>
        </w:rPr>
      </w:pPr>
      <w:r w:rsidRPr="00D24350">
        <w:rPr>
          <w:lang w:val="en-GB"/>
        </w:rPr>
        <w:t xml:space="preserve">As noted in our report last year, the adequacy of CRA has been the subject of several reviews and reports, with various recommendations for reform. </w:t>
      </w:r>
    </w:p>
    <w:p w14:paraId="79DAC65E" w14:textId="77777777" w:rsidR="00D24350" w:rsidRPr="00D24350" w:rsidRDefault="00D24350" w:rsidP="00D24350">
      <w:pPr>
        <w:rPr>
          <w:lang w:val="en-GB"/>
        </w:rPr>
      </w:pPr>
      <w:r w:rsidRPr="00D24350">
        <w:rPr>
          <w:lang w:val="en-GB"/>
        </w:rPr>
        <w:t>The 2009 Henry Taxation Review recommended linking the maximum rate of CRA to the 25th percentile of paid rents in capital cities</w:t>
      </w:r>
      <w:r w:rsidRPr="00D24350">
        <w:rPr>
          <w:rStyle w:val="Superscript"/>
          <w:lang w:val="en-GB"/>
        </w:rPr>
        <w:footnoteReference w:id="45"/>
      </w:r>
      <w:r w:rsidRPr="00D24350">
        <w:rPr>
          <w:lang w:val="en-GB"/>
        </w:rPr>
        <w:t>, which based on 2021 Census figures indexed for rental price growth to December 2023 would represent over a 190% increase in the maximum threshold and a 206% increase in the maximum CRA payment.</w:t>
      </w:r>
      <w:r w:rsidRPr="00D24350">
        <w:rPr>
          <w:rStyle w:val="Superscript"/>
          <w:lang w:val="en-GB"/>
        </w:rPr>
        <w:footnoteReference w:id="46"/>
      </w:r>
    </w:p>
    <w:p w14:paraId="58F8F331" w14:textId="5AC3E80C" w:rsidR="00D24350" w:rsidRDefault="00D24350" w:rsidP="00D24350">
      <w:pPr>
        <w:rPr>
          <w:lang w:val="en-GB"/>
        </w:rPr>
      </w:pPr>
      <w:r w:rsidRPr="00D24350">
        <w:rPr>
          <w:lang w:val="en-GB"/>
        </w:rPr>
        <w:t>The Grattan Institute has previously proposed increases that would equate to roughly a further 20% increase in CRA</w:t>
      </w:r>
      <w:r w:rsidRPr="00D24350">
        <w:rPr>
          <w:rStyle w:val="Superscript"/>
          <w:lang w:val="en-GB"/>
        </w:rPr>
        <w:footnoteReference w:id="47"/>
      </w:r>
      <w:r w:rsidRPr="00D24350">
        <w:rPr>
          <w:lang w:val="en-GB"/>
        </w:rPr>
        <w:t>, that would provide singles with a further $20 per fortnight increase and provide some relief from higher rental costs. However, in the absence of a substantial increase in the rate of JobSeeker Payment, such an increase will leave many in this cohort experiencing significant levels of housing stress because of the inadequacy of their base rates of payment.</w:t>
      </w:r>
    </w:p>
    <w:p w14:paraId="6A85B879" w14:textId="62D13E08" w:rsidR="007770DA" w:rsidRPr="007770DA" w:rsidRDefault="007770DA" w:rsidP="007770DA">
      <w:pPr>
        <w:pStyle w:val="Heading4"/>
      </w:pPr>
      <w:r w:rsidRPr="007770DA">
        <w:t>Figure 17: Impact of Increasing CRA on Maximum Affordable Rents</w:t>
      </w:r>
    </w:p>
    <w:p w14:paraId="7DB8208D" w14:textId="77777777" w:rsidR="007770DA" w:rsidRDefault="007770DA" w:rsidP="00A726F2">
      <w:r>
        <w:rPr>
          <w:noProof/>
        </w:rPr>
        <w:drawing>
          <wp:inline distT="0" distB="0" distL="0" distR="0" wp14:anchorId="37612089" wp14:editId="10492EAD">
            <wp:extent cx="5207000" cy="2362200"/>
            <wp:effectExtent l="0" t="0" r="0" b="0"/>
            <wp:docPr id="1206418026" name="Picture 15" descr="Figure 17: Impact of Increasing CRA on Maximum Affordable 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18026" name="Picture 15" descr="Figure 17: Impact of Increasing CRA on Maximum Affordable Rents"/>
                    <pic:cNvPicPr/>
                  </pic:nvPicPr>
                  <pic:blipFill>
                    <a:blip r:embed="rId35">
                      <a:extLst>
                        <a:ext uri="{28A0092B-C50C-407E-A947-70E740481C1C}">
                          <a14:useLocalDpi xmlns:a14="http://schemas.microsoft.com/office/drawing/2010/main" val="0"/>
                        </a:ext>
                      </a:extLst>
                    </a:blip>
                    <a:stretch>
                      <a:fillRect/>
                    </a:stretch>
                  </pic:blipFill>
                  <pic:spPr>
                    <a:xfrm>
                      <a:off x="0" y="0"/>
                      <a:ext cx="5207000" cy="2362200"/>
                    </a:xfrm>
                    <a:prstGeom prst="rect">
                      <a:avLst/>
                    </a:prstGeom>
                  </pic:spPr>
                </pic:pic>
              </a:graphicData>
            </a:graphic>
          </wp:inline>
        </w:drawing>
      </w:r>
    </w:p>
    <w:p w14:paraId="0DF8FFF6" w14:textId="77777777" w:rsidR="007770DA" w:rsidRDefault="007770DA" w:rsidP="007770DA">
      <w:pPr>
        <w:pStyle w:val="Caption"/>
      </w:pPr>
      <w:r>
        <w:lastRenderedPageBreak/>
        <w:t xml:space="preserve">Source: Services Australia administrative data, Department of Treasury, “Australia’s Future Tax System – Report to the Treasurer,” (Commonwealth of Australia, 2010) </w:t>
      </w:r>
    </w:p>
    <w:p w14:paraId="61968E5E" w14:textId="00A60FC8" w:rsidR="00D24350" w:rsidRPr="00CF29A5" w:rsidRDefault="00D24350" w:rsidP="00CF29A5">
      <w:pPr>
        <w:pStyle w:val="Heading2"/>
      </w:pPr>
      <w:bookmarkStart w:id="39" w:name="_Toc165366869"/>
      <w:r w:rsidRPr="00CF29A5">
        <w:t>3.5 Discussion</w:t>
      </w:r>
      <w:bookmarkEnd w:id="39"/>
    </w:p>
    <w:p w14:paraId="2E2A4DEF" w14:textId="39B8077C" w:rsidR="00D24350" w:rsidRPr="00D24350" w:rsidRDefault="00D24350" w:rsidP="00D24350">
      <w:pPr>
        <w:rPr>
          <w:lang w:val="en-GB"/>
        </w:rPr>
      </w:pPr>
      <w:r w:rsidRPr="00D24350">
        <w:rPr>
          <w:lang w:val="en-GB"/>
        </w:rPr>
        <w:t>More generous CRA payments need to be carefully considered alongside workforce incentives and any potential impacts on the rental market. While increased CRA payments will improve housing affordability for low-income renters, they may also distort the market in such a way that is not tenure-neutral and contribute to an increase in rents for low-income earners who are not eligible for the payment.</w:t>
      </w:r>
      <w:r w:rsidRPr="00D24350">
        <w:rPr>
          <w:rStyle w:val="Superscript"/>
          <w:lang w:val="en-GB"/>
        </w:rPr>
        <w:footnoteReference w:id="48"/>
      </w:r>
      <w:r w:rsidRPr="00D24350">
        <w:rPr>
          <w:lang w:val="en-GB"/>
        </w:rPr>
        <w:t xml:space="preserve"> </w:t>
      </w:r>
    </w:p>
    <w:p w14:paraId="27FC919B" w14:textId="77777777" w:rsidR="00D24350" w:rsidRPr="00D24350" w:rsidRDefault="00D24350" w:rsidP="00D24350">
      <w:pPr>
        <w:rPr>
          <w:lang w:val="en-GB"/>
        </w:rPr>
      </w:pPr>
      <w:r w:rsidRPr="00D24350">
        <w:rPr>
          <w:lang w:val="en-GB"/>
        </w:rPr>
        <w:t xml:space="preserve">Current CRA rates have fallen well below rent and income levels of the broader community and so should be increased. </w:t>
      </w:r>
    </w:p>
    <w:p w14:paraId="1F6AC199" w14:textId="77777777" w:rsidR="00D24350" w:rsidRPr="00D24350" w:rsidRDefault="00D24350" w:rsidP="00D24350">
      <w:pPr>
        <w:rPr>
          <w:lang w:val="en-GB"/>
        </w:rPr>
      </w:pPr>
      <w:r w:rsidRPr="00D24350">
        <w:rPr>
          <w:lang w:val="en-GB"/>
        </w:rPr>
        <w:t>The Committee understands the need to balance adequacy with workforce participation and potential housing market distortions and so recommends modest increases in CRA is appropriate alongside other recommendations of the Committee such as the increase JobSeeker Payment.</w:t>
      </w:r>
    </w:p>
    <w:p w14:paraId="5D91DFB3" w14:textId="77777777" w:rsidR="00D24350" w:rsidRPr="00D24350" w:rsidRDefault="00D24350" w:rsidP="00D24350">
      <w:pPr>
        <w:rPr>
          <w:lang w:val="en-GB"/>
        </w:rPr>
      </w:pPr>
      <w:r w:rsidRPr="00D24350">
        <w:rPr>
          <w:lang w:val="en-GB"/>
        </w:rPr>
        <w:t>The Committee recognises that the setting of CRA is complicated with recipients having a great diversity of financial, housing and family situations. Further work is required to better understand the current and evolving needs of recipients.</w:t>
      </w:r>
    </w:p>
    <w:p w14:paraId="1ED21A50" w14:textId="77777777" w:rsidR="00CF29A5" w:rsidRDefault="00D24350" w:rsidP="00D24350">
      <w:pPr>
        <w:rPr>
          <w:lang w:val="en-GB"/>
        </w:rPr>
      </w:pPr>
      <w:r w:rsidRPr="00D24350">
        <w:rPr>
          <w:lang w:val="en-GB"/>
        </w:rPr>
        <w:t>Finding: The current maximum rate of CRA is inadequate.</w:t>
      </w:r>
    </w:p>
    <w:p w14:paraId="4F531DE7" w14:textId="77777777" w:rsidR="00171E6E" w:rsidRPr="00171E6E" w:rsidRDefault="00171E6E" w:rsidP="005C7B9D">
      <w:pPr>
        <w:shd w:val="clear" w:color="auto" w:fill="FAF1E8" w:themeFill="accent2"/>
        <w:rPr>
          <w:b/>
          <w:bCs/>
        </w:rPr>
      </w:pPr>
      <w:r w:rsidRPr="00171E6E">
        <w:rPr>
          <w:b/>
          <w:bCs/>
        </w:rPr>
        <w:t>Recommendation 5</w:t>
      </w:r>
    </w:p>
    <w:p w14:paraId="0D155536" w14:textId="150ACF0A" w:rsidR="00171E6E" w:rsidRPr="00171E6E" w:rsidRDefault="00171E6E" w:rsidP="005C7B9D">
      <w:pPr>
        <w:shd w:val="clear" w:color="auto" w:fill="FAF1E8" w:themeFill="accent2"/>
        <w:rPr>
          <w:b/>
          <w:bCs/>
          <w:lang w:val="en-US"/>
        </w:rPr>
      </w:pPr>
      <w:r w:rsidRPr="00171E6E">
        <w:rPr>
          <w:b/>
          <w:bCs/>
        </w:rPr>
        <w:t>In addition to substantially increasing base rates of JobSeeker Payment and related payments, further increase the rate of CRA to address the long-term reduction in adequacy and better reflect rents paid.</w:t>
      </w:r>
    </w:p>
    <w:p w14:paraId="580DA401" w14:textId="77777777" w:rsidR="00CF29A5" w:rsidRDefault="00CF29A5">
      <w:pPr>
        <w:spacing w:after="0"/>
        <w:rPr>
          <w:lang w:val="en-GB"/>
        </w:rPr>
      </w:pPr>
      <w:r>
        <w:rPr>
          <w:lang w:val="en-GB"/>
        </w:rPr>
        <w:br w:type="page"/>
      </w:r>
    </w:p>
    <w:p w14:paraId="50C8CDFA" w14:textId="77777777" w:rsidR="00990E04" w:rsidRPr="00990E04" w:rsidRDefault="00990E04" w:rsidP="00990E04">
      <w:pPr>
        <w:pStyle w:val="Heading2"/>
      </w:pPr>
      <w:bookmarkStart w:id="40" w:name="_Toc165366870"/>
      <w:r w:rsidRPr="00990E04">
        <w:lastRenderedPageBreak/>
        <w:t>Cliff: Regional mature aged JobSeeker</w:t>
      </w:r>
      <w:bookmarkEnd w:id="40"/>
    </w:p>
    <w:p w14:paraId="79423E9F" w14:textId="6D0415E4" w:rsidR="00D24350" w:rsidRPr="00990E04" w:rsidRDefault="00D24350" w:rsidP="00990E04">
      <w:pPr>
        <w:rPr>
          <w:rStyle w:val="Emphasis"/>
        </w:rPr>
      </w:pPr>
      <w:r w:rsidRPr="00990E04">
        <w:rPr>
          <w:rStyle w:val="Emphasis"/>
        </w:rPr>
        <w:t xml:space="preserve">Cliff is a regional mature-aged JobSeeker. In 2011, Cliff was earning around $120,000 a year as an interstate truck driver. </w:t>
      </w:r>
    </w:p>
    <w:p w14:paraId="4AAACD23" w14:textId="77777777" w:rsidR="00D24350" w:rsidRPr="00D24350" w:rsidRDefault="00D24350" w:rsidP="00D24350">
      <w:pPr>
        <w:rPr>
          <w:lang w:val="en-US"/>
        </w:rPr>
      </w:pPr>
      <w:r w:rsidRPr="00D24350">
        <w:rPr>
          <w:lang w:val="en-US"/>
        </w:rPr>
        <w:t xml:space="preserve">He had a heart attack coming out of Sydney, and the ambulance drivers said that the authorities would’ve pulled his heavy vehicle license before he even made it to the hospital. By the time Cliff came out of the hospital a week or two later, he had no heavy vehicle license, which meant that he was out of work. As a result, Cliff went from earning $120,000 a year to about $17,000 a year on Centrelink. </w:t>
      </w:r>
    </w:p>
    <w:p w14:paraId="158C900F" w14:textId="77777777" w:rsidR="00D24350" w:rsidRPr="00D24350" w:rsidRDefault="00D24350" w:rsidP="00D24350">
      <w:pPr>
        <w:rPr>
          <w:lang w:val="en-GB"/>
        </w:rPr>
      </w:pPr>
      <w:r w:rsidRPr="00D24350">
        <w:rPr>
          <w:lang w:val="en-GB"/>
        </w:rPr>
        <w:t>Cliff has worked a few times since 2011. He’s still currently in receipt of JobSeeker Payments and is working part-time in a shop. It is not to Cliff’s benefit to do more than 10 hours in a fortnight, or he loses money. When Cliff earns more income, they take away 60 cents in a dollar. He thinks that to some extent this is understandable, as he is working. But Cliff’s wife is a little bit older and receives an Age Pension. Centrelink also takes 60 cents in a dollar off her when Cliff earns over the earning threshold.</w:t>
      </w:r>
    </w:p>
    <w:p w14:paraId="4C7F48D8" w14:textId="77777777" w:rsidR="00D24350" w:rsidRPr="00D24350" w:rsidRDefault="00D24350" w:rsidP="00D24350">
      <w:pPr>
        <w:rPr>
          <w:lang w:val="en-US"/>
        </w:rPr>
      </w:pPr>
      <w:r w:rsidRPr="00D24350">
        <w:rPr>
          <w:lang w:val="en-US"/>
        </w:rPr>
        <w:t>As a result, Cliff and his wife are actually losing $1.20 from their family’s income for every dollar Cliff earns. His thoughts are: ‘what is the incentive for me to actually work?’</w:t>
      </w:r>
    </w:p>
    <w:p w14:paraId="4A1A658D" w14:textId="77777777" w:rsidR="00D24350" w:rsidRPr="00D24350" w:rsidRDefault="00D24350" w:rsidP="00D24350">
      <w:pPr>
        <w:rPr>
          <w:lang w:val="en-GB"/>
        </w:rPr>
      </w:pPr>
      <w:r w:rsidRPr="00D24350">
        <w:rPr>
          <w:lang w:val="en-GB"/>
        </w:rPr>
        <w:t xml:space="preserve">Cliff went to a Centrelink office to explain the situation. The Centrelink worker suggested he and his wife should declare that they had separated. Cliff and his wife had been married for 44 years and they didn’t want to do that. Cliff is an honest man who doesn’t want to be dishonest for the sake of extra money. </w:t>
      </w:r>
    </w:p>
    <w:p w14:paraId="71B6BF51" w14:textId="77777777" w:rsidR="00D24350" w:rsidRPr="00D24350" w:rsidRDefault="00D24350" w:rsidP="00D24350">
      <w:pPr>
        <w:rPr>
          <w:lang w:val="en-GB"/>
        </w:rPr>
      </w:pPr>
      <w:r w:rsidRPr="00D24350">
        <w:rPr>
          <w:lang w:val="en-GB"/>
        </w:rPr>
        <w:t>Leading up to Christmas, Cliff was doing long hours and earned $2,000 for the fortnight more than he normally made. The following fortnight he had to report to Centrelink on Christmas Eve and made an income estimate. He estimated his fortnightly income as being the same as it was the previous fortnight. But when his paycheque came he was paid $400 less. It was weeks later before his Centrelink payments were sorted out and his wife’s pension took an additional month before it was the correct amount.</w:t>
      </w:r>
    </w:p>
    <w:p w14:paraId="0AD67240" w14:textId="77777777" w:rsidR="00D24350" w:rsidRPr="00D24350" w:rsidRDefault="00D24350" w:rsidP="00D24350">
      <w:pPr>
        <w:rPr>
          <w:lang w:val="en-GB"/>
        </w:rPr>
      </w:pPr>
      <w:r w:rsidRPr="00D24350">
        <w:rPr>
          <w:lang w:val="en-GB"/>
        </w:rPr>
        <w:t xml:space="preserve">Cliff has also had difficulty dealing with Centrelink. He spent an hour and a half on the telephone before hanging up. His daughter was going into town and Cliff got a ride to the Centrelink office with her. They told Cliff that he could have fixed his problem over the phone. He told them that that was what he was trying to do in person. </w:t>
      </w:r>
    </w:p>
    <w:p w14:paraId="5FE9C369" w14:textId="77777777" w:rsidR="00D24350" w:rsidRPr="00D24350" w:rsidRDefault="00D24350" w:rsidP="00D24350">
      <w:pPr>
        <w:rPr>
          <w:lang w:val="en-GB"/>
        </w:rPr>
      </w:pPr>
      <w:r w:rsidRPr="00D24350">
        <w:rPr>
          <w:lang w:val="en-GB"/>
        </w:rPr>
        <w:t xml:space="preserve">Cliff thinks that the entire job agency industry is solid proof that privatisation hasn’t worked. He gets on pretty well with his job agency, but he thinks they are ‘basically useless’. Almost three years ago, the employment service found Cliff a job cleaning out chook houses on a commercial chook farm. Cliff told them that he wasn’t sure he could do it because of his heart problems, and because he had broken his neck five years ago. Cliff has three bits of steel in his neck, but he can walk and  do most things, so he considers himself lucky. But, as he relates, ‘my employment service provider still sent me to a job where it turned out I was supposed to be shovelling manure, which I can’t safely do’. </w:t>
      </w:r>
    </w:p>
    <w:p w14:paraId="25FA7BE5" w14:textId="77777777" w:rsidR="00D24350" w:rsidRPr="00D24350" w:rsidRDefault="00D24350" w:rsidP="00D24350">
      <w:pPr>
        <w:rPr>
          <w:lang w:val="en-GB"/>
        </w:rPr>
      </w:pPr>
      <w:r w:rsidRPr="00D24350">
        <w:rPr>
          <w:lang w:val="en-GB"/>
        </w:rPr>
        <w:t>The other part of the job they recommended for Cliff was to pick up sick chickens and break their necks. As an animal lover, Cliff would never do such a thing. Cliff’s job lasted for two hours before he could do it no longer. That was the only job the provider had ever found him.</w:t>
      </w:r>
    </w:p>
    <w:p w14:paraId="156FD77C" w14:textId="77777777" w:rsidR="00D24350" w:rsidRPr="00D24350" w:rsidRDefault="00D24350" w:rsidP="00D24350">
      <w:pPr>
        <w:rPr>
          <w:lang w:val="en-US"/>
        </w:rPr>
      </w:pPr>
      <w:r w:rsidRPr="00D24350">
        <w:rPr>
          <w:lang w:val="en-US"/>
        </w:rPr>
        <w:t>Cliff thinks too many organisations are trying to punish people for being unemployed or on a low income.</w:t>
      </w:r>
    </w:p>
    <w:p w14:paraId="7EAA7AF9" w14:textId="77777777" w:rsidR="00D24350" w:rsidRPr="00D24350" w:rsidRDefault="00D24350" w:rsidP="00D24350">
      <w:pPr>
        <w:rPr>
          <w:lang w:val="en-GB"/>
        </w:rPr>
      </w:pPr>
      <w:r w:rsidRPr="00D24350">
        <w:rPr>
          <w:lang w:val="en-GB"/>
        </w:rPr>
        <w:t xml:space="preserve">When they doubled the unemployment payment rate during COVID, Cliff thinks that showed the benefit of having people on a reasonable level of income. ‘Nobody got rich when they doubled the rate, but they could at least live reasonably.’ Cliff and his wife even went to the pictures one night before payments dropped back down again. </w:t>
      </w:r>
    </w:p>
    <w:p w14:paraId="482816F0" w14:textId="69ED5DDB" w:rsidR="00D24350" w:rsidRPr="00D24350" w:rsidRDefault="00D24350" w:rsidP="00D24350">
      <w:pPr>
        <w:rPr>
          <w:lang w:val="en-GB"/>
        </w:rPr>
      </w:pPr>
      <w:r w:rsidRPr="00D24350">
        <w:rPr>
          <w:lang w:val="en-GB"/>
        </w:rPr>
        <w:lastRenderedPageBreak/>
        <w:t>Now Cliff and his wife do without. They buy only what is needed as they can’t afford any luxuries. They struggle to buy groceries. As they get older, Cliff has more health problems and it is getting harder for him to find doctors who bulk bill. Cliff and his wife have had to change doctors last year, as the ones they were using stopped bulk billing; yet Cliff and his wife can’t afford to buy petrol to drive somewhere unnecessarily.</w:t>
      </w:r>
    </w:p>
    <w:p w14:paraId="720370D1" w14:textId="77777777" w:rsidR="00B652C8" w:rsidRDefault="00B652C8" w:rsidP="005444C6">
      <w:pPr>
        <w:pStyle w:val="Heading1"/>
        <w:rPr>
          <w:lang w:val="en-GB"/>
        </w:rPr>
        <w:sectPr w:rsidR="00B652C8" w:rsidSect="0039440B">
          <w:headerReference w:type="first" r:id="rId36"/>
          <w:footerReference w:type="first" r:id="rId37"/>
          <w:pgSz w:w="11906" w:h="16838"/>
          <w:pgMar w:top="1440" w:right="1440" w:bottom="1440" w:left="1440" w:header="708" w:footer="708" w:gutter="0"/>
          <w:cols w:space="708"/>
          <w:titlePg/>
          <w:docGrid w:linePitch="360"/>
        </w:sectPr>
      </w:pPr>
    </w:p>
    <w:p w14:paraId="7673DCCE" w14:textId="1D88ED05" w:rsidR="00CF29A5" w:rsidRPr="00B652C8" w:rsidRDefault="00262D09" w:rsidP="005444C6">
      <w:pPr>
        <w:pStyle w:val="Heading1"/>
        <w:rPr>
          <w:color w:val="F9F1E7" w:themeColor="background2"/>
        </w:rPr>
      </w:pPr>
      <w:bookmarkStart w:id="41" w:name="_Toc165366871"/>
      <w:r>
        <w:rPr>
          <w:noProof/>
        </w:rPr>
        <w:lastRenderedPageBreak/>
        <w:drawing>
          <wp:anchor distT="0" distB="0" distL="114300" distR="114300" simplePos="0" relativeHeight="251671552" behindDoc="1" locked="0" layoutInCell="1" allowOverlap="1" wp14:anchorId="1D3C7735" wp14:editId="41543823">
            <wp:simplePos x="0" y="0"/>
            <wp:positionH relativeFrom="column">
              <wp:posOffset>-895350</wp:posOffset>
            </wp:positionH>
            <wp:positionV relativeFrom="paragraph">
              <wp:posOffset>-876300</wp:posOffset>
            </wp:positionV>
            <wp:extent cx="7560310" cy="10687050"/>
            <wp:effectExtent l="0" t="0" r="2540" b="0"/>
            <wp:wrapNone/>
            <wp:docPr id="163894083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0839"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lang w:val="en-GB"/>
        </w:rPr>
        <w:t xml:space="preserve">Chapter 4: </w:t>
      </w:r>
      <w:r w:rsidR="00B652C8" w:rsidRPr="00B652C8">
        <w:rPr>
          <w:color w:val="F9F1E7" w:themeColor="background2"/>
          <w:lang w:val="en-GB"/>
        </w:rPr>
        <w:br/>
      </w:r>
      <w:r w:rsidR="005444C6" w:rsidRPr="00B652C8">
        <w:rPr>
          <w:color w:val="F9F1E7" w:themeColor="background2"/>
        </w:rPr>
        <w:t>Removing barriers to employment and supporting participation</w:t>
      </w:r>
      <w:bookmarkEnd w:id="41"/>
    </w:p>
    <w:p w14:paraId="2A562517" w14:textId="77777777" w:rsidR="005444C6" w:rsidRDefault="005444C6">
      <w:pPr>
        <w:spacing w:after="0"/>
        <w:rPr>
          <w:lang w:val="en-GB"/>
        </w:rPr>
      </w:pPr>
    </w:p>
    <w:p w14:paraId="34ACD028" w14:textId="18F8D826" w:rsidR="005444C6" w:rsidRDefault="005444C6">
      <w:pPr>
        <w:spacing w:after="0"/>
        <w:rPr>
          <w:rFonts w:eastAsiaTheme="majorEastAsia" w:cstheme="majorBidi"/>
          <w:b/>
          <w:color w:val="131727" w:themeColor="text1"/>
          <w:sz w:val="32"/>
          <w:szCs w:val="32"/>
        </w:rPr>
      </w:pPr>
      <w:r>
        <w:br w:type="page"/>
      </w:r>
    </w:p>
    <w:p w14:paraId="4504CCA1" w14:textId="13295BA0" w:rsidR="00D24350" w:rsidRPr="00CF29A5" w:rsidRDefault="00D24350" w:rsidP="00CF29A5">
      <w:pPr>
        <w:pStyle w:val="Heading2"/>
      </w:pPr>
      <w:bookmarkStart w:id="42" w:name="_Toc165366872"/>
      <w:r w:rsidRPr="00CF29A5">
        <w:lastRenderedPageBreak/>
        <w:t>4.1 Introduction</w:t>
      </w:r>
      <w:bookmarkEnd w:id="42"/>
    </w:p>
    <w:p w14:paraId="63DF07DE" w14:textId="69BF720A" w:rsidR="00D24350" w:rsidRPr="00D24350" w:rsidRDefault="00D24350" w:rsidP="00D24350">
      <w:pPr>
        <w:rPr>
          <w:rStyle w:val="Emphasis"/>
          <w:lang w:val="en-GB"/>
        </w:rPr>
      </w:pPr>
      <w:r w:rsidRPr="00D24350">
        <w:rPr>
          <w:rStyle w:val="Emphasis"/>
          <w:lang w:val="en-GB"/>
        </w:rPr>
        <w:t xml:space="preserve">After many years of neglect and harsh treatment, attention is finally being paid to one of Australia’s most important moral issues – removing the barriers that are currently preventing so many of our fellow citizens from getting back into paid work. </w:t>
      </w:r>
    </w:p>
    <w:p w14:paraId="7E3DB83F" w14:textId="77777777" w:rsidR="00D24350" w:rsidRPr="00D24350" w:rsidRDefault="00D24350" w:rsidP="00D24350">
      <w:pPr>
        <w:rPr>
          <w:lang w:val="en-GB"/>
        </w:rPr>
      </w:pPr>
      <w:r w:rsidRPr="00D24350">
        <w:rPr>
          <w:lang w:val="en-GB"/>
        </w:rPr>
        <w:t>The September 2022 Jobs and Skills Summit was followed in September 2023 by the Working Future White Paper,</w:t>
      </w:r>
      <w:r w:rsidRPr="00D24350">
        <w:rPr>
          <w:rStyle w:val="Superscript"/>
          <w:lang w:val="en-GB"/>
        </w:rPr>
        <w:footnoteReference w:id="49"/>
      </w:r>
      <w:r w:rsidRPr="00D24350">
        <w:rPr>
          <w:lang w:val="en-GB"/>
        </w:rPr>
        <w:t xml:space="preserve"> and then in November 2023 by the Final Report of the House of Representatives Select Committee on Workforce Australia Employment Services.</w:t>
      </w:r>
      <w:r w:rsidRPr="00D24350">
        <w:rPr>
          <w:rStyle w:val="Superscript"/>
          <w:lang w:val="en-GB"/>
        </w:rPr>
        <w:footnoteReference w:id="50"/>
      </w:r>
      <w:r w:rsidRPr="00D24350">
        <w:rPr>
          <w:lang w:val="en-GB"/>
        </w:rPr>
        <w:t xml:space="preserve"> The Committee welcomes the White Paper’s commitment to ‘sustained and inclusive full employment’ and notes that around half of the White Paper’s ten areas of priority relate directly or indirectly to getting those currently locked out of the workforce back into paid and meaningful employment. It strongly endorses the White Paper’s commitment to a full employment target, and for that target to be one of the dual objectives of Australia’s monetary policy framework. The Committee also strongly supports the analysis, findings and recommendations of the Select Committee regarding employment services, which it regards as no longer fit for purpose.</w:t>
      </w:r>
    </w:p>
    <w:p w14:paraId="3BD2658E" w14:textId="40EA532A" w:rsidR="00D24350" w:rsidRPr="00D24350" w:rsidRDefault="00D24350" w:rsidP="00D24350">
      <w:pPr>
        <w:rPr>
          <w:lang w:val="en-GB"/>
        </w:rPr>
      </w:pPr>
      <w:r w:rsidRPr="00D24350">
        <w:rPr>
          <w:lang w:val="en-GB"/>
        </w:rPr>
        <w:t xml:space="preserve">Much good analysis has been done by the White Paper and Select Committee and in this chapter the Committee urges action on what it believes are the most pressing and consequential reforms. </w:t>
      </w:r>
    </w:p>
    <w:p w14:paraId="118ECADC" w14:textId="77777777" w:rsidR="00D24350" w:rsidRPr="00D24350" w:rsidRDefault="00D24350" w:rsidP="00D24350">
      <w:pPr>
        <w:rPr>
          <w:lang w:val="en-GB"/>
        </w:rPr>
      </w:pPr>
      <w:r w:rsidRPr="00D24350">
        <w:rPr>
          <w:lang w:val="en-GB"/>
        </w:rPr>
        <w:t>The Committee believes that with the right approach Australia’s income support provisions and employment services system can be transformed from endless sources of bad news into positive contributors to Australia’s changing economic needs.</w:t>
      </w:r>
    </w:p>
    <w:p w14:paraId="2E091E55" w14:textId="77777777" w:rsidR="00D24350" w:rsidRPr="00D24350" w:rsidRDefault="00D24350" w:rsidP="00D24350">
      <w:pPr>
        <w:rPr>
          <w:lang w:val="en-GB"/>
        </w:rPr>
      </w:pPr>
      <w:r w:rsidRPr="00D24350">
        <w:rPr>
          <w:lang w:val="en-GB"/>
        </w:rPr>
        <w:t xml:space="preserve"> This is a highly achievable goal with considerable economic and social payoffs.</w:t>
      </w:r>
    </w:p>
    <w:p w14:paraId="2EDD7680" w14:textId="77777777" w:rsidR="00D24350" w:rsidRPr="00D24350" w:rsidRDefault="00D24350" w:rsidP="00D24350">
      <w:pPr>
        <w:rPr>
          <w:lang w:val="en-GB"/>
        </w:rPr>
      </w:pPr>
      <w:r w:rsidRPr="00D24350">
        <w:rPr>
          <w:lang w:val="en-GB"/>
        </w:rPr>
        <w:t>The Committee urges the Government not to be daunted by the notorious complexity of employment services reform but to be confident that important change can be obtained through a clear timeline of practical measures, legislative changes and affordable funding adjustments. Reconceptualising income support and employment services as positive economic policy levers will benefit the nation enormously.</w:t>
      </w:r>
    </w:p>
    <w:p w14:paraId="0117DB41" w14:textId="77777777" w:rsidR="00D24350" w:rsidRPr="00D24350" w:rsidRDefault="00D24350" w:rsidP="00D24350">
      <w:pPr>
        <w:rPr>
          <w:lang w:val="en-GB"/>
        </w:rPr>
      </w:pPr>
      <w:r w:rsidRPr="00D24350">
        <w:rPr>
          <w:lang w:val="en-GB"/>
        </w:rPr>
        <w:t xml:space="preserve">At the same time, the Committee believes these potential benefits will only be fully realised when the full employment objective is also achieved. Getting to full employment is what allows the greatest opportunity for workforce participation by those facing barriers to work, and the greatest chance to grow Australia’s collective prosperity. The Committee remains of the belief that an appropriate target for the rate of unemployment is close to 3.5% and does not share the view that labour utilisation as of February was still below the level for full employment. </w:t>
      </w:r>
    </w:p>
    <w:p w14:paraId="0B42FC6C" w14:textId="77777777" w:rsidR="00D24350" w:rsidRPr="005444C6" w:rsidRDefault="00D24350" w:rsidP="005444C6">
      <w:pPr>
        <w:pStyle w:val="Heading2"/>
      </w:pPr>
      <w:bookmarkStart w:id="43" w:name="_Toc165366873"/>
      <w:r w:rsidRPr="005444C6">
        <w:t>4.2 The problem to overcome</w:t>
      </w:r>
      <w:bookmarkEnd w:id="43"/>
    </w:p>
    <w:p w14:paraId="23DA6A5E" w14:textId="77777777" w:rsidR="00D24350" w:rsidRPr="00D24350" w:rsidRDefault="00D24350" w:rsidP="00D24350">
      <w:pPr>
        <w:rPr>
          <w:lang w:val="en-GB"/>
        </w:rPr>
      </w:pPr>
      <w:r w:rsidRPr="00D24350">
        <w:rPr>
          <w:lang w:val="en-GB"/>
        </w:rPr>
        <w:t xml:space="preserve">Despite Australia’s comparatively strong labour market, low unemployment rate, and high participation levels, considerable workforce potential remains untapped. The moral imperative for action is strong. According to the White Paper: some 3 million people in Australia want work or want to work more hours but are prevented from doing so by intersectional factors like geographically concentrated disadvantage, cultural background, </w:t>
      </w:r>
      <w:r w:rsidRPr="00D24350">
        <w:rPr>
          <w:lang w:val="en-GB"/>
        </w:rPr>
        <w:lastRenderedPageBreak/>
        <w:t>gender, age, and disability.</w:t>
      </w:r>
      <w:r w:rsidRPr="00AF6C87">
        <w:rPr>
          <w:rStyle w:val="Superscript"/>
        </w:rPr>
        <w:footnoteReference w:id="51"/>
      </w:r>
      <w:r w:rsidRPr="00AF6C87">
        <w:rPr>
          <w:rStyle w:val="Superscript"/>
        </w:rPr>
        <w:t xml:space="preserve"> </w:t>
      </w:r>
      <w:r w:rsidRPr="00D24350">
        <w:rPr>
          <w:lang w:val="en-GB"/>
        </w:rPr>
        <w:t xml:space="preserve">As the White Paper reports, the effects of the poorly working system are easy to observe: </w:t>
      </w:r>
    </w:p>
    <w:p w14:paraId="0D2F60CB" w14:textId="77777777" w:rsidR="00D24350" w:rsidRPr="00AF6C87" w:rsidRDefault="00D24350" w:rsidP="00AF6C87">
      <w:pPr>
        <w:pStyle w:val="ListBullet"/>
      </w:pPr>
      <w:r w:rsidRPr="00AF6C87">
        <w:rPr>
          <w:b/>
          <w:bCs/>
        </w:rPr>
        <w:t>Intergenerational disadvantage:</w:t>
      </w:r>
      <w:r w:rsidRPr="00AF6C87">
        <w:t xml:space="preserve"> “Disadvantage is often intergenerational. Roughly one in three children born into families in the bottom 20% of the income distribution will remain there.”</w:t>
      </w:r>
      <w:r w:rsidRPr="00AF6C87">
        <w:rPr>
          <w:rStyle w:val="Superscript"/>
        </w:rPr>
        <w:footnoteReference w:id="52"/>
      </w:r>
    </w:p>
    <w:p w14:paraId="6DA11643" w14:textId="77777777" w:rsidR="00D24350" w:rsidRPr="00AF6C87" w:rsidRDefault="00D24350" w:rsidP="00AF6C87">
      <w:pPr>
        <w:pStyle w:val="ListBullet"/>
      </w:pPr>
      <w:r w:rsidRPr="00AF6C87">
        <w:rPr>
          <w:b/>
          <w:bCs/>
        </w:rPr>
        <w:t>Geographic concentration:</w:t>
      </w:r>
      <w:r w:rsidRPr="00AF6C87">
        <w:t xml:space="preserve"> “Opportunities in Australia’s economy have not always been shared equally. The five regions with the highest long-term unemployment rates make up 12% of all long-term unemployed people nationally, despite only having 5% of the working age population.”</w:t>
      </w:r>
      <w:r w:rsidRPr="00AF6C87">
        <w:rPr>
          <w:rStyle w:val="Superscript"/>
        </w:rPr>
        <w:footnoteReference w:id="53"/>
      </w:r>
    </w:p>
    <w:p w14:paraId="57DFE79C" w14:textId="77777777" w:rsidR="00D24350" w:rsidRPr="00AF6C87" w:rsidRDefault="00D24350" w:rsidP="00AF6C87">
      <w:pPr>
        <w:pStyle w:val="ListBullet"/>
      </w:pPr>
      <w:r w:rsidRPr="00AF6C87">
        <w:rPr>
          <w:b/>
          <w:bCs/>
        </w:rPr>
        <w:t>First Nations:</w:t>
      </w:r>
      <w:r w:rsidRPr="00AF6C87">
        <w:t xml:space="preserve"> “The employment rate of Aboriginal and Torres Strait Islander people continues to significantly lag that of non-Indigenous people, and the gap has not closed notably over the past 30 years.”</w:t>
      </w:r>
      <w:r w:rsidRPr="00AF6C87">
        <w:rPr>
          <w:rStyle w:val="Superscript"/>
        </w:rPr>
        <w:footnoteReference w:id="54"/>
      </w:r>
    </w:p>
    <w:p w14:paraId="43C5370B" w14:textId="77777777" w:rsidR="00D24350" w:rsidRPr="00AF6C87" w:rsidRDefault="00D24350" w:rsidP="00AF6C87">
      <w:pPr>
        <w:pStyle w:val="ListBullet"/>
      </w:pPr>
      <w:r w:rsidRPr="00AF6C87">
        <w:rPr>
          <w:b/>
          <w:bCs/>
        </w:rPr>
        <w:t>Disability:</w:t>
      </w:r>
      <w:r w:rsidRPr="00AF6C87">
        <w:t xml:space="preserve"> “The employment rate for people with disability has been consistently lower than for those with no reported disability and has shown no improvement over 20 years.”</w:t>
      </w:r>
      <w:r w:rsidRPr="00AF6C87">
        <w:rPr>
          <w:rStyle w:val="Superscript"/>
        </w:rPr>
        <w:footnoteReference w:id="55"/>
      </w:r>
    </w:p>
    <w:p w14:paraId="7FDD85FF" w14:textId="77777777" w:rsidR="00D24350" w:rsidRPr="00AF6C87" w:rsidRDefault="00D24350" w:rsidP="00AF6C87">
      <w:pPr>
        <w:pStyle w:val="ListBullet"/>
      </w:pPr>
      <w:r w:rsidRPr="00AF6C87">
        <w:rPr>
          <w:b/>
          <w:bCs/>
        </w:rPr>
        <w:t>Age:</w:t>
      </w:r>
      <w:r w:rsidRPr="00AF6C87">
        <w:t xml:space="preserve"> “Young people aged 15 to 24 years face an unemployment rate twice the unemployment rate for all Australians.” “Mature age workers generally have good labour market outcomes, however, when they lose their job or want to return to the workforce, they can find it hard to get back into work.”</w:t>
      </w:r>
      <w:r w:rsidRPr="00AF6C87">
        <w:rPr>
          <w:rStyle w:val="Superscript"/>
        </w:rPr>
        <w:footnoteReference w:id="56"/>
      </w:r>
    </w:p>
    <w:p w14:paraId="706A8224" w14:textId="77777777" w:rsidR="00D24350" w:rsidRPr="00AF6C87" w:rsidRDefault="00D24350" w:rsidP="00AF6C87">
      <w:pPr>
        <w:pStyle w:val="ListBullet"/>
      </w:pPr>
      <w:r w:rsidRPr="00AF6C87">
        <w:rPr>
          <w:b/>
          <w:bCs/>
        </w:rPr>
        <w:t>Gender:</w:t>
      </w:r>
      <w:r w:rsidRPr="00AF6C87">
        <w:t xml:space="preserve"> “Women are participating in the labour market at higher rates than ever before. However more work can be done to achieve gender equality. Barriers include the affordability and accessibility of ECEC, disincentives for secondary earners to engage in paid work, the unequal distribution of unpaid care between men and women, societal norms that limit choice and perpetuate discrimination, occupational segregation, and the impact of gender-based violence.”</w:t>
      </w:r>
      <w:r w:rsidRPr="00AF6C87">
        <w:rPr>
          <w:rStyle w:val="Superscript"/>
        </w:rPr>
        <w:footnoteReference w:id="57"/>
      </w:r>
    </w:p>
    <w:p w14:paraId="410F9EAE" w14:textId="77777777" w:rsidR="00D24350" w:rsidRPr="00AF6C87" w:rsidRDefault="00D24350" w:rsidP="00AF6C87">
      <w:pPr>
        <w:pStyle w:val="ListBullet"/>
      </w:pPr>
      <w:r w:rsidRPr="00AF6C87">
        <w:rPr>
          <w:b/>
          <w:bCs/>
        </w:rPr>
        <w:t>Single parents:</w:t>
      </w:r>
      <w:r w:rsidRPr="00AF6C87">
        <w:t xml:space="preserve"> “Australia’s employment rate for single mothers is one of the lowest in the OECD. About 52% of single mothers with a child under five years participate in the labour market, compared with 70% of partnered mothers and 90% of all fathers.”</w:t>
      </w:r>
      <w:r w:rsidRPr="00AF6C87">
        <w:rPr>
          <w:rStyle w:val="Superscript"/>
        </w:rPr>
        <w:footnoteReference w:id="58"/>
      </w:r>
    </w:p>
    <w:p w14:paraId="0F475FF1" w14:textId="77777777" w:rsidR="00D24350" w:rsidRPr="00D24350" w:rsidRDefault="00D24350" w:rsidP="00D24350">
      <w:pPr>
        <w:rPr>
          <w:lang w:val="en-GB"/>
        </w:rPr>
      </w:pPr>
      <w:r w:rsidRPr="00D24350">
        <w:rPr>
          <w:lang w:val="en-GB"/>
        </w:rPr>
        <w:t xml:space="preserve">These problems are further compounded by poor policy settings, inadequate social and physical infrastructure, underdeveloped local labour markets, failing employment services, ongoing discrimination, and out-of-date employer attitudes. </w:t>
      </w:r>
    </w:p>
    <w:p w14:paraId="40385527" w14:textId="77777777" w:rsidR="00D24350" w:rsidRPr="00D24350" w:rsidRDefault="00D24350" w:rsidP="00D24350">
      <w:pPr>
        <w:rPr>
          <w:lang w:val="en-GB"/>
        </w:rPr>
      </w:pPr>
      <w:r w:rsidRPr="00D24350">
        <w:rPr>
          <w:lang w:val="en-GB"/>
        </w:rPr>
        <w:t xml:space="preserve">Given the reality that not everyone of working age is capable of working or in a position to work at a given point in time, achieving progress will require us to broaden our understanding of what productivity really means and to recognise economic participation in wider forms, including appropriately valuing caring responsibilities. </w:t>
      </w:r>
    </w:p>
    <w:p w14:paraId="4C278046" w14:textId="77777777" w:rsidR="00D24350" w:rsidRPr="00D24350" w:rsidRDefault="00D24350" w:rsidP="00D24350">
      <w:pPr>
        <w:rPr>
          <w:lang w:val="en-GB"/>
        </w:rPr>
      </w:pPr>
      <w:r w:rsidRPr="00D24350">
        <w:rPr>
          <w:lang w:val="en-GB"/>
        </w:rPr>
        <w:t xml:space="preserve">The benefits of success are potentially immense. Inclusive full employment will increase economic activity, ease pressure on Government spending, and increase revenue. </w:t>
      </w:r>
    </w:p>
    <w:p w14:paraId="602A0AC7" w14:textId="7B4495E2" w:rsidR="00D24350" w:rsidRPr="00D24350" w:rsidRDefault="00D24350" w:rsidP="00D24350">
      <w:pPr>
        <w:rPr>
          <w:lang w:val="en-GB"/>
        </w:rPr>
      </w:pPr>
      <w:r w:rsidRPr="00D24350">
        <w:rPr>
          <w:lang w:val="en-GB"/>
        </w:rPr>
        <w:lastRenderedPageBreak/>
        <w:t>According to the Treasury, improving the workforce participation rate by 2% by 2062–63 could on its own raise GDP by 3.25%.</w:t>
      </w:r>
      <w:r w:rsidRPr="00D24350">
        <w:rPr>
          <w:rStyle w:val="Superscript"/>
          <w:lang w:val="en-GB"/>
        </w:rPr>
        <w:footnoteReference w:id="59"/>
      </w:r>
    </w:p>
    <w:p w14:paraId="47EC57F3" w14:textId="77777777" w:rsidR="00D24350" w:rsidRPr="00D24350" w:rsidRDefault="00D24350" w:rsidP="00D24350">
      <w:pPr>
        <w:rPr>
          <w:lang w:val="en-GB"/>
        </w:rPr>
      </w:pPr>
      <w:r w:rsidRPr="00D24350">
        <w:rPr>
          <w:lang w:val="en-GB"/>
        </w:rPr>
        <w:t>This chapter addresses these problems under the two broad headings of (1) rebuilding employment services, and (2) removing barriers to employment and supporting greater workforce participation. While making several important recommendations, the Committee emphasises the need to replace the current failing employment services system with a new one based on economically sounder principles, and the need to increase JobSeeker and related payments to improve people’s capacity to re-enter the paid workforce. Crucially, the Committee finds that any reduction in incentives for people to re-join the workforce is likely to be extremely small.</w:t>
      </w:r>
    </w:p>
    <w:p w14:paraId="50F6CF15" w14:textId="77777777" w:rsidR="00D24350" w:rsidRPr="005444C6" w:rsidRDefault="00D24350" w:rsidP="005444C6">
      <w:pPr>
        <w:pStyle w:val="Heading2"/>
      </w:pPr>
      <w:bookmarkStart w:id="44" w:name="_Toc165366874"/>
      <w:r w:rsidRPr="005444C6">
        <w:t>4.3 Rebuilding employment services</w:t>
      </w:r>
      <w:bookmarkEnd w:id="44"/>
    </w:p>
    <w:p w14:paraId="27732F3F" w14:textId="39D29021" w:rsidR="00D24350" w:rsidRPr="005444C6" w:rsidRDefault="00D24350" w:rsidP="005444C6">
      <w:pPr>
        <w:pStyle w:val="Heading3"/>
      </w:pPr>
      <w:r w:rsidRPr="005444C6">
        <w:t>4.3.1 Full r</w:t>
      </w:r>
      <w:r w:rsidR="005444C6">
        <w:t>e</w:t>
      </w:r>
      <w:r w:rsidRPr="005444C6">
        <w:t>design of Australia’s employment services system</w:t>
      </w:r>
    </w:p>
    <w:p w14:paraId="08E85CD5" w14:textId="77777777" w:rsidR="00D24350" w:rsidRPr="00D24350" w:rsidRDefault="00D24350" w:rsidP="00D24350">
      <w:pPr>
        <w:rPr>
          <w:lang w:val="en-GB"/>
        </w:rPr>
      </w:pPr>
      <w:r w:rsidRPr="00D24350">
        <w:rPr>
          <w:lang w:val="en-GB"/>
        </w:rPr>
        <w:t>The Committee finds that increasing economic inclusion will require nothing less than a comprehensive reform of Australia’s employment services system. This view is widely shared among the public policy community. As the Select Committee stated: Australia “no longer has an effective coherent national employment services system”. The White Paper concluded similarly that in recent years: “employment services had failed to keep those people at the highest risk of disadvantage connected with labour markets, let alone in paid employment”.</w:t>
      </w:r>
      <w:r w:rsidRPr="00D24350">
        <w:rPr>
          <w:rStyle w:val="Superscript"/>
          <w:lang w:val="en-GB"/>
        </w:rPr>
        <w:footnoteReference w:id="60"/>
      </w:r>
    </w:p>
    <w:p w14:paraId="553DFBCB" w14:textId="77777777" w:rsidR="00D24350" w:rsidRPr="00D24350" w:rsidRDefault="00D24350" w:rsidP="00D24350">
      <w:pPr>
        <w:rPr>
          <w:lang w:val="en-GB"/>
        </w:rPr>
      </w:pPr>
      <w:r w:rsidRPr="00D24350">
        <w:rPr>
          <w:lang w:val="en-GB"/>
        </w:rPr>
        <w:t>Simply put, the privatisation of employment services that began around a quarter of a century ago has failed to improve the prospects of Australians looking for work. That era has outlived whatever usefulness it may have had and has become an economic, social and human burden we just can’t afford. In the interests of people and the economy, it must be replaced. Another round of incremental changes – of the sort represented by the most recent change from Jobactive to Workforce Australia – will not suffice. A full scale rebuild of the system is needed.</w:t>
      </w:r>
    </w:p>
    <w:p w14:paraId="45F17F3A" w14:textId="77777777" w:rsidR="00D24350" w:rsidRPr="00D24350" w:rsidRDefault="00D24350" w:rsidP="00D24350">
      <w:pPr>
        <w:rPr>
          <w:lang w:val="en-GB"/>
        </w:rPr>
      </w:pPr>
      <w:r w:rsidRPr="00D24350">
        <w:rPr>
          <w:lang w:val="en-GB"/>
        </w:rPr>
        <w:t xml:space="preserve">The need for this overhaul is urgent and financially necessary. With the Government planning to spend more than $9.5 billion in employment services over the next four years, time wasted will mean money wasted. </w:t>
      </w:r>
    </w:p>
    <w:p w14:paraId="5CAA9DCC" w14:textId="77777777" w:rsidR="00D24350" w:rsidRPr="00D24350" w:rsidRDefault="00D24350" w:rsidP="00D24350">
      <w:pPr>
        <w:rPr>
          <w:lang w:val="en-GB"/>
        </w:rPr>
      </w:pPr>
      <w:r w:rsidRPr="00D24350">
        <w:rPr>
          <w:lang w:val="en-GB"/>
        </w:rPr>
        <w:t xml:space="preserve">The Committee therefore believes change must begin immediately, starting with the creation of a timeframe of legislative changes to enable comprehensive reform and transition to a new employment services system in line with the recommendations from the Select Committee and the Working Future White Paper. </w:t>
      </w:r>
    </w:p>
    <w:p w14:paraId="18749120" w14:textId="77777777" w:rsidR="00D24350" w:rsidRPr="00D24350" w:rsidRDefault="00D24350" w:rsidP="00D24350">
      <w:pPr>
        <w:rPr>
          <w:lang w:val="en-GB"/>
        </w:rPr>
      </w:pPr>
      <w:r w:rsidRPr="00D24350">
        <w:rPr>
          <w:lang w:val="en-GB"/>
        </w:rPr>
        <w:t xml:space="preserve">The goal should be the creation of a new employment services system fit for the future – one focussed on building personal capabilities, supporting economic inclusion, and responding to the needs of a modern Australian economy in transition. </w:t>
      </w:r>
    </w:p>
    <w:p w14:paraId="4AF02F53" w14:textId="77777777" w:rsidR="00D24350" w:rsidRPr="005444C6" w:rsidRDefault="00D24350" w:rsidP="005444C6">
      <w:pPr>
        <w:pStyle w:val="Heading3"/>
      </w:pPr>
      <w:r w:rsidRPr="005444C6">
        <w:t xml:space="preserve">4.3.2 Immediate reforms to mutual obligations </w:t>
      </w:r>
    </w:p>
    <w:p w14:paraId="7B544D8E" w14:textId="77777777" w:rsidR="00D24350" w:rsidRPr="00D24350" w:rsidRDefault="00D24350" w:rsidP="00D24350">
      <w:pPr>
        <w:rPr>
          <w:lang w:val="en-GB"/>
        </w:rPr>
      </w:pPr>
      <w:r w:rsidRPr="00D24350">
        <w:rPr>
          <w:lang w:val="en-GB"/>
        </w:rPr>
        <w:t xml:space="preserve">If they are to succeed, reforms must be built around a new and positive culture and set of objectives that suit our contemporary economic needs. This will require a fundamental shift away from the “deficit and punishment paradigm” that animates so much of the current system and is responsible for so many of its failures. That paradigm and the compliance system it underpins are unduly harsh and economically counterproductive, preventing Australians from moving from income support into the paid workforce to improve their lives and provide employers with the motivated and skilled people they need. The sheer cruelty of </w:t>
      </w:r>
      <w:r w:rsidRPr="00D24350">
        <w:rPr>
          <w:lang w:val="en-GB"/>
        </w:rPr>
        <w:lastRenderedPageBreak/>
        <w:t>the system is totally unworthy of our egalitarian national ethos. This issue is discussed at more length in Chapter 6.</w:t>
      </w:r>
    </w:p>
    <w:p w14:paraId="0E91E0D5" w14:textId="111C412E" w:rsidR="00D24350" w:rsidRPr="00D24350" w:rsidRDefault="00D24350" w:rsidP="00D24350">
      <w:pPr>
        <w:rPr>
          <w:lang w:val="en-GB"/>
        </w:rPr>
      </w:pPr>
      <w:r w:rsidRPr="00D24350">
        <w:rPr>
          <w:lang w:val="en-GB"/>
        </w:rPr>
        <w:t>This positivity starts with wholesale change to mutual obligations, which Services Australia defines as the ‘tasks and activities that you agree to do while you get some payment from us.’ Reforms must ensure the mutual obligations system understands the practical realities of job seekers’ lives, can respond to their individual circumstances, address the employment barriers they confront, and build up their capability to work or participate more actively in the community. The Select Committee summed up the problem as follows:</w:t>
      </w:r>
    </w:p>
    <w:p w14:paraId="06324B88" w14:textId="618C60CF" w:rsidR="005444C6" w:rsidRDefault="00C312D2" w:rsidP="00D24350">
      <w:pPr>
        <w:rPr>
          <w:lang w:val="en-GB"/>
        </w:rPr>
      </w:pPr>
      <w:r w:rsidRPr="00C312D2">
        <w:rPr>
          <w:rStyle w:val="SubtleEmphasis"/>
        </w:rPr>
        <w:t>“</w:t>
      </w:r>
      <w:r w:rsidR="00D24350" w:rsidRPr="00C312D2">
        <w:rPr>
          <w:rStyle w:val="SubtleEmphasis"/>
        </w:rPr>
        <w:t>Consistent with the findings of previous reviews, it is clear that the majority of unemployed people want to work. But the current rigid approach to mutual obligations is killing unemployed people’s intrinsic motivations and efforts to seek work, by drowning them and those paid to help them in a mountain of red tape, compliance requirements and pointless mandatory activities. People are made to do silly things that don’t help them get a job—such as pointless training courses or applying for jobs they won’t get—and are then harshly and repeatedly sanctioned for trivial or inadvertent breaches of prescriptive rules. It is ridiculous that over 70% of people with providers have been subject to payment suspensions despite zero evidence that 70% of people are cheating the system. The Robodebt Royal Commission’s finding that fraud in the welfare system is miniscule is apt. The nature and extent of mutual obligations is like using a nuclear bomb to kill a mosquito.</w:t>
      </w:r>
      <w:r w:rsidR="00D24350" w:rsidRPr="00D24350">
        <w:rPr>
          <w:lang w:val="en-GB"/>
        </w:rPr>
        <w:t>”</w:t>
      </w:r>
      <w:r w:rsidR="00D24350" w:rsidRPr="00D24350">
        <w:rPr>
          <w:rStyle w:val="Superscript"/>
          <w:lang w:val="en-GB"/>
        </w:rPr>
        <w:footnoteReference w:id="61"/>
      </w:r>
    </w:p>
    <w:p w14:paraId="506D242A" w14:textId="77777777" w:rsidR="005444C6" w:rsidRDefault="00D24350" w:rsidP="00D24350">
      <w:pPr>
        <w:rPr>
          <w:lang w:val="en-GB"/>
        </w:rPr>
      </w:pPr>
      <w:r w:rsidRPr="00D24350">
        <w:rPr>
          <w:lang w:val="en-GB"/>
        </w:rPr>
        <w:t>Work commissioned by the Committee found that while mutual obligation requirements can lead to improved employment outcomes in some settings, effectiveness is dependent on the type of activity requirement, jobseeker characteristics, and labour market conditions.</w:t>
      </w:r>
      <w:r w:rsidRPr="00D24350">
        <w:rPr>
          <w:rStyle w:val="Superscript"/>
          <w:lang w:val="en-GB"/>
        </w:rPr>
        <w:footnoteReference w:id="62"/>
      </w:r>
      <w:r w:rsidRPr="00D24350">
        <w:rPr>
          <w:rStyle w:val="Superscript"/>
          <w:lang w:val="en-GB"/>
        </w:rPr>
        <w:t xml:space="preserve"> </w:t>
      </w:r>
      <w:r w:rsidRPr="00D24350">
        <w:rPr>
          <w:lang w:val="en-GB"/>
        </w:rPr>
        <w:t>Although mutual obligations in the form of job search requirements can reduce time spent receiving income support payments, there is less evidence that it benefits participants’ employment and income levels. Different categories of job seekers respond to different forms of assistance: job search programs work best for those who are relatively job-ready; wage subsidy programs help job seekers who benefit from demonstrating their capabilities to employers; and public sector job creation programs only benefit job seekers if they allow them to acquire job-relevant skills and provide a pathway to longer-term employment. There is also strong evidence that mutual obligation programs can cause harm, such as stress, mental health issues and economic insecurity that can reduce job seekers’ confidence and employability.</w:t>
      </w:r>
    </w:p>
    <w:p w14:paraId="5D612751" w14:textId="3B6297FA" w:rsidR="00D24350" w:rsidRPr="00D24350" w:rsidRDefault="00D24350" w:rsidP="00D24350">
      <w:pPr>
        <w:rPr>
          <w:lang w:val="en-GB"/>
        </w:rPr>
      </w:pPr>
      <w:r w:rsidRPr="00D24350">
        <w:rPr>
          <w:lang w:val="en-GB"/>
        </w:rPr>
        <w:t xml:space="preserve">Given this evidence, the Committee finds that the overall orientation of a mutual obligations program – in terms of activities for job seekers – should be matched to the characteristics of the population of job seekers. For example, at present that would mean orienting program design towards a population of JobSeeker Payment recipients that includes relatively high proportions with partial capacity to work and with long spells of payment receipt. There is little evidence that job search requirements, for example, are an effective approach for these cohorts, yet job search and ‘work-first’ requirements are often the ‘go to’ activity requirement in Australia’s current mutual obligations system. </w:t>
      </w:r>
    </w:p>
    <w:p w14:paraId="732E2D6F" w14:textId="77777777" w:rsidR="00D24350" w:rsidRPr="00D24350" w:rsidRDefault="00D24350" w:rsidP="00D24350">
      <w:pPr>
        <w:rPr>
          <w:lang w:val="en-GB"/>
        </w:rPr>
      </w:pPr>
      <w:r w:rsidRPr="00D24350">
        <w:rPr>
          <w:lang w:val="en-GB"/>
        </w:rPr>
        <w:t xml:space="preserve">Design of any mutual obligation system must also weigh up the costs and benefits. That a benefit can derive from income support recipients undertaking mutual obligation requirements – job search and other related activities – is not a sufficient justification for the existence of mutual obligations, nor for their current form. The costs of the system must also be considered – primarily, the negative impacts on income support recipients and others (such as their children), and the substantial administrative cost of operating the system, </w:t>
      </w:r>
      <w:r w:rsidRPr="00D24350">
        <w:rPr>
          <w:lang w:val="en-GB"/>
        </w:rPr>
        <w:lastRenderedPageBreak/>
        <w:t>which has been estimated at more than 10 percent of the value of income support payments to job seekers.</w:t>
      </w:r>
    </w:p>
    <w:p w14:paraId="4D91E173" w14:textId="77777777" w:rsidR="00D24350" w:rsidRPr="00D24350" w:rsidRDefault="00D24350" w:rsidP="00D24350">
      <w:pPr>
        <w:rPr>
          <w:lang w:val="en-GB"/>
        </w:rPr>
      </w:pPr>
      <w:r w:rsidRPr="00D24350">
        <w:rPr>
          <w:lang w:val="en-GB"/>
        </w:rPr>
        <w:t xml:space="preserve">The best starting point for design of a compliance system is the principle that the vast majority of income support recipients do want to work. Substantial evidence presented to the Select Committee and echoed through the Committee’s consultations, is that most people do want to work, and hence will not need external motivation to do activities to assist them in doing that. It is a relatively small proportion of people for whom this is not the case, and who will need external motivation via a penalty regime. Current data on payment suspensions – including that over 70% of participants in Workforce Australia services with mutual obligation requirements faced suspensions over a 15-month period – suggests that the system is a long way from being founded on this basis. A scan of the evidence prepared for the Committee shows that while the imposition of penalties increases compliance with activity requirements and the rate of exit from income support payments, here in Australia the size of the penalty has only muted effect, and those who exit payments can sometimes become completely inactive rather than get a job, leading to hardship. </w:t>
      </w:r>
    </w:p>
    <w:p w14:paraId="7082E8CB" w14:textId="77777777" w:rsidR="00D24350" w:rsidRPr="00D24350" w:rsidRDefault="00D24350" w:rsidP="00D24350">
      <w:pPr>
        <w:rPr>
          <w:lang w:val="en-GB"/>
        </w:rPr>
      </w:pPr>
      <w:r w:rsidRPr="00D24350">
        <w:rPr>
          <w:lang w:val="en-GB"/>
        </w:rPr>
        <w:t>All up, this research indicates that a better place to begin in designing a compliance system is on the principle that the vast majority of people on income support want to work, and that any mutual obligation requirement must be tailored to what will build capability for a given job seeker in given labour market conditions.</w:t>
      </w:r>
    </w:p>
    <w:p w14:paraId="6929A2CA" w14:textId="77777777" w:rsidR="00D24350" w:rsidRPr="005444C6" w:rsidRDefault="00D24350" w:rsidP="005444C6">
      <w:pPr>
        <w:pStyle w:val="Heading3"/>
      </w:pPr>
      <w:r w:rsidRPr="005444C6">
        <w:t>4.3.3 Meeting the needs of those facing the highest barriers to employment</w:t>
      </w:r>
    </w:p>
    <w:p w14:paraId="0DBD84B5" w14:textId="50E6C9A0" w:rsidR="00D24350" w:rsidRPr="00D24350" w:rsidRDefault="00D24350" w:rsidP="00D24350">
      <w:pPr>
        <w:rPr>
          <w:lang w:val="en-GB"/>
        </w:rPr>
      </w:pPr>
      <w:r w:rsidRPr="00D24350">
        <w:rPr>
          <w:lang w:val="en-GB"/>
        </w:rPr>
        <w:t xml:space="preserve">As was made clear in the Robodebt Royal Commission findings and in other chapters of this EIAC Report, people are not long-term unemployed by choice. They typically find themselves out of work for more than five years because they confront participation barriers that tower over them, blocking out all sunlight and hope. And these barriers include the ones thrown up by the very employment services system meant to help them. </w:t>
      </w:r>
    </w:p>
    <w:p w14:paraId="3A98D8EA" w14:textId="77777777" w:rsidR="00D24350" w:rsidRPr="00D24350" w:rsidRDefault="00D24350" w:rsidP="00D24350">
      <w:pPr>
        <w:rPr>
          <w:lang w:val="en-GB"/>
        </w:rPr>
      </w:pPr>
      <w:r w:rsidRPr="00D24350">
        <w:rPr>
          <w:lang w:val="en-GB"/>
        </w:rPr>
        <w:t>People who experience the most disadvantage and long-term unemployment often do not need help writing resumes or sending in job applications. As the Select Committee heard in their consultations, typically these people do not have the money, housing, transport, good health, or access to early learning they need to seek work. These points were reinforced by those who took part in consultations for the Committee. This is where help should be provided. For people who face significant barriers to employment, the employment services system must become the front door to a broader human services system that is better equipped to provide a range of necessary supports. This is a shift from the ‘work first’ models that have formed the basis of employment services over the past 25 years, towards a system based on genuinely meeting the needs of a person where they are.</w:t>
      </w:r>
    </w:p>
    <w:p w14:paraId="14C65596" w14:textId="77777777" w:rsidR="00D24350" w:rsidRPr="00D24350" w:rsidRDefault="00D24350" w:rsidP="00D24350">
      <w:pPr>
        <w:rPr>
          <w:lang w:val="en-GB"/>
        </w:rPr>
      </w:pPr>
      <w:r w:rsidRPr="00D24350">
        <w:rPr>
          <w:lang w:val="en-GB"/>
        </w:rPr>
        <w:t xml:space="preserve">Employment services should be a gateway to economic participation and the broader human services system. </w:t>
      </w:r>
    </w:p>
    <w:p w14:paraId="17CE2766" w14:textId="77777777" w:rsidR="00D24350" w:rsidRPr="00D24350" w:rsidRDefault="00D24350" w:rsidP="00D24350">
      <w:pPr>
        <w:rPr>
          <w:lang w:val="en-GB"/>
        </w:rPr>
      </w:pPr>
      <w:r w:rsidRPr="00D24350">
        <w:rPr>
          <w:lang w:val="en-GB"/>
        </w:rPr>
        <w:t xml:space="preserve">A new system should work to support everyone who needs help, particularly those facing the highest barriers. It should also be designed to meet the economy’s voracious appetite for workers in important sectors. With the right approach, a new employment services system can have a major modernising effect on our economy, now undergoing major transitions in industries like energy and health and human services. </w:t>
      </w:r>
    </w:p>
    <w:p w14:paraId="5ACA279B" w14:textId="77777777" w:rsidR="00D24350" w:rsidRPr="00D24350" w:rsidRDefault="00D24350" w:rsidP="00D24350">
      <w:pPr>
        <w:rPr>
          <w:lang w:val="en-GB"/>
        </w:rPr>
      </w:pPr>
      <w:r w:rsidRPr="00D24350">
        <w:rPr>
          <w:lang w:val="en-GB"/>
        </w:rPr>
        <w:t xml:space="preserve">The new employment services model should therefore: </w:t>
      </w:r>
    </w:p>
    <w:p w14:paraId="185E3DF4" w14:textId="77777777" w:rsidR="00D24350" w:rsidRPr="005444C6" w:rsidRDefault="00D24350" w:rsidP="005444C6">
      <w:pPr>
        <w:pStyle w:val="ListBullet"/>
      </w:pPr>
      <w:r w:rsidRPr="005444C6">
        <w:t>Tailor mutual obligation requirements more closely to the specific goals, needs and realities of each job seeker. This means providing a broader spectrum of support and a broader definition of ‘success’ in participant outcomes – recognising that for some people a job may not be a realistic result.</w:t>
      </w:r>
    </w:p>
    <w:p w14:paraId="727B688B" w14:textId="77777777" w:rsidR="00D24350" w:rsidRPr="005444C6" w:rsidRDefault="00D24350" w:rsidP="005444C6">
      <w:pPr>
        <w:pStyle w:val="ListBullet"/>
      </w:pPr>
      <w:r w:rsidRPr="005444C6">
        <w:t xml:space="preserve">Include a network of Regional Hubs which enable stronger connections to the local human services system and place-based direction of effort to support local priorities and conditions. This is consistent with the Committee’s recommendation in its 2023 Report </w:t>
      </w:r>
      <w:r w:rsidRPr="005444C6">
        <w:lastRenderedPageBreak/>
        <w:t>for “innovation zones” to demonstrate new social and economic development strategies.</w:t>
      </w:r>
      <w:r w:rsidRPr="007D40D6">
        <w:rPr>
          <w:rStyle w:val="Superscript"/>
        </w:rPr>
        <w:footnoteReference w:id="63"/>
      </w:r>
      <w:r w:rsidRPr="005444C6">
        <w:t xml:space="preserve"> The proposed Regional Hubs network would be a natural place to start.</w:t>
      </w:r>
    </w:p>
    <w:p w14:paraId="03669177" w14:textId="77777777" w:rsidR="00D24350" w:rsidRPr="005444C6" w:rsidRDefault="00D24350" w:rsidP="005444C6">
      <w:pPr>
        <w:pStyle w:val="ListBullet"/>
      </w:pPr>
      <w:r w:rsidRPr="005444C6">
        <w:t>Build greater discretion into the compliance system and ensure decisions are made by public servants, not automated processes.</w:t>
      </w:r>
    </w:p>
    <w:p w14:paraId="10E7242D" w14:textId="77777777" w:rsidR="00D24350" w:rsidRPr="005444C6" w:rsidRDefault="00D24350" w:rsidP="005444C6">
      <w:pPr>
        <w:pStyle w:val="ListBullet"/>
      </w:pPr>
      <w:r w:rsidRPr="005444C6">
        <w:t xml:space="preserve">Place much greater emphasis on employer engagement and activation, including social procurement and social enterprises, wage and transport subsidies, and a focus on meeting skills needs through periods of industry transition. </w:t>
      </w:r>
    </w:p>
    <w:p w14:paraId="0E6390B1" w14:textId="77777777" w:rsidR="00D24350" w:rsidRPr="005444C6" w:rsidRDefault="00D24350" w:rsidP="005444C6">
      <w:pPr>
        <w:pStyle w:val="ListBullet"/>
      </w:pPr>
      <w:r w:rsidRPr="005444C6">
        <w:t>Strengthen investment in national paid work experience and training programs assessed as significantly improving employment prospects of people who are unemployed long term.</w:t>
      </w:r>
    </w:p>
    <w:p w14:paraId="1CB28E93" w14:textId="77777777" w:rsidR="00D24350" w:rsidRPr="005444C6" w:rsidRDefault="00D24350" w:rsidP="005444C6">
      <w:pPr>
        <w:pStyle w:val="ListBullet"/>
      </w:pPr>
      <w:r w:rsidRPr="005444C6">
        <w:t xml:space="preserve">Use approaches that incentivise collaboration and learning, rather than competition, and which rebuild the public core and evidence base of the system. </w:t>
      </w:r>
    </w:p>
    <w:p w14:paraId="091460B1" w14:textId="77777777" w:rsidR="00D24350" w:rsidRPr="005444C6" w:rsidRDefault="00D24350" w:rsidP="005444C6">
      <w:pPr>
        <w:pStyle w:val="ListBullet"/>
      </w:pPr>
      <w:r w:rsidRPr="005444C6">
        <w:t>Be overseen by an independent Employment Services Quality Commission responsible for a quality framework, licensing, workforce standards, and sector development, advising on pricing for services, complaints management, data analysis, continuous learning, research and evaluation.</w:t>
      </w:r>
    </w:p>
    <w:p w14:paraId="6DCE1E1F" w14:textId="77777777" w:rsidR="00D24350" w:rsidRPr="005444C6" w:rsidRDefault="00D24350" w:rsidP="005444C6">
      <w:pPr>
        <w:pStyle w:val="ListBullet"/>
      </w:pPr>
      <w:r w:rsidRPr="005444C6">
        <w:t>Include a new client council (or councils) as a mechanism for ensuring those with lived experience have a say in the redesign of the system.</w:t>
      </w:r>
    </w:p>
    <w:p w14:paraId="17667177" w14:textId="77777777" w:rsidR="00D24350" w:rsidRPr="00D24350" w:rsidRDefault="00D24350" w:rsidP="00D24350">
      <w:pPr>
        <w:rPr>
          <w:lang w:val="en-GB"/>
        </w:rPr>
      </w:pPr>
      <w:r w:rsidRPr="00D24350">
        <w:rPr>
          <w:lang w:val="en-GB"/>
        </w:rPr>
        <w:t>While elements of the new model will need to be tested, trials should not be used as a substitute for widespread change – major decisions need to be made with Government leadership, and a new employment services system put in place. This is a critical lever the Government can act on this year to strengthen economic inclusion.</w:t>
      </w:r>
    </w:p>
    <w:p w14:paraId="76C73690" w14:textId="3E1CCAC4" w:rsidR="00D24350" w:rsidRDefault="00D24350" w:rsidP="00D24350">
      <w:pPr>
        <w:rPr>
          <w:lang w:val="en-GB"/>
        </w:rPr>
      </w:pPr>
      <w:r w:rsidRPr="00D24350">
        <w:rPr>
          <w:lang w:val="en-GB"/>
        </w:rPr>
        <w:t xml:space="preserve">To this end, the Committee notes and welcomes the Government’s recent commitment of $707 million to a new Remote Jobs and Economic Development Program to replace the Community Development Program and create 3,000 jobs in remote Australia. There is no time to waste in implementing these reforms given the appallingly high levels of unemployment, economic disadvantage and poverty in remote Australia, particularly for Aboriginal and Torres Strait Islander people. </w:t>
      </w:r>
    </w:p>
    <w:p w14:paraId="63B3B7EC" w14:textId="77777777" w:rsidR="007D40D6" w:rsidRPr="007D40D6" w:rsidRDefault="007D40D6" w:rsidP="00EF1B34">
      <w:pPr>
        <w:shd w:val="clear" w:color="auto" w:fill="FAF1E8" w:themeFill="accent2"/>
        <w:rPr>
          <w:b/>
          <w:bCs/>
        </w:rPr>
      </w:pPr>
      <w:r w:rsidRPr="007D40D6">
        <w:rPr>
          <w:b/>
          <w:bCs/>
        </w:rPr>
        <w:t>Recommendation 6</w:t>
      </w:r>
    </w:p>
    <w:p w14:paraId="00A3BBA5" w14:textId="77777777" w:rsidR="007D40D6" w:rsidRPr="007D40D6" w:rsidRDefault="007D40D6" w:rsidP="00EF1B34">
      <w:pPr>
        <w:shd w:val="clear" w:color="auto" w:fill="FAF1E8" w:themeFill="accent2"/>
        <w:rPr>
          <w:b/>
          <w:bCs/>
        </w:rPr>
      </w:pPr>
      <w:r w:rsidRPr="007D40D6">
        <w:rPr>
          <w:b/>
          <w:bCs/>
        </w:rPr>
        <w:t>The Government commit to a full-scale redesign of Australia’s employment services system by adopting the recommendations in the report from the Select Committee on Workforce Australia Employment Services.</w:t>
      </w:r>
    </w:p>
    <w:p w14:paraId="2462536E" w14:textId="77777777" w:rsidR="007D40D6" w:rsidRPr="007D40D6" w:rsidRDefault="007D40D6" w:rsidP="00EF1B34">
      <w:pPr>
        <w:shd w:val="clear" w:color="auto" w:fill="FAF1E8" w:themeFill="accent2"/>
        <w:rPr>
          <w:b/>
          <w:bCs/>
        </w:rPr>
      </w:pPr>
      <w:r w:rsidRPr="007D40D6">
        <w:rPr>
          <w:b/>
          <w:bCs/>
        </w:rPr>
        <w:t>As a priority the Government should:</w:t>
      </w:r>
    </w:p>
    <w:p w14:paraId="6B275610" w14:textId="77777777" w:rsidR="007D40D6" w:rsidRPr="007D40D6" w:rsidRDefault="007D40D6">
      <w:pPr>
        <w:pStyle w:val="ListParagraph"/>
        <w:numPr>
          <w:ilvl w:val="0"/>
          <w:numId w:val="9"/>
        </w:numPr>
        <w:shd w:val="clear" w:color="auto" w:fill="FAF1E8" w:themeFill="accent2"/>
        <w:rPr>
          <w:b/>
          <w:bCs/>
        </w:rPr>
      </w:pPr>
      <w:r w:rsidRPr="007D40D6">
        <w:rPr>
          <w:b/>
          <w:bCs/>
        </w:rPr>
        <w:t>Finalise an implementation plan and enact necessary legislative changes in 2024.</w:t>
      </w:r>
    </w:p>
    <w:p w14:paraId="5F1D8482" w14:textId="77777777" w:rsidR="007D40D6" w:rsidRPr="007D40D6" w:rsidRDefault="007D40D6">
      <w:pPr>
        <w:pStyle w:val="ListParagraph"/>
        <w:numPr>
          <w:ilvl w:val="0"/>
          <w:numId w:val="9"/>
        </w:numPr>
        <w:shd w:val="clear" w:color="auto" w:fill="FAF1E8" w:themeFill="accent2"/>
        <w:rPr>
          <w:b/>
          <w:bCs/>
        </w:rPr>
      </w:pPr>
      <w:r w:rsidRPr="007D40D6">
        <w:rPr>
          <w:b/>
          <w:bCs/>
        </w:rPr>
        <w:t>Commit to a full redesign of the mutual obligations and compliance settings in the Workforce Australia system that focus on building capability and confidence to support people into work, consistent with the directions outlined in the Select Committee’s report.</w:t>
      </w:r>
    </w:p>
    <w:p w14:paraId="0A714579" w14:textId="77777777" w:rsidR="007D40D6" w:rsidRPr="007D40D6" w:rsidRDefault="007D40D6">
      <w:pPr>
        <w:pStyle w:val="ListParagraph"/>
        <w:numPr>
          <w:ilvl w:val="0"/>
          <w:numId w:val="9"/>
        </w:numPr>
        <w:shd w:val="clear" w:color="auto" w:fill="FAF1E8" w:themeFill="accent2"/>
        <w:rPr>
          <w:b/>
          <w:bCs/>
        </w:rPr>
      </w:pPr>
      <w:r w:rsidRPr="007D40D6">
        <w:rPr>
          <w:b/>
          <w:bCs/>
        </w:rPr>
        <w:t>Build and refine a new practice model that genuinely meets the needs of people furthest from the labour market, including through:</w:t>
      </w:r>
    </w:p>
    <w:p w14:paraId="3682E90E" w14:textId="77777777" w:rsidR="007D40D6" w:rsidRPr="007D40D6" w:rsidRDefault="007D40D6" w:rsidP="00EF1B34">
      <w:pPr>
        <w:pStyle w:val="ListBullet2"/>
        <w:shd w:val="clear" w:color="auto" w:fill="FAF1E8" w:themeFill="accent2"/>
        <w:rPr>
          <w:b/>
          <w:bCs/>
        </w:rPr>
      </w:pPr>
      <w:r w:rsidRPr="007D40D6">
        <w:rPr>
          <w:b/>
          <w:bCs/>
        </w:rPr>
        <w:t>A network of demonstration sites and regional hubs that enable stronger connections to local human services systems and place-based direction of effort</w:t>
      </w:r>
    </w:p>
    <w:p w14:paraId="57339D78" w14:textId="77777777" w:rsidR="007D40D6" w:rsidRPr="007D40D6" w:rsidRDefault="007D40D6" w:rsidP="00EF1B34">
      <w:pPr>
        <w:pStyle w:val="ListBullet2"/>
        <w:shd w:val="clear" w:color="auto" w:fill="FAF1E8" w:themeFill="accent2"/>
        <w:rPr>
          <w:b/>
          <w:bCs/>
        </w:rPr>
      </w:pPr>
      <w:r w:rsidRPr="007D40D6">
        <w:rPr>
          <w:b/>
          <w:bCs/>
        </w:rPr>
        <w:t>Strengthened approaches to employer engagement</w:t>
      </w:r>
    </w:p>
    <w:p w14:paraId="722CE732" w14:textId="77777777" w:rsidR="007D40D6" w:rsidRPr="007D40D6" w:rsidRDefault="007D40D6" w:rsidP="00EF1B34">
      <w:pPr>
        <w:pStyle w:val="ListBullet2"/>
        <w:shd w:val="clear" w:color="auto" w:fill="FAF1E8" w:themeFill="accent2"/>
        <w:rPr>
          <w:b/>
          <w:bCs/>
        </w:rPr>
      </w:pPr>
      <w:r w:rsidRPr="007D40D6">
        <w:rPr>
          <w:b/>
          <w:bCs/>
        </w:rPr>
        <w:t>Greater investment in national paid work experience and training programs assessed as significantly improving employment prospects of people who are unemployed long term</w:t>
      </w:r>
    </w:p>
    <w:p w14:paraId="3FAE6ADE" w14:textId="77777777" w:rsidR="007D40D6" w:rsidRPr="007D40D6" w:rsidRDefault="007D40D6" w:rsidP="00EF1B34">
      <w:pPr>
        <w:pStyle w:val="ListBullet2"/>
        <w:shd w:val="clear" w:color="auto" w:fill="FAF1E8" w:themeFill="accent2"/>
        <w:rPr>
          <w:b/>
          <w:bCs/>
        </w:rPr>
      </w:pPr>
      <w:r w:rsidRPr="007D40D6">
        <w:rPr>
          <w:b/>
          <w:bCs/>
        </w:rPr>
        <w:t>Commissioning that incentivises collaboration and rebuilds the public core of the system</w:t>
      </w:r>
    </w:p>
    <w:p w14:paraId="21468A50" w14:textId="77777777" w:rsidR="007D40D6" w:rsidRPr="007D40D6" w:rsidRDefault="007D40D6" w:rsidP="00EF1B34">
      <w:pPr>
        <w:pStyle w:val="ListBullet2"/>
        <w:shd w:val="clear" w:color="auto" w:fill="FAF1E8" w:themeFill="accent2"/>
        <w:rPr>
          <w:b/>
          <w:bCs/>
        </w:rPr>
      </w:pPr>
      <w:r w:rsidRPr="007D40D6">
        <w:rPr>
          <w:b/>
          <w:bCs/>
        </w:rPr>
        <w:lastRenderedPageBreak/>
        <w:t xml:space="preserve">An independent Employment Services Quality Commission to set minimum quality standards, drive improvements in qualifications and skills of frontline staff, share best practice, and handle licensing and complaints </w:t>
      </w:r>
    </w:p>
    <w:p w14:paraId="318F71CC" w14:textId="2A34D35D" w:rsidR="007D40D6" w:rsidRPr="007D40D6" w:rsidRDefault="007D40D6" w:rsidP="00EF1B34">
      <w:pPr>
        <w:pStyle w:val="ListBullet2"/>
        <w:shd w:val="clear" w:color="auto" w:fill="FAF1E8" w:themeFill="accent2"/>
        <w:rPr>
          <w:b/>
          <w:bCs/>
        </w:rPr>
      </w:pPr>
      <w:r w:rsidRPr="007D40D6">
        <w:rPr>
          <w:b/>
          <w:bCs/>
        </w:rPr>
        <w:t>A client council (or councils) so the voices of people experiencing the system influence its redesign.</w:t>
      </w:r>
    </w:p>
    <w:p w14:paraId="53851ECF" w14:textId="77777777" w:rsidR="00D24350" w:rsidRPr="005444C6" w:rsidRDefault="00D24350" w:rsidP="005444C6">
      <w:pPr>
        <w:pStyle w:val="Heading2"/>
      </w:pPr>
      <w:bookmarkStart w:id="45" w:name="_Toc165366875"/>
      <w:r w:rsidRPr="005444C6">
        <w:t>4.4 Addressing barriers to employment and supporting participation</w:t>
      </w:r>
      <w:bookmarkEnd w:id="45"/>
      <w:r w:rsidRPr="005444C6">
        <w:t xml:space="preserve"> </w:t>
      </w:r>
    </w:p>
    <w:p w14:paraId="34FBC5A3" w14:textId="77777777" w:rsidR="00D24350" w:rsidRPr="00D24350" w:rsidRDefault="00D24350" w:rsidP="00D24350">
      <w:pPr>
        <w:rPr>
          <w:lang w:val="en-GB"/>
        </w:rPr>
      </w:pPr>
      <w:r w:rsidRPr="00D24350">
        <w:rPr>
          <w:lang w:val="en-GB"/>
        </w:rPr>
        <w:t>The harshness, complexity and disorienting bureaucratic maze of the social security system are substantial barriers to participation. Intentionally or not, many conditions are unduly harsh, entrench disadvantage, and make it harder to work. As the Select Committee stated: “People want to work . . . But they are being punished, rather than supported, by the system that is supposed to be there to help them.”</w:t>
      </w:r>
      <w:r w:rsidRPr="00F57B7C">
        <w:rPr>
          <w:rStyle w:val="Superscript"/>
        </w:rPr>
        <w:footnoteReference w:id="64"/>
      </w:r>
      <w:r w:rsidRPr="00D24350">
        <w:rPr>
          <w:lang w:val="en-GB"/>
        </w:rPr>
        <w:t xml:space="preserve"> </w:t>
      </w:r>
    </w:p>
    <w:p w14:paraId="39D9E145" w14:textId="77777777" w:rsidR="00D24350" w:rsidRPr="00D24350" w:rsidRDefault="00D24350" w:rsidP="00D24350">
      <w:pPr>
        <w:rPr>
          <w:lang w:val="en-GB"/>
        </w:rPr>
      </w:pPr>
      <w:r w:rsidRPr="00D24350">
        <w:rPr>
          <w:lang w:val="en-GB"/>
        </w:rPr>
        <w:t xml:space="preserve">In some cases, neither Government nor participants understand the system </w:t>
      </w:r>
    </w:p>
    <w:p w14:paraId="76A3F2D9" w14:textId="77777777" w:rsidR="00D24350" w:rsidRPr="00D24350" w:rsidRDefault="00D24350" w:rsidP="00D24350">
      <w:pPr>
        <w:rPr>
          <w:lang w:val="en-GB"/>
        </w:rPr>
      </w:pPr>
      <w:r w:rsidRPr="00D24350">
        <w:rPr>
          <w:lang w:val="en-GB"/>
        </w:rPr>
        <w:t>– proof if ever it was needed, that the system has gone wrong, and a fresh approach is required. Often it feels like multiple PhDs are needed to understand the complexities of the system, whether it be the rules for “Working Credit” or the application of the Liquid Asset Waiting Period (LAWP).</w:t>
      </w:r>
    </w:p>
    <w:p w14:paraId="0AA8666C" w14:textId="77777777" w:rsidR="00D24350" w:rsidRPr="00D24350" w:rsidRDefault="00D24350" w:rsidP="00D24350">
      <w:pPr>
        <w:rPr>
          <w:lang w:val="en-GB"/>
        </w:rPr>
      </w:pPr>
      <w:r w:rsidRPr="00D24350">
        <w:rPr>
          <w:lang w:val="en-GB"/>
        </w:rPr>
        <w:t>The evidence of failure of the system abounds. As the Select Committee reported, around 70% of the 754,555 JobSeeker Payment (JSP) recipients in September 2023 are long-term on income support, meaning they have been receiving income support for over one year, and around 45% have an assessed as having partial capacity to work (PCW).</w:t>
      </w:r>
      <w:r w:rsidRPr="00D24350">
        <w:rPr>
          <w:rStyle w:val="Superscript"/>
          <w:lang w:val="en-GB"/>
        </w:rPr>
        <w:footnoteReference w:id="65"/>
      </w:r>
      <w:r w:rsidRPr="00D24350">
        <w:rPr>
          <w:rStyle w:val="Superscript"/>
          <w:lang w:val="en-GB"/>
        </w:rPr>
        <w:t xml:space="preserve"> </w:t>
      </w:r>
      <w:r w:rsidRPr="00D24350">
        <w:rPr>
          <w:lang w:val="en-GB"/>
        </w:rPr>
        <w:t>Some 150,000 people have been in the system for over five years.</w:t>
      </w:r>
      <w:r w:rsidRPr="00D24350">
        <w:rPr>
          <w:rStyle w:val="Superscript"/>
          <w:lang w:val="en-GB"/>
        </w:rPr>
        <w:footnoteReference w:id="66"/>
      </w:r>
      <w:r w:rsidRPr="00D24350">
        <w:rPr>
          <w:lang w:val="en-GB"/>
        </w:rPr>
        <w:t xml:space="preserve"> The system is not successfully helping them. Change is essential.</w:t>
      </w:r>
    </w:p>
    <w:p w14:paraId="796DECD0" w14:textId="77777777" w:rsidR="00D24350" w:rsidRPr="00D24350" w:rsidRDefault="00D24350" w:rsidP="005444C6">
      <w:pPr>
        <w:pStyle w:val="Heading2"/>
        <w:rPr>
          <w:lang w:val="en-GB"/>
        </w:rPr>
      </w:pPr>
      <w:bookmarkStart w:id="46" w:name="_Toc165366876"/>
      <w:r w:rsidRPr="00D24350">
        <w:rPr>
          <w:lang w:val="en-GB"/>
        </w:rPr>
        <w:t>Immediate changes</w:t>
      </w:r>
      <w:bookmarkEnd w:id="46"/>
    </w:p>
    <w:p w14:paraId="0922CE85" w14:textId="77777777" w:rsidR="00D24350" w:rsidRPr="00D24350" w:rsidRDefault="00D24350" w:rsidP="00D24350">
      <w:pPr>
        <w:rPr>
          <w:lang w:val="en-GB"/>
        </w:rPr>
      </w:pPr>
      <w:r w:rsidRPr="00D24350">
        <w:rPr>
          <w:lang w:val="en-GB"/>
        </w:rPr>
        <w:t xml:space="preserve">Important changes are needed while broader reforms to employment services are progressed. </w:t>
      </w:r>
    </w:p>
    <w:p w14:paraId="17596776" w14:textId="77777777" w:rsidR="00D24350" w:rsidRPr="00D24350" w:rsidRDefault="00D24350" w:rsidP="00D24350">
      <w:pPr>
        <w:rPr>
          <w:lang w:val="en-GB"/>
        </w:rPr>
      </w:pPr>
      <w:r w:rsidRPr="00D24350">
        <w:rPr>
          <w:lang w:val="en-GB"/>
        </w:rPr>
        <w:t xml:space="preserve">Firstly, immediate action should be taken to end automatic payment suspensions and the damaging effects of current compliance settings. </w:t>
      </w:r>
    </w:p>
    <w:p w14:paraId="5BE2D49C" w14:textId="77777777" w:rsidR="00D24350" w:rsidRPr="00D24350" w:rsidRDefault="00D24350" w:rsidP="00D24350">
      <w:pPr>
        <w:rPr>
          <w:lang w:val="en-GB"/>
        </w:rPr>
      </w:pPr>
      <w:r w:rsidRPr="00D24350">
        <w:rPr>
          <w:lang w:val="en-GB"/>
        </w:rPr>
        <w:t>Existing data provides limited evidence on the benefits of penalty regimes, especially when the negative impacts on health and wellbeing of payment recipients and the significant administrative cost of operating the system are considered. There is clear evidence, including in the Select Committee’s report, that the vast majority of people do want to work and need little or no external motivation to undertake activities that will get them into a job. Only a relatively small proportion of income support recipients need external motivation. That 70 percent of participants in Workforce Australia Services with mutual obligation requirements had at least one suspension during a 15-month period, and that 16% of participants in Workforce Australia Services and Workforce Australian Online had five or more suspensions during a single period of assistance, suggests that the system is a long way from being founded on this basis.</w:t>
      </w:r>
    </w:p>
    <w:p w14:paraId="28034E19" w14:textId="77777777" w:rsidR="00D24350" w:rsidRPr="00D24350" w:rsidRDefault="00D24350" w:rsidP="00D24350">
      <w:pPr>
        <w:rPr>
          <w:lang w:val="en-GB"/>
        </w:rPr>
      </w:pPr>
      <w:r w:rsidRPr="00D24350">
        <w:rPr>
          <w:lang w:val="en-GB"/>
        </w:rPr>
        <w:t xml:space="preserve">Secondly, mandatory waiting periods to access JobSeeker Payments, including the LAWP, often result in participants exhausting their life savings before receiving income support. This has a corrosive impact on applicants’ mental health and their confidence to pursue employment. Data presented to the Committee revealed that between 1 July 2023 and 30 September 2023, the average waiting period for those subject to LAWP before receiving </w:t>
      </w:r>
      <w:r w:rsidRPr="00D24350">
        <w:rPr>
          <w:lang w:val="en-GB"/>
        </w:rPr>
        <w:lastRenderedPageBreak/>
        <w:t xml:space="preserve">JobSeeker was 61.9 days, and 46.4% of JobSeeker recipients subject to LAWP during this period had liquid assets of under $25,000. Expecting JobSeeker recipients to drain their savings before receiving assistance is counterproductive to smoothing the path back to employment, and particularly unfair given LAWP reserve amounts have not been increased in nominal terms since LAWP was introduced in 1991. </w:t>
      </w:r>
    </w:p>
    <w:p w14:paraId="5795E9CE" w14:textId="77777777" w:rsidR="005444C6" w:rsidRDefault="00D24350" w:rsidP="00D24350">
      <w:pPr>
        <w:rPr>
          <w:lang w:val="en-GB"/>
        </w:rPr>
      </w:pPr>
      <w:r w:rsidRPr="00D24350">
        <w:rPr>
          <w:lang w:val="en-GB"/>
        </w:rPr>
        <w:t>Thirdly, those who are part of the Workforce Australia system and who are unwell should be better supported, consistent with Recommendations 32-34 of the Select Committee’s report. This means ensuring people who face sickness or injury and an incapacity to work are not unfairly subject to mutual obligations to receive income support, and the process for securing or extending medical exemptions does not cause further harm – at present the process is unduly onerous and de-humanising. It also means reviewing whether some people within Workforce Australia are more appropriately supported by the DSP.</w:t>
      </w:r>
    </w:p>
    <w:p w14:paraId="74B0C71F" w14:textId="77777777" w:rsidR="007D40D6" w:rsidRPr="007D40D6" w:rsidRDefault="007D40D6" w:rsidP="00C54256">
      <w:pPr>
        <w:shd w:val="clear" w:color="auto" w:fill="FAF1E8" w:themeFill="accent2"/>
        <w:rPr>
          <w:b/>
          <w:bCs/>
        </w:rPr>
      </w:pPr>
      <w:r w:rsidRPr="007D40D6">
        <w:rPr>
          <w:b/>
          <w:bCs/>
        </w:rPr>
        <w:t>Recommendation 7</w:t>
      </w:r>
    </w:p>
    <w:p w14:paraId="3CD3E0CE" w14:textId="77777777" w:rsidR="007D40D6" w:rsidRPr="007D40D6" w:rsidRDefault="007D40D6" w:rsidP="00C54256">
      <w:pPr>
        <w:shd w:val="clear" w:color="auto" w:fill="FAF1E8" w:themeFill="accent2"/>
        <w:rPr>
          <w:b/>
          <w:bCs/>
        </w:rPr>
      </w:pPr>
      <w:r w:rsidRPr="007D40D6">
        <w:rPr>
          <w:b/>
          <w:bCs/>
        </w:rPr>
        <w:t>The Government take immediate actions to end automatic payment suspensions and the damaging effects of current settings while broader reforms are progressed, including by:</w:t>
      </w:r>
    </w:p>
    <w:p w14:paraId="276411EF" w14:textId="77777777" w:rsidR="007D40D6" w:rsidRPr="007D40D6" w:rsidRDefault="007D40D6">
      <w:pPr>
        <w:pStyle w:val="ListParagraph"/>
        <w:numPr>
          <w:ilvl w:val="0"/>
          <w:numId w:val="26"/>
        </w:numPr>
        <w:shd w:val="clear" w:color="auto" w:fill="FAF1E8" w:themeFill="accent2"/>
        <w:rPr>
          <w:b/>
          <w:bCs/>
        </w:rPr>
      </w:pPr>
      <w:r w:rsidRPr="007D40D6">
        <w:rPr>
          <w:b/>
          <w:bCs/>
        </w:rPr>
        <w:t>Tripling the LAWP amount threshold, consistent with increases in inflation and its relativity to payments, introducing a single waiting period of four weeks, and reconsidering the need for the LAWP given the complexity it adds to the system when there are already income and asset tests in place.</w:t>
      </w:r>
    </w:p>
    <w:p w14:paraId="55A6635F" w14:textId="6AD08047" w:rsidR="007D40D6" w:rsidRPr="007D40D6" w:rsidRDefault="007D40D6">
      <w:pPr>
        <w:pStyle w:val="ListParagraph"/>
        <w:numPr>
          <w:ilvl w:val="0"/>
          <w:numId w:val="26"/>
        </w:numPr>
        <w:shd w:val="clear" w:color="auto" w:fill="FAF1E8" w:themeFill="accent2"/>
        <w:rPr>
          <w:b/>
          <w:bCs/>
        </w:rPr>
      </w:pPr>
      <w:r w:rsidRPr="007D40D6">
        <w:rPr>
          <w:b/>
          <w:bCs/>
        </w:rPr>
        <w:t>Reviewing the role of sickness allowances, the length for which medical exemptions are granted and the process to obtain them, and eligibility for the DSP, as suggested by Recommendations 32-34 of the Select Committee’s report.</w:t>
      </w:r>
    </w:p>
    <w:p w14:paraId="55B00966" w14:textId="33E6EBA4" w:rsidR="00D24350" w:rsidRPr="005444C6" w:rsidRDefault="00D24350" w:rsidP="005444C6">
      <w:pPr>
        <w:pStyle w:val="Heading3"/>
      </w:pPr>
      <w:r w:rsidRPr="005444C6">
        <w:t>4.4.1 Smoothing the transition to work for people who receive income support payments</w:t>
      </w:r>
    </w:p>
    <w:p w14:paraId="5D6564E5" w14:textId="77777777" w:rsidR="00D24350" w:rsidRPr="00D24350" w:rsidRDefault="00D24350" w:rsidP="00D24350">
      <w:pPr>
        <w:rPr>
          <w:lang w:val="en-GB"/>
        </w:rPr>
      </w:pPr>
      <w:r w:rsidRPr="00D24350">
        <w:rPr>
          <w:lang w:val="en-GB"/>
        </w:rPr>
        <w:t>Given that one of the prime objectives of the Australian income support system is to get people who can work back into employment as soon as possible, it makes logical sense that work limit rules should be changed when they actively discourage people from accepting part-time and casual work opportunities. This is particularly so when the cause of people not taking up work is confusion and fear caused by unnecessary complexity and poorly explained rules. Encouragement, fairness and simplicity should the guiding principles governing transition to work payments.</w:t>
      </w:r>
    </w:p>
    <w:p w14:paraId="15DC930A" w14:textId="77777777" w:rsidR="00D24350" w:rsidRPr="005444C6" w:rsidRDefault="00D24350" w:rsidP="005444C6">
      <w:pPr>
        <w:pStyle w:val="Heading3"/>
      </w:pPr>
      <w:r w:rsidRPr="005444C6">
        <w:t xml:space="preserve">4.4.2 Modernising our Working Credit scheme </w:t>
      </w:r>
    </w:p>
    <w:p w14:paraId="4A01A50C" w14:textId="77777777" w:rsidR="00D24350" w:rsidRPr="00D24350" w:rsidRDefault="00D24350" w:rsidP="00D24350">
      <w:pPr>
        <w:rPr>
          <w:lang w:val="en-GB"/>
        </w:rPr>
      </w:pPr>
      <w:r w:rsidRPr="00D24350">
        <w:rPr>
          <w:lang w:val="en-GB"/>
        </w:rPr>
        <w:t>Changes to employment credit schemes must be part of the answer. Such schemes allow Government to smooth the transition to work for people who receive income support payments. But unlike the similar Age Pension Work Bonus (updated in 2022), working credit arrangements for the unemployed have not been updated or indexed or even officially evaluated since their introduction in 2003, resulting in a decline in their real value and the fairness of the system.</w:t>
      </w:r>
    </w:p>
    <w:p w14:paraId="3C25A2F6" w14:textId="77777777" w:rsidR="00D24350" w:rsidRPr="00D24350" w:rsidRDefault="00D24350" w:rsidP="00D24350">
      <w:pPr>
        <w:rPr>
          <w:lang w:val="en-GB"/>
        </w:rPr>
      </w:pPr>
      <w:r w:rsidRPr="00D24350">
        <w:rPr>
          <w:lang w:val="en-GB"/>
        </w:rPr>
        <w:t>The Committee therefore recommends improving and properly evaluating the Working Credit settings. Expanding and properly evaluating the Working Credit program will determine how effective it is at encouraging people on income support payments to work, or work more hours, and retain access to income support payments for longer. It will also reduce complexity in the system and be a step towards harmonising arrangements between payments. This can be done by:</w:t>
      </w:r>
    </w:p>
    <w:p w14:paraId="0AE99CE6" w14:textId="77777777" w:rsidR="00D24350" w:rsidRPr="005444C6" w:rsidRDefault="00D24350" w:rsidP="005444C6">
      <w:pPr>
        <w:pStyle w:val="ListBullet"/>
      </w:pPr>
      <w:r w:rsidRPr="005444C6">
        <w:t>Growing the Working Credit accrual rate for all eligible payments from $48 so it is the same as the income free area ($150 per fortnight).</w:t>
      </w:r>
    </w:p>
    <w:p w14:paraId="3F34DBC0" w14:textId="77777777" w:rsidR="00D24350" w:rsidRPr="005444C6" w:rsidRDefault="00D24350" w:rsidP="005444C6">
      <w:pPr>
        <w:pStyle w:val="ListBullet"/>
      </w:pPr>
      <w:r w:rsidRPr="005444C6">
        <w:t>Increasing the maximum balance of the Working Credit from $1,000 to up to $7,800 (equivalent to two years of accruals of $150 per fortnight).</w:t>
      </w:r>
    </w:p>
    <w:p w14:paraId="69DF376E" w14:textId="77777777" w:rsidR="00D24350" w:rsidRPr="005444C6" w:rsidRDefault="00D24350" w:rsidP="005444C6">
      <w:pPr>
        <w:pStyle w:val="ListBullet"/>
      </w:pPr>
      <w:r w:rsidRPr="005444C6">
        <w:lastRenderedPageBreak/>
        <w:t>Indexing the maximum balance to CPI, consistent with the Student Income Bank.</w:t>
      </w:r>
    </w:p>
    <w:p w14:paraId="335E5945" w14:textId="77777777" w:rsidR="00D24350" w:rsidRPr="005444C6" w:rsidRDefault="00D24350" w:rsidP="005444C6">
      <w:pPr>
        <w:pStyle w:val="ListBullet"/>
      </w:pPr>
      <w:r w:rsidRPr="005444C6">
        <w:t>Shifting from a daily to fortnightly rate calculation, consistent with other employment credit schemes.</w:t>
      </w:r>
    </w:p>
    <w:p w14:paraId="45936B88" w14:textId="77777777" w:rsidR="00D24350" w:rsidRPr="005444C6" w:rsidRDefault="00D24350" w:rsidP="005444C6">
      <w:pPr>
        <w:pStyle w:val="ListBullet"/>
      </w:pPr>
      <w:r w:rsidRPr="005444C6">
        <w:t>Introducing an initial ‘boost’ so that each eligible recipient has a starting balance of $500 in the Working Credit.</w:t>
      </w:r>
    </w:p>
    <w:p w14:paraId="4391147A" w14:textId="77777777" w:rsidR="00D24350" w:rsidRPr="005444C6" w:rsidRDefault="00D24350" w:rsidP="005444C6">
      <w:pPr>
        <w:pStyle w:val="ListBullet"/>
      </w:pPr>
      <w:r w:rsidRPr="005444C6">
        <w:t>Designing these changes to enable evaluation to assess the impacts of the changes and the role working credits play in removing barriers to the transition from income support payments into work.</w:t>
      </w:r>
    </w:p>
    <w:p w14:paraId="2FCB5E85" w14:textId="77777777" w:rsidR="00D24350" w:rsidRPr="005444C6" w:rsidRDefault="00D24350" w:rsidP="005444C6">
      <w:pPr>
        <w:pStyle w:val="ListBullet"/>
      </w:pPr>
      <w:r w:rsidRPr="005444C6">
        <w:t>Implementing a simple and clear communications strategy that ensures people receiving payments understand the Working Credit system and how it can support their transition from payments into work.</w:t>
      </w:r>
    </w:p>
    <w:p w14:paraId="7C594DB7" w14:textId="620B89B8" w:rsidR="00D24350" w:rsidRDefault="00D24350" w:rsidP="00D24350">
      <w:pPr>
        <w:rPr>
          <w:lang w:val="en-GB"/>
        </w:rPr>
      </w:pPr>
      <w:r w:rsidRPr="00D24350">
        <w:rPr>
          <w:lang w:val="en-GB"/>
        </w:rPr>
        <w:t>It is estimated that these changes would cost up to approximately $400 million per year. The benefits resulting from increased workforce participation have not yet been quantified.</w:t>
      </w:r>
    </w:p>
    <w:p w14:paraId="6F49CA33" w14:textId="77777777" w:rsidR="007D40D6" w:rsidRPr="007D40D6" w:rsidRDefault="007D40D6" w:rsidP="00C54256">
      <w:pPr>
        <w:shd w:val="clear" w:color="auto" w:fill="FAF1E8" w:themeFill="accent2"/>
        <w:rPr>
          <w:b/>
          <w:bCs/>
        </w:rPr>
      </w:pPr>
      <w:r w:rsidRPr="007D40D6">
        <w:rPr>
          <w:b/>
          <w:bCs/>
        </w:rPr>
        <w:t>Recommendation 8</w:t>
      </w:r>
    </w:p>
    <w:p w14:paraId="7CDF01C8" w14:textId="77777777" w:rsidR="007D40D6" w:rsidRPr="007D40D6" w:rsidRDefault="007D40D6" w:rsidP="00C54256">
      <w:pPr>
        <w:shd w:val="clear" w:color="auto" w:fill="FAF1E8" w:themeFill="accent2"/>
        <w:rPr>
          <w:b/>
          <w:bCs/>
        </w:rPr>
      </w:pPr>
      <w:r w:rsidRPr="007D40D6">
        <w:rPr>
          <w:b/>
          <w:bCs/>
        </w:rPr>
        <w:t xml:space="preserve">The Government changes Working Credit settings that have not been updated since 2003, to bring the Working Credits system closer in line with other employment credit schemes such as the Pension Work Bonus and help smooth the transition to work. </w:t>
      </w:r>
    </w:p>
    <w:p w14:paraId="12544E38" w14:textId="77777777" w:rsidR="007D40D6" w:rsidRPr="007D40D6" w:rsidRDefault="007D40D6" w:rsidP="00C54256">
      <w:pPr>
        <w:shd w:val="clear" w:color="auto" w:fill="FAF1E8" w:themeFill="accent2"/>
        <w:rPr>
          <w:b/>
          <w:bCs/>
        </w:rPr>
      </w:pPr>
      <w:r w:rsidRPr="007D40D6">
        <w:rPr>
          <w:b/>
          <w:bCs/>
        </w:rPr>
        <w:t>Specifically, to:</w:t>
      </w:r>
    </w:p>
    <w:p w14:paraId="474977DC" w14:textId="77777777" w:rsidR="007D40D6" w:rsidRPr="007D40D6" w:rsidRDefault="007D40D6" w:rsidP="00C54256">
      <w:pPr>
        <w:pStyle w:val="ListBullet"/>
        <w:shd w:val="clear" w:color="auto" w:fill="FAF1E8" w:themeFill="accent2"/>
        <w:rPr>
          <w:b/>
          <w:bCs/>
        </w:rPr>
      </w:pPr>
      <w:r w:rsidRPr="007D40D6">
        <w:rPr>
          <w:b/>
          <w:bCs/>
        </w:rPr>
        <w:t>Grow the Working Credit accrual rate for all eligible payments from $48 to $150 per fortnight, consistent with the income free area, and shift from a daily to fortnightly calculation</w:t>
      </w:r>
    </w:p>
    <w:p w14:paraId="688811A1" w14:textId="77777777" w:rsidR="007D40D6" w:rsidRPr="007D40D6" w:rsidRDefault="007D40D6" w:rsidP="00C54256">
      <w:pPr>
        <w:pStyle w:val="ListBullet"/>
        <w:shd w:val="clear" w:color="auto" w:fill="FAF1E8" w:themeFill="accent2"/>
        <w:rPr>
          <w:b/>
          <w:bCs/>
        </w:rPr>
      </w:pPr>
      <w:r w:rsidRPr="007D40D6">
        <w:rPr>
          <w:b/>
          <w:bCs/>
        </w:rPr>
        <w:t>Increase the maximum balance of the Working Credit up to $7,800 (equivalent to two years of accruals of $150 per fortnight), and index to CPI</w:t>
      </w:r>
    </w:p>
    <w:p w14:paraId="47193E1B" w14:textId="77777777" w:rsidR="007D40D6" w:rsidRPr="007D40D6" w:rsidRDefault="007D40D6" w:rsidP="00C54256">
      <w:pPr>
        <w:pStyle w:val="ListBullet"/>
        <w:shd w:val="clear" w:color="auto" w:fill="FAF1E8" w:themeFill="accent2"/>
        <w:rPr>
          <w:b/>
          <w:bCs/>
        </w:rPr>
      </w:pPr>
      <w:r w:rsidRPr="007D40D6">
        <w:rPr>
          <w:b/>
          <w:bCs/>
        </w:rPr>
        <w:t>Introduce an initial ‘boost’ so each eligible recipient has a starting balance of $500 in the Working Credit</w:t>
      </w:r>
    </w:p>
    <w:p w14:paraId="38DE6FF3" w14:textId="2E706BE0" w:rsidR="007D40D6" w:rsidRPr="007D40D6" w:rsidRDefault="007D40D6" w:rsidP="00C54256">
      <w:pPr>
        <w:pStyle w:val="ListBullet"/>
        <w:shd w:val="clear" w:color="auto" w:fill="FAF1E8" w:themeFill="accent2"/>
        <w:rPr>
          <w:b/>
          <w:bCs/>
        </w:rPr>
      </w:pPr>
      <w:r w:rsidRPr="007D40D6">
        <w:rPr>
          <w:b/>
          <w:bCs/>
        </w:rPr>
        <w:t>Develop a communications approach to accompany the reforms, so that people receiving payments better understand the Working Credit and how it can help them, and design implementation to enable evaluation of the impacts of these changes.</w:t>
      </w:r>
    </w:p>
    <w:p w14:paraId="09076589" w14:textId="77777777" w:rsidR="00D24350" w:rsidRPr="00D24350" w:rsidRDefault="00D24350" w:rsidP="005444C6">
      <w:pPr>
        <w:pStyle w:val="Heading3"/>
        <w:rPr>
          <w:lang w:val="en-GB"/>
        </w:rPr>
      </w:pPr>
      <w:r w:rsidRPr="00D24350">
        <w:rPr>
          <w:lang w:val="en-GB"/>
        </w:rPr>
        <w:t xml:space="preserve">4.4.3 Supporting people with disability to increase paid work participation </w:t>
      </w:r>
    </w:p>
    <w:p w14:paraId="7BCEFC94" w14:textId="77777777" w:rsidR="00D24350" w:rsidRPr="00D24350" w:rsidRDefault="00D24350" w:rsidP="00D24350">
      <w:pPr>
        <w:rPr>
          <w:lang w:val="en-GB"/>
        </w:rPr>
      </w:pPr>
      <w:r w:rsidRPr="00D24350">
        <w:rPr>
          <w:lang w:val="en-GB"/>
        </w:rPr>
        <w:t>Workforce participation rates for people with disability have barely increased in the past two decades and remain approximately 30% lower than for the general population. The DSP is subject to income testing which gradually reduces an individual’s payment as they earn more, meaning they are generally better off financially through working. However, the Committee believes the current 30-hour work limit must shoulder some of the blame by deterring DSP recipients from working or taking on extra hours for fear of having their payments suspended, on top of the substantial discrimination still faced by people with disability in the workforce. In fact, the current work limit rules for carers and people on DSP are at odds with economic inclusion.</w:t>
      </w:r>
    </w:p>
    <w:p w14:paraId="4EBCA25D" w14:textId="77777777" w:rsidR="00D24350" w:rsidRPr="00D24350" w:rsidRDefault="00D24350" w:rsidP="00D24350">
      <w:pPr>
        <w:rPr>
          <w:lang w:val="en-GB"/>
        </w:rPr>
      </w:pPr>
      <w:r w:rsidRPr="00D24350">
        <w:rPr>
          <w:lang w:val="en-GB"/>
        </w:rPr>
        <w:t>Currently, 275,475 people are assessed as having a capacity to work of between 8-14 hours but only 56,865 (7.3% of all DSP recipients) report any earnings from an employer. Advocates consistently report a common misconception among DSP recipients that any paid work will lead to their DSP being suspended, resulting in many choosing not to do any work at all for fear of losing access and having to reclaim. Removing the work limit removes this deterrent and will likely increase the number of DSP recipients who engage with work or increase the hours they work.</w:t>
      </w:r>
    </w:p>
    <w:p w14:paraId="35ADB981" w14:textId="77777777" w:rsidR="00D24350" w:rsidRPr="00D24350" w:rsidRDefault="00D24350" w:rsidP="00D24350">
      <w:pPr>
        <w:rPr>
          <w:lang w:val="en-GB"/>
        </w:rPr>
      </w:pPr>
      <w:r w:rsidRPr="00D24350">
        <w:rPr>
          <w:lang w:val="en-GB"/>
        </w:rPr>
        <w:t xml:space="preserve">The Committee believes that relaxing work limits would encourage greater workforce participation among DSP recipients, and particularly benefit people who have fluctuating or episodic conditions, providing greater flexibility to work hours that are suitable to them at that point in time. This change would not leave the system open to abuse because the 30-hour </w:t>
      </w:r>
      <w:r w:rsidRPr="00D24350">
        <w:rPr>
          <w:lang w:val="en-GB"/>
        </w:rPr>
        <w:lastRenderedPageBreak/>
        <w:t>work rule operates in addition to the income test – and without the work limit, the income test would continue to operate to ensure DSP is targeted to those most in need.</w:t>
      </w:r>
    </w:p>
    <w:p w14:paraId="64B25D08" w14:textId="77777777" w:rsidR="00D24350" w:rsidRPr="00D24350" w:rsidRDefault="00D24350" w:rsidP="00D24350">
      <w:pPr>
        <w:rPr>
          <w:lang w:val="en-GB"/>
        </w:rPr>
      </w:pPr>
      <w:r w:rsidRPr="00D24350">
        <w:rPr>
          <w:lang w:val="en-GB"/>
        </w:rPr>
        <w:t xml:space="preserve">It is estimated that removing the work limit would also result in just over 2000 people each year no longer facing suspensions of their DSP for working more than 30 hours per week, and a further 850 would not have their DSP cancelled. </w:t>
      </w:r>
    </w:p>
    <w:p w14:paraId="29A7ED93" w14:textId="77777777" w:rsidR="00D24350" w:rsidRPr="00D24350" w:rsidRDefault="00D24350" w:rsidP="00D24350">
      <w:pPr>
        <w:rPr>
          <w:lang w:val="en-GB"/>
        </w:rPr>
      </w:pPr>
      <w:r w:rsidRPr="00D24350">
        <w:rPr>
          <w:lang w:val="en-GB"/>
        </w:rPr>
        <w:t xml:space="preserve">With an indicative start date of 1 July 2024, removing the 30-hour rule for the DSP is estimated to cost approximately $65 million over the 3 years from 2024-2025 to 2026-2027. The benefits resulting from increased workforce participation have not yet been quantified. </w:t>
      </w:r>
    </w:p>
    <w:p w14:paraId="2A51E8EF" w14:textId="77777777" w:rsidR="00D24350" w:rsidRPr="005444C6" w:rsidRDefault="00D24350" w:rsidP="005444C6">
      <w:pPr>
        <w:pStyle w:val="Heading3"/>
      </w:pPr>
      <w:r w:rsidRPr="005444C6">
        <w:t>4.4.4 Giving carers greater flexibility to undertake paid work</w:t>
      </w:r>
    </w:p>
    <w:p w14:paraId="2361EC12" w14:textId="77777777" w:rsidR="00D24350" w:rsidRPr="00D24350" w:rsidRDefault="00D24350" w:rsidP="00D24350">
      <w:pPr>
        <w:rPr>
          <w:lang w:val="en-GB"/>
        </w:rPr>
      </w:pPr>
      <w:r w:rsidRPr="00D24350">
        <w:rPr>
          <w:lang w:val="en-GB"/>
        </w:rPr>
        <w:t>The Committee also recommends modifications to work restrictions on the Carer Payment as a practical and inexpensive change that would offer significant benefits to the people affected and reframe the culture of the social security system as more supportive of broader participation.</w:t>
      </w:r>
    </w:p>
    <w:p w14:paraId="7EAA40CF" w14:textId="77777777" w:rsidR="00D24350" w:rsidRPr="00D24350" w:rsidRDefault="00D24350" w:rsidP="00D24350">
      <w:pPr>
        <w:rPr>
          <w:lang w:val="en-GB"/>
        </w:rPr>
      </w:pPr>
      <w:r w:rsidRPr="00D24350">
        <w:rPr>
          <w:lang w:val="en-GB"/>
        </w:rPr>
        <w:t>Employment offers significant wellbeing benefits to carers, but currently less than 10% of Carer Payment recipients report any earnings. Not every person in receipt of the Carer Payment may be able or want to work, but for carers who do want to work, the current working hours limits pose a real barrier to participation. Amending the rules to offer greater flexibility will offer carers opportunities to work more, harness opportunities and remain connected to the workforce, where care arrangements allow.</w:t>
      </w:r>
    </w:p>
    <w:p w14:paraId="64852FF8" w14:textId="77777777" w:rsidR="00D24350" w:rsidRPr="00D24350" w:rsidRDefault="00D24350" w:rsidP="00D24350">
      <w:pPr>
        <w:rPr>
          <w:lang w:val="en-GB"/>
        </w:rPr>
      </w:pPr>
      <w:r w:rsidRPr="00D24350">
        <w:rPr>
          <w:lang w:val="en-GB"/>
        </w:rPr>
        <w:t>There is strong support for such a change. The 2020 Productivity Commission Inquiry Report into Mental Health recommended that the Commonwealth Government amend eligibility criteria for Carer Payment and Carer Allowance to improve access, including replacing the 25 hour per week restriction on work, study and volunteering with a 100 hour per month restriction on work only.</w:t>
      </w:r>
      <w:r w:rsidRPr="00D24350">
        <w:rPr>
          <w:rStyle w:val="Superscript"/>
          <w:lang w:val="en-GB"/>
        </w:rPr>
        <w:footnoteReference w:id="67"/>
      </w:r>
    </w:p>
    <w:p w14:paraId="648E3726" w14:textId="567AF07F" w:rsidR="00D24350" w:rsidRDefault="00D24350" w:rsidP="00D24350">
      <w:pPr>
        <w:rPr>
          <w:lang w:val="en-GB"/>
        </w:rPr>
      </w:pPr>
      <w:r w:rsidRPr="00D24350">
        <w:rPr>
          <w:lang w:val="en-GB"/>
        </w:rPr>
        <w:t>The Committee endorses the Productivity Commission’s recommendation and calls for its implementation, including to suspend, rather than cancel, the Carer Payment where a carer exceeds a participation hours or earnings limit.</w:t>
      </w:r>
    </w:p>
    <w:p w14:paraId="39FB1560" w14:textId="77777777" w:rsidR="00DE7FE0" w:rsidRPr="00DE7FE0" w:rsidRDefault="00DE7FE0" w:rsidP="00C54256">
      <w:pPr>
        <w:shd w:val="clear" w:color="auto" w:fill="FAF1E8" w:themeFill="accent2"/>
        <w:rPr>
          <w:b/>
          <w:bCs/>
        </w:rPr>
      </w:pPr>
      <w:r w:rsidRPr="00DE7FE0">
        <w:rPr>
          <w:b/>
          <w:bCs/>
        </w:rPr>
        <w:t>Recommendation 9</w:t>
      </w:r>
    </w:p>
    <w:p w14:paraId="706FE08F" w14:textId="77777777" w:rsidR="00DE7FE0" w:rsidRPr="00DE7FE0" w:rsidRDefault="00DE7FE0" w:rsidP="00C54256">
      <w:pPr>
        <w:shd w:val="clear" w:color="auto" w:fill="FAF1E8" w:themeFill="accent2"/>
        <w:rPr>
          <w:b/>
          <w:bCs/>
        </w:rPr>
      </w:pPr>
      <w:r w:rsidRPr="00DE7FE0">
        <w:rPr>
          <w:b/>
          <w:bCs/>
        </w:rPr>
        <w:t>The Government relax work limit rules on payments to encourage and enable workforce participation, particularly for people who have fluctuating or episodic conditions or caring responsibilities, including by:</w:t>
      </w:r>
    </w:p>
    <w:p w14:paraId="0F06C23E" w14:textId="77777777" w:rsidR="00DE7FE0" w:rsidRPr="00F34C6F" w:rsidRDefault="00DE7FE0">
      <w:pPr>
        <w:pStyle w:val="ListBullet"/>
        <w:numPr>
          <w:ilvl w:val="0"/>
          <w:numId w:val="27"/>
        </w:numPr>
        <w:shd w:val="clear" w:color="auto" w:fill="FAF1E8" w:themeFill="accent2"/>
        <w:rPr>
          <w:b/>
          <w:bCs/>
        </w:rPr>
      </w:pPr>
      <w:r w:rsidRPr="00F34C6F">
        <w:rPr>
          <w:b/>
          <w:bCs/>
        </w:rPr>
        <w:t>Removing the 30 hour per week work limit for DSP recipients.</w:t>
      </w:r>
    </w:p>
    <w:p w14:paraId="11567468" w14:textId="77777777" w:rsidR="00DE7FE0" w:rsidRPr="00F34C6F" w:rsidRDefault="00DE7FE0">
      <w:pPr>
        <w:pStyle w:val="ListBullet"/>
        <w:numPr>
          <w:ilvl w:val="0"/>
          <w:numId w:val="27"/>
        </w:numPr>
        <w:shd w:val="clear" w:color="auto" w:fill="FAF1E8" w:themeFill="accent2"/>
        <w:rPr>
          <w:b/>
          <w:bCs/>
        </w:rPr>
      </w:pPr>
      <w:r w:rsidRPr="00F34C6F">
        <w:rPr>
          <w:b/>
          <w:bCs/>
        </w:rPr>
        <w:t>Adjusting the 25-hour participation rule for the Carer Payment to give carers greater flexibility to undertake paid work, by:</w:t>
      </w:r>
    </w:p>
    <w:p w14:paraId="3CBC6FE1" w14:textId="77777777" w:rsidR="00DE7FE0" w:rsidRPr="00F34C6F" w:rsidRDefault="00DE7FE0" w:rsidP="00C54256">
      <w:pPr>
        <w:pStyle w:val="ListBullet2"/>
        <w:shd w:val="clear" w:color="auto" w:fill="FAF1E8" w:themeFill="accent2"/>
        <w:rPr>
          <w:b/>
          <w:bCs/>
        </w:rPr>
      </w:pPr>
      <w:r w:rsidRPr="00F34C6F">
        <w:rPr>
          <w:b/>
          <w:bCs/>
        </w:rPr>
        <w:t>Changing the 25 hours per week work participation limit to an allowance of 100 hours over four weeks, and apply the participation limit only to employment (not study, volunteering or transport time)</w:t>
      </w:r>
    </w:p>
    <w:p w14:paraId="241CEA20" w14:textId="77777777" w:rsidR="00DE7FE0" w:rsidRPr="00F34C6F" w:rsidRDefault="00DE7FE0" w:rsidP="00C54256">
      <w:pPr>
        <w:pStyle w:val="ListBullet2"/>
        <w:shd w:val="clear" w:color="auto" w:fill="FAF1E8" w:themeFill="accent2"/>
        <w:rPr>
          <w:b/>
          <w:bCs/>
        </w:rPr>
      </w:pPr>
      <w:r w:rsidRPr="00F34C6F">
        <w:rPr>
          <w:b/>
          <w:bCs/>
        </w:rPr>
        <w:t>Suspending, rather than cancelling, the Carer Payment where a carer exceeds a participation hours or earnings limit</w:t>
      </w:r>
    </w:p>
    <w:p w14:paraId="763234E6" w14:textId="044E89DF" w:rsidR="00DE7FE0" w:rsidRPr="00F34C6F" w:rsidRDefault="00DE7FE0" w:rsidP="00C54256">
      <w:pPr>
        <w:pStyle w:val="ListBullet2"/>
        <w:shd w:val="clear" w:color="auto" w:fill="FAF1E8" w:themeFill="accent2"/>
        <w:rPr>
          <w:b/>
          <w:bCs/>
        </w:rPr>
      </w:pPr>
      <w:r w:rsidRPr="00F34C6F">
        <w:rPr>
          <w:b/>
          <w:bCs/>
        </w:rPr>
        <w:t>Allowing the single Temporary Cessation of Care days provision to be applied to one-off or occasional instances of exceeding the participation hours limit.</w:t>
      </w:r>
    </w:p>
    <w:p w14:paraId="3EE6A8E3" w14:textId="77777777" w:rsidR="00D24350" w:rsidRPr="005444C6" w:rsidRDefault="00D24350" w:rsidP="005444C6">
      <w:pPr>
        <w:pStyle w:val="Heading3"/>
      </w:pPr>
      <w:r w:rsidRPr="005444C6">
        <w:t>4.4.5 Adequacy and availability of housing and essential services as a precondition for participation</w:t>
      </w:r>
    </w:p>
    <w:p w14:paraId="31E9DE83" w14:textId="77777777" w:rsidR="00D24350" w:rsidRPr="00D24350" w:rsidRDefault="00D24350" w:rsidP="00D24350">
      <w:pPr>
        <w:rPr>
          <w:lang w:val="en-GB"/>
        </w:rPr>
      </w:pPr>
      <w:r w:rsidRPr="00D24350">
        <w:rPr>
          <w:lang w:val="en-GB"/>
        </w:rPr>
        <w:t xml:space="preserve">Without a house, it is hard to look for a job or hold down work, meaningfully participate, and live a life of dignity. </w:t>
      </w:r>
    </w:p>
    <w:p w14:paraId="740A1D74" w14:textId="77777777" w:rsidR="00D24350" w:rsidRPr="00D24350" w:rsidRDefault="00D24350" w:rsidP="00D24350">
      <w:pPr>
        <w:rPr>
          <w:lang w:val="en-GB"/>
        </w:rPr>
      </w:pPr>
      <w:r w:rsidRPr="00D24350">
        <w:rPr>
          <w:lang w:val="en-GB"/>
        </w:rPr>
        <w:lastRenderedPageBreak/>
        <w:t>Levels of homelessness and overcrowding are a problem across Australia but are concerningly high for Aboriginal and Torres Strait Islander people, particularly in remote communities, posing a significant barrier to economic inclusion and the attainment of Closing the Gap targets.</w:t>
      </w:r>
    </w:p>
    <w:p w14:paraId="4318F17D" w14:textId="77777777" w:rsidR="00D24350" w:rsidRPr="00D24350" w:rsidRDefault="00D24350" w:rsidP="00D24350">
      <w:pPr>
        <w:rPr>
          <w:lang w:val="en-GB"/>
        </w:rPr>
      </w:pPr>
      <w:r w:rsidRPr="00D24350">
        <w:rPr>
          <w:lang w:val="en-GB"/>
        </w:rPr>
        <w:t>In its 2023-2024 report, the Committee focused on measures that would target the largest number of Australians experiencing poverty and disadvantage. This included recommending an increase to the CRA to support people living in the private rental market. The Commonwealth Government’s increase to the CRA is welcome. However, Aboriginal and Torres Strait Islander people are likely to have benefited least. In 2022, only 6.6% of CRA recipients reported having an Aboriginal and/or Torres Strait Islander person as a household member.</w:t>
      </w:r>
      <w:r w:rsidRPr="00D24350">
        <w:rPr>
          <w:rStyle w:val="Superscript"/>
          <w:lang w:val="en-GB"/>
        </w:rPr>
        <w:footnoteReference w:id="68"/>
      </w:r>
      <w:r w:rsidRPr="00D24350">
        <w:rPr>
          <w:rStyle w:val="Superscript"/>
          <w:lang w:val="en-GB"/>
        </w:rPr>
        <w:t xml:space="preserve"> </w:t>
      </w:r>
      <w:r w:rsidRPr="00D24350">
        <w:rPr>
          <w:lang w:val="en-GB"/>
        </w:rPr>
        <w:t>This is particularly pronounced in remote areas where Aboriginal and Torres Strait Islander people are more likely to be living in social housing than Aboriginal and Torres Strait Islander people living in non-remote areas (54% of households compared to 15%)</w:t>
      </w:r>
      <w:r w:rsidRPr="00D24350">
        <w:rPr>
          <w:rStyle w:val="Superscript"/>
          <w:lang w:val="en-GB"/>
        </w:rPr>
        <w:footnoteReference w:id="69"/>
      </w:r>
      <w:r w:rsidRPr="00D24350">
        <w:rPr>
          <w:lang w:val="en-GB"/>
        </w:rPr>
        <w:t>, and while still required to pay rent are not eligible for CRA.</w:t>
      </w:r>
      <w:r w:rsidRPr="00D24350">
        <w:rPr>
          <w:rStyle w:val="Superscript"/>
          <w:lang w:val="en-GB"/>
        </w:rPr>
        <w:footnoteReference w:id="70"/>
      </w:r>
    </w:p>
    <w:p w14:paraId="2EF5161D" w14:textId="77777777" w:rsidR="00D24350" w:rsidRPr="00D24350" w:rsidRDefault="00D24350" w:rsidP="00D24350">
      <w:pPr>
        <w:rPr>
          <w:lang w:val="en-GB"/>
        </w:rPr>
      </w:pPr>
      <w:r w:rsidRPr="00D24350">
        <w:rPr>
          <w:lang w:val="en-GB"/>
        </w:rPr>
        <w:t>The National Agreement on Closing the Gap (Closing the Gap Agreement) acknowledges this and sets out housing and related infrastructure as a key socio-economic outcome. But there is no dedicated investment strategy to meet the housing and related infrastructure targets and no capacity for detailed monitoring of improvements in outcomes.</w:t>
      </w:r>
    </w:p>
    <w:p w14:paraId="0B5E17E0" w14:textId="77777777" w:rsidR="00D24350" w:rsidRPr="00D24350" w:rsidRDefault="00D24350" w:rsidP="00D24350">
      <w:pPr>
        <w:rPr>
          <w:lang w:val="en-GB"/>
        </w:rPr>
      </w:pPr>
      <w:r w:rsidRPr="00D24350">
        <w:rPr>
          <w:lang w:val="en-GB"/>
        </w:rPr>
        <w:t>Existing data collection demonstrates there is a clear need for significant additional investment to address Aboriginal and Torres Strait Islander people’s housing needs across Australia. Aboriginal and Torres Strait Islander people are nearly nine times more likely than non-Indigenous people to experience homelessness and overcrowding.</w:t>
      </w:r>
      <w:r w:rsidRPr="00D24350">
        <w:rPr>
          <w:rStyle w:val="Superscript"/>
          <w:lang w:val="en-GB"/>
        </w:rPr>
        <w:footnoteReference w:id="71"/>
      </w:r>
      <w:r w:rsidRPr="00D24350">
        <w:rPr>
          <w:rStyle w:val="Superscript"/>
          <w:lang w:val="en-GB"/>
        </w:rPr>
        <w:t xml:space="preserve"> </w:t>
      </w:r>
      <w:r w:rsidRPr="00D24350">
        <w:rPr>
          <w:lang w:val="en-GB"/>
        </w:rPr>
        <w:t>The need in remote communities is even greater. Aboriginal and Torres Strait Islander people experience homelessness at a rate of 14% in very remote areas and 7% in remote areas (compared with 1.5% in major cities).</w:t>
      </w:r>
      <w:r w:rsidRPr="00D24350">
        <w:rPr>
          <w:rStyle w:val="Superscript"/>
          <w:lang w:val="en-GB"/>
        </w:rPr>
        <w:footnoteReference w:id="72"/>
      </w:r>
      <w:r w:rsidRPr="00D24350">
        <w:rPr>
          <w:rStyle w:val="Superscript"/>
          <w:lang w:val="en-GB"/>
        </w:rPr>
        <w:t xml:space="preserve"> </w:t>
      </w:r>
      <w:r w:rsidRPr="00D24350">
        <w:rPr>
          <w:lang w:val="en-GB"/>
        </w:rPr>
        <w:t>In remote areas, nearly half of overcrowded dwellings (47.5%) are of an unacceptable standard.</w:t>
      </w:r>
    </w:p>
    <w:p w14:paraId="33C6AED6" w14:textId="77777777" w:rsidR="00D24350" w:rsidRPr="00D24350" w:rsidRDefault="00D24350" w:rsidP="00D24350">
      <w:pPr>
        <w:rPr>
          <w:lang w:val="en-GB"/>
        </w:rPr>
      </w:pPr>
      <w:r w:rsidRPr="00D24350">
        <w:rPr>
          <w:lang w:val="en-GB"/>
        </w:rPr>
        <w:t>Analysis conducted for the Committee estimates (see Appendix D) there is an Aboriginal and Torres Strait Islander housing need of an additional 18,342 houses nationally. Of these, 5,261 are needed in remote and very remote areas. The largest number of houses is needed in remote and very remote NT (2989), followed by Queensland (1012), and Western Australia (917). A further 69,500 existing houses are likely to need substantial repair or replacement due to significant structural problems or a lack of basic facilities. These are likely estimates of the minimum additional housing need, as they are based on 2021 Census data and do not account for population growth or flooding events which have increased housing need. Data is not available to reliably estimate the related housing and community infrastructure requirements; however, this is also likely to be significant.</w:t>
      </w:r>
    </w:p>
    <w:p w14:paraId="4D74BB2C" w14:textId="30F6465A" w:rsidR="00D24350" w:rsidRPr="00D24350" w:rsidRDefault="00D24350" w:rsidP="00D24350">
      <w:pPr>
        <w:rPr>
          <w:lang w:val="en-GB"/>
        </w:rPr>
      </w:pPr>
      <w:r w:rsidRPr="00D24350">
        <w:rPr>
          <w:lang w:val="en-GB"/>
        </w:rPr>
        <w:t xml:space="preserve">The available data to understand fully the extent of Aboriginal and Torres Strait Islander people housing needs and undertake need-based planning is hampered by a decline in the level and quality of collection and reporting over the 15 years since the cessation of the CHINS. </w:t>
      </w:r>
    </w:p>
    <w:p w14:paraId="123D536A" w14:textId="77777777" w:rsidR="00D24350" w:rsidRPr="00D24350" w:rsidRDefault="00D24350" w:rsidP="00D24350">
      <w:pPr>
        <w:rPr>
          <w:lang w:val="en-GB"/>
        </w:rPr>
      </w:pPr>
      <w:r w:rsidRPr="00D24350">
        <w:rPr>
          <w:lang w:val="en-GB"/>
        </w:rPr>
        <w:lastRenderedPageBreak/>
        <w:t xml:space="preserve">No one has a clear, comprehensive understanding of the full extent of data currently available, and no designated entity, governance structure or accountability mechanism currently has the responsibility or resources to comprehend and enhance current remote Indigenous housing data collection. There is more housing data collected by state and territory governments and on the ground at a community level by services providers, than is currently shared with the Commonwealth Government and reported on to the public and to Aboriginal and Torres Strait Islander communities. The biggest gaps in the data collection are more granular data on existing housing conditions and housing-related infrastructure. </w:t>
      </w:r>
    </w:p>
    <w:p w14:paraId="55B5C779" w14:textId="77777777" w:rsidR="00D24350" w:rsidRPr="00D24350" w:rsidRDefault="00D24350" w:rsidP="00D24350">
      <w:pPr>
        <w:rPr>
          <w:lang w:val="en-GB"/>
        </w:rPr>
      </w:pPr>
      <w:r w:rsidRPr="00D24350">
        <w:rPr>
          <w:lang w:val="en-GB"/>
        </w:rPr>
        <w:t xml:space="preserve">There have been numerous calls to improve data collection and quality on Aboriginal and Torres Strait Islander housing, but these have, so far, been met with little or no progress, are not incentivised nor appropriately resourced. </w:t>
      </w:r>
    </w:p>
    <w:p w14:paraId="39B24F1D" w14:textId="77777777" w:rsidR="00D24350" w:rsidRPr="00D24350" w:rsidRDefault="00D24350" w:rsidP="00D24350">
      <w:pPr>
        <w:rPr>
          <w:lang w:val="en-GB"/>
        </w:rPr>
      </w:pPr>
      <w:r w:rsidRPr="00D24350">
        <w:rPr>
          <w:lang w:val="en-GB"/>
        </w:rPr>
        <w:t xml:space="preserve">Whilst there is sufficient evidence to warrant investment now, there are economic efficiencies in ensuring housing investments for Aboriginal and Torres Strait Islander people are better targeted and monitored. </w:t>
      </w:r>
    </w:p>
    <w:p w14:paraId="0891E36E" w14:textId="77777777" w:rsidR="00D24350" w:rsidRPr="00D24350" w:rsidRDefault="00D24350" w:rsidP="00D24350">
      <w:pPr>
        <w:rPr>
          <w:lang w:val="en-GB"/>
        </w:rPr>
      </w:pPr>
      <w:r w:rsidRPr="00D24350">
        <w:rPr>
          <w:lang w:val="en-GB"/>
        </w:rPr>
        <w:t xml:space="preserve">The Committee supports calls from the National Aboriginal and Torres Strait Islander Housing Association (NATSIHA) to substantially increase investment in Aboriginal and Torres Strait Islander housing and homelessness solutions, including maintenance and upgrade programs, led by Aboriginal and Torres Strait Islander organisations. The Committee also supports their call to fund the Aboriginal and Torres Strait Islander Housing Sector Strengthening Plan (HSSP) which was a commitment under the Closing the Gap Agreement that remains largely unfunded. </w:t>
      </w:r>
    </w:p>
    <w:p w14:paraId="5FCEA8E8" w14:textId="77777777" w:rsidR="00D24350" w:rsidRPr="00D24350" w:rsidRDefault="00D24350" w:rsidP="00D24350">
      <w:pPr>
        <w:rPr>
          <w:lang w:val="en-GB"/>
        </w:rPr>
      </w:pPr>
      <w:r w:rsidRPr="00D24350">
        <w:rPr>
          <w:lang w:val="en-GB"/>
        </w:rPr>
        <w:t>The recent announcement on 12 March 2024 from the Australian and NT governments to jointly fund a $4 billion ten-year project that aims to build up to 270 houses annually in remote Aboriginal communities and halve overcrowding in the NT is welcome. This announcement is around double that of the previous five years. However, even in light of this announcement, the Committee notes that the need is significant, not just in the NT, current effort is not sufficient, and allocation is not always based on need.</w:t>
      </w:r>
    </w:p>
    <w:p w14:paraId="1632C418" w14:textId="77777777" w:rsidR="00D24350" w:rsidRPr="00D24350" w:rsidRDefault="00D24350" w:rsidP="00D24350">
      <w:pPr>
        <w:rPr>
          <w:lang w:val="en-GB"/>
        </w:rPr>
      </w:pPr>
      <w:r w:rsidRPr="00D24350">
        <w:rPr>
          <w:lang w:val="en-GB"/>
        </w:rPr>
        <w:t xml:space="preserve">To target housing investment, support community decision-making, and improve economic efficiency of its interventions overtime, it is imperative for the Government to take immediate action to improve data availability, quality and sharing. </w:t>
      </w:r>
    </w:p>
    <w:p w14:paraId="34999134" w14:textId="77777777" w:rsidR="00D24350" w:rsidRPr="00D24350" w:rsidRDefault="00D24350" w:rsidP="00D24350">
      <w:pPr>
        <w:rPr>
          <w:lang w:val="en-GB"/>
        </w:rPr>
      </w:pPr>
      <w:r w:rsidRPr="00D24350">
        <w:rPr>
          <w:lang w:val="en-GB"/>
        </w:rPr>
        <w:t>This can be done by establishing a national Aboriginal and Torres Strait Islander housing data register. The register would hold data and information on Aboriginal and Torres Strait Islander housing and related housing and community infrastructure and households. It would inform community planning and investment decisions on a needs basis as well as research priorities. The register could be negotiated and agreed as part of the new NHHA and state and territory governments should contribute to its establishment and ongoing data provision.</w:t>
      </w:r>
    </w:p>
    <w:p w14:paraId="0264527C" w14:textId="77777777" w:rsidR="00D24350" w:rsidRPr="00D24350" w:rsidRDefault="00D24350" w:rsidP="00D24350">
      <w:pPr>
        <w:rPr>
          <w:lang w:val="en-GB"/>
        </w:rPr>
      </w:pPr>
      <w:r w:rsidRPr="00D24350">
        <w:rPr>
          <w:lang w:val="en-GB"/>
        </w:rPr>
        <w:t>The register and associated data and information contributions should be developed in partnership with the Coalition of Aboriginal and Torres Strait Islander Community-Controlled Peak Organisations (Coalition of the Peaks) and give effect to Government commitments under the Closing the Gap Agreement. The register should be accessible to communities and support place-based planning and partnerships and held by the ABS to enable coordination with existing collections. This asset could build upon and incorporate the housing data stocktake that has already been commissioned under the Housing Policy Partnership.</w:t>
      </w:r>
      <w:r w:rsidRPr="00D24350">
        <w:rPr>
          <w:rStyle w:val="Superscript"/>
          <w:lang w:val="en-GB"/>
        </w:rPr>
        <w:footnoteReference w:id="73"/>
      </w:r>
      <w:r w:rsidRPr="00D24350">
        <w:rPr>
          <w:rStyle w:val="Superscript"/>
          <w:lang w:val="en-GB"/>
        </w:rPr>
        <w:t xml:space="preserve"> </w:t>
      </w:r>
    </w:p>
    <w:p w14:paraId="5DBD0350" w14:textId="77777777" w:rsidR="00D24350" w:rsidRPr="00D24350" w:rsidRDefault="00D24350" w:rsidP="00D24350">
      <w:pPr>
        <w:rPr>
          <w:lang w:val="en-GB"/>
        </w:rPr>
      </w:pPr>
      <w:r w:rsidRPr="00D24350">
        <w:rPr>
          <w:lang w:val="en-GB"/>
        </w:rPr>
        <w:t xml:space="preserve">The register would provide an opportunity to bring together and obtain a comprehensive understanding of the existing data picture and whether existing data collection could be refined or streamlined, as well as identifying genuine gaps and targeted indicators to better </w:t>
      </w:r>
      <w:r w:rsidRPr="00D24350">
        <w:rPr>
          <w:lang w:val="en-GB"/>
        </w:rPr>
        <w:lastRenderedPageBreak/>
        <w:t xml:space="preserve">inform investment decisions (i.e., not just more but better targeted data). Reporting from the register could be considered at regular intervals by the Housing Policy Partnership and the Joint Council on Closing the Gap and recommendations made to governments on current and future investment and community planning. </w:t>
      </w:r>
    </w:p>
    <w:p w14:paraId="3734EA9C" w14:textId="77777777" w:rsidR="00D24350" w:rsidRPr="00D24350" w:rsidRDefault="00D24350" w:rsidP="00D24350">
      <w:pPr>
        <w:rPr>
          <w:lang w:val="en-GB"/>
        </w:rPr>
      </w:pPr>
      <w:r w:rsidRPr="00D24350">
        <w:rPr>
          <w:lang w:val="en-GB"/>
        </w:rPr>
        <w:t>The register would support needs-based allocation of funding, making it a cost-effective option over the long term. It would follow in the precedent of other policy areas in which the Commonwealth Government has recognised the need for upfront investment in data to support policy development and improved service delivery, such as through the $68.3 million commitment to establish the National Disability Data Asset (NDDA) and its underlying infrastructure.</w:t>
      </w:r>
    </w:p>
    <w:p w14:paraId="0419254A" w14:textId="77777777" w:rsidR="00D24350" w:rsidRPr="00D24350" w:rsidRDefault="00D24350" w:rsidP="00D24350">
      <w:pPr>
        <w:rPr>
          <w:lang w:val="en-GB"/>
        </w:rPr>
      </w:pPr>
      <w:r w:rsidRPr="00D24350">
        <w:rPr>
          <w:lang w:val="en-GB"/>
        </w:rPr>
        <w:t xml:space="preserve">To target investment now, including informing the negotiations of the allocation of the $200 million for the repair, maintenance and improvement of housing in remote Indigenous communities under the Housing Australia Future Fund and the recently announced $4 billion remote housing agreement in the NT, the Government should also consider immediate data improvement actions, which would include: </w:t>
      </w:r>
    </w:p>
    <w:p w14:paraId="53B8275A" w14:textId="77777777" w:rsidR="00D24350" w:rsidRPr="00F347F5" w:rsidRDefault="00D24350">
      <w:pPr>
        <w:pStyle w:val="ListParagraph"/>
        <w:numPr>
          <w:ilvl w:val="0"/>
          <w:numId w:val="10"/>
        </w:numPr>
        <w:rPr>
          <w:lang w:val="en-GB"/>
        </w:rPr>
      </w:pPr>
      <w:r w:rsidRPr="00F347F5">
        <w:rPr>
          <w:b/>
          <w:bCs/>
          <w:lang w:val="en-GB"/>
        </w:rPr>
        <w:t>Negotiate improved performance reporting and data sharing within intergovernmental agreements and arrangements.</w:t>
      </w:r>
      <w:r w:rsidRPr="00F347F5">
        <w:rPr>
          <w:lang w:val="en-GB"/>
        </w:rPr>
        <w:t xml:space="preserve"> The renegotiation of the NHHA and the National Partnership for Remote Housing Northern Territory (NPRHNT) provide an opportunity to agree new data arrangements on how funding is reaching Aboriginal and Torres Strait Islander people and households and incentivise sharing of existing state and territory held data on housing stock quality. </w:t>
      </w:r>
    </w:p>
    <w:p w14:paraId="5ACA8C9F" w14:textId="75712770" w:rsidR="00D24350" w:rsidRPr="00F347F5" w:rsidRDefault="00D24350">
      <w:pPr>
        <w:pStyle w:val="ListParagraph"/>
        <w:numPr>
          <w:ilvl w:val="0"/>
          <w:numId w:val="10"/>
        </w:numPr>
        <w:rPr>
          <w:lang w:val="en-GB"/>
        </w:rPr>
      </w:pPr>
      <w:r w:rsidRPr="00F347F5">
        <w:rPr>
          <w:b/>
          <w:bCs/>
          <w:lang w:val="en-GB"/>
        </w:rPr>
        <w:t>Undertake rapid needs assessments of homelessness and overcrowding, maintenance, repair and community infrastructure requirements in remote hotspot areas.</w:t>
      </w:r>
      <w:r w:rsidRPr="00F347F5">
        <w:rPr>
          <w:lang w:val="en-GB"/>
        </w:rPr>
        <w:t xml:space="preserve"> Existing Census data could be used to identify regional hotspots of Aboriginal and Torres Strait Islander homelessness and overcrowding for rapid assessments to support new and targeted regional investment shared by the Commonwealth and relevant state or territory. </w:t>
      </w:r>
      <w:r w:rsidRPr="00F347F5">
        <w:rPr>
          <w:lang w:val="en-GB"/>
        </w:rPr>
        <w:br/>
        <w:t xml:space="preserve">For the identified areas, dedicated teams – consisting of ABS officers from the Centre of Aboriginal and Torres Strait Islander Statistics, NACCHO and NATSIHA staff and NIAA and relevant state or territory governments officers – could undertake rapid surveys to inform a comprehensive picture of need. The previous data points and outputs from CHINS could be used as a starting basis. </w:t>
      </w:r>
      <w:r w:rsidRPr="00F347F5">
        <w:rPr>
          <w:lang w:val="en-GB"/>
        </w:rPr>
        <w:br/>
        <w:t>This approach could help inform how the $200 million from the Housing Australia Future Fund for repairs and maintenance to Indigenous housing should be spent and facilitate an equitable share, based on need, of other Commonwealth and state and territory housing investments.</w:t>
      </w:r>
    </w:p>
    <w:p w14:paraId="33629E42" w14:textId="019734C5" w:rsidR="00D24350" w:rsidRPr="00F347F5" w:rsidRDefault="00D24350">
      <w:pPr>
        <w:pStyle w:val="ListParagraph"/>
        <w:numPr>
          <w:ilvl w:val="0"/>
          <w:numId w:val="10"/>
        </w:numPr>
        <w:rPr>
          <w:lang w:val="en-GB"/>
        </w:rPr>
      </w:pPr>
      <w:r w:rsidRPr="00F347F5">
        <w:rPr>
          <w:b/>
          <w:bCs/>
          <w:lang w:val="en-GB"/>
        </w:rPr>
        <w:t>Commission a redesigned CHINS-style survey.</w:t>
      </w:r>
      <w:r w:rsidRPr="00F347F5">
        <w:rPr>
          <w:lang w:val="en-GB"/>
        </w:rPr>
        <w:t xml:space="preserve"> In addition, work should be undertaken to redesign and roll out a new CHINS, with the methodology built around the Priority Reforms of the Closing the Gap Agreement including additional data points on climate resilience and other community planning metrics and taking into account advances in data collection since the last CHINS survey.</w:t>
      </w:r>
    </w:p>
    <w:p w14:paraId="36102C04" w14:textId="77777777" w:rsidR="00F347F5" w:rsidRPr="00F347F5" w:rsidRDefault="00F347F5" w:rsidP="00C54256">
      <w:pPr>
        <w:shd w:val="clear" w:color="auto" w:fill="FAF1E8" w:themeFill="accent2"/>
        <w:rPr>
          <w:b/>
          <w:bCs/>
        </w:rPr>
      </w:pPr>
      <w:r w:rsidRPr="00F347F5">
        <w:rPr>
          <w:b/>
          <w:bCs/>
        </w:rPr>
        <w:t>Recommendation 10</w:t>
      </w:r>
    </w:p>
    <w:p w14:paraId="257568A0" w14:textId="77777777" w:rsidR="00F347F5" w:rsidRPr="00F347F5" w:rsidRDefault="00F347F5" w:rsidP="00C54256">
      <w:pPr>
        <w:shd w:val="clear" w:color="auto" w:fill="FAF1E8" w:themeFill="accent2"/>
        <w:rPr>
          <w:b/>
          <w:bCs/>
        </w:rPr>
      </w:pPr>
      <w:r w:rsidRPr="00F347F5">
        <w:rPr>
          <w:b/>
          <w:bCs/>
        </w:rPr>
        <w:t xml:space="preserve">The Government urgently commit substantial investment to address need in public housing and homelessness for Aboriginal and Torres Strait Islander peoples, including maintenance and upgrades, community infrastructure and the Aboriginal and Torres Strait Islander housing sector. </w:t>
      </w:r>
    </w:p>
    <w:p w14:paraId="243B8D6E" w14:textId="77777777" w:rsidR="00F347F5" w:rsidRPr="00F347F5" w:rsidRDefault="00F347F5" w:rsidP="00C54256">
      <w:pPr>
        <w:shd w:val="clear" w:color="auto" w:fill="FAF1E8" w:themeFill="accent2"/>
        <w:rPr>
          <w:b/>
          <w:bCs/>
        </w:rPr>
      </w:pPr>
      <w:r w:rsidRPr="00F347F5">
        <w:rPr>
          <w:b/>
          <w:bCs/>
        </w:rPr>
        <w:t xml:space="preserve">To improve economic efficiency of investments, the Government should fund a National Aboriginal and Torres Strait Islander Housing Data Register to improve data availability, quality and sharing. The register should be developed in partnership with the Coalition of Aboriginal and Torres Strait Islander Community-Controlled Peak Organisations and the Housing Policy Partnership and agreed as part of the new NHHA. </w:t>
      </w:r>
    </w:p>
    <w:p w14:paraId="1BAD7D7E" w14:textId="77777777" w:rsidR="00F347F5" w:rsidRPr="00F347F5" w:rsidRDefault="00F347F5" w:rsidP="00C54256">
      <w:pPr>
        <w:shd w:val="clear" w:color="auto" w:fill="FAF1E8" w:themeFill="accent2"/>
        <w:rPr>
          <w:b/>
          <w:bCs/>
        </w:rPr>
      </w:pPr>
      <w:r w:rsidRPr="00F347F5">
        <w:rPr>
          <w:b/>
          <w:bCs/>
        </w:rPr>
        <w:lastRenderedPageBreak/>
        <w:t xml:space="preserve">To better target existing investment, including from the Housing Australia Future Fund and Social Housing Accelerator Fund, the Government should: </w:t>
      </w:r>
    </w:p>
    <w:p w14:paraId="69B41E04" w14:textId="77777777" w:rsidR="00F347F5" w:rsidRPr="00F347F5" w:rsidRDefault="00F347F5">
      <w:pPr>
        <w:pStyle w:val="ListParagraph"/>
        <w:numPr>
          <w:ilvl w:val="0"/>
          <w:numId w:val="11"/>
        </w:numPr>
        <w:shd w:val="clear" w:color="auto" w:fill="FAF1E8" w:themeFill="accent2"/>
        <w:rPr>
          <w:b/>
          <w:bCs/>
        </w:rPr>
      </w:pPr>
      <w:r w:rsidRPr="00F347F5">
        <w:rPr>
          <w:b/>
          <w:bCs/>
        </w:rPr>
        <w:t>Negotiate improved performance reporting and data sharing within intergovernmental agreements and arrangements.</w:t>
      </w:r>
    </w:p>
    <w:p w14:paraId="3DF07817" w14:textId="77777777" w:rsidR="00F347F5" w:rsidRPr="00F347F5" w:rsidRDefault="00F347F5">
      <w:pPr>
        <w:pStyle w:val="ListParagraph"/>
        <w:numPr>
          <w:ilvl w:val="0"/>
          <w:numId w:val="11"/>
        </w:numPr>
        <w:shd w:val="clear" w:color="auto" w:fill="FAF1E8" w:themeFill="accent2"/>
        <w:rPr>
          <w:b/>
          <w:bCs/>
        </w:rPr>
      </w:pPr>
      <w:r w:rsidRPr="00F347F5">
        <w:rPr>
          <w:b/>
          <w:bCs/>
        </w:rPr>
        <w:t>Undertake rapid needs assessments of homelessness and overcrowding, maintenance, repair and community infrastructure requirements in remote hotspot areas.</w:t>
      </w:r>
    </w:p>
    <w:p w14:paraId="0F6DE77E" w14:textId="77777777" w:rsidR="00F347F5" w:rsidRPr="00F347F5" w:rsidRDefault="00F347F5">
      <w:pPr>
        <w:pStyle w:val="ListParagraph"/>
        <w:numPr>
          <w:ilvl w:val="0"/>
          <w:numId w:val="11"/>
        </w:numPr>
        <w:shd w:val="clear" w:color="auto" w:fill="FAF1E8" w:themeFill="accent2"/>
        <w:rPr>
          <w:b/>
          <w:bCs/>
        </w:rPr>
      </w:pPr>
      <w:r w:rsidRPr="00F347F5">
        <w:rPr>
          <w:b/>
          <w:bCs/>
        </w:rPr>
        <w:t xml:space="preserve">Commission a redesigned CHINS-like survey, which considers limitations of earlier iterations and subsequent advancements in data collection. Information collected through these mechanisms, along with existing collections, can underpin the new register. The register should be accessible to communities to support local decision making. </w:t>
      </w:r>
    </w:p>
    <w:p w14:paraId="695E2948" w14:textId="24C75E00" w:rsidR="00D24350" w:rsidRPr="005444C6" w:rsidRDefault="00D24350" w:rsidP="00F347F5">
      <w:pPr>
        <w:pStyle w:val="Heading2"/>
      </w:pPr>
      <w:bookmarkStart w:id="47" w:name="_Toc165366877"/>
      <w:r w:rsidRPr="005444C6">
        <w:t>4.5 Conclusion</w:t>
      </w:r>
      <w:bookmarkEnd w:id="47"/>
    </w:p>
    <w:p w14:paraId="5C62B128" w14:textId="77777777" w:rsidR="00D24350" w:rsidRPr="00D24350" w:rsidRDefault="00D24350" w:rsidP="00D24350">
      <w:pPr>
        <w:rPr>
          <w:lang w:val="en-GB"/>
        </w:rPr>
      </w:pPr>
      <w:r w:rsidRPr="00D24350">
        <w:rPr>
          <w:lang w:val="en-GB"/>
        </w:rPr>
        <w:t xml:space="preserve">It has been clear to observers for a long time that our current employment services system is not working. </w:t>
      </w:r>
    </w:p>
    <w:p w14:paraId="51332AFD" w14:textId="77777777" w:rsidR="00D24350" w:rsidRPr="00D24350" w:rsidRDefault="00D24350" w:rsidP="00D24350">
      <w:pPr>
        <w:rPr>
          <w:lang w:val="en-GB"/>
        </w:rPr>
      </w:pPr>
      <w:r w:rsidRPr="00D24350">
        <w:rPr>
          <w:lang w:val="en-GB"/>
        </w:rPr>
        <w:t xml:space="preserve">Australia has a strong labour market, with jobs available for those with the qualifications, skills and capacity to work. Given the right support, those who are able to work can generally find it. In this context, it has become obvious that a good proportion of the relatively small number who are not in work are prevented from working because they have significant barriers to overcome. Our employment services system should be doing more – much more – to help them. </w:t>
      </w:r>
    </w:p>
    <w:p w14:paraId="3305157C" w14:textId="77777777" w:rsidR="00D24350" w:rsidRPr="00D24350" w:rsidRDefault="00D24350" w:rsidP="00D24350">
      <w:pPr>
        <w:rPr>
          <w:lang w:val="en-GB"/>
        </w:rPr>
      </w:pPr>
      <w:r w:rsidRPr="00D24350">
        <w:rPr>
          <w:lang w:val="en-GB"/>
        </w:rPr>
        <w:t xml:space="preserve">Instead, animated by a punitive culture that has not changed for a quarter of a century, it is harassing and discouraging them, often at great bureaucratic cost which acts as a millstone around the neck of the Australian economy. Instead of helping meet Australia’s employment shortages, it is harassing those whose contribution is sorely needed. </w:t>
      </w:r>
    </w:p>
    <w:p w14:paraId="65160D43" w14:textId="77777777" w:rsidR="00D24350" w:rsidRPr="00D24350" w:rsidRDefault="00D24350" w:rsidP="00D24350">
      <w:pPr>
        <w:rPr>
          <w:lang w:val="en-GB"/>
        </w:rPr>
      </w:pPr>
      <w:r w:rsidRPr="00D24350">
        <w:rPr>
          <w:lang w:val="en-GB"/>
        </w:rPr>
        <w:t xml:space="preserve">This sort of approach is out of touch with the needs of a dynamic, modern economy that needs all the workers – skilled and unskilled – it can get. Through more generous payments and smarter payment rules that encourage increased workforce participation, we can build up people’s psychological and physical health and preparedness to participate and in doing so add to the prosperity of the entire nation. New support rules will also need to be teamed with a totally new employment services system with a positive and empowering, not negative and punitive culture. </w:t>
      </w:r>
    </w:p>
    <w:p w14:paraId="1A07ADAA" w14:textId="77777777" w:rsidR="00D24350" w:rsidRPr="00D24350" w:rsidRDefault="00D24350" w:rsidP="00D24350">
      <w:pPr>
        <w:rPr>
          <w:lang w:val="en-GB"/>
        </w:rPr>
      </w:pPr>
      <w:r w:rsidRPr="00D24350">
        <w:rPr>
          <w:lang w:val="en-GB"/>
        </w:rPr>
        <w:t xml:space="preserve">Small scale changes and limited trials just won’t be enough – in fact the cumulative small changes to the employment services system of the previous 25 years have demonstrated conclusively that tinkering without a change of direction will have little or no effect. Opportunities for transformative reforms of the size needed are rare. </w:t>
      </w:r>
    </w:p>
    <w:p w14:paraId="339E22EF" w14:textId="77777777" w:rsidR="00D24350" w:rsidRPr="00D24350" w:rsidRDefault="00D24350" w:rsidP="00D24350">
      <w:pPr>
        <w:rPr>
          <w:lang w:val="en-GB"/>
        </w:rPr>
      </w:pPr>
      <w:r w:rsidRPr="00D24350">
        <w:rPr>
          <w:lang w:val="en-GB"/>
        </w:rPr>
        <w:t xml:space="preserve">They demand conviction, vision and leadership. </w:t>
      </w:r>
    </w:p>
    <w:p w14:paraId="559E2A1B" w14:textId="20D01D32" w:rsidR="00D24350" w:rsidRPr="00D24350" w:rsidRDefault="00D24350" w:rsidP="00D24350">
      <w:pPr>
        <w:rPr>
          <w:lang w:val="en-GB"/>
        </w:rPr>
      </w:pPr>
      <w:r w:rsidRPr="00D24350">
        <w:rPr>
          <w:lang w:val="en-GB"/>
        </w:rPr>
        <w:t>The Committee urges Government to embrace positive change and give Australia the wholly new employment services system it needs.</w:t>
      </w:r>
    </w:p>
    <w:p w14:paraId="262FCE6D" w14:textId="77777777" w:rsidR="005444C6" w:rsidRDefault="005444C6">
      <w:pPr>
        <w:spacing w:after="0"/>
        <w:rPr>
          <w:lang w:val="en-US"/>
        </w:rPr>
      </w:pPr>
      <w:r>
        <w:rPr>
          <w:lang w:val="en-US"/>
        </w:rPr>
        <w:br w:type="page"/>
      </w:r>
    </w:p>
    <w:p w14:paraId="230A9D66" w14:textId="77777777" w:rsidR="00990E04" w:rsidRPr="00990E04" w:rsidRDefault="00990E04" w:rsidP="00990E04">
      <w:pPr>
        <w:pStyle w:val="Heading2"/>
      </w:pPr>
      <w:bookmarkStart w:id="48" w:name="_Toc165366878"/>
      <w:r w:rsidRPr="00990E04">
        <w:lastRenderedPageBreak/>
        <w:t>Tara: Single parent receiving JobSeeker Payment</w:t>
      </w:r>
      <w:bookmarkEnd w:id="48"/>
    </w:p>
    <w:p w14:paraId="48FBC002" w14:textId="661732F4" w:rsidR="00D24350" w:rsidRPr="00990E04" w:rsidRDefault="00D24350" w:rsidP="00990E04">
      <w:pPr>
        <w:rPr>
          <w:rStyle w:val="Emphasis"/>
        </w:rPr>
      </w:pPr>
      <w:r w:rsidRPr="00990E04">
        <w:rPr>
          <w:rStyle w:val="Emphasis"/>
        </w:rPr>
        <w:t>Tara is a single parent receiving a JobSeeker Payment as well as Family Tax Benefits. Her children, Mitchell and Eva are fourteen and sixteen. Eva has an acquired brain injury and needs a lot of supervision, despite not qualifying for the National Disability Insurance Scheme (NDIS).</w:t>
      </w:r>
    </w:p>
    <w:p w14:paraId="7D01E3B7" w14:textId="77777777" w:rsidR="00D24350" w:rsidRPr="00D24350" w:rsidRDefault="00D24350" w:rsidP="00D24350">
      <w:pPr>
        <w:rPr>
          <w:lang w:val="en-GB"/>
        </w:rPr>
      </w:pPr>
      <w:r w:rsidRPr="00D24350">
        <w:rPr>
          <w:lang w:val="en-GB"/>
        </w:rPr>
        <w:t>Tara usually works about 12 hours per week as a casual dental nurse. It’s a good job, as she can limit her hours so that she can pick her children up from school and be home to look after Eva and make everyone dinner. She sometimes gets extra shifts when other assistants are on leave, but there are times when there aren’t many shifts available. Because she can only work within school hours, she sometimes doesn’t get asked to take on additional shifts. She has to attend monthly appointments with her employment provider, but she doesn’t want another job. She just wants to keep her current job, and hopefully pick up a few more hours each week that fit within what she can do around Eva’s needs.</w:t>
      </w:r>
    </w:p>
    <w:p w14:paraId="4C89DF43" w14:textId="77777777" w:rsidR="00D24350" w:rsidRPr="00D24350" w:rsidRDefault="00D24350" w:rsidP="00D24350">
      <w:pPr>
        <w:rPr>
          <w:lang w:val="en-GB"/>
        </w:rPr>
      </w:pPr>
      <w:r w:rsidRPr="00D24350">
        <w:rPr>
          <w:lang w:val="en-GB"/>
        </w:rPr>
        <w:t>Tara has a spreadsheet for how many shifts she can work; if she were to lose her benefits – and more importantly her Health Care Card – she doesn’t know how her family would survive. Tara was moved off Parenting Payment and onto the much lower JobSeeker payment when Mitchell turned 8. Then she had a brief window of moving back onto Parenting Payment when the age cut off changed to 14. During this window, Tara could afford new uniforms for the children and saved up for new devices for them to use at school. She didn’t have to worry about paying the rent, and while they lived a very modest lifestyle, they were able to survive. But, when Mitchell turned 14 a few months later, she moved back onto JobSeeker Payments and life became much harder again. Her work and benefits just don’t cover their costs each month and her children have had to go without many of the things other Australian children can take for granted, like sports, excursions, and even snacks and treats. It broke her heart when he told her son that it was his turn to start supporting the family. She is really guilty that he feels responsible for fixing their family’s poverty, when he’s not even old enough to work.</w:t>
      </w:r>
    </w:p>
    <w:p w14:paraId="6046E9E0" w14:textId="77777777" w:rsidR="00D24350" w:rsidRPr="00D24350" w:rsidRDefault="00D24350" w:rsidP="00D24350">
      <w:pPr>
        <w:rPr>
          <w:lang w:val="en-GB"/>
        </w:rPr>
      </w:pPr>
      <w:r w:rsidRPr="00D24350">
        <w:rPr>
          <w:lang w:val="en-GB"/>
        </w:rPr>
        <w:t>Tara, Mitchell and Eva live on the Gold Coast, although Tara is originally from Melbourne. She would love to move back to Melbourne where she has friends and family who can help and support her, but her family court order prevents her from moving away. Instead, Tara is renting a two-bedroom apartment, which is unaffordable and not appropriate for her teenage children. Tara has started sleeping on the couch so that Mitchell can have his own room.</w:t>
      </w:r>
    </w:p>
    <w:p w14:paraId="1B871CBB" w14:textId="77777777" w:rsidR="00D24350" w:rsidRPr="00D24350" w:rsidRDefault="00D24350" w:rsidP="00D24350">
      <w:pPr>
        <w:rPr>
          <w:lang w:val="en-GB"/>
        </w:rPr>
      </w:pPr>
      <w:r w:rsidRPr="00D24350">
        <w:rPr>
          <w:lang w:val="en-GB"/>
        </w:rPr>
        <w:t>Tara received a notice two months ago that her landlord is putting their rent up by $200 per week when her lease ends in four months’ time. She can’t afford the new rent and has spent the last two months looking for a new place. She’s even cut back on casual shifts to try being at the front of the queue for inspections, but she hasn’t been able to find anywhere affordable to live on the Gold Coast and can’t move to a cheaper town. Rent assistance used to help cover the cost of rent, but it is no longer even close to what landlords ask.</w:t>
      </w:r>
    </w:p>
    <w:p w14:paraId="2965EA0E" w14:textId="77777777" w:rsidR="00D24350" w:rsidRPr="00D24350" w:rsidRDefault="00D24350" w:rsidP="00D24350">
      <w:pPr>
        <w:rPr>
          <w:lang w:val="en-GB"/>
        </w:rPr>
      </w:pPr>
      <w:r w:rsidRPr="00D24350">
        <w:rPr>
          <w:lang w:val="en-GB"/>
        </w:rPr>
        <w:t>Tara has stopped eating dinner to try and save a little bit of extra money and has stopped taking her asthma and sinus medication. She wonders how she’ll be able to afford the extra $200 per week, and how long she’ll be able to keep her job – and her children – if they become homeless. She used the money that she saved to buy a tent so that they have somewhere to stay if they are evicted.</w:t>
      </w:r>
    </w:p>
    <w:p w14:paraId="45D0F6CC" w14:textId="77777777" w:rsidR="00D24350" w:rsidRPr="00D24350" w:rsidRDefault="00D24350" w:rsidP="00D24350">
      <w:pPr>
        <w:rPr>
          <w:lang w:val="en-GB"/>
        </w:rPr>
      </w:pPr>
      <w:r w:rsidRPr="00D24350">
        <w:rPr>
          <w:lang w:val="en-GB"/>
        </w:rPr>
        <w:t>Tara doesn’t sleep much anymore, as she’s worried about how to make ends meet, and what effect losing their apartment might have on her children’s futures. How can you do homework and use a computer from a tent or car? She feels panicked every time she receives a myGov notification, as any reduction in income will push them further into debt and less able to afford to rent anything.</w:t>
      </w:r>
    </w:p>
    <w:p w14:paraId="7C98D688" w14:textId="77777777" w:rsidR="00D24350" w:rsidRPr="00D24350" w:rsidRDefault="00D24350" w:rsidP="00D24350">
      <w:pPr>
        <w:rPr>
          <w:lang w:val="en-GB"/>
        </w:rPr>
      </w:pPr>
      <w:r w:rsidRPr="00D24350">
        <w:rPr>
          <w:lang w:val="en-GB"/>
        </w:rPr>
        <w:lastRenderedPageBreak/>
        <w:t>She recently received a myGov notification telling her that she hadn’t uploaded her income statement. She had uploaded it and has tried to phone them four times. She’s either received an automated message that has then hung up, or she’s been on hold for hours. She hasn’t been able to get through to correct the error and is terrified that she’ll lose her payments for no reason. She doesn’t have any savings to cover her while she has no income – and if she doesn’t pay her rent, the landlord might use that to kick her out early.</w:t>
      </w:r>
    </w:p>
    <w:p w14:paraId="4066014C" w14:textId="7D6E58CA" w:rsidR="00D24350" w:rsidRPr="00D24350" w:rsidRDefault="00D24350" w:rsidP="00D24350">
      <w:pPr>
        <w:rPr>
          <w:lang w:val="en-GB"/>
        </w:rPr>
      </w:pPr>
      <w:r w:rsidRPr="00D24350">
        <w:rPr>
          <w:lang w:val="en-GB"/>
        </w:rPr>
        <w:t>At the same time that Tara is just one missed JobSeeker Payment away from homelessness, she is owed $20,000 in child support for her children. Her former partner used to pay $2,000 a month, but then started paying less often, and usually doesn’t pay at all. He didn’t lodge tax returns for a few years and then reduced his taxable income so much that he’s only supposed to pay $10 per week.</w:t>
      </w:r>
    </w:p>
    <w:p w14:paraId="244CA76A" w14:textId="77777777" w:rsidR="00D24350" w:rsidRPr="00D24350" w:rsidRDefault="00D24350" w:rsidP="00D24350">
      <w:pPr>
        <w:rPr>
          <w:lang w:val="en-GB"/>
        </w:rPr>
      </w:pPr>
      <w:r w:rsidRPr="00D24350">
        <w:rPr>
          <w:lang w:val="en-GB"/>
        </w:rPr>
        <w:t>Sometimes her ex-partner gets a tax return or makes a lump sum payment towards the child support debt, which means her Family Tax Benefits get cut. When he doesn’t pay, they can’t make ends meet. Child support causes enormous stress in their lives without providing a reliable source of income. Real estate agents don’t consider child support when assessing how much rent you can pay, and even Centrelink workers tell her not to budget on child support. But she’s compelled to stay in the system and compelled not to be able to move away. Her family is trapped in poverty with no foreseeable way out.</w:t>
      </w:r>
    </w:p>
    <w:p w14:paraId="64634740" w14:textId="0D514156" w:rsidR="00D24350" w:rsidRPr="00D24350" w:rsidRDefault="00D24350" w:rsidP="00D24350">
      <w:pPr>
        <w:rPr>
          <w:lang w:val="en-US"/>
        </w:rPr>
      </w:pPr>
      <w:r w:rsidRPr="00D24350">
        <w:rPr>
          <w:lang w:val="en-US"/>
        </w:rPr>
        <w:t>Tara is angry that she can’t move to Melbourne where she could get help from her parents so that she could work more and live better, but her ex-partner is free to not pay child support while having nothing to do with his children. Why does he get a choice as to whether to be a parent or not, and all she gets is punished by Centrelink for trying to be one? That’s what she wants to know.</w:t>
      </w:r>
    </w:p>
    <w:p w14:paraId="7D0D539F" w14:textId="77777777" w:rsidR="00B652C8" w:rsidRDefault="00B652C8" w:rsidP="005444C6">
      <w:pPr>
        <w:pStyle w:val="Heading1"/>
        <w:sectPr w:rsidR="00B652C8" w:rsidSect="0039440B">
          <w:headerReference w:type="first" r:id="rId38"/>
          <w:footerReference w:type="first" r:id="rId39"/>
          <w:pgSz w:w="11906" w:h="16838"/>
          <w:pgMar w:top="1440" w:right="1440" w:bottom="1440" w:left="1440" w:header="708" w:footer="708" w:gutter="0"/>
          <w:cols w:space="708"/>
          <w:titlePg/>
          <w:docGrid w:linePitch="360"/>
        </w:sectPr>
      </w:pPr>
    </w:p>
    <w:p w14:paraId="71D7D746" w14:textId="600D3549" w:rsidR="005444C6" w:rsidRPr="00B652C8" w:rsidRDefault="00262D09" w:rsidP="005444C6">
      <w:pPr>
        <w:pStyle w:val="Heading1"/>
        <w:rPr>
          <w:color w:val="F9F1E7" w:themeColor="background2"/>
        </w:rPr>
      </w:pPr>
      <w:bookmarkStart w:id="49" w:name="_Toc165366879"/>
      <w:r>
        <w:rPr>
          <w:noProof/>
        </w:rPr>
        <w:lastRenderedPageBreak/>
        <w:drawing>
          <wp:anchor distT="0" distB="0" distL="114300" distR="114300" simplePos="0" relativeHeight="251673600" behindDoc="1" locked="0" layoutInCell="1" allowOverlap="1" wp14:anchorId="73CFD768" wp14:editId="6D8924C3">
            <wp:simplePos x="0" y="0"/>
            <wp:positionH relativeFrom="page">
              <wp:align>right</wp:align>
            </wp:positionH>
            <wp:positionV relativeFrom="paragraph">
              <wp:posOffset>-914400</wp:posOffset>
            </wp:positionV>
            <wp:extent cx="7560310" cy="10687050"/>
            <wp:effectExtent l="0" t="0" r="2540" b="0"/>
            <wp:wrapNone/>
            <wp:docPr id="960838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B652C8" w:rsidRPr="00B652C8">
        <w:rPr>
          <w:color w:val="F9F1E7" w:themeColor="background2"/>
        </w:rPr>
        <w:t xml:space="preserve">Chapter 5: </w:t>
      </w:r>
      <w:r w:rsidR="00B652C8">
        <w:rPr>
          <w:color w:val="F9F1E7" w:themeColor="background2"/>
        </w:rPr>
        <w:br/>
      </w:r>
      <w:r w:rsidR="005444C6" w:rsidRPr="00B652C8">
        <w:rPr>
          <w:color w:val="F9F1E7" w:themeColor="background2"/>
        </w:rPr>
        <w:t>Improving support for children and families</w:t>
      </w:r>
      <w:bookmarkEnd w:id="49"/>
    </w:p>
    <w:p w14:paraId="10BC9B13" w14:textId="51A27271" w:rsidR="005444C6" w:rsidRDefault="005444C6">
      <w:pPr>
        <w:spacing w:after="0"/>
        <w:rPr>
          <w:rFonts w:eastAsiaTheme="majorEastAsia" w:cstheme="majorBidi"/>
          <w:b/>
          <w:color w:val="131727" w:themeColor="text1"/>
          <w:sz w:val="32"/>
          <w:szCs w:val="32"/>
        </w:rPr>
      </w:pPr>
      <w:r>
        <w:br w:type="page"/>
      </w:r>
    </w:p>
    <w:p w14:paraId="4FB14AED" w14:textId="006A7FFC" w:rsidR="00D24350" w:rsidRPr="005444C6" w:rsidRDefault="00D24350" w:rsidP="005444C6">
      <w:pPr>
        <w:pStyle w:val="Heading2"/>
      </w:pPr>
      <w:bookmarkStart w:id="50" w:name="_Toc165366880"/>
      <w:r w:rsidRPr="005444C6">
        <w:lastRenderedPageBreak/>
        <w:t>5.1 Introduction</w:t>
      </w:r>
      <w:bookmarkEnd w:id="50"/>
    </w:p>
    <w:p w14:paraId="53F89C48" w14:textId="0B54B13A" w:rsidR="00D24350" w:rsidRPr="00D24350" w:rsidRDefault="00D24350" w:rsidP="00D24350">
      <w:pPr>
        <w:rPr>
          <w:rStyle w:val="Emphasis"/>
          <w:lang w:val="en-GB"/>
        </w:rPr>
      </w:pPr>
      <w:r w:rsidRPr="00D24350">
        <w:rPr>
          <w:rStyle w:val="Emphasis"/>
          <w:lang w:val="en-GB"/>
        </w:rPr>
        <w:t xml:space="preserve">In its first report, the Committee made recommendations relating to the wellbeing of children and support for families raising children, with an emphasis on supporting children and families through early childhood. </w:t>
      </w:r>
    </w:p>
    <w:p w14:paraId="03906833" w14:textId="77777777" w:rsidR="00D24350" w:rsidRPr="00D24350" w:rsidRDefault="00D24350" w:rsidP="00D24350">
      <w:pPr>
        <w:rPr>
          <w:lang w:val="en-GB"/>
        </w:rPr>
      </w:pPr>
      <w:r w:rsidRPr="00D24350">
        <w:rPr>
          <w:lang w:val="en-GB"/>
        </w:rPr>
        <w:t xml:space="preserve">The Committee continues this theme, which it considers important for three reasons: </w:t>
      </w:r>
    </w:p>
    <w:p w14:paraId="55FA3189" w14:textId="77777777" w:rsidR="00D24350" w:rsidRPr="00D24350" w:rsidRDefault="00D24350" w:rsidP="00D24350">
      <w:pPr>
        <w:rPr>
          <w:lang w:val="en-GB"/>
        </w:rPr>
      </w:pPr>
      <w:r w:rsidRPr="00D24350">
        <w:rPr>
          <w:lang w:val="en-GB"/>
        </w:rPr>
        <w:t xml:space="preserve">Brain development, along with the love, care, services and support children receive in the first three to five years of life hugely influence their later development and life chances. </w:t>
      </w:r>
    </w:p>
    <w:p w14:paraId="7A4B39C5" w14:textId="77777777" w:rsidR="00D24350" w:rsidRPr="00D24350" w:rsidRDefault="00D24350" w:rsidP="00D24350">
      <w:pPr>
        <w:rPr>
          <w:lang w:val="en-GB"/>
        </w:rPr>
      </w:pPr>
      <w:r w:rsidRPr="00D24350">
        <w:rPr>
          <w:lang w:val="en-GB"/>
        </w:rPr>
        <w:t xml:space="preserve">The most profound influence on our earliest years is our family environment and the pressures that shape our family households. </w:t>
      </w:r>
    </w:p>
    <w:p w14:paraId="32F43513" w14:textId="77777777" w:rsidR="00D24350" w:rsidRPr="00D24350" w:rsidRDefault="00D24350" w:rsidP="00D24350">
      <w:pPr>
        <w:rPr>
          <w:lang w:val="en-GB"/>
        </w:rPr>
      </w:pPr>
      <w:r w:rsidRPr="00D24350">
        <w:rPr>
          <w:lang w:val="en-GB"/>
        </w:rPr>
        <w:t>Raising children – particularly during early childhood and when children have extra needs – significantly affects household finances, parental career progression, and the emotional stability of families.</w:t>
      </w:r>
    </w:p>
    <w:p w14:paraId="5DA4F324" w14:textId="77777777" w:rsidR="00D24350" w:rsidRPr="00D24350" w:rsidRDefault="00D24350" w:rsidP="00D24350">
      <w:pPr>
        <w:rPr>
          <w:b/>
          <w:bCs/>
          <w:lang w:val="en-GB"/>
        </w:rPr>
      </w:pPr>
      <w:r w:rsidRPr="00D24350">
        <w:rPr>
          <w:b/>
          <w:bCs/>
          <w:lang w:val="en-GB"/>
        </w:rPr>
        <w:t xml:space="preserve">This is a crucial social equity issue. </w:t>
      </w:r>
    </w:p>
    <w:p w14:paraId="1C1092BB" w14:textId="77777777" w:rsidR="00D24350" w:rsidRPr="00D24350" w:rsidRDefault="00D24350" w:rsidP="00D24350">
      <w:pPr>
        <w:rPr>
          <w:lang w:val="en-GB"/>
        </w:rPr>
      </w:pPr>
      <w:r w:rsidRPr="00D24350">
        <w:rPr>
          <w:lang w:val="en-GB"/>
        </w:rPr>
        <w:t>Recent inquiries by the Productivity Commission, the South Australian Royal Commission on Early Childhood Education and Care, the Review of the NDIS, and the ACCC Inquiry into Early Childhood Education and Care, demonstrate that a strong early child development system benefits poor and disadvantaged children the most.</w:t>
      </w:r>
    </w:p>
    <w:p w14:paraId="42D9E3EE" w14:textId="77777777" w:rsidR="00D24350" w:rsidRPr="00D24350" w:rsidRDefault="00D24350" w:rsidP="00D24350">
      <w:pPr>
        <w:rPr>
          <w:b/>
          <w:bCs/>
          <w:lang w:val="en-GB"/>
        </w:rPr>
      </w:pPr>
      <w:r w:rsidRPr="00D24350">
        <w:rPr>
          <w:b/>
          <w:bCs/>
          <w:lang w:val="en-GB"/>
        </w:rPr>
        <w:t xml:space="preserve">It is a crucial human capital issue. </w:t>
      </w:r>
    </w:p>
    <w:p w14:paraId="3C09ECB1" w14:textId="77777777" w:rsidR="00D24350" w:rsidRPr="00D24350" w:rsidRDefault="00D24350" w:rsidP="00D24350">
      <w:pPr>
        <w:rPr>
          <w:lang w:val="en-GB"/>
        </w:rPr>
      </w:pPr>
      <w:r w:rsidRPr="00D24350">
        <w:rPr>
          <w:lang w:val="en-GB"/>
        </w:rPr>
        <w:t>Numerous studies across different locations have found that affordable childcare increases both the probability of women with young children working, and the number of hours they work. Investments in ECEC therefore have the potential to lift female labour force participation, raising tax revenues, and offsetting the cost to government of providing those services.</w:t>
      </w:r>
    </w:p>
    <w:p w14:paraId="63CA03DC" w14:textId="77777777" w:rsidR="00D24350" w:rsidRPr="00D24350" w:rsidRDefault="00D24350" w:rsidP="00D24350">
      <w:pPr>
        <w:rPr>
          <w:b/>
          <w:bCs/>
          <w:lang w:val="en-GB"/>
        </w:rPr>
      </w:pPr>
      <w:r w:rsidRPr="00D24350">
        <w:rPr>
          <w:b/>
          <w:bCs/>
          <w:lang w:val="en-GB"/>
        </w:rPr>
        <w:t xml:space="preserve">It is also an issue of very obvious human importance. </w:t>
      </w:r>
    </w:p>
    <w:p w14:paraId="58030CA7" w14:textId="77777777" w:rsidR="00D24350" w:rsidRPr="00D24350" w:rsidRDefault="00D24350" w:rsidP="00D24350">
      <w:pPr>
        <w:rPr>
          <w:lang w:val="en-GB"/>
        </w:rPr>
      </w:pPr>
      <w:r w:rsidRPr="00D24350">
        <w:rPr>
          <w:lang w:val="en-GB"/>
        </w:rPr>
        <w:t xml:space="preserve">Providing happy and healthy childhoods needs no further justification. </w:t>
      </w:r>
    </w:p>
    <w:p w14:paraId="08093491" w14:textId="77777777" w:rsidR="00D24350" w:rsidRPr="00D24350" w:rsidRDefault="00D24350" w:rsidP="00D24350">
      <w:pPr>
        <w:rPr>
          <w:lang w:val="en-GB"/>
        </w:rPr>
      </w:pPr>
      <w:r w:rsidRPr="00D24350">
        <w:rPr>
          <w:lang w:val="en-GB"/>
        </w:rPr>
        <w:t xml:space="preserve">This year the Committee has examined five issues affecting children and families that have relevance to economic inclusion and inter-generational disadvantage: </w:t>
      </w:r>
    </w:p>
    <w:p w14:paraId="6432669B" w14:textId="77777777" w:rsidR="00D24350" w:rsidRPr="005444C6" w:rsidRDefault="00D24350">
      <w:pPr>
        <w:pStyle w:val="ListParagraph"/>
        <w:numPr>
          <w:ilvl w:val="0"/>
          <w:numId w:val="8"/>
        </w:numPr>
        <w:rPr>
          <w:lang w:val="en-GB"/>
        </w:rPr>
      </w:pPr>
      <w:r w:rsidRPr="005444C6">
        <w:rPr>
          <w:lang w:val="en-GB"/>
        </w:rPr>
        <w:t>Developing a universal child development system for Australia and the appropriate mechanisms to coordinate it.</w:t>
      </w:r>
    </w:p>
    <w:p w14:paraId="7C973088" w14:textId="77777777" w:rsidR="00D24350" w:rsidRPr="005444C6" w:rsidRDefault="00D24350">
      <w:pPr>
        <w:pStyle w:val="ListParagraph"/>
        <w:numPr>
          <w:ilvl w:val="0"/>
          <w:numId w:val="8"/>
        </w:numPr>
        <w:rPr>
          <w:lang w:val="en-GB"/>
        </w:rPr>
      </w:pPr>
      <w:r w:rsidRPr="005444C6">
        <w:rPr>
          <w:lang w:val="en-GB"/>
        </w:rPr>
        <w:t>Access to ECEC and other early years services.</w:t>
      </w:r>
    </w:p>
    <w:p w14:paraId="4F2DC4A5" w14:textId="77777777" w:rsidR="00D24350" w:rsidRPr="005444C6" w:rsidRDefault="00D24350">
      <w:pPr>
        <w:pStyle w:val="ListParagraph"/>
        <w:numPr>
          <w:ilvl w:val="0"/>
          <w:numId w:val="8"/>
        </w:numPr>
        <w:rPr>
          <w:lang w:val="en-GB"/>
        </w:rPr>
      </w:pPr>
      <w:r w:rsidRPr="005444C6">
        <w:rPr>
          <w:lang w:val="en-GB"/>
        </w:rPr>
        <w:t>Encouraging the wide adoption of integrated child and family hubs and holistic “full service” school models that leverage the universal platform of schools to boost outcomes for children and families.</w:t>
      </w:r>
    </w:p>
    <w:p w14:paraId="29DDD5B8" w14:textId="77777777" w:rsidR="00D24350" w:rsidRPr="005444C6" w:rsidRDefault="00D24350">
      <w:pPr>
        <w:pStyle w:val="ListParagraph"/>
        <w:numPr>
          <w:ilvl w:val="0"/>
          <w:numId w:val="8"/>
        </w:numPr>
        <w:rPr>
          <w:lang w:val="en-GB"/>
        </w:rPr>
      </w:pPr>
      <w:r w:rsidRPr="005444C6">
        <w:rPr>
          <w:lang w:val="en-GB"/>
        </w:rPr>
        <w:t xml:space="preserve">Reforms to interactions between the FTB and Child Support Systems. </w:t>
      </w:r>
    </w:p>
    <w:p w14:paraId="3E5CBD46" w14:textId="77777777" w:rsidR="00D24350" w:rsidRPr="005444C6" w:rsidRDefault="00D24350">
      <w:pPr>
        <w:pStyle w:val="ListParagraph"/>
        <w:numPr>
          <w:ilvl w:val="0"/>
          <w:numId w:val="8"/>
        </w:numPr>
        <w:rPr>
          <w:lang w:val="en-GB"/>
        </w:rPr>
      </w:pPr>
      <w:r w:rsidRPr="005444C6">
        <w:rPr>
          <w:lang w:val="en-GB"/>
        </w:rPr>
        <w:t xml:space="preserve">The effects of poverty on children. </w:t>
      </w:r>
    </w:p>
    <w:p w14:paraId="06D60092" w14:textId="77777777" w:rsidR="00D24350" w:rsidRPr="00D24350" w:rsidRDefault="00D24350" w:rsidP="00D24350">
      <w:pPr>
        <w:rPr>
          <w:lang w:val="en-GB"/>
        </w:rPr>
      </w:pPr>
      <w:r w:rsidRPr="00D24350">
        <w:rPr>
          <w:lang w:val="en-GB"/>
        </w:rPr>
        <w:t>The Committee’s discussion and recommendations have relied not only on data and the findings of other recent reports, but also on the (sometimes heart-rending) testimonies of low income families who find themselves trapped in poverty as a result of a lack of a universal childhood development system, insufficient availability of family services, lack of innovation in our education system, the complex and sometimes cruel interactions between eligibility requirements and income tests, and the decisions of co-parents who game a poorly designed child support system. The Committee offers five recommendations to address these problems and build a better future for Australia’s children and adolescents.</w:t>
      </w:r>
    </w:p>
    <w:p w14:paraId="5AE0A838" w14:textId="61275087" w:rsidR="00D24350" w:rsidRPr="005444C6" w:rsidRDefault="00D24350" w:rsidP="005444C6">
      <w:pPr>
        <w:pStyle w:val="Heading2"/>
      </w:pPr>
      <w:bookmarkStart w:id="51" w:name="_Toc165366881"/>
      <w:r w:rsidRPr="005444C6">
        <w:lastRenderedPageBreak/>
        <w:t xml:space="preserve">5.2 Developing a universal </w:t>
      </w:r>
      <w:r w:rsidR="00C312D2">
        <w:t>e</w:t>
      </w:r>
      <w:r w:rsidRPr="005444C6">
        <w:t>arly childhood development system</w:t>
      </w:r>
      <w:bookmarkEnd w:id="51"/>
    </w:p>
    <w:p w14:paraId="77A25B9C" w14:textId="77777777" w:rsidR="00D24350" w:rsidRPr="00D24350" w:rsidRDefault="00D24350" w:rsidP="00D24350">
      <w:pPr>
        <w:rPr>
          <w:lang w:val="en-GB"/>
        </w:rPr>
      </w:pPr>
      <w:r w:rsidRPr="00D24350">
        <w:rPr>
          <w:lang w:val="en-GB"/>
        </w:rPr>
        <w:t xml:space="preserve">Economic inclusion begins with children and a better universal early childhood development system. </w:t>
      </w:r>
    </w:p>
    <w:p w14:paraId="2AA165C3" w14:textId="77777777" w:rsidR="00D24350" w:rsidRPr="00D24350" w:rsidRDefault="00D24350" w:rsidP="00D24350">
      <w:pPr>
        <w:rPr>
          <w:lang w:val="en-GB"/>
        </w:rPr>
      </w:pPr>
      <w:r w:rsidRPr="00D24350">
        <w:rPr>
          <w:lang w:val="en-GB"/>
        </w:rPr>
        <w:t xml:space="preserve">Australia currently has a universal platform of services with layers of targeted support for healthcare and for schooling, but no guaranteed entitlement for children and families in the early years. Access to care, its affordability, and the number of child health checks provided, vary widely according to geography. Sadly, the children most likely to benefit from early childhood services are less likely to receive them. </w:t>
      </w:r>
    </w:p>
    <w:p w14:paraId="0CC9A782" w14:textId="77777777" w:rsidR="00D24350" w:rsidRPr="00D24350" w:rsidRDefault="00D24350" w:rsidP="00D24350">
      <w:pPr>
        <w:rPr>
          <w:lang w:val="en-GB"/>
        </w:rPr>
      </w:pPr>
      <w:r w:rsidRPr="00D24350">
        <w:rPr>
          <w:lang w:val="en-GB"/>
        </w:rPr>
        <w:t>The literature review commissioned by the South Australian Royal Commission found “various studies demonstrate that ECEC programs can have a significant and persisting impact on children from disadvantaged contexts above the gains observed for other children” and that participation plays a “pivotal role in altering trajectories for children to break cycles of poverty”.</w:t>
      </w:r>
      <w:r w:rsidRPr="00D24350">
        <w:rPr>
          <w:rStyle w:val="Superscript"/>
          <w:lang w:val="en-GB"/>
        </w:rPr>
        <w:footnoteReference w:id="74"/>
      </w:r>
      <w:r w:rsidRPr="00D24350">
        <w:rPr>
          <w:lang w:val="en-GB"/>
        </w:rPr>
        <w:t xml:space="preserve"> The Women’s Economic Equality Taskforce (WEET) has championed the improvement of our early childhood system as a means of driving women’s economic inclusion. The WEET called for legislation to establish and invest in universal, high-quality and affordable ECEC, noting that under the current system, “women experience a lifetime of economic inequality and insecurity, despite performing essential activities in paid and unpaid capacities.”</w:t>
      </w:r>
      <w:r w:rsidRPr="00D24350">
        <w:rPr>
          <w:rStyle w:val="Superscript"/>
          <w:lang w:val="en-GB"/>
        </w:rPr>
        <w:footnoteReference w:id="75"/>
      </w:r>
    </w:p>
    <w:p w14:paraId="2F2BEC83" w14:textId="77777777" w:rsidR="00D24350" w:rsidRPr="00D24350" w:rsidRDefault="00D24350" w:rsidP="00D24350">
      <w:pPr>
        <w:rPr>
          <w:lang w:val="en-GB"/>
        </w:rPr>
      </w:pPr>
      <w:r w:rsidRPr="00D24350">
        <w:rPr>
          <w:lang w:val="en-GB"/>
        </w:rPr>
        <w:t>The Productivity Commission’s draft report about a path to universal ECEC recommends the creation of an independent Early Childhood Education and Care Commission “to support, advise and monitor Governments’ progress towards universal access to ECEC”. We note the Terms of Reference for the Productivity Commission’s report are limited to ECEC. A wider focus that encompasses the broader concept of early childhood development will be important for future work, including future considerations for the Committee. Early childhood development would include all services and supports provided specifically to young children and families, including ECEC, maternal and child health, child and family hubs, paid parental leave, and other services that may exist within communities, such as playgroups and First Nations services.</w:t>
      </w:r>
      <w:r w:rsidRPr="00D24350">
        <w:rPr>
          <w:rStyle w:val="Superscript"/>
          <w:lang w:val="en-GB"/>
        </w:rPr>
        <w:footnoteReference w:id="76"/>
      </w:r>
      <w:r w:rsidRPr="00D24350">
        <w:rPr>
          <w:lang w:val="en-GB"/>
        </w:rPr>
        <w:t xml:space="preserve"> This is consistent with the findings of the South Australian Royal Commission, the NDIS Review, and the Expert Report into the National Schools Reform Agreement about the imperative to connect services in the early years.</w:t>
      </w:r>
    </w:p>
    <w:p w14:paraId="431D1F9A" w14:textId="77777777" w:rsidR="00D24350" w:rsidRPr="00D24350" w:rsidRDefault="00D24350" w:rsidP="00D24350">
      <w:pPr>
        <w:rPr>
          <w:lang w:val="en-GB"/>
        </w:rPr>
      </w:pPr>
      <w:r w:rsidRPr="00D24350">
        <w:rPr>
          <w:lang w:val="en-GB"/>
        </w:rPr>
        <w:t xml:space="preserve">Moving towards a coherent and consistent early childhood development system should be a priority for Australia. </w:t>
      </w:r>
    </w:p>
    <w:p w14:paraId="4F5231C2" w14:textId="77777777" w:rsidR="00D24350" w:rsidRPr="00D24350" w:rsidRDefault="00D24350" w:rsidP="00D24350">
      <w:pPr>
        <w:rPr>
          <w:lang w:val="en-GB"/>
        </w:rPr>
      </w:pPr>
      <w:r w:rsidRPr="00D24350">
        <w:rPr>
          <w:lang w:val="en-GB"/>
        </w:rPr>
        <w:t xml:space="preserve">Achieving this requires a complex and carefully coordinated national reform agenda, which can only be advanced in partnership with states and territories. While the majority of families access ECEC with support from the Commonwealth Government, state and territory governments play a critical role through the provision of three- and four-year-old pre-school programs, the provision of maternal and child health services, and the recent commitment to growing foundational supports for children with disability and developmental delay. While there are differences in the scope and provision of services across Australia, some states are expanding access to pre-school services to ensure universal access. </w:t>
      </w:r>
    </w:p>
    <w:p w14:paraId="1F4BBF03" w14:textId="77777777" w:rsidR="00D24350" w:rsidRPr="00D24350" w:rsidRDefault="00D24350" w:rsidP="00D24350">
      <w:pPr>
        <w:rPr>
          <w:lang w:val="en-GB"/>
        </w:rPr>
      </w:pPr>
      <w:r w:rsidRPr="00D24350">
        <w:rPr>
          <w:lang w:val="en-GB"/>
        </w:rPr>
        <w:t xml:space="preserve">Federal-state collaboration on early years reform is therefore essential for achieving a universal early childhood development system and should be prioritised by National Cabinet. A strategic and phased approach to implementing reforms is vital. If not, substantial investments and reforms to boost affordability, quality, access, inclusion and integration will </w:t>
      </w:r>
      <w:r w:rsidRPr="00D24350">
        <w:rPr>
          <w:lang w:val="en-GB"/>
        </w:rPr>
        <w:lastRenderedPageBreak/>
        <w:t xml:space="preserve">slip past each other. The intergovernmental approach should be well-coordinated to uphold quality standards and prevent bottlenecks that could worsen unmet demand. Collaboration to offer integrated service offerings in community centres, schools, local ECEC services and other neighbourhood settings is vital. The upcoming expansion of preschool programs in various states and territories will heighten the need for qualified staff. So too will the development of foundational supports as part of the response to the NDIS Review. </w:t>
      </w:r>
    </w:p>
    <w:p w14:paraId="37EBA045" w14:textId="77777777" w:rsidR="00D24350" w:rsidRPr="00D24350" w:rsidRDefault="00D24350" w:rsidP="00D24350">
      <w:pPr>
        <w:rPr>
          <w:lang w:val="en-GB"/>
        </w:rPr>
      </w:pPr>
      <w:r w:rsidRPr="00D24350">
        <w:rPr>
          <w:lang w:val="en-GB"/>
        </w:rPr>
        <w:t xml:space="preserve">To accelerate the early childhood reform agenda, the Committee recommends national legislation enshrining the aspiration and timeframe to achieve a universal early childhood development system, together with a new National Partnership Agreement for Early Childhood Development with the states and territories. Alternatives, such as broadening the existing National Schools Reform Agreement or Preschool Funding Agreement, should be considered, particularly given the need to examine the relationship between existing and prospective funding models that underpin early childhood services. </w:t>
      </w:r>
    </w:p>
    <w:p w14:paraId="65704A29" w14:textId="77777777" w:rsidR="00D24350" w:rsidRPr="00D24350" w:rsidRDefault="00D24350" w:rsidP="00D24350">
      <w:pPr>
        <w:rPr>
          <w:lang w:val="en-GB"/>
        </w:rPr>
      </w:pPr>
      <w:r w:rsidRPr="00D24350">
        <w:rPr>
          <w:lang w:val="en-GB"/>
        </w:rPr>
        <w:t>The proposed Early Childhood Development Commission would steward the reform agenda set out by the National Partnership Agreement and ensure consistent quality and access across states and territories, with a focus on improving access in disadvantaged areas currently underserviced. The Commission could also assume the responsibility of monitoring and evaluating the costs and benefits associated with the implemented reforms. Through systematic evaluations and a well-defined research agenda, valuable insights can be gained to shape future policies that aim to deliver affordable early childhood services.</w:t>
      </w:r>
    </w:p>
    <w:p w14:paraId="1FD9F198" w14:textId="77777777" w:rsidR="00D24350" w:rsidRPr="005444C6" w:rsidRDefault="00D24350" w:rsidP="005444C6">
      <w:pPr>
        <w:pStyle w:val="Heading2"/>
      </w:pPr>
      <w:bookmarkStart w:id="52" w:name="_Toc165366882"/>
      <w:r w:rsidRPr="005444C6">
        <w:t>5.3 Access to ECEC and early years services</w:t>
      </w:r>
      <w:bookmarkEnd w:id="52"/>
    </w:p>
    <w:p w14:paraId="071620E0" w14:textId="77777777" w:rsidR="00D24350" w:rsidRPr="00D24350" w:rsidRDefault="00D24350" w:rsidP="00D24350">
      <w:pPr>
        <w:rPr>
          <w:lang w:val="en-GB"/>
        </w:rPr>
      </w:pPr>
      <w:r w:rsidRPr="00D24350">
        <w:rPr>
          <w:lang w:val="en-GB"/>
        </w:rPr>
        <w:t xml:space="preserve">ECEC and other early years services are important to households raising children. These services allow adults to work, further their education, and meet community responsibilities. They are also an important source of advice and support for parents about their child’s development. </w:t>
      </w:r>
    </w:p>
    <w:p w14:paraId="76F7DDE1" w14:textId="77777777" w:rsidR="00D24350" w:rsidRPr="00D24350" w:rsidRDefault="00D24350" w:rsidP="00D24350">
      <w:pPr>
        <w:rPr>
          <w:lang w:val="en-GB"/>
        </w:rPr>
      </w:pPr>
      <w:r w:rsidRPr="00D24350">
        <w:rPr>
          <w:lang w:val="en-GB"/>
        </w:rPr>
        <w:t>For children, particularly those with extra support needs or vulnerabilities, ECEC and early years services are part of the vital web of experiences and supports that are essential to growing healthy and strong. They also create special opportunities to explore the world, make friends and nurture talents and gifts.</w:t>
      </w:r>
    </w:p>
    <w:p w14:paraId="1E07FCE6" w14:textId="5D045BD1" w:rsidR="00D24350" w:rsidRDefault="00D24350" w:rsidP="00D24350">
      <w:pPr>
        <w:rPr>
          <w:lang w:val="en-GB"/>
        </w:rPr>
      </w:pPr>
      <w:r w:rsidRPr="00D24350">
        <w:rPr>
          <w:lang w:val="en-GB"/>
        </w:rPr>
        <w:t>While ECEC services in Australia are delivered widely, with more than one million early learning places available across the nation in 2023, there is as yet no universal system.</w:t>
      </w:r>
      <w:r w:rsidRPr="00D24350">
        <w:rPr>
          <w:rStyle w:val="Superscript"/>
          <w:lang w:val="en-GB"/>
        </w:rPr>
        <w:footnoteReference w:id="77"/>
      </w:r>
      <w:r w:rsidRPr="00D24350">
        <w:rPr>
          <w:rStyle w:val="Superscript"/>
          <w:lang w:val="en-GB"/>
        </w:rPr>
        <w:t xml:space="preserve"> </w:t>
      </w:r>
      <w:r w:rsidRPr="00D24350">
        <w:rPr>
          <w:lang w:val="en-GB"/>
        </w:rPr>
        <w:t>Service availability is patchy and of variable quality. ECEC services are accessed by comparatively fewer children from First Nations backgrounds, from lower income households, and by children with a disability.</w:t>
      </w:r>
    </w:p>
    <w:p w14:paraId="23D57BAE" w14:textId="77777777" w:rsidR="00935792" w:rsidRPr="00935792" w:rsidRDefault="00935792" w:rsidP="00C54256">
      <w:pPr>
        <w:shd w:val="clear" w:color="auto" w:fill="FAF1E8" w:themeFill="accent2"/>
        <w:rPr>
          <w:b/>
          <w:bCs/>
        </w:rPr>
      </w:pPr>
      <w:r w:rsidRPr="00935792">
        <w:rPr>
          <w:b/>
          <w:bCs/>
        </w:rPr>
        <w:t>Recommendation 11</w:t>
      </w:r>
    </w:p>
    <w:p w14:paraId="4FF69202" w14:textId="77777777" w:rsidR="00935792" w:rsidRPr="00935792" w:rsidRDefault="00935792" w:rsidP="00C54256">
      <w:pPr>
        <w:shd w:val="clear" w:color="auto" w:fill="FAF1E8" w:themeFill="accent2"/>
        <w:rPr>
          <w:b/>
          <w:bCs/>
        </w:rPr>
      </w:pPr>
      <w:r w:rsidRPr="00935792">
        <w:rPr>
          <w:b/>
          <w:bCs/>
        </w:rPr>
        <w:t>The Government should commit to developing a national early childhood development system in partnership with the states and territories.</w:t>
      </w:r>
    </w:p>
    <w:p w14:paraId="414C41B9" w14:textId="77777777" w:rsidR="00935792" w:rsidRPr="00935792" w:rsidRDefault="00935792">
      <w:pPr>
        <w:pStyle w:val="ListBullet"/>
        <w:numPr>
          <w:ilvl w:val="0"/>
          <w:numId w:val="28"/>
        </w:numPr>
        <w:shd w:val="clear" w:color="auto" w:fill="FAF1E8" w:themeFill="accent2"/>
        <w:rPr>
          <w:b/>
          <w:bCs/>
        </w:rPr>
      </w:pPr>
      <w:r w:rsidRPr="00935792">
        <w:rPr>
          <w:b/>
          <w:bCs/>
        </w:rPr>
        <w:t>This system should connect child and maternal health services, early learning, family supports and other services into a well joined-up pipeline of supports for children and families through the early years.</w:t>
      </w:r>
    </w:p>
    <w:p w14:paraId="25823EBC" w14:textId="77777777" w:rsidR="00935792" w:rsidRPr="00935792" w:rsidRDefault="00935792">
      <w:pPr>
        <w:pStyle w:val="ListBullet"/>
        <w:numPr>
          <w:ilvl w:val="0"/>
          <w:numId w:val="28"/>
        </w:numPr>
        <w:shd w:val="clear" w:color="auto" w:fill="FAF1E8" w:themeFill="accent2"/>
        <w:rPr>
          <w:b/>
          <w:bCs/>
        </w:rPr>
      </w:pPr>
      <w:r w:rsidRPr="00935792">
        <w:rPr>
          <w:b/>
          <w:bCs/>
        </w:rPr>
        <w:t>The system should be built upon proportionate universalism principles and particularly focus on improving supports for families with the lowest incomes or with extra needs.</w:t>
      </w:r>
    </w:p>
    <w:p w14:paraId="42021D79" w14:textId="77777777" w:rsidR="00C312D2" w:rsidRDefault="00935792">
      <w:pPr>
        <w:pStyle w:val="ListBullet"/>
        <w:numPr>
          <w:ilvl w:val="0"/>
          <w:numId w:val="28"/>
        </w:numPr>
        <w:shd w:val="clear" w:color="auto" w:fill="FAF1E8" w:themeFill="accent2"/>
        <w:rPr>
          <w:b/>
          <w:bCs/>
        </w:rPr>
      </w:pPr>
      <w:r w:rsidRPr="00935792">
        <w:rPr>
          <w:b/>
          <w:bCs/>
        </w:rPr>
        <w:t xml:space="preserve">The commitment to Australia’s new childhood development system should be enshrined in legislation and a new or expanded National Partnership Agreement. </w:t>
      </w:r>
    </w:p>
    <w:p w14:paraId="1CCC12A9" w14:textId="02A2FE4A" w:rsidR="00935792" w:rsidRPr="00C312D2" w:rsidRDefault="00935792">
      <w:pPr>
        <w:pStyle w:val="ListBullet"/>
        <w:numPr>
          <w:ilvl w:val="0"/>
          <w:numId w:val="28"/>
        </w:numPr>
        <w:shd w:val="clear" w:color="auto" w:fill="FAF1E8" w:themeFill="accent2"/>
        <w:rPr>
          <w:b/>
          <w:bCs/>
        </w:rPr>
      </w:pPr>
      <w:r w:rsidRPr="00C312D2">
        <w:rPr>
          <w:b/>
          <w:bCs/>
          <w:spacing w:val="-2"/>
        </w:rPr>
        <w:t xml:space="preserve">The Government, </w:t>
      </w:r>
      <w:r w:rsidRPr="00C312D2">
        <w:rPr>
          <w:b/>
          <w:bCs/>
        </w:rPr>
        <w:t xml:space="preserve">in collaboration with state and territory governments, should establish an Early Childhood Development Commission to oversee the </w:t>
      </w:r>
      <w:r w:rsidRPr="00C312D2">
        <w:rPr>
          <w:b/>
          <w:bCs/>
        </w:rPr>
        <w:lastRenderedPageBreak/>
        <w:t xml:space="preserve">coordination and </w:t>
      </w:r>
      <w:r w:rsidRPr="00C312D2">
        <w:rPr>
          <w:b/>
          <w:bCs/>
          <w:spacing w:val="-2"/>
        </w:rPr>
        <w:t xml:space="preserve">implementation of the early years </w:t>
      </w:r>
      <w:r w:rsidRPr="00C312D2">
        <w:rPr>
          <w:b/>
          <w:bCs/>
        </w:rPr>
        <w:t>reform agenda that will deliver the new System over time.</w:t>
      </w:r>
    </w:p>
    <w:p w14:paraId="337DB648" w14:textId="77777777" w:rsidR="00D24350" w:rsidRPr="00D24350" w:rsidRDefault="00D24350" w:rsidP="00D24350">
      <w:pPr>
        <w:rPr>
          <w:lang w:val="en-GB"/>
        </w:rPr>
      </w:pPr>
      <w:r w:rsidRPr="00D24350">
        <w:rPr>
          <w:lang w:val="en-GB"/>
        </w:rPr>
        <w:t>Other early years services – such as child and maternal health services, child and family hubs, playgroups, developmental support services, infant and parental mental health, nature play groups, inclusion support services, and the like – are far more inconsistently provided with very significant differences in availability and quality across state and territory jurisdictions and between different regions. The Committee heard many examples of adjacent communities having considerably different levels of service and rates of access.</w:t>
      </w:r>
    </w:p>
    <w:p w14:paraId="78C6C0DE" w14:textId="77777777" w:rsidR="00D24350" w:rsidRPr="00D24350" w:rsidRDefault="00D24350" w:rsidP="00D24350">
      <w:pPr>
        <w:rPr>
          <w:lang w:val="en-GB"/>
        </w:rPr>
      </w:pPr>
      <w:r w:rsidRPr="00D24350">
        <w:rPr>
          <w:lang w:val="en-GB"/>
        </w:rPr>
        <w:t>For families with young children the early years are often a time of extreme financial pressure. service access, and pricing can be major stressors.</w:t>
      </w:r>
    </w:p>
    <w:p w14:paraId="7BE2073F" w14:textId="77777777" w:rsidR="00D24350" w:rsidRPr="00D24350" w:rsidRDefault="00D24350" w:rsidP="00D24350">
      <w:pPr>
        <w:rPr>
          <w:lang w:val="en-GB"/>
        </w:rPr>
      </w:pPr>
      <w:r w:rsidRPr="00D24350">
        <w:rPr>
          <w:lang w:val="en-GB"/>
        </w:rPr>
        <w:t>It is the Committee’s view that Australia should aspire to a universal child development system built around a reinvigorated early learning system paired with a greatly expanded child and maternal health system and that this system should be responsive to the geographic, demographic and cultural diversity of Australian communities. It should be built around proportionate universalism principles with extra support for children, families and communities with more complex needs. It should support First Nations-led and designed service models and models designed with children with a disability and their families. It must get the balance right between a guarantee of universal provision and the ability to work with local communities and particular cohorts to customise the system to local needs and conditions.</w:t>
      </w:r>
    </w:p>
    <w:p w14:paraId="293CECCE" w14:textId="77777777" w:rsidR="00D24350" w:rsidRPr="005444C6" w:rsidRDefault="00D24350" w:rsidP="005444C6">
      <w:pPr>
        <w:pStyle w:val="Heading3"/>
      </w:pPr>
      <w:r w:rsidRPr="005444C6">
        <w:t>5.3.1 Abolishing the Activity Test</w:t>
      </w:r>
    </w:p>
    <w:p w14:paraId="21556A7D" w14:textId="77777777" w:rsidR="00D24350" w:rsidRPr="00D24350" w:rsidRDefault="00D24350" w:rsidP="00D24350">
      <w:pPr>
        <w:rPr>
          <w:lang w:val="en-GB"/>
        </w:rPr>
      </w:pPr>
      <w:r w:rsidRPr="00D24350">
        <w:rPr>
          <w:lang w:val="en-GB"/>
        </w:rPr>
        <w:t>The Committee recommended abolishing the Activity Test for the Child Care Subsidy in its 2023 Report. The Activity Test limits access to Child Care Subsidy based on parental work-related activity</w:t>
      </w:r>
      <w:r w:rsidRPr="00D24350">
        <w:rPr>
          <w:rStyle w:val="Superscript"/>
          <w:lang w:val="en-GB"/>
        </w:rPr>
        <w:footnoteReference w:id="78"/>
      </w:r>
      <w:r w:rsidRPr="00D24350">
        <w:rPr>
          <w:lang w:val="en-GB"/>
        </w:rPr>
        <w:t xml:space="preserve"> and is designed to incentivise workforce participation by parents. One of its unfortunate and unintended consequences has been to limit access to ECEC for some of the children who could benefit from it the most. </w:t>
      </w:r>
    </w:p>
    <w:p w14:paraId="64E2F41B" w14:textId="77777777" w:rsidR="00D24350" w:rsidRPr="00D24350" w:rsidRDefault="00D24350" w:rsidP="00D24350">
      <w:pPr>
        <w:rPr>
          <w:lang w:val="en-GB"/>
        </w:rPr>
      </w:pPr>
      <w:r w:rsidRPr="00D24350">
        <w:rPr>
          <w:lang w:val="en-GB"/>
        </w:rPr>
        <w:t xml:space="preserve">Ensuring access to high-quality ECEC during early childhood is crucial, given that 90% of brain development occurs before the age of five. It yields long-term benefits across all areas of life. </w:t>
      </w:r>
    </w:p>
    <w:p w14:paraId="71BBA093" w14:textId="77777777" w:rsidR="00D24350" w:rsidRPr="00D24350" w:rsidRDefault="00D24350" w:rsidP="00D24350">
      <w:pPr>
        <w:rPr>
          <w:lang w:val="en-GB"/>
        </w:rPr>
      </w:pPr>
      <w:r w:rsidRPr="00D24350">
        <w:rPr>
          <w:lang w:val="en-GB"/>
        </w:rPr>
        <w:t>The current Activity Test impedes universal access to childcare, and its elimination would bring substantial benefits, including greater access for children from low-income families, increased workforce participation among low-income parents, and improved system efficiency for the Government and providers.</w:t>
      </w:r>
    </w:p>
    <w:p w14:paraId="460C0F67" w14:textId="77777777" w:rsidR="00D24350" w:rsidRPr="00D24350" w:rsidRDefault="00D24350" w:rsidP="00D24350">
      <w:pPr>
        <w:rPr>
          <w:lang w:val="en-GB"/>
        </w:rPr>
      </w:pPr>
      <w:r w:rsidRPr="00D24350">
        <w:rPr>
          <w:lang w:val="en-GB"/>
        </w:rPr>
        <w:t>While changes in the 2022–23 Budget eased the Activity Test for Aboriginal and Torres Strait Islander families, guaranteeing only 1.5 days of childcare per week, it still falls short of the three days recommended by experts. Furthermore, it fails to address the needs of single parent, non-English speaking, and low-income families.</w:t>
      </w:r>
    </w:p>
    <w:p w14:paraId="57B7C0C0" w14:textId="77777777" w:rsidR="00D24350" w:rsidRPr="00D24350" w:rsidRDefault="00D24350" w:rsidP="00D24350">
      <w:pPr>
        <w:rPr>
          <w:lang w:val="en-GB"/>
        </w:rPr>
      </w:pPr>
      <w:r w:rsidRPr="00D24350">
        <w:rPr>
          <w:lang w:val="en-GB"/>
        </w:rPr>
        <w:t xml:space="preserve">In addition, the Activity Test for the Child Care Subsidy, while aiming to encourage workforce participation, paradoxically imposes higher search costs on those seeking employment and creates uncertainty for parents in casual jobs. This system places parents at risk of failing the test and accumulating debts. </w:t>
      </w:r>
    </w:p>
    <w:p w14:paraId="3F6A79E4" w14:textId="77777777" w:rsidR="00D24350" w:rsidRPr="00D24350" w:rsidRDefault="00D24350" w:rsidP="00D24350">
      <w:pPr>
        <w:rPr>
          <w:lang w:val="en-GB"/>
        </w:rPr>
      </w:pPr>
      <w:r w:rsidRPr="00D24350">
        <w:rPr>
          <w:lang w:val="en-GB"/>
        </w:rPr>
        <w:t>Enhancing access to ECEC will enable parents to more actively participate in the workforce – increasing workforce participation and allowing more parents to extend their working hours. An estimated 450,000 Australians with children under five express a desire to work more hours and improving access could facilitate this.</w:t>
      </w:r>
    </w:p>
    <w:p w14:paraId="72D2E822" w14:textId="77777777" w:rsidR="00D24350" w:rsidRPr="00D24350" w:rsidRDefault="00D24350" w:rsidP="00D24350">
      <w:pPr>
        <w:rPr>
          <w:lang w:val="en-GB"/>
        </w:rPr>
      </w:pPr>
      <w:r w:rsidRPr="00D24350">
        <w:rPr>
          <w:lang w:val="en-GB"/>
        </w:rPr>
        <w:lastRenderedPageBreak/>
        <w:t>Calls for reform or removal of the Activity Test are growing. Recommendations from the ACCC, Productivity Commission, and the WEET have all recommended either removing, relaxing, or substantially reconfiguring the Activity Test. Such changes, coupled with increased subsidy rates for low-income families, are projected by the Productivity Commission to result in a 12% increase in childcare hours attended by children and a 3.4% increase in total hours worked by single parents and secondary earners, equivalent to 20,700 full-time employees. Such projections rely on assumptions that formal childcare prices don’t increase in response to such changes and that the childcare industry is able to supply additional early learning educators and other staff.</w:t>
      </w:r>
    </w:p>
    <w:p w14:paraId="2020450F" w14:textId="77777777" w:rsidR="00D24350" w:rsidRPr="005444C6" w:rsidRDefault="00D24350" w:rsidP="005444C6">
      <w:pPr>
        <w:pStyle w:val="Heading3"/>
      </w:pPr>
      <w:r w:rsidRPr="005444C6">
        <w:t>5.3.2 Addressing market failures that reduce access</w:t>
      </w:r>
    </w:p>
    <w:p w14:paraId="110608B9" w14:textId="77777777" w:rsidR="00D24350" w:rsidRPr="00D24350" w:rsidRDefault="00D24350" w:rsidP="00D24350">
      <w:pPr>
        <w:rPr>
          <w:lang w:val="en-GB"/>
        </w:rPr>
      </w:pPr>
      <w:r w:rsidRPr="00D24350">
        <w:rPr>
          <w:lang w:val="en-GB"/>
        </w:rPr>
        <w:t>The current market settings for ECEC are failing many children and failing to support greater workforce participation, especially among women and essential workers.</w:t>
      </w:r>
    </w:p>
    <w:p w14:paraId="2F89647E" w14:textId="77777777" w:rsidR="00D24350" w:rsidRPr="00D24350" w:rsidRDefault="00D24350" w:rsidP="00D24350">
      <w:pPr>
        <w:rPr>
          <w:lang w:val="en-GB"/>
        </w:rPr>
      </w:pPr>
      <w:r w:rsidRPr="00D24350">
        <w:rPr>
          <w:lang w:val="en-GB"/>
        </w:rPr>
        <w:t xml:space="preserve">The ACCC Child Care Review Interim Report found that given the nature of childcare markets, the role of pricing, and the impact of the Child Care Subsidy, it is unlikely that market forces alone will effectively constrain prices to guarantee affordability for households, including those with low incomes and vulnerable populations, and minimise the fiscal burden on taxpayers. </w:t>
      </w:r>
    </w:p>
    <w:p w14:paraId="44E113F5" w14:textId="77777777" w:rsidR="00D24350" w:rsidRPr="00D24350" w:rsidRDefault="00D24350" w:rsidP="00D24350">
      <w:pPr>
        <w:rPr>
          <w:lang w:val="en-GB"/>
        </w:rPr>
      </w:pPr>
      <w:r w:rsidRPr="00D24350">
        <w:rPr>
          <w:lang w:val="en-GB"/>
        </w:rPr>
        <w:t>In less advantaged and remote areas, there is a shortage of centre-based day care services, leading to a scarcity of available spots for children, lower service quality, and, when services are accessible, a higher proportion of household income being spent on out-of-pocket expenses.</w:t>
      </w:r>
    </w:p>
    <w:p w14:paraId="4627B5CD" w14:textId="4665BD6F" w:rsidR="00D24350" w:rsidRPr="00D24350" w:rsidRDefault="00D24350" w:rsidP="00D24350">
      <w:pPr>
        <w:rPr>
          <w:lang w:val="en-GB"/>
        </w:rPr>
      </w:pPr>
      <w:r w:rsidRPr="00D24350">
        <w:rPr>
          <w:lang w:val="en-GB"/>
        </w:rPr>
        <w:t>The Committee notes with concern the lack of funding mechanisms incentivising service provision in regional and remote areas, resulting in markedly lower rates of childcare availability. Research from the Mitchell Institute has found that in these areas, 85.3% of the population resides in childcare deserts, a stark contrast to the 28.8% in major cities.</w:t>
      </w:r>
    </w:p>
    <w:p w14:paraId="7C765D6C" w14:textId="77777777" w:rsidR="00D24350" w:rsidRPr="00D24350" w:rsidRDefault="00D24350" w:rsidP="00D24350">
      <w:pPr>
        <w:rPr>
          <w:lang w:val="en-GB"/>
        </w:rPr>
      </w:pPr>
      <w:r w:rsidRPr="00D24350">
        <w:rPr>
          <w:lang w:val="en-GB"/>
        </w:rPr>
        <w:t xml:space="preserve">The importance of addressing childcare access in regions outside of cities is underscored by evidence revealing an increase in the developmental vulnerability of children in remote areas. </w:t>
      </w:r>
    </w:p>
    <w:p w14:paraId="63EB0446" w14:textId="77777777" w:rsidR="00D24350" w:rsidRPr="00D24350" w:rsidRDefault="00D24350" w:rsidP="00D24350">
      <w:pPr>
        <w:rPr>
          <w:lang w:val="en-GB"/>
        </w:rPr>
      </w:pPr>
      <w:r w:rsidRPr="00D24350">
        <w:rPr>
          <w:lang w:val="en-GB"/>
        </w:rPr>
        <w:t>This vulnerability is likely a consequence of diverse and compounding factors – from residing in childcare deserts, coupled with pre-existing disadvantages, lack of access to child and maternal health services through to the escalating frequency and severity of natural disasters primarily affecting regional and remote locations.</w:t>
      </w:r>
    </w:p>
    <w:p w14:paraId="4A0FDE00" w14:textId="77777777" w:rsidR="00D24350" w:rsidRPr="00D24350" w:rsidRDefault="00D24350" w:rsidP="00D24350">
      <w:pPr>
        <w:rPr>
          <w:lang w:val="en-GB"/>
        </w:rPr>
      </w:pPr>
      <w:r w:rsidRPr="00D24350">
        <w:rPr>
          <w:lang w:val="en-GB"/>
        </w:rPr>
        <w:t>Even in major cities, where access to childcare is better, more than half of parents still have difficulty finding a place in a suitable childcare centre in the right location.</w:t>
      </w:r>
    </w:p>
    <w:p w14:paraId="5DC48768" w14:textId="77777777" w:rsidR="00D24350" w:rsidRPr="00D24350" w:rsidRDefault="00D24350" w:rsidP="00D24350">
      <w:pPr>
        <w:rPr>
          <w:lang w:val="en-GB"/>
        </w:rPr>
      </w:pPr>
      <w:r w:rsidRPr="00D24350">
        <w:rPr>
          <w:lang w:val="en-GB"/>
        </w:rPr>
        <w:t>Beyond these considerations, hopes for more holistic early years services that might include onsite access to health care and family supports have currently no funding mechanism to support them in the current market paradigm.</w:t>
      </w:r>
    </w:p>
    <w:p w14:paraId="1DAF6EA4" w14:textId="7AB6B0EB" w:rsidR="00D24350" w:rsidRDefault="00D24350" w:rsidP="00D24350">
      <w:pPr>
        <w:rPr>
          <w:lang w:val="en-GB"/>
        </w:rPr>
      </w:pPr>
      <w:r w:rsidRPr="00D24350">
        <w:rPr>
          <w:lang w:val="en-GB"/>
        </w:rPr>
        <w:t>Reforms that have been flagged in the ACCC Child Care Review include moving to supply side rather than sole reliance on demand side subsidies and providing block grants to ensure access for particular communities and groups and to support more holistic models. The Committee supports this proposal.</w:t>
      </w:r>
    </w:p>
    <w:p w14:paraId="5BBD5D90" w14:textId="77777777" w:rsidR="00935792" w:rsidRPr="00935792" w:rsidRDefault="00935792" w:rsidP="00C54256">
      <w:pPr>
        <w:shd w:val="clear" w:color="auto" w:fill="FAF1E8" w:themeFill="accent2"/>
        <w:rPr>
          <w:b/>
          <w:bCs/>
        </w:rPr>
      </w:pPr>
      <w:r w:rsidRPr="00935792">
        <w:rPr>
          <w:b/>
          <w:bCs/>
        </w:rPr>
        <w:t>Recommendation 12</w:t>
      </w:r>
    </w:p>
    <w:p w14:paraId="0ABB3E20" w14:textId="77777777" w:rsidR="00935792" w:rsidRPr="00935792" w:rsidRDefault="00935792" w:rsidP="00C54256">
      <w:pPr>
        <w:shd w:val="clear" w:color="auto" w:fill="FAF1E8" w:themeFill="accent2"/>
        <w:rPr>
          <w:b/>
          <w:bCs/>
        </w:rPr>
      </w:pPr>
      <w:r w:rsidRPr="00935792">
        <w:rPr>
          <w:b/>
          <w:bCs/>
        </w:rPr>
        <w:t xml:space="preserve">The Government build upon the recommendations from the Productivity Commission and the ACCC to support access to Early Childhood Education and Care services for all children in Australia. </w:t>
      </w:r>
    </w:p>
    <w:p w14:paraId="4C4AF8D0" w14:textId="77777777" w:rsidR="00935792" w:rsidRPr="00935792" w:rsidRDefault="00935792">
      <w:pPr>
        <w:pStyle w:val="ListBullet"/>
        <w:numPr>
          <w:ilvl w:val="0"/>
          <w:numId w:val="29"/>
        </w:numPr>
        <w:shd w:val="clear" w:color="auto" w:fill="FAF1E8" w:themeFill="accent2"/>
        <w:rPr>
          <w:b/>
          <w:bCs/>
        </w:rPr>
      </w:pPr>
      <w:r w:rsidRPr="00935792">
        <w:rPr>
          <w:b/>
          <w:bCs/>
        </w:rPr>
        <w:t>As an immediate first step the Government should abolish the Activity Test on the Child Care Subsidy and guarantee all children access to a minimum three days of ECEC.</w:t>
      </w:r>
    </w:p>
    <w:p w14:paraId="73381D53" w14:textId="77777777" w:rsidR="00935792" w:rsidRPr="00935792" w:rsidRDefault="00935792">
      <w:pPr>
        <w:pStyle w:val="ListBullet"/>
        <w:numPr>
          <w:ilvl w:val="0"/>
          <w:numId w:val="29"/>
        </w:numPr>
        <w:shd w:val="clear" w:color="auto" w:fill="FAF1E8" w:themeFill="accent2"/>
        <w:rPr>
          <w:b/>
          <w:bCs/>
        </w:rPr>
      </w:pPr>
      <w:r w:rsidRPr="00935792">
        <w:rPr>
          <w:b/>
          <w:bCs/>
        </w:rPr>
        <w:lastRenderedPageBreak/>
        <w:t>The Government should further progress funding model reform to make appropriate use of supply as well as demand side supports and consider block funding if necessary to ensure access.</w:t>
      </w:r>
    </w:p>
    <w:p w14:paraId="33622ADE" w14:textId="4AC9EA38" w:rsidR="00935792" w:rsidRPr="00935792" w:rsidRDefault="00935792">
      <w:pPr>
        <w:pStyle w:val="ListBullet"/>
        <w:numPr>
          <w:ilvl w:val="0"/>
          <w:numId w:val="29"/>
        </w:numPr>
        <w:shd w:val="clear" w:color="auto" w:fill="FAF1E8" w:themeFill="accent2"/>
        <w:rPr>
          <w:b/>
          <w:bCs/>
        </w:rPr>
      </w:pPr>
      <w:r w:rsidRPr="00935792">
        <w:rPr>
          <w:b/>
          <w:bCs/>
        </w:rPr>
        <w:t>The Government should support through the reformed funding mechanism the delivery of new, more holistic models of ECEC that include opportunities for health and family support services.</w:t>
      </w:r>
    </w:p>
    <w:p w14:paraId="6E345747" w14:textId="77777777" w:rsidR="00D24350" w:rsidRPr="005444C6" w:rsidRDefault="00D24350" w:rsidP="005444C6">
      <w:pPr>
        <w:pStyle w:val="Heading3"/>
      </w:pPr>
      <w:r w:rsidRPr="005444C6">
        <w:t>5.3.3 Supporting quality childcare through higher wages</w:t>
      </w:r>
    </w:p>
    <w:p w14:paraId="6905267E" w14:textId="77777777" w:rsidR="00D24350" w:rsidRDefault="00D24350" w:rsidP="00D24350">
      <w:pPr>
        <w:rPr>
          <w:lang w:val="en-GB"/>
        </w:rPr>
      </w:pPr>
      <w:r w:rsidRPr="00D24350">
        <w:rPr>
          <w:lang w:val="en-GB"/>
        </w:rPr>
        <w:t xml:space="preserve">The ECEC sector is grappling with a severe shortage of workers, marked by all-time high vacancy rates—approximately double the levels observed before the onset of the pandemic. </w:t>
      </w:r>
    </w:p>
    <w:p w14:paraId="18529246" w14:textId="3C4EF41B" w:rsidR="00935792" w:rsidRPr="00935792" w:rsidRDefault="00935792" w:rsidP="00935792">
      <w:pPr>
        <w:pStyle w:val="Heading4"/>
      </w:pPr>
      <w:r w:rsidRPr="00935792">
        <w:t>Figure 18: Internet Vacancies – Child Care Workers</w:t>
      </w:r>
    </w:p>
    <w:p w14:paraId="12A24442" w14:textId="67E89D98" w:rsidR="00935792" w:rsidRDefault="00935792" w:rsidP="00D24350">
      <w:pPr>
        <w:rPr>
          <w:lang w:val="en-GB"/>
        </w:rPr>
      </w:pPr>
      <w:r>
        <w:rPr>
          <w:noProof/>
          <w:lang w:val="en-GB"/>
        </w:rPr>
        <w:drawing>
          <wp:inline distT="0" distB="0" distL="0" distR="0" wp14:anchorId="61F2C7BA" wp14:editId="51418B1B">
            <wp:extent cx="5219700" cy="2057400"/>
            <wp:effectExtent l="0" t="0" r="0" b="0"/>
            <wp:docPr id="1313991980" name="Picture 16" descr="Figure 18: Internet Vacancies – Child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91980" name="Picture 16" descr="Figure 18: Internet Vacancies – Child Care Workers"/>
                    <pic:cNvPicPr/>
                  </pic:nvPicPr>
                  <pic:blipFill>
                    <a:blip r:embed="rId40">
                      <a:extLst>
                        <a:ext uri="{28A0092B-C50C-407E-A947-70E740481C1C}">
                          <a14:useLocalDpi xmlns:a14="http://schemas.microsoft.com/office/drawing/2010/main" val="0"/>
                        </a:ext>
                      </a:extLst>
                    </a:blip>
                    <a:stretch>
                      <a:fillRect/>
                    </a:stretch>
                  </pic:blipFill>
                  <pic:spPr>
                    <a:xfrm>
                      <a:off x="0" y="0"/>
                      <a:ext cx="5219700" cy="2057400"/>
                    </a:xfrm>
                    <a:prstGeom prst="rect">
                      <a:avLst/>
                    </a:prstGeom>
                  </pic:spPr>
                </pic:pic>
              </a:graphicData>
            </a:graphic>
          </wp:inline>
        </w:drawing>
      </w:r>
    </w:p>
    <w:p w14:paraId="50123F2F" w14:textId="77777777" w:rsidR="00935792" w:rsidRPr="00935792" w:rsidRDefault="00935792" w:rsidP="00935792">
      <w:pPr>
        <w:pStyle w:val="Caption"/>
      </w:pPr>
      <w:r w:rsidRPr="00935792">
        <w:t>Figure 18: Job vacancies for child care workers are at an all time high, approximately double the levels observed before the onset of the pandemic.</w:t>
      </w:r>
    </w:p>
    <w:p w14:paraId="2347E7D8" w14:textId="1FAD9AA6" w:rsidR="00935792" w:rsidRDefault="00935792" w:rsidP="00935792">
      <w:pPr>
        <w:pStyle w:val="Caption"/>
      </w:pPr>
      <w:r w:rsidRPr="00935792">
        <w:t xml:space="preserve">Source: Jobs and Skills Australia, Internet </w:t>
      </w:r>
    </w:p>
    <w:p w14:paraId="1D1B843A" w14:textId="49DB75D8" w:rsidR="00C54256" w:rsidRPr="00C54256" w:rsidRDefault="00C54256" w:rsidP="00C54256">
      <w:pPr>
        <w:rPr>
          <w:lang w:val="en-GB"/>
        </w:rPr>
      </w:pPr>
      <w:r w:rsidRPr="00D24350">
        <w:rPr>
          <w:lang w:val="en-GB"/>
        </w:rPr>
        <w:t>Job vacancies data shows that since the Fair Work Commission announced a 15% wage increase for aged care workers, vacancies for aged and disability care workers have fallen 13.2%, while vacancies for childcare workers have risen 13.6%.</w:t>
      </w:r>
    </w:p>
    <w:p w14:paraId="28879BFF" w14:textId="556BD538" w:rsidR="00935792" w:rsidRDefault="00935792" w:rsidP="00935792">
      <w:pPr>
        <w:pStyle w:val="Heading4"/>
      </w:pPr>
      <w:r w:rsidRPr="00935792">
        <w:t>Figure 19: New vacancies – Aged carers vs child carers</w:t>
      </w:r>
    </w:p>
    <w:p w14:paraId="40A942CB" w14:textId="219E18D6" w:rsidR="00935792" w:rsidRDefault="00935792" w:rsidP="00935792">
      <w:r>
        <w:rPr>
          <w:noProof/>
        </w:rPr>
        <w:drawing>
          <wp:inline distT="0" distB="0" distL="0" distR="0" wp14:anchorId="492B91AC" wp14:editId="69B17645">
            <wp:extent cx="5219700" cy="2717800"/>
            <wp:effectExtent l="0" t="0" r="0" b="0"/>
            <wp:docPr id="1137580027" name="Picture 17" descr="Figure 19: New vacancies – Aged carers vs chil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80027" name="Picture 17" descr="Figure 19: New vacancies – Aged carers vs child carers"/>
                    <pic:cNvPicPr/>
                  </pic:nvPicPr>
                  <pic:blipFill>
                    <a:blip r:embed="rId41">
                      <a:extLst>
                        <a:ext uri="{28A0092B-C50C-407E-A947-70E740481C1C}">
                          <a14:useLocalDpi xmlns:a14="http://schemas.microsoft.com/office/drawing/2010/main" val="0"/>
                        </a:ext>
                      </a:extLst>
                    </a:blip>
                    <a:stretch>
                      <a:fillRect/>
                    </a:stretch>
                  </pic:blipFill>
                  <pic:spPr>
                    <a:xfrm>
                      <a:off x="0" y="0"/>
                      <a:ext cx="5219700" cy="2717800"/>
                    </a:xfrm>
                    <a:prstGeom prst="rect">
                      <a:avLst/>
                    </a:prstGeom>
                  </pic:spPr>
                </pic:pic>
              </a:graphicData>
            </a:graphic>
          </wp:inline>
        </w:drawing>
      </w:r>
    </w:p>
    <w:p w14:paraId="244E1F71" w14:textId="3FF2C0C0" w:rsidR="00935792" w:rsidRDefault="00935792" w:rsidP="00935792">
      <w:pPr>
        <w:pStyle w:val="Caption"/>
      </w:pPr>
      <w:r w:rsidRPr="00935792">
        <w:t xml:space="preserve">Figure 19: Job vacancies data shows that since the Fair Work Commission announced a 15% wage increase for aged care workers, vacancies for aged and disability care workers have fallen 13.2%, while vacancies for childcare workers have risen 13.6%. </w:t>
      </w:r>
    </w:p>
    <w:p w14:paraId="3378B080" w14:textId="5B2225AD" w:rsidR="00935792" w:rsidRPr="00935792" w:rsidRDefault="00935792" w:rsidP="00935792">
      <w:pPr>
        <w:pStyle w:val="Caption"/>
      </w:pPr>
      <w:r w:rsidRPr="00935792">
        <w:lastRenderedPageBreak/>
        <w:t>Source: Jobs and Skills Australia monthly internet vacancy index, analysis by John Cherry</w:t>
      </w:r>
    </w:p>
    <w:p w14:paraId="49C503D7" w14:textId="77777777" w:rsidR="00D24350" w:rsidRPr="00D24350" w:rsidRDefault="00D24350" w:rsidP="00D24350">
      <w:pPr>
        <w:rPr>
          <w:lang w:val="en-GB"/>
        </w:rPr>
      </w:pPr>
      <w:r w:rsidRPr="00D24350">
        <w:rPr>
          <w:lang w:val="en-GB"/>
        </w:rPr>
        <w:t>Numerous participants in the Productivity Commission’s Inquiry into Early Childhood Education and Care have highlighted the difficulties centres have in attracting and retaining staff. This scarcity of personnel jeopardises the availability and quality of these services.</w:t>
      </w:r>
    </w:p>
    <w:p w14:paraId="26313C47" w14:textId="77777777" w:rsidR="00D24350" w:rsidRPr="00D24350" w:rsidRDefault="00D24350" w:rsidP="00D24350">
      <w:pPr>
        <w:rPr>
          <w:lang w:val="en-GB"/>
        </w:rPr>
      </w:pPr>
      <w:r w:rsidRPr="00D24350">
        <w:rPr>
          <w:lang w:val="en-GB"/>
        </w:rPr>
        <w:t xml:space="preserve">The situation is particularly acute in remote areas of Australia, where the vacancy rates stood at 15 to 20% of staff in 2022, compared to just over 10% in major cities. </w:t>
      </w:r>
    </w:p>
    <w:p w14:paraId="49E23C38" w14:textId="04DBAE34" w:rsidR="00D24350" w:rsidRPr="00D24350" w:rsidRDefault="00D24350" w:rsidP="00D24350">
      <w:pPr>
        <w:rPr>
          <w:lang w:val="en-GB"/>
        </w:rPr>
      </w:pPr>
      <w:r w:rsidRPr="00D24350">
        <w:rPr>
          <w:lang w:val="en-GB"/>
        </w:rPr>
        <w:t>While positive steps have been taken to alleviate workforce shortages, such as the approval of multi-employer bargaining with unions seeking a 25% wage increase for early childhood educators, shortfalls persist. Despite the passage of the Fair Work Legislation Amendment (Secure Jobs, Better Pay) Act 2022 and the endorsement of a ten-year workforce strategy by Australian education ministers, advancements to translate to actual wage increases are slow.</w:t>
      </w:r>
    </w:p>
    <w:p w14:paraId="072D14AD" w14:textId="77777777" w:rsidR="00D24350" w:rsidRPr="00D24350" w:rsidRDefault="00D24350" w:rsidP="00D24350">
      <w:pPr>
        <w:rPr>
          <w:lang w:val="en-GB"/>
        </w:rPr>
      </w:pPr>
      <w:r w:rsidRPr="00D24350">
        <w:rPr>
          <w:lang w:val="en-GB"/>
        </w:rPr>
        <w:t>In response, calls have been made for the Commonwealth Government to fund an interim 10% wage supplement for early childhood workers from January 2023. This proposal, endorsed by several organisations, aims to bridge the gap until the implementation of ECEC Workforce Strategy measures.</w:t>
      </w:r>
    </w:p>
    <w:p w14:paraId="61B759FB" w14:textId="77777777" w:rsidR="00935792" w:rsidRPr="00935792" w:rsidRDefault="00D24350" w:rsidP="00935792">
      <w:r w:rsidRPr="00935792">
        <w:t xml:space="preserve">The Committee believes that without a substantial increase in wages in the sector, workforce shortages will persist undermining access to quality ECEC. </w:t>
      </w:r>
    </w:p>
    <w:p w14:paraId="7AF9917C" w14:textId="137DF1F1" w:rsidR="00935792" w:rsidRPr="00935792" w:rsidRDefault="00935792" w:rsidP="00C54256">
      <w:pPr>
        <w:shd w:val="clear" w:color="auto" w:fill="FAF1E8" w:themeFill="accent2"/>
        <w:rPr>
          <w:b/>
          <w:bCs/>
        </w:rPr>
      </w:pPr>
      <w:r w:rsidRPr="00935792">
        <w:rPr>
          <w:b/>
          <w:bCs/>
        </w:rPr>
        <w:t>Recommendation 13</w:t>
      </w:r>
    </w:p>
    <w:p w14:paraId="107C02E9" w14:textId="0B79BBE6" w:rsidR="00D24350" w:rsidRPr="00935792" w:rsidRDefault="00935792" w:rsidP="00C54256">
      <w:pPr>
        <w:shd w:val="clear" w:color="auto" w:fill="FAF1E8" w:themeFill="accent2"/>
        <w:rPr>
          <w:b/>
          <w:bCs/>
          <w:lang w:val="en-US"/>
        </w:rPr>
      </w:pPr>
      <w:r w:rsidRPr="00935792">
        <w:rPr>
          <w:b/>
          <w:bCs/>
        </w:rPr>
        <w:t>Support applications in the Fair Work Commission that seek to raise the wages and improve the job quality of early childhood educators. As a step to remedying historical undervaluation of educators’ work, ensure that the outcomes of these cases are fully funded.</w:t>
      </w:r>
    </w:p>
    <w:p w14:paraId="00884FBC" w14:textId="77777777" w:rsidR="00D24350" w:rsidRPr="005444C6" w:rsidRDefault="00D24350" w:rsidP="005444C6">
      <w:pPr>
        <w:pStyle w:val="Heading3"/>
      </w:pPr>
      <w:r w:rsidRPr="005444C6">
        <w:t>5.3.4 Supporting scaled delivery of holistic, integrated early years models and holistic “full service” school models</w:t>
      </w:r>
    </w:p>
    <w:p w14:paraId="08677D6C" w14:textId="77777777" w:rsidR="00D24350" w:rsidRPr="00D24350" w:rsidRDefault="00D24350" w:rsidP="00D24350">
      <w:pPr>
        <w:rPr>
          <w:lang w:val="en-GB"/>
        </w:rPr>
      </w:pPr>
      <w:r w:rsidRPr="00D24350">
        <w:rPr>
          <w:lang w:val="en-GB"/>
        </w:rPr>
        <w:t>Supporting children and families through the early years requires support from family and friends, an ever-changing sequence of child-related services, and health, employment, training and personal supports for parents and carers.</w:t>
      </w:r>
    </w:p>
    <w:p w14:paraId="05434C77" w14:textId="77777777" w:rsidR="00D24350" w:rsidRPr="00D24350" w:rsidRDefault="00D24350" w:rsidP="00D24350">
      <w:pPr>
        <w:rPr>
          <w:lang w:val="en-GB"/>
        </w:rPr>
      </w:pPr>
      <w:r w:rsidRPr="00D24350">
        <w:rPr>
          <w:lang w:val="en-GB"/>
        </w:rPr>
        <w:t>For some families, raising children through their early years can be an isolating experience as old connections are lost, and financial pressures restrict options for getting out of the house.</w:t>
      </w:r>
    </w:p>
    <w:p w14:paraId="01D92100" w14:textId="77777777" w:rsidR="00D24350" w:rsidRPr="00D24350" w:rsidRDefault="00D24350" w:rsidP="00D24350">
      <w:pPr>
        <w:rPr>
          <w:lang w:val="en-GB"/>
        </w:rPr>
      </w:pPr>
      <w:r w:rsidRPr="00D24350">
        <w:rPr>
          <w:lang w:val="en-GB"/>
        </w:rPr>
        <w:t xml:space="preserve">Landmark inquiries into the early years over the past 12 months have highlighted the fragmentation and inconsistency of services and supports available to families and young children and made recommendations towards creating a far more integrated, seamless and navigable service system.  </w:t>
      </w:r>
    </w:p>
    <w:p w14:paraId="32D98667" w14:textId="2CA633A4" w:rsidR="00D24350" w:rsidRPr="00D24350" w:rsidRDefault="00D24350" w:rsidP="00D24350">
      <w:pPr>
        <w:rPr>
          <w:lang w:val="en-GB"/>
        </w:rPr>
      </w:pPr>
      <w:r w:rsidRPr="00D24350">
        <w:rPr>
          <w:lang w:val="en-GB"/>
        </w:rPr>
        <w:t>Connecting services through physical co-location at schools, ECEC sites or in community settings and through connector, navigator or “glue” roles are seen as good practice solutions with many current on-the-ground examples of successful service delivery. The location of services in welcoming community environments in which nourishing relationships can also be formed is a closely related concept. The SA Royal Commission into ECEC went as far as recommending:</w:t>
      </w:r>
    </w:p>
    <w:p w14:paraId="5E05F018" w14:textId="77777777" w:rsidR="00D24350" w:rsidRPr="00D24350" w:rsidRDefault="00D24350" w:rsidP="00D24350">
      <w:pPr>
        <w:rPr>
          <w:rStyle w:val="SubtleEmphasis"/>
          <w:lang w:val="en-GB"/>
        </w:rPr>
      </w:pPr>
      <w:r w:rsidRPr="00D24350">
        <w:rPr>
          <w:rStyle w:val="SubtleEmphasis"/>
          <w:lang w:val="en-GB"/>
        </w:rPr>
        <w:t>“...making integrated services the default for all newly established state Government early years services, including preschools and schools, community health, parent and infant mental health and parenting supports, with variance from the default only occurring because of the needs of the local community”</w:t>
      </w:r>
    </w:p>
    <w:p w14:paraId="24D8BEFF" w14:textId="77777777" w:rsidR="00D24350" w:rsidRPr="00D24350" w:rsidRDefault="00D24350" w:rsidP="00D24350">
      <w:pPr>
        <w:rPr>
          <w:lang w:val="en-GB"/>
        </w:rPr>
      </w:pPr>
      <w:r w:rsidRPr="00D24350">
        <w:rPr>
          <w:lang w:val="en-GB"/>
        </w:rPr>
        <w:t>And</w:t>
      </w:r>
    </w:p>
    <w:p w14:paraId="58093A4A" w14:textId="6D8858AB" w:rsidR="00D24350" w:rsidRPr="00D24350" w:rsidRDefault="00D24350" w:rsidP="00D24350">
      <w:pPr>
        <w:rPr>
          <w:i/>
          <w:iCs/>
          <w:color w:val="131727" w:themeColor="text1"/>
          <w:lang w:val="en-GB"/>
        </w:rPr>
      </w:pPr>
      <w:r w:rsidRPr="00D24350">
        <w:rPr>
          <w:rStyle w:val="SubtleEmphasis"/>
          <w:lang w:val="en-GB"/>
        </w:rPr>
        <w:lastRenderedPageBreak/>
        <w:t>“... integrating into the normal process of maintenance and upgrade the creation of appropriate physical space for integrated or multidisciplinary work in state Government early years services which lack such facilities.”</w:t>
      </w:r>
      <w:r w:rsidRPr="00D24350">
        <w:rPr>
          <w:rStyle w:val="Superscript"/>
          <w:lang w:val="en-GB"/>
        </w:rPr>
        <w:footnoteReference w:id="79"/>
      </w:r>
    </w:p>
    <w:p w14:paraId="750DFB14" w14:textId="77777777" w:rsidR="00D24350" w:rsidRPr="00D24350" w:rsidRDefault="00D24350" w:rsidP="00D24350">
      <w:pPr>
        <w:rPr>
          <w:lang w:val="en-GB"/>
        </w:rPr>
      </w:pPr>
      <w:r w:rsidRPr="00D24350">
        <w:rPr>
          <w:lang w:val="en-GB"/>
        </w:rPr>
        <w:t>Social Ventures Australia, the Centre for Community Child Health at the Murdoch Children’s Research Institute, and others have explored the extent of current delivery of Integrated Child and Family Centres (ICFCs) of the kind promoted through recent inquiries, finding 209 examples of Integrated Child and Family Centres around Australia – albeit of substantial variability in scale, quality and sustainability.</w:t>
      </w:r>
      <w:r w:rsidRPr="00D24350">
        <w:rPr>
          <w:rStyle w:val="Superscript"/>
          <w:lang w:val="en-GB"/>
        </w:rPr>
        <w:footnoteReference w:id="80"/>
      </w:r>
      <w:r w:rsidRPr="00D24350">
        <w:rPr>
          <w:lang w:val="en-GB"/>
        </w:rPr>
        <w:t xml:space="preserve"> </w:t>
      </w:r>
    </w:p>
    <w:p w14:paraId="34661212" w14:textId="77777777" w:rsidR="00D24350" w:rsidRPr="00D24350" w:rsidRDefault="00D24350" w:rsidP="00D24350">
      <w:pPr>
        <w:rPr>
          <w:lang w:val="en-GB"/>
        </w:rPr>
      </w:pPr>
      <w:r w:rsidRPr="00D24350">
        <w:rPr>
          <w:lang w:val="en-GB"/>
        </w:rPr>
        <w:t>A further 700 communities were assessed as likely to benefit from Centres if they were available. Four common delivery types were noted:</w:t>
      </w:r>
    </w:p>
    <w:p w14:paraId="4AD01448" w14:textId="77777777" w:rsidR="00D24350" w:rsidRPr="009E7BD6" w:rsidRDefault="00D24350" w:rsidP="009E7BD6">
      <w:pPr>
        <w:pStyle w:val="ListBullet"/>
      </w:pPr>
      <w:r w:rsidRPr="009E7BD6">
        <w:t>Community centres, such as the Child and Family Learning Centre network in Tasmania.</w:t>
      </w:r>
    </w:p>
    <w:p w14:paraId="2BA6DC88" w14:textId="77777777" w:rsidR="00D24350" w:rsidRPr="009E7BD6" w:rsidRDefault="00D24350" w:rsidP="009E7BD6">
      <w:pPr>
        <w:pStyle w:val="ListBullet"/>
      </w:pPr>
      <w:r w:rsidRPr="009E7BD6">
        <w:t>Schools, such as the Our Place or FamilyLinQ models in Victoria and Queensland.</w:t>
      </w:r>
    </w:p>
    <w:p w14:paraId="3B672719" w14:textId="77777777" w:rsidR="00D24350" w:rsidRPr="009E7BD6" w:rsidRDefault="00D24350" w:rsidP="009E7BD6">
      <w:pPr>
        <w:pStyle w:val="ListBullet"/>
      </w:pPr>
      <w:r w:rsidRPr="009E7BD6">
        <w:t>ECEC services – such as several of the Aboriginal and Torres Strait Islander integrated early years centres.</w:t>
      </w:r>
    </w:p>
    <w:p w14:paraId="7F53ADD0" w14:textId="77777777" w:rsidR="00D24350" w:rsidRPr="009E7BD6" w:rsidRDefault="00D24350" w:rsidP="009E7BD6">
      <w:pPr>
        <w:pStyle w:val="ListBullet"/>
      </w:pPr>
      <w:r w:rsidRPr="009E7BD6">
        <w:t xml:space="preserve">Community Health settings – various state-based examples. </w:t>
      </w:r>
    </w:p>
    <w:p w14:paraId="48400C8F" w14:textId="77777777" w:rsidR="00D24350" w:rsidRPr="00D24350" w:rsidRDefault="00D24350" w:rsidP="00D24350">
      <w:pPr>
        <w:rPr>
          <w:lang w:val="en-GB"/>
        </w:rPr>
      </w:pPr>
      <w:r w:rsidRPr="00D24350">
        <w:rPr>
          <w:lang w:val="en-GB"/>
        </w:rPr>
        <w:t xml:space="preserve">Social Ventures Australia’s 2023 Report </w:t>
      </w:r>
      <w:r w:rsidRPr="00C312D2">
        <w:rPr>
          <w:i/>
          <w:iCs/>
          <w:lang w:val="en-GB"/>
        </w:rPr>
        <w:t>Happy, Health and Thriving Children – Enhancing the Impact of Integrated Child and Family Centres in Australia</w:t>
      </w:r>
      <w:r w:rsidRPr="00D24350">
        <w:rPr>
          <w:lang w:val="en-GB"/>
        </w:rPr>
        <w:t xml:space="preserve"> makes 10 recommendations to advance towards a consistent, sustainable and national-scale provision of ICFCs, including:</w:t>
      </w:r>
    </w:p>
    <w:p w14:paraId="5C2E9780" w14:textId="77777777" w:rsidR="00D24350" w:rsidRPr="009E7BD6" w:rsidRDefault="00D24350">
      <w:pPr>
        <w:pStyle w:val="ListBullet"/>
        <w:numPr>
          <w:ilvl w:val="0"/>
          <w:numId w:val="12"/>
        </w:numPr>
      </w:pPr>
      <w:r w:rsidRPr="009E7BD6">
        <w:t>Create a national approach to ICFCs that includes a broad definition, national quality framework, and professional learning system</w:t>
      </w:r>
    </w:p>
    <w:p w14:paraId="0276E345" w14:textId="77777777" w:rsidR="00D24350" w:rsidRPr="009E7BD6" w:rsidRDefault="00D24350">
      <w:pPr>
        <w:pStyle w:val="ListBullet"/>
        <w:numPr>
          <w:ilvl w:val="0"/>
          <w:numId w:val="12"/>
        </w:numPr>
      </w:pPr>
      <w:r w:rsidRPr="009E7BD6">
        <w:t>Design and operationalise an ICFC specific funding model</w:t>
      </w:r>
    </w:p>
    <w:p w14:paraId="25F97269" w14:textId="77777777" w:rsidR="00D24350" w:rsidRPr="009E7BD6" w:rsidRDefault="00D24350">
      <w:pPr>
        <w:pStyle w:val="ListBullet"/>
        <w:numPr>
          <w:ilvl w:val="0"/>
          <w:numId w:val="12"/>
        </w:numPr>
      </w:pPr>
      <w:r w:rsidRPr="009E7BD6">
        <w:t>Design a unique funding stream for Aboriginal and Torres Strait Islander integrated early years centres</w:t>
      </w:r>
    </w:p>
    <w:p w14:paraId="6DA6DD4B" w14:textId="77777777" w:rsidR="00D24350" w:rsidRPr="009E7BD6" w:rsidRDefault="00D24350">
      <w:pPr>
        <w:pStyle w:val="ListBullet"/>
        <w:numPr>
          <w:ilvl w:val="0"/>
          <w:numId w:val="12"/>
        </w:numPr>
      </w:pPr>
      <w:r w:rsidRPr="009E7BD6">
        <w:t>Enable ICFCs to provide ECEC</w:t>
      </w:r>
    </w:p>
    <w:p w14:paraId="35846B1A" w14:textId="77777777" w:rsidR="00D24350" w:rsidRPr="009E7BD6" w:rsidRDefault="00D24350">
      <w:pPr>
        <w:pStyle w:val="ListBullet"/>
        <w:numPr>
          <w:ilvl w:val="0"/>
          <w:numId w:val="12"/>
        </w:numPr>
      </w:pPr>
      <w:r w:rsidRPr="009E7BD6">
        <w:t>Reform the allied health system to ensure ICFCs are able to provide access to allied health for children and families.</w:t>
      </w:r>
    </w:p>
    <w:p w14:paraId="068D0A14" w14:textId="77777777" w:rsidR="00D24350" w:rsidRPr="00D24350" w:rsidRDefault="00D24350" w:rsidP="00D24350">
      <w:pPr>
        <w:rPr>
          <w:lang w:val="en-GB"/>
        </w:rPr>
      </w:pPr>
      <w:r w:rsidRPr="00D24350">
        <w:rPr>
          <w:lang w:val="en-GB"/>
        </w:rPr>
        <w:t xml:space="preserve">The Committee supports the creation of a robust national system of ICFCs and views the recommendations in the Social Ventures Australia’s 2023 Report as a good starting point. </w:t>
      </w:r>
    </w:p>
    <w:p w14:paraId="6BC859D6" w14:textId="77777777" w:rsidR="00D24350" w:rsidRPr="00D24350" w:rsidRDefault="00D24350" w:rsidP="00D24350">
      <w:pPr>
        <w:rPr>
          <w:lang w:val="en-GB"/>
        </w:rPr>
      </w:pPr>
      <w:r w:rsidRPr="00D24350">
        <w:rPr>
          <w:lang w:val="en-GB"/>
        </w:rPr>
        <w:t>The Committee also welcomes the recommendations from the NDIS Review about creating a continuum of support for children with disability and developmental concerns, including the importance of foundational supports for young children outside the NDIS, and the opportunity for such supports to be provided in ECEC settings.</w:t>
      </w:r>
    </w:p>
    <w:p w14:paraId="002B45E8" w14:textId="77777777" w:rsidR="00D24350" w:rsidRPr="00D24350" w:rsidRDefault="00D24350" w:rsidP="00D24350">
      <w:pPr>
        <w:rPr>
          <w:lang w:val="en-GB"/>
        </w:rPr>
      </w:pPr>
      <w:r w:rsidRPr="00D24350">
        <w:rPr>
          <w:lang w:val="en-GB"/>
        </w:rPr>
        <w:t xml:space="preserve">The new National School Reform Agreement (NSRA) is currently being negotiated between the Commonwealth and the states and territories. That process is being informed by the Review to Inform a Better and Fairer Education System, published in December 2023, which recommends the wider adoption of holistic “full-service” schooling models. </w:t>
      </w:r>
    </w:p>
    <w:p w14:paraId="17257C9F" w14:textId="77777777" w:rsidR="00D24350" w:rsidRPr="00D24350" w:rsidRDefault="00D24350" w:rsidP="00D24350">
      <w:pPr>
        <w:rPr>
          <w:lang w:val="en-GB"/>
        </w:rPr>
      </w:pPr>
      <w:r w:rsidRPr="00D24350">
        <w:rPr>
          <w:lang w:val="en-GB"/>
        </w:rPr>
        <w:t>The Committee supports the idea that schools are logically well placed to promote engagement, social connection and service access, able to integrate their learning and pastoral care supports with a potentially wider range of assistance and specialist care.</w:t>
      </w:r>
    </w:p>
    <w:p w14:paraId="142AA11B" w14:textId="77777777" w:rsidR="00D24350" w:rsidRPr="00D24350" w:rsidRDefault="00D24350" w:rsidP="00D24350">
      <w:pPr>
        <w:rPr>
          <w:lang w:val="en-GB"/>
        </w:rPr>
      </w:pPr>
      <w:r w:rsidRPr="00D24350">
        <w:rPr>
          <w:lang w:val="en-GB"/>
        </w:rPr>
        <w:t xml:space="preserve">Several full-service school models exist in Australia in a variety of formats and scales. The most well developed – the Our Place model in Victoria – operates in 10 school communities and offers a pipeline of supports on the school campus from pregnancy through the early years and school years for both parents, carers and children. These supports are provided </w:t>
      </w:r>
      <w:r w:rsidRPr="00D24350">
        <w:rPr>
          <w:lang w:val="en-GB"/>
        </w:rPr>
        <w:lastRenderedPageBreak/>
        <w:t xml:space="preserve">through a partnership with a philanthropic foundation that coordinates a wide variety of service partners in close coordination with school leadership. </w:t>
      </w:r>
    </w:p>
    <w:p w14:paraId="42733346" w14:textId="77777777" w:rsidR="00D24350" w:rsidRPr="00D24350" w:rsidRDefault="00D24350" w:rsidP="00D24350">
      <w:pPr>
        <w:rPr>
          <w:lang w:val="en-GB"/>
        </w:rPr>
      </w:pPr>
      <w:r w:rsidRPr="00D24350">
        <w:rPr>
          <w:lang w:val="en-GB"/>
        </w:rPr>
        <w:t>Other models and examples include:</w:t>
      </w:r>
    </w:p>
    <w:p w14:paraId="5882E5BE" w14:textId="77777777" w:rsidR="00D24350" w:rsidRPr="009E7BD6" w:rsidRDefault="00D24350" w:rsidP="009E7BD6">
      <w:pPr>
        <w:pStyle w:val="ListBullet"/>
      </w:pPr>
      <w:r w:rsidRPr="009E7BD6">
        <w:t xml:space="preserve">Queensland’s </w:t>
      </w:r>
      <w:r w:rsidRPr="009E7BD6">
        <w:rPr>
          <w:i/>
          <w:iCs/>
        </w:rPr>
        <w:t>FamilyLinQ</w:t>
      </w:r>
      <w:r w:rsidRPr="009E7BD6">
        <w:t xml:space="preserve"> model </w:t>
      </w:r>
    </w:p>
    <w:p w14:paraId="30B489DC" w14:textId="77777777" w:rsidR="00D24350" w:rsidRPr="009E7BD6" w:rsidRDefault="00D24350" w:rsidP="009E7BD6">
      <w:pPr>
        <w:pStyle w:val="ListBullet"/>
      </w:pPr>
      <w:r w:rsidRPr="009E7BD6">
        <w:t>The Challis Community Primary School in Perth</w:t>
      </w:r>
    </w:p>
    <w:p w14:paraId="19197C9D" w14:textId="77777777" w:rsidR="00D24350" w:rsidRPr="009E7BD6" w:rsidRDefault="00D24350" w:rsidP="009E7BD6">
      <w:pPr>
        <w:pStyle w:val="ListBullet"/>
      </w:pPr>
      <w:r w:rsidRPr="009E7BD6">
        <w:t xml:space="preserve">The </w:t>
      </w:r>
      <w:r w:rsidRPr="009E7BD6">
        <w:rPr>
          <w:i/>
          <w:iCs/>
        </w:rPr>
        <w:t>Community Hubs Australia</w:t>
      </w:r>
      <w:r w:rsidRPr="009E7BD6">
        <w:t xml:space="preserve"> organisation</w:t>
      </w:r>
    </w:p>
    <w:p w14:paraId="01CE55A7" w14:textId="77777777" w:rsidR="00D24350" w:rsidRPr="009E7BD6" w:rsidRDefault="00D24350" w:rsidP="009E7BD6">
      <w:pPr>
        <w:pStyle w:val="ListBullet"/>
      </w:pPr>
      <w:r w:rsidRPr="009E7BD6">
        <w:t>Several individual schools where school leaders have taken an active role in this field.</w:t>
      </w:r>
    </w:p>
    <w:p w14:paraId="63B88723" w14:textId="77777777" w:rsidR="00D24350" w:rsidRPr="00D24350" w:rsidRDefault="00D24350" w:rsidP="00D24350">
      <w:pPr>
        <w:rPr>
          <w:lang w:val="en-GB"/>
        </w:rPr>
      </w:pPr>
      <w:r w:rsidRPr="00D24350">
        <w:rPr>
          <w:lang w:val="en-GB"/>
        </w:rPr>
        <w:t xml:space="preserve">Despite the evidence of their success, a full system-level embrace of full-service school models has yet to be adopted in Australia. Community leaders have told the Committee that clear and supportive policy and implementation remains inconsistent. As is common in many multi-disciplinary initiatives, accountability mechanisms are unclear and decision makers are cautious about assuming unknown, expanded and unfunded obligations. </w:t>
      </w:r>
    </w:p>
    <w:p w14:paraId="627B541E" w14:textId="789E7471" w:rsidR="00D24350" w:rsidRPr="00D24350" w:rsidRDefault="00D24350" w:rsidP="00D24350">
      <w:pPr>
        <w:rPr>
          <w:lang w:val="en-GB"/>
        </w:rPr>
      </w:pPr>
      <w:r w:rsidRPr="00D24350">
        <w:rPr>
          <w:lang w:val="en-GB"/>
        </w:rPr>
        <w:t xml:space="preserve">The Committee concurs with the findings of the 2023 Review to Inform a Better and Fairer Education System that full-service school models should be more widely delivered and that the policy, funding and cross-portfolio and cross-Government partnership arrangements required should be developed to enable scaled delivery over time. </w:t>
      </w:r>
    </w:p>
    <w:p w14:paraId="1B54BAFD" w14:textId="77777777" w:rsidR="008677E7" w:rsidRPr="008677E7" w:rsidRDefault="008677E7" w:rsidP="00023C01">
      <w:pPr>
        <w:shd w:val="clear" w:color="auto" w:fill="FAF1E8" w:themeFill="accent2"/>
        <w:rPr>
          <w:b/>
          <w:bCs/>
        </w:rPr>
      </w:pPr>
      <w:r w:rsidRPr="008677E7">
        <w:rPr>
          <w:b/>
          <w:bCs/>
        </w:rPr>
        <w:t>Recommendation 14</w:t>
      </w:r>
    </w:p>
    <w:p w14:paraId="1C963528" w14:textId="77777777" w:rsidR="008677E7" w:rsidRPr="008677E7" w:rsidRDefault="008677E7" w:rsidP="00023C01">
      <w:pPr>
        <w:shd w:val="clear" w:color="auto" w:fill="FAF1E8" w:themeFill="accent2"/>
        <w:rPr>
          <w:b/>
          <w:bCs/>
        </w:rPr>
      </w:pPr>
      <w:r w:rsidRPr="008677E7">
        <w:rPr>
          <w:b/>
          <w:bCs/>
        </w:rPr>
        <w:t xml:space="preserve">As an early action of the new Early Years Strategy, the Government commits to wider scale delivery of integrated child and family centres and holistic “full service” school models targeted to communities of highest need. </w:t>
      </w:r>
    </w:p>
    <w:p w14:paraId="498210AE" w14:textId="77777777" w:rsidR="008677E7" w:rsidRPr="00637477" w:rsidRDefault="008677E7">
      <w:pPr>
        <w:pStyle w:val="ListBullet"/>
        <w:numPr>
          <w:ilvl w:val="0"/>
          <w:numId w:val="30"/>
        </w:numPr>
        <w:shd w:val="clear" w:color="auto" w:fill="FAF1E8" w:themeFill="accent2"/>
        <w:rPr>
          <w:b/>
          <w:bCs/>
        </w:rPr>
      </w:pPr>
      <w:r w:rsidRPr="00637477">
        <w:rPr>
          <w:b/>
          <w:bCs/>
        </w:rPr>
        <w:t>To deliver on this commitment the Government should create a national framework, funding scheme and evaluation and learning framework.</w:t>
      </w:r>
    </w:p>
    <w:p w14:paraId="1DC6B230" w14:textId="77777777" w:rsidR="008677E7" w:rsidRPr="00637477" w:rsidRDefault="008677E7">
      <w:pPr>
        <w:pStyle w:val="ListBullet"/>
        <w:numPr>
          <w:ilvl w:val="0"/>
          <w:numId w:val="30"/>
        </w:numPr>
        <w:shd w:val="clear" w:color="auto" w:fill="FAF1E8" w:themeFill="accent2"/>
        <w:rPr>
          <w:b/>
          <w:bCs/>
        </w:rPr>
      </w:pPr>
      <w:r w:rsidRPr="00637477">
        <w:rPr>
          <w:b/>
          <w:bCs/>
        </w:rPr>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267873BA" w14:textId="77777777" w:rsidR="008677E7" w:rsidRPr="00637477" w:rsidRDefault="008677E7">
      <w:pPr>
        <w:pStyle w:val="ListBullet"/>
        <w:numPr>
          <w:ilvl w:val="0"/>
          <w:numId w:val="30"/>
        </w:numPr>
        <w:shd w:val="clear" w:color="auto" w:fill="FAF1E8" w:themeFill="accent2"/>
        <w:rPr>
          <w:b/>
          <w:bCs/>
        </w:rPr>
      </w:pPr>
      <w:r w:rsidRPr="00637477">
        <w:rPr>
          <w:b/>
          <w:bCs/>
        </w:rPr>
        <w:t xml:space="preserve">As a supporting measure the Government should take further steps to advance place-based approaches in target communities and consider a fuller response to recommendations provided in the Committee’s 2023 Report. </w:t>
      </w:r>
    </w:p>
    <w:p w14:paraId="3056FD7B" w14:textId="358E12EA" w:rsidR="00D24350" w:rsidRPr="009E7BD6" w:rsidRDefault="00D24350" w:rsidP="008677E7">
      <w:pPr>
        <w:pStyle w:val="Heading2"/>
      </w:pPr>
      <w:bookmarkStart w:id="53" w:name="_Toc165366883"/>
      <w:r w:rsidRPr="009E7BD6">
        <w:t>5.4 Reforms to the Family Tax Benefit and Child Support Systems</w:t>
      </w:r>
      <w:bookmarkEnd w:id="53"/>
    </w:p>
    <w:p w14:paraId="144737D2" w14:textId="77777777" w:rsidR="00D24350" w:rsidRPr="00D24350" w:rsidRDefault="00D24350" w:rsidP="00D24350">
      <w:pPr>
        <w:rPr>
          <w:lang w:val="en-GB"/>
        </w:rPr>
      </w:pPr>
      <w:r w:rsidRPr="00D24350">
        <w:rPr>
          <w:lang w:val="en-GB"/>
        </w:rPr>
        <w:t xml:space="preserve">In this section the Committee outlines the broad changes that have occurred over time to coverage and levels of benefit within the FTB scheme – an area the Committee will explore further over the coming year. We also examine the interactions of the FTB and Child Support systems and make recommendations towards improving the safety, wellbeing and economic security of women and children after separation.  </w:t>
      </w:r>
    </w:p>
    <w:p w14:paraId="0B35287E" w14:textId="77777777" w:rsidR="00D24350" w:rsidRPr="00D24350" w:rsidRDefault="00D24350" w:rsidP="009E7BD6">
      <w:pPr>
        <w:pStyle w:val="Heading3"/>
        <w:rPr>
          <w:lang w:val="en-GB"/>
        </w:rPr>
      </w:pPr>
      <w:r w:rsidRPr="00D24350">
        <w:rPr>
          <w:lang w:val="en-GB"/>
        </w:rPr>
        <w:t>5.4.1 Family Tax Benefits</w:t>
      </w:r>
    </w:p>
    <w:p w14:paraId="115F1BE7" w14:textId="77777777" w:rsidR="00D24350" w:rsidRPr="00D24350" w:rsidRDefault="00D24350" w:rsidP="00D24350">
      <w:pPr>
        <w:rPr>
          <w:lang w:val="en-GB"/>
        </w:rPr>
      </w:pPr>
      <w:r w:rsidRPr="00D24350">
        <w:rPr>
          <w:lang w:val="en-GB"/>
        </w:rPr>
        <w:t xml:space="preserve">FTB is a payment for eligible families with children. FTB consists of two parts: FTB Part A and FTB Part B. FTB Part A is the primary form of family assistance for the direct costs of children aged under 16 and dependent full-time secondary students aged under 18 living at home. </w:t>
      </w:r>
    </w:p>
    <w:p w14:paraId="03E75219" w14:textId="4B464899" w:rsidR="00D24350" w:rsidRPr="00D24350" w:rsidRDefault="00D24350" w:rsidP="00D24350">
      <w:pPr>
        <w:rPr>
          <w:lang w:val="en-GB"/>
        </w:rPr>
      </w:pPr>
      <w:r w:rsidRPr="00D24350">
        <w:rPr>
          <w:lang w:val="en-GB"/>
        </w:rPr>
        <w:t>FTB Part A assists low and middle-income families with the direct costs of raising dependent children. The payment is paid per child and includes fortnightly and end of year assistance. Supplementary payments such as Rent Assistance, Newborn Supplement and Multiple Birth Allowance may also be paid as part of FTB Part A where families meet relevant eligibility requirements.</w:t>
      </w:r>
    </w:p>
    <w:p w14:paraId="5C452A33" w14:textId="77777777" w:rsidR="00D24350" w:rsidRPr="00D24350" w:rsidRDefault="00D24350" w:rsidP="00D24350">
      <w:pPr>
        <w:rPr>
          <w:lang w:val="en-GB"/>
        </w:rPr>
      </w:pPr>
      <w:r w:rsidRPr="00D24350">
        <w:rPr>
          <w:lang w:val="en-GB"/>
        </w:rPr>
        <w:lastRenderedPageBreak/>
        <w:t>Figure 20 (on the following page) shows trend in FTB Part A recipients between 2001 and 2023 by type of family (couples and single parents).</w:t>
      </w:r>
      <w:r w:rsidRPr="00D24350">
        <w:rPr>
          <w:rStyle w:val="Superscript"/>
          <w:lang w:val="en-GB"/>
        </w:rPr>
        <w:footnoteReference w:id="81"/>
      </w:r>
      <w:r w:rsidRPr="00D24350">
        <w:rPr>
          <w:rStyle w:val="Superscript"/>
          <w:lang w:val="en-GB"/>
        </w:rPr>
        <w:t xml:space="preserve"> </w:t>
      </w:r>
      <w:r w:rsidRPr="00D24350">
        <w:rPr>
          <w:lang w:val="en-GB"/>
        </w:rPr>
        <w:t xml:space="preserve">In 2000, when FTB was first introduced, there were 1.801 million FTB Part A families. </w:t>
      </w:r>
    </w:p>
    <w:p w14:paraId="6470CB4E" w14:textId="77777777" w:rsidR="00D24350" w:rsidRPr="00D24350" w:rsidRDefault="00D24350" w:rsidP="00D24350">
      <w:pPr>
        <w:rPr>
          <w:lang w:val="en-GB"/>
        </w:rPr>
      </w:pPr>
      <w:r w:rsidRPr="00D24350">
        <w:rPr>
          <w:lang w:val="en-GB"/>
        </w:rPr>
        <w:t>The FTB Part A population peaked in 2005 at 1.828 million, and has trended downwards since, falling to 1.2 million families by June 2023, a reduction of 33.4%. Over the same period, nationally, according to ABS Labour Force Status of Families, the number of families with a dependent child aged under 15 years increased by 26% and the total number of families with a dependent child aged under 25 increased by 30.3%.</w:t>
      </w:r>
      <w:r w:rsidRPr="00D24350">
        <w:rPr>
          <w:rStyle w:val="Superscript"/>
          <w:lang w:val="en-GB"/>
        </w:rPr>
        <w:footnoteReference w:id="82"/>
      </w:r>
    </w:p>
    <w:p w14:paraId="27BCE915" w14:textId="0E603C50" w:rsidR="00DE6E02" w:rsidRDefault="00DE6E02" w:rsidP="00DE6E02">
      <w:pPr>
        <w:pStyle w:val="Heading4"/>
      </w:pPr>
      <w:r w:rsidRPr="00DE6E02">
        <w:t>Figure 20: FTB Part A families over time, 2001 to 2023 (instalment population)</w:t>
      </w:r>
    </w:p>
    <w:p w14:paraId="0A44D0F6" w14:textId="2586DB9E" w:rsidR="00DE6E02" w:rsidRDefault="00DE6E02" w:rsidP="00DE6E02">
      <w:r>
        <w:rPr>
          <w:noProof/>
        </w:rPr>
        <w:drawing>
          <wp:inline distT="0" distB="0" distL="0" distR="0" wp14:anchorId="41A40C1F" wp14:editId="3EE5C7DE">
            <wp:extent cx="5219700" cy="2413000"/>
            <wp:effectExtent l="0" t="0" r="0" b="0"/>
            <wp:docPr id="1481490336" name="Picture 18" descr="Figure 20: FTB Part A families over time, 2001 to 2023 (instalm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0336" name="Picture 18" descr="Figure 20: FTB Part A families over time, 2001 to 2023 (instalment population)"/>
                    <pic:cNvPicPr/>
                  </pic:nvPicPr>
                  <pic:blipFill>
                    <a:blip r:embed="rId42">
                      <a:extLst>
                        <a:ext uri="{28A0092B-C50C-407E-A947-70E740481C1C}">
                          <a14:useLocalDpi xmlns:a14="http://schemas.microsoft.com/office/drawing/2010/main" val="0"/>
                        </a:ext>
                      </a:extLst>
                    </a:blip>
                    <a:stretch>
                      <a:fillRect/>
                    </a:stretch>
                  </pic:blipFill>
                  <pic:spPr>
                    <a:xfrm>
                      <a:off x="0" y="0"/>
                      <a:ext cx="5219700" cy="2413000"/>
                    </a:xfrm>
                    <a:prstGeom prst="rect">
                      <a:avLst/>
                    </a:prstGeom>
                  </pic:spPr>
                </pic:pic>
              </a:graphicData>
            </a:graphic>
          </wp:inline>
        </w:drawing>
      </w:r>
    </w:p>
    <w:p w14:paraId="2D7EA2CB" w14:textId="77777777" w:rsidR="00DE6E02" w:rsidRPr="00DE6E02" w:rsidRDefault="00DE6E02" w:rsidP="00DE6E02">
      <w:pPr>
        <w:pStyle w:val="Caption"/>
      </w:pPr>
      <w:r w:rsidRPr="00DE6E02">
        <w:t>Source: Services Australia administrative data</w:t>
      </w:r>
    </w:p>
    <w:p w14:paraId="6BF640F2" w14:textId="77777777" w:rsidR="00023C01" w:rsidRPr="00D24350" w:rsidRDefault="00023C01" w:rsidP="00023C01">
      <w:pPr>
        <w:rPr>
          <w:b/>
          <w:bCs/>
          <w:lang w:val="en-GB"/>
        </w:rPr>
      </w:pPr>
      <w:r w:rsidRPr="00D24350">
        <w:rPr>
          <w:b/>
          <w:bCs/>
          <w:lang w:val="en-GB"/>
        </w:rPr>
        <w:t>FTB Part A coverage</w:t>
      </w:r>
    </w:p>
    <w:p w14:paraId="61266791" w14:textId="77777777" w:rsidR="00023C01" w:rsidRPr="00D24350" w:rsidRDefault="00023C01" w:rsidP="00023C01">
      <w:pPr>
        <w:rPr>
          <w:lang w:val="en-GB"/>
        </w:rPr>
      </w:pPr>
      <w:r w:rsidRPr="00D24350">
        <w:rPr>
          <w:lang w:val="en-GB"/>
        </w:rPr>
        <w:t xml:space="preserve">Since 2003-04, the percentage of Australian children attracting FTB Part A at some time in the entitlement year has reduced from a high of 80.5% in 2003-04 to 47.6% in 2020-21. </w:t>
      </w:r>
    </w:p>
    <w:p w14:paraId="196015D9" w14:textId="77777777" w:rsidR="00023C01" w:rsidRDefault="00023C01" w:rsidP="00023C01">
      <w:pPr>
        <w:rPr>
          <w:lang w:val="en-GB"/>
        </w:rPr>
      </w:pPr>
      <w:r w:rsidRPr="00D24350">
        <w:rPr>
          <w:lang w:val="en-GB"/>
        </w:rPr>
        <w:t>Children aged under 5 years have experienced the largest reduction with coverage reducing from 84.1% to 47.6% for children aged one to 4 years (see Figure 21, below). The reduction in coverage is the result of a combination of factors including policy changes, growth in family incomes, fertility rates and other demographic changes, with each effect hard to disentangle from the others.</w:t>
      </w:r>
    </w:p>
    <w:p w14:paraId="5B8CCA09" w14:textId="77777777" w:rsidR="00023C01" w:rsidRDefault="00023C01" w:rsidP="00023C01">
      <w:pPr>
        <w:pStyle w:val="Heading4"/>
      </w:pPr>
      <w:r w:rsidRPr="00DE6E02">
        <w:lastRenderedPageBreak/>
        <w:t>Figure 21: Unique number of FTB Part A children as a proportion of population by age group, 2003/04 to 2021/22 (at Q8 after each entitlement year, Q6 for 2021-22)</w:t>
      </w:r>
    </w:p>
    <w:p w14:paraId="432F9436" w14:textId="77777777" w:rsidR="00023C01" w:rsidRDefault="00023C01" w:rsidP="00023C01">
      <w:r>
        <w:rPr>
          <w:noProof/>
        </w:rPr>
        <w:drawing>
          <wp:inline distT="0" distB="0" distL="0" distR="0" wp14:anchorId="57DD552B" wp14:editId="43E4F70B">
            <wp:extent cx="5219700" cy="2413000"/>
            <wp:effectExtent l="0" t="0" r="0" b="0"/>
            <wp:docPr id="2038759217" name="Picture 19" descr="Figure 21: Unique number of FTB Part A children as a proportion of population by age group, 2003/04 to 2021/22 (at Q8 after each entitlement year, Q6 for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59217" name="Picture 19" descr="Figure 21: Unique number of FTB Part A children as a proportion of population by age group, 2003/04 to 2021/22 (at Q8 after each entitlement year, Q6 for 2021-22)"/>
                    <pic:cNvPicPr/>
                  </pic:nvPicPr>
                  <pic:blipFill>
                    <a:blip r:embed="rId43">
                      <a:extLst>
                        <a:ext uri="{28A0092B-C50C-407E-A947-70E740481C1C}">
                          <a14:useLocalDpi xmlns:a14="http://schemas.microsoft.com/office/drawing/2010/main" val="0"/>
                        </a:ext>
                      </a:extLst>
                    </a:blip>
                    <a:stretch>
                      <a:fillRect/>
                    </a:stretch>
                  </pic:blipFill>
                  <pic:spPr>
                    <a:xfrm>
                      <a:off x="0" y="0"/>
                      <a:ext cx="5219700" cy="2413000"/>
                    </a:xfrm>
                    <a:prstGeom prst="rect">
                      <a:avLst/>
                    </a:prstGeom>
                  </pic:spPr>
                </pic:pic>
              </a:graphicData>
            </a:graphic>
          </wp:inline>
        </w:drawing>
      </w:r>
    </w:p>
    <w:p w14:paraId="1355A666" w14:textId="77777777" w:rsidR="00023C01" w:rsidRPr="00DE6E02" w:rsidRDefault="00023C01" w:rsidP="00023C01">
      <w:pPr>
        <w:pStyle w:val="Caption"/>
      </w:pPr>
      <w:r w:rsidRPr="00DE6E02">
        <w:t>Source: DSS calculations using EDW Family Tax Benefit Reconciliation Package. Unique count of children attracting FTB Part A in the entitlement year, age at 30 June. Data as at quarter 8 (2 years) after entitlement year to allow for reconciliation. 2021-22 is as at quarter 6 and is not yet mature. ABS 3101 National, state and territory population, Table 59. Estimated resident population at 30 June each year. 2022 is preliminary.</w:t>
      </w:r>
    </w:p>
    <w:p w14:paraId="50420150" w14:textId="77777777" w:rsidR="00D24350" w:rsidRPr="00D24350" w:rsidRDefault="00D24350" w:rsidP="00D24350">
      <w:pPr>
        <w:rPr>
          <w:b/>
          <w:bCs/>
          <w:lang w:val="en-GB"/>
        </w:rPr>
      </w:pPr>
      <w:r w:rsidRPr="00D24350">
        <w:rPr>
          <w:b/>
          <w:bCs/>
          <w:lang w:val="en-GB"/>
        </w:rPr>
        <w:t xml:space="preserve">FTB Part A coverage and value </w:t>
      </w:r>
    </w:p>
    <w:p w14:paraId="0F393C5F" w14:textId="77777777" w:rsidR="00D24350" w:rsidRPr="00D24350" w:rsidRDefault="00D24350" w:rsidP="00D24350">
      <w:pPr>
        <w:rPr>
          <w:lang w:val="en-GB"/>
        </w:rPr>
      </w:pPr>
      <w:r w:rsidRPr="00D24350">
        <w:rPr>
          <w:lang w:val="en-GB"/>
        </w:rPr>
        <w:t xml:space="preserve">From July 2009, various measures to target FTB Part A to lower income families have operated to reduce payment coverage. </w:t>
      </w:r>
    </w:p>
    <w:p w14:paraId="6E7D95E3" w14:textId="72968D89" w:rsidR="00D24350" w:rsidRPr="00D24350" w:rsidRDefault="00D24350" w:rsidP="00D24350">
      <w:pPr>
        <w:rPr>
          <w:lang w:val="en-GB"/>
        </w:rPr>
      </w:pPr>
      <w:r w:rsidRPr="00D24350">
        <w:rPr>
          <w:lang w:val="en-GB"/>
        </w:rPr>
        <w:t xml:space="preserve">The most significant of these has been the pausing of indexation of the FTB Part A family income test higher income free area (HIFA). The HIFA is currently $111,398. If CPI indexation had been consistently applied since July 2009 the HIFA would be $138,554. The HIFA indexation pause was also applied to the additional HIFA amount for each child after the first. The HIFA additional child amount was removed from July 2015. If this amount had been retained and indexed, it would currently be $5,475. </w:t>
      </w:r>
    </w:p>
    <w:p w14:paraId="5A970E28" w14:textId="77777777" w:rsidR="00D24350" w:rsidRPr="00D24350" w:rsidRDefault="00D24350" w:rsidP="00D24350">
      <w:pPr>
        <w:rPr>
          <w:lang w:val="en-GB"/>
        </w:rPr>
      </w:pPr>
      <w:r w:rsidRPr="00D24350">
        <w:rPr>
          <w:lang w:val="en-GB"/>
        </w:rPr>
        <w:t xml:space="preserve">Other significant impacts include: </w:t>
      </w:r>
    </w:p>
    <w:p w14:paraId="70070525" w14:textId="77777777" w:rsidR="00D24350" w:rsidRPr="009E7BD6" w:rsidRDefault="00D24350" w:rsidP="009E7BD6">
      <w:pPr>
        <w:pStyle w:val="ListBullet"/>
      </w:pPr>
      <w:r w:rsidRPr="009E7BD6">
        <w:t>the removal of the end of year supplement where family income exceeds $80,000 (July 2016)</w:t>
      </w:r>
    </w:p>
    <w:p w14:paraId="585D5CDE" w14:textId="77777777" w:rsidR="00D24350" w:rsidRPr="009E7BD6" w:rsidRDefault="00D24350" w:rsidP="009E7BD6">
      <w:pPr>
        <w:pStyle w:val="ListBullet"/>
      </w:pPr>
      <w:r w:rsidRPr="009E7BD6">
        <w:t>the removal of the large family supplement (July 2016) and Energy Supplement for new entrants (March 2017)</w:t>
      </w:r>
    </w:p>
    <w:p w14:paraId="10C0973A" w14:textId="77777777" w:rsidR="00D24350" w:rsidRPr="009E7BD6" w:rsidRDefault="00D24350" w:rsidP="009E7BD6">
      <w:pPr>
        <w:pStyle w:val="ListBullet"/>
      </w:pPr>
      <w:r w:rsidRPr="009E7BD6">
        <w:t>for larger families, the increase in the FTB Part A maximum rate taper from 20% to 30% once income reaches the HIFA (July 2019).</w:t>
      </w:r>
    </w:p>
    <w:p w14:paraId="47765919" w14:textId="77777777" w:rsidR="00D24350" w:rsidRPr="00D24350" w:rsidRDefault="00D24350" w:rsidP="00D24350">
      <w:pPr>
        <w:rPr>
          <w:lang w:val="en-GB"/>
        </w:rPr>
      </w:pPr>
      <w:r w:rsidRPr="00D24350">
        <w:rPr>
          <w:lang w:val="en-GB"/>
        </w:rPr>
        <w:t xml:space="preserve">Changes to FTB Part A indexation and indexation pauses, as well as the removal of various supplementary payments available to families have also operated to reduce the maximum rates of assistance provided by FTB Part A in real terms (compared to CPI) and compared to pension rates. At 1 July 2023, the FTB Part A 0-12 fortnightly rate was $36.54 per fortnight ($953 pa) lower than if the indexation of family payments had continued to apply since 1 July 2009 (without the indexation freezes applied). </w:t>
      </w:r>
    </w:p>
    <w:p w14:paraId="2244E36F" w14:textId="77777777" w:rsidR="00D24350" w:rsidRPr="00D24350" w:rsidRDefault="00D24350" w:rsidP="00D24350">
      <w:pPr>
        <w:rPr>
          <w:lang w:val="en-GB"/>
        </w:rPr>
      </w:pPr>
      <w:r w:rsidRPr="00D24350">
        <w:rPr>
          <w:lang w:val="en-GB"/>
        </w:rPr>
        <w:t xml:space="preserve">For a more detailed discussion of these falling rates of FTB coverage and adequacy, the Committee directs readers to a recent study undertaken for the Brotherhood of </w:t>
      </w:r>
      <w:r w:rsidRPr="00D24350">
        <w:rPr>
          <w:lang w:val="en-GB"/>
        </w:rPr>
        <w:br/>
        <w:t xml:space="preserve">St. Laurence, Growing pains: Family Tax Benefit issues and options for reform. </w:t>
      </w:r>
      <w:r w:rsidRPr="00F57B7C">
        <w:rPr>
          <w:rStyle w:val="Superscript"/>
        </w:rPr>
        <w:footnoteReference w:id="83"/>
      </w:r>
    </w:p>
    <w:p w14:paraId="47D5DA83" w14:textId="77777777" w:rsidR="00D24350" w:rsidRPr="00D24350" w:rsidRDefault="00D24350" w:rsidP="00D24350">
      <w:pPr>
        <w:rPr>
          <w:lang w:val="en-GB"/>
        </w:rPr>
      </w:pPr>
      <w:r w:rsidRPr="00D24350">
        <w:rPr>
          <w:lang w:val="en-GB"/>
        </w:rPr>
        <w:lastRenderedPageBreak/>
        <w:t>Given that those families receiving FTB Part A are already struggling to make ends meet, the Committee is strongly concerned about the declining adequacy and coverage of FTB and intends to make this the subject of further analysis and recommendations in its next report. In the meantime, the Committee believes that a small but important sub-cohort of FTB recipients – those in receipt of FTB Part A – can be assisted by simple and affordable changes to action and income tests.</w:t>
      </w:r>
    </w:p>
    <w:p w14:paraId="722CAE7A" w14:textId="77777777" w:rsidR="00D24350" w:rsidRPr="009E7BD6" w:rsidRDefault="00D24350" w:rsidP="009E7BD6">
      <w:pPr>
        <w:pStyle w:val="Heading3"/>
      </w:pPr>
      <w:r w:rsidRPr="009E7BD6">
        <w:t>5.4.2 Child support and the interaction with Family Tax Benefits</w:t>
      </w:r>
    </w:p>
    <w:p w14:paraId="09DEB8B7" w14:textId="0F475D24" w:rsidR="00D24350" w:rsidRPr="00D24350" w:rsidRDefault="00D24350" w:rsidP="00D24350">
      <w:pPr>
        <w:rPr>
          <w:lang w:val="en-GB"/>
        </w:rPr>
      </w:pPr>
      <w:r w:rsidRPr="00D24350">
        <w:rPr>
          <w:lang w:val="en-GB"/>
        </w:rPr>
        <w:t>Child support is a private payment, typically made by a non-resident parent to a resident parent to support the cost of children following parental separation. At present, 88% of child support recipients are mothers, reflecting the deeply gendered division of work and care in Australia that contributes to single parent poverty.</w:t>
      </w:r>
      <w:r w:rsidRPr="00D24350">
        <w:rPr>
          <w:rStyle w:val="Superscript"/>
          <w:lang w:val="en-GB"/>
        </w:rPr>
        <w:footnoteReference w:id="84"/>
      </w:r>
      <w:r w:rsidRPr="00D24350">
        <w:rPr>
          <w:rStyle w:val="Superscript"/>
          <w:lang w:val="en-GB"/>
        </w:rPr>
        <w:t xml:space="preserve"> </w:t>
      </w:r>
      <w:r w:rsidRPr="00D24350">
        <w:rPr>
          <w:lang w:val="en-GB"/>
        </w:rPr>
        <w:t>Child support forms an important part of single parents’ income package, reducing the likelihood of single mother family poverty by 21%, when payments are received.</w:t>
      </w:r>
      <w:r w:rsidRPr="00D24350">
        <w:rPr>
          <w:rStyle w:val="Superscript"/>
          <w:lang w:val="en-GB"/>
        </w:rPr>
        <w:footnoteReference w:id="85"/>
      </w:r>
    </w:p>
    <w:p w14:paraId="4060F196" w14:textId="77777777" w:rsidR="00D24350" w:rsidRPr="00D24350" w:rsidRDefault="00D24350" w:rsidP="00D24350">
      <w:pPr>
        <w:rPr>
          <w:lang w:val="en-GB"/>
        </w:rPr>
      </w:pPr>
      <w:r w:rsidRPr="00D24350">
        <w:rPr>
          <w:lang w:val="en-GB"/>
        </w:rPr>
        <w:t>As of September 2023, there were 649,355 active child support cases pertaining to almost one million children.</w:t>
      </w:r>
      <w:r w:rsidRPr="00D24350">
        <w:rPr>
          <w:rStyle w:val="Superscript"/>
          <w:lang w:val="en-GB"/>
        </w:rPr>
        <w:footnoteReference w:id="86"/>
      </w:r>
      <w:r w:rsidRPr="00D24350">
        <w:rPr>
          <w:lang w:val="en-GB"/>
        </w:rPr>
        <w:t xml:space="preserve"> Of these cases, approximately half (50.5%) transfer payments via Services Australia, known as Agency Collect, with the other half transfer payments privately between parents. While the number of single parent families is increasing slowly over time, from 14.5% in 1996 to 15.9% in 2021</w:t>
      </w:r>
      <w:r w:rsidRPr="00D24350">
        <w:rPr>
          <w:rStyle w:val="Superscript"/>
          <w:lang w:val="en-GB"/>
        </w:rPr>
        <w:footnoteReference w:id="87"/>
      </w:r>
      <w:r w:rsidRPr="00D24350">
        <w:rPr>
          <w:lang w:val="en-GB"/>
        </w:rPr>
        <w:t>, the number of child support cases is declining. There was 5% fewer active cases in September 2023 compared to the same time in 2019, and 2% fewer than the same time a year ago.</w:t>
      </w:r>
      <w:r w:rsidRPr="00D24350">
        <w:rPr>
          <w:rStyle w:val="Superscript"/>
          <w:lang w:val="en-GB"/>
        </w:rPr>
        <w:footnoteReference w:id="88"/>
      </w:r>
      <w:r w:rsidRPr="00D24350">
        <w:rPr>
          <w:lang w:val="en-GB"/>
        </w:rPr>
        <w:t xml:space="preserve"> </w:t>
      </w:r>
    </w:p>
    <w:p w14:paraId="6220EEAB" w14:textId="77777777" w:rsidR="00D24350" w:rsidRPr="00D24350" w:rsidRDefault="00D24350" w:rsidP="00D24350">
      <w:pPr>
        <w:rPr>
          <w:lang w:val="en-GB"/>
        </w:rPr>
      </w:pPr>
      <w:r w:rsidRPr="00D24350">
        <w:rPr>
          <w:lang w:val="en-GB"/>
        </w:rPr>
        <w:t>The decline in the child support caseload is concerning given the significant and persistent financial stress experienced by single parent families</w:t>
      </w:r>
      <w:r w:rsidRPr="00D24350">
        <w:rPr>
          <w:rStyle w:val="Superscript"/>
          <w:lang w:val="en-GB"/>
        </w:rPr>
        <w:footnoteReference w:id="89"/>
      </w:r>
      <w:r w:rsidRPr="00D24350">
        <w:rPr>
          <w:lang w:val="en-GB"/>
        </w:rPr>
        <w:t>, particularly single mother families</w:t>
      </w:r>
      <w:r w:rsidRPr="00D24350">
        <w:rPr>
          <w:rStyle w:val="Superscript"/>
          <w:lang w:val="en-GB"/>
        </w:rPr>
        <w:footnoteReference w:id="90"/>
      </w:r>
      <w:r w:rsidRPr="00D24350">
        <w:rPr>
          <w:lang w:val="en-GB"/>
        </w:rPr>
        <w:t xml:space="preserve">, and the requirement that single parents seek child support in order to qualify for above-base-rate FTB Part A (currently $68.46 for each child, per fortnight). </w:t>
      </w:r>
    </w:p>
    <w:p w14:paraId="2470F488" w14:textId="0B5DA921" w:rsidR="00D24350" w:rsidRPr="00D24350" w:rsidRDefault="00D24350" w:rsidP="00D24350">
      <w:pPr>
        <w:rPr>
          <w:lang w:val="en-GB"/>
        </w:rPr>
      </w:pPr>
      <w:r w:rsidRPr="00D24350">
        <w:rPr>
          <w:lang w:val="en-GB"/>
        </w:rPr>
        <w:t>Departmental data show that the proportion of the child support caseload who pass the Maintenance Action Test (MAT) by seeking child support from their ex-partner (Figure 22).</w:t>
      </w:r>
    </w:p>
    <w:p w14:paraId="377E5E64" w14:textId="77777777" w:rsidR="00DE6E02" w:rsidRDefault="00DE6E02" w:rsidP="00DE6E02">
      <w:pPr>
        <w:pStyle w:val="Heading4"/>
      </w:pPr>
      <w:r w:rsidRPr="00DE6E02">
        <w:lastRenderedPageBreak/>
        <w:t>Figure 22: Separated parents’ access to child support over time, March 2018 – Sept 2023</w:t>
      </w:r>
    </w:p>
    <w:p w14:paraId="221C7DDC" w14:textId="71971DDE" w:rsidR="00DE6E02" w:rsidRDefault="00DE6E02" w:rsidP="00DE6E02">
      <w:r>
        <w:rPr>
          <w:noProof/>
        </w:rPr>
        <w:drawing>
          <wp:inline distT="0" distB="0" distL="0" distR="0" wp14:anchorId="4D61B5B9" wp14:editId="11A724B7">
            <wp:extent cx="5731510" cy="1382395"/>
            <wp:effectExtent l="0" t="0" r="0" b="0"/>
            <wp:docPr id="1453772783" name="Picture 20" descr="Figure 22: Separated parents’ access to child support over time, March 2018 – Sep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72783" name="Picture 20" descr="Figure 22: Separated parents’ access to child support over time, March 2018 – Sept 20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382395"/>
                    </a:xfrm>
                    <a:prstGeom prst="rect">
                      <a:avLst/>
                    </a:prstGeom>
                  </pic:spPr>
                </pic:pic>
              </a:graphicData>
            </a:graphic>
          </wp:inline>
        </w:drawing>
      </w:r>
    </w:p>
    <w:p w14:paraId="42791D8B" w14:textId="0B1D93D6" w:rsidR="00DE6E02" w:rsidRPr="00DE6E02" w:rsidRDefault="00DE6E02" w:rsidP="00DE6E02">
      <w:pPr>
        <w:pStyle w:val="Caption"/>
      </w:pPr>
      <w:r w:rsidRPr="00DE6E02">
        <w:t>Source: DSS administrative data</w:t>
      </w:r>
    </w:p>
    <w:p w14:paraId="1C61DA27" w14:textId="77777777" w:rsidR="00D24350" w:rsidRPr="00D24350" w:rsidRDefault="00D24350" w:rsidP="00D24350">
      <w:pPr>
        <w:rPr>
          <w:lang w:val="en-GB"/>
        </w:rPr>
      </w:pPr>
      <w:r w:rsidRPr="00D24350">
        <w:rPr>
          <w:lang w:val="en-GB"/>
        </w:rPr>
        <w:t>Figure 22 shows a decrease in the proportion of single parents who passed the MAT between March 2018 and September 2023, decreasing from 76% to 69% over this period. Over the same period, single parents exempt from the MAT increased from 12% in March 2018 to 15% in September 2023</w:t>
      </w:r>
      <w:r w:rsidRPr="00D24350">
        <w:rPr>
          <w:rStyle w:val="Superscript"/>
          <w:lang w:val="en-GB"/>
        </w:rPr>
        <w:footnoteReference w:id="91"/>
      </w:r>
      <w:r w:rsidRPr="00D24350">
        <w:rPr>
          <w:lang w:val="en-GB"/>
        </w:rPr>
        <w:t xml:space="preserve">. </w:t>
      </w:r>
    </w:p>
    <w:p w14:paraId="70FACE5A" w14:textId="77777777" w:rsidR="00D24350" w:rsidRPr="00D24350" w:rsidRDefault="00D24350" w:rsidP="00D24350">
      <w:pPr>
        <w:rPr>
          <w:lang w:val="en-GB"/>
        </w:rPr>
      </w:pPr>
      <w:r w:rsidRPr="00D24350">
        <w:rPr>
          <w:lang w:val="en-GB"/>
        </w:rPr>
        <w:t>Parents may be exempt from taking action to receive child support on a number of grounds, including a fear of violence as a result of seeking child support, unknown other parent identity, surrogacy, cultural considerations, deceased other parent, and other exceptional circumstances.</w:t>
      </w:r>
      <w:r w:rsidRPr="00D24350">
        <w:rPr>
          <w:rStyle w:val="Superscript"/>
          <w:lang w:val="en-GB"/>
        </w:rPr>
        <w:footnoteReference w:id="92"/>
      </w:r>
    </w:p>
    <w:p w14:paraId="60CB37C6" w14:textId="77777777" w:rsidR="00D24350" w:rsidRPr="00D24350" w:rsidRDefault="00D24350" w:rsidP="00D24350">
      <w:pPr>
        <w:rPr>
          <w:lang w:val="en-GB"/>
        </w:rPr>
      </w:pPr>
      <w:r w:rsidRPr="00D24350">
        <w:rPr>
          <w:lang w:val="en-GB"/>
        </w:rPr>
        <w:t>The proportion of parents exempted from taking child support action for each of the above reasons is not known. However, the growing societal awareness of family violence</w:t>
      </w:r>
      <w:r w:rsidRPr="00D24350">
        <w:rPr>
          <w:rStyle w:val="Superscript"/>
          <w:lang w:val="en-GB"/>
        </w:rPr>
        <w:footnoteReference w:id="93"/>
      </w:r>
      <w:r w:rsidRPr="00D24350">
        <w:rPr>
          <w:lang w:val="en-GB"/>
        </w:rPr>
        <w:t xml:space="preserve"> may account for the increase over time. In any case, the small proportion of single parents who are exempt from seeking child support due to fears of violence is dwarfed by the finding from ABS data that 60% of women who were now single mothers had experienced violence from a previous partner.</w:t>
      </w:r>
      <w:r w:rsidRPr="00D24350">
        <w:rPr>
          <w:rStyle w:val="Superscript"/>
          <w:lang w:val="en-GB"/>
        </w:rPr>
        <w:footnoteReference w:id="94"/>
      </w:r>
      <w:r w:rsidRPr="00D24350">
        <w:rPr>
          <w:lang w:val="en-GB"/>
        </w:rPr>
        <w:t xml:space="preserve"> Not all such women may still be at risk of violence. In addition, not all may not be able to document incidents of violence or be able to demonstrate that violence may occur as a result of seeking child support, and as such will not meet the eligibility criteria for an exemption. However, the implied definition of violence used in the MAT exemption seems particularly limited. </w:t>
      </w:r>
    </w:p>
    <w:p w14:paraId="6F27821D" w14:textId="77777777" w:rsidR="00D24350" w:rsidRPr="00D24350" w:rsidRDefault="00D24350" w:rsidP="00D24350">
      <w:pPr>
        <w:rPr>
          <w:lang w:val="en-GB"/>
        </w:rPr>
      </w:pPr>
      <w:r w:rsidRPr="00D24350">
        <w:rPr>
          <w:lang w:val="en-GB"/>
        </w:rPr>
        <w:t>A survey of single mothers found that 80% of respondents reported that their ex-partner had replaced physical violence with financial abuse via child support following separation.</w:t>
      </w:r>
      <w:r w:rsidRPr="00F57B7C">
        <w:rPr>
          <w:rStyle w:val="Superscript"/>
        </w:rPr>
        <w:footnoteReference w:id="95"/>
      </w:r>
      <w:r w:rsidRPr="00F57B7C">
        <w:rPr>
          <w:rStyle w:val="Superscript"/>
        </w:rPr>
        <w:t xml:space="preserve"> </w:t>
      </w:r>
      <w:r w:rsidRPr="00D24350">
        <w:rPr>
          <w:lang w:val="en-GB"/>
        </w:rPr>
        <w:t>The MAT exemption does not appear to recognise the risk of financial violence that separated mothers face, or the role the child support plays in its perpetration.</w:t>
      </w:r>
    </w:p>
    <w:p w14:paraId="59B794E9" w14:textId="77777777" w:rsidR="00D24350" w:rsidRPr="00D24350" w:rsidRDefault="00D24350" w:rsidP="00D24350">
      <w:pPr>
        <w:rPr>
          <w:lang w:val="en-GB"/>
        </w:rPr>
      </w:pPr>
      <w:r w:rsidRPr="00D24350">
        <w:rPr>
          <w:lang w:val="en-GB"/>
        </w:rPr>
        <w:t>In addition to the increase in parents exempt from the MAT over time, there has been an increase in the proportion of single parents who have failed the MAT, increasing from 11% in March 2018 to 15% in September 2023. This trend is of particular concern as it leaves single parents with extremely low incomes, well below the poverty line. It is not acceptable for children growing up in such households to be denied the level of Family Tax Benefits that their parents’ incomes warrant.</w:t>
      </w:r>
    </w:p>
    <w:p w14:paraId="72D88A94" w14:textId="77777777" w:rsidR="00D24350" w:rsidRPr="00D24350" w:rsidRDefault="00D24350" w:rsidP="00D24350">
      <w:pPr>
        <w:rPr>
          <w:lang w:val="en-GB"/>
        </w:rPr>
      </w:pPr>
      <w:r w:rsidRPr="00D24350">
        <w:rPr>
          <w:lang w:val="en-GB"/>
        </w:rPr>
        <w:t xml:space="preserve">Parents who fail to take reasonable action to seek child support, and who are not eligible for an exemption, have their FTB Part A payments reduced to the base rate. Given that family </w:t>
      </w:r>
      <w:r w:rsidRPr="00D24350">
        <w:rPr>
          <w:lang w:val="en-GB"/>
        </w:rPr>
        <w:lastRenderedPageBreak/>
        <w:t>tax benefits comprise a significant proportion of single parents’ total income package</w:t>
      </w:r>
      <w:r w:rsidRPr="00F57B7C">
        <w:rPr>
          <w:rStyle w:val="Superscript"/>
        </w:rPr>
        <w:footnoteReference w:id="96"/>
      </w:r>
      <w:r w:rsidRPr="00D24350">
        <w:rPr>
          <w:lang w:val="en-GB"/>
        </w:rPr>
        <w:t>, the growing proportion of parents who receive only the base of payments is of considerable concern and likely contributes to the high levels of single mother poverty.</w:t>
      </w:r>
    </w:p>
    <w:p w14:paraId="78494B18" w14:textId="77777777" w:rsidR="00D24350" w:rsidRPr="00D24350" w:rsidRDefault="00D24350" w:rsidP="00D24350">
      <w:pPr>
        <w:rPr>
          <w:lang w:val="en-GB"/>
        </w:rPr>
      </w:pPr>
      <w:r w:rsidRPr="00D24350">
        <w:rPr>
          <w:lang w:val="en-GB"/>
        </w:rPr>
        <w:t>In addition to the increasing rate of MAT failures and the low level of exemptions on the grounds of family violence, the previous Interim EIAC report</w:t>
      </w:r>
      <w:r w:rsidRPr="00F57B7C">
        <w:rPr>
          <w:rStyle w:val="Superscript"/>
        </w:rPr>
        <w:footnoteReference w:id="97"/>
      </w:r>
      <w:r w:rsidRPr="00D24350">
        <w:rPr>
          <w:lang w:val="en-GB"/>
        </w:rPr>
        <w:t xml:space="preserve"> raised concerns about the opaque nature of Private Collection payments, and the potential for these arrangements to lead to debts owed to the Government when ex-partners intentionally manipulated tax returns and child support payments. The Committee’s previous report outlined how the MIT reduced FTB Part A payments by 50 cents for every dollar of child support received – or due to be received in Private Collect cases – above a meagre threshold. The report detailed how the MIT afforded malicious ex-partners scope to manipulate the timing of tax returns, the value of child support liabilities and the timing and value of payments in order to raise FTB debts against single mothers. In the previous report, the Committee recommended that the Government remove the MIT from the calculation of FTB Part A for child support customers</w:t>
      </w:r>
      <w:r w:rsidRPr="00D24350">
        <w:rPr>
          <w:rStyle w:val="Superscript"/>
          <w:lang w:val="en-GB"/>
        </w:rPr>
        <w:footnoteReference w:id="98"/>
      </w:r>
      <w:r w:rsidRPr="00D24350">
        <w:rPr>
          <w:lang w:val="en-GB"/>
        </w:rPr>
        <w:t>. This recommendation was also made by the WEET and has yet to be actioned or responded to.</w:t>
      </w:r>
      <w:r w:rsidRPr="00D24350">
        <w:rPr>
          <w:rStyle w:val="Superscript"/>
          <w:lang w:val="en-GB"/>
        </w:rPr>
        <w:footnoteReference w:id="99"/>
      </w:r>
    </w:p>
    <w:p w14:paraId="2ED2D72C" w14:textId="77777777" w:rsidR="00D24350" w:rsidRPr="00D24350" w:rsidRDefault="00D24350" w:rsidP="00D24350">
      <w:pPr>
        <w:rPr>
          <w:lang w:val="en-GB"/>
        </w:rPr>
      </w:pPr>
      <w:r w:rsidRPr="00D24350">
        <w:rPr>
          <w:lang w:val="en-GB"/>
        </w:rPr>
        <w:t>Several Government inquires and reports have echoed the concerns of the Committee over the potential for child support to be used to inflict financial harms post separation.</w:t>
      </w:r>
      <w:r w:rsidRPr="00D24350">
        <w:rPr>
          <w:rStyle w:val="Superscript"/>
          <w:lang w:val="en-GB"/>
        </w:rPr>
        <w:footnoteReference w:id="100"/>
      </w:r>
    </w:p>
    <w:p w14:paraId="69958BC6" w14:textId="77777777" w:rsidR="00D24350" w:rsidRPr="00D24350" w:rsidRDefault="00D24350" w:rsidP="00D24350">
      <w:pPr>
        <w:rPr>
          <w:lang w:val="en-GB"/>
        </w:rPr>
      </w:pPr>
      <w:r w:rsidRPr="00D24350">
        <w:rPr>
          <w:lang w:val="en-GB"/>
        </w:rPr>
        <w:t>The Women’s Budget Statement set out several reforms intended to improve the child support system, including committing $5.1 million over 5 years to implement key recommendations made by the Joint Select Committee on Australia’s Family Law System. Commitments include:</w:t>
      </w:r>
    </w:p>
    <w:p w14:paraId="29200E23" w14:textId="77777777" w:rsidR="00D24350" w:rsidRPr="009E7BD6" w:rsidRDefault="00D24350" w:rsidP="009E7BD6">
      <w:pPr>
        <w:pStyle w:val="ListBullet"/>
      </w:pPr>
      <w:r w:rsidRPr="009E7BD6">
        <w:t>establishing a Child Support Stakeholder Consultation Group</w:t>
      </w:r>
    </w:p>
    <w:p w14:paraId="4DCB1B12" w14:textId="77777777" w:rsidR="00D24350" w:rsidRPr="009E7BD6" w:rsidRDefault="00D24350" w:rsidP="009E7BD6">
      <w:pPr>
        <w:pStyle w:val="ListBullet"/>
      </w:pPr>
      <w:r w:rsidRPr="009E7BD6">
        <w:t>commissioning expert research on the costs of raising children in Australia and consider whether changes are needed to the child support formula</w:t>
      </w:r>
    </w:p>
    <w:p w14:paraId="03DA70E3" w14:textId="77777777" w:rsidR="00D24350" w:rsidRPr="009E7BD6" w:rsidRDefault="00D24350" w:rsidP="009E7BD6">
      <w:pPr>
        <w:pStyle w:val="ListBullet"/>
      </w:pPr>
      <w:r w:rsidRPr="009E7BD6">
        <w:t>reviewing compliance in the child support scheme, with a focus on collection and enforcement</w:t>
      </w:r>
    </w:p>
    <w:p w14:paraId="6E2964CB" w14:textId="77777777" w:rsidR="00D24350" w:rsidRPr="009E7BD6" w:rsidRDefault="00D24350" w:rsidP="009E7BD6">
      <w:pPr>
        <w:pStyle w:val="ListBullet"/>
      </w:pPr>
      <w:r w:rsidRPr="009E7BD6">
        <w:t>reviewing the interaction between the child support scheme and FTB to ensure vulnerable single parent families are financially supported after separation</w:t>
      </w:r>
    </w:p>
    <w:p w14:paraId="450C9FA8" w14:textId="77777777" w:rsidR="00D24350" w:rsidRPr="009E7BD6" w:rsidRDefault="00D24350" w:rsidP="009E7BD6">
      <w:pPr>
        <w:pStyle w:val="ListBullet"/>
      </w:pPr>
      <w:r w:rsidRPr="009E7BD6">
        <w:t>undertaking an evaluation of separated families to understand what can be done to support parents with caring responsibilities where private collect arrangements have broken down.</w:t>
      </w:r>
    </w:p>
    <w:p w14:paraId="434E62CB" w14:textId="11422891" w:rsidR="00D24350" w:rsidRDefault="00D24350" w:rsidP="00D24350">
      <w:pPr>
        <w:rPr>
          <w:lang w:val="en-GB"/>
        </w:rPr>
      </w:pPr>
      <w:r w:rsidRPr="00D24350">
        <w:rPr>
          <w:lang w:val="en-GB"/>
        </w:rPr>
        <w:t>To action these commitments, the Government has established the Child Support Stakeholder Consultation Group as well as a Child Support Expert Panel. However, the scope of the Consultation Group and Expert Panel is limited to advising on the commissioning of costs of children and related research, considering the technical details of the operation of the child support scheme, and developing a methodology to review the child support formula.</w:t>
      </w:r>
      <w:r w:rsidRPr="00D24350">
        <w:rPr>
          <w:rStyle w:val="Superscript"/>
          <w:lang w:val="en-GB"/>
        </w:rPr>
        <w:footnoteReference w:id="101"/>
      </w:r>
      <w:r w:rsidRPr="00D24350">
        <w:rPr>
          <w:lang w:val="en-GB"/>
        </w:rPr>
        <w:t xml:space="preserve"> These functions are limited to assessing the scheme’s technical calculations and fail to address the Government’s commitments to review the potential for child support scheme and FTB system interactions to cause harm through MAT failures and </w:t>
      </w:r>
      <w:r w:rsidRPr="00D24350">
        <w:rPr>
          <w:lang w:val="en-GB"/>
        </w:rPr>
        <w:lastRenderedPageBreak/>
        <w:t>the use of the child support system to induce FTB Part A debts owed to Government and perpetrate financial abuse, particularly in Private Collect cases. These issues will be the subject of more detailed enquiry by the Committee in next year’s report. However, the Government could take up its commitment to ensuring women’s safety by eliminating key interactions between child support and the FTB system. Accordingly, the Committee recommends:</w:t>
      </w:r>
    </w:p>
    <w:p w14:paraId="1BA92B19" w14:textId="77777777" w:rsidR="00DD1A2D" w:rsidRPr="00DD1A2D" w:rsidRDefault="00DD1A2D" w:rsidP="00023C01">
      <w:pPr>
        <w:shd w:val="clear" w:color="auto" w:fill="FAF1E8" w:themeFill="accent2"/>
        <w:rPr>
          <w:b/>
          <w:bCs/>
        </w:rPr>
      </w:pPr>
      <w:r w:rsidRPr="00DD1A2D">
        <w:rPr>
          <w:b/>
          <w:bCs/>
        </w:rPr>
        <w:t>Recommendation 15</w:t>
      </w:r>
    </w:p>
    <w:p w14:paraId="43E7256A" w14:textId="77777777" w:rsidR="00DD1A2D" w:rsidRPr="00DD1A2D" w:rsidRDefault="00DD1A2D" w:rsidP="00023C01">
      <w:pPr>
        <w:shd w:val="clear" w:color="auto" w:fill="FAF1E8" w:themeFill="accent2"/>
        <w:rPr>
          <w:b/>
          <w:bCs/>
        </w:rPr>
      </w:pPr>
      <w:r w:rsidRPr="00DD1A2D">
        <w:rPr>
          <w:b/>
          <w:bCs/>
        </w:rPr>
        <w:t xml:space="preserve">The Government implement Recommendation 33 from the Committee’s 2023 Report, namely, to remove the MIT from the calculation of FTB Part A for child support customers. </w:t>
      </w:r>
    </w:p>
    <w:p w14:paraId="2B1EEDCF" w14:textId="4245E675" w:rsidR="00DD1A2D" w:rsidRPr="00DD1A2D" w:rsidRDefault="00DD1A2D" w:rsidP="00023C01">
      <w:pPr>
        <w:shd w:val="clear" w:color="auto" w:fill="FAF1E8" w:themeFill="accent2"/>
        <w:rPr>
          <w:b/>
          <w:bCs/>
        </w:rPr>
      </w:pPr>
      <w:r w:rsidRPr="00DD1A2D">
        <w:rPr>
          <w:b/>
          <w:bCs/>
        </w:rPr>
        <w:t>Payment criteria should be adjusted so that affected families receive a similar amount of family benefits as would have resulted under the MIT. The desired outcome is that FTB Part A payments are made more predictable for recipients, rather than significantly altering payment values. The removal of the MIT would result in more certain FTB Part A payments for financially vulnerable families, remove the prospect of retrospectively applied FTB Part A debts, and concurrently close a loophole that allows child support and FTB Part A to be used as vehicles for enacting financial abuse.</w:t>
      </w:r>
    </w:p>
    <w:p w14:paraId="3130CBF5" w14:textId="77777777" w:rsidR="00D24350" w:rsidRPr="009E7BD6" w:rsidRDefault="00D24350" w:rsidP="009E7BD6">
      <w:pPr>
        <w:pStyle w:val="Heading2"/>
      </w:pPr>
      <w:bookmarkStart w:id="54" w:name="_Toc165366884"/>
      <w:r w:rsidRPr="009E7BD6">
        <w:t>5.5 Conclusion</w:t>
      </w:r>
      <w:bookmarkEnd w:id="54"/>
    </w:p>
    <w:p w14:paraId="380D310C" w14:textId="77777777" w:rsidR="00D24350" w:rsidRPr="00D24350" w:rsidRDefault="00D24350" w:rsidP="00D24350">
      <w:pPr>
        <w:rPr>
          <w:lang w:val="en-GB"/>
        </w:rPr>
      </w:pPr>
      <w:r w:rsidRPr="00D24350">
        <w:rPr>
          <w:lang w:val="en-GB"/>
        </w:rPr>
        <w:t xml:space="preserve">The early years of a child’s life are the most crucial in so many respects. It’s when their brains reach important development milestones, their potential can start to be realised, and their life chances opened up. Spending on them and the stability of their families at this stage should be regarded as a vital investment. </w:t>
      </w:r>
    </w:p>
    <w:p w14:paraId="6D1F784B" w14:textId="77777777" w:rsidR="00D24350" w:rsidRPr="00D24350" w:rsidRDefault="00D24350" w:rsidP="00D24350">
      <w:pPr>
        <w:rPr>
          <w:lang w:val="en-GB"/>
        </w:rPr>
      </w:pPr>
      <w:r w:rsidRPr="00D24350">
        <w:rPr>
          <w:lang w:val="en-GB"/>
        </w:rPr>
        <w:t>While Australia’s early child development efforts are generally considered strong, there is little doubt that they could yield an even greater benefit.</w:t>
      </w:r>
    </w:p>
    <w:p w14:paraId="6B56B467" w14:textId="77777777" w:rsidR="00D24350" w:rsidRPr="00D24350" w:rsidRDefault="00D24350" w:rsidP="00D24350">
      <w:pPr>
        <w:rPr>
          <w:lang w:val="en-GB"/>
        </w:rPr>
      </w:pPr>
      <w:r w:rsidRPr="00D24350">
        <w:rPr>
          <w:lang w:val="en-GB"/>
        </w:rPr>
        <w:t xml:space="preserve">This starts with the creation of a fully developed and coordinated national early child development system as a partnership between the Commonwealth, state and territory governments, with the aim of bringing all service elements together to achieve the goal of universal access to higher quality joined up services. </w:t>
      </w:r>
    </w:p>
    <w:p w14:paraId="4118A176" w14:textId="2890F9A7" w:rsidR="00D24350" w:rsidRPr="00D24350" w:rsidRDefault="00D24350" w:rsidP="00D24350">
      <w:pPr>
        <w:rPr>
          <w:lang w:val="en-GB"/>
        </w:rPr>
      </w:pPr>
      <w:r w:rsidRPr="00D24350">
        <w:rPr>
          <w:lang w:val="en-GB"/>
        </w:rPr>
        <w:t xml:space="preserve">Because too many of the children who need it most miss out on ECEC services, those services need significant policy change. Activity tests that take care away from non-working families, market shortages that lead to ECEC service deserts, and staff shortages due to insufficient wages offered to care workers, all need to be addressed. </w:t>
      </w:r>
    </w:p>
    <w:p w14:paraId="68F6F55F" w14:textId="3E35B190" w:rsidR="00D24350" w:rsidRPr="00D24350" w:rsidRDefault="00D24350" w:rsidP="00D24350">
      <w:pPr>
        <w:rPr>
          <w:lang w:val="en-GB"/>
        </w:rPr>
      </w:pPr>
      <w:r w:rsidRPr="00D24350">
        <w:rPr>
          <w:lang w:val="en-GB"/>
        </w:rPr>
        <w:t>Innovation is also needed. The success of full-service school models provide a potential way of creating strong pathways through the early years and through schooling for children in the most disadvantaged communities. Holistic ECEC services and integrated child and family centres are other promising modalities that should be more widely supported. Leadership and cooperation will be needed to make cross-service programs like this work.</w:t>
      </w:r>
    </w:p>
    <w:p w14:paraId="65301E9E" w14:textId="77777777" w:rsidR="00D24350" w:rsidRPr="00D24350" w:rsidRDefault="00D24350" w:rsidP="00D24350">
      <w:pPr>
        <w:rPr>
          <w:lang w:val="en-GB"/>
        </w:rPr>
      </w:pPr>
      <w:r w:rsidRPr="00D24350">
        <w:rPr>
          <w:lang w:val="en-GB"/>
        </w:rPr>
        <w:t xml:space="preserve">In addition to this, the financial support of families with young children – most numerously single mothers – must and can be improved. The unforeseen consequences of interactions between the FTB Part A and child support, especially involving parents who game the system, reduce the certainty of income of many care givers, exposing them to unforeseen debts and financial violence by ex-partners. </w:t>
      </w:r>
    </w:p>
    <w:p w14:paraId="40A873EF" w14:textId="5CC64446" w:rsidR="00D24350" w:rsidRPr="00D24350" w:rsidRDefault="00D24350" w:rsidP="00D24350">
      <w:pPr>
        <w:rPr>
          <w:lang w:val="en-GB"/>
        </w:rPr>
      </w:pPr>
      <w:r w:rsidRPr="00D24350">
        <w:rPr>
          <w:lang w:val="en-GB"/>
        </w:rPr>
        <w:t>Getting rid of the cause of this injustice by removing the MIT from the calculation of FTB Part A would be a good step forward.</w:t>
      </w:r>
    </w:p>
    <w:p w14:paraId="4D82F2D5" w14:textId="77777777" w:rsidR="009E7BD6" w:rsidRDefault="009E7BD6">
      <w:pPr>
        <w:spacing w:after="0"/>
        <w:rPr>
          <w:lang w:val="en-US"/>
        </w:rPr>
      </w:pPr>
      <w:r>
        <w:rPr>
          <w:lang w:val="en-US"/>
        </w:rPr>
        <w:br w:type="page"/>
      </w:r>
    </w:p>
    <w:p w14:paraId="036A174B" w14:textId="77777777" w:rsidR="00990E04" w:rsidRPr="00990E04" w:rsidRDefault="00990E04" w:rsidP="00990E04">
      <w:pPr>
        <w:pStyle w:val="Heading2"/>
      </w:pPr>
      <w:bookmarkStart w:id="55" w:name="_Toc165366885"/>
      <w:r w:rsidRPr="00990E04">
        <w:lastRenderedPageBreak/>
        <w:t>Farnaz: Mature-aged JobSeeker</w:t>
      </w:r>
      <w:bookmarkEnd w:id="55"/>
    </w:p>
    <w:p w14:paraId="212E46F9" w14:textId="07312521" w:rsidR="00D24350" w:rsidRPr="00990E04" w:rsidRDefault="00D24350" w:rsidP="00990E04">
      <w:pPr>
        <w:rPr>
          <w:rStyle w:val="Emphasis"/>
        </w:rPr>
      </w:pPr>
      <w:r w:rsidRPr="00990E04">
        <w:rPr>
          <w:rStyle w:val="Emphasis"/>
        </w:rPr>
        <w:t xml:space="preserve">Farnaz is a 48-year-old IT specialist who moved to Australia nine years ago as a skilled professional. </w:t>
      </w:r>
    </w:p>
    <w:p w14:paraId="07657D8D" w14:textId="77777777" w:rsidR="00D24350" w:rsidRPr="00D24350" w:rsidRDefault="00D24350" w:rsidP="00D24350">
      <w:pPr>
        <w:rPr>
          <w:lang w:val="en-GB"/>
        </w:rPr>
      </w:pPr>
      <w:r w:rsidRPr="00D24350">
        <w:rPr>
          <w:lang w:val="en-GB"/>
        </w:rPr>
        <w:t>She has two daughters, aged seventeen and twenty, who are in their final year of high school and second year of a law degree. Farnaz had been working for a major IT firm in Adelaide but moved to Sydney to be closer to her family after her husband died suddenly two years ago. Since then, Farnaz has struggled to find work or even get an interview for jobs in her field and has been receiving a JobSeeker Payment.</w:t>
      </w:r>
    </w:p>
    <w:p w14:paraId="5B8E3B73" w14:textId="77777777" w:rsidR="00D24350" w:rsidRPr="00D24350" w:rsidRDefault="00D24350" w:rsidP="00D24350">
      <w:pPr>
        <w:rPr>
          <w:lang w:val="en-GB"/>
        </w:rPr>
      </w:pPr>
      <w:r w:rsidRPr="00D24350">
        <w:rPr>
          <w:lang w:val="en-GB"/>
        </w:rPr>
        <w:t xml:space="preserve">Farnaz is grateful to live in a country that has a social security system. She feels very lucky to be supported by her new country and wants to be able to pay back the help that she has received by paying taxes and contributing her skills. </w:t>
      </w:r>
    </w:p>
    <w:p w14:paraId="7A8B9193" w14:textId="77777777" w:rsidR="00D24350" w:rsidRPr="00D24350" w:rsidRDefault="00D24350" w:rsidP="00D24350">
      <w:pPr>
        <w:rPr>
          <w:lang w:val="en-US"/>
        </w:rPr>
      </w:pPr>
      <w:r w:rsidRPr="00D24350">
        <w:rPr>
          <w:lang w:val="en-US"/>
        </w:rPr>
        <w:t xml:space="preserve">But she has found it incredibly difficult to find a job in a job market in which knowing people can be more important than responding to a job ad. </w:t>
      </w:r>
    </w:p>
    <w:p w14:paraId="575CBCB2" w14:textId="77777777" w:rsidR="00D24350" w:rsidRPr="00D24350" w:rsidRDefault="00D24350" w:rsidP="00D24350">
      <w:pPr>
        <w:rPr>
          <w:lang w:val="en-GB"/>
        </w:rPr>
      </w:pPr>
      <w:r w:rsidRPr="00D24350">
        <w:rPr>
          <w:lang w:val="en-GB"/>
        </w:rPr>
        <w:t xml:space="preserve">Farnaz had never received a Government payment before moving to Sydney. She had no idea what her options were, or what she was supposed to do. She went to the local Centrelink branch and followed what they told her. But she found that she had to go back almost every day to give them a new document or fill out a new form. She was frustrated that they often had no record of things that she’d given them previously. When she rang the call centre, she once waited hours to be told that she had to complete the information online and to phone back if she had problems. But it took her hours to get through the first time, so she didn’t want to do that again. </w:t>
      </w:r>
    </w:p>
    <w:p w14:paraId="1BBFE217" w14:textId="77777777" w:rsidR="00D24350" w:rsidRPr="00D24350" w:rsidRDefault="00D24350" w:rsidP="00D24350">
      <w:pPr>
        <w:rPr>
          <w:lang w:val="en-GB"/>
        </w:rPr>
      </w:pPr>
      <w:r w:rsidRPr="00D24350">
        <w:rPr>
          <w:lang w:val="en-GB"/>
        </w:rPr>
        <w:t>At the Centrelink branch and on the phone, Farnaz has been told that she was only allowed to ask one question. But often she has multiple questions, or the answer to her question leads to more questions that she needs answers to  follow the rules. Farnaz has found that meeting with staff in-person allows her to insist her questions are properly answered. This means that rather than spending her time looking for work, she spends a lot of time travelling to and from the Centrelink office on public transport and waiting for her turn. She has been surprised at the poor quality of advice she has received from Centrelink and her employment service providers.</w:t>
      </w:r>
    </w:p>
    <w:p w14:paraId="2B5155A3" w14:textId="77777777" w:rsidR="00D24350" w:rsidRPr="00D24350" w:rsidRDefault="00D24350" w:rsidP="00D24350">
      <w:pPr>
        <w:rPr>
          <w:lang w:val="en-GB"/>
        </w:rPr>
      </w:pPr>
      <w:r w:rsidRPr="00D24350">
        <w:rPr>
          <w:lang w:val="en-GB"/>
        </w:rPr>
        <w:t xml:space="preserve">Her employment service provider treats her not as a skilled, qualified and willing worker but as someone who needs motivation to look for work. The jobs they suggest will not help her get back into the profession that she loves and will provide a secure financial future for her. She has a good resume, but the gap between now and when she last worked in her profession is getting wider. She is worried that her future is slipping away. All she needs, she thinks, is helping to connect with the right people in her industry. She simply can’t understand why the Government is spending so much money making her go to interviews for jobs that aren’t appropriate and undertake courses that waste her time. She knows how to dress for an interview and write a covering letter for her CV. How many times must she tell them? </w:t>
      </w:r>
    </w:p>
    <w:p w14:paraId="6A4F1A6A" w14:textId="77777777" w:rsidR="00D24350" w:rsidRPr="00D24350" w:rsidRDefault="00D24350" w:rsidP="00D24350">
      <w:pPr>
        <w:rPr>
          <w:lang w:val="en-US"/>
        </w:rPr>
      </w:pPr>
      <w:r w:rsidRPr="00D24350">
        <w:rPr>
          <w:lang w:val="en-US"/>
        </w:rPr>
        <w:t xml:space="preserve">Farnaz is always worried that if she doesn’t follow the rules and do all of the things that the Employment Service and Centrelink say, they will have her payments cut off. She can’t afford to have that happen, as she wouldn’t be able to pay the rent or provide food for her family. </w:t>
      </w:r>
    </w:p>
    <w:p w14:paraId="77B54A4B" w14:textId="77777777" w:rsidR="00D24350" w:rsidRPr="00D24350" w:rsidRDefault="00D24350" w:rsidP="00D24350">
      <w:pPr>
        <w:rPr>
          <w:lang w:val="en-GB"/>
        </w:rPr>
      </w:pPr>
      <w:r w:rsidRPr="00D24350">
        <w:rPr>
          <w:lang w:val="en-GB"/>
        </w:rPr>
        <w:t xml:space="preserve">It took her three months to find the house that they are now renting, because no-one would rent to her when she didn’t have a job. Before she found her rental, Farnaz and her two daughters lived with her cousin’s family. But her cousin has her own family, and it was hard for seven people to live in a three-bedroom house. Farnaz tries to help her cousin by looking after her children after school and taking her cousin’s mother to medical appointments. Farnaz is happy to help her cousin’s family, as they help her when she needs it, but </w:t>
      </w:r>
      <w:r w:rsidRPr="00D24350">
        <w:rPr>
          <w:lang w:val="en-GB"/>
        </w:rPr>
        <w:lastRenderedPageBreak/>
        <w:t>sometimes her Employment Service provider doesn’t understand why she can’t make an appointment.</w:t>
      </w:r>
    </w:p>
    <w:p w14:paraId="00F00DC5" w14:textId="77777777" w:rsidR="00D24350" w:rsidRPr="00D24350" w:rsidRDefault="00D24350" w:rsidP="00D24350">
      <w:pPr>
        <w:rPr>
          <w:lang w:val="en-GB"/>
        </w:rPr>
      </w:pPr>
      <w:r w:rsidRPr="00D24350">
        <w:rPr>
          <w:lang w:val="en-GB"/>
        </w:rPr>
        <w:t>Farnaz is worried that while her income seldom increases, her rent has gone up by $200 a month in 18-months. She doesn’t know what her family will do if she can’t pay the rent or if her landlord decides not to renew her lease. There is nowhere else that her family can go – she can’t ask her cousin to take her back again. Asking her daughters to start working instead of studying to bring in extra income will harm their future potential as well.</w:t>
      </w:r>
    </w:p>
    <w:p w14:paraId="144CEF0C" w14:textId="77777777" w:rsidR="00D24350" w:rsidRPr="00D24350" w:rsidRDefault="00D24350" w:rsidP="00D24350">
      <w:pPr>
        <w:rPr>
          <w:lang w:val="en-GB"/>
        </w:rPr>
      </w:pPr>
      <w:r w:rsidRPr="00D24350">
        <w:rPr>
          <w:lang w:val="en-GB"/>
        </w:rPr>
        <w:t>Farnaz wants the Government and employers to know that migrants are tough people with valuable skills and experience they can contribute to Australia. They just need support to be given a chance. She wants Centrelink and Employment Service providers to see her as a skilled professional who needs help to find a job in her field, rather than encouraging her into low skilled, dead-end jobs that will keep her at the bottom of society. More money from Centrelink would make her feel more secure, ensure her family had somewhere to live, and allow her daughters to fulfil their potential. She is looking forward to earning enough to pay taxes again soon.</w:t>
      </w:r>
    </w:p>
    <w:p w14:paraId="4D953F8D" w14:textId="77777777" w:rsidR="00B652C8" w:rsidRDefault="00B652C8">
      <w:pPr>
        <w:spacing w:after="0"/>
        <w:rPr>
          <w:lang w:val="en-GB"/>
        </w:rPr>
        <w:sectPr w:rsidR="00B652C8" w:rsidSect="0039440B">
          <w:headerReference w:type="first" r:id="rId45"/>
          <w:footerReference w:type="first" r:id="rId46"/>
          <w:pgSz w:w="11906" w:h="16838"/>
          <w:pgMar w:top="1440" w:right="1440" w:bottom="1440" w:left="1440" w:header="708" w:footer="708" w:gutter="0"/>
          <w:cols w:space="708"/>
          <w:titlePg/>
          <w:docGrid w:linePitch="360"/>
        </w:sectPr>
      </w:pPr>
    </w:p>
    <w:p w14:paraId="31ADB5F2" w14:textId="405DEB50" w:rsidR="009E7BD6" w:rsidRPr="00B652C8" w:rsidRDefault="00262D09" w:rsidP="009E7BD6">
      <w:pPr>
        <w:pStyle w:val="Heading1"/>
        <w:rPr>
          <w:color w:val="F9F1E7" w:themeColor="background2"/>
        </w:rPr>
      </w:pPr>
      <w:bookmarkStart w:id="56" w:name="_Toc165366886"/>
      <w:r>
        <w:rPr>
          <w:noProof/>
        </w:rPr>
        <w:lastRenderedPageBreak/>
        <w:drawing>
          <wp:anchor distT="0" distB="0" distL="114300" distR="114300" simplePos="0" relativeHeight="251675648" behindDoc="1" locked="0" layoutInCell="1" allowOverlap="1" wp14:anchorId="34CF03E1" wp14:editId="0951757F">
            <wp:simplePos x="0" y="0"/>
            <wp:positionH relativeFrom="page">
              <wp:align>left</wp:align>
            </wp:positionH>
            <wp:positionV relativeFrom="paragraph">
              <wp:posOffset>-914400</wp:posOffset>
            </wp:positionV>
            <wp:extent cx="7560310" cy="10687050"/>
            <wp:effectExtent l="0" t="0" r="2540" b="0"/>
            <wp:wrapNone/>
            <wp:docPr id="1523842468"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2468"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9E7BD6" w:rsidRPr="00B652C8">
        <w:rPr>
          <w:color w:val="F9F1E7" w:themeColor="background2"/>
        </w:rPr>
        <w:t xml:space="preserve">Chapter 6: </w:t>
      </w:r>
      <w:r w:rsidR="00B652C8" w:rsidRPr="00B652C8">
        <w:rPr>
          <w:color w:val="F9F1E7" w:themeColor="background2"/>
        </w:rPr>
        <w:br/>
      </w:r>
      <w:r w:rsidR="009E7BD6" w:rsidRPr="00B652C8">
        <w:rPr>
          <w:color w:val="F9F1E7" w:themeColor="background2"/>
        </w:rPr>
        <w:t>The culture, purpose and intent of the social security system</w:t>
      </w:r>
      <w:bookmarkEnd w:id="56"/>
    </w:p>
    <w:p w14:paraId="108D0CB6" w14:textId="22F5878D" w:rsidR="009E7BD6" w:rsidRDefault="009E7BD6">
      <w:pPr>
        <w:spacing w:after="0"/>
        <w:rPr>
          <w:lang w:val="en-GB"/>
        </w:rPr>
      </w:pPr>
      <w:r>
        <w:rPr>
          <w:lang w:val="en-GB"/>
        </w:rPr>
        <w:br w:type="page"/>
      </w:r>
    </w:p>
    <w:p w14:paraId="27253663" w14:textId="7029D995" w:rsidR="00D24350" w:rsidRPr="00521D34" w:rsidRDefault="00D24350" w:rsidP="00521D34">
      <w:pPr>
        <w:pStyle w:val="Heading2"/>
      </w:pPr>
      <w:bookmarkStart w:id="57" w:name="_Toc165366887"/>
      <w:r w:rsidRPr="00521D34">
        <w:lastRenderedPageBreak/>
        <w:t>6.1 Introduction</w:t>
      </w:r>
      <w:bookmarkEnd w:id="57"/>
    </w:p>
    <w:p w14:paraId="0D809E13" w14:textId="1315E1C9" w:rsidR="00D24350" w:rsidRPr="00D24350" w:rsidRDefault="00D24350" w:rsidP="00D24350">
      <w:pPr>
        <w:rPr>
          <w:rStyle w:val="Emphasis"/>
          <w:lang w:val="en-GB"/>
        </w:rPr>
      </w:pPr>
      <w:r w:rsidRPr="00D24350">
        <w:rPr>
          <w:rStyle w:val="Emphasis"/>
          <w:lang w:val="en-GB"/>
        </w:rPr>
        <w:t xml:space="preserve">Ideas about social security typically fall between two poles. </w:t>
      </w:r>
    </w:p>
    <w:p w14:paraId="1A3CF501" w14:textId="57024E5C" w:rsidR="00D24350" w:rsidRPr="00D24350" w:rsidRDefault="00D24350" w:rsidP="00D24350">
      <w:pPr>
        <w:rPr>
          <w:lang w:val="en-GB"/>
        </w:rPr>
      </w:pPr>
      <w:r w:rsidRPr="00D24350">
        <w:rPr>
          <w:lang w:val="en-GB"/>
        </w:rPr>
        <w:t xml:space="preserve">To paraphrase Commissioner Catherine Holmes and her report from the Royal Commission into the Robodebt Scheme, one pole sees … </w:t>
      </w:r>
    </w:p>
    <w:p w14:paraId="2F8FE063" w14:textId="77777777" w:rsidR="00D24350" w:rsidRPr="00D24350" w:rsidRDefault="00D24350" w:rsidP="00D24350">
      <w:pPr>
        <w:rPr>
          <w:rStyle w:val="SubtleEmphasis"/>
          <w:lang w:val="en-GB"/>
        </w:rPr>
      </w:pPr>
      <w:r w:rsidRPr="00D24350">
        <w:rPr>
          <w:rStyle w:val="SubtleEmphasis"/>
          <w:lang w:val="en-GB"/>
        </w:rPr>
        <w:t xml:space="preserve">“…those in receipt of social security benefits as a drag on the national economy, an entry on the debit side of the Budget to be reduced by any means available.” </w:t>
      </w:r>
    </w:p>
    <w:p w14:paraId="3D9FF235" w14:textId="77777777" w:rsidR="00D24350" w:rsidRPr="00D24350" w:rsidRDefault="00D24350" w:rsidP="00D24350">
      <w:pPr>
        <w:rPr>
          <w:lang w:val="en-GB"/>
        </w:rPr>
      </w:pPr>
      <w:r w:rsidRPr="00D24350">
        <w:rPr>
          <w:lang w:val="en-GB"/>
        </w:rPr>
        <w:t>While at the other pole sits an approach that recognises ….</w:t>
      </w:r>
    </w:p>
    <w:p w14:paraId="3C1BB698" w14:textId="77777777" w:rsidR="00D24350" w:rsidRPr="00D24350" w:rsidRDefault="00D24350" w:rsidP="00D24350">
      <w:pPr>
        <w:rPr>
          <w:rStyle w:val="SubtleEmphasis"/>
          <w:lang w:val="en-GB"/>
        </w:rPr>
      </w:pPr>
      <w:r w:rsidRPr="00D24350">
        <w:rPr>
          <w:rStyle w:val="SubtleEmphasis"/>
          <w:lang w:val="en-GB"/>
        </w:rPr>
        <w:t>“…that many citizens will at different times in their lives need income support – on a temporary basis for some as they study or look for work; longer-term for others, for reasons of age, disadvantage or disability – and to provide that support willingly, adequately and with respect.”</w:t>
      </w:r>
      <w:r w:rsidRPr="00D24350">
        <w:rPr>
          <w:rStyle w:val="Superscript"/>
          <w:lang w:val="en-GB"/>
        </w:rPr>
        <w:footnoteReference w:id="102"/>
      </w:r>
    </w:p>
    <w:p w14:paraId="4CF0C920" w14:textId="77777777" w:rsidR="00D24350" w:rsidRPr="00D24350" w:rsidRDefault="00D24350" w:rsidP="00D24350">
      <w:pPr>
        <w:rPr>
          <w:lang w:val="en-GB"/>
        </w:rPr>
      </w:pPr>
      <w:r w:rsidRPr="00D24350">
        <w:rPr>
          <w:lang w:val="en-GB"/>
        </w:rPr>
        <w:t>The evidence presented to the Committee suggests that attitudes to Australia’s social security system often gravitate strongly towards the first pole, allowing pernicious myths about ‘dole bludgers’ and ‘rorters’ to infect the system’s culture, design and operations. The system is burdened with many unfounded beliefs about people who receive income support, including that:</w:t>
      </w:r>
    </w:p>
    <w:p w14:paraId="4C60A2AC" w14:textId="77777777" w:rsidR="00D24350" w:rsidRPr="00521D34" w:rsidRDefault="00D24350" w:rsidP="00521D34">
      <w:pPr>
        <w:pStyle w:val="ListBullet"/>
      </w:pPr>
      <w:r w:rsidRPr="00521D34">
        <w:t>There is ever-present or widespread fraud within the system which demands a rigorous policing.</w:t>
      </w:r>
    </w:p>
    <w:p w14:paraId="324D765A" w14:textId="77777777" w:rsidR="00D24350" w:rsidRPr="00521D34" w:rsidRDefault="00D24350" w:rsidP="00521D34">
      <w:pPr>
        <w:pStyle w:val="ListBullet"/>
      </w:pPr>
      <w:r w:rsidRPr="00521D34">
        <w:t xml:space="preserve">Long-term recipients of working-age payments do not value work and compulsory activation is effective in moving them away from a reliance on income support. </w:t>
      </w:r>
    </w:p>
    <w:p w14:paraId="60C23AAD" w14:textId="77777777" w:rsidR="00D24350" w:rsidRPr="00D24350" w:rsidRDefault="00D24350" w:rsidP="00D24350">
      <w:pPr>
        <w:rPr>
          <w:lang w:val="en-GB"/>
        </w:rPr>
      </w:pPr>
      <w:r w:rsidRPr="00D24350">
        <w:rPr>
          <w:lang w:val="en-GB"/>
        </w:rPr>
        <w:t>These attitudes and myths have created a complex set of practices and rules related to some of the system’s income support payments, making them unfair, illogical, complex, costly to administer and insufficiently informed by the real-life circumstances of people they are supposed to support. They are not fit for purpose.</w:t>
      </w:r>
    </w:p>
    <w:p w14:paraId="1651F2D7" w14:textId="77777777" w:rsidR="00D24350" w:rsidRPr="00D24350" w:rsidRDefault="00D24350" w:rsidP="00D24350">
      <w:pPr>
        <w:rPr>
          <w:lang w:val="en-GB"/>
        </w:rPr>
      </w:pPr>
      <w:r w:rsidRPr="00D24350">
        <w:rPr>
          <w:lang w:val="en-GB"/>
        </w:rPr>
        <w:t xml:space="preserve">This is most acutely observed in relation to working-age payments, most notably the JobSeeker Payment, which was designed as a short-term support for people between jobs, but whose caseload is now overwhelming dominated by people over 55 years of age, people with a partial capacity to work, and other people with long-term barriers to employment. For many of these Australians no amount of compulsory job search activity, Certificate 1 or 2 training courses, or low-value make-busy work will move them closer to employment or satisfy the labour needs of employers. And yet it is required of them, constantly. </w:t>
      </w:r>
    </w:p>
    <w:p w14:paraId="3A5FFAE7" w14:textId="41047C80" w:rsidR="00D24350" w:rsidRPr="00D24350" w:rsidRDefault="00D24350" w:rsidP="00D24350">
      <w:pPr>
        <w:rPr>
          <w:lang w:val="en-GB"/>
        </w:rPr>
      </w:pPr>
      <w:r w:rsidRPr="00D24350">
        <w:rPr>
          <w:lang w:val="en-GB"/>
        </w:rPr>
        <w:t>The Committee recognises the Government’s positive responses to the Robodebt Royal Commission findings. But more change is needed.</w:t>
      </w:r>
    </w:p>
    <w:p w14:paraId="0F294DCE" w14:textId="77777777" w:rsidR="00D24350" w:rsidRPr="00D24350" w:rsidRDefault="00D24350" w:rsidP="00D24350">
      <w:pPr>
        <w:rPr>
          <w:b/>
          <w:bCs/>
          <w:lang w:val="en-GB"/>
        </w:rPr>
      </w:pPr>
      <w:r w:rsidRPr="00D24350">
        <w:rPr>
          <w:b/>
          <w:bCs/>
          <w:lang w:val="en-GB"/>
        </w:rPr>
        <w:t xml:space="preserve">As part of its investigation into the culture of the social security system, the Committee heard directly from people receiving a range of income support payments about the effect of its strict rules on their lives. </w:t>
      </w:r>
    </w:p>
    <w:p w14:paraId="4D4C064A" w14:textId="08E869D1" w:rsidR="00D24350" w:rsidRPr="00D24350" w:rsidRDefault="00D24350" w:rsidP="00D24350">
      <w:pPr>
        <w:rPr>
          <w:lang w:val="en-GB"/>
        </w:rPr>
      </w:pPr>
      <w:r w:rsidRPr="00D24350">
        <w:rPr>
          <w:lang w:val="en-GB"/>
        </w:rPr>
        <w:t xml:space="preserve">The picture it paints is one of Australians living in grinding poverty, sometimes unable to afford sufficient food or medicines, whose interactions with the social security system are moving them even further away from employment. People are forced into mutual obligations activities that are often degrading, humiliating, pointless, and time-wasting. They are required, repeatedly, to provide unnecessary evidence of their circumstances. And they are frequently given low-quality and misleading advice from those employed to help them but who are often insufficiently trained to do so, despite what are often their best intentions. Addressing the resulting mistakes takes many hours more. These experiences can dominate people’s lives year after year. It consumes them, and leaves those who have transitioned onto other payments such at the DSP, Carer Payment, or Parenting Payment terrified at the </w:t>
      </w:r>
      <w:r w:rsidRPr="00D24350">
        <w:rPr>
          <w:lang w:val="en-GB"/>
        </w:rPr>
        <w:lastRenderedPageBreak/>
        <w:t>prospect of reverting to reliance on JobSeeker – with the result that many will never actively seek paid work again. The harshness of the regime, designed to discourage passivity, is having the exact opposite effect – entrenching long-term unemployment, constraining labour supply and further impacting wellbeing.</w:t>
      </w:r>
    </w:p>
    <w:p w14:paraId="4CE40202" w14:textId="57302B4D" w:rsidR="00D24350" w:rsidRPr="00D24350" w:rsidRDefault="00D24350" w:rsidP="00D24350">
      <w:pPr>
        <w:rPr>
          <w:rStyle w:val="SubtleEmphasis"/>
          <w:lang w:val="en-GB"/>
        </w:rPr>
      </w:pPr>
      <w:r w:rsidRPr="00521D34">
        <w:rPr>
          <w:rStyle w:val="SubtleEmphasis"/>
          <w:lang w:val="en-GB"/>
        </w:rPr>
        <w:t xml:space="preserve">“I’m deeply angry about how I’ve gone through so many distressing experiences on mutual obligations that have served nothing, just seems like I was on surveillance the whole time, it was like I was on a knife edge with my income could be taken away at any time. One wrong move, even an inadvertent one could cause me to fall through the cracks.” </w:t>
      </w:r>
    </w:p>
    <w:p w14:paraId="622DD2A1" w14:textId="2B19D96F" w:rsidR="00D24350" w:rsidRPr="00D24350" w:rsidRDefault="00D24350" w:rsidP="00D24350">
      <w:pPr>
        <w:rPr>
          <w:b/>
          <w:bCs/>
          <w:lang w:val="en-GB"/>
        </w:rPr>
      </w:pPr>
      <w:r w:rsidRPr="00D24350">
        <w:rPr>
          <w:b/>
          <w:bCs/>
          <w:lang w:val="en-GB"/>
        </w:rPr>
        <w:t>Robert, who received JobSeeker Payment until recently, when his partner’s income excluded him from support.</w:t>
      </w:r>
    </w:p>
    <w:p w14:paraId="12F64468" w14:textId="77777777" w:rsidR="00D24350" w:rsidRPr="00D24350" w:rsidRDefault="00D24350" w:rsidP="00D24350">
      <w:pPr>
        <w:rPr>
          <w:lang w:val="en-GB"/>
        </w:rPr>
      </w:pPr>
      <w:r w:rsidRPr="00D24350">
        <w:rPr>
          <w:lang w:val="en-GB"/>
        </w:rPr>
        <w:t>The Committee also heard from social security experts and sector stakeholders who administer the system and care deeply about their work. They also reported practices that remain onerous, illogical, unfair, stigmatising, costly and time wasting for everyone. They told the Committee about the great complexity of the current system and the difficulty both Centrelink customers and staff have in understanding and fairly applying entitlements and rules. There are significant inconsistencies between payment regimes and the entitlements for different cohorts which perpetuate stigmatising distinctions between “deserving” and “underserving” recipients of support. These feelings of stigma are reinforced by language and rhetoric used about people in the income support system.</w:t>
      </w:r>
    </w:p>
    <w:p w14:paraId="1694A0B8" w14:textId="6E998229" w:rsidR="00D24350" w:rsidRPr="00521D34" w:rsidRDefault="00D24350" w:rsidP="00D24350">
      <w:pPr>
        <w:rPr>
          <w:rStyle w:val="SubtleEmphasis"/>
          <w:lang w:val="en-GB"/>
        </w:rPr>
      </w:pPr>
      <w:r w:rsidRPr="00521D34">
        <w:rPr>
          <w:rStyle w:val="SubtleEmphasis"/>
          <w:lang w:val="en-GB"/>
        </w:rPr>
        <w:t xml:space="preserve">“I’m not sitting back on my sofa drinking champagne and booking my trip to Bahamas. I’m sitting back thinking of all the uncertainty and having to think, “Oh, can I afford to pay my bills?” So, the Government, I think the narrative has to change, that people on JobSeeker are not dole bludgers. We’re not losers. We’re not unemployable.” </w:t>
      </w:r>
    </w:p>
    <w:p w14:paraId="4C00BAA5" w14:textId="122359DB" w:rsidR="00D24350" w:rsidRPr="00D24350" w:rsidRDefault="00D24350" w:rsidP="00D24350">
      <w:pPr>
        <w:rPr>
          <w:b/>
          <w:bCs/>
          <w:lang w:val="en-GB"/>
        </w:rPr>
      </w:pPr>
      <w:r w:rsidRPr="00D24350">
        <w:rPr>
          <w:b/>
          <w:bCs/>
          <w:lang w:val="en-GB"/>
        </w:rPr>
        <w:t>Diana, who receives JobSeeker Payment</w:t>
      </w:r>
    </w:p>
    <w:p w14:paraId="081CB49B" w14:textId="558FBCAF" w:rsidR="00D24350" w:rsidRPr="00D24350" w:rsidRDefault="00D24350" w:rsidP="00D24350">
      <w:pPr>
        <w:rPr>
          <w:lang w:val="en-GB"/>
        </w:rPr>
      </w:pPr>
      <w:r w:rsidRPr="00D24350">
        <w:rPr>
          <w:lang w:val="en-GB"/>
        </w:rPr>
        <w:t>These testimonies are backed up strongly by the findings of the Robodebt Royal Commission, which reported that the prevailing culture of the system contributed to that now discredited debt recovery program. The Royal Commission’s report details how the relentless characterisation of people receiving income support payments as suspect criminals and fraudsters led, somewhat ironically, to illegality of historic proportions. As Commissioner Catherine Holmes stated, the long-term response to the Robodebt disaster must include a change in the culture of the social security system, starting at the top, without which progress will not be possible.</w:t>
      </w:r>
    </w:p>
    <w:p w14:paraId="50496138" w14:textId="77777777" w:rsidR="00D24350" w:rsidRPr="00D24350" w:rsidRDefault="00D24350" w:rsidP="00D24350">
      <w:pPr>
        <w:rPr>
          <w:rStyle w:val="SubtleEmphasis"/>
          <w:lang w:val="en-GB"/>
        </w:rPr>
      </w:pPr>
      <w:r w:rsidRPr="00D24350">
        <w:rPr>
          <w:rStyle w:val="SubtleEmphasis"/>
          <w:lang w:val="en-GB"/>
        </w:rPr>
        <w:t xml:space="preserve">“…politicians need to lead a change in social attitudes to people receiving welfare payments. The evidence before the Commission was that fraud in the welfare system was miniscule, but that is not the impression one would get from what ministers responsible for social security payments have said over the years. Anti-welfare rhetoric is easy populism, useful for campaign purposes. It is not recent, nor is it confined to one side of politics, as some of the quoted material in this report demonstrates. It may be that the evidence in this Royal Commission has gone some way to changing public perceptions. But largely, those attitudes are set by politicians, who need to abandon for good (in every sense) the narrative of taxpayer versus welfare recipient.” </w:t>
      </w:r>
    </w:p>
    <w:p w14:paraId="2F675E2B" w14:textId="0646772B" w:rsidR="00D24350" w:rsidRPr="00D24350" w:rsidRDefault="00D24350" w:rsidP="00D24350">
      <w:pPr>
        <w:rPr>
          <w:b/>
          <w:bCs/>
          <w:lang w:val="en-GB"/>
        </w:rPr>
      </w:pPr>
      <w:r w:rsidRPr="00D24350">
        <w:rPr>
          <w:b/>
          <w:bCs/>
          <w:lang w:val="en-GB"/>
        </w:rPr>
        <w:t>Catherine Holmes AC SC, Royal Commissioner in the Robodebt Royal Commission</w:t>
      </w:r>
    </w:p>
    <w:p w14:paraId="2B94664C" w14:textId="77777777" w:rsidR="00D24350" w:rsidRPr="00D24350" w:rsidRDefault="00D24350" w:rsidP="00D24350">
      <w:pPr>
        <w:rPr>
          <w:lang w:val="en-GB"/>
        </w:rPr>
      </w:pPr>
      <w:r w:rsidRPr="00D24350">
        <w:rPr>
          <w:lang w:val="en-GB"/>
        </w:rPr>
        <w:t>The Committee found little evidence that the unduly harsh policies that can be enabled by this culture serve any legitimate public purpose with respect to people receiving income support. The Committee found in general that:</w:t>
      </w:r>
    </w:p>
    <w:p w14:paraId="772540CE" w14:textId="77777777" w:rsidR="00D24350" w:rsidRPr="00521D34" w:rsidRDefault="00D24350" w:rsidP="00521D34">
      <w:pPr>
        <w:pStyle w:val="ListBullet"/>
      </w:pPr>
      <w:r w:rsidRPr="00521D34">
        <w:t>JobSeeker and related working-age payments including Youth Allowance, Austudy and ABSTUDY are not enough to live on.</w:t>
      </w:r>
    </w:p>
    <w:p w14:paraId="6B341ED0" w14:textId="77777777" w:rsidR="00D24350" w:rsidRPr="00521D34" w:rsidRDefault="00D24350" w:rsidP="00521D34">
      <w:pPr>
        <w:pStyle w:val="ListBullet"/>
      </w:pPr>
      <w:r w:rsidRPr="00521D34">
        <w:t>The experience of many people interacting with the social security system is gruelling.</w:t>
      </w:r>
    </w:p>
    <w:p w14:paraId="498EF4B1" w14:textId="77777777" w:rsidR="00D24350" w:rsidRPr="00521D34" w:rsidRDefault="00D24350" w:rsidP="00521D34">
      <w:pPr>
        <w:pStyle w:val="ListBullet"/>
      </w:pPr>
      <w:r w:rsidRPr="00521D34">
        <w:t>As a result, people’s mental, physical and financial wellbeing often worsens and limits their future employment capacity and quality of life.</w:t>
      </w:r>
    </w:p>
    <w:p w14:paraId="0C4E1022" w14:textId="77777777" w:rsidR="00D24350" w:rsidRPr="00D24350" w:rsidRDefault="00D24350" w:rsidP="00D24350">
      <w:pPr>
        <w:rPr>
          <w:lang w:val="en-GB"/>
        </w:rPr>
      </w:pPr>
      <w:r w:rsidRPr="00D24350">
        <w:rPr>
          <w:lang w:val="en-GB"/>
        </w:rPr>
        <w:lastRenderedPageBreak/>
        <w:t>To begin the journey towards a more balanced approach for Australia’s social security system the Committee makes recommendations both on updating the underlying ideas and beliefs that animate the system, and on reforms to practices that have taken root within the existing culture that are most out of step with the contemporary needs of the Australian community.</w:t>
      </w:r>
    </w:p>
    <w:p w14:paraId="29CD960F" w14:textId="77777777" w:rsidR="00D24350" w:rsidRPr="00D24350" w:rsidRDefault="00D24350" w:rsidP="00D24350">
      <w:pPr>
        <w:rPr>
          <w:lang w:val="en-GB"/>
        </w:rPr>
      </w:pPr>
      <w:r w:rsidRPr="00D24350">
        <w:rPr>
          <w:lang w:val="en-GB"/>
        </w:rPr>
        <w:t xml:space="preserve">The Committee believes that Australia’s social security system should deliver economic inclusion and wellbeing for those who use it, which we all do at different stages of our lives. As a first principle, social security should prevent poverty, ensure people can cover the cost of the essentials of life, and enable them to live with dignity. Our system should provide a safety net of support for people when they are unable to support themselves, and protect them against poverty, financial deprivation, and exclusion from society. </w:t>
      </w:r>
    </w:p>
    <w:p w14:paraId="4F028FA5" w14:textId="77777777" w:rsidR="00D24350" w:rsidRPr="00521D34" w:rsidRDefault="00D24350" w:rsidP="00521D34">
      <w:pPr>
        <w:pStyle w:val="Heading2"/>
      </w:pPr>
      <w:bookmarkStart w:id="58" w:name="_Toc165366888"/>
      <w:r w:rsidRPr="00521D34">
        <w:t>6.2 Setting a new purpose for the social security system – to support economic inclusion and wellbeing</w:t>
      </w:r>
      <w:bookmarkEnd w:id="58"/>
    </w:p>
    <w:p w14:paraId="304D90BF" w14:textId="77777777" w:rsidR="00D24350" w:rsidRPr="00D24350" w:rsidRDefault="00D24350" w:rsidP="00D24350">
      <w:pPr>
        <w:rPr>
          <w:lang w:val="en-GB"/>
        </w:rPr>
      </w:pPr>
      <w:r w:rsidRPr="00D24350">
        <w:rPr>
          <w:lang w:val="en-GB"/>
        </w:rPr>
        <w:t xml:space="preserve">The Committee is of the view that the culture, purpose and intent of Australia’s social security system should be to promote economic inclusion and wellbeing. </w:t>
      </w:r>
    </w:p>
    <w:p w14:paraId="2AB6C721" w14:textId="77777777" w:rsidR="00D24350" w:rsidRPr="00D24350" w:rsidRDefault="00D24350" w:rsidP="00D24350">
      <w:pPr>
        <w:rPr>
          <w:lang w:val="en-GB"/>
        </w:rPr>
      </w:pPr>
      <w:r w:rsidRPr="00D24350">
        <w:rPr>
          <w:lang w:val="en-GB"/>
        </w:rPr>
        <w:t>Social security should support people when they need it, prevent poverty and ensure people can cover the cost of the essentials of life. Doing so will create a strong platform to support other Government objectives because, as we know, providing people with adequate income improves health, education, employment and childhood outcomes.</w:t>
      </w:r>
    </w:p>
    <w:p w14:paraId="41020B5D" w14:textId="77777777" w:rsidR="00D24350" w:rsidRPr="00D24350" w:rsidRDefault="00D24350" w:rsidP="00D24350">
      <w:pPr>
        <w:rPr>
          <w:lang w:val="en-GB"/>
        </w:rPr>
      </w:pPr>
      <w:r w:rsidRPr="00D24350">
        <w:rPr>
          <w:lang w:val="en-GB"/>
        </w:rPr>
        <w:t xml:space="preserve">Over the past 18 months the Government has initiated much policy development relevant to considerations of economic inclusion and wellbeing. The Employment White Paper, the Measuring What Matters wellbeing framework, reviews into Workforce Australia, the Early Childhood Education system, the National School Reform Agreement and the NDIS, along with the development of the Early Years Strategy, are just some of the significant policy undertakings delivered to date. </w:t>
      </w:r>
    </w:p>
    <w:p w14:paraId="067AC87A" w14:textId="77777777" w:rsidR="00D24350" w:rsidRPr="00D24350" w:rsidRDefault="00D24350" w:rsidP="00D24350">
      <w:pPr>
        <w:rPr>
          <w:lang w:val="en-GB"/>
        </w:rPr>
      </w:pPr>
      <w:r w:rsidRPr="00D24350">
        <w:rPr>
          <w:lang w:val="en-GB"/>
        </w:rPr>
        <w:t>In Chapter 1 of this year’s report, the Committee has proposed a definition of economic inclusion to guide its own work and provide a framework for how a more economically inclusive society might be understood. It is built around four domains:</w:t>
      </w:r>
    </w:p>
    <w:p w14:paraId="2F69B40F" w14:textId="77777777" w:rsidR="00D24350" w:rsidRPr="00521D34" w:rsidRDefault="00D24350" w:rsidP="00521D34">
      <w:pPr>
        <w:pStyle w:val="ListBullet"/>
      </w:pPr>
      <w:r w:rsidRPr="00521D34">
        <w:t>Economic security</w:t>
      </w:r>
    </w:p>
    <w:p w14:paraId="052D5EB9" w14:textId="77777777" w:rsidR="00D24350" w:rsidRPr="00521D34" w:rsidRDefault="00D24350" w:rsidP="00521D34">
      <w:pPr>
        <w:pStyle w:val="ListBullet"/>
      </w:pPr>
      <w:r w:rsidRPr="00521D34">
        <w:t>Equal opportunities</w:t>
      </w:r>
    </w:p>
    <w:p w14:paraId="38978652" w14:textId="77777777" w:rsidR="00D24350" w:rsidRPr="00521D34" w:rsidRDefault="00D24350" w:rsidP="00521D34">
      <w:pPr>
        <w:pStyle w:val="ListBullet"/>
      </w:pPr>
      <w:r w:rsidRPr="00521D34">
        <w:t>Growth and ensuring equal sharing of growth</w:t>
      </w:r>
    </w:p>
    <w:p w14:paraId="2808CA96" w14:textId="77777777" w:rsidR="00D24350" w:rsidRPr="00521D34" w:rsidRDefault="00D24350" w:rsidP="00521D34">
      <w:pPr>
        <w:pStyle w:val="ListBullet"/>
      </w:pPr>
      <w:r w:rsidRPr="00521D34">
        <w:t>Building efficient and responsive governments.</w:t>
      </w:r>
    </w:p>
    <w:p w14:paraId="7450AB50" w14:textId="77777777" w:rsidR="00D24350" w:rsidRPr="00D24350" w:rsidRDefault="00D24350" w:rsidP="00D24350">
      <w:pPr>
        <w:rPr>
          <w:lang w:val="en-GB"/>
        </w:rPr>
      </w:pPr>
      <w:r w:rsidRPr="00D24350">
        <w:rPr>
          <w:lang w:val="en-GB"/>
        </w:rPr>
        <w:t xml:space="preserve">The Committee’s definition and the wider body of recent policy development work provides vital context for what the social security system should do and how it should operate. To proceed without the system responding to this raft of refreshed policy thinking will leave it marooned – pursuing its own priorities adrift from the direction of reform and at odds with the refreshed programs and policies that are the fruit of that reform. Positioning the system in this way offers an exciting opportunity for strategic and operational renewal. </w:t>
      </w:r>
    </w:p>
    <w:p w14:paraId="55C91F90" w14:textId="77777777" w:rsidR="00D24350" w:rsidRPr="00D24350" w:rsidRDefault="00D24350" w:rsidP="00D24350">
      <w:pPr>
        <w:rPr>
          <w:lang w:val="en-GB"/>
        </w:rPr>
      </w:pPr>
      <w:r w:rsidRPr="00D24350">
        <w:rPr>
          <w:lang w:val="en-GB"/>
        </w:rPr>
        <w:t xml:space="preserve">Aligning the system to the purpose of supporting economic inclusion and wellbeing requires rethinking and updating the conditionality that applies across many payments, including mutual obligation requirements, and reducing the complexity that has developed as part of the ever tighter targeting of support. </w:t>
      </w:r>
    </w:p>
    <w:p w14:paraId="1FCCA8C3" w14:textId="77777777" w:rsidR="00D24350" w:rsidRPr="00D24350" w:rsidRDefault="00D24350" w:rsidP="00D24350">
      <w:pPr>
        <w:rPr>
          <w:lang w:val="en-GB"/>
        </w:rPr>
      </w:pPr>
      <w:r w:rsidRPr="00D24350">
        <w:rPr>
          <w:lang w:val="en-GB"/>
        </w:rPr>
        <w:t xml:space="preserve">It also requires leadership from Government to create a new narrative about social security to shift the culture that has created a negative view of receipt of income support in Australia. The new narrative must position the social security system as a valued piece of civic infrastructure that supports all of us in times of need. Social security must be centred as a key enabler in building Australia’s human capital, providing a springboard for community and economic participation and helping deliver on essential public policy priorities. The system has a central contribution to make in creating a flexible and responsive labour market, </w:t>
      </w:r>
      <w:r w:rsidRPr="00D24350">
        <w:rPr>
          <w:lang w:val="en-GB"/>
        </w:rPr>
        <w:lastRenderedPageBreak/>
        <w:t xml:space="preserve">ensuring the safety of women and their children, supporting people with disability, creating a universal child development system, and ending homelessness, to name but a few related policy priorities. Social security must be reframed so that it is free of stigma, and instead represents a shared commitment to look after each other at times of need, including during pandemics, disasters, industry transformations and global economic disruptions. </w:t>
      </w:r>
    </w:p>
    <w:p w14:paraId="09730554" w14:textId="77777777" w:rsidR="00D24350" w:rsidRDefault="00D24350" w:rsidP="00D24350">
      <w:pPr>
        <w:rPr>
          <w:lang w:val="en-GB"/>
        </w:rPr>
      </w:pPr>
      <w:r w:rsidRPr="00D24350">
        <w:rPr>
          <w:lang w:val="en-GB"/>
        </w:rPr>
        <w:t xml:space="preserve">These ideas should be captured and asserted as a first step in the process of ongoing renewal. Accordingly, the Committee recommends: </w:t>
      </w:r>
    </w:p>
    <w:p w14:paraId="337200CF" w14:textId="77777777" w:rsidR="00B95D46" w:rsidRPr="00B95D46" w:rsidRDefault="00B95D46" w:rsidP="00023C01">
      <w:pPr>
        <w:shd w:val="clear" w:color="auto" w:fill="FAF1E8" w:themeFill="accent2"/>
        <w:rPr>
          <w:b/>
          <w:bCs/>
        </w:rPr>
      </w:pPr>
      <w:r w:rsidRPr="00B95D46">
        <w:rPr>
          <w:b/>
          <w:bCs/>
        </w:rPr>
        <w:t>Recommendation 16</w:t>
      </w:r>
    </w:p>
    <w:p w14:paraId="27F224A9" w14:textId="4BD4E657" w:rsidR="00B95D46" w:rsidRPr="00B95D46" w:rsidRDefault="00B95D46" w:rsidP="00023C01">
      <w:pPr>
        <w:shd w:val="clear" w:color="auto" w:fill="FAF1E8" w:themeFill="accent2"/>
        <w:rPr>
          <w:b/>
          <w:bCs/>
          <w:lang w:val="en-US"/>
        </w:rPr>
      </w:pPr>
      <w:r w:rsidRPr="00B95D46">
        <w:rPr>
          <w:b/>
          <w:bCs/>
        </w:rPr>
        <w:t>The Government adopt a refreshed mandate for Australia’s social security system and that this mandate should be to promote economic inclusion and wellbeing.</w:t>
      </w:r>
    </w:p>
    <w:p w14:paraId="6BB96735" w14:textId="77777777" w:rsidR="00D24350" w:rsidRPr="00521D34" w:rsidRDefault="00D24350" w:rsidP="00521D34">
      <w:pPr>
        <w:pStyle w:val="Heading2"/>
      </w:pPr>
      <w:bookmarkStart w:id="59" w:name="_Toc165366889"/>
      <w:r w:rsidRPr="00521D34">
        <w:t>6.3 Acknowledging that the social security system is for all of us</w:t>
      </w:r>
      <w:bookmarkEnd w:id="59"/>
    </w:p>
    <w:p w14:paraId="42B95497" w14:textId="77777777" w:rsidR="00D24350" w:rsidRPr="00D24350" w:rsidRDefault="00D24350" w:rsidP="00D24350">
      <w:pPr>
        <w:rPr>
          <w:lang w:val="en-GB"/>
        </w:rPr>
      </w:pPr>
      <w:r w:rsidRPr="00D24350">
        <w:rPr>
          <w:lang w:val="en-GB"/>
        </w:rPr>
        <w:t>Social security is one of the most important achievements of the last century. Its role in managing income volatility in an increasingly dynamic and globalised economy gives every Australian good reason to value and celebrate it. The high unemployment caused by the COVID 19 pandemic led to increased empathy for people who are unemployed and rising levels of trust and regard for the social security system.</w:t>
      </w:r>
      <w:r w:rsidRPr="00D24350">
        <w:rPr>
          <w:rStyle w:val="Superscript"/>
          <w:lang w:val="en-GB"/>
        </w:rPr>
        <w:footnoteReference w:id="103"/>
      </w:r>
      <w:r w:rsidRPr="00D24350">
        <w:rPr>
          <w:rStyle w:val="Superscript"/>
          <w:lang w:val="en-GB"/>
        </w:rPr>
        <w:t xml:space="preserve"> </w:t>
      </w:r>
      <w:r w:rsidRPr="00D24350">
        <w:rPr>
          <w:lang w:val="en-GB"/>
        </w:rPr>
        <w:t>It reminded us that reliance upon social security is something that affects most of us at various times of our life, and that use of social security system is far more widespread than we tend to think.</w:t>
      </w:r>
    </w:p>
    <w:p w14:paraId="5AEEF3C1" w14:textId="77777777" w:rsidR="00D24350" w:rsidRPr="00D24350" w:rsidRDefault="00D24350" w:rsidP="00D24350">
      <w:pPr>
        <w:rPr>
          <w:lang w:val="en-GB"/>
        </w:rPr>
      </w:pPr>
      <w:r w:rsidRPr="00D24350">
        <w:rPr>
          <w:lang w:val="en-GB"/>
        </w:rPr>
        <w:t>Receipt of income support is not an isolated nor extraordinary experience. Between 2001 and 2015 some 70% of Australians of working age at some point received an income support payment or lived in a household with someone receiving income support.</w:t>
      </w:r>
      <w:r w:rsidRPr="00D24350">
        <w:rPr>
          <w:rStyle w:val="Superscript"/>
          <w:lang w:val="en-GB"/>
        </w:rPr>
        <w:footnoteReference w:id="104"/>
      </w:r>
      <w:r w:rsidRPr="00D24350">
        <w:rPr>
          <w:rStyle w:val="Superscript"/>
          <w:lang w:val="en-GB"/>
        </w:rPr>
        <w:t xml:space="preserve"> </w:t>
      </w:r>
      <w:r w:rsidRPr="00D24350">
        <w:rPr>
          <w:lang w:val="en-GB"/>
        </w:rPr>
        <w:t>Between 2000 and 2016, 25% of eligible working-age Australians received unemployment benefits (Newstart).</w:t>
      </w:r>
      <w:r w:rsidRPr="00D24350">
        <w:rPr>
          <w:rStyle w:val="Superscript"/>
          <w:lang w:val="en-GB"/>
        </w:rPr>
        <w:footnoteReference w:id="105"/>
      </w:r>
      <w:r w:rsidRPr="00D24350">
        <w:rPr>
          <w:rStyle w:val="Superscript"/>
          <w:lang w:val="en-GB"/>
        </w:rPr>
        <w:t xml:space="preserve"> </w:t>
      </w:r>
      <w:r w:rsidRPr="00D24350">
        <w:rPr>
          <w:lang w:val="en-GB"/>
        </w:rPr>
        <w:t xml:space="preserve">Add to this those receiving the Age Pension, FTB, and other payments and it becomes clear that practically everyone receives, or has someone close to them who receives, income support from the social security system. </w:t>
      </w:r>
    </w:p>
    <w:p w14:paraId="1C0A1738" w14:textId="77777777" w:rsidR="00D24350" w:rsidRPr="00D24350" w:rsidRDefault="00D24350" w:rsidP="00D24350">
      <w:pPr>
        <w:rPr>
          <w:lang w:val="en-GB"/>
        </w:rPr>
      </w:pPr>
      <w:r w:rsidRPr="00D24350">
        <w:rPr>
          <w:lang w:val="en-GB"/>
        </w:rPr>
        <w:t>Despite this strong system use and support, the Committee found that pejorative views persist. Despite little evidence to support them, myths about “deserving”, and “undeserving” people retain a grip on the public’s consciousness, undermining social cohesion and inspiring poor policymaking.</w:t>
      </w:r>
    </w:p>
    <w:p w14:paraId="37038779" w14:textId="2B041E36" w:rsidR="00D24350" w:rsidRPr="00D24350" w:rsidRDefault="00D24350" w:rsidP="00D24350">
      <w:pPr>
        <w:rPr>
          <w:lang w:val="en-GB"/>
        </w:rPr>
      </w:pPr>
      <w:r w:rsidRPr="00D24350">
        <w:rPr>
          <w:lang w:val="en-GB"/>
        </w:rPr>
        <w:t>These myths must be challenged, the facts must be made more widely known, and the culture of Australia’s social security system must be reset to reflect the reality of our near universal reliance upon it. It is the Committee’s view that Government should strive to reframe Australia’s social security system as a core support for our society and economy. Notions like “deserving” and “underserving” should be challenged and rejected.</w:t>
      </w:r>
    </w:p>
    <w:p w14:paraId="14524F75" w14:textId="5807D6C8" w:rsidR="00D24350" w:rsidRPr="00D24350" w:rsidRDefault="00D24350" w:rsidP="00D24350">
      <w:pPr>
        <w:rPr>
          <w:rStyle w:val="SubtleEmphasis"/>
          <w:lang w:val="en-GB"/>
        </w:rPr>
      </w:pPr>
      <w:r w:rsidRPr="00521D34">
        <w:rPr>
          <w:rStyle w:val="SubtleEmphasis"/>
          <w:lang w:val="en-GB"/>
        </w:rPr>
        <w:t>“I don’t think anyone on earth or anyone in Australia would choose to be where we are. Not by choice, not by choice. There’s no way. I just want the barriers gone. I want my kids to be able to not turn around and go, I know we’re poor mum. That just breaks me. That breaks me...”</w:t>
      </w:r>
    </w:p>
    <w:p w14:paraId="34BEF114" w14:textId="07E29F22" w:rsidR="00D24350" w:rsidRPr="00D24350" w:rsidRDefault="00D24350" w:rsidP="00D24350">
      <w:pPr>
        <w:rPr>
          <w:b/>
          <w:bCs/>
          <w:lang w:val="en-GB"/>
        </w:rPr>
      </w:pPr>
      <w:r w:rsidRPr="00D24350">
        <w:rPr>
          <w:b/>
          <w:bCs/>
          <w:lang w:val="en-GB"/>
        </w:rPr>
        <w:t>Moeata, who receives Parenting Payment</w:t>
      </w:r>
    </w:p>
    <w:p w14:paraId="1C33613D" w14:textId="77777777" w:rsidR="00D24350" w:rsidRPr="00521D34" w:rsidRDefault="00D24350" w:rsidP="00521D34">
      <w:pPr>
        <w:pStyle w:val="Heading3"/>
      </w:pPr>
      <w:r w:rsidRPr="00521D34">
        <w:lastRenderedPageBreak/>
        <w:t xml:space="preserve">6.3.1 So who receives the system’s support? </w:t>
      </w:r>
    </w:p>
    <w:p w14:paraId="7A2613E2" w14:textId="77777777" w:rsidR="00D24350" w:rsidRPr="00D24350" w:rsidRDefault="00D24350" w:rsidP="00D24350">
      <w:pPr>
        <w:rPr>
          <w:lang w:val="en-GB"/>
        </w:rPr>
      </w:pPr>
      <w:r w:rsidRPr="00D24350">
        <w:rPr>
          <w:lang w:val="en-GB"/>
        </w:rPr>
        <w:t xml:space="preserve">Having established near universal engagement with Australia’s social security, we need to understand in what ways people engage with it. </w:t>
      </w:r>
    </w:p>
    <w:p w14:paraId="21D5C42F" w14:textId="77777777" w:rsidR="00D24350" w:rsidRPr="00D24350" w:rsidRDefault="00D24350" w:rsidP="00D24350">
      <w:pPr>
        <w:rPr>
          <w:lang w:val="en-GB"/>
        </w:rPr>
      </w:pPr>
      <w:r w:rsidRPr="00D24350">
        <w:rPr>
          <w:lang w:val="en-GB"/>
        </w:rPr>
        <w:t>As at September 2023 there were 6.2 million people in Australia receiving a Commonwealth Government payment. This total was comprised of 5 million people receiving an income support payment (some of whom also received an FTB) and a further 1.2 million people receiving an FTB on its own (either directly or as part of a couple). Of the 5 million receiving an income support payment, 51% received the Age Pension (2.6 million people), while 45% were in receipt of an unemployment payment, Parenting Payment, DSP or Carer Payment. Table 11 provides a breakdown.</w:t>
      </w:r>
    </w:p>
    <w:p w14:paraId="20D3F4F3" w14:textId="77777777" w:rsidR="00D24350" w:rsidRPr="00393534" w:rsidRDefault="00D24350" w:rsidP="00393534">
      <w:pPr>
        <w:pStyle w:val="Heading4"/>
      </w:pPr>
      <w:r w:rsidRPr="00393534">
        <w:t>Table 11: Income Support Recipients at September 2023</w:t>
      </w:r>
    </w:p>
    <w:tbl>
      <w:tblPr>
        <w:tblStyle w:val="TableGrid"/>
        <w:tblW w:w="0" w:type="auto"/>
        <w:tblLayout w:type="fixed"/>
        <w:tblLook w:val="0020" w:firstRow="1" w:lastRow="0" w:firstColumn="0" w:lastColumn="0" w:noHBand="0" w:noVBand="0"/>
      </w:tblPr>
      <w:tblGrid>
        <w:gridCol w:w="4111"/>
        <w:gridCol w:w="2268"/>
        <w:gridCol w:w="2552"/>
      </w:tblGrid>
      <w:tr w:rsidR="00D24350" w:rsidRPr="00D24350" w14:paraId="5831DA7D" w14:textId="77777777" w:rsidTr="007E2F2A">
        <w:trPr>
          <w:cnfStyle w:val="100000000000" w:firstRow="1" w:lastRow="0" w:firstColumn="0" w:lastColumn="0" w:oddVBand="0" w:evenVBand="0" w:oddHBand="0" w:evenHBand="0" w:firstRowFirstColumn="0" w:firstRowLastColumn="0" w:lastRowFirstColumn="0" w:lastRowLastColumn="0"/>
          <w:trHeight w:val="589"/>
        </w:trPr>
        <w:tc>
          <w:tcPr>
            <w:tcW w:w="4111" w:type="dxa"/>
          </w:tcPr>
          <w:p w14:paraId="7E68D8C1" w14:textId="77777777" w:rsidR="00D24350" w:rsidRPr="00684925" w:rsidRDefault="00D24350" w:rsidP="00D24350">
            <w:pPr>
              <w:rPr>
                <w:color w:val="FFFFFF" w:themeColor="background1"/>
                <w:lang w:val="en-GB"/>
              </w:rPr>
            </w:pPr>
            <w:bookmarkStart w:id="60" w:name="ColumnTitle_Table11"/>
            <w:bookmarkEnd w:id="60"/>
            <w:r w:rsidRPr="00684925">
              <w:rPr>
                <w:color w:val="FFFFFF" w:themeColor="background1"/>
                <w:lang w:val="en-GB"/>
              </w:rPr>
              <w:t>Payment</w:t>
            </w:r>
          </w:p>
        </w:tc>
        <w:tc>
          <w:tcPr>
            <w:tcW w:w="2268" w:type="dxa"/>
          </w:tcPr>
          <w:p w14:paraId="17505316" w14:textId="3DD0F0FC" w:rsidR="00D24350" w:rsidRPr="00684925" w:rsidRDefault="00393534" w:rsidP="00D24350">
            <w:pPr>
              <w:rPr>
                <w:color w:val="FFFFFF" w:themeColor="background1"/>
                <w:lang w:val="en-GB"/>
              </w:rPr>
            </w:pPr>
            <w:r w:rsidRPr="00684925">
              <w:rPr>
                <w:color w:val="FFFFFF" w:themeColor="background1"/>
                <w:lang w:val="en-GB"/>
              </w:rPr>
              <w:t>Recipients</w:t>
            </w:r>
          </w:p>
        </w:tc>
        <w:tc>
          <w:tcPr>
            <w:tcW w:w="2552" w:type="dxa"/>
          </w:tcPr>
          <w:p w14:paraId="7F9026EA" w14:textId="77777777" w:rsidR="00D24350" w:rsidRPr="00684925" w:rsidRDefault="00D24350" w:rsidP="00D24350">
            <w:pPr>
              <w:rPr>
                <w:color w:val="FFFFFF" w:themeColor="background1"/>
                <w:lang w:val="en-GB"/>
              </w:rPr>
            </w:pPr>
            <w:r w:rsidRPr="00684925">
              <w:rPr>
                <w:color w:val="FFFFFF" w:themeColor="background1"/>
                <w:lang w:val="en-GB"/>
              </w:rPr>
              <w:t>As a % of total income support population</w:t>
            </w:r>
          </w:p>
        </w:tc>
      </w:tr>
      <w:tr w:rsidR="00D24350" w:rsidRPr="00D24350" w14:paraId="2205438A" w14:textId="77777777" w:rsidTr="007E2F2A">
        <w:trPr>
          <w:cnfStyle w:val="000000100000" w:firstRow="0" w:lastRow="0" w:firstColumn="0" w:lastColumn="0" w:oddVBand="0" w:evenVBand="0" w:oddHBand="1" w:evenHBand="0" w:firstRowFirstColumn="0" w:firstRowLastColumn="0" w:lastRowFirstColumn="0" w:lastRowLastColumn="0"/>
          <w:trHeight w:val="136"/>
        </w:trPr>
        <w:tc>
          <w:tcPr>
            <w:tcW w:w="4111" w:type="dxa"/>
          </w:tcPr>
          <w:p w14:paraId="0B97D471" w14:textId="77777777" w:rsidR="00D24350" w:rsidRPr="00D24350" w:rsidRDefault="00D24350" w:rsidP="00D24350">
            <w:pPr>
              <w:rPr>
                <w:lang w:val="en-GB"/>
              </w:rPr>
            </w:pPr>
            <w:r w:rsidRPr="00D24350">
              <w:rPr>
                <w:lang w:val="en-GB"/>
              </w:rPr>
              <w:t>Age Pension</w:t>
            </w:r>
          </w:p>
        </w:tc>
        <w:tc>
          <w:tcPr>
            <w:tcW w:w="2268" w:type="dxa"/>
          </w:tcPr>
          <w:p w14:paraId="5ABD9D29" w14:textId="77777777" w:rsidR="00D24350" w:rsidRPr="00D24350" w:rsidRDefault="00D24350" w:rsidP="00D24350">
            <w:pPr>
              <w:rPr>
                <w:lang w:val="en-GB"/>
              </w:rPr>
            </w:pPr>
            <w:r w:rsidRPr="00D24350">
              <w:rPr>
                <w:lang w:val="en-GB"/>
              </w:rPr>
              <w:t>2,585,820</w:t>
            </w:r>
          </w:p>
        </w:tc>
        <w:tc>
          <w:tcPr>
            <w:tcW w:w="2552" w:type="dxa"/>
          </w:tcPr>
          <w:p w14:paraId="37430AE2" w14:textId="77777777" w:rsidR="00D24350" w:rsidRPr="00D24350" w:rsidRDefault="00D24350" w:rsidP="00D24350">
            <w:pPr>
              <w:rPr>
                <w:lang w:val="en-GB"/>
              </w:rPr>
            </w:pPr>
            <w:r w:rsidRPr="00D24350">
              <w:rPr>
                <w:lang w:val="en-GB"/>
              </w:rPr>
              <w:t>51.3%</w:t>
            </w:r>
          </w:p>
        </w:tc>
      </w:tr>
      <w:tr w:rsidR="00D24350" w:rsidRPr="00D24350" w14:paraId="1EA72820" w14:textId="77777777" w:rsidTr="007E2F2A">
        <w:trPr>
          <w:trHeight w:val="20"/>
        </w:trPr>
        <w:tc>
          <w:tcPr>
            <w:tcW w:w="4111" w:type="dxa"/>
          </w:tcPr>
          <w:p w14:paraId="3EFCCAE4" w14:textId="77777777" w:rsidR="00D24350" w:rsidRPr="00D24350" w:rsidRDefault="00D24350" w:rsidP="00D24350">
            <w:pPr>
              <w:rPr>
                <w:lang w:val="en-GB"/>
              </w:rPr>
            </w:pPr>
            <w:r w:rsidRPr="00D24350">
              <w:rPr>
                <w:lang w:val="en-GB"/>
              </w:rPr>
              <w:t>Carer Payment</w:t>
            </w:r>
          </w:p>
        </w:tc>
        <w:tc>
          <w:tcPr>
            <w:tcW w:w="2268" w:type="dxa"/>
          </w:tcPr>
          <w:p w14:paraId="03006ACB" w14:textId="77777777" w:rsidR="00D24350" w:rsidRPr="00D24350" w:rsidRDefault="00D24350" w:rsidP="00D24350">
            <w:pPr>
              <w:rPr>
                <w:lang w:val="en-GB"/>
              </w:rPr>
            </w:pPr>
            <w:r w:rsidRPr="00D24350">
              <w:rPr>
                <w:lang w:val="en-GB"/>
              </w:rPr>
              <w:t>304,480</w:t>
            </w:r>
          </w:p>
        </w:tc>
        <w:tc>
          <w:tcPr>
            <w:tcW w:w="2552" w:type="dxa"/>
          </w:tcPr>
          <w:p w14:paraId="420D98AE" w14:textId="77777777" w:rsidR="00D24350" w:rsidRPr="00D24350" w:rsidRDefault="00D24350" w:rsidP="00D24350">
            <w:pPr>
              <w:rPr>
                <w:lang w:val="en-GB"/>
              </w:rPr>
            </w:pPr>
            <w:r w:rsidRPr="00D24350">
              <w:rPr>
                <w:lang w:val="en-GB"/>
              </w:rPr>
              <w:t>6.0%</w:t>
            </w:r>
          </w:p>
        </w:tc>
      </w:tr>
      <w:tr w:rsidR="00D24350" w:rsidRPr="00D24350" w14:paraId="4B1875B0"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0DBB2719" w14:textId="77777777" w:rsidR="00D24350" w:rsidRPr="00D24350" w:rsidRDefault="00D24350" w:rsidP="00D24350">
            <w:pPr>
              <w:rPr>
                <w:lang w:val="en-GB"/>
              </w:rPr>
            </w:pPr>
            <w:r w:rsidRPr="00D24350">
              <w:rPr>
                <w:lang w:val="en-GB"/>
              </w:rPr>
              <w:t>Disability Support Pension</w:t>
            </w:r>
          </w:p>
        </w:tc>
        <w:tc>
          <w:tcPr>
            <w:tcW w:w="2268" w:type="dxa"/>
          </w:tcPr>
          <w:p w14:paraId="5FD7AAE5" w14:textId="77777777" w:rsidR="00D24350" w:rsidRPr="00D24350" w:rsidRDefault="00D24350" w:rsidP="00D24350">
            <w:pPr>
              <w:rPr>
                <w:lang w:val="en-GB"/>
              </w:rPr>
            </w:pPr>
            <w:r w:rsidRPr="00D24350">
              <w:rPr>
                <w:lang w:val="en-GB"/>
              </w:rPr>
              <w:t>776,760</w:t>
            </w:r>
          </w:p>
        </w:tc>
        <w:tc>
          <w:tcPr>
            <w:tcW w:w="2552" w:type="dxa"/>
          </w:tcPr>
          <w:p w14:paraId="6FC3F199" w14:textId="77777777" w:rsidR="00D24350" w:rsidRPr="00D24350" w:rsidRDefault="00D24350" w:rsidP="00D24350">
            <w:pPr>
              <w:rPr>
                <w:lang w:val="en-GB"/>
              </w:rPr>
            </w:pPr>
            <w:r w:rsidRPr="00D24350">
              <w:rPr>
                <w:lang w:val="en-GB"/>
              </w:rPr>
              <w:t>15.4%</w:t>
            </w:r>
          </w:p>
        </w:tc>
      </w:tr>
      <w:tr w:rsidR="00D24350" w:rsidRPr="00D24350" w14:paraId="1EEA86E9" w14:textId="77777777" w:rsidTr="007E2F2A">
        <w:trPr>
          <w:trHeight w:val="20"/>
        </w:trPr>
        <w:tc>
          <w:tcPr>
            <w:tcW w:w="4111" w:type="dxa"/>
          </w:tcPr>
          <w:p w14:paraId="0467CB90" w14:textId="77777777" w:rsidR="00D24350" w:rsidRPr="00D24350" w:rsidRDefault="00D24350" w:rsidP="00D24350">
            <w:pPr>
              <w:rPr>
                <w:lang w:val="en-GB"/>
              </w:rPr>
            </w:pPr>
            <w:r w:rsidRPr="00D24350">
              <w:rPr>
                <w:lang w:val="en-GB"/>
              </w:rPr>
              <w:t>JobSeeker Payment</w:t>
            </w:r>
          </w:p>
        </w:tc>
        <w:tc>
          <w:tcPr>
            <w:tcW w:w="2268" w:type="dxa"/>
          </w:tcPr>
          <w:p w14:paraId="1CF91900" w14:textId="77777777" w:rsidR="00D24350" w:rsidRPr="00D24350" w:rsidRDefault="00D24350" w:rsidP="00D24350">
            <w:pPr>
              <w:rPr>
                <w:lang w:val="en-GB"/>
              </w:rPr>
            </w:pPr>
            <w:r w:rsidRPr="00D24350">
              <w:rPr>
                <w:lang w:val="en-GB"/>
              </w:rPr>
              <w:t>754,555</w:t>
            </w:r>
          </w:p>
        </w:tc>
        <w:tc>
          <w:tcPr>
            <w:tcW w:w="2552" w:type="dxa"/>
          </w:tcPr>
          <w:p w14:paraId="1B40C5A2" w14:textId="77777777" w:rsidR="00D24350" w:rsidRPr="00D24350" w:rsidRDefault="00D24350" w:rsidP="00D24350">
            <w:pPr>
              <w:rPr>
                <w:lang w:val="en-GB"/>
              </w:rPr>
            </w:pPr>
            <w:r w:rsidRPr="00D24350">
              <w:rPr>
                <w:lang w:val="en-GB"/>
              </w:rPr>
              <w:t>15.0%</w:t>
            </w:r>
          </w:p>
        </w:tc>
      </w:tr>
      <w:tr w:rsidR="00D24350" w:rsidRPr="00D24350" w14:paraId="294D3795"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26464ED2" w14:textId="77777777" w:rsidR="00D24350" w:rsidRPr="00D24350" w:rsidRDefault="00D24350" w:rsidP="00D24350">
            <w:pPr>
              <w:rPr>
                <w:lang w:val="en-GB"/>
              </w:rPr>
            </w:pPr>
            <w:r w:rsidRPr="00D24350">
              <w:rPr>
                <w:lang w:val="en-GB"/>
              </w:rPr>
              <w:t>Parenting Payment Partnered</w:t>
            </w:r>
          </w:p>
        </w:tc>
        <w:tc>
          <w:tcPr>
            <w:tcW w:w="2268" w:type="dxa"/>
          </w:tcPr>
          <w:p w14:paraId="724A8E46" w14:textId="77777777" w:rsidR="00D24350" w:rsidRPr="00D24350" w:rsidRDefault="00D24350" w:rsidP="00D24350">
            <w:pPr>
              <w:rPr>
                <w:lang w:val="en-GB"/>
              </w:rPr>
            </w:pPr>
            <w:r w:rsidRPr="00D24350">
              <w:rPr>
                <w:lang w:val="en-GB"/>
              </w:rPr>
              <w:t>58,210</w:t>
            </w:r>
          </w:p>
        </w:tc>
        <w:tc>
          <w:tcPr>
            <w:tcW w:w="2552" w:type="dxa"/>
          </w:tcPr>
          <w:p w14:paraId="31411847" w14:textId="77777777" w:rsidR="00D24350" w:rsidRPr="00D24350" w:rsidRDefault="00D24350" w:rsidP="00D24350">
            <w:pPr>
              <w:rPr>
                <w:lang w:val="en-GB"/>
              </w:rPr>
            </w:pPr>
            <w:r w:rsidRPr="00D24350">
              <w:rPr>
                <w:lang w:val="en-GB"/>
              </w:rPr>
              <w:t>1.2%</w:t>
            </w:r>
          </w:p>
        </w:tc>
      </w:tr>
      <w:tr w:rsidR="00D24350" w:rsidRPr="00D24350" w14:paraId="4A87258D" w14:textId="77777777" w:rsidTr="007E2F2A">
        <w:trPr>
          <w:trHeight w:val="20"/>
        </w:trPr>
        <w:tc>
          <w:tcPr>
            <w:tcW w:w="4111" w:type="dxa"/>
          </w:tcPr>
          <w:p w14:paraId="125A162A" w14:textId="77777777" w:rsidR="00D24350" w:rsidRPr="00D24350" w:rsidRDefault="00D24350" w:rsidP="00D24350">
            <w:pPr>
              <w:rPr>
                <w:lang w:val="en-GB"/>
              </w:rPr>
            </w:pPr>
            <w:r w:rsidRPr="00D24350">
              <w:rPr>
                <w:lang w:val="en-GB"/>
              </w:rPr>
              <w:t>Parenting Payment Single</w:t>
            </w:r>
          </w:p>
        </w:tc>
        <w:tc>
          <w:tcPr>
            <w:tcW w:w="2268" w:type="dxa"/>
          </w:tcPr>
          <w:p w14:paraId="2511043A" w14:textId="77777777" w:rsidR="00D24350" w:rsidRPr="00D24350" w:rsidRDefault="00D24350" w:rsidP="00D24350">
            <w:pPr>
              <w:rPr>
                <w:lang w:val="en-GB"/>
              </w:rPr>
            </w:pPr>
            <w:r w:rsidRPr="00D24350">
              <w:rPr>
                <w:lang w:val="en-GB"/>
              </w:rPr>
              <w:t>290,630</w:t>
            </w:r>
          </w:p>
        </w:tc>
        <w:tc>
          <w:tcPr>
            <w:tcW w:w="2552" w:type="dxa"/>
          </w:tcPr>
          <w:p w14:paraId="18DBFD0A" w14:textId="77777777" w:rsidR="00D24350" w:rsidRPr="00D24350" w:rsidRDefault="00D24350" w:rsidP="00D24350">
            <w:pPr>
              <w:rPr>
                <w:lang w:val="en-GB"/>
              </w:rPr>
            </w:pPr>
            <w:r w:rsidRPr="00D24350">
              <w:rPr>
                <w:lang w:val="en-GB"/>
              </w:rPr>
              <w:t>5.8%</w:t>
            </w:r>
          </w:p>
        </w:tc>
      </w:tr>
      <w:tr w:rsidR="00D24350" w:rsidRPr="00D24350" w14:paraId="499B860D"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3DB85F8D" w14:textId="77777777" w:rsidR="00D24350" w:rsidRPr="00D24350" w:rsidRDefault="00D24350" w:rsidP="00D24350">
            <w:pPr>
              <w:rPr>
                <w:lang w:val="en-GB"/>
              </w:rPr>
            </w:pPr>
            <w:r w:rsidRPr="00D24350">
              <w:rPr>
                <w:lang w:val="en-GB"/>
              </w:rPr>
              <w:t>Youth Allowance (other)</w:t>
            </w:r>
          </w:p>
        </w:tc>
        <w:tc>
          <w:tcPr>
            <w:tcW w:w="2268" w:type="dxa"/>
          </w:tcPr>
          <w:p w14:paraId="65366914" w14:textId="77777777" w:rsidR="00D24350" w:rsidRPr="00D24350" w:rsidRDefault="00D24350" w:rsidP="00D24350">
            <w:pPr>
              <w:rPr>
                <w:lang w:val="en-GB"/>
              </w:rPr>
            </w:pPr>
            <w:r w:rsidRPr="00D24350">
              <w:rPr>
                <w:lang w:val="en-GB"/>
              </w:rPr>
              <w:t>71,805</w:t>
            </w:r>
          </w:p>
        </w:tc>
        <w:tc>
          <w:tcPr>
            <w:tcW w:w="2552" w:type="dxa"/>
          </w:tcPr>
          <w:p w14:paraId="736A21B1" w14:textId="77777777" w:rsidR="00D24350" w:rsidRPr="00D24350" w:rsidRDefault="00D24350" w:rsidP="00D24350">
            <w:pPr>
              <w:rPr>
                <w:lang w:val="en-GB"/>
              </w:rPr>
            </w:pPr>
            <w:r w:rsidRPr="00D24350">
              <w:rPr>
                <w:lang w:val="en-GB"/>
              </w:rPr>
              <w:t>1.4%</w:t>
            </w:r>
          </w:p>
        </w:tc>
      </w:tr>
      <w:tr w:rsidR="00D24350" w:rsidRPr="00D24350" w14:paraId="777C7CC3" w14:textId="77777777" w:rsidTr="007E2F2A">
        <w:trPr>
          <w:trHeight w:val="20"/>
        </w:trPr>
        <w:tc>
          <w:tcPr>
            <w:tcW w:w="4111" w:type="dxa"/>
          </w:tcPr>
          <w:p w14:paraId="6E727936" w14:textId="77777777" w:rsidR="00D24350" w:rsidRPr="00D24350" w:rsidRDefault="00D24350" w:rsidP="00D24350">
            <w:pPr>
              <w:rPr>
                <w:lang w:val="en-GB"/>
              </w:rPr>
            </w:pPr>
            <w:r w:rsidRPr="00D24350">
              <w:rPr>
                <w:lang w:val="en-GB"/>
              </w:rPr>
              <w:t xml:space="preserve">Other payments </w:t>
            </w:r>
          </w:p>
        </w:tc>
        <w:tc>
          <w:tcPr>
            <w:tcW w:w="2268" w:type="dxa"/>
          </w:tcPr>
          <w:p w14:paraId="38A0FA50" w14:textId="77777777" w:rsidR="00D24350" w:rsidRPr="00D24350" w:rsidRDefault="00D24350" w:rsidP="00D24350">
            <w:pPr>
              <w:rPr>
                <w:lang w:val="en-GB"/>
              </w:rPr>
            </w:pPr>
            <w:r w:rsidRPr="00D24350">
              <w:rPr>
                <w:lang w:val="en-GB"/>
              </w:rPr>
              <w:t>197,760</w:t>
            </w:r>
          </w:p>
        </w:tc>
        <w:tc>
          <w:tcPr>
            <w:tcW w:w="2552" w:type="dxa"/>
          </w:tcPr>
          <w:p w14:paraId="12AFA5E8" w14:textId="77777777" w:rsidR="00D24350" w:rsidRPr="00D24350" w:rsidRDefault="00D24350" w:rsidP="00D24350">
            <w:pPr>
              <w:rPr>
                <w:lang w:val="en-GB"/>
              </w:rPr>
            </w:pPr>
            <w:r w:rsidRPr="00D24350">
              <w:rPr>
                <w:lang w:val="en-GB"/>
              </w:rPr>
              <w:t>3.9%</w:t>
            </w:r>
          </w:p>
        </w:tc>
      </w:tr>
      <w:tr w:rsidR="00D24350" w:rsidRPr="00D24350" w14:paraId="3C55CC70" w14:textId="77777777" w:rsidTr="007E2F2A">
        <w:trPr>
          <w:cnfStyle w:val="000000100000" w:firstRow="0" w:lastRow="0" w:firstColumn="0" w:lastColumn="0" w:oddVBand="0" w:evenVBand="0" w:oddHBand="1" w:evenHBand="0" w:firstRowFirstColumn="0" w:firstRowLastColumn="0" w:lastRowFirstColumn="0" w:lastRowLastColumn="0"/>
          <w:trHeight w:val="20"/>
        </w:trPr>
        <w:tc>
          <w:tcPr>
            <w:tcW w:w="4111" w:type="dxa"/>
          </w:tcPr>
          <w:p w14:paraId="7DCB299D" w14:textId="77777777" w:rsidR="00D24350" w:rsidRPr="00D24350" w:rsidRDefault="00D24350" w:rsidP="00D24350">
            <w:pPr>
              <w:rPr>
                <w:lang w:val="en-GB"/>
              </w:rPr>
            </w:pPr>
            <w:r w:rsidRPr="00D24350">
              <w:rPr>
                <w:lang w:val="en-GB"/>
              </w:rPr>
              <w:t>Total</w:t>
            </w:r>
          </w:p>
        </w:tc>
        <w:tc>
          <w:tcPr>
            <w:tcW w:w="2268" w:type="dxa"/>
          </w:tcPr>
          <w:p w14:paraId="76087813" w14:textId="77777777" w:rsidR="00D24350" w:rsidRPr="00D24350" w:rsidRDefault="00D24350" w:rsidP="00D24350">
            <w:pPr>
              <w:rPr>
                <w:lang w:val="en-GB"/>
              </w:rPr>
            </w:pPr>
            <w:r w:rsidRPr="00D24350">
              <w:rPr>
                <w:lang w:val="en-GB"/>
              </w:rPr>
              <w:t>5,040,015</w:t>
            </w:r>
          </w:p>
        </w:tc>
        <w:tc>
          <w:tcPr>
            <w:tcW w:w="2552" w:type="dxa"/>
          </w:tcPr>
          <w:p w14:paraId="3DF35D79" w14:textId="77777777" w:rsidR="00D24350" w:rsidRPr="00D24350" w:rsidRDefault="00D24350" w:rsidP="00D24350">
            <w:pPr>
              <w:rPr>
                <w:lang w:val="en-GB"/>
              </w:rPr>
            </w:pPr>
            <w:r w:rsidRPr="00D24350">
              <w:rPr>
                <w:lang w:val="en-GB"/>
              </w:rPr>
              <w:t>100.0%</w:t>
            </w:r>
          </w:p>
        </w:tc>
      </w:tr>
    </w:tbl>
    <w:p w14:paraId="47B8DDE5" w14:textId="77777777" w:rsidR="00D24350" w:rsidRPr="00D24350" w:rsidRDefault="00D24350" w:rsidP="00684925">
      <w:pPr>
        <w:pStyle w:val="Caption"/>
        <w:rPr>
          <w:lang w:val="en-GB"/>
        </w:rPr>
      </w:pPr>
      <w:r w:rsidRPr="00D24350">
        <w:rPr>
          <w:lang w:val="en-GB"/>
        </w:rPr>
        <w:t xml:space="preserve">Source: DSS administrative data. </w:t>
      </w:r>
    </w:p>
    <w:p w14:paraId="1A256845" w14:textId="77777777" w:rsidR="00D24350" w:rsidRPr="00D24350" w:rsidRDefault="00D24350" w:rsidP="00D24350">
      <w:pPr>
        <w:rPr>
          <w:lang w:val="en-GB"/>
        </w:rPr>
      </w:pPr>
      <w:r w:rsidRPr="00D24350">
        <w:rPr>
          <w:lang w:val="en-GB"/>
        </w:rPr>
        <w:t>With the exception of the COVID-19 period in 2020 and 2021, the total number of people receiving these non-Age-Pension payments has remained relatively stable, with 2.04 million recipients at September 2013 compared to 2.14 million recipients at September 2023. Indeed, growth in the number of people receiving income support is well below growth in the general population which increased about 15% over the same period.</w:t>
      </w:r>
      <w:r w:rsidRPr="00D24350">
        <w:rPr>
          <w:rStyle w:val="Superscript"/>
          <w:lang w:val="en-GB"/>
        </w:rPr>
        <w:footnoteReference w:id="106"/>
      </w:r>
    </w:p>
    <w:p w14:paraId="281DDCE2" w14:textId="37C47926" w:rsidR="00D24350" w:rsidRPr="005B53FF" w:rsidRDefault="00D24350" w:rsidP="005B53FF">
      <w:r w:rsidRPr="005B53FF">
        <w:t>Comparing September 2013 to September 2023:</w:t>
      </w:r>
    </w:p>
    <w:p w14:paraId="13B894B8" w14:textId="68E8C637" w:rsidR="005B53FF" w:rsidRPr="00023C01" w:rsidRDefault="005B53FF" w:rsidP="00023C01">
      <w:pPr>
        <w:pStyle w:val="ListBullet"/>
      </w:pPr>
      <w:r w:rsidRPr="00023C01">
        <w:t>JobSeeker Payment (formerly known as Newstart Allowance) increased by 3.2% or 23,525 people</w:t>
      </w:r>
    </w:p>
    <w:p w14:paraId="21DFABD4" w14:textId="15D6A31A" w:rsidR="005B53FF" w:rsidRPr="00023C01" w:rsidRDefault="005B53FF" w:rsidP="00023C01">
      <w:pPr>
        <w:pStyle w:val="ListBullet"/>
      </w:pPr>
      <w:r w:rsidRPr="00023C01">
        <w:t>Parenting Payment Single increased by 31,770 people or 12.3%</w:t>
      </w:r>
    </w:p>
    <w:p w14:paraId="41A7B3B2" w14:textId="52252345" w:rsidR="005B53FF" w:rsidRPr="00023C01" w:rsidRDefault="005B53FF" w:rsidP="00023C01">
      <w:pPr>
        <w:pStyle w:val="ListBullet"/>
      </w:pPr>
      <w:r w:rsidRPr="00023C01">
        <w:t>Carer payment has the largest proportional increase, increasing by 33.8% or 76,995 people</w:t>
      </w:r>
    </w:p>
    <w:p w14:paraId="4E611563" w14:textId="6A5125BC" w:rsidR="005B53FF" w:rsidRPr="00023C01" w:rsidRDefault="005B53FF" w:rsidP="00023C01">
      <w:pPr>
        <w:pStyle w:val="ListBullet"/>
      </w:pPr>
      <w:r w:rsidRPr="00023C01">
        <w:t>DSP has decreased by 48,480 people or 5.9%</w:t>
      </w:r>
    </w:p>
    <w:p w14:paraId="6177BE21" w14:textId="77777777" w:rsidR="00B95D46" w:rsidRDefault="00B95D46" w:rsidP="00B95D46">
      <w:pPr>
        <w:pStyle w:val="Heading4"/>
      </w:pPr>
      <w:r w:rsidRPr="00B95D46">
        <w:lastRenderedPageBreak/>
        <w:t>Figure 23: People receiving Newstart Allowance/JobSeeker Payment, Parenting Payment Single, Carer Payment and DSP - Monthly Time Series – September 2013 to September 2023</w:t>
      </w:r>
    </w:p>
    <w:p w14:paraId="1083C976" w14:textId="50928474" w:rsidR="00B95D46" w:rsidRDefault="00B95D46" w:rsidP="00B95D46">
      <w:r>
        <w:rPr>
          <w:noProof/>
        </w:rPr>
        <w:drawing>
          <wp:inline distT="0" distB="0" distL="0" distR="0" wp14:anchorId="1FF03AD9" wp14:editId="5D41ABC6">
            <wp:extent cx="5219700" cy="3276600"/>
            <wp:effectExtent l="0" t="0" r="0" b="0"/>
            <wp:docPr id="2146933753" name="Picture 21" descr="Figure 23: People receiving Newstart Allowance/JobSeeker Payment, Parenting Payment Single, Carer Payment and DSP - Monthly Time Series – September 2013 to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33753" name="Picture 21" descr="Figure 23: People receiving Newstart Allowance/JobSeeker Payment, Parenting Payment Single, Carer Payment and DSP - Monthly Time Series – September 2013 to September 2023"/>
                    <pic:cNvPicPr/>
                  </pic:nvPicPr>
                  <pic:blipFill>
                    <a:blip r:embed="rId47">
                      <a:extLst>
                        <a:ext uri="{28A0092B-C50C-407E-A947-70E740481C1C}">
                          <a14:useLocalDpi xmlns:a14="http://schemas.microsoft.com/office/drawing/2010/main" val="0"/>
                        </a:ext>
                      </a:extLst>
                    </a:blip>
                    <a:stretch>
                      <a:fillRect/>
                    </a:stretch>
                  </pic:blipFill>
                  <pic:spPr>
                    <a:xfrm>
                      <a:off x="0" y="0"/>
                      <a:ext cx="5219700" cy="3276600"/>
                    </a:xfrm>
                    <a:prstGeom prst="rect">
                      <a:avLst/>
                    </a:prstGeom>
                  </pic:spPr>
                </pic:pic>
              </a:graphicData>
            </a:graphic>
          </wp:inline>
        </w:drawing>
      </w:r>
    </w:p>
    <w:p w14:paraId="1CB3741F" w14:textId="0962A1D2" w:rsidR="00B95D46" w:rsidRPr="00B95D46" w:rsidRDefault="00B95D46" w:rsidP="00B95D46">
      <w:pPr>
        <w:pStyle w:val="Caption"/>
      </w:pPr>
      <w:r w:rsidRPr="00B95D46">
        <w:t>Source:  DSS Administrative Data</w:t>
      </w:r>
    </w:p>
    <w:p w14:paraId="543004C7" w14:textId="77777777" w:rsidR="00D24350" w:rsidRPr="005B53FF" w:rsidRDefault="00D24350" w:rsidP="005B53FF">
      <w:pPr>
        <w:pStyle w:val="Heading3"/>
      </w:pPr>
      <w:r w:rsidRPr="005B53FF">
        <w:t>6.3.2 Who receives JobSeeker payment in particular?</w:t>
      </w:r>
    </w:p>
    <w:p w14:paraId="51341D22" w14:textId="77777777" w:rsidR="00D24350" w:rsidRDefault="00D24350" w:rsidP="00D24350">
      <w:pPr>
        <w:rPr>
          <w:lang w:val="en-GB"/>
        </w:rPr>
      </w:pPr>
      <w:r w:rsidRPr="00D24350">
        <w:rPr>
          <w:lang w:val="en-GB"/>
        </w:rPr>
        <w:t>As of September 2023, a snapshot</w:t>
      </w:r>
      <w:r w:rsidRPr="00D24350">
        <w:rPr>
          <w:rStyle w:val="Superscript"/>
          <w:lang w:val="en-GB"/>
        </w:rPr>
        <w:footnoteReference w:id="107"/>
      </w:r>
      <w:r w:rsidRPr="00D24350">
        <w:rPr>
          <w:rStyle w:val="Superscript"/>
          <w:lang w:val="en-GB"/>
        </w:rPr>
        <w:t xml:space="preserve"> </w:t>
      </w:r>
      <w:r w:rsidRPr="00D24350">
        <w:rPr>
          <w:lang w:val="en-GB"/>
        </w:rPr>
        <w:t>of the current JobSeeker caseload reveals the average period of receipt of income support is 5.4 years. Some 45% of the approximately 750,000 people receiving the JobSeeker Payment were assessed as having a partial capacity to work – that is, unable to work full time because of illness or disability, while 31% of people were over aged 55, many with fewer practical opportunities to retrain and join new industries. Overall, 70% of people receiving JobSeeker were long-term unemployed (unemployed for 12 months or more). Table 12 provides more detail.</w:t>
      </w:r>
    </w:p>
    <w:p w14:paraId="44C90A63" w14:textId="0D4F269D" w:rsidR="00803B74" w:rsidRDefault="00803B74" w:rsidP="00803B74">
      <w:pPr>
        <w:pStyle w:val="Heading4"/>
      </w:pPr>
      <w:r>
        <w:t>Table 12: People receiving JobSeeker Payment as at September 2023</w:t>
      </w:r>
    </w:p>
    <w:tbl>
      <w:tblPr>
        <w:tblStyle w:val="TableGrid"/>
        <w:tblW w:w="0" w:type="auto"/>
        <w:tblLook w:val="04A0" w:firstRow="1" w:lastRow="0" w:firstColumn="1" w:lastColumn="0" w:noHBand="0" w:noVBand="1"/>
      </w:tblPr>
      <w:tblGrid>
        <w:gridCol w:w="3823"/>
        <w:gridCol w:w="1559"/>
        <w:gridCol w:w="1701"/>
        <w:gridCol w:w="1933"/>
      </w:tblGrid>
      <w:tr w:rsidR="00803B74" w14:paraId="0DCA5092" w14:textId="77777777" w:rsidTr="00803B74">
        <w:trPr>
          <w:cnfStyle w:val="100000000000" w:firstRow="1" w:lastRow="0" w:firstColumn="0" w:lastColumn="0" w:oddVBand="0" w:evenVBand="0" w:oddHBand="0" w:evenHBand="0" w:firstRowFirstColumn="0" w:firstRowLastColumn="0" w:lastRowFirstColumn="0" w:lastRowLastColumn="0"/>
        </w:trPr>
        <w:tc>
          <w:tcPr>
            <w:tcW w:w="3823" w:type="dxa"/>
            <w:vAlign w:val="center"/>
          </w:tcPr>
          <w:p w14:paraId="18C4D6C8" w14:textId="1F803544" w:rsidR="00803B74" w:rsidRPr="00684925" w:rsidRDefault="00803B74" w:rsidP="00803B74">
            <w:pPr>
              <w:rPr>
                <w:color w:val="FFFFFF" w:themeColor="background1"/>
                <w:sz w:val="18"/>
                <w:szCs w:val="18"/>
              </w:rPr>
            </w:pPr>
            <w:r w:rsidRPr="00684925">
              <w:rPr>
                <w:color w:val="FFFFFF" w:themeColor="background1"/>
                <w:sz w:val="18"/>
                <w:szCs w:val="18"/>
              </w:rPr>
              <w:t>J</w:t>
            </w:r>
            <w:bookmarkStart w:id="61" w:name="ColumnTitle_Table12"/>
            <w:bookmarkEnd w:id="61"/>
            <w:r w:rsidRPr="00684925">
              <w:rPr>
                <w:color w:val="FFFFFF" w:themeColor="background1"/>
                <w:sz w:val="18"/>
                <w:szCs w:val="18"/>
              </w:rPr>
              <w:t>obSeeker payment cohort</w:t>
            </w:r>
          </w:p>
        </w:tc>
        <w:tc>
          <w:tcPr>
            <w:tcW w:w="1559" w:type="dxa"/>
            <w:vAlign w:val="center"/>
          </w:tcPr>
          <w:p w14:paraId="527082A2" w14:textId="148840B8" w:rsidR="00803B74" w:rsidRPr="00684925" w:rsidRDefault="00803B74" w:rsidP="00803B74">
            <w:pPr>
              <w:rPr>
                <w:color w:val="FFFFFF" w:themeColor="background1"/>
                <w:sz w:val="18"/>
                <w:szCs w:val="18"/>
              </w:rPr>
            </w:pPr>
            <w:r w:rsidRPr="00684925">
              <w:rPr>
                <w:color w:val="FFFFFF" w:themeColor="background1"/>
                <w:sz w:val="18"/>
                <w:szCs w:val="18"/>
              </w:rPr>
              <w:t>Population (at Sept 2023)</w:t>
            </w:r>
          </w:p>
        </w:tc>
        <w:tc>
          <w:tcPr>
            <w:tcW w:w="1701" w:type="dxa"/>
            <w:vAlign w:val="center"/>
          </w:tcPr>
          <w:p w14:paraId="415061BC" w14:textId="4A2787DB" w:rsidR="00803B74" w:rsidRPr="00684925" w:rsidRDefault="00803B74" w:rsidP="00803B74">
            <w:pPr>
              <w:rPr>
                <w:color w:val="FFFFFF" w:themeColor="background1"/>
                <w:sz w:val="18"/>
                <w:szCs w:val="18"/>
              </w:rPr>
            </w:pPr>
            <w:r w:rsidRPr="00684925">
              <w:rPr>
                <w:color w:val="FFFFFF" w:themeColor="background1"/>
                <w:sz w:val="18"/>
                <w:szCs w:val="18"/>
              </w:rPr>
              <w:t>Average Income Support Payment duration (yrs)</w:t>
            </w:r>
          </w:p>
        </w:tc>
        <w:tc>
          <w:tcPr>
            <w:tcW w:w="1933" w:type="dxa"/>
            <w:vAlign w:val="center"/>
          </w:tcPr>
          <w:p w14:paraId="43C23DD1" w14:textId="6993B6CF" w:rsidR="00803B74" w:rsidRPr="00684925" w:rsidRDefault="00803B74" w:rsidP="00803B74">
            <w:pPr>
              <w:rPr>
                <w:color w:val="FFFFFF" w:themeColor="background1"/>
                <w:sz w:val="18"/>
                <w:szCs w:val="18"/>
              </w:rPr>
            </w:pPr>
            <w:r w:rsidRPr="00684925">
              <w:rPr>
                <w:color w:val="FFFFFF" w:themeColor="background1"/>
                <w:sz w:val="18"/>
                <w:szCs w:val="18"/>
              </w:rPr>
              <w:t>Proportion on long-term Income Support Payment (%)</w:t>
            </w:r>
          </w:p>
        </w:tc>
      </w:tr>
      <w:tr w:rsidR="00803B74" w14:paraId="42C5BBB3"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2581BC1F" w14:textId="62D9080D" w:rsidR="00803B74" w:rsidRPr="00803B74" w:rsidRDefault="00803B74" w:rsidP="00803B74">
            <w:r w:rsidRPr="00803B74">
              <w:t>Principal Carer Parents</w:t>
            </w:r>
          </w:p>
        </w:tc>
        <w:tc>
          <w:tcPr>
            <w:tcW w:w="1559" w:type="dxa"/>
            <w:vAlign w:val="center"/>
          </w:tcPr>
          <w:p w14:paraId="7D1AA4E2" w14:textId="3B16C74B" w:rsidR="00803B74" w:rsidRPr="00803B74" w:rsidRDefault="00803B74" w:rsidP="00803B74">
            <w:r w:rsidRPr="00803B74">
              <w:t>42,475</w:t>
            </w:r>
          </w:p>
        </w:tc>
        <w:tc>
          <w:tcPr>
            <w:tcW w:w="1701" w:type="dxa"/>
            <w:vAlign w:val="center"/>
          </w:tcPr>
          <w:p w14:paraId="02347814" w14:textId="73E869A6" w:rsidR="00803B74" w:rsidRPr="00803B74" w:rsidRDefault="00803B74" w:rsidP="00803B74">
            <w:r w:rsidRPr="00803B74">
              <w:t>8.6</w:t>
            </w:r>
          </w:p>
        </w:tc>
        <w:tc>
          <w:tcPr>
            <w:tcW w:w="1933" w:type="dxa"/>
            <w:vAlign w:val="center"/>
          </w:tcPr>
          <w:p w14:paraId="31EF420D" w14:textId="362A0A9A" w:rsidR="00803B74" w:rsidRPr="00803B74" w:rsidRDefault="00803B74" w:rsidP="00803B74">
            <w:r w:rsidRPr="00803B74">
              <w:t>80.6</w:t>
            </w:r>
          </w:p>
        </w:tc>
      </w:tr>
      <w:tr w:rsidR="00803B74" w14:paraId="631CE93D" w14:textId="77777777" w:rsidTr="00803B74">
        <w:tc>
          <w:tcPr>
            <w:tcW w:w="3823" w:type="dxa"/>
            <w:vAlign w:val="center"/>
          </w:tcPr>
          <w:p w14:paraId="36BE9DBE" w14:textId="05E5952F" w:rsidR="00803B74" w:rsidRPr="00803B74" w:rsidRDefault="00803B74" w:rsidP="00803B74">
            <w:r w:rsidRPr="00803B74">
              <w:t xml:space="preserve">Partial Capacity to Work </w:t>
            </w:r>
          </w:p>
        </w:tc>
        <w:tc>
          <w:tcPr>
            <w:tcW w:w="1559" w:type="dxa"/>
            <w:vAlign w:val="center"/>
          </w:tcPr>
          <w:p w14:paraId="49B64216" w14:textId="5398DA61" w:rsidR="00803B74" w:rsidRPr="00803B74" w:rsidRDefault="00803B74" w:rsidP="00803B74">
            <w:r w:rsidRPr="00803B74">
              <w:t>339,475</w:t>
            </w:r>
          </w:p>
        </w:tc>
        <w:tc>
          <w:tcPr>
            <w:tcW w:w="1701" w:type="dxa"/>
            <w:vAlign w:val="center"/>
          </w:tcPr>
          <w:p w14:paraId="70122B71" w14:textId="29FE9ED2" w:rsidR="00803B74" w:rsidRPr="00803B74" w:rsidRDefault="00803B74" w:rsidP="00803B74">
            <w:r w:rsidRPr="00803B74">
              <w:t>7.3</w:t>
            </w:r>
          </w:p>
        </w:tc>
        <w:tc>
          <w:tcPr>
            <w:tcW w:w="1933" w:type="dxa"/>
            <w:vAlign w:val="center"/>
          </w:tcPr>
          <w:p w14:paraId="04198C02" w14:textId="281FA120" w:rsidR="00803B74" w:rsidRPr="00803B74" w:rsidRDefault="00803B74" w:rsidP="00803B74">
            <w:r w:rsidRPr="00803B74">
              <w:t>83.3</w:t>
            </w:r>
          </w:p>
        </w:tc>
      </w:tr>
      <w:tr w:rsidR="00803B74" w14:paraId="65A37AF0"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672CB20F" w14:textId="6075235D" w:rsidR="00803B74" w:rsidRPr="00803B74" w:rsidRDefault="00803B74" w:rsidP="00803B74">
            <w:r w:rsidRPr="00803B74">
              <w:t>Mature Age (MA) (55+)</w:t>
            </w:r>
          </w:p>
        </w:tc>
        <w:tc>
          <w:tcPr>
            <w:tcW w:w="1559" w:type="dxa"/>
            <w:vAlign w:val="center"/>
          </w:tcPr>
          <w:p w14:paraId="38B7CEAE" w14:textId="08DA7F5B" w:rsidR="00803B74" w:rsidRPr="00803B74" w:rsidRDefault="00803B74" w:rsidP="00803B74">
            <w:r w:rsidRPr="00803B74">
              <w:t>233,850</w:t>
            </w:r>
          </w:p>
        </w:tc>
        <w:tc>
          <w:tcPr>
            <w:tcW w:w="1701" w:type="dxa"/>
            <w:vAlign w:val="center"/>
          </w:tcPr>
          <w:p w14:paraId="7E80ABE5" w14:textId="41546DFF" w:rsidR="00803B74" w:rsidRPr="00803B74" w:rsidRDefault="00803B74" w:rsidP="00803B74">
            <w:r w:rsidRPr="00803B74">
              <w:t xml:space="preserve">6.7 </w:t>
            </w:r>
          </w:p>
        </w:tc>
        <w:tc>
          <w:tcPr>
            <w:tcW w:w="1933" w:type="dxa"/>
            <w:vAlign w:val="center"/>
          </w:tcPr>
          <w:p w14:paraId="294F635C" w14:textId="5F0CA25B" w:rsidR="00803B74" w:rsidRPr="00803B74" w:rsidRDefault="00803B74" w:rsidP="00803B74">
            <w:r w:rsidRPr="00803B74">
              <w:t>79.3</w:t>
            </w:r>
          </w:p>
        </w:tc>
      </w:tr>
      <w:tr w:rsidR="00803B74" w14:paraId="40ABBA24" w14:textId="77777777" w:rsidTr="00803B74">
        <w:tc>
          <w:tcPr>
            <w:tcW w:w="3823" w:type="dxa"/>
            <w:vAlign w:val="center"/>
          </w:tcPr>
          <w:p w14:paraId="4BB04412" w14:textId="02BD6B48" w:rsidR="00803B74" w:rsidRPr="00803B74" w:rsidRDefault="00803B74" w:rsidP="00803B74">
            <w:r w:rsidRPr="00803B74">
              <w:t xml:space="preserve">Culturally and Linguistically Diverse background </w:t>
            </w:r>
          </w:p>
        </w:tc>
        <w:tc>
          <w:tcPr>
            <w:tcW w:w="1559" w:type="dxa"/>
            <w:vAlign w:val="center"/>
          </w:tcPr>
          <w:p w14:paraId="44303C2F" w14:textId="37C9640D" w:rsidR="00803B74" w:rsidRPr="00803B74" w:rsidRDefault="00803B74" w:rsidP="00803B74">
            <w:r w:rsidRPr="00803B74">
              <w:t>150,375</w:t>
            </w:r>
          </w:p>
        </w:tc>
        <w:tc>
          <w:tcPr>
            <w:tcW w:w="1701" w:type="dxa"/>
            <w:vAlign w:val="center"/>
          </w:tcPr>
          <w:p w14:paraId="0981A228" w14:textId="441017B9" w:rsidR="00803B74" w:rsidRPr="00803B74" w:rsidRDefault="00803B74" w:rsidP="00803B74">
            <w:r w:rsidRPr="00803B74">
              <w:t>5.4</w:t>
            </w:r>
          </w:p>
        </w:tc>
        <w:tc>
          <w:tcPr>
            <w:tcW w:w="1933" w:type="dxa"/>
            <w:vAlign w:val="center"/>
          </w:tcPr>
          <w:p w14:paraId="4D368C28" w14:textId="386AEC40" w:rsidR="00803B74" w:rsidRPr="00803B74" w:rsidRDefault="00803B74" w:rsidP="00803B74">
            <w:r w:rsidRPr="00803B74">
              <w:t>70.0</w:t>
            </w:r>
          </w:p>
        </w:tc>
      </w:tr>
      <w:tr w:rsidR="00803B74" w14:paraId="531EB49F"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1710C83A" w14:textId="78F61722" w:rsidR="00803B74" w:rsidRPr="00803B74" w:rsidRDefault="00803B74" w:rsidP="00803B74">
            <w:r w:rsidRPr="00803B74">
              <w:t xml:space="preserve">Regional &amp; remote Australia </w:t>
            </w:r>
          </w:p>
        </w:tc>
        <w:tc>
          <w:tcPr>
            <w:tcW w:w="1559" w:type="dxa"/>
            <w:vAlign w:val="center"/>
          </w:tcPr>
          <w:p w14:paraId="79DE280B" w14:textId="13E262EC" w:rsidR="00803B74" w:rsidRPr="00803B74" w:rsidRDefault="00803B74" w:rsidP="00803B74">
            <w:r w:rsidRPr="00803B74">
              <w:t>278,070</w:t>
            </w:r>
          </w:p>
        </w:tc>
        <w:tc>
          <w:tcPr>
            <w:tcW w:w="1701" w:type="dxa"/>
            <w:vAlign w:val="center"/>
          </w:tcPr>
          <w:p w14:paraId="5AB31911" w14:textId="6EF9BD0A" w:rsidR="00803B74" w:rsidRPr="00803B74" w:rsidRDefault="00803B74" w:rsidP="00803B74">
            <w:r w:rsidRPr="00803B74">
              <w:t xml:space="preserve">5.9 </w:t>
            </w:r>
          </w:p>
        </w:tc>
        <w:tc>
          <w:tcPr>
            <w:tcW w:w="1933" w:type="dxa"/>
            <w:vAlign w:val="center"/>
          </w:tcPr>
          <w:p w14:paraId="23D590BF" w14:textId="7DD62982" w:rsidR="00803B74" w:rsidRPr="00803B74" w:rsidRDefault="00803B74" w:rsidP="00803B74">
            <w:r w:rsidRPr="00803B74">
              <w:t>73.0</w:t>
            </w:r>
          </w:p>
        </w:tc>
      </w:tr>
      <w:tr w:rsidR="00803B74" w14:paraId="2634F86E" w14:textId="77777777" w:rsidTr="00803B74">
        <w:tc>
          <w:tcPr>
            <w:tcW w:w="3823" w:type="dxa"/>
            <w:vAlign w:val="center"/>
          </w:tcPr>
          <w:p w14:paraId="5C040B4E" w14:textId="1C034A41" w:rsidR="00803B74" w:rsidRPr="00803B74" w:rsidRDefault="00803B74" w:rsidP="00803B74">
            <w:r w:rsidRPr="00803B74">
              <w:t>First Nations Australians</w:t>
            </w:r>
          </w:p>
        </w:tc>
        <w:tc>
          <w:tcPr>
            <w:tcW w:w="1559" w:type="dxa"/>
            <w:vAlign w:val="center"/>
          </w:tcPr>
          <w:p w14:paraId="22329D7C" w14:textId="454453FD" w:rsidR="00803B74" w:rsidRPr="00803B74" w:rsidRDefault="00803B74" w:rsidP="00803B74">
            <w:r w:rsidRPr="00803B74">
              <w:t>101,730</w:t>
            </w:r>
          </w:p>
        </w:tc>
        <w:tc>
          <w:tcPr>
            <w:tcW w:w="1701" w:type="dxa"/>
            <w:vAlign w:val="center"/>
          </w:tcPr>
          <w:p w14:paraId="0AD051FA" w14:textId="6956E979" w:rsidR="00803B74" w:rsidRPr="00803B74" w:rsidRDefault="00803B74" w:rsidP="00803B74">
            <w:r w:rsidRPr="00803B74">
              <w:t>5.9</w:t>
            </w:r>
          </w:p>
        </w:tc>
        <w:tc>
          <w:tcPr>
            <w:tcW w:w="1933" w:type="dxa"/>
            <w:vAlign w:val="center"/>
          </w:tcPr>
          <w:p w14:paraId="74E59293" w14:textId="4647BB9F" w:rsidR="00803B74" w:rsidRPr="00803B74" w:rsidRDefault="00803B74" w:rsidP="00803B74">
            <w:r w:rsidRPr="00803B74">
              <w:t>69.9</w:t>
            </w:r>
          </w:p>
        </w:tc>
      </w:tr>
      <w:tr w:rsidR="00803B74" w14:paraId="6F6B562B" w14:textId="77777777" w:rsidTr="00803B74">
        <w:trPr>
          <w:cnfStyle w:val="000000100000" w:firstRow="0" w:lastRow="0" w:firstColumn="0" w:lastColumn="0" w:oddVBand="0" w:evenVBand="0" w:oddHBand="1" w:evenHBand="0" w:firstRowFirstColumn="0" w:firstRowLastColumn="0" w:lastRowFirstColumn="0" w:lastRowLastColumn="0"/>
        </w:trPr>
        <w:tc>
          <w:tcPr>
            <w:tcW w:w="3823" w:type="dxa"/>
            <w:vAlign w:val="center"/>
          </w:tcPr>
          <w:p w14:paraId="7E9B669B" w14:textId="34D4A9F1" w:rsidR="00803B74" w:rsidRPr="00803B74" w:rsidRDefault="00803B74" w:rsidP="00803B74">
            <w:r w:rsidRPr="00803B74">
              <w:t xml:space="preserve">All people receiving JobSeeker Payment </w:t>
            </w:r>
          </w:p>
        </w:tc>
        <w:tc>
          <w:tcPr>
            <w:tcW w:w="1559" w:type="dxa"/>
            <w:vAlign w:val="center"/>
          </w:tcPr>
          <w:p w14:paraId="2ABC3615" w14:textId="5D885AE4" w:rsidR="00803B74" w:rsidRPr="00803B74" w:rsidRDefault="00803B74" w:rsidP="00803B74">
            <w:r w:rsidRPr="00803B74">
              <w:t>754,555</w:t>
            </w:r>
          </w:p>
        </w:tc>
        <w:tc>
          <w:tcPr>
            <w:tcW w:w="1701" w:type="dxa"/>
            <w:vAlign w:val="center"/>
          </w:tcPr>
          <w:p w14:paraId="11737B27" w14:textId="5313BC96" w:rsidR="00803B74" w:rsidRPr="00803B74" w:rsidRDefault="00803B74" w:rsidP="00803B74">
            <w:r w:rsidRPr="00803B74">
              <w:t>5.4</w:t>
            </w:r>
          </w:p>
        </w:tc>
        <w:tc>
          <w:tcPr>
            <w:tcW w:w="1933" w:type="dxa"/>
            <w:vAlign w:val="center"/>
          </w:tcPr>
          <w:p w14:paraId="16485180" w14:textId="3736A594" w:rsidR="00803B74" w:rsidRPr="00803B74" w:rsidRDefault="00803B74" w:rsidP="00803B74">
            <w:r w:rsidRPr="00803B74">
              <w:t>70.4</w:t>
            </w:r>
          </w:p>
        </w:tc>
      </w:tr>
    </w:tbl>
    <w:p w14:paraId="3080206A" w14:textId="77777777" w:rsidR="00803B74" w:rsidRDefault="00803B74" w:rsidP="00803B74">
      <w:pPr>
        <w:pStyle w:val="Caption"/>
      </w:pPr>
      <w:r>
        <w:lastRenderedPageBreak/>
        <w:t>Source: DSS administrative data</w:t>
      </w:r>
    </w:p>
    <w:p w14:paraId="7BD855F0" w14:textId="646CB7A0" w:rsidR="00D24350" w:rsidRPr="00D24350" w:rsidRDefault="00D24350" w:rsidP="00D24350">
      <w:pPr>
        <w:rPr>
          <w:lang w:val="en-GB"/>
        </w:rPr>
      </w:pPr>
      <w:r w:rsidRPr="00D24350">
        <w:rPr>
          <w:lang w:val="en-GB"/>
        </w:rPr>
        <w:t>Over the last 10 to 20 years, older people, people with a partial capacity to work and people who are long-term receivers of income support have grown very substantially as a proportion of all people receiving JobSeeker. People receiving JobSeeker aged 55 years and over as a total proportion of all people receiving payments has tripled from 9.9% to 31% in the two decades to 2023. The proportion of people receiving JobSeeker with a partial capacity to work has roughly doubled from 22.7% to 45% since 2013. Table 13 below provides detail:</w:t>
      </w:r>
    </w:p>
    <w:p w14:paraId="3081D99B" w14:textId="75199A03" w:rsidR="00D24350" w:rsidRDefault="00D24350" w:rsidP="005B53FF">
      <w:pPr>
        <w:pStyle w:val="Heading4"/>
      </w:pPr>
      <w:r w:rsidRPr="005B53FF">
        <w:t>Table 13: Newstart Allowance/JobSeeker Payment, Yearly, September 2003 to September 2023</w:t>
      </w:r>
    </w:p>
    <w:tbl>
      <w:tblPr>
        <w:tblStyle w:val="TableGrid"/>
        <w:tblW w:w="0" w:type="auto"/>
        <w:tblLook w:val="04A0" w:firstRow="1" w:lastRow="0" w:firstColumn="1" w:lastColumn="0" w:noHBand="0" w:noVBand="1"/>
      </w:tblPr>
      <w:tblGrid>
        <w:gridCol w:w="1097"/>
        <w:gridCol w:w="1244"/>
        <w:gridCol w:w="1119"/>
        <w:gridCol w:w="1106"/>
        <w:gridCol w:w="1119"/>
        <w:gridCol w:w="1106"/>
        <w:gridCol w:w="1119"/>
        <w:gridCol w:w="1106"/>
      </w:tblGrid>
      <w:tr w:rsidR="007E46BA" w14:paraId="1541C03B" w14:textId="77777777" w:rsidTr="008E584A">
        <w:trPr>
          <w:cnfStyle w:val="100000000000" w:firstRow="1" w:lastRow="0" w:firstColumn="0" w:lastColumn="0" w:oddVBand="0" w:evenVBand="0" w:oddHBand="0" w:evenHBand="0" w:firstRowFirstColumn="0" w:firstRowLastColumn="0" w:lastRowFirstColumn="0" w:lastRowLastColumn="0"/>
        </w:trPr>
        <w:tc>
          <w:tcPr>
            <w:tcW w:w="1097" w:type="dxa"/>
            <w:vAlign w:val="center"/>
          </w:tcPr>
          <w:p w14:paraId="74CEDF70" w14:textId="26183D78" w:rsidR="007E46BA" w:rsidRPr="00684925" w:rsidRDefault="007E46BA" w:rsidP="007E46BA">
            <w:pPr>
              <w:rPr>
                <w:color w:val="FFFFFF" w:themeColor="background1"/>
              </w:rPr>
            </w:pPr>
            <w:bookmarkStart w:id="62" w:name="ColumnTitle_Table13"/>
            <w:bookmarkEnd w:id="62"/>
            <w:r w:rsidRPr="00684925">
              <w:rPr>
                <w:color w:val="FFFFFF" w:themeColor="background1"/>
              </w:rPr>
              <w:t>Date</w:t>
            </w:r>
          </w:p>
        </w:tc>
        <w:tc>
          <w:tcPr>
            <w:tcW w:w="1244" w:type="dxa"/>
            <w:vAlign w:val="center"/>
          </w:tcPr>
          <w:p w14:paraId="3F5EBC61" w14:textId="0AFAF1A0" w:rsidR="007E46BA" w:rsidRPr="00684925" w:rsidRDefault="007E46BA" w:rsidP="007E46BA">
            <w:pPr>
              <w:rPr>
                <w:color w:val="FFFFFF" w:themeColor="background1"/>
              </w:rPr>
            </w:pPr>
            <w:r w:rsidRPr="00684925">
              <w:rPr>
                <w:color w:val="FFFFFF" w:themeColor="background1"/>
              </w:rPr>
              <w:t>Total Recipients</w:t>
            </w:r>
          </w:p>
        </w:tc>
        <w:tc>
          <w:tcPr>
            <w:tcW w:w="2225" w:type="dxa"/>
            <w:gridSpan w:val="2"/>
          </w:tcPr>
          <w:p w14:paraId="7BF65785" w14:textId="395E42BF" w:rsidR="007E46BA" w:rsidRPr="00684925" w:rsidRDefault="007E46BA" w:rsidP="007E46BA">
            <w:pPr>
              <w:rPr>
                <w:color w:val="FFFFFF" w:themeColor="background1"/>
              </w:rPr>
            </w:pPr>
            <w:r w:rsidRPr="00684925">
              <w:rPr>
                <w:color w:val="FFFFFF" w:themeColor="background1"/>
              </w:rPr>
              <w:t>Long Term Income Support</w:t>
            </w:r>
          </w:p>
        </w:tc>
        <w:tc>
          <w:tcPr>
            <w:tcW w:w="2225" w:type="dxa"/>
            <w:gridSpan w:val="2"/>
          </w:tcPr>
          <w:p w14:paraId="73335A87" w14:textId="70335ACC" w:rsidR="007E46BA" w:rsidRPr="00684925" w:rsidRDefault="007E46BA" w:rsidP="007E46BA">
            <w:pPr>
              <w:rPr>
                <w:color w:val="FFFFFF" w:themeColor="background1"/>
              </w:rPr>
            </w:pPr>
            <w:r w:rsidRPr="00684925">
              <w:rPr>
                <w:color w:val="FFFFFF" w:themeColor="background1"/>
              </w:rPr>
              <w:t>Aged 55+ years</w:t>
            </w:r>
          </w:p>
        </w:tc>
        <w:tc>
          <w:tcPr>
            <w:tcW w:w="2225" w:type="dxa"/>
            <w:gridSpan w:val="2"/>
          </w:tcPr>
          <w:p w14:paraId="67B13B6D" w14:textId="7D2F33E6" w:rsidR="007E46BA" w:rsidRPr="00684925" w:rsidRDefault="007E46BA" w:rsidP="007E46BA">
            <w:pPr>
              <w:rPr>
                <w:color w:val="FFFFFF" w:themeColor="background1"/>
              </w:rPr>
            </w:pPr>
            <w:r w:rsidRPr="00684925">
              <w:rPr>
                <w:color w:val="FFFFFF" w:themeColor="background1"/>
              </w:rPr>
              <w:t>Partial Capacity to Work*</w:t>
            </w:r>
          </w:p>
        </w:tc>
      </w:tr>
      <w:tr w:rsidR="00FD0395" w14:paraId="44474BA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6786609" w14:textId="071A94E4" w:rsidR="007E46BA" w:rsidRDefault="007E46BA" w:rsidP="007E46BA">
            <w:r>
              <w:t>Sep-03</w:t>
            </w:r>
          </w:p>
        </w:tc>
        <w:tc>
          <w:tcPr>
            <w:tcW w:w="1244" w:type="dxa"/>
            <w:vAlign w:val="center"/>
          </w:tcPr>
          <w:p w14:paraId="23EF2F81" w14:textId="21CEA29B" w:rsidR="007E46BA" w:rsidRDefault="007E46BA" w:rsidP="007E46BA">
            <w:r>
              <w:t>531,545</w:t>
            </w:r>
          </w:p>
        </w:tc>
        <w:tc>
          <w:tcPr>
            <w:tcW w:w="1119" w:type="dxa"/>
            <w:vAlign w:val="center"/>
          </w:tcPr>
          <w:p w14:paraId="29FE1F3D" w14:textId="0F40DB7E" w:rsidR="007E46BA" w:rsidRDefault="007E46BA" w:rsidP="007E46BA">
            <w:r>
              <w:t>327,985</w:t>
            </w:r>
          </w:p>
        </w:tc>
        <w:tc>
          <w:tcPr>
            <w:tcW w:w="1106" w:type="dxa"/>
            <w:vAlign w:val="center"/>
          </w:tcPr>
          <w:p w14:paraId="1501238E" w14:textId="463139AE" w:rsidR="007E46BA" w:rsidRDefault="007E46BA" w:rsidP="007E46BA">
            <w:r>
              <w:t>61.7%</w:t>
            </w:r>
          </w:p>
        </w:tc>
        <w:tc>
          <w:tcPr>
            <w:tcW w:w="1119" w:type="dxa"/>
            <w:vAlign w:val="center"/>
          </w:tcPr>
          <w:p w14:paraId="67BDC17F" w14:textId="697E97EF" w:rsidR="007E46BA" w:rsidRDefault="007E46BA" w:rsidP="007E46BA">
            <w:r>
              <w:t>52,415</w:t>
            </w:r>
          </w:p>
        </w:tc>
        <w:tc>
          <w:tcPr>
            <w:tcW w:w="1106" w:type="dxa"/>
            <w:vAlign w:val="center"/>
          </w:tcPr>
          <w:p w14:paraId="75B506D7" w14:textId="38978FDB" w:rsidR="007E46BA" w:rsidRDefault="007E46BA" w:rsidP="007E46BA">
            <w:r>
              <w:t>9.9%</w:t>
            </w:r>
          </w:p>
        </w:tc>
        <w:tc>
          <w:tcPr>
            <w:tcW w:w="1119" w:type="dxa"/>
            <w:vAlign w:val="center"/>
          </w:tcPr>
          <w:p w14:paraId="3CD460EA" w14:textId="29768AD8" w:rsidR="007E46BA" w:rsidRDefault="007E46BA" w:rsidP="007E46BA">
            <w:r>
              <w:t>n/a</w:t>
            </w:r>
          </w:p>
        </w:tc>
        <w:tc>
          <w:tcPr>
            <w:tcW w:w="1106" w:type="dxa"/>
            <w:vAlign w:val="center"/>
          </w:tcPr>
          <w:p w14:paraId="3A96BFC2" w14:textId="43B9427B" w:rsidR="007E46BA" w:rsidRDefault="007E46BA" w:rsidP="007E46BA">
            <w:r>
              <w:t>n/a</w:t>
            </w:r>
          </w:p>
        </w:tc>
      </w:tr>
      <w:tr w:rsidR="00FD0395" w14:paraId="707D5422" w14:textId="77777777" w:rsidTr="007E46BA">
        <w:tc>
          <w:tcPr>
            <w:tcW w:w="1097" w:type="dxa"/>
            <w:vAlign w:val="center"/>
          </w:tcPr>
          <w:p w14:paraId="7E2DCE6E" w14:textId="3538437F" w:rsidR="007E46BA" w:rsidRDefault="007E46BA" w:rsidP="007E46BA">
            <w:r>
              <w:t>Sep-04</w:t>
            </w:r>
          </w:p>
        </w:tc>
        <w:tc>
          <w:tcPr>
            <w:tcW w:w="1244" w:type="dxa"/>
            <w:vAlign w:val="center"/>
          </w:tcPr>
          <w:p w14:paraId="3E555BD4" w14:textId="4A823EAC" w:rsidR="007E46BA" w:rsidRDefault="007E46BA" w:rsidP="007E46BA">
            <w:r>
              <w:t>513,665</w:t>
            </w:r>
          </w:p>
        </w:tc>
        <w:tc>
          <w:tcPr>
            <w:tcW w:w="1119" w:type="dxa"/>
            <w:vAlign w:val="center"/>
          </w:tcPr>
          <w:p w14:paraId="6BB0B63F" w14:textId="01AB16AB" w:rsidR="007E46BA" w:rsidRDefault="007E46BA" w:rsidP="007E46BA">
            <w:r>
              <w:t>313,995</w:t>
            </w:r>
          </w:p>
        </w:tc>
        <w:tc>
          <w:tcPr>
            <w:tcW w:w="1106" w:type="dxa"/>
            <w:vAlign w:val="center"/>
          </w:tcPr>
          <w:p w14:paraId="754C6DBE" w14:textId="1B914ADB" w:rsidR="007E46BA" w:rsidRDefault="007E46BA" w:rsidP="007E46BA">
            <w:r>
              <w:t>61.1%</w:t>
            </w:r>
          </w:p>
        </w:tc>
        <w:tc>
          <w:tcPr>
            <w:tcW w:w="1119" w:type="dxa"/>
            <w:vAlign w:val="center"/>
          </w:tcPr>
          <w:p w14:paraId="101B1095" w14:textId="2FF177E6" w:rsidR="007E46BA" w:rsidRDefault="007E46BA" w:rsidP="007E46BA">
            <w:r>
              <w:t>65,595</w:t>
            </w:r>
          </w:p>
        </w:tc>
        <w:tc>
          <w:tcPr>
            <w:tcW w:w="1106" w:type="dxa"/>
            <w:vAlign w:val="center"/>
          </w:tcPr>
          <w:p w14:paraId="7957CFA9" w14:textId="5D916FD8" w:rsidR="007E46BA" w:rsidRDefault="007E46BA" w:rsidP="007E46BA">
            <w:r>
              <w:t>12.8%</w:t>
            </w:r>
          </w:p>
        </w:tc>
        <w:tc>
          <w:tcPr>
            <w:tcW w:w="1119" w:type="dxa"/>
            <w:vAlign w:val="center"/>
          </w:tcPr>
          <w:p w14:paraId="38C674B1" w14:textId="2F7CA1A3" w:rsidR="007E46BA" w:rsidRDefault="007E46BA" w:rsidP="007E46BA">
            <w:r>
              <w:t>n/a</w:t>
            </w:r>
          </w:p>
        </w:tc>
        <w:tc>
          <w:tcPr>
            <w:tcW w:w="1106" w:type="dxa"/>
            <w:vAlign w:val="center"/>
          </w:tcPr>
          <w:p w14:paraId="30776C2A" w14:textId="5B51C0D5" w:rsidR="007E46BA" w:rsidRDefault="007E46BA" w:rsidP="007E46BA">
            <w:r>
              <w:t>n/a</w:t>
            </w:r>
          </w:p>
        </w:tc>
      </w:tr>
      <w:tr w:rsidR="00FD0395" w14:paraId="366A643A"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3118421" w14:textId="6A5F8451" w:rsidR="007E46BA" w:rsidRDefault="007E46BA" w:rsidP="007E46BA">
            <w:r>
              <w:t>Sep-05</w:t>
            </w:r>
          </w:p>
        </w:tc>
        <w:tc>
          <w:tcPr>
            <w:tcW w:w="1244" w:type="dxa"/>
            <w:vAlign w:val="center"/>
          </w:tcPr>
          <w:p w14:paraId="2206AF7F" w14:textId="6D640891" w:rsidR="007E46BA" w:rsidRDefault="007E46BA" w:rsidP="007E46BA">
            <w:r>
              <w:t>492,170</w:t>
            </w:r>
          </w:p>
        </w:tc>
        <w:tc>
          <w:tcPr>
            <w:tcW w:w="1119" w:type="dxa"/>
            <w:vAlign w:val="center"/>
          </w:tcPr>
          <w:p w14:paraId="758755E1" w14:textId="31A98728" w:rsidR="007E46BA" w:rsidRDefault="007E46BA" w:rsidP="007E46BA">
            <w:r>
              <w:t>296,240</w:t>
            </w:r>
          </w:p>
        </w:tc>
        <w:tc>
          <w:tcPr>
            <w:tcW w:w="1106" w:type="dxa"/>
            <w:vAlign w:val="center"/>
          </w:tcPr>
          <w:p w14:paraId="63F68229" w14:textId="4FB2D356" w:rsidR="007E46BA" w:rsidRDefault="007E46BA" w:rsidP="007E46BA">
            <w:r>
              <w:t>60.2%</w:t>
            </w:r>
          </w:p>
        </w:tc>
        <w:tc>
          <w:tcPr>
            <w:tcW w:w="1119" w:type="dxa"/>
            <w:vAlign w:val="center"/>
          </w:tcPr>
          <w:p w14:paraId="02EC4E9E" w14:textId="1A6260DD" w:rsidR="007E46BA" w:rsidRDefault="007E46BA" w:rsidP="007E46BA">
            <w:r>
              <w:t>74,020</w:t>
            </w:r>
          </w:p>
        </w:tc>
        <w:tc>
          <w:tcPr>
            <w:tcW w:w="1106" w:type="dxa"/>
            <w:vAlign w:val="center"/>
          </w:tcPr>
          <w:p w14:paraId="3E90B035" w14:textId="4B2AB0DD" w:rsidR="007E46BA" w:rsidRDefault="007E46BA" w:rsidP="007E46BA">
            <w:r>
              <w:t>15.0%</w:t>
            </w:r>
          </w:p>
        </w:tc>
        <w:tc>
          <w:tcPr>
            <w:tcW w:w="1119" w:type="dxa"/>
            <w:vAlign w:val="center"/>
          </w:tcPr>
          <w:p w14:paraId="4FC4AC8F" w14:textId="3FCFD910" w:rsidR="007E46BA" w:rsidRDefault="007E46BA" w:rsidP="007E46BA">
            <w:r>
              <w:t>n/a</w:t>
            </w:r>
          </w:p>
        </w:tc>
        <w:tc>
          <w:tcPr>
            <w:tcW w:w="1106" w:type="dxa"/>
            <w:vAlign w:val="center"/>
          </w:tcPr>
          <w:p w14:paraId="471CC97C" w14:textId="23C71F4B" w:rsidR="007E46BA" w:rsidRDefault="007E46BA" w:rsidP="007E46BA">
            <w:r>
              <w:t>n/a</w:t>
            </w:r>
          </w:p>
        </w:tc>
      </w:tr>
      <w:tr w:rsidR="00FD0395" w14:paraId="1E76C328" w14:textId="77777777" w:rsidTr="007E46BA">
        <w:tc>
          <w:tcPr>
            <w:tcW w:w="1097" w:type="dxa"/>
            <w:vAlign w:val="center"/>
          </w:tcPr>
          <w:p w14:paraId="2A93D82B" w14:textId="290849FA" w:rsidR="007E46BA" w:rsidRDefault="007E46BA" w:rsidP="007E46BA">
            <w:r>
              <w:t>Sep-06</w:t>
            </w:r>
          </w:p>
        </w:tc>
        <w:tc>
          <w:tcPr>
            <w:tcW w:w="1244" w:type="dxa"/>
            <w:vAlign w:val="center"/>
          </w:tcPr>
          <w:p w14:paraId="04D8ADF6" w14:textId="3E0ACB78" w:rsidR="007E46BA" w:rsidRDefault="007E46BA" w:rsidP="007E46BA">
            <w:r>
              <w:t>480,460</w:t>
            </w:r>
          </w:p>
        </w:tc>
        <w:tc>
          <w:tcPr>
            <w:tcW w:w="1119" w:type="dxa"/>
            <w:vAlign w:val="center"/>
          </w:tcPr>
          <w:p w14:paraId="07965CA9" w14:textId="3F2C97A8" w:rsidR="007E46BA" w:rsidRDefault="007E46BA" w:rsidP="007E46BA">
            <w:r>
              <w:t>291,950</w:t>
            </w:r>
          </w:p>
        </w:tc>
        <w:tc>
          <w:tcPr>
            <w:tcW w:w="1106" w:type="dxa"/>
            <w:vAlign w:val="center"/>
          </w:tcPr>
          <w:p w14:paraId="2E6D6BE7" w14:textId="2CC2D270" w:rsidR="007E46BA" w:rsidRDefault="007E46BA" w:rsidP="007E46BA">
            <w:r>
              <w:t>60.8%</w:t>
            </w:r>
          </w:p>
        </w:tc>
        <w:tc>
          <w:tcPr>
            <w:tcW w:w="1119" w:type="dxa"/>
            <w:vAlign w:val="center"/>
          </w:tcPr>
          <w:p w14:paraId="36D152B6" w14:textId="490FD453" w:rsidR="007E46BA" w:rsidRDefault="007E46BA" w:rsidP="007E46BA">
            <w:r>
              <w:t>80,140</w:t>
            </w:r>
          </w:p>
        </w:tc>
        <w:tc>
          <w:tcPr>
            <w:tcW w:w="1106" w:type="dxa"/>
            <w:vAlign w:val="center"/>
          </w:tcPr>
          <w:p w14:paraId="175EE923" w14:textId="7F51527C" w:rsidR="007E46BA" w:rsidRDefault="007E46BA" w:rsidP="007E46BA">
            <w:r>
              <w:t>16.7%</w:t>
            </w:r>
          </w:p>
        </w:tc>
        <w:tc>
          <w:tcPr>
            <w:tcW w:w="1119" w:type="dxa"/>
            <w:vAlign w:val="center"/>
          </w:tcPr>
          <w:p w14:paraId="2F228F1A" w14:textId="6DD6532F" w:rsidR="007E46BA" w:rsidRDefault="007E46BA" w:rsidP="007E46BA">
            <w:r>
              <w:t>12,570</w:t>
            </w:r>
          </w:p>
        </w:tc>
        <w:tc>
          <w:tcPr>
            <w:tcW w:w="1106" w:type="dxa"/>
            <w:vAlign w:val="center"/>
          </w:tcPr>
          <w:p w14:paraId="5BD89270" w14:textId="524220BE" w:rsidR="007E46BA" w:rsidRDefault="007E46BA" w:rsidP="007E46BA">
            <w:r>
              <w:t>2.6%</w:t>
            </w:r>
          </w:p>
        </w:tc>
      </w:tr>
      <w:tr w:rsidR="00FD0395" w14:paraId="2FD8F22B"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4D29A1A8" w14:textId="4DEEFDCD" w:rsidR="007E46BA" w:rsidRDefault="007E46BA" w:rsidP="007E46BA">
            <w:r>
              <w:t>Sep-07</w:t>
            </w:r>
          </w:p>
        </w:tc>
        <w:tc>
          <w:tcPr>
            <w:tcW w:w="1244" w:type="dxa"/>
            <w:vAlign w:val="center"/>
          </w:tcPr>
          <w:p w14:paraId="512B98D9" w14:textId="648B8713" w:rsidR="007E46BA" w:rsidRDefault="007E46BA" w:rsidP="007E46BA">
            <w:r>
              <w:t>442,420</w:t>
            </w:r>
          </w:p>
        </w:tc>
        <w:tc>
          <w:tcPr>
            <w:tcW w:w="1119" w:type="dxa"/>
            <w:vAlign w:val="center"/>
          </w:tcPr>
          <w:p w14:paraId="1093AF7A" w14:textId="57C9C96E" w:rsidR="007E46BA" w:rsidRDefault="007E46BA" w:rsidP="007E46BA">
            <w:r>
              <w:t>271,910</w:t>
            </w:r>
          </w:p>
        </w:tc>
        <w:tc>
          <w:tcPr>
            <w:tcW w:w="1106" w:type="dxa"/>
            <w:vAlign w:val="center"/>
          </w:tcPr>
          <w:p w14:paraId="0CBF8B5A" w14:textId="73415F85" w:rsidR="007E46BA" w:rsidRDefault="007E46BA" w:rsidP="007E46BA">
            <w:r>
              <w:t>61.5%</w:t>
            </w:r>
          </w:p>
        </w:tc>
        <w:tc>
          <w:tcPr>
            <w:tcW w:w="1119" w:type="dxa"/>
            <w:vAlign w:val="center"/>
          </w:tcPr>
          <w:p w14:paraId="2B51BFBB" w14:textId="2DFA5400" w:rsidR="007E46BA" w:rsidRDefault="007E46BA" w:rsidP="007E46BA">
            <w:r>
              <w:t>77,420</w:t>
            </w:r>
          </w:p>
        </w:tc>
        <w:tc>
          <w:tcPr>
            <w:tcW w:w="1106" w:type="dxa"/>
            <w:vAlign w:val="center"/>
          </w:tcPr>
          <w:p w14:paraId="7A354012" w14:textId="77754004" w:rsidR="007E46BA" w:rsidRDefault="007E46BA" w:rsidP="007E46BA">
            <w:r>
              <w:t>17.5%</w:t>
            </w:r>
          </w:p>
        </w:tc>
        <w:tc>
          <w:tcPr>
            <w:tcW w:w="1119" w:type="dxa"/>
            <w:vAlign w:val="center"/>
          </w:tcPr>
          <w:p w14:paraId="67E7FC41" w14:textId="6825C63F" w:rsidR="007E46BA" w:rsidRDefault="007E46BA" w:rsidP="007E46BA">
            <w:r>
              <w:t>38,235</w:t>
            </w:r>
          </w:p>
        </w:tc>
        <w:tc>
          <w:tcPr>
            <w:tcW w:w="1106" w:type="dxa"/>
            <w:vAlign w:val="center"/>
          </w:tcPr>
          <w:p w14:paraId="49C54445" w14:textId="0C335534" w:rsidR="007E46BA" w:rsidRDefault="007E46BA" w:rsidP="007E46BA">
            <w:r>
              <w:t>8.6%</w:t>
            </w:r>
          </w:p>
        </w:tc>
      </w:tr>
      <w:tr w:rsidR="00FD0395" w14:paraId="49E319FA" w14:textId="77777777" w:rsidTr="007E46BA">
        <w:tc>
          <w:tcPr>
            <w:tcW w:w="1097" w:type="dxa"/>
            <w:vAlign w:val="center"/>
          </w:tcPr>
          <w:p w14:paraId="30CF3310" w14:textId="2858581A" w:rsidR="007E46BA" w:rsidRDefault="007E46BA" w:rsidP="007E46BA">
            <w:r>
              <w:t>Sep-08</w:t>
            </w:r>
          </w:p>
        </w:tc>
        <w:tc>
          <w:tcPr>
            <w:tcW w:w="1244" w:type="dxa"/>
            <w:vAlign w:val="center"/>
          </w:tcPr>
          <w:p w14:paraId="17E6C5AE" w14:textId="6038975D" w:rsidR="007E46BA" w:rsidRDefault="007E46BA" w:rsidP="007E46BA">
            <w:r>
              <w:t>439,565</w:t>
            </w:r>
          </w:p>
        </w:tc>
        <w:tc>
          <w:tcPr>
            <w:tcW w:w="1119" w:type="dxa"/>
            <w:vAlign w:val="center"/>
          </w:tcPr>
          <w:p w14:paraId="0B3A6806" w14:textId="7613B448" w:rsidR="007E46BA" w:rsidRDefault="007E46BA" w:rsidP="007E46BA">
            <w:r>
              <w:t>257,325</w:t>
            </w:r>
          </w:p>
        </w:tc>
        <w:tc>
          <w:tcPr>
            <w:tcW w:w="1106" w:type="dxa"/>
            <w:vAlign w:val="center"/>
          </w:tcPr>
          <w:p w14:paraId="5AB5706A" w14:textId="6CF824C4" w:rsidR="007E46BA" w:rsidRDefault="007E46BA" w:rsidP="007E46BA">
            <w:r>
              <w:t>58.5%</w:t>
            </w:r>
          </w:p>
        </w:tc>
        <w:tc>
          <w:tcPr>
            <w:tcW w:w="1119" w:type="dxa"/>
            <w:vAlign w:val="center"/>
          </w:tcPr>
          <w:p w14:paraId="7DA68239" w14:textId="06A761BA" w:rsidR="007E46BA" w:rsidRDefault="007E46BA" w:rsidP="007E46BA">
            <w:r>
              <w:t>76,850</w:t>
            </w:r>
          </w:p>
        </w:tc>
        <w:tc>
          <w:tcPr>
            <w:tcW w:w="1106" w:type="dxa"/>
            <w:vAlign w:val="center"/>
          </w:tcPr>
          <w:p w14:paraId="77DEBE3D" w14:textId="5E5CCD0C" w:rsidR="007E46BA" w:rsidRDefault="007E46BA" w:rsidP="007E46BA">
            <w:r>
              <w:t>17.5%</w:t>
            </w:r>
          </w:p>
        </w:tc>
        <w:tc>
          <w:tcPr>
            <w:tcW w:w="1119" w:type="dxa"/>
            <w:vAlign w:val="center"/>
          </w:tcPr>
          <w:p w14:paraId="37351BD4" w14:textId="29333335" w:rsidR="007E46BA" w:rsidRDefault="007E46BA" w:rsidP="007E46BA">
            <w:r>
              <w:t>61,950</w:t>
            </w:r>
          </w:p>
        </w:tc>
        <w:tc>
          <w:tcPr>
            <w:tcW w:w="1106" w:type="dxa"/>
            <w:vAlign w:val="center"/>
          </w:tcPr>
          <w:p w14:paraId="0B795CA0" w14:textId="2C4036AC" w:rsidR="007E46BA" w:rsidRDefault="007E46BA" w:rsidP="007E46BA">
            <w:r>
              <w:t>14.1%</w:t>
            </w:r>
          </w:p>
        </w:tc>
      </w:tr>
      <w:tr w:rsidR="00FD0395" w14:paraId="639E433F"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286859F9" w14:textId="367E23BA" w:rsidR="007E46BA" w:rsidRDefault="007E46BA" w:rsidP="007E46BA">
            <w:r>
              <w:t>Sep-09</w:t>
            </w:r>
          </w:p>
        </w:tc>
        <w:tc>
          <w:tcPr>
            <w:tcW w:w="1244" w:type="dxa"/>
            <w:vAlign w:val="center"/>
          </w:tcPr>
          <w:p w14:paraId="46506A3E" w14:textId="202D55BD" w:rsidR="007E46BA" w:rsidRDefault="007E46BA" w:rsidP="007E46BA">
            <w:r>
              <w:t>584,090</w:t>
            </w:r>
          </w:p>
        </w:tc>
        <w:tc>
          <w:tcPr>
            <w:tcW w:w="1119" w:type="dxa"/>
            <w:vAlign w:val="center"/>
          </w:tcPr>
          <w:p w14:paraId="16089CA0" w14:textId="063EEBDC" w:rsidR="007E46BA" w:rsidRDefault="007E46BA" w:rsidP="007E46BA">
            <w:r>
              <w:t>288,215</w:t>
            </w:r>
          </w:p>
        </w:tc>
        <w:tc>
          <w:tcPr>
            <w:tcW w:w="1106" w:type="dxa"/>
            <w:vAlign w:val="center"/>
          </w:tcPr>
          <w:p w14:paraId="636D6044" w14:textId="36EB133D" w:rsidR="007E46BA" w:rsidRDefault="007E46BA" w:rsidP="007E46BA">
            <w:r>
              <w:t>49.3%</w:t>
            </w:r>
          </w:p>
        </w:tc>
        <w:tc>
          <w:tcPr>
            <w:tcW w:w="1119" w:type="dxa"/>
            <w:vAlign w:val="center"/>
          </w:tcPr>
          <w:p w14:paraId="76130F1B" w14:textId="734DED77" w:rsidR="007E46BA" w:rsidRDefault="007E46BA" w:rsidP="007E46BA">
            <w:r>
              <w:t>92,530</w:t>
            </w:r>
          </w:p>
        </w:tc>
        <w:tc>
          <w:tcPr>
            <w:tcW w:w="1106" w:type="dxa"/>
            <w:vAlign w:val="center"/>
          </w:tcPr>
          <w:p w14:paraId="5437690E" w14:textId="0F9BD410" w:rsidR="007E46BA" w:rsidRDefault="007E46BA" w:rsidP="007E46BA">
            <w:r>
              <w:t>15.8%</w:t>
            </w:r>
          </w:p>
        </w:tc>
        <w:tc>
          <w:tcPr>
            <w:tcW w:w="1119" w:type="dxa"/>
            <w:vAlign w:val="center"/>
          </w:tcPr>
          <w:p w14:paraId="6CC62DA7" w14:textId="68231797" w:rsidR="007E46BA" w:rsidRDefault="007E46BA" w:rsidP="007E46BA">
            <w:r>
              <w:t>83,580</w:t>
            </w:r>
          </w:p>
        </w:tc>
        <w:tc>
          <w:tcPr>
            <w:tcW w:w="1106" w:type="dxa"/>
            <w:vAlign w:val="center"/>
          </w:tcPr>
          <w:p w14:paraId="09D24B45" w14:textId="254CFB63" w:rsidR="007E46BA" w:rsidRDefault="007E46BA" w:rsidP="007E46BA">
            <w:r>
              <w:t>14.3%</w:t>
            </w:r>
          </w:p>
        </w:tc>
      </w:tr>
      <w:tr w:rsidR="007E46BA" w14:paraId="43535BEC" w14:textId="77777777" w:rsidTr="007E46BA">
        <w:tc>
          <w:tcPr>
            <w:tcW w:w="1097" w:type="dxa"/>
            <w:vAlign w:val="center"/>
          </w:tcPr>
          <w:p w14:paraId="56EF62B4" w14:textId="5F73E3EB" w:rsidR="007E46BA" w:rsidRDefault="007E46BA" w:rsidP="007E46BA">
            <w:r>
              <w:t>Sep-10</w:t>
            </w:r>
          </w:p>
        </w:tc>
        <w:tc>
          <w:tcPr>
            <w:tcW w:w="1244" w:type="dxa"/>
            <w:vAlign w:val="center"/>
          </w:tcPr>
          <w:p w14:paraId="38AA6909" w14:textId="7BFB977E" w:rsidR="007E46BA" w:rsidRDefault="007E46BA" w:rsidP="007E46BA">
            <w:r>
              <w:t>589,655</w:t>
            </w:r>
          </w:p>
        </w:tc>
        <w:tc>
          <w:tcPr>
            <w:tcW w:w="1119" w:type="dxa"/>
            <w:vAlign w:val="center"/>
          </w:tcPr>
          <w:p w14:paraId="7C8C4958" w14:textId="7DEFB6E7" w:rsidR="007E46BA" w:rsidRDefault="007E46BA" w:rsidP="007E46BA">
            <w:r>
              <w:t>346,160</w:t>
            </w:r>
          </w:p>
        </w:tc>
        <w:tc>
          <w:tcPr>
            <w:tcW w:w="1106" w:type="dxa"/>
            <w:vAlign w:val="center"/>
          </w:tcPr>
          <w:p w14:paraId="2CE6B553" w14:textId="7048BEF7" w:rsidR="007E46BA" w:rsidRDefault="007E46BA" w:rsidP="007E46BA">
            <w:r>
              <w:t>58.7%</w:t>
            </w:r>
          </w:p>
        </w:tc>
        <w:tc>
          <w:tcPr>
            <w:tcW w:w="1119" w:type="dxa"/>
            <w:vAlign w:val="center"/>
          </w:tcPr>
          <w:p w14:paraId="29C6EA79" w14:textId="31D2FE18" w:rsidR="007E46BA" w:rsidRDefault="007E46BA" w:rsidP="007E46BA">
            <w:r>
              <w:t>95,395</w:t>
            </w:r>
          </w:p>
        </w:tc>
        <w:tc>
          <w:tcPr>
            <w:tcW w:w="1106" w:type="dxa"/>
            <w:vAlign w:val="center"/>
          </w:tcPr>
          <w:p w14:paraId="4F1DFC12" w14:textId="066ABC02" w:rsidR="007E46BA" w:rsidRDefault="007E46BA" w:rsidP="007E46BA">
            <w:r>
              <w:t>16.2%</w:t>
            </w:r>
          </w:p>
        </w:tc>
        <w:tc>
          <w:tcPr>
            <w:tcW w:w="1119" w:type="dxa"/>
            <w:vAlign w:val="center"/>
          </w:tcPr>
          <w:p w14:paraId="4C5C2FC1" w14:textId="47BB51AC" w:rsidR="007E46BA" w:rsidRDefault="007E46BA" w:rsidP="007E46BA">
            <w:r>
              <w:t>98,870</w:t>
            </w:r>
          </w:p>
        </w:tc>
        <w:tc>
          <w:tcPr>
            <w:tcW w:w="1106" w:type="dxa"/>
            <w:vAlign w:val="center"/>
          </w:tcPr>
          <w:p w14:paraId="07A0EA90" w14:textId="78390F1E" w:rsidR="007E46BA" w:rsidRDefault="007E46BA" w:rsidP="007E46BA">
            <w:r>
              <w:t>16.8%</w:t>
            </w:r>
          </w:p>
        </w:tc>
      </w:tr>
      <w:tr w:rsidR="007E46BA" w14:paraId="3D39CBA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28099A6C" w14:textId="4005F7B8" w:rsidR="007E46BA" w:rsidRDefault="007E46BA" w:rsidP="007E46BA">
            <w:r>
              <w:t>Sep-11</w:t>
            </w:r>
          </w:p>
        </w:tc>
        <w:tc>
          <w:tcPr>
            <w:tcW w:w="1244" w:type="dxa"/>
            <w:vAlign w:val="center"/>
          </w:tcPr>
          <w:p w14:paraId="1375DD41" w14:textId="3FFD376B" w:rsidR="007E46BA" w:rsidRDefault="007E46BA" w:rsidP="007E46BA">
            <w:r>
              <w:t>576,835</w:t>
            </w:r>
          </w:p>
        </w:tc>
        <w:tc>
          <w:tcPr>
            <w:tcW w:w="1119" w:type="dxa"/>
            <w:vAlign w:val="center"/>
          </w:tcPr>
          <w:p w14:paraId="2BB5CD0C" w14:textId="7043DB16" w:rsidR="007E46BA" w:rsidRDefault="007E46BA" w:rsidP="007E46BA">
            <w:r>
              <w:t>341,675</w:t>
            </w:r>
          </w:p>
        </w:tc>
        <w:tc>
          <w:tcPr>
            <w:tcW w:w="1106" w:type="dxa"/>
            <w:vAlign w:val="center"/>
          </w:tcPr>
          <w:p w14:paraId="7888154E" w14:textId="7638C550" w:rsidR="007E46BA" w:rsidRDefault="007E46BA" w:rsidP="007E46BA">
            <w:r>
              <w:t>59.2%</w:t>
            </w:r>
          </w:p>
        </w:tc>
        <w:tc>
          <w:tcPr>
            <w:tcW w:w="1119" w:type="dxa"/>
            <w:vAlign w:val="center"/>
          </w:tcPr>
          <w:p w14:paraId="17A64A46" w14:textId="7AF684AC" w:rsidR="007E46BA" w:rsidRDefault="007E46BA" w:rsidP="007E46BA">
            <w:r>
              <w:t>96,580</w:t>
            </w:r>
          </w:p>
        </w:tc>
        <w:tc>
          <w:tcPr>
            <w:tcW w:w="1106" w:type="dxa"/>
            <w:vAlign w:val="center"/>
          </w:tcPr>
          <w:p w14:paraId="617C1959" w14:textId="5E4CA901" w:rsidR="007E46BA" w:rsidRDefault="007E46BA" w:rsidP="007E46BA">
            <w:r>
              <w:t>16.7%</w:t>
            </w:r>
          </w:p>
        </w:tc>
        <w:tc>
          <w:tcPr>
            <w:tcW w:w="1119" w:type="dxa"/>
            <w:vAlign w:val="center"/>
          </w:tcPr>
          <w:p w14:paraId="70E554D4" w14:textId="3DFC6235" w:rsidR="007E46BA" w:rsidRDefault="007E46BA" w:rsidP="007E46BA">
            <w:r>
              <w:t>107,135</w:t>
            </w:r>
          </w:p>
        </w:tc>
        <w:tc>
          <w:tcPr>
            <w:tcW w:w="1106" w:type="dxa"/>
            <w:vAlign w:val="center"/>
          </w:tcPr>
          <w:p w14:paraId="28F43FA1" w14:textId="165052BD" w:rsidR="007E46BA" w:rsidRDefault="007E46BA" w:rsidP="007E46BA">
            <w:r>
              <w:t>18.6%</w:t>
            </w:r>
          </w:p>
        </w:tc>
      </w:tr>
      <w:tr w:rsidR="007E46BA" w14:paraId="4421F346" w14:textId="77777777" w:rsidTr="007E46BA">
        <w:tc>
          <w:tcPr>
            <w:tcW w:w="1097" w:type="dxa"/>
            <w:vAlign w:val="center"/>
          </w:tcPr>
          <w:p w14:paraId="026C40BF" w14:textId="2282DB14" w:rsidR="007E46BA" w:rsidRDefault="007E46BA" w:rsidP="007E46BA">
            <w:r>
              <w:t>Sep-12</w:t>
            </w:r>
          </w:p>
        </w:tc>
        <w:tc>
          <w:tcPr>
            <w:tcW w:w="1244" w:type="dxa"/>
            <w:vAlign w:val="center"/>
          </w:tcPr>
          <w:p w14:paraId="0DFC9557" w14:textId="111B4D82" w:rsidR="007E46BA" w:rsidRDefault="007E46BA" w:rsidP="007E46BA">
            <w:r>
              <w:t>613,915</w:t>
            </w:r>
          </w:p>
        </w:tc>
        <w:tc>
          <w:tcPr>
            <w:tcW w:w="1119" w:type="dxa"/>
            <w:vAlign w:val="center"/>
          </w:tcPr>
          <w:p w14:paraId="2DF9D5B1" w14:textId="5F793364" w:rsidR="007E46BA" w:rsidRDefault="007E46BA" w:rsidP="007E46BA">
            <w:r>
              <w:t>360,740</w:t>
            </w:r>
          </w:p>
        </w:tc>
        <w:tc>
          <w:tcPr>
            <w:tcW w:w="1106" w:type="dxa"/>
            <w:vAlign w:val="center"/>
          </w:tcPr>
          <w:p w14:paraId="6487C2C9" w14:textId="47B561E3" w:rsidR="007E46BA" w:rsidRDefault="007E46BA" w:rsidP="007E46BA">
            <w:r>
              <w:t>58.8%</w:t>
            </w:r>
          </w:p>
        </w:tc>
        <w:tc>
          <w:tcPr>
            <w:tcW w:w="1119" w:type="dxa"/>
            <w:vAlign w:val="center"/>
          </w:tcPr>
          <w:p w14:paraId="474890E8" w14:textId="14792426" w:rsidR="007E46BA" w:rsidRDefault="007E46BA" w:rsidP="007E46BA">
            <w:r>
              <w:t>109,015</w:t>
            </w:r>
          </w:p>
        </w:tc>
        <w:tc>
          <w:tcPr>
            <w:tcW w:w="1106" w:type="dxa"/>
            <w:vAlign w:val="center"/>
          </w:tcPr>
          <w:p w14:paraId="45EBDFBC" w14:textId="066C81C0" w:rsidR="007E46BA" w:rsidRDefault="007E46BA" w:rsidP="007E46BA">
            <w:r>
              <w:t>17.8%</w:t>
            </w:r>
          </w:p>
        </w:tc>
        <w:tc>
          <w:tcPr>
            <w:tcW w:w="1119" w:type="dxa"/>
            <w:vAlign w:val="center"/>
          </w:tcPr>
          <w:p w14:paraId="04F305C5" w14:textId="0BBA6238" w:rsidR="007E46BA" w:rsidRDefault="007E46BA" w:rsidP="007E46BA">
            <w:r>
              <w:t>130,150</w:t>
            </w:r>
          </w:p>
        </w:tc>
        <w:tc>
          <w:tcPr>
            <w:tcW w:w="1106" w:type="dxa"/>
            <w:vAlign w:val="center"/>
          </w:tcPr>
          <w:p w14:paraId="7A30FB34" w14:textId="0856AC0E" w:rsidR="007E46BA" w:rsidRDefault="007E46BA" w:rsidP="007E46BA">
            <w:r>
              <w:t>21.2%</w:t>
            </w:r>
          </w:p>
        </w:tc>
      </w:tr>
      <w:tr w:rsidR="007E46BA" w14:paraId="049456A8"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091A0323" w14:textId="001340EC" w:rsidR="007E46BA" w:rsidRDefault="007E46BA" w:rsidP="007E46BA">
            <w:r>
              <w:t>Sep-13</w:t>
            </w:r>
          </w:p>
        </w:tc>
        <w:tc>
          <w:tcPr>
            <w:tcW w:w="1244" w:type="dxa"/>
            <w:vAlign w:val="center"/>
          </w:tcPr>
          <w:p w14:paraId="45F7031F" w14:textId="7DAE5B2C" w:rsidR="007E46BA" w:rsidRDefault="007E46BA" w:rsidP="007E46BA">
            <w:r>
              <w:t>731,030</w:t>
            </w:r>
          </w:p>
        </w:tc>
        <w:tc>
          <w:tcPr>
            <w:tcW w:w="1119" w:type="dxa"/>
            <w:vAlign w:val="center"/>
          </w:tcPr>
          <w:p w14:paraId="303F98F3" w14:textId="24ECA518" w:rsidR="007E46BA" w:rsidRDefault="007E46BA" w:rsidP="007E46BA">
            <w:r>
              <w:t>461,425</w:t>
            </w:r>
          </w:p>
        </w:tc>
        <w:tc>
          <w:tcPr>
            <w:tcW w:w="1106" w:type="dxa"/>
            <w:vAlign w:val="center"/>
          </w:tcPr>
          <w:p w14:paraId="12DB7035" w14:textId="25863F72" w:rsidR="007E46BA" w:rsidRDefault="007E46BA" w:rsidP="007E46BA">
            <w:r>
              <w:t>63.1%</w:t>
            </w:r>
          </w:p>
        </w:tc>
        <w:tc>
          <w:tcPr>
            <w:tcW w:w="1119" w:type="dxa"/>
            <w:vAlign w:val="center"/>
          </w:tcPr>
          <w:p w14:paraId="076C5123" w14:textId="2A3CB4F5" w:rsidR="007E46BA" w:rsidRDefault="007E46BA" w:rsidP="007E46BA">
            <w:r>
              <w:t>128,225</w:t>
            </w:r>
          </w:p>
        </w:tc>
        <w:tc>
          <w:tcPr>
            <w:tcW w:w="1106" w:type="dxa"/>
            <w:vAlign w:val="center"/>
          </w:tcPr>
          <w:p w14:paraId="617161D0" w14:textId="75F6EBD9" w:rsidR="007E46BA" w:rsidRDefault="007E46BA" w:rsidP="007E46BA">
            <w:r>
              <w:t>17.5%</w:t>
            </w:r>
          </w:p>
        </w:tc>
        <w:tc>
          <w:tcPr>
            <w:tcW w:w="1119" w:type="dxa"/>
            <w:vAlign w:val="center"/>
          </w:tcPr>
          <w:p w14:paraId="55C247F2" w14:textId="1CC2E3AA" w:rsidR="007E46BA" w:rsidRDefault="007E46BA" w:rsidP="007E46BA">
            <w:r>
              <w:t>166,140</w:t>
            </w:r>
          </w:p>
        </w:tc>
        <w:tc>
          <w:tcPr>
            <w:tcW w:w="1106" w:type="dxa"/>
            <w:vAlign w:val="center"/>
          </w:tcPr>
          <w:p w14:paraId="194EF186" w14:textId="7BA49F96" w:rsidR="007E46BA" w:rsidRDefault="007E46BA" w:rsidP="007E46BA">
            <w:r>
              <w:t>22.7%</w:t>
            </w:r>
          </w:p>
        </w:tc>
      </w:tr>
      <w:tr w:rsidR="007E46BA" w14:paraId="6BFB05DE" w14:textId="77777777" w:rsidTr="007E46BA">
        <w:tc>
          <w:tcPr>
            <w:tcW w:w="1097" w:type="dxa"/>
            <w:vAlign w:val="center"/>
          </w:tcPr>
          <w:p w14:paraId="38FFA2B7" w14:textId="758B2B7C" w:rsidR="007E46BA" w:rsidRDefault="007E46BA" w:rsidP="007E46BA">
            <w:r>
              <w:t>Sep-14</w:t>
            </w:r>
          </w:p>
        </w:tc>
        <w:tc>
          <w:tcPr>
            <w:tcW w:w="1244" w:type="dxa"/>
            <w:vAlign w:val="center"/>
          </w:tcPr>
          <w:p w14:paraId="4212245E" w14:textId="771026C2" w:rsidR="007E46BA" w:rsidRDefault="007E46BA" w:rsidP="007E46BA">
            <w:r>
              <w:t>768,245</w:t>
            </w:r>
          </w:p>
        </w:tc>
        <w:tc>
          <w:tcPr>
            <w:tcW w:w="1119" w:type="dxa"/>
            <w:vAlign w:val="center"/>
          </w:tcPr>
          <w:p w14:paraId="4D09F47A" w14:textId="41ABE447" w:rsidR="007E46BA" w:rsidRDefault="007E46BA" w:rsidP="007E46BA">
            <w:r>
              <w:t>511,735</w:t>
            </w:r>
          </w:p>
        </w:tc>
        <w:tc>
          <w:tcPr>
            <w:tcW w:w="1106" w:type="dxa"/>
            <w:vAlign w:val="center"/>
          </w:tcPr>
          <w:p w14:paraId="11F4CD5B" w14:textId="7A613EBF" w:rsidR="007E46BA" w:rsidRDefault="007E46BA" w:rsidP="007E46BA">
            <w:r>
              <w:t>66.6%</w:t>
            </w:r>
          </w:p>
        </w:tc>
        <w:tc>
          <w:tcPr>
            <w:tcW w:w="1119" w:type="dxa"/>
            <w:vAlign w:val="center"/>
          </w:tcPr>
          <w:p w14:paraId="7776D826" w14:textId="7FB1261C" w:rsidR="007E46BA" w:rsidRDefault="007E46BA" w:rsidP="007E46BA">
            <w:r>
              <w:t>144,235</w:t>
            </w:r>
          </w:p>
        </w:tc>
        <w:tc>
          <w:tcPr>
            <w:tcW w:w="1106" w:type="dxa"/>
            <w:vAlign w:val="center"/>
          </w:tcPr>
          <w:p w14:paraId="254F1D92" w14:textId="4A10029F" w:rsidR="007E46BA" w:rsidRDefault="007E46BA" w:rsidP="007E46BA">
            <w:r>
              <w:t>18.8%</w:t>
            </w:r>
          </w:p>
        </w:tc>
        <w:tc>
          <w:tcPr>
            <w:tcW w:w="1119" w:type="dxa"/>
            <w:vAlign w:val="center"/>
          </w:tcPr>
          <w:p w14:paraId="672E35F0" w14:textId="634170BD" w:rsidR="007E46BA" w:rsidRDefault="007E46BA" w:rsidP="007E46BA">
            <w:r>
              <w:t>196,365</w:t>
            </w:r>
          </w:p>
        </w:tc>
        <w:tc>
          <w:tcPr>
            <w:tcW w:w="1106" w:type="dxa"/>
            <w:vAlign w:val="center"/>
          </w:tcPr>
          <w:p w14:paraId="72D83876" w14:textId="608F00D6" w:rsidR="007E46BA" w:rsidRDefault="007E46BA" w:rsidP="007E46BA">
            <w:r>
              <w:t>25.6%</w:t>
            </w:r>
          </w:p>
        </w:tc>
      </w:tr>
      <w:tr w:rsidR="007E46BA" w14:paraId="5392745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40C66B27" w14:textId="69200D72" w:rsidR="007E46BA" w:rsidRDefault="007E46BA" w:rsidP="007E46BA">
            <w:r>
              <w:t>Sep-15</w:t>
            </w:r>
          </w:p>
        </w:tc>
        <w:tc>
          <w:tcPr>
            <w:tcW w:w="1244" w:type="dxa"/>
            <w:vAlign w:val="center"/>
          </w:tcPr>
          <w:p w14:paraId="170983AC" w14:textId="0DB0CA59" w:rsidR="007E46BA" w:rsidRDefault="007E46BA" w:rsidP="007E46BA">
            <w:r>
              <w:t>799,670</w:t>
            </w:r>
          </w:p>
        </w:tc>
        <w:tc>
          <w:tcPr>
            <w:tcW w:w="1119" w:type="dxa"/>
            <w:vAlign w:val="center"/>
          </w:tcPr>
          <w:p w14:paraId="630D226B" w14:textId="524F7C71" w:rsidR="007E46BA" w:rsidRDefault="007E46BA" w:rsidP="007E46BA">
            <w:r>
              <w:t>538,325</w:t>
            </w:r>
          </w:p>
        </w:tc>
        <w:tc>
          <w:tcPr>
            <w:tcW w:w="1106" w:type="dxa"/>
            <w:vAlign w:val="center"/>
          </w:tcPr>
          <w:p w14:paraId="09EE40E9" w14:textId="4E65D929" w:rsidR="007E46BA" w:rsidRDefault="007E46BA" w:rsidP="007E46BA">
            <w:r>
              <w:t>67.3%</w:t>
            </w:r>
          </w:p>
        </w:tc>
        <w:tc>
          <w:tcPr>
            <w:tcW w:w="1119" w:type="dxa"/>
            <w:vAlign w:val="center"/>
          </w:tcPr>
          <w:p w14:paraId="143CDC8D" w14:textId="3448D921" w:rsidR="007E46BA" w:rsidRDefault="007E46BA" w:rsidP="007E46BA">
            <w:r>
              <w:t>159,370</w:t>
            </w:r>
          </w:p>
        </w:tc>
        <w:tc>
          <w:tcPr>
            <w:tcW w:w="1106" w:type="dxa"/>
            <w:vAlign w:val="center"/>
          </w:tcPr>
          <w:p w14:paraId="7DE5BFA5" w14:textId="69BE9BA8" w:rsidR="007E46BA" w:rsidRDefault="007E46BA" w:rsidP="007E46BA">
            <w:r>
              <w:t>19.9%</w:t>
            </w:r>
          </w:p>
        </w:tc>
        <w:tc>
          <w:tcPr>
            <w:tcW w:w="1119" w:type="dxa"/>
            <w:vAlign w:val="center"/>
          </w:tcPr>
          <w:p w14:paraId="71F62682" w14:textId="50665F9C" w:rsidR="007E46BA" w:rsidRDefault="007E46BA" w:rsidP="007E46BA">
            <w:r>
              <w:t>221,180</w:t>
            </w:r>
          </w:p>
        </w:tc>
        <w:tc>
          <w:tcPr>
            <w:tcW w:w="1106" w:type="dxa"/>
            <w:vAlign w:val="center"/>
          </w:tcPr>
          <w:p w14:paraId="0B3035F3" w14:textId="026ECCE0" w:rsidR="007E46BA" w:rsidRDefault="007E46BA" w:rsidP="007E46BA">
            <w:r>
              <w:t>27.7%</w:t>
            </w:r>
          </w:p>
        </w:tc>
      </w:tr>
      <w:tr w:rsidR="007E46BA" w14:paraId="55337362" w14:textId="77777777" w:rsidTr="007E46BA">
        <w:tc>
          <w:tcPr>
            <w:tcW w:w="1097" w:type="dxa"/>
            <w:vAlign w:val="center"/>
          </w:tcPr>
          <w:p w14:paraId="582A39D5" w14:textId="6FB661BF" w:rsidR="007E46BA" w:rsidRDefault="007E46BA" w:rsidP="007E46BA">
            <w:r>
              <w:t>Sep-16</w:t>
            </w:r>
          </w:p>
        </w:tc>
        <w:tc>
          <w:tcPr>
            <w:tcW w:w="1244" w:type="dxa"/>
            <w:vAlign w:val="center"/>
          </w:tcPr>
          <w:p w14:paraId="66F97CC3" w14:textId="42D0DB51" w:rsidR="007E46BA" w:rsidRDefault="007E46BA" w:rsidP="007E46BA">
            <w:r>
              <w:t>813,640</w:t>
            </w:r>
          </w:p>
        </w:tc>
        <w:tc>
          <w:tcPr>
            <w:tcW w:w="1119" w:type="dxa"/>
            <w:vAlign w:val="center"/>
          </w:tcPr>
          <w:p w14:paraId="0C34439F" w14:textId="617A97A7" w:rsidR="007E46BA" w:rsidRDefault="007E46BA" w:rsidP="007E46BA">
            <w:r>
              <w:t>554,315</w:t>
            </w:r>
          </w:p>
        </w:tc>
        <w:tc>
          <w:tcPr>
            <w:tcW w:w="1106" w:type="dxa"/>
            <w:vAlign w:val="center"/>
          </w:tcPr>
          <w:p w14:paraId="4C12EB20" w14:textId="3718CAB8" w:rsidR="007E46BA" w:rsidRDefault="007E46BA" w:rsidP="007E46BA">
            <w:r>
              <w:t>68.1%</w:t>
            </w:r>
          </w:p>
        </w:tc>
        <w:tc>
          <w:tcPr>
            <w:tcW w:w="1119" w:type="dxa"/>
            <w:vAlign w:val="center"/>
          </w:tcPr>
          <w:p w14:paraId="0CD30597" w14:textId="4D25C1A5" w:rsidR="007E46BA" w:rsidRDefault="007E46BA" w:rsidP="007E46BA">
            <w:r>
              <w:t>174,315</w:t>
            </w:r>
          </w:p>
        </w:tc>
        <w:tc>
          <w:tcPr>
            <w:tcW w:w="1106" w:type="dxa"/>
            <w:vAlign w:val="center"/>
          </w:tcPr>
          <w:p w14:paraId="168A38F7" w14:textId="3C82B7C0" w:rsidR="007E46BA" w:rsidRDefault="007E46BA" w:rsidP="007E46BA">
            <w:r>
              <w:t>21.4%</w:t>
            </w:r>
          </w:p>
        </w:tc>
        <w:tc>
          <w:tcPr>
            <w:tcW w:w="1119" w:type="dxa"/>
            <w:vAlign w:val="center"/>
          </w:tcPr>
          <w:p w14:paraId="4FB81DAB" w14:textId="7DD00E4C" w:rsidR="007E46BA" w:rsidRDefault="007E46BA" w:rsidP="007E46BA">
            <w:r>
              <w:t>250,390</w:t>
            </w:r>
          </w:p>
        </w:tc>
        <w:tc>
          <w:tcPr>
            <w:tcW w:w="1106" w:type="dxa"/>
            <w:vAlign w:val="center"/>
          </w:tcPr>
          <w:p w14:paraId="6556FCF7" w14:textId="31C179BD" w:rsidR="007E46BA" w:rsidRDefault="007E46BA" w:rsidP="007E46BA">
            <w:r>
              <w:t>30.8%</w:t>
            </w:r>
          </w:p>
        </w:tc>
      </w:tr>
      <w:tr w:rsidR="007E46BA" w14:paraId="2A992AE5"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64738372" w14:textId="6668125D" w:rsidR="007E46BA" w:rsidRDefault="007E46BA" w:rsidP="007E46BA">
            <w:r>
              <w:t>Sep-17</w:t>
            </w:r>
          </w:p>
        </w:tc>
        <w:tc>
          <w:tcPr>
            <w:tcW w:w="1244" w:type="dxa"/>
            <w:vAlign w:val="center"/>
          </w:tcPr>
          <w:p w14:paraId="3E8690E5" w14:textId="4195574C" w:rsidR="007E46BA" w:rsidRDefault="007E46BA" w:rsidP="007E46BA">
            <w:r>
              <w:t>805,155</w:t>
            </w:r>
          </w:p>
        </w:tc>
        <w:tc>
          <w:tcPr>
            <w:tcW w:w="1119" w:type="dxa"/>
            <w:vAlign w:val="center"/>
          </w:tcPr>
          <w:p w14:paraId="4B716AEC" w14:textId="1942CC76" w:rsidR="007E46BA" w:rsidRDefault="007E46BA" w:rsidP="007E46BA">
            <w:r>
              <w:t>568,815</w:t>
            </w:r>
          </w:p>
        </w:tc>
        <w:tc>
          <w:tcPr>
            <w:tcW w:w="1106" w:type="dxa"/>
            <w:vAlign w:val="center"/>
          </w:tcPr>
          <w:p w14:paraId="591FAF62" w14:textId="32AA9A24" w:rsidR="007E46BA" w:rsidRDefault="007E46BA" w:rsidP="007E46BA">
            <w:r>
              <w:t>70.6%</w:t>
            </w:r>
          </w:p>
        </w:tc>
        <w:tc>
          <w:tcPr>
            <w:tcW w:w="1119" w:type="dxa"/>
            <w:vAlign w:val="center"/>
          </w:tcPr>
          <w:p w14:paraId="2F981FAA" w14:textId="55E837A9" w:rsidR="007E46BA" w:rsidRDefault="007E46BA" w:rsidP="007E46BA">
            <w:r>
              <w:t>188,185</w:t>
            </w:r>
          </w:p>
        </w:tc>
        <w:tc>
          <w:tcPr>
            <w:tcW w:w="1106" w:type="dxa"/>
            <w:vAlign w:val="center"/>
          </w:tcPr>
          <w:p w14:paraId="7A038729" w14:textId="48AC2D67" w:rsidR="007E46BA" w:rsidRDefault="007E46BA" w:rsidP="007E46BA">
            <w:r>
              <w:t>23.4%</w:t>
            </w:r>
          </w:p>
        </w:tc>
        <w:tc>
          <w:tcPr>
            <w:tcW w:w="1119" w:type="dxa"/>
            <w:vAlign w:val="center"/>
          </w:tcPr>
          <w:p w14:paraId="746517E4" w14:textId="1056AE8C" w:rsidR="007E46BA" w:rsidRDefault="007E46BA" w:rsidP="007E46BA">
            <w:r>
              <w:t>266,795</w:t>
            </w:r>
          </w:p>
        </w:tc>
        <w:tc>
          <w:tcPr>
            <w:tcW w:w="1106" w:type="dxa"/>
            <w:vAlign w:val="center"/>
          </w:tcPr>
          <w:p w14:paraId="65528A86" w14:textId="6872FA70" w:rsidR="007E46BA" w:rsidRDefault="007E46BA" w:rsidP="007E46BA">
            <w:r>
              <w:t>33.1%</w:t>
            </w:r>
          </w:p>
        </w:tc>
      </w:tr>
      <w:tr w:rsidR="007E46BA" w14:paraId="3D5AC638" w14:textId="77777777" w:rsidTr="007E46BA">
        <w:tc>
          <w:tcPr>
            <w:tcW w:w="1097" w:type="dxa"/>
            <w:vAlign w:val="center"/>
          </w:tcPr>
          <w:p w14:paraId="615A84F6" w14:textId="1DFE82C4" w:rsidR="007E46BA" w:rsidRDefault="007E46BA" w:rsidP="007E46BA">
            <w:r>
              <w:t>Sep-18</w:t>
            </w:r>
          </w:p>
        </w:tc>
        <w:tc>
          <w:tcPr>
            <w:tcW w:w="1244" w:type="dxa"/>
            <w:vAlign w:val="center"/>
          </w:tcPr>
          <w:p w14:paraId="68ABB28C" w14:textId="47EB5825" w:rsidR="007E46BA" w:rsidRDefault="007E46BA" w:rsidP="007E46BA">
            <w:r>
              <w:t>772,150</w:t>
            </w:r>
          </w:p>
        </w:tc>
        <w:tc>
          <w:tcPr>
            <w:tcW w:w="1119" w:type="dxa"/>
            <w:vAlign w:val="center"/>
          </w:tcPr>
          <w:p w14:paraId="1DED9541" w14:textId="2AA14D19" w:rsidR="007E46BA" w:rsidRDefault="007E46BA" w:rsidP="007E46BA">
            <w:r>
              <w:t>540,515</w:t>
            </w:r>
          </w:p>
        </w:tc>
        <w:tc>
          <w:tcPr>
            <w:tcW w:w="1106" w:type="dxa"/>
            <w:vAlign w:val="center"/>
          </w:tcPr>
          <w:p w14:paraId="3E83A3C6" w14:textId="091780C4" w:rsidR="007E46BA" w:rsidRDefault="007E46BA" w:rsidP="007E46BA">
            <w:r>
              <w:t>70.0%</w:t>
            </w:r>
          </w:p>
        </w:tc>
        <w:tc>
          <w:tcPr>
            <w:tcW w:w="1119" w:type="dxa"/>
            <w:vAlign w:val="center"/>
          </w:tcPr>
          <w:p w14:paraId="5B2EAF81" w14:textId="65B39A05" w:rsidR="007E46BA" w:rsidRDefault="007E46BA" w:rsidP="007E46BA">
            <w:r>
              <w:t>194,455</w:t>
            </w:r>
          </w:p>
        </w:tc>
        <w:tc>
          <w:tcPr>
            <w:tcW w:w="1106" w:type="dxa"/>
            <w:vAlign w:val="center"/>
          </w:tcPr>
          <w:p w14:paraId="290FDA21" w14:textId="3628A236" w:rsidR="007E46BA" w:rsidRDefault="007E46BA" w:rsidP="007E46BA">
            <w:r>
              <w:t>25.2%</w:t>
            </w:r>
          </w:p>
        </w:tc>
        <w:tc>
          <w:tcPr>
            <w:tcW w:w="1119" w:type="dxa"/>
            <w:vAlign w:val="center"/>
          </w:tcPr>
          <w:p w14:paraId="602FFDE7" w14:textId="4FE3B6C6" w:rsidR="007E46BA" w:rsidRDefault="007E46BA" w:rsidP="007E46BA">
            <w:r>
              <w:t>291,115</w:t>
            </w:r>
          </w:p>
        </w:tc>
        <w:tc>
          <w:tcPr>
            <w:tcW w:w="1106" w:type="dxa"/>
            <w:vAlign w:val="center"/>
          </w:tcPr>
          <w:p w14:paraId="2C2C5F8F" w14:textId="6DE7BCDE" w:rsidR="007E46BA" w:rsidRDefault="007E46BA" w:rsidP="007E46BA">
            <w:r>
              <w:t>37.7%</w:t>
            </w:r>
          </w:p>
        </w:tc>
      </w:tr>
      <w:tr w:rsidR="007E46BA" w14:paraId="4299844F"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3B8BD698" w14:textId="6E4582E9" w:rsidR="007E46BA" w:rsidRDefault="007E46BA" w:rsidP="007E46BA">
            <w:r>
              <w:t>Sep-19</w:t>
            </w:r>
          </w:p>
        </w:tc>
        <w:tc>
          <w:tcPr>
            <w:tcW w:w="1244" w:type="dxa"/>
            <w:vAlign w:val="center"/>
          </w:tcPr>
          <w:p w14:paraId="7EB45397" w14:textId="7BBC24FE" w:rsidR="007E46BA" w:rsidRDefault="007E46BA" w:rsidP="007E46BA">
            <w:r>
              <w:t>761,610</w:t>
            </w:r>
          </w:p>
        </w:tc>
        <w:tc>
          <w:tcPr>
            <w:tcW w:w="1119" w:type="dxa"/>
            <w:vAlign w:val="center"/>
          </w:tcPr>
          <w:p w14:paraId="66F7C7E8" w14:textId="7BE42A51" w:rsidR="007E46BA" w:rsidRDefault="007E46BA" w:rsidP="007E46BA">
            <w:r>
              <w:t>540,610</w:t>
            </w:r>
          </w:p>
        </w:tc>
        <w:tc>
          <w:tcPr>
            <w:tcW w:w="1106" w:type="dxa"/>
            <w:vAlign w:val="center"/>
          </w:tcPr>
          <w:p w14:paraId="4ABCF974" w14:textId="7B3863FA" w:rsidR="007E46BA" w:rsidRDefault="007E46BA" w:rsidP="007E46BA">
            <w:r>
              <w:t>71.0%</w:t>
            </w:r>
          </w:p>
        </w:tc>
        <w:tc>
          <w:tcPr>
            <w:tcW w:w="1119" w:type="dxa"/>
            <w:vAlign w:val="center"/>
          </w:tcPr>
          <w:p w14:paraId="4EBABFBD" w14:textId="3D606615" w:rsidR="007E46BA" w:rsidRDefault="007E46BA" w:rsidP="007E46BA">
            <w:r>
              <w:t>199,665</w:t>
            </w:r>
          </w:p>
        </w:tc>
        <w:tc>
          <w:tcPr>
            <w:tcW w:w="1106" w:type="dxa"/>
            <w:vAlign w:val="center"/>
          </w:tcPr>
          <w:p w14:paraId="6D5AA560" w14:textId="3638FBA3" w:rsidR="007E46BA" w:rsidRDefault="007E46BA" w:rsidP="007E46BA">
            <w:r>
              <w:t>26.2%</w:t>
            </w:r>
          </w:p>
        </w:tc>
        <w:tc>
          <w:tcPr>
            <w:tcW w:w="1119" w:type="dxa"/>
            <w:vAlign w:val="center"/>
          </w:tcPr>
          <w:p w14:paraId="49874D69" w14:textId="431A650C" w:rsidR="007E46BA" w:rsidRDefault="007E46BA" w:rsidP="007E46BA">
            <w:r>
              <w:t>318,280</w:t>
            </w:r>
          </w:p>
        </w:tc>
        <w:tc>
          <w:tcPr>
            <w:tcW w:w="1106" w:type="dxa"/>
            <w:vAlign w:val="center"/>
          </w:tcPr>
          <w:p w14:paraId="66B18072" w14:textId="66A3461D" w:rsidR="007E46BA" w:rsidRDefault="007E46BA" w:rsidP="007E46BA">
            <w:r>
              <w:t>41.8%</w:t>
            </w:r>
          </w:p>
        </w:tc>
      </w:tr>
      <w:tr w:rsidR="007E46BA" w14:paraId="0198D086" w14:textId="77777777" w:rsidTr="007E46BA">
        <w:tc>
          <w:tcPr>
            <w:tcW w:w="1097" w:type="dxa"/>
            <w:vAlign w:val="center"/>
          </w:tcPr>
          <w:p w14:paraId="5AE6B101" w14:textId="20C5AEB0" w:rsidR="007E46BA" w:rsidRDefault="007E46BA" w:rsidP="007E46BA">
            <w:r>
              <w:t>Sep-20</w:t>
            </w:r>
          </w:p>
        </w:tc>
        <w:tc>
          <w:tcPr>
            <w:tcW w:w="1244" w:type="dxa"/>
            <w:vAlign w:val="center"/>
          </w:tcPr>
          <w:p w14:paraId="5F215239" w14:textId="5ACB5BD8" w:rsidR="007E46BA" w:rsidRDefault="007E46BA" w:rsidP="007E46BA">
            <w:r>
              <w:t>1,586,465</w:t>
            </w:r>
          </w:p>
        </w:tc>
        <w:tc>
          <w:tcPr>
            <w:tcW w:w="1119" w:type="dxa"/>
            <w:vAlign w:val="center"/>
          </w:tcPr>
          <w:p w14:paraId="1C5C2CE6" w14:textId="468F595E" w:rsidR="007E46BA" w:rsidRDefault="007E46BA" w:rsidP="007E46BA">
            <w:r>
              <w:t>666,545</w:t>
            </w:r>
          </w:p>
        </w:tc>
        <w:tc>
          <w:tcPr>
            <w:tcW w:w="1106" w:type="dxa"/>
            <w:vAlign w:val="center"/>
          </w:tcPr>
          <w:p w14:paraId="17334561" w14:textId="04643435" w:rsidR="007E46BA" w:rsidRDefault="007E46BA" w:rsidP="007E46BA">
            <w:r>
              <w:t>42.0%</w:t>
            </w:r>
          </w:p>
        </w:tc>
        <w:tc>
          <w:tcPr>
            <w:tcW w:w="1119" w:type="dxa"/>
            <w:vAlign w:val="center"/>
          </w:tcPr>
          <w:p w14:paraId="24F95B34" w14:textId="13338C8E" w:rsidR="007E46BA" w:rsidRDefault="007E46BA" w:rsidP="007E46BA">
            <w:r>
              <w:t>340,050</w:t>
            </w:r>
          </w:p>
        </w:tc>
        <w:tc>
          <w:tcPr>
            <w:tcW w:w="1106" w:type="dxa"/>
            <w:vAlign w:val="center"/>
          </w:tcPr>
          <w:p w14:paraId="0D2C9FE1" w14:textId="3BA3D903" w:rsidR="007E46BA" w:rsidRDefault="007E46BA" w:rsidP="007E46BA">
            <w:r>
              <w:t>21.4%</w:t>
            </w:r>
          </w:p>
        </w:tc>
        <w:tc>
          <w:tcPr>
            <w:tcW w:w="1119" w:type="dxa"/>
            <w:vAlign w:val="center"/>
          </w:tcPr>
          <w:p w14:paraId="03FE20E1" w14:textId="17C90F20" w:rsidR="007E46BA" w:rsidRDefault="007E46BA" w:rsidP="007E46BA">
            <w:r>
              <w:t>396,185</w:t>
            </w:r>
          </w:p>
        </w:tc>
        <w:tc>
          <w:tcPr>
            <w:tcW w:w="1106" w:type="dxa"/>
            <w:vAlign w:val="center"/>
          </w:tcPr>
          <w:p w14:paraId="47401CAC" w14:textId="1755F999" w:rsidR="007E46BA" w:rsidRDefault="007E46BA" w:rsidP="007E46BA">
            <w:r>
              <w:t>25.0%</w:t>
            </w:r>
          </w:p>
        </w:tc>
      </w:tr>
      <w:tr w:rsidR="007E46BA" w14:paraId="2E2F2940"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67EFB247" w14:textId="018F92EA" w:rsidR="007E46BA" w:rsidRDefault="007E46BA" w:rsidP="007E46BA">
            <w:r>
              <w:t>Sep-21</w:t>
            </w:r>
          </w:p>
        </w:tc>
        <w:tc>
          <w:tcPr>
            <w:tcW w:w="1244" w:type="dxa"/>
            <w:vAlign w:val="center"/>
          </w:tcPr>
          <w:p w14:paraId="71974D18" w14:textId="7C03CF01" w:rsidR="007E46BA" w:rsidRDefault="007E46BA" w:rsidP="007E46BA">
            <w:r>
              <w:t>1,051,650</w:t>
            </w:r>
          </w:p>
        </w:tc>
        <w:tc>
          <w:tcPr>
            <w:tcW w:w="1119" w:type="dxa"/>
            <w:vAlign w:val="center"/>
          </w:tcPr>
          <w:p w14:paraId="547582DC" w14:textId="39295BD1" w:rsidR="007E46BA" w:rsidRDefault="007E46BA" w:rsidP="007E46BA">
            <w:r>
              <w:t>852,690</w:t>
            </w:r>
          </w:p>
        </w:tc>
        <w:tc>
          <w:tcPr>
            <w:tcW w:w="1106" w:type="dxa"/>
            <w:vAlign w:val="center"/>
          </w:tcPr>
          <w:p w14:paraId="3B2A1667" w14:textId="02B428F0" w:rsidR="007E46BA" w:rsidRDefault="007E46BA" w:rsidP="007E46BA">
            <w:r>
              <w:t>81.1%</w:t>
            </w:r>
          </w:p>
        </w:tc>
        <w:tc>
          <w:tcPr>
            <w:tcW w:w="1119" w:type="dxa"/>
            <w:vAlign w:val="center"/>
          </w:tcPr>
          <w:p w14:paraId="58AA3725" w14:textId="549321A7" w:rsidR="007E46BA" w:rsidRDefault="007E46BA" w:rsidP="007E46BA">
            <w:r>
              <w:t>275,250</w:t>
            </w:r>
          </w:p>
        </w:tc>
        <w:tc>
          <w:tcPr>
            <w:tcW w:w="1106" w:type="dxa"/>
            <w:vAlign w:val="center"/>
          </w:tcPr>
          <w:p w14:paraId="15127C75" w14:textId="2B7EF2CA" w:rsidR="007E46BA" w:rsidRDefault="007E46BA" w:rsidP="007E46BA">
            <w:r>
              <w:t>26.2%</w:t>
            </w:r>
          </w:p>
        </w:tc>
        <w:tc>
          <w:tcPr>
            <w:tcW w:w="1119" w:type="dxa"/>
            <w:vAlign w:val="center"/>
          </w:tcPr>
          <w:p w14:paraId="013D4B35" w14:textId="4035082C" w:rsidR="007E46BA" w:rsidRDefault="007E46BA" w:rsidP="007E46BA">
            <w:r>
              <w:t>392,290</w:t>
            </w:r>
          </w:p>
        </w:tc>
        <w:tc>
          <w:tcPr>
            <w:tcW w:w="1106" w:type="dxa"/>
            <w:vAlign w:val="center"/>
          </w:tcPr>
          <w:p w14:paraId="277AD44C" w14:textId="4D876330" w:rsidR="007E46BA" w:rsidRDefault="007E46BA" w:rsidP="007E46BA">
            <w:r>
              <w:t>37.3%</w:t>
            </w:r>
          </w:p>
        </w:tc>
      </w:tr>
      <w:tr w:rsidR="007E46BA" w14:paraId="5D5A7229" w14:textId="77777777" w:rsidTr="007E46BA">
        <w:tc>
          <w:tcPr>
            <w:tcW w:w="1097" w:type="dxa"/>
            <w:vAlign w:val="center"/>
          </w:tcPr>
          <w:p w14:paraId="3530D897" w14:textId="5DF51528" w:rsidR="007E46BA" w:rsidRDefault="007E46BA" w:rsidP="007E46BA">
            <w:r>
              <w:t>Sep-22</w:t>
            </w:r>
          </w:p>
        </w:tc>
        <w:tc>
          <w:tcPr>
            <w:tcW w:w="1244" w:type="dxa"/>
            <w:vAlign w:val="center"/>
          </w:tcPr>
          <w:p w14:paraId="2DF1F385" w14:textId="1E398EE1" w:rsidR="007E46BA" w:rsidRDefault="007E46BA" w:rsidP="007E46BA">
            <w:r>
              <w:t>862,540</w:t>
            </w:r>
          </w:p>
        </w:tc>
        <w:tc>
          <w:tcPr>
            <w:tcW w:w="1119" w:type="dxa"/>
            <w:vAlign w:val="center"/>
          </w:tcPr>
          <w:p w14:paraId="361806EA" w14:textId="212AFE12" w:rsidR="007E46BA" w:rsidRDefault="007E46BA" w:rsidP="007E46BA">
            <w:r>
              <w:t>649,310</w:t>
            </w:r>
          </w:p>
        </w:tc>
        <w:tc>
          <w:tcPr>
            <w:tcW w:w="1106" w:type="dxa"/>
            <w:vAlign w:val="center"/>
          </w:tcPr>
          <w:p w14:paraId="52CE116E" w14:textId="0961B216" w:rsidR="007E46BA" w:rsidRDefault="007E46BA" w:rsidP="007E46BA">
            <w:r>
              <w:t>75.3%</w:t>
            </w:r>
          </w:p>
        </w:tc>
        <w:tc>
          <w:tcPr>
            <w:tcW w:w="1119" w:type="dxa"/>
            <w:vAlign w:val="center"/>
          </w:tcPr>
          <w:p w14:paraId="467F7B4F" w14:textId="03F9BCA7" w:rsidR="007E46BA" w:rsidRDefault="007E46BA" w:rsidP="007E46BA">
            <w:r>
              <w:t>244,960</w:t>
            </w:r>
          </w:p>
        </w:tc>
        <w:tc>
          <w:tcPr>
            <w:tcW w:w="1106" w:type="dxa"/>
            <w:vAlign w:val="center"/>
          </w:tcPr>
          <w:p w14:paraId="23AA5114" w14:textId="1EC71129" w:rsidR="007E46BA" w:rsidRDefault="007E46BA" w:rsidP="007E46BA">
            <w:r>
              <w:t>28.4%</w:t>
            </w:r>
          </w:p>
        </w:tc>
        <w:tc>
          <w:tcPr>
            <w:tcW w:w="1119" w:type="dxa"/>
            <w:vAlign w:val="center"/>
          </w:tcPr>
          <w:p w14:paraId="57F53BC3" w14:textId="55EA181A" w:rsidR="007E46BA" w:rsidRDefault="007E46BA" w:rsidP="007E46BA">
            <w:r>
              <w:t>369,480</w:t>
            </w:r>
          </w:p>
        </w:tc>
        <w:tc>
          <w:tcPr>
            <w:tcW w:w="1106" w:type="dxa"/>
            <w:vAlign w:val="center"/>
          </w:tcPr>
          <w:p w14:paraId="76029D53" w14:textId="10AB7EDB" w:rsidR="007E46BA" w:rsidRDefault="007E46BA" w:rsidP="007E46BA">
            <w:r>
              <w:t>42.8%</w:t>
            </w:r>
          </w:p>
        </w:tc>
      </w:tr>
      <w:tr w:rsidR="007E46BA" w14:paraId="76455488" w14:textId="77777777" w:rsidTr="007E46BA">
        <w:trPr>
          <w:cnfStyle w:val="000000100000" w:firstRow="0" w:lastRow="0" w:firstColumn="0" w:lastColumn="0" w:oddVBand="0" w:evenVBand="0" w:oddHBand="1" w:evenHBand="0" w:firstRowFirstColumn="0" w:firstRowLastColumn="0" w:lastRowFirstColumn="0" w:lastRowLastColumn="0"/>
        </w:trPr>
        <w:tc>
          <w:tcPr>
            <w:tcW w:w="1097" w:type="dxa"/>
            <w:vAlign w:val="center"/>
          </w:tcPr>
          <w:p w14:paraId="1F75B624" w14:textId="1E2E5022" w:rsidR="007E46BA" w:rsidRDefault="007E46BA" w:rsidP="007E46BA">
            <w:r>
              <w:t>Sep-23</w:t>
            </w:r>
          </w:p>
        </w:tc>
        <w:tc>
          <w:tcPr>
            <w:tcW w:w="1244" w:type="dxa"/>
            <w:vAlign w:val="center"/>
          </w:tcPr>
          <w:p w14:paraId="01D947F1" w14:textId="71C4E125" w:rsidR="007E46BA" w:rsidRDefault="007E46BA" w:rsidP="007E46BA">
            <w:r>
              <w:t>754,555</w:t>
            </w:r>
          </w:p>
        </w:tc>
        <w:tc>
          <w:tcPr>
            <w:tcW w:w="1119" w:type="dxa"/>
            <w:vAlign w:val="center"/>
          </w:tcPr>
          <w:p w14:paraId="07A99942" w14:textId="28FE3C82" w:rsidR="007E46BA" w:rsidRDefault="007E46BA" w:rsidP="007E46BA">
            <w:r>
              <w:t>531,550</w:t>
            </w:r>
          </w:p>
        </w:tc>
        <w:tc>
          <w:tcPr>
            <w:tcW w:w="1106" w:type="dxa"/>
            <w:vAlign w:val="center"/>
          </w:tcPr>
          <w:p w14:paraId="10692F01" w14:textId="3C6408A4" w:rsidR="007E46BA" w:rsidRDefault="007E46BA" w:rsidP="007E46BA">
            <w:r>
              <w:t>70.4%</w:t>
            </w:r>
          </w:p>
        </w:tc>
        <w:tc>
          <w:tcPr>
            <w:tcW w:w="1119" w:type="dxa"/>
            <w:vAlign w:val="center"/>
          </w:tcPr>
          <w:p w14:paraId="2E3D0269" w14:textId="64AC4502" w:rsidR="007E46BA" w:rsidRDefault="007E46BA" w:rsidP="007E46BA">
            <w:r>
              <w:t>233,850</w:t>
            </w:r>
          </w:p>
        </w:tc>
        <w:tc>
          <w:tcPr>
            <w:tcW w:w="1106" w:type="dxa"/>
            <w:vAlign w:val="center"/>
          </w:tcPr>
          <w:p w14:paraId="7592448E" w14:textId="3FE037DE" w:rsidR="007E46BA" w:rsidRDefault="007E46BA" w:rsidP="007E46BA">
            <w:r>
              <w:t>31.0%</w:t>
            </w:r>
          </w:p>
        </w:tc>
        <w:tc>
          <w:tcPr>
            <w:tcW w:w="1119" w:type="dxa"/>
            <w:vAlign w:val="center"/>
          </w:tcPr>
          <w:p w14:paraId="075CEBF2" w14:textId="17CC06D5" w:rsidR="007E46BA" w:rsidRDefault="007E46BA" w:rsidP="007E46BA">
            <w:r>
              <w:t>339,475</w:t>
            </w:r>
          </w:p>
        </w:tc>
        <w:tc>
          <w:tcPr>
            <w:tcW w:w="1106" w:type="dxa"/>
            <w:vAlign w:val="center"/>
          </w:tcPr>
          <w:p w14:paraId="12D45173" w14:textId="092EE24A" w:rsidR="007E46BA" w:rsidRDefault="007E46BA" w:rsidP="007E46BA">
            <w:r>
              <w:t>45.0%</w:t>
            </w:r>
          </w:p>
        </w:tc>
      </w:tr>
    </w:tbl>
    <w:p w14:paraId="0085D18D" w14:textId="77777777" w:rsidR="00D24350" w:rsidRPr="005B53FF" w:rsidRDefault="00D24350" w:rsidP="005B53FF">
      <w:pPr>
        <w:pStyle w:val="Caption"/>
      </w:pPr>
      <w:r w:rsidRPr="005B53FF">
        <w:t>*Partial Capacity to Work refers to activity tested recipients with an assessed work capacity of under 30 hours per week. Partial Capacity to Work was introduced from July 2006, under Welfare to Work provisions.</w:t>
      </w:r>
    </w:p>
    <w:p w14:paraId="28C4B137" w14:textId="77777777" w:rsidR="00D24350" w:rsidRPr="005B53FF" w:rsidRDefault="00D24350" w:rsidP="005B53FF">
      <w:pPr>
        <w:pStyle w:val="Caption"/>
      </w:pPr>
      <w:r w:rsidRPr="005B53FF">
        <w:t>Source: DSS Administrative data</w:t>
      </w:r>
    </w:p>
    <w:p w14:paraId="1CCF5E28" w14:textId="648337F3" w:rsidR="00D24350" w:rsidRPr="00D24350" w:rsidRDefault="00D24350" w:rsidP="00D24350">
      <w:pPr>
        <w:rPr>
          <w:lang w:val="en-GB"/>
        </w:rPr>
      </w:pPr>
      <w:r w:rsidRPr="00D24350">
        <w:rPr>
          <w:lang w:val="en-GB"/>
        </w:rPr>
        <w:t>The relationship and relativities with respect to people receiving JobSeeker Payment who are long-term unemployed, have a partial work capacity and who are 55 and over as at September 2023 is visualised in Figure 24 below.</w:t>
      </w:r>
    </w:p>
    <w:p w14:paraId="349852E0" w14:textId="77777777" w:rsidR="007E46BA" w:rsidRPr="007E46BA" w:rsidRDefault="007E46BA" w:rsidP="007E46BA">
      <w:pPr>
        <w:pStyle w:val="Heading4"/>
      </w:pPr>
      <w:r w:rsidRPr="007E46BA">
        <w:lastRenderedPageBreak/>
        <w:t>Figure 24: Relationship and relativities of key cohorts from the JobSeeker caseload as at September 2023</w:t>
      </w:r>
    </w:p>
    <w:p w14:paraId="667467E4" w14:textId="60F6FE43" w:rsidR="007E46BA" w:rsidRDefault="007E46BA" w:rsidP="00A726F2">
      <w:r>
        <w:rPr>
          <w:noProof/>
        </w:rPr>
        <w:drawing>
          <wp:inline distT="0" distB="0" distL="0" distR="0" wp14:anchorId="7E853BA2" wp14:editId="01453878">
            <wp:extent cx="4648200" cy="4114800"/>
            <wp:effectExtent l="0" t="0" r="0" b="0"/>
            <wp:docPr id="1795760389" name="Picture 22" descr="Figure 24: Relationship and relativities of key cohorts from the JobSeeker caseload as at Sept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0389" name="Picture 22" descr="Figure 24: Relationship and relativities of key cohorts from the JobSeeker caseload as at September 2023"/>
                    <pic:cNvPicPr/>
                  </pic:nvPicPr>
                  <pic:blipFill rotWithShape="1">
                    <a:blip r:embed="rId48">
                      <a:extLst>
                        <a:ext uri="{28A0092B-C50C-407E-A947-70E740481C1C}">
                          <a14:useLocalDpi xmlns:a14="http://schemas.microsoft.com/office/drawing/2010/main" val="0"/>
                        </a:ext>
                      </a:extLst>
                    </a:blip>
                    <a:srcRect l="6481" t="6116" r="12419" b="11326"/>
                    <a:stretch/>
                  </pic:blipFill>
                  <pic:spPr bwMode="auto">
                    <a:xfrm>
                      <a:off x="0" y="0"/>
                      <a:ext cx="4648200" cy="4114800"/>
                    </a:xfrm>
                    <a:prstGeom prst="rect">
                      <a:avLst/>
                    </a:prstGeom>
                    <a:ln>
                      <a:noFill/>
                    </a:ln>
                    <a:extLst>
                      <a:ext uri="{53640926-AAD7-44D8-BBD7-CCE9431645EC}">
                        <a14:shadowObscured xmlns:a14="http://schemas.microsoft.com/office/drawing/2010/main"/>
                      </a:ext>
                    </a:extLst>
                  </pic:spPr>
                </pic:pic>
              </a:graphicData>
            </a:graphic>
          </wp:inline>
        </w:drawing>
      </w:r>
    </w:p>
    <w:p w14:paraId="00A61034" w14:textId="77777777" w:rsidR="007E46BA" w:rsidRPr="007E46BA" w:rsidRDefault="007E46BA" w:rsidP="007E46BA">
      <w:pPr>
        <w:pStyle w:val="Caption"/>
      </w:pPr>
      <w:r w:rsidRPr="007E46BA">
        <w:t>Key:</w:t>
      </w:r>
    </w:p>
    <w:p w14:paraId="0E9903E0" w14:textId="7DCD118D" w:rsidR="007E46BA" w:rsidRPr="007E46BA" w:rsidRDefault="007E46BA" w:rsidP="007E46BA">
      <w:pPr>
        <w:pStyle w:val="Caption"/>
      </w:pPr>
      <w:r w:rsidRPr="007E46BA">
        <w:t xml:space="preserve">1. Sub-cohort population </w:t>
      </w:r>
      <w:r w:rsidRPr="007E46BA">
        <w:br/>
        <w:t>2. % of JSP</w:t>
      </w:r>
      <w:r w:rsidRPr="007E46BA">
        <w:br/>
        <w:t xml:space="preserve">3. Average duration on income support </w:t>
      </w:r>
    </w:p>
    <w:p w14:paraId="29B98566" w14:textId="009FD41D" w:rsidR="007E46BA" w:rsidRPr="007E46BA" w:rsidRDefault="007E46BA" w:rsidP="007E46BA">
      <w:pPr>
        <w:pStyle w:val="Caption"/>
      </w:pPr>
      <w:r w:rsidRPr="007E46BA">
        <w:t># Mature age refers to recipients aged 55 and over</w:t>
      </w:r>
      <w:r w:rsidRPr="007E46BA">
        <w:br/>
        <w:t>* Long Term refers to being on Income Support for more than 12 months</w:t>
      </w:r>
    </w:p>
    <w:p w14:paraId="7E8581F1" w14:textId="77777777" w:rsidR="007E46BA" w:rsidRDefault="007E46BA" w:rsidP="007E46BA">
      <w:pPr>
        <w:pStyle w:val="Caption"/>
      </w:pPr>
      <w:r w:rsidRPr="007E46BA">
        <w:rPr>
          <w:b/>
          <w:bCs/>
        </w:rPr>
        <w:t>As at the end of September 2023:</w:t>
      </w:r>
      <w:r>
        <w:br/>
      </w:r>
      <w:r w:rsidRPr="007E46BA">
        <w:rPr>
          <w:lang w:val="en-US"/>
        </w:rPr>
        <w:t>The JobSeeker Payment total population was 754,555</w:t>
      </w:r>
      <w:r>
        <w:br/>
      </w:r>
      <w:r w:rsidRPr="007E46BA">
        <w:rPr>
          <w:lang w:val="en-US"/>
        </w:rPr>
        <w:t xml:space="preserve">The average duration of income support was 5.4 yrs </w:t>
      </w:r>
    </w:p>
    <w:p w14:paraId="24C604D5" w14:textId="148CF451" w:rsidR="007E46BA" w:rsidRPr="007E46BA" w:rsidRDefault="007E46BA" w:rsidP="007E46BA">
      <w:pPr>
        <w:pStyle w:val="Caption"/>
      </w:pPr>
      <w:r w:rsidRPr="007E46BA">
        <w:rPr>
          <w:b/>
          <w:bCs/>
        </w:rPr>
        <w:t>Cohorts total recipients</w:t>
      </w:r>
      <w:r>
        <w:br/>
      </w:r>
      <w:r w:rsidRPr="007E46BA">
        <w:t>Long Term on Income Support: 531,550 (70.4%)</w:t>
      </w:r>
      <w:r>
        <w:br/>
      </w:r>
      <w:r w:rsidRPr="007E46BA">
        <w:t>Partial capacity to work:</w:t>
      </w:r>
      <w:r>
        <w:t xml:space="preserve"> </w:t>
      </w:r>
      <w:r w:rsidRPr="007E46BA">
        <w:t>339,475 (45.0%)</w:t>
      </w:r>
      <w:r>
        <w:br/>
      </w:r>
      <w:r w:rsidRPr="007E46BA">
        <w:t>Mature age:</w:t>
      </w:r>
      <w:r>
        <w:t xml:space="preserve"> </w:t>
      </w:r>
      <w:r w:rsidRPr="007E46BA">
        <w:t>233,850 (31.0%)</w:t>
      </w:r>
    </w:p>
    <w:p w14:paraId="5A5BD4F9" w14:textId="7B181898" w:rsidR="00D24350" w:rsidRPr="005B53FF" w:rsidRDefault="00D24350" w:rsidP="005B53FF">
      <w:pPr>
        <w:pStyle w:val="Heading2"/>
      </w:pPr>
      <w:bookmarkStart w:id="63" w:name="_Toc165366890"/>
      <w:r w:rsidRPr="005B53FF">
        <w:t>6.4 New guiding principles to renew the social security system</w:t>
      </w:r>
      <w:bookmarkEnd w:id="63"/>
      <w:r w:rsidRPr="005B53FF">
        <w:t xml:space="preserve"> </w:t>
      </w:r>
    </w:p>
    <w:p w14:paraId="10062BA4" w14:textId="77777777" w:rsidR="00D24350" w:rsidRPr="00D24350" w:rsidRDefault="00D24350" w:rsidP="00D24350">
      <w:pPr>
        <w:rPr>
          <w:lang w:val="en-GB"/>
        </w:rPr>
      </w:pPr>
      <w:r w:rsidRPr="00D24350">
        <w:rPr>
          <w:lang w:val="en-GB"/>
        </w:rPr>
        <w:t>Renewing the social security system and focussing it on its proposed new mandate of supporting economic inclusion and wellbeing requires a new set of guiding principles. The Committee believes a good starting point is the set of principles recently proposed by the Brotherhood of St. Laurence.</w:t>
      </w:r>
      <w:r w:rsidRPr="00D24350">
        <w:rPr>
          <w:rStyle w:val="Superscript"/>
          <w:lang w:val="en-GB"/>
        </w:rPr>
        <w:footnoteReference w:id="108"/>
      </w:r>
      <w:r w:rsidRPr="00D24350">
        <w:rPr>
          <w:lang w:val="en-GB"/>
        </w:rPr>
        <w:t xml:space="preserve"> With adaptations, these are: </w:t>
      </w:r>
    </w:p>
    <w:p w14:paraId="57C4DFE9" w14:textId="77777777" w:rsidR="00D24350" w:rsidRPr="007E46BA" w:rsidRDefault="00D24350">
      <w:pPr>
        <w:pStyle w:val="ListParagraph"/>
        <w:numPr>
          <w:ilvl w:val="0"/>
          <w:numId w:val="13"/>
        </w:numPr>
        <w:rPr>
          <w:lang w:val="en-GB"/>
        </w:rPr>
      </w:pPr>
      <w:r w:rsidRPr="007E46BA">
        <w:rPr>
          <w:b/>
          <w:bCs/>
          <w:lang w:val="en-GB"/>
        </w:rPr>
        <w:lastRenderedPageBreak/>
        <w:t>Adequacy:</w:t>
      </w:r>
      <w:r w:rsidRPr="007E46BA">
        <w:rPr>
          <w:lang w:val="en-GB"/>
        </w:rPr>
        <w:t xml:space="preserve"> Economic security is a human right and a precondition for wellbeing (International Labour Organization 2012). To prevent poverty and enable economic and social participation, social security payments must be adequate for people to live with dignity.</w:t>
      </w:r>
    </w:p>
    <w:p w14:paraId="36CEC35D" w14:textId="77777777" w:rsidR="00D24350" w:rsidRPr="007E46BA" w:rsidRDefault="00D24350">
      <w:pPr>
        <w:pStyle w:val="ListParagraph"/>
        <w:numPr>
          <w:ilvl w:val="0"/>
          <w:numId w:val="13"/>
        </w:numPr>
        <w:rPr>
          <w:lang w:val="en-GB"/>
        </w:rPr>
      </w:pPr>
      <w:r w:rsidRPr="007E46BA">
        <w:rPr>
          <w:b/>
          <w:bCs/>
          <w:lang w:val="en-GB"/>
        </w:rPr>
        <w:t>Dignity and autonomy:</w:t>
      </w:r>
      <w:r w:rsidRPr="007E46BA">
        <w:rPr>
          <w:lang w:val="en-GB"/>
        </w:rPr>
        <w:t xml:space="preserve"> Individual dignity and autonomy are fundamental to human rights. As the UN collaborative platform Social Protection &amp; Human Rights (2015) points out, these are ‘inextricably linked to the principles of equality and non-discrimination’. The principle of dignity and autonomy also respects the right </w:t>
      </w:r>
      <w:r w:rsidRPr="007E46BA">
        <w:rPr>
          <w:lang w:val="en-GB"/>
        </w:rPr>
        <w:br/>
        <w:t xml:space="preserve">to privacy. </w:t>
      </w:r>
    </w:p>
    <w:p w14:paraId="352998D5" w14:textId="77777777" w:rsidR="00D24350" w:rsidRPr="007E46BA" w:rsidRDefault="00D24350">
      <w:pPr>
        <w:pStyle w:val="ListParagraph"/>
        <w:numPr>
          <w:ilvl w:val="0"/>
          <w:numId w:val="13"/>
        </w:numPr>
        <w:rPr>
          <w:lang w:val="en-GB"/>
        </w:rPr>
      </w:pPr>
      <w:r w:rsidRPr="007E46BA">
        <w:rPr>
          <w:b/>
          <w:bCs/>
          <w:lang w:val="en-GB"/>
        </w:rPr>
        <w:t>Equity and fairness:</w:t>
      </w:r>
      <w:r w:rsidRPr="007E46BA">
        <w:rPr>
          <w:lang w:val="en-GB"/>
        </w:rPr>
        <w:t xml:space="preserve"> An equitable system is fair and impartial. An equitable assessment of the adequacy of social security recognises that people have different needs depending on their age, gender, health and circumstances. Its practices should be based on evidence.</w:t>
      </w:r>
    </w:p>
    <w:p w14:paraId="17D8F940" w14:textId="77777777" w:rsidR="00D24350" w:rsidRPr="007E46BA" w:rsidRDefault="00D24350">
      <w:pPr>
        <w:pStyle w:val="ListParagraph"/>
        <w:numPr>
          <w:ilvl w:val="0"/>
          <w:numId w:val="13"/>
        </w:numPr>
        <w:rPr>
          <w:lang w:val="en-GB"/>
        </w:rPr>
      </w:pPr>
      <w:r w:rsidRPr="007E46BA">
        <w:rPr>
          <w:b/>
          <w:bCs/>
          <w:lang w:val="en-GB"/>
        </w:rPr>
        <w:t>Accountability and acting on evidence:</w:t>
      </w:r>
      <w:r w:rsidRPr="007E46BA">
        <w:rPr>
          <w:lang w:val="en-GB"/>
        </w:rPr>
        <w:t xml:space="preserve"> Accountability is reciprocal. For too long, the concept of reciprocity has focused overly on the obligations of people receiving income support payments, rather than also recognising the obligations of government. Accountability entails transparency: clear statements of eligibility, assessment and decision-making processes, so that individuals can understand their entitlements and if necessary, challenge decisions. Policy based on evidence and a commitment to evaluating outcomes and the performance of policy decisions is a closely related principle.</w:t>
      </w:r>
    </w:p>
    <w:p w14:paraId="79DEC5DE" w14:textId="77777777" w:rsidR="00D24350" w:rsidRPr="007E46BA" w:rsidRDefault="00D24350">
      <w:pPr>
        <w:pStyle w:val="ListParagraph"/>
        <w:numPr>
          <w:ilvl w:val="0"/>
          <w:numId w:val="13"/>
        </w:numPr>
        <w:rPr>
          <w:lang w:val="en-GB"/>
        </w:rPr>
      </w:pPr>
      <w:r w:rsidRPr="007E46BA">
        <w:rPr>
          <w:b/>
          <w:bCs/>
          <w:lang w:val="en-GB"/>
        </w:rPr>
        <w:t>Person-centredness:</w:t>
      </w:r>
      <w:r w:rsidRPr="007E46BA">
        <w:rPr>
          <w:lang w:val="en-GB"/>
        </w:rPr>
        <w:t xml:space="preserve"> the social security system should be effective in helping to address the needs of each person who relies on it. It should be easy enough to access and to understand for people receiving income support and easy enough to administer for staff. Focussing on people and their needs rather than schemes and their rules will help reduce complexity and improve the experience of everybody involved with the system. </w:t>
      </w:r>
    </w:p>
    <w:p w14:paraId="7259C9A2" w14:textId="77777777" w:rsidR="00D24350" w:rsidRPr="007E46BA" w:rsidRDefault="00D24350">
      <w:pPr>
        <w:pStyle w:val="ListParagraph"/>
        <w:numPr>
          <w:ilvl w:val="0"/>
          <w:numId w:val="13"/>
        </w:numPr>
        <w:rPr>
          <w:lang w:val="en-GB"/>
        </w:rPr>
      </w:pPr>
      <w:r w:rsidRPr="007E46BA">
        <w:rPr>
          <w:b/>
          <w:bCs/>
          <w:lang w:val="en-GB"/>
        </w:rPr>
        <w:t>A safety net for all:</w:t>
      </w:r>
      <w:r w:rsidRPr="007E46BA">
        <w:rPr>
          <w:lang w:val="en-GB"/>
        </w:rPr>
        <w:t xml:space="preserve"> Social security provides a safety net for all of us. As part of a progressive tax and transfer system it socialises risk across the whole population. A social security system that recognises the value of investing in people enhances social cohesion.</w:t>
      </w:r>
    </w:p>
    <w:p w14:paraId="0A0FFAF0" w14:textId="1FD224E5" w:rsidR="00D24350" w:rsidRDefault="00D24350" w:rsidP="00D24350">
      <w:pPr>
        <w:rPr>
          <w:lang w:val="en-GB"/>
        </w:rPr>
      </w:pPr>
      <w:r w:rsidRPr="00D24350">
        <w:rPr>
          <w:lang w:val="en-GB"/>
        </w:rPr>
        <w:t xml:space="preserve">The Committee is of the view that adopting and mobilising a set of guiding principles such as these will be necessary to support the required improvement in culture and practice across Australia’s social security system. Accordingly, the Committee recommends: </w:t>
      </w:r>
    </w:p>
    <w:p w14:paraId="17854D38" w14:textId="77777777" w:rsidR="007E46BA" w:rsidRPr="007E46BA" w:rsidRDefault="007E46BA" w:rsidP="00023C01">
      <w:pPr>
        <w:shd w:val="clear" w:color="auto" w:fill="FAF1E8" w:themeFill="accent2"/>
        <w:rPr>
          <w:b/>
          <w:bCs/>
        </w:rPr>
      </w:pPr>
      <w:r w:rsidRPr="007E46BA">
        <w:rPr>
          <w:b/>
          <w:bCs/>
        </w:rPr>
        <w:t>Recommendation 17</w:t>
      </w:r>
    </w:p>
    <w:p w14:paraId="6FF02A38" w14:textId="77777777" w:rsidR="007E46BA" w:rsidRPr="007E46BA" w:rsidRDefault="007E46BA" w:rsidP="00023C01">
      <w:pPr>
        <w:shd w:val="clear" w:color="auto" w:fill="FAF1E8" w:themeFill="accent2"/>
        <w:rPr>
          <w:b/>
          <w:bCs/>
        </w:rPr>
      </w:pPr>
      <w:r w:rsidRPr="007E46BA">
        <w:rPr>
          <w:b/>
          <w:bCs/>
        </w:rPr>
        <w:t xml:space="preserve">The Government adopt a set of guiding principles to support an ongoing process of renewal in culture and practice across the social security system. These guiding principles should align with the system’s primary purpose to support economic inclusion and wellbeing. </w:t>
      </w:r>
    </w:p>
    <w:p w14:paraId="6B908E1E" w14:textId="77777777" w:rsidR="007E46BA" w:rsidRPr="007E46BA" w:rsidRDefault="007E46BA" w:rsidP="00023C01">
      <w:pPr>
        <w:shd w:val="clear" w:color="auto" w:fill="FAF1E8" w:themeFill="accent2"/>
        <w:rPr>
          <w:b/>
          <w:bCs/>
        </w:rPr>
      </w:pPr>
      <w:r w:rsidRPr="007E46BA">
        <w:rPr>
          <w:b/>
          <w:bCs/>
        </w:rPr>
        <w:t xml:space="preserve">The Committee proposes that these principles be: </w:t>
      </w:r>
    </w:p>
    <w:p w14:paraId="23A904C5" w14:textId="77777777" w:rsidR="007E46BA" w:rsidRPr="007E46BA" w:rsidRDefault="007E46BA" w:rsidP="00023C01">
      <w:pPr>
        <w:pStyle w:val="ListBullet"/>
        <w:shd w:val="clear" w:color="auto" w:fill="FAF1E8" w:themeFill="accent2"/>
        <w:rPr>
          <w:b/>
          <w:bCs/>
        </w:rPr>
      </w:pPr>
      <w:r w:rsidRPr="007E46BA">
        <w:rPr>
          <w:b/>
          <w:bCs/>
        </w:rPr>
        <w:t>Adequacy</w:t>
      </w:r>
    </w:p>
    <w:p w14:paraId="2628B463" w14:textId="77777777" w:rsidR="007E46BA" w:rsidRPr="007E46BA" w:rsidRDefault="007E46BA" w:rsidP="00023C01">
      <w:pPr>
        <w:pStyle w:val="ListBullet"/>
        <w:shd w:val="clear" w:color="auto" w:fill="FAF1E8" w:themeFill="accent2"/>
        <w:rPr>
          <w:b/>
          <w:bCs/>
        </w:rPr>
      </w:pPr>
      <w:r w:rsidRPr="007E46BA">
        <w:rPr>
          <w:b/>
          <w:bCs/>
        </w:rPr>
        <w:t>Dignity and autonomy</w:t>
      </w:r>
    </w:p>
    <w:p w14:paraId="029D0400" w14:textId="77777777" w:rsidR="007E46BA" w:rsidRPr="007E46BA" w:rsidRDefault="007E46BA" w:rsidP="00023C01">
      <w:pPr>
        <w:pStyle w:val="ListBullet"/>
        <w:shd w:val="clear" w:color="auto" w:fill="FAF1E8" w:themeFill="accent2"/>
        <w:rPr>
          <w:b/>
          <w:bCs/>
        </w:rPr>
      </w:pPr>
      <w:r w:rsidRPr="007E46BA">
        <w:rPr>
          <w:b/>
          <w:bCs/>
        </w:rPr>
        <w:t>Equity and fairness</w:t>
      </w:r>
    </w:p>
    <w:p w14:paraId="5CAF12CB" w14:textId="77777777" w:rsidR="007E46BA" w:rsidRPr="007E46BA" w:rsidRDefault="007E46BA" w:rsidP="00023C01">
      <w:pPr>
        <w:pStyle w:val="ListBullet"/>
        <w:shd w:val="clear" w:color="auto" w:fill="FAF1E8" w:themeFill="accent2"/>
        <w:rPr>
          <w:b/>
          <w:bCs/>
        </w:rPr>
      </w:pPr>
      <w:r w:rsidRPr="007E46BA">
        <w:rPr>
          <w:b/>
          <w:bCs/>
        </w:rPr>
        <w:t>Accountability and acting on evidence</w:t>
      </w:r>
    </w:p>
    <w:p w14:paraId="4370E8B0" w14:textId="77777777" w:rsidR="007E46BA" w:rsidRPr="007E46BA" w:rsidRDefault="007E46BA" w:rsidP="00023C01">
      <w:pPr>
        <w:pStyle w:val="ListBullet"/>
        <w:shd w:val="clear" w:color="auto" w:fill="FAF1E8" w:themeFill="accent2"/>
        <w:rPr>
          <w:b/>
          <w:bCs/>
        </w:rPr>
      </w:pPr>
      <w:r w:rsidRPr="007E46BA">
        <w:rPr>
          <w:b/>
          <w:bCs/>
        </w:rPr>
        <w:t>Person-centredness</w:t>
      </w:r>
    </w:p>
    <w:p w14:paraId="250372AE" w14:textId="5D9B8AD7" w:rsidR="007E46BA" w:rsidRPr="007E46BA" w:rsidRDefault="007E46BA" w:rsidP="00023C01">
      <w:pPr>
        <w:pStyle w:val="ListBullet"/>
        <w:shd w:val="clear" w:color="auto" w:fill="FAF1E8" w:themeFill="accent2"/>
        <w:rPr>
          <w:b/>
          <w:bCs/>
        </w:rPr>
      </w:pPr>
      <w:r w:rsidRPr="007E46BA">
        <w:rPr>
          <w:b/>
          <w:bCs/>
        </w:rPr>
        <w:t>A safety net for all.</w:t>
      </w:r>
    </w:p>
    <w:p w14:paraId="221A87C1" w14:textId="77777777" w:rsidR="00D24350" w:rsidRPr="00D24350" w:rsidRDefault="00D24350" w:rsidP="00D24350">
      <w:pPr>
        <w:rPr>
          <w:lang w:val="en-GB"/>
        </w:rPr>
      </w:pPr>
      <w:r w:rsidRPr="00D24350">
        <w:rPr>
          <w:lang w:val="en-GB"/>
        </w:rPr>
        <w:t xml:space="preserve">How can we put these new principles into practice? </w:t>
      </w:r>
    </w:p>
    <w:p w14:paraId="6ED6C449" w14:textId="77777777" w:rsidR="00D24350" w:rsidRPr="005B53FF" w:rsidRDefault="00D24350" w:rsidP="005B53FF">
      <w:pPr>
        <w:pStyle w:val="Heading3"/>
      </w:pPr>
      <w:r w:rsidRPr="005B53FF">
        <w:lastRenderedPageBreak/>
        <w:t xml:space="preserve">6.4.1 Ensuring adequacy and suitability of payments – by raising payment levels and matching people to the right payments </w:t>
      </w:r>
    </w:p>
    <w:p w14:paraId="4035282B" w14:textId="77777777" w:rsidR="00D24350" w:rsidRPr="00D24350" w:rsidRDefault="00D24350" w:rsidP="00D24350">
      <w:pPr>
        <w:rPr>
          <w:lang w:val="en-GB"/>
        </w:rPr>
      </w:pPr>
      <w:r w:rsidRPr="00D24350">
        <w:rPr>
          <w:lang w:val="en-GB"/>
        </w:rPr>
        <w:t xml:space="preserve">The Committee has heard from people receiving income support that inadequate payment rates are causing severe financial distress, social exclusion, and poverty. People receiving income support commonly report an inability to cover basic costs, maintain good health, undertake education and training, and obtain paid work. This erodes their dignity and exacerbates existing imbalances of class and power. The starting point, therefore, is to raise income support payments to adequate levels. </w:t>
      </w:r>
    </w:p>
    <w:p w14:paraId="5252D901" w14:textId="77777777" w:rsidR="00D24350" w:rsidRPr="00D24350" w:rsidRDefault="00D24350" w:rsidP="00D24350">
      <w:pPr>
        <w:rPr>
          <w:lang w:val="en-GB"/>
        </w:rPr>
      </w:pPr>
      <w:r w:rsidRPr="00D24350">
        <w:rPr>
          <w:lang w:val="en-GB"/>
        </w:rPr>
        <w:t>In its 2023 Report, the Committee considered the adequacy of the JobSeeker Payment and Rent Assistance. Chapters 2 and 3 above reiterates the Committee’s position on the need to improve the adequacy of payments.</w:t>
      </w:r>
    </w:p>
    <w:p w14:paraId="4F5BDDF8" w14:textId="77777777" w:rsidR="00D24350" w:rsidRPr="00D24350" w:rsidRDefault="00D24350" w:rsidP="00D24350">
      <w:pPr>
        <w:rPr>
          <w:lang w:val="en-GB"/>
        </w:rPr>
      </w:pPr>
      <w:r w:rsidRPr="00D24350">
        <w:rPr>
          <w:lang w:val="en-GB"/>
        </w:rPr>
        <w:t>Another important consideration involves the suitability of payments and the rules and conditions that apply to them. JobSeeker is poorly suited to the needs people without paid work, particularly people who receive the payment long term, people with a partial capacity to work, and people aged over 55.</w:t>
      </w:r>
    </w:p>
    <w:p w14:paraId="6D50BBE8" w14:textId="169EE570" w:rsidR="00D24350" w:rsidRPr="00D24350" w:rsidRDefault="00D24350" w:rsidP="00D24350">
      <w:pPr>
        <w:rPr>
          <w:lang w:val="en-GB"/>
        </w:rPr>
      </w:pPr>
      <w:r w:rsidRPr="00D24350">
        <w:rPr>
          <w:lang w:val="en-GB"/>
        </w:rPr>
        <w:t xml:space="preserve">For many people receiving the payment, no amount of weekly job search efforts, Certificate 1 or 2 level training courses, or referrals to support services with long waiting lists will improve their chances of getting a job. The Committee has heard that to many such people mutual obligations requirements have become soul-crushing. They are also disdained by employers and expensive and wasteful to administer and police. </w:t>
      </w:r>
    </w:p>
    <w:p w14:paraId="0517B867" w14:textId="68D4B69A" w:rsidR="00D24350" w:rsidRPr="00D24350" w:rsidRDefault="00D24350" w:rsidP="00D24350">
      <w:pPr>
        <w:rPr>
          <w:rStyle w:val="SubtleEmphasis"/>
          <w:lang w:val="en-GB"/>
        </w:rPr>
      </w:pPr>
      <w:r w:rsidRPr="005B53FF">
        <w:rPr>
          <w:rStyle w:val="SubtleEmphasis"/>
          <w:lang w:val="en-GB"/>
        </w:rPr>
        <w:t xml:space="preserve">“The Government doesn’t seem to separate or think that it’s important, that our psychological health is of value as well. Not just the fact that we can’t afford to pay bills, but the way we feel is ... I feel like a ghost. I walk around feeling invisible. Why should I feel that way? I shouldn’t feel that way.” </w:t>
      </w:r>
    </w:p>
    <w:p w14:paraId="7A09FA11" w14:textId="436E25A2" w:rsidR="00D24350" w:rsidRPr="00D24350" w:rsidRDefault="00D24350" w:rsidP="00D24350">
      <w:pPr>
        <w:rPr>
          <w:b/>
          <w:bCs/>
          <w:lang w:val="en-GB"/>
        </w:rPr>
      </w:pPr>
      <w:r w:rsidRPr="00D24350">
        <w:rPr>
          <w:b/>
          <w:bCs/>
          <w:lang w:val="en-GB"/>
        </w:rPr>
        <w:t>Wendy, who receives JobSeeker Payment</w:t>
      </w:r>
    </w:p>
    <w:p w14:paraId="6BCB5649" w14:textId="77777777" w:rsidR="00D24350" w:rsidRPr="00D24350" w:rsidRDefault="00D24350" w:rsidP="00D24350">
      <w:pPr>
        <w:rPr>
          <w:lang w:val="en-GB"/>
        </w:rPr>
      </w:pPr>
      <w:r w:rsidRPr="00D24350">
        <w:rPr>
          <w:lang w:val="en-GB"/>
        </w:rPr>
        <w:t xml:space="preserve">A better set of income supports for these groups must be a priority. Sadly, one long-term effect of the system’s unnecessary harshness is repelling people from seeking employment if they move onto a different, more adequate payment in the future. So harmful and demanding are the mutual obligations requirements for people receiving JobSeeker Payment that many people receiving the DSP (for example) shy away from re-entering the job market to avoid losing their eligibility for that payment. </w:t>
      </w:r>
    </w:p>
    <w:p w14:paraId="72BA0EF3" w14:textId="77777777" w:rsidR="00D24350" w:rsidRPr="00D24350" w:rsidRDefault="00D24350" w:rsidP="00D24350">
      <w:pPr>
        <w:rPr>
          <w:b/>
          <w:bCs/>
          <w:lang w:val="en-GB"/>
        </w:rPr>
      </w:pPr>
      <w:r w:rsidRPr="00D24350">
        <w:rPr>
          <w:b/>
          <w:bCs/>
          <w:lang w:val="en-GB"/>
        </w:rPr>
        <w:t>Ensuring dignity and autonomy – by removing stigma</w:t>
      </w:r>
    </w:p>
    <w:p w14:paraId="66DC77C9" w14:textId="77777777" w:rsidR="00D24350" w:rsidRPr="00D24350" w:rsidRDefault="00D24350" w:rsidP="00D24350">
      <w:pPr>
        <w:rPr>
          <w:lang w:val="en-GB"/>
        </w:rPr>
      </w:pPr>
      <w:r w:rsidRPr="00D24350">
        <w:rPr>
          <w:lang w:val="en-GB"/>
        </w:rPr>
        <w:t xml:space="preserve">The Committee heard that enormous stigma still attaches to receiving some income support payments. </w:t>
      </w:r>
    </w:p>
    <w:p w14:paraId="32EC4F6F" w14:textId="77777777" w:rsidR="00D24350" w:rsidRPr="00D24350" w:rsidRDefault="00D24350" w:rsidP="00D24350">
      <w:pPr>
        <w:rPr>
          <w:lang w:val="en-GB"/>
        </w:rPr>
      </w:pPr>
      <w:r w:rsidRPr="00D24350">
        <w:rPr>
          <w:lang w:val="en-GB"/>
        </w:rPr>
        <w:t>The myths of the “deserving” and “undeserving” poor persists. This is socially divisive – labelling people receiving income support as a form of “other” – and affronts the dignity of those so labelled. Maintaining people’s dignity must be an important goal of our social security system.</w:t>
      </w:r>
    </w:p>
    <w:p w14:paraId="29556984" w14:textId="742F0E1B" w:rsidR="00D24350" w:rsidRPr="00D24350" w:rsidRDefault="00D24350" w:rsidP="00D24350">
      <w:pPr>
        <w:rPr>
          <w:lang w:val="en-GB"/>
        </w:rPr>
      </w:pPr>
      <w:r w:rsidRPr="00D24350">
        <w:rPr>
          <w:lang w:val="en-GB"/>
        </w:rPr>
        <w:t>Stigma is overtly and inadvertently in the system. For example, some payment recipients told the Committee they felt bullied and treated like frauds by Employment Services and Centrelink staff. They felt that the public and employers also shared these views and, as a result payment recipients told us that their self-esteem, confidence and mental health suffered.</w:t>
      </w:r>
    </w:p>
    <w:p w14:paraId="3E08B64E" w14:textId="77777777" w:rsidR="005B53FF" w:rsidRPr="005B53FF" w:rsidRDefault="00D24350" w:rsidP="00D24350">
      <w:pPr>
        <w:rPr>
          <w:rStyle w:val="SubtleEmphasis"/>
        </w:rPr>
      </w:pPr>
      <w:r w:rsidRPr="005B53FF">
        <w:rPr>
          <w:rStyle w:val="SubtleEmphasis"/>
          <w:lang w:val="en-GB"/>
        </w:rPr>
        <w:t xml:space="preserve">“Sometimes you reach that point where you feel so helpless that you say, ‘okay, just give me something. Any job. It doesn’t have to be a professional job.’ Yesterday I was applying for a job which was – I keep lowering my standards. I was applying to a job that I knew I could do much better, but still, I just – I apply.”  </w:t>
      </w:r>
    </w:p>
    <w:p w14:paraId="26A5B540" w14:textId="02EB4C54" w:rsidR="00D24350" w:rsidRPr="00D24350" w:rsidRDefault="00D24350" w:rsidP="00D24350">
      <w:pPr>
        <w:rPr>
          <w:b/>
          <w:bCs/>
          <w:lang w:val="en-GB"/>
        </w:rPr>
      </w:pPr>
      <w:r w:rsidRPr="00D24350">
        <w:rPr>
          <w:b/>
          <w:bCs/>
          <w:lang w:val="en-GB"/>
        </w:rPr>
        <w:t>Zenath, who receives</w:t>
      </w:r>
      <w:r w:rsidR="005B53FF" w:rsidRPr="005B53FF">
        <w:rPr>
          <w:b/>
          <w:bCs/>
          <w:lang w:val="en-GB"/>
        </w:rPr>
        <w:t xml:space="preserve"> </w:t>
      </w:r>
      <w:r w:rsidRPr="00D24350">
        <w:rPr>
          <w:b/>
          <w:bCs/>
          <w:lang w:val="en-GB"/>
        </w:rPr>
        <w:t>JobSeeker Payment</w:t>
      </w:r>
    </w:p>
    <w:p w14:paraId="3E271192" w14:textId="77777777" w:rsidR="00D24350" w:rsidRPr="00D24350" w:rsidRDefault="00D24350" w:rsidP="00D24350">
      <w:pPr>
        <w:rPr>
          <w:lang w:val="en-GB"/>
        </w:rPr>
      </w:pPr>
      <w:r w:rsidRPr="00D24350">
        <w:rPr>
          <w:lang w:val="en-GB"/>
        </w:rPr>
        <w:lastRenderedPageBreak/>
        <w:t xml:space="preserve">A good and important place to start is to lead change in the language people use when they discuss social security. ACOSS has worked with people receiving income support to consider particular language and associated connotations that work to enforce feelings of stigma. For example, phrases such as “welfare” and “benefits” could easily be replaced by terms “social security” or “income support”. “The unemployed” can be replaced by “people without paid work” or “people not currently in paid work”. Changing the language used in official documentation and by service provider staff provides a useful way to address the system’s stigmatising culture. </w:t>
      </w:r>
    </w:p>
    <w:p w14:paraId="7BD9E627" w14:textId="77777777" w:rsidR="00D24350" w:rsidRPr="00D24350" w:rsidRDefault="00D24350" w:rsidP="00D24350">
      <w:pPr>
        <w:rPr>
          <w:lang w:val="en-GB"/>
        </w:rPr>
      </w:pPr>
      <w:r w:rsidRPr="00D24350">
        <w:rPr>
          <w:lang w:val="en-GB"/>
        </w:rPr>
        <w:t>This point was also strongly made by Commissioner Holmes in the Report of the Robodebt Royal Commission.</w:t>
      </w:r>
      <w:r w:rsidRPr="00D24350">
        <w:rPr>
          <w:rStyle w:val="Superscript"/>
          <w:lang w:val="en-GB"/>
        </w:rPr>
        <w:footnoteReference w:id="109"/>
      </w:r>
      <w:r w:rsidRPr="00D24350">
        <w:rPr>
          <w:rStyle w:val="Superscript"/>
          <w:lang w:val="en-GB"/>
        </w:rPr>
        <w:t xml:space="preserve"> </w:t>
      </w:r>
    </w:p>
    <w:p w14:paraId="5D313646" w14:textId="7FDEDDF4" w:rsidR="00D24350" w:rsidRDefault="00D24350" w:rsidP="00D24350">
      <w:pPr>
        <w:rPr>
          <w:lang w:val="en-GB"/>
        </w:rPr>
      </w:pPr>
      <w:r w:rsidRPr="00D24350">
        <w:rPr>
          <w:lang w:val="en-GB"/>
        </w:rPr>
        <w:t>Language guides have been developed by many organisations to educate the community, public servants and those in the care sector about language that is inclusive, respectful and promotes dignity for everybody. The Committee calls for such work to be made a priority. The Committee therefore recommends:</w:t>
      </w:r>
    </w:p>
    <w:p w14:paraId="129D64AB" w14:textId="77777777" w:rsidR="007E46BA" w:rsidRPr="007E46BA" w:rsidRDefault="007E46BA" w:rsidP="00023C01">
      <w:pPr>
        <w:shd w:val="clear" w:color="auto" w:fill="FAF1E8" w:themeFill="accent2"/>
        <w:rPr>
          <w:b/>
          <w:bCs/>
        </w:rPr>
      </w:pPr>
      <w:r w:rsidRPr="007E46BA">
        <w:rPr>
          <w:b/>
          <w:bCs/>
        </w:rPr>
        <w:t>Recommendation 18</w:t>
      </w:r>
    </w:p>
    <w:p w14:paraId="3B2BA401" w14:textId="77777777" w:rsidR="007E46BA" w:rsidRPr="007E46BA" w:rsidRDefault="007E46BA" w:rsidP="00023C01">
      <w:pPr>
        <w:shd w:val="clear" w:color="auto" w:fill="FAF1E8" w:themeFill="accent2"/>
        <w:rPr>
          <w:b/>
          <w:bCs/>
        </w:rPr>
      </w:pPr>
      <w:r w:rsidRPr="007E46BA">
        <w:rPr>
          <w:b/>
          <w:bCs/>
        </w:rPr>
        <w:t xml:space="preserve">The Government regularly update language guidance with respect to people receiving income support and that terms like “dole” and “welfare” are replaced in legislation. </w:t>
      </w:r>
    </w:p>
    <w:p w14:paraId="499ABE80" w14:textId="143F8778" w:rsidR="007E46BA" w:rsidRPr="007E46BA" w:rsidRDefault="007E46BA" w:rsidP="00023C01">
      <w:pPr>
        <w:shd w:val="clear" w:color="auto" w:fill="FAF1E8" w:themeFill="accent2"/>
        <w:rPr>
          <w:b/>
          <w:bCs/>
        </w:rPr>
      </w:pPr>
      <w:r w:rsidRPr="007E46BA">
        <w:rPr>
          <w:b/>
          <w:bCs/>
        </w:rPr>
        <w:t>This language guidance should be extended as a requirement for contracted service providers who engage with people receiving income support and incorporated into their performance and contract review framework.</w:t>
      </w:r>
    </w:p>
    <w:p w14:paraId="43FC14BD" w14:textId="77777777" w:rsidR="00D24350" w:rsidRPr="005B53FF" w:rsidRDefault="00D24350" w:rsidP="005B53FF">
      <w:pPr>
        <w:pStyle w:val="Heading3"/>
      </w:pPr>
      <w:r w:rsidRPr="005B53FF">
        <w:t>6.4.2 Giving people dignity and autonomy – by lifting customer service standards</w:t>
      </w:r>
    </w:p>
    <w:p w14:paraId="38B4736C" w14:textId="77777777" w:rsidR="00D24350" w:rsidRPr="00D24350" w:rsidRDefault="00D24350" w:rsidP="00D24350">
      <w:pPr>
        <w:rPr>
          <w:lang w:val="en-GB"/>
        </w:rPr>
      </w:pPr>
      <w:r w:rsidRPr="00D24350">
        <w:rPr>
          <w:lang w:val="en-GB"/>
        </w:rPr>
        <w:t xml:space="preserve">The Committee heard many examples of the administrative burden placed upon people who receive income support along with the unacceptably poor standards of customer service so often provided to them, despite the efforts of many committed and hardworking staff. The burden of poorly designed and overly complex compliance administration offends people’s dignity, robs them of their autonomy, and causes immense frustration and stress. It can also prevent people from receiving their correct or full entitlements. </w:t>
      </w:r>
    </w:p>
    <w:p w14:paraId="7DBCCB20" w14:textId="77777777" w:rsidR="00D24350" w:rsidRPr="00D24350" w:rsidRDefault="00D24350" w:rsidP="00D24350">
      <w:pPr>
        <w:rPr>
          <w:lang w:val="en-GB"/>
        </w:rPr>
      </w:pPr>
      <w:r w:rsidRPr="00D24350">
        <w:rPr>
          <w:lang w:val="en-GB"/>
        </w:rPr>
        <w:t>The three most significant and detrimental burdens mentioned at Committee consultations were: (1) the need to provide evidence of health conditions or disabilities, (2) the time required to engage with Centrelink or Job Service Providers, and (3) the psychological trauma inflicted by the system.</w:t>
      </w:r>
    </w:p>
    <w:p w14:paraId="23B7A603" w14:textId="71DFFC13" w:rsidR="00D24350" w:rsidRPr="00D24350" w:rsidRDefault="00D24350" w:rsidP="00D24350">
      <w:pPr>
        <w:rPr>
          <w:lang w:val="en-GB"/>
        </w:rPr>
      </w:pPr>
      <w:r w:rsidRPr="00D24350">
        <w:rPr>
          <w:lang w:val="en-GB"/>
        </w:rPr>
        <w:t xml:space="preserve">People with significant and chronic health conditions or disabilities told us they were often unable to provide sufficient evidence of their impediments because as they could not afford to see the specialists needed to provide this documentation. Such people can find themselves on JobSeeker Payment when they clearly are incapable of returning fully to the workforce. </w:t>
      </w:r>
    </w:p>
    <w:p w14:paraId="57687696" w14:textId="77777777" w:rsidR="00D24350" w:rsidRPr="005B53FF" w:rsidRDefault="00D24350" w:rsidP="00D24350">
      <w:pPr>
        <w:rPr>
          <w:rStyle w:val="SubtleEmphasis"/>
          <w:lang w:val="en-GB"/>
        </w:rPr>
      </w:pPr>
      <w:r w:rsidRPr="005B53FF">
        <w:rPr>
          <w:rStyle w:val="SubtleEmphasis"/>
          <w:lang w:val="en-GB"/>
        </w:rPr>
        <w:t xml:space="preserve">“Three times, I was cut my Centrelink benefits through the job providers, and on all the same occasions was because they forced me, offered me work that I physically could not do.” </w:t>
      </w:r>
    </w:p>
    <w:p w14:paraId="03834AC6" w14:textId="67EB4BFC" w:rsidR="00D24350" w:rsidRPr="00D24350" w:rsidRDefault="00D24350" w:rsidP="00D24350">
      <w:pPr>
        <w:rPr>
          <w:b/>
          <w:bCs/>
          <w:lang w:val="en-GB"/>
        </w:rPr>
      </w:pPr>
      <w:r w:rsidRPr="00D24350">
        <w:rPr>
          <w:b/>
          <w:bCs/>
          <w:lang w:val="en-GB"/>
        </w:rPr>
        <w:t>Jim, who receives</w:t>
      </w:r>
      <w:r w:rsidR="005B53FF" w:rsidRPr="005B53FF">
        <w:rPr>
          <w:b/>
          <w:bCs/>
          <w:lang w:val="en-GB"/>
        </w:rPr>
        <w:t xml:space="preserve"> </w:t>
      </w:r>
      <w:r w:rsidRPr="00D24350">
        <w:rPr>
          <w:b/>
          <w:bCs/>
          <w:lang w:val="en-GB"/>
        </w:rPr>
        <w:t>JobSeeker Payment</w:t>
      </w:r>
    </w:p>
    <w:p w14:paraId="5ED83FE8" w14:textId="77777777" w:rsidR="00D24350" w:rsidRPr="00D24350" w:rsidRDefault="00D24350" w:rsidP="00D24350">
      <w:pPr>
        <w:rPr>
          <w:lang w:val="en-GB"/>
        </w:rPr>
      </w:pPr>
      <w:r w:rsidRPr="00D24350">
        <w:rPr>
          <w:lang w:val="en-GB"/>
        </w:rPr>
        <w:t xml:space="preserve">The Committee heard that wait times of one, two or even three hours for Centrelink service-related calls are commonplace, with periods of many months where the majority of calls to Centrelink go unanswered. Such time waiting on the phone fails to recognise the realities of parenting, providing care to elderly relatives, or the health and personal care needs of people with disabilities and chronic health conditions. The Committee’s consultations heard numerous examples of people not being able to get through on the phone at all, or being on </w:t>
      </w:r>
      <w:r w:rsidRPr="00D24350">
        <w:rPr>
          <w:lang w:val="en-GB"/>
        </w:rPr>
        <w:lastRenderedPageBreak/>
        <w:t xml:space="preserve">hold for hours, and either having to hang up or miss their turn when they were finally connected as they were attending to another matter. </w:t>
      </w:r>
    </w:p>
    <w:p w14:paraId="2D0169B8" w14:textId="48CEFB2E" w:rsidR="00D24350" w:rsidRPr="00D24350" w:rsidRDefault="00D24350" w:rsidP="00D24350">
      <w:pPr>
        <w:rPr>
          <w:rStyle w:val="SubtleEmphasis"/>
          <w:lang w:val="en-GB"/>
        </w:rPr>
      </w:pPr>
      <w:r w:rsidRPr="005B53FF">
        <w:rPr>
          <w:rStyle w:val="SubtleEmphasis"/>
          <w:lang w:val="en-GB"/>
        </w:rPr>
        <w:t>“There’s been like so many days like I’ve been calling them [Centrelink], and I was waiting for about 1 hour on the line […] just listening to the music that they play in the background. So, after an hour you hang up and you don’t get any response, just wasting your time.”</w:t>
      </w:r>
    </w:p>
    <w:p w14:paraId="2A417E94" w14:textId="20DDAEAB" w:rsidR="00D24350" w:rsidRPr="00D24350" w:rsidRDefault="00D24350" w:rsidP="00D24350">
      <w:pPr>
        <w:rPr>
          <w:b/>
          <w:bCs/>
          <w:lang w:val="en-GB"/>
        </w:rPr>
      </w:pPr>
      <w:r w:rsidRPr="00D24350">
        <w:rPr>
          <w:b/>
          <w:bCs/>
          <w:lang w:val="en-GB"/>
        </w:rPr>
        <w:t>Adnan, who receives Austudy</w:t>
      </w:r>
    </w:p>
    <w:p w14:paraId="304BA829" w14:textId="44E9673A" w:rsidR="00D24350" w:rsidRPr="005B53FF" w:rsidRDefault="00D24350" w:rsidP="00D24350">
      <w:pPr>
        <w:rPr>
          <w:rStyle w:val="SubtleEmphasis"/>
          <w:lang w:val="en-GB"/>
        </w:rPr>
      </w:pPr>
      <w:r w:rsidRPr="005B53FF">
        <w:rPr>
          <w:rStyle w:val="SubtleEmphasis"/>
          <w:lang w:val="en-GB"/>
        </w:rPr>
        <w:t xml:space="preserve">“Never call Centrelink – you don’t get what you want. You always have to go in person.” </w:t>
      </w:r>
    </w:p>
    <w:p w14:paraId="617EE850" w14:textId="6A695E8C" w:rsidR="00D24350" w:rsidRPr="00D24350" w:rsidRDefault="005B53FF" w:rsidP="00D24350">
      <w:pPr>
        <w:rPr>
          <w:b/>
          <w:bCs/>
          <w:lang w:val="en-GB"/>
        </w:rPr>
      </w:pPr>
      <w:r w:rsidRPr="005B53FF">
        <w:rPr>
          <w:b/>
          <w:bCs/>
          <w:lang w:val="en-GB"/>
        </w:rPr>
        <w:t>B</w:t>
      </w:r>
      <w:r w:rsidR="00D24350" w:rsidRPr="00D24350">
        <w:rPr>
          <w:b/>
          <w:bCs/>
          <w:lang w:val="en-GB"/>
        </w:rPr>
        <w:t>ahini, who receives Parenting Payment Single</w:t>
      </w:r>
    </w:p>
    <w:p w14:paraId="5CA32079" w14:textId="77777777" w:rsidR="00D24350" w:rsidRPr="00D24350" w:rsidRDefault="00D24350" w:rsidP="00D24350">
      <w:pPr>
        <w:rPr>
          <w:lang w:val="en-GB"/>
        </w:rPr>
      </w:pPr>
      <w:r w:rsidRPr="00D24350">
        <w:rPr>
          <w:lang w:val="en-GB"/>
        </w:rPr>
        <w:t>Call data for Centrelink services from 1 July – 31 August 2023 revealed 2.8 million calls were met with a congestion message, versus 1.8 million calls answered.</w:t>
      </w:r>
      <w:r w:rsidRPr="00D24350">
        <w:rPr>
          <w:rStyle w:val="Superscript"/>
          <w:lang w:val="en-GB"/>
        </w:rPr>
        <w:footnoteReference w:id="110"/>
      </w:r>
    </w:p>
    <w:p w14:paraId="7921B2DF" w14:textId="77777777" w:rsidR="00D24350" w:rsidRPr="00D24350" w:rsidRDefault="00D24350" w:rsidP="00D24350">
      <w:pPr>
        <w:rPr>
          <w:lang w:val="en-GB"/>
        </w:rPr>
      </w:pPr>
      <w:r w:rsidRPr="00D24350">
        <w:rPr>
          <w:lang w:val="en-GB"/>
        </w:rPr>
        <w:t>The Committee is of the view that such poor levels of customer service would not be tolerated in almost any other field of business or public administration. Brisbane woman Anna rang Centrelink on her day off on 13 October 2023 to ask for information about a system-generated letter sent to her sister who receives the DSP. After over two hours on hold in the queue it took a further hour to find someone who could answer the question as to why the letter had been sent and clarify what Anna’s sister needed to do in response.</w:t>
      </w:r>
    </w:p>
    <w:p w14:paraId="2728E25F" w14:textId="3AEB6B4B" w:rsidR="00D24350" w:rsidRPr="00D24350" w:rsidRDefault="00D24350" w:rsidP="00D24350">
      <w:pPr>
        <w:rPr>
          <w:lang w:val="en-GB"/>
        </w:rPr>
      </w:pPr>
      <w:r w:rsidRPr="00D24350">
        <w:rPr>
          <w:lang w:val="en-GB"/>
        </w:rPr>
        <w:t xml:space="preserve">Many said that rather than call they would instead go to a Centrelink branch, involving additional transport costs some struggled to afford. Once there, people reported being told they could only ask one question per visit or needed to phone Centrelink because their question required specialist advice. </w:t>
      </w:r>
    </w:p>
    <w:p w14:paraId="0376B1E6" w14:textId="747FFF00" w:rsidR="00D24350" w:rsidRPr="00D24350" w:rsidRDefault="00D24350" w:rsidP="00D24350">
      <w:pPr>
        <w:rPr>
          <w:rStyle w:val="SubtleEmphasis"/>
          <w:lang w:val="en-GB"/>
        </w:rPr>
      </w:pPr>
      <w:r w:rsidRPr="005B53FF">
        <w:rPr>
          <w:rStyle w:val="SubtleEmphasis"/>
          <w:lang w:val="en-GB"/>
        </w:rPr>
        <w:t xml:space="preserve">“As soon as it involves me going into Centrelink [..] you have to wait hours on end, and then you get in, and they don’t listen to you fully, and then they do something wrong, and then they try and put the blame on you.” </w:t>
      </w:r>
    </w:p>
    <w:p w14:paraId="64A42EBD" w14:textId="6E0298D2" w:rsidR="00D24350" w:rsidRPr="00D24350" w:rsidRDefault="00D24350" w:rsidP="00D24350">
      <w:pPr>
        <w:rPr>
          <w:b/>
          <w:bCs/>
          <w:lang w:val="en-GB"/>
        </w:rPr>
      </w:pPr>
      <w:r w:rsidRPr="00D24350">
        <w:rPr>
          <w:b/>
          <w:bCs/>
          <w:lang w:val="en-GB"/>
        </w:rPr>
        <w:t>Georgia, who receives JobSeeker Payment</w:t>
      </w:r>
    </w:p>
    <w:p w14:paraId="09A1F589" w14:textId="77777777" w:rsidR="00D24350" w:rsidRPr="00D24350" w:rsidRDefault="00D24350" w:rsidP="00D24350">
      <w:pPr>
        <w:rPr>
          <w:lang w:val="en-GB"/>
        </w:rPr>
      </w:pPr>
      <w:r w:rsidRPr="00D24350">
        <w:rPr>
          <w:lang w:val="en-GB"/>
        </w:rPr>
        <w:t xml:space="preserve">These examples demonstrate that the social security system is failing important aspects of its obligations to its users. Indeed, an academic literature has arisen over the administrative burdens that face people using the NDIS, claiming the DSP, trying to get Child Support and people subject to income quarantining. </w:t>
      </w:r>
    </w:p>
    <w:p w14:paraId="25553953" w14:textId="77777777" w:rsidR="00D24350" w:rsidRPr="00D24350" w:rsidRDefault="00D24350" w:rsidP="00D24350">
      <w:pPr>
        <w:rPr>
          <w:lang w:val="en-GB"/>
        </w:rPr>
      </w:pPr>
      <w:r w:rsidRPr="00D24350">
        <w:rPr>
          <w:lang w:val="en-GB"/>
        </w:rPr>
        <w:t>Some suspect these burdens are partly to create a disincentive to make a claim – but deliberate or not, they are onerous and discouraging in the extreme. Crucially, for people looking for paid work, they take time away from searching for a job or making oneself job ready.</w:t>
      </w:r>
    </w:p>
    <w:p w14:paraId="5184F39A" w14:textId="77777777" w:rsidR="00D24350" w:rsidRPr="00D24350" w:rsidRDefault="00D24350" w:rsidP="00D24350">
      <w:pPr>
        <w:rPr>
          <w:lang w:val="en-GB"/>
        </w:rPr>
      </w:pPr>
      <w:r w:rsidRPr="00D24350">
        <w:rPr>
          <w:lang w:val="en-GB"/>
        </w:rPr>
        <w:t xml:space="preserve"> The Committee’s consultations were replete with examples of people avoiding engaging with Centrelink or Job Service Providers due to the psychological harm it causes. </w:t>
      </w:r>
    </w:p>
    <w:p w14:paraId="74823B9A" w14:textId="77777777" w:rsidR="00D24350" w:rsidRPr="00D24350" w:rsidRDefault="00D24350" w:rsidP="00D24350">
      <w:pPr>
        <w:rPr>
          <w:lang w:val="en-GB"/>
        </w:rPr>
      </w:pPr>
      <w:r w:rsidRPr="00D24350">
        <w:rPr>
          <w:lang w:val="en-GB"/>
        </w:rPr>
        <w:t>While many consultation participants report that some service providers went to great lengths to help, others said they felt the system staff were under skilled or overly suspicious and pre-disposed to suspect wrongdoing. This was most frequently observed about JobSeeker provider relationships but also related to reported experiences with Centrelink staff.</w:t>
      </w:r>
    </w:p>
    <w:p w14:paraId="730707D0" w14:textId="1D886637" w:rsidR="00D24350" w:rsidRPr="005B53FF" w:rsidRDefault="00D24350" w:rsidP="00D24350">
      <w:pPr>
        <w:rPr>
          <w:rStyle w:val="SubtleEmphasis"/>
          <w:lang w:val="en-GB"/>
        </w:rPr>
      </w:pPr>
      <w:r w:rsidRPr="005B53FF">
        <w:rPr>
          <w:rStyle w:val="SubtleEmphasis"/>
          <w:lang w:val="en-GB"/>
        </w:rPr>
        <w:t xml:space="preserve">“I’ve had to repeat myself a lot. Even with the new providers, like the people, are very, very nice, but the training and just systems that they’re dealing with seems completely either outdated or very poorly made.” </w:t>
      </w:r>
    </w:p>
    <w:p w14:paraId="6FC3ADD9" w14:textId="0FD6C447" w:rsidR="00D24350" w:rsidRPr="00D24350" w:rsidRDefault="00D24350" w:rsidP="00D24350">
      <w:pPr>
        <w:rPr>
          <w:b/>
          <w:bCs/>
          <w:lang w:val="en-GB"/>
        </w:rPr>
      </w:pPr>
      <w:r w:rsidRPr="00D24350">
        <w:rPr>
          <w:b/>
          <w:bCs/>
          <w:lang w:val="en-GB"/>
        </w:rPr>
        <w:t>Tobias, who receives JobSeeker Payment</w:t>
      </w:r>
    </w:p>
    <w:p w14:paraId="40F13E44" w14:textId="42D1BA4D" w:rsidR="00D24350" w:rsidRPr="00D24350" w:rsidRDefault="00D24350" w:rsidP="00D24350">
      <w:pPr>
        <w:rPr>
          <w:lang w:val="en-GB"/>
        </w:rPr>
      </w:pPr>
      <w:r w:rsidRPr="00D24350">
        <w:rPr>
          <w:lang w:val="en-GB"/>
        </w:rPr>
        <w:lastRenderedPageBreak/>
        <w:t xml:space="preserve">The psychological damage done to people who rely on our social security system results in a great cost to our economy. Taking the dignity and autonomy of users into account as we design a better system will improve it immensely. </w:t>
      </w:r>
    </w:p>
    <w:p w14:paraId="36DE852C" w14:textId="02E4EA6D" w:rsidR="00D24350" w:rsidRPr="00D24350" w:rsidRDefault="00D24350" w:rsidP="00D24350">
      <w:pPr>
        <w:rPr>
          <w:rStyle w:val="SubtleEmphasis"/>
          <w:lang w:val="en-GB"/>
        </w:rPr>
      </w:pPr>
      <w:r w:rsidRPr="005B53FF">
        <w:rPr>
          <w:rStyle w:val="SubtleEmphasis"/>
          <w:lang w:val="en-GB"/>
        </w:rPr>
        <w:t xml:space="preserve">“And so, after about 6 months of just applying for jobs, not getting anything, it really took a toll on my mental health, and just really demotivated me, causing me to isolate myself.” </w:t>
      </w:r>
    </w:p>
    <w:p w14:paraId="11A7ADB3" w14:textId="230211E5" w:rsidR="00D24350" w:rsidRPr="00D24350" w:rsidRDefault="00D24350" w:rsidP="00D24350">
      <w:pPr>
        <w:rPr>
          <w:b/>
          <w:bCs/>
          <w:lang w:val="en-GB"/>
        </w:rPr>
      </w:pPr>
      <w:r w:rsidRPr="00D24350">
        <w:rPr>
          <w:b/>
          <w:bCs/>
          <w:lang w:val="en-GB"/>
        </w:rPr>
        <w:t>Sam, who receives JobSeeker Payment</w:t>
      </w:r>
    </w:p>
    <w:p w14:paraId="68BF65CB" w14:textId="0ECD24BB" w:rsidR="00D24350" w:rsidRPr="00D24350" w:rsidRDefault="00D24350" w:rsidP="00D24350">
      <w:pPr>
        <w:rPr>
          <w:rStyle w:val="SubtleEmphasis"/>
          <w:lang w:val="en-GB"/>
        </w:rPr>
      </w:pPr>
      <w:r w:rsidRPr="005B53FF">
        <w:rPr>
          <w:rStyle w:val="SubtleEmphasis"/>
          <w:lang w:val="en-GB"/>
        </w:rPr>
        <w:t>“They [Centrelink staff] do not care how they speak. They will talk very negatively. They’ll make comments. Essentially, they will bully the people they help, because there’s nobody around to be like, ‘That’s not appropriate. That’s not okay.’”</w:t>
      </w:r>
      <w:r w:rsidRPr="00D24350">
        <w:rPr>
          <w:rStyle w:val="SubtleEmphasis"/>
          <w:lang w:val="en-GB"/>
        </w:rPr>
        <w:t xml:space="preserve"> </w:t>
      </w:r>
    </w:p>
    <w:p w14:paraId="11B11EAD" w14:textId="6F06C816" w:rsidR="00D24350" w:rsidRPr="00D24350" w:rsidRDefault="00D24350" w:rsidP="00D24350">
      <w:pPr>
        <w:rPr>
          <w:b/>
          <w:bCs/>
          <w:lang w:val="en-GB"/>
        </w:rPr>
      </w:pPr>
      <w:r w:rsidRPr="00D24350">
        <w:rPr>
          <w:b/>
          <w:bCs/>
          <w:lang w:val="en-GB"/>
        </w:rPr>
        <w:t>Kiara, who receives Austudy</w:t>
      </w:r>
    </w:p>
    <w:p w14:paraId="52F284F9" w14:textId="77777777" w:rsidR="00D24350" w:rsidRPr="00D24350" w:rsidRDefault="00D24350" w:rsidP="00D24350">
      <w:pPr>
        <w:rPr>
          <w:lang w:val="en-GB"/>
        </w:rPr>
      </w:pPr>
      <w:r w:rsidRPr="00D24350">
        <w:rPr>
          <w:lang w:val="en-GB"/>
        </w:rPr>
        <w:t xml:space="preserve">The Robodebt Royal Commission made several findings regarding the need to lift customer service standards which the Committee strongly supports. These include: </w:t>
      </w:r>
    </w:p>
    <w:p w14:paraId="3CE43227" w14:textId="77777777" w:rsidR="00D24350" w:rsidRPr="00D24350" w:rsidRDefault="00D24350" w:rsidP="00D24350">
      <w:pPr>
        <w:rPr>
          <w:lang w:val="en-GB"/>
        </w:rPr>
      </w:pPr>
      <w:r w:rsidRPr="00D24350">
        <w:rPr>
          <w:b/>
          <w:bCs/>
          <w:lang w:val="en-GB"/>
        </w:rPr>
        <w:t>Recommendation 10.1: Design policies and processes with emphasis on the people they are meant to serve</w:t>
      </w:r>
      <w:r w:rsidRPr="00D24350">
        <w:rPr>
          <w:lang w:val="en-GB"/>
        </w:rPr>
        <w:br/>
        <w:t>Services Australia design its policies and processes with a primary emphasis on the recipients it is meant to serve. That should entail:</w:t>
      </w:r>
    </w:p>
    <w:p w14:paraId="1964D903" w14:textId="77777777" w:rsidR="00D24350" w:rsidRPr="005B53FF" w:rsidRDefault="00D24350" w:rsidP="005B53FF">
      <w:pPr>
        <w:pStyle w:val="ListBullet"/>
      </w:pPr>
      <w:r w:rsidRPr="005B53FF">
        <w:t>avoiding language and conduct which reinforces feelings of stigma and shame associated with the receipt of Government support when it is needed</w:t>
      </w:r>
    </w:p>
    <w:p w14:paraId="4CE60F92" w14:textId="77777777" w:rsidR="00D24350" w:rsidRPr="005B53FF" w:rsidRDefault="00D24350" w:rsidP="005B53FF">
      <w:pPr>
        <w:pStyle w:val="ListBullet"/>
      </w:pPr>
      <w:r w:rsidRPr="005B53FF">
        <w:t>facilitating easy and efficient engagement with options of online, in person and telephone communication which is sensitive to the particular circumstances of the customer cohort, including itinerant lifestyles, lack of access to technology, lack of digital literacy and the particular difficulties rural and remote living</w:t>
      </w:r>
    </w:p>
    <w:p w14:paraId="30F038D2" w14:textId="77777777" w:rsidR="00D24350" w:rsidRPr="005B53FF" w:rsidRDefault="00D24350" w:rsidP="005B53FF">
      <w:pPr>
        <w:pStyle w:val="ListBullet"/>
      </w:pPr>
      <w:r w:rsidRPr="005B53FF">
        <w:t>explaining processes in clear terms and plain language in communication to customers…</w:t>
      </w:r>
    </w:p>
    <w:p w14:paraId="0AC08F88" w14:textId="77777777" w:rsidR="00D24350" w:rsidRPr="00D24350" w:rsidRDefault="00D24350" w:rsidP="00D24350">
      <w:pPr>
        <w:rPr>
          <w:lang w:val="en-GB"/>
        </w:rPr>
      </w:pPr>
      <w:r w:rsidRPr="00D24350">
        <w:rPr>
          <w:b/>
          <w:bCs/>
          <w:lang w:val="en-GB"/>
        </w:rPr>
        <w:t>Recommendation 23.3: Fresh focus on “customer service”</w:t>
      </w:r>
      <w:r w:rsidRPr="00D24350">
        <w:rPr>
          <w:lang w:val="en-GB"/>
        </w:rPr>
        <w:br/>
        <w:t>Services Australia and DSS should introduce mechanisms to ensure that all new programs and schemes are developed with a customer centric focus, and that specific testing is done to ensure that recipients are at the forefront of each new initiative.</w:t>
      </w:r>
    </w:p>
    <w:p w14:paraId="184F1393" w14:textId="77777777" w:rsidR="00D24350" w:rsidRPr="00D24350" w:rsidRDefault="00D24350" w:rsidP="00D24350">
      <w:pPr>
        <w:rPr>
          <w:lang w:val="en-GB"/>
        </w:rPr>
      </w:pPr>
      <w:r w:rsidRPr="00D24350">
        <w:rPr>
          <w:b/>
          <w:bCs/>
          <w:lang w:val="en-GB"/>
        </w:rPr>
        <w:t>Recommendation 23.5: “Knowledge College”</w:t>
      </w:r>
      <w:r w:rsidRPr="00D24350">
        <w:rPr>
          <w:lang w:val="en-GB"/>
        </w:rPr>
        <w:br/>
        <w:t>The Commonwealth should explore the feasibility of establishing an internal college within Services Australia to provide training and development to staff linked to the skills and knowledge required to undertake their duties.</w:t>
      </w:r>
    </w:p>
    <w:p w14:paraId="2CAEA69A" w14:textId="77777777" w:rsidR="00D24350" w:rsidRPr="00D24350" w:rsidRDefault="00D24350" w:rsidP="00D24350">
      <w:pPr>
        <w:rPr>
          <w:lang w:val="en-GB"/>
        </w:rPr>
      </w:pPr>
      <w:r w:rsidRPr="00D24350">
        <w:rPr>
          <w:b/>
          <w:bCs/>
          <w:lang w:val="en-GB"/>
        </w:rPr>
        <w:t>Recommendation 23.6: Front-line Service</w:t>
      </w:r>
      <w:r w:rsidRPr="00D24350">
        <w:rPr>
          <w:lang w:val="en-GB"/>
        </w:rPr>
        <w:br/>
        <w:t>SES staff at Services Australia should spend some time in a front-line service delivery role and with other community partnerships.</w:t>
      </w:r>
    </w:p>
    <w:p w14:paraId="433A1E43" w14:textId="77777777" w:rsidR="00D24350" w:rsidRPr="00D24350" w:rsidRDefault="00D24350" w:rsidP="00D24350">
      <w:pPr>
        <w:rPr>
          <w:lang w:val="en-GB"/>
        </w:rPr>
      </w:pPr>
      <w:r w:rsidRPr="00D24350">
        <w:rPr>
          <w:lang w:val="en-GB"/>
        </w:rPr>
        <w:t xml:space="preserve">The Committee notes and welcomes the Government’s recent investment in increased staffing and better training for Services Australia staff as part of its response to the Royal Commission’s recommendations. The Committee is of the view that fully implementing the Royal Commissioner’s recommendations to an agreed timetable would be a valuable first step in lifting customer service standards across the system. </w:t>
      </w:r>
    </w:p>
    <w:p w14:paraId="27A7D2A6" w14:textId="77777777" w:rsidR="00D24350" w:rsidRPr="005B53FF" w:rsidRDefault="00D24350" w:rsidP="005B53FF">
      <w:pPr>
        <w:pStyle w:val="Heading3"/>
      </w:pPr>
      <w:r w:rsidRPr="005B53FF">
        <w:t>6.4.3 Ensuring equity and fairness – by abolishing excessively punitive approaches and reducing payment delays</w:t>
      </w:r>
    </w:p>
    <w:p w14:paraId="6C48E9C4" w14:textId="77777777" w:rsidR="00D24350" w:rsidRPr="00D24350" w:rsidRDefault="00D24350" w:rsidP="00D24350">
      <w:pPr>
        <w:rPr>
          <w:b/>
          <w:bCs/>
          <w:lang w:val="en-GB"/>
        </w:rPr>
      </w:pPr>
      <w:r w:rsidRPr="00D24350">
        <w:rPr>
          <w:b/>
          <w:bCs/>
          <w:lang w:val="en-GB"/>
        </w:rPr>
        <w:t>Excessively punitive approaches</w:t>
      </w:r>
    </w:p>
    <w:p w14:paraId="443CFEA3" w14:textId="77777777" w:rsidR="00D24350" w:rsidRPr="00D24350" w:rsidRDefault="00D24350" w:rsidP="00D24350">
      <w:pPr>
        <w:rPr>
          <w:lang w:val="en-GB"/>
        </w:rPr>
      </w:pPr>
      <w:r w:rsidRPr="00D24350">
        <w:rPr>
          <w:lang w:val="en-GB"/>
        </w:rPr>
        <w:t xml:space="preserve">Our social security system needs rules, and these rules need to be enforced. However, over time some aspects of the social security system have become excessively punitive in their approach to participation and activation regimes and their accompanying reporting, surveillance and compliance processes. The Committee heard how the excesses of these regimes drive many hours of often low-value activity and divert energies from doing things </w:t>
      </w:r>
      <w:r w:rsidRPr="00D24350">
        <w:rPr>
          <w:lang w:val="en-GB"/>
        </w:rPr>
        <w:lastRenderedPageBreak/>
        <w:t xml:space="preserve">that might actually help people get a job, attend to their health needs, or look after their loved ones. </w:t>
      </w:r>
    </w:p>
    <w:p w14:paraId="73018569" w14:textId="77777777" w:rsidR="00D24350" w:rsidRPr="00D24350" w:rsidRDefault="00D24350" w:rsidP="00D24350">
      <w:pPr>
        <w:rPr>
          <w:lang w:val="en-GB"/>
        </w:rPr>
      </w:pPr>
      <w:r w:rsidRPr="00D24350">
        <w:rPr>
          <w:lang w:val="en-GB"/>
        </w:rPr>
        <w:t>The Committee heard that failure to comply leads to payment suspensions at a scale totally out of proportion with any analysis of malfeasance within the system. The recent Parliamentary Inquiry into Workforce Australia reported that 70% of people in the Workforce Australia system had been subject to a payment suspension despite no evidence that such a large number of people sought to cheat the system.</w:t>
      </w:r>
      <w:r w:rsidRPr="00D24350">
        <w:rPr>
          <w:rStyle w:val="Superscript"/>
          <w:lang w:val="en-GB"/>
        </w:rPr>
        <w:footnoteReference w:id="111"/>
      </w:r>
    </w:p>
    <w:p w14:paraId="5A937204" w14:textId="6F9C26D8" w:rsidR="00D24350" w:rsidRPr="00D24350" w:rsidRDefault="00D24350" w:rsidP="00D24350">
      <w:pPr>
        <w:rPr>
          <w:lang w:val="en-GB"/>
        </w:rPr>
      </w:pPr>
      <w:r w:rsidRPr="00D24350">
        <w:rPr>
          <w:lang w:val="en-GB"/>
        </w:rPr>
        <w:t>The Committee heard that the experience of compliance activity itself is often harmful, especially where people subjected to the compliance activity have heightened vulnerabilities. This harm was extensively examined by the Robodebt Royal Commission, which recommended that:</w:t>
      </w:r>
    </w:p>
    <w:p w14:paraId="0E272A83" w14:textId="548B1F08" w:rsidR="00D24350" w:rsidRPr="00D24350" w:rsidRDefault="00D24350" w:rsidP="00D24350">
      <w:pPr>
        <w:rPr>
          <w:lang w:val="en-GB"/>
        </w:rPr>
      </w:pPr>
      <w:r w:rsidRPr="00D24350">
        <w:rPr>
          <w:rStyle w:val="SubtleEmphasis"/>
          <w:lang w:val="en-GB"/>
        </w:rPr>
        <w:t>“Services Australia should incorporate a process in the design of compliance programs to consider and document the categories of vulnerable recipients who may be affected by the program, and how those recipients will be dealt with. Services Australia should consult stakeholders (including peak advocacy bodies) as part of this process to ensure that adequate provision is made to accommodate vulnerable recipients who may encounter particular difficulties engaging with the program.</w:t>
      </w:r>
      <w:r w:rsidRPr="00D24350">
        <w:rPr>
          <w:lang w:val="en-GB"/>
        </w:rPr>
        <w:t>”</w:t>
      </w:r>
      <w:r w:rsidRPr="00D24350">
        <w:rPr>
          <w:rStyle w:val="Superscript"/>
          <w:lang w:val="en-GB"/>
        </w:rPr>
        <w:footnoteReference w:id="112"/>
      </w:r>
      <w:r w:rsidRPr="00D24350">
        <w:rPr>
          <w:rStyle w:val="Superscript"/>
          <w:lang w:val="en-GB"/>
        </w:rPr>
        <w:t xml:space="preserve"> </w:t>
      </w:r>
    </w:p>
    <w:p w14:paraId="0F969EDD" w14:textId="77777777" w:rsidR="00D24350" w:rsidRPr="00D24350" w:rsidRDefault="00D24350" w:rsidP="00D24350">
      <w:pPr>
        <w:rPr>
          <w:lang w:val="en-GB"/>
        </w:rPr>
      </w:pPr>
      <w:r w:rsidRPr="00D24350">
        <w:rPr>
          <w:lang w:val="en-GB"/>
        </w:rPr>
        <w:t>Unsurprisingly perhaps, the burden of this punitive culture tends to fall disproportionately on certain groups of people, including:</w:t>
      </w:r>
    </w:p>
    <w:p w14:paraId="20592B66" w14:textId="77777777" w:rsidR="00D24350" w:rsidRPr="005B53FF" w:rsidRDefault="00D24350" w:rsidP="005B53FF">
      <w:pPr>
        <w:pStyle w:val="ListBullet"/>
      </w:pPr>
      <w:r w:rsidRPr="005B53FF">
        <w:t>First Nations people</w:t>
      </w:r>
    </w:p>
    <w:p w14:paraId="17E2BADA" w14:textId="77777777" w:rsidR="00D24350" w:rsidRPr="005B53FF" w:rsidRDefault="00D24350" w:rsidP="005B53FF">
      <w:pPr>
        <w:pStyle w:val="ListBullet"/>
      </w:pPr>
      <w:r w:rsidRPr="005B53FF">
        <w:t>Single parents</w:t>
      </w:r>
    </w:p>
    <w:p w14:paraId="70270C04" w14:textId="77777777" w:rsidR="00D24350" w:rsidRPr="005B53FF" w:rsidRDefault="00D24350" w:rsidP="005B53FF">
      <w:pPr>
        <w:pStyle w:val="ListBullet"/>
      </w:pPr>
      <w:r w:rsidRPr="005B53FF">
        <w:t>People with chronic health conditions</w:t>
      </w:r>
    </w:p>
    <w:p w14:paraId="2504F8F4" w14:textId="77777777" w:rsidR="00D24350" w:rsidRPr="005B53FF" w:rsidRDefault="00D24350" w:rsidP="005B53FF">
      <w:pPr>
        <w:pStyle w:val="ListBullet"/>
      </w:pPr>
      <w:r w:rsidRPr="005B53FF">
        <w:t>Young people</w:t>
      </w:r>
    </w:p>
    <w:p w14:paraId="4ACF7A16" w14:textId="77777777" w:rsidR="00D24350" w:rsidRPr="005B53FF" w:rsidRDefault="00D24350" w:rsidP="005B53FF">
      <w:pPr>
        <w:pStyle w:val="ListBullet"/>
      </w:pPr>
      <w:r w:rsidRPr="005B53FF">
        <w:t>People with caring responsibilities.</w:t>
      </w:r>
    </w:p>
    <w:p w14:paraId="148B88D8" w14:textId="77777777" w:rsidR="00D24350" w:rsidRPr="00D24350" w:rsidRDefault="00D24350" w:rsidP="00D24350">
      <w:pPr>
        <w:rPr>
          <w:lang w:val="en-GB"/>
        </w:rPr>
      </w:pPr>
      <w:r w:rsidRPr="00D24350">
        <w:rPr>
          <w:lang w:val="en-GB"/>
        </w:rPr>
        <w:t>The Committee is of the view that the Government should embark upon a sustained campaign to rethink compliance regimes across the social security system and move away from excessively harsh approaches. Priorities for reform should be informed by people receiving income support who live with the consequences of these approaches. Accordingly, the Committee makes two recommendations:</w:t>
      </w:r>
    </w:p>
    <w:p w14:paraId="546DC6E3" w14:textId="77777777" w:rsidR="00B04945" w:rsidRPr="00B04945" w:rsidRDefault="00B04945" w:rsidP="00023C01">
      <w:pPr>
        <w:shd w:val="clear" w:color="auto" w:fill="FAF1E8" w:themeFill="accent2"/>
        <w:rPr>
          <w:b/>
          <w:bCs/>
        </w:rPr>
      </w:pPr>
      <w:r w:rsidRPr="00B04945">
        <w:rPr>
          <w:b/>
          <w:bCs/>
        </w:rPr>
        <w:t>Recommendation 19</w:t>
      </w:r>
    </w:p>
    <w:p w14:paraId="1273E4E2" w14:textId="77777777" w:rsidR="00B04945" w:rsidRPr="00B04945" w:rsidRDefault="00B04945" w:rsidP="00023C01">
      <w:pPr>
        <w:shd w:val="clear" w:color="auto" w:fill="FAF1E8" w:themeFill="accent2"/>
        <w:rPr>
          <w:b/>
          <w:bCs/>
        </w:rPr>
      </w:pPr>
      <w:r w:rsidRPr="00B04945">
        <w:rPr>
          <w:b/>
          <w:bCs/>
        </w:rPr>
        <w:t xml:space="preserve">The Government reform aspects of the compulsory activation and compliance framework within the social security system that are at odds with its proposed mandate to support economic inclusion and wellbeing. </w:t>
      </w:r>
    </w:p>
    <w:p w14:paraId="03207398" w14:textId="77777777" w:rsidR="00B04945" w:rsidRPr="00B04945" w:rsidRDefault="00B04945" w:rsidP="00023C01">
      <w:pPr>
        <w:shd w:val="clear" w:color="auto" w:fill="FAF1E8" w:themeFill="accent2"/>
        <w:rPr>
          <w:b/>
          <w:bCs/>
        </w:rPr>
      </w:pPr>
      <w:r w:rsidRPr="00B04945">
        <w:rPr>
          <w:b/>
          <w:bCs/>
        </w:rPr>
        <w:t>This will require the systematic improvement of many practices over time. A priority focus should be on rethinking processes and rules that risk harmful impacts on people who are more at risk- such as people with long-term barriers to employment who rely on the JobSeeker Payment. The Government should establish co-design, feedback and consultation structures with people directly affected and other stakeholders to inform the program of reform.</w:t>
      </w:r>
    </w:p>
    <w:p w14:paraId="7C180F32" w14:textId="77777777" w:rsidR="00B04945" w:rsidRPr="00B04945" w:rsidRDefault="00B04945" w:rsidP="00023C01">
      <w:pPr>
        <w:shd w:val="clear" w:color="auto" w:fill="FAF1E8" w:themeFill="accent2"/>
        <w:rPr>
          <w:b/>
          <w:bCs/>
        </w:rPr>
      </w:pPr>
      <w:r w:rsidRPr="00B04945">
        <w:rPr>
          <w:b/>
          <w:bCs/>
        </w:rPr>
        <w:t>Recommendation 20</w:t>
      </w:r>
    </w:p>
    <w:p w14:paraId="420BFACF" w14:textId="77777777" w:rsidR="00B04945" w:rsidRPr="00B04945" w:rsidRDefault="00B04945" w:rsidP="00023C01">
      <w:pPr>
        <w:shd w:val="clear" w:color="auto" w:fill="FAF1E8" w:themeFill="accent2"/>
        <w:rPr>
          <w:b/>
          <w:bCs/>
        </w:rPr>
      </w:pPr>
      <w:r w:rsidRPr="00B04945">
        <w:rPr>
          <w:b/>
          <w:bCs/>
        </w:rPr>
        <w:t>That people with current, direct experience of receiving income support and/or economic exclusion be members of the Economic Inclusion Advisory Committee. Attention must be given to ensuring there is sufficient representation of different experiences in the Membership.</w:t>
      </w:r>
    </w:p>
    <w:p w14:paraId="5FBF18C9" w14:textId="784A2FC6" w:rsidR="00D24350" w:rsidRPr="00B04945" w:rsidRDefault="00D24350" w:rsidP="00B04945">
      <w:pPr>
        <w:pStyle w:val="Heading5"/>
      </w:pPr>
      <w:r w:rsidRPr="00B04945">
        <w:lastRenderedPageBreak/>
        <w:t>Waiting periods</w:t>
      </w:r>
    </w:p>
    <w:p w14:paraId="4126CF5B" w14:textId="77777777" w:rsidR="00D24350" w:rsidRPr="00D24350" w:rsidRDefault="00D24350" w:rsidP="00D24350">
      <w:pPr>
        <w:rPr>
          <w:lang w:val="en-GB"/>
        </w:rPr>
      </w:pPr>
      <w:r w:rsidRPr="00D24350">
        <w:rPr>
          <w:lang w:val="en-GB"/>
        </w:rPr>
        <w:t>A related group of concerns raised with the Committee is the widespread but inconsistent application of waiting periods across different payment types, as well as delays in payment claims. The Committee is generally of the view that where eligibility and means tests have been satisfied, access to income support should be provided in a timely manner. Where waiting periods persist across different payment schemes, a consistent rationale should be provided for their use.</w:t>
      </w:r>
    </w:p>
    <w:p w14:paraId="08EDA4F6" w14:textId="77777777" w:rsidR="00D24350" w:rsidRPr="00D24350" w:rsidRDefault="00D24350" w:rsidP="00D24350">
      <w:pPr>
        <w:rPr>
          <w:lang w:val="en-GB"/>
        </w:rPr>
      </w:pPr>
      <w:r w:rsidRPr="00D24350">
        <w:rPr>
          <w:lang w:val="en-GB"/>
        </w:rPr>
        <w:t>The LAWP, which makes people with liquid assets over a certain threshold wait up to 13 weeks for payment when claiming selected working-age payments should be reformed. The Committee agrees that Australians should look to their own means first before seeking support through the social security system. The current thresholds below which claimants are exempt from the LAWP – $5,500 for single persons and $11,500 for partnered persons or persons with dependents – are extremely low. While people with substantial savings buffers may not be significantly affected by these settings, their effect on people with fewer resources can be severe, requiring a liquidation of a substantial proportion of their life savings. Higher thresholds and shorter wait periods should be introduced.</w:t>
      </w:r>
    </w:p>
    <w:p w14:paraId="1FDE2F1C" w14:textId="6CC7F41A" w:rsidR="00D24350" w:rsidRPr="00D24350" w:rsidRDefault="00D24350" w:rsidP="00D24350">
      <w:pPr>
        <w:rPr>
          <w:rStyle w:val="SubtleEmphasis"/>
          <w:lang w:val="en-GB"/>
        </w:rPr>
      </w:pPr>
      <w:r w:rsidRPr="000E7896">
        <w:rPr>
          <w:rStyle w:val="SubtleEmphasis"/>
          <w:lang w:val="en-GB"/>
        </w:rPr>
        <w:t>“I have not been getting by, none of us have been getting by. I doubt that anybody here or who’s on these payments who has to solely rely on them is getting by at all. It’s not a matter of surviving. We’re drowning. We are really, really drowning. We’re selling off personal assets. We’re borrowing money from relatives and friends. We’re running up debt. I have $16,000 credit card debt and that’s how I’ve been funding things as far as eating recently.”</w:t>
      </w:r>
    </w:p>
    <w:p w14:paraId="29C2126D" w14:textId="4DEC73EC" w:rsidR="00D24350" w:rsidRPr="00D24350" w:rsidRDefault="00D24350" w:rsidP="00D24350">
      <w:pPr>
        <w:rPr>
          <w:b/>
          <w:bCs/>
          <w:lang w:val="en-GB"/>
        </w:rPr>
      </w:pPr>
      <w:r w:rsidRPr="00D24350">
        <w:rPr>
          <w:b/>
          <w:bCs/>
          <w:lang w:val="en-GB"/>
        </w:rPr>
        <w:t>Fiona, who receives JobSeeker Payment</w:t>
      </w:r>
    </w:p>
    <w:p w14:paraId="442B9F99" w14:textId="77777777" w:rsidR="00D24350" w:rsidRPr="00D24350" w:rsidRDefault="00D24350" w:rsidP="00D24350">
      <w:pPr>
        <w:rPr>
          <w:lang w:val="en-GB"/>
        </w:rPr>
      </w:pPr>
      <w:r w:rsidRPr="00D24350">
        <w:rPr>
          <w:lang w:val="en-GB"/>
        </w:rPr>
        <w:t xml:space="preserve">In the case of the Ordinary Waiting Period applying to the JobSeeker Payment, Youth Allowance (Other) and Parenting Payment, the Committee does not see a strong rationale for its continuation or its selective application to these payments. Similarly the application of the Newly Arrived Residents Waiting Period seems somewhat arbitrary. </w:t>
      </w:r>
    </w:p>
    <w:p w14:paraId="58968C98" w14:textId="77777777" w:rsidR="00D24350" w:rsidRPr="00D24350" w:rsidRDefault="00D24350" w:rsidP="00D24350">
      <w:pPr>
        <w:rPr>
          <w:lang w:val="en-GB"/>
        </w:rPr>
      </w:pPr>
      <w:r w:rsidRPr="00D24350">
        <w:rPr>
          <w:lang w:val="en-GB"/>
        </w:rPr>
        <w:t xml:space="preserve">The Committee also heard how the problems caused by delays in the processing of claims for income support can have significant effects on household cashflow. </w:t>
      </w:r>
    </w:p>
    <w:p w14:paraId="229C7F28" w14:textId="77777777" w:rsidR="00D24350" w:rsidRDefault="00D24350" w:rsidP="00D24350">
      <w:pPr>
        <w:rPr>
          <w:lang w:val="en-GB"/>
        </w:rPr>
      </w:pPr>
      <w:r w:rsidRPr="00D24350">
        <w:rPr>
          <w:lang w:val="en-GB"/>
        </w:rPr>
        <w:t>Continuing efforts to reduce claim wait times should be a priority as should reforming waiting periods that delay access to income support for those who need it most. The Committee therefore recommends:</w:t>
      </w:r>
    </w:p>
    <w:p w14:paraId="42C9E690" w14:textId="77777777" w:rsidR="00B04945" w:rsidRPr="00B04945" w:rsidRDefault="00B04945" w:rsidP="00023C01">
      <w:pPr>
        <w:shd w:val="clear" w:color="auto" w:fill="FAF1E8" w:themeFill="accent2"/>
        <w:rPr>
          <w:b/>
          <w:bCs/>
        </w:rPr>
      </w:pPr>
      <w:r w:rsidRPr="00B04945">
        <w:rPr>
          <w:b/>
          <w:bCs/>
        </w:rPr>
        <w:t>Recommendation 21</w:t>
      </w:r>
    </w:p>
    <w:p w14:paraId="569F0644" w14:textId="77777777" w:rsidR="00B04945" w:rsidRPr="00B04945" w:rsidRDefault="00B04945" w:rsidP="00023C01">
      <w:pPr>
        <w:shd w:val="clear" w:color="auto" w:fill="FAF1E8" w:themeFill="accent2"/>
        <w:rPr>
          <w:b/>
          <w:bCs/>
        </w:rPr>
      </w:pPr>
      <w:r w:rsidRPr="00B04945">
        <w:rPr>
          <w:b/>
          <w:bCs/>
        </w:rPr>
        <w:t xml:space="preserve">The Government revise strategies that delay access to payments for those who need them by addressing the underlying policy, legislative and resourcing drivers of these delays. </w:t>
      </w:r>
    </w:p>
    <w:p w14:paraId="2DC04462" w14:textId="77777777" w:rsidR="00B04945" w:rsidRPr="00B04945" w:rsidRDefault="00B04945" w:rsidP="00023C01">
      <w:pPr>
        <w:shd w:val="clear" w:color="auto" w:fill="FAF1E8" w:themeFill="accent2"/>
        <w:rPr>
          <w:b/>
          <w:bCs/>
        </w:rPr>
      </w:pPr>
      <w:r w:rsidRPr="00B04945">
        <w:rPr>
          <w:b/>
          <w:bCs/>
        </w:rPr>
        <w:t>This should include:</w:t>
      </w:r>
    </w:p>
    <w:p w14:paraId="440C29BC" w14:textId="77777777" w:rsidR="00B04945" w:rsidRPr="00235747" w:rsidRDefault="00B04945">
      <w:pPr>
        <w:pStyle w:val="ListBullet"/>
        <w:numPr>
          <w:ilvl w:val="0"/>
          <w:numId w:val="31"/>
        </w:numPr>
        <w:shd w:val="clear" w:color="auto" w:fill="FAF1E8" w:themeFill="accent2"/>
        <w:rPr>
          <w:b/>
          <w:bCs/>
        </w:rPr>
      </w:pPr>
      <w:r w:rsidRPr="00235747">
        <w:rPr>
          <w:b/>
          <w:bCs/>
        </w:rPr>
        <w:t>Taking urgent action to reduce wait times for claims</w:t>
      </w:r>
    </w:p>
    <w:p w14:paraId="06B53A7C" w14:textId="4CF1880F" w:rsidR="00B04945" w:rsidRPr="00235747" w:rsidRDefault="00B04945">
      <w:pPr>
        <w:pStyle w:val="ListBullet"/>
        <w:numPr>
          <w:ilvl w:val="0"/>
          <w:numId w:val="31"/>
        </w:numPr>
        <w:shd w:val="clear" w:color="auto" w:fill="FAF1E8" w:themeFill="accent2"/>
        <w:rPr>
          <w:b/>
          <w:bCs/>
        </w:rPr>
      </w:pPr>
      <w:r w:rsidRPr="00235747">
        <w:rPr>
          <w:b/>
          <w:bCs/>
        </w:rPr>
        <w:t>Reconsider the need and rationale for waiting periods for payments that currently attract them.</w:t>
      </w:r>
    </w:p>
    <w:p w14:paraId="33EB6597" w14:textId="3C5BEC0E" w:rsidR="00D24350" w:rsidRPr="000E7896" w:rsidRDefault="00D24350" w:rsidP="000E7896">
      <w:pPr>
        <w:pStyle w:val="Heading3"/>
      </w:pPr>
      <w:r w:rsidRPr="000E7896">
        <w:t>6.4.4 Ensuring accountability – by rethinking the mutual obligation regimes</w:t>
      </w:r>
    </w:p>
    <w:p w14:paraId="68A52A92" w14:textId="77777777" w:rsidR="00D24350" w:rsidRPr="00D24350" w:rsidRDefault="00D24350" w:rsidP="00D24350">
      <w:pPr>
        <w:rPr>
          <w:lang w:val="en-GB"/>
        </w:rPr>
      </w:pPr>
      <w:r w:rsidRPr="00D24350">
        <w:rPr>
          <w:lang w:val="en-GB"/>
        </w:rPr>
        <w:t xml:space="preserve">Mutual obligations frameworks are considered an important compact between citizens and society and are common to many countries. The Committee agrees they should continue to form part of Australia’s social security system. </w:t>
      </w:r>
    </w:p>
    <w:p w14:paraId="235EFF47" w14:textId="77777777" w:rsidR="00D24350" w:rsidRPr="00D24350" w:rsidRDefault="00D24350" w:rsidP="00D24350">
      <w:pPr>
        <w:rPr>
          <w:lang w:val="en-GB"/>
        </w:rPr>
      </w:pPr>
      <w:r w:rsidRPr="00D24350">
        <w:rPr>
          <w:lang w:val="en-GB"/>
        </w:rPr>
        <w:t>Unfortunately, though, Australia’s mutual obligations regime has become unbalanced. The priority being given to satisfying activation requirements is too great and as discussed in the section above, enforcement is often uncompromising, frequently imposing payment suspensions and other sanctions that cause considerable hardship, harm and stress. Appealing enforcement decisions is time consuming, difficult and traumatic.</w:t>
      </w:r>
    </w:p>
    <w:p w14:paraId="0E741146" w14:textId="77777777" w:rsidR="00D24350" w:rsidRPr="00D24350" w:rsidRDefault="00D24350" w:rsidP="00D24350">
      <w:pPr>
        <w:rPr>
          <w:lang w:val="en-GB"/>
        </w:rPr>
      </w:pPr>
      <w:r w:rsidRPr="00D24350">
        <w:rPr>
          <w:lang w:val="en-GB"/>
        </w:rPr>
        <w:lastRenderedPageBreak/>
        <w:t>The Committee has heard from people receiving activity-tested income support of their experiences with current mutual obligations arrangements. People have reported being suspended for not attending appointments they were not made aware of</w:t>
      </w:r>
      <w:r w:rsidRPr="00F57B7C">
        <w:rPr>
          <w:rStyle w:val="Superscript"/>
        </w:rPr>
        <w:footnoteReference w:id="113"/>
      </w:r>
      <w:r w:rsidRPr="00D24350">
        <w:rPr>
          <w:lang w:val="en-GB"/>
        </w:rPr>
        <w:t xml:space="preserve">, as well as having to attend appointments scheduled for times when they are working. People reported to the Committee the frustration of having to engage with employment services that have not actually helped them find paid work. </w:t>
      </w:r>
    </w:p>
    <w:p w14:paraId="1F94FA7C" w14:textId="40BD16A4" w:rsidR="00D24350" w:rsidRPr="000E7896" w:rsidRDefault="00D24350" w:rsidP="00D24350">
      <w:pPr>
        <w:rPr>
          <w:rStyle w:val="SubtleEmphasis"/>
          <w:lang w:val="en-GB"/>
        </w:rPr>
      </w:pPr>
      <w:r w:rsidRPr="000E7896">
        <w:rPr>
          <w:rStyle w:val="SubtleEmphasis"/>
          <w:lang w:val="en-GB"/>
        </w:rPr>
        <w:t>“And what about if you’re working? They don’t care. They make an appointment. You go, ‘Oh look, I’ve got an appointment at 11:00. But I’ve just been called in to do a four-hour shift.’ They’re like, ‘Don’t miss your appointment.’ ‘You are going to make me miss four hours of work just to spend- to come in, to drive in, to park is probably a paid car park because you so-and-so’s don’t even have the decency to give us free parking’.</w:t>
      </w:r>
    </w:p>
    <w:p w14:paraId="315A3533" w14:textId="397DC4E9" w:rsidR="00D24350" w:rsidRPr="00D24350" w:rsidRDefault="00D24350" w:rsidP="00D24350">
      <w:pPr>
        <w:rPr>
          <w:b/>
          <w:bCs/>
          <w:lang w:val="en-GB"/>
        </w:rPr>
      </w:pPr>
      <w:r w:rsidRPr="00D24350">
        <w:rPr>
          <w:b/>
          <w:bCs/>
          <w:lang w:val="en-GB"/>
        </w:rPr>
        <w:t>Jessica, who receives JobSeeker Payment</w:t>
      </w:r>
    </w:p>
    <w:p w14:paraId="5D0D8F29" w14:textId="28F7FBC8" w:rsidR="00D24350" w:rsidRPr="00D24350" w:rsidRDefault="00D24350" w:rsidP="00D24350">
      <w:pPr>
        <w:rPr>
          <w:rStyle w:val="SubtleEmphasis"/>
          <w:lang w:val="en-GB"/>
        </w:rPr>
      </w:pPr>
      <w:r w:rsidRPr="000E7896">
        <w:rPr>
          <w:rStyle w:val="SubtleEmphasis"/>
          <w:lang w:val="en-GB"/>
        </w:rPr>
        <w:t xml:space="preserve">“Job providers that don’t provide. They’re hopeless. They haven’t helped me at all. Every interview I’ve been to has been off my own back. They haven’t helped me in seven years. They shouldn’t punish you because you haven’t met the quota. It’s awful. I have to apply for any job so I meet the quota. They just don’t do anything to help you at all.” </w:t>
      </w:r>
    </w:p>
    <w:p w14:paraId="6C39F87A" w14:textId="44C88A4C" w:rsidR="00D24350" w:rsidRPr="00D24350" w:rsidRDefault="00D24350" w:rsidP="00D24350">
      <w:pPr>
        <w:rPr>
          <w:b/>
          <w:bCs/>
          <w:lang w:val="en-GB"/>
        </w:rPr>
      </w:pPr>
      <w:r w:rsidRPr="00D24350">
        <w:rPr>
          <w:b/>
          <w:bCs/>
          <w:lang w:val="en-GB"/>
        </w:rPr>
        <w:t>Wendy, who receives JobSeeker Payment</w:t>
      </w:r>
    </w:p>
    <w:p w14:paraId="62D05FA4" w14:textId="77777777" w:rsidR="00D24350" w:rsidRPr="00D24350" w:rsidRDefault="00D24350" w:rsidP="00D24350">
      <w:pPr>
        <w:rPr>
          <w:rStyle w:val="SubtleEmphasis"/>
          <w:lang w:val="en-GB"/>
        </w:rPr>
      </w:pPr>
      <w:r w:rsidRPr="000E7896">
        <w:rPr>
          <w:rStyle w:val="SubtleEmphasis"/>
          <w:lang w:val="en-GB"/>
        </w:rPr>
        <w:t xml:space="preserve">“I still have to do these job searches. I’m working casually, but I’m not doing enough hours in a fortnight. I still have to go to these stupid provider appointments and still have to these stupid job searches to get my payment.” </w:t>
      </w:r>
    </w:p>
    <w:p w14:paraId="6EF20685" w14:textId="10705A8A" w:rsidR="00D24350" w:rsidRPr="00D24350" w:rsidRDefault="00D24350" w:rsidP="00D24350">
      <w:pPr>
        <w:rPr>
          <w:b/>
          <w:bCs/>
          <w:lang w:val="en-GB"/>
        </w:rPr>
      </w:pPr>
      <w:r w:rsidRPr="00D24350">
        <w:rPr>
          <w:b/>
          <w:bCs/>
          <w:lang w:val="en-GB"/>
        </w:rPr>
        <w:t xml:space="preserve">Sophie, who receives Parenting Payment </w:t>
      </w:r>
    </w:p>
    <w:p w14:paraId="55F10464" w14:textId="77777777" w:rsidR="00D24350" w:rsidRPr="00D24350" w:rsidRDefault="00D24350" w:rsidP="00D24350">
      <w:pPr>
        <w:rPr>
          <w:lang w:val="en-GB"/>
        </w:rPr>
      </w:pPr>
      <w:r w:rsidRPr="00D24350">
        <w:rPr>
          <w:lang w:val="en-GB"/>
        </w:rPr>
        <w:t xml:space="preserve">The Committee heard over and again of the cycles of often meaningless, wasteful, and at times soul-destroying activities people are forced to undertake to satisfy activation requirements, often at the expense of actual job searching. </w:t>
      </w:r>
    </w:p>
    <w:p w14:paraId="1A4255B5" w14:textId="77777777" w:rsidR="00D24350" w:rsidRPr="00D24350" w:rsidRDefault="00D24350" w:rsidP="00D24350">
      <w:pPr>
        <w:rPr>
          <w:lang w:val="en-GB"/>
        </w:rPr>
      </w:pPr>
      <w:r w:rsidRPr="00D24350">
        <w:rPr>
          <w:lang w:val="en-GB"/>
        </w:rPr>
        <w:t>Such deficiencies were identified in the recent design process for the scheme to replace the Parents Next program and in the 2023 Select Committee on Workforce Australia Employment Services Final Report which recommended reform of mutual obligations. The Select Committee recommended individually customised jobs plans that identify and deliver tailored supports and create realistic participation obligations that take account of the talents and life circumstances of each person. This new approach would be framed by a Shared Accountability Framework which would replace the existing Targeted Compliance Framework.</w:t>
      </w:r>
      <w:r w:rsidRPr="00D24350">
        <w:rPr>
          <w:rStyle w:val="Superscript"/>
          <w:lang w:val="en-GB"/>
        </w:rPr>
        <w:footnoteReference w:id="114"/>
      </w:r>
      <w:r w:rsidRPr="00D24350">
        <w:rPr>
          <w:rStyle w:val="Superscript"/>
          <w:lang w:val="en-GB"/>
        </w:rPr>
        <w:t xml:space="preserve"> </w:t>
      </w:r>
      <w:r w:rsidRPr="00D24350">
        <w:rPr>
          <w:lang w:val="en-GB"/>
        </w:rPr>
        <w:t>The extent to which the employment services system has lost its way, with the resultant damage to the social security system, is reflected in this summary comment from the Select Committee’s report:</w:t>
      </w:r>
    </w:p>
    <w:p w14:paraId="2B36DC4C" w14:textId="3BD8DE6E" w:rsidR="00D24350" w:rsidRPr="00D24350" w:rsidRDefault="00D24350" w:rsidP="00D24350">
      <w:pPr>
        <w:rPr>
          <w:lang w:val="en-GB"/>
        </w:rPr>
      </w:pPr>
      <w:r w:rsidRPr="00684925">
        <w:rPr>
          <w:rStyle w:val="SubtleEmphasis"/>
        </w:rPr>
        <w:t>“Many staff are compassionate, caring people who deliver great outcomes in difficult circumstances, despite the numerous barriers. Yet overall, the employment services system is not delivering adequate or optimal outcomes for clients and appears to now largely neglect employers. There is little service tailoring, and many frontline staff do not possess the skills or qualifications to support an increasingly vulnerable and heterogenous client caseload. Moreover, the system is so choked with red tape that staff have little time to focus on supporting people.</w:t>
      </w:r>
      <w:r w:rsidRPr="00D24350">
        <w:rPr>
          <w:lang w:val="en-GB"/>
        </w:rPr>
        <w:t>”</w:t>
      </w:r>
      <w:r w:rsidRPr="00D24350">
        <w:rPr>
          <w:rStyle w:val="Superscript"/>
          <w:lang w:val="en-GB"/>
        </w:rPr>
        <w:footnoteReference w:id="115"/>
      </w:r>
    </w:p>
    <w:p w14:paraId="1CD26576" w14:textId="07AFE0C8" w:rsidR="00D24350" w:rsidRPr="00D24350" w:rsidRDefault="00D24350" w:rsidP="00D24350">
      <w:pPr>
        <w:rPr>
          <w:lang w:val="en-GB"/>
        </w:rPr>
      </w:pPr>
      <w:r w:rsidRPr="00D24350">
        <w:rPr>
          <w:lang w:val="en-GB"/>
        </w:rPr>
        <w:t xml:space="preserve">The Committee has reached similar conclusions about the social security system’s administration of working-age income support and the interaction between the system and </w:t>
      </w:r>
      <w:r w:rsidRPr="00D24350">
        <w:rPr>
          <w:lang w:val="en-GB"/>
        </w:rPr>
        <w:lastRenderedPageBreak/>
        <w:t>the employment services sector. The Committee makes recommendations in Chapter 4 for improving the mutual obligations regime as it applies to working-age payments.</w:t>
      </w:r>
    </w:p>
    <w:p w14:paraId="4E8B3150" w14:textId="77777777" w:rsidR="00D24350" w:rsidRPr="000E7896" w:rsidRDefault="00D24350" w:rsidP="000E7896">
      <w:pPr>
        <w:pStyle w:val="Heading3"/>
      </w:pPr>
      <w:r w:rsidRPr="000E7896">
        <w:t>6.4.5 Making the system person centred – by focussing on people not red tape</w:t>
      </w:r>
    </w:p>
    <w:p w14:paraId="4CEFB4E9" w14:textId="77777777" w:rsidR="00D24350" w:rsidRPr="00D24350" w:rsidRDefault="00D24350" w:rsidP="00D24350">
      <w:pPr>
        <w:rPr>
          <w:lang w:val="en-GB"/>
        </w:rPr>
      </w:pPr>
      <w:r w:rsidRPr="00D24350">
        <w:rPr>
          <w:lang w:val="en-GB"/>
        </w:rPr>
        <w:t xml:space="preserve">A way to overcome the big problems caused by the complexity of Australia’s social security system is to attempt to reorient it around people. Currently people are unsure of their entitlements, administrators find it difficult to provide the right support and advice, contracted service providers are unsure of their obligations, no one is certain of how best to support and train their staff and conflict results – as has been pointed repeatedly out throughout this report. </w:t>
      </w:r>
    </w:p>
    <w:p w14:paraId="22FC293C" w14:textId="77777777" w:rsidR="00D24350" w:rsidRPr="00D24350" w:rsidRDefault="00D24350" w:rsidP="00D24350">
      <w:pPr>
        <w:rPr>
          <w:lang w:val="en-GB"/>
        </w:rPr>
      </w:pPr>
      <w:r w:rsidRPr="00D24350">
        <w:rPr>
          <w:lang w:val="en-GB"/>
        </w:rPr>
        <w:t>The Committee has observed several drivers of the complexity in the system including:</w:t>
      </w:r>
    </w:p>
    <w:p w14:paraId="3EC6AD6D" w14:textId="77777777" w:rsidR="00D24350" w:rsidRPr="00684925" w:rsidRDefault="00D24350" w:rsidP="00684925">
      <w:pPr>
        <w:pStyle w:val="ListBullet"/>
      </w:pPr>
      <w:r w:rsidRPr="00684925">
        <w:t>A progressive tightening of eligibility and requirements for payments, including the DSP, JobSeeker Payment, and payments for people providing care, with an associated increase in the burden of proof, reporting and activity required to satisfy participation requirements or to receive an exemption.</w:t>
      </w:r>
    </w:p>
    <w:p w14:paraId="66F80523" w14:textId="77777777" w:rsidR="00D24350" w:rsidRPr="00684925" w:rsidRDefault="00D24350" w:rsidP="00684925">
      <w:pPr>
        <w:pStyle w:val="ListBullet"/>
      </w:pPr>
      <w:r w:rsidRPr="00684925">
        <w:t>An unstated assumption that complexity and onerous qualification processes act as an effective rationing mechanism dissuading people from engaging with the social security system.</w:t>
      </w:r>
    </w:p>
    <w:p w14:paraId="53EA080C" w14:textId="77777777" w:rsidR="00D24350" w:rsidRPr="00684925" w:rsidRDefault="00D24350" w:rsidP="00684925">
      <w:pPr>
        <w:pStyle w:val="ListBullet"/>
      </w:pPr>
      <w:r w:rsidRPr="00684925">
        <w:t>A partly self-defeating drive for cost savings by adding more and more rules and qualifications governing eligibility and entitlements. The Committee observes that any cost savings so derived must be diluted by the increased costs of administering the impossible complexity of the system that has now arisen.</w:t>
      </w:r>
    </w:p>
    <w:p w14:paraId="5443A99F" w14:textId="77777777" w:rsidR="00D24350" w:rsidRPr="00684925" w:rsidRDefault="00D24350" w:rsidP="00684925">
      <w:pPr>
        <w:pStyle w:val="ListBullet"/>
      </w:pPr>
      <w:r w:rsidRPr="00684925">
        <w:t>The differences between payments – their rates, conditions and obligations – creates a substantial requirement to police the eligibility boundaries of the more adequate payments. A more uniform suite of payments would reduce both the incentive and friction arising when people seek income support or are forced to move from one payment to another.</w:t>
      </w:r>
    </w:p>
    <w:p w14:paraId="1E933DE7" w14:textId="19DC2F49" w:rsidR="00D24350" w:rsidRPr="00D24350" w:rsidRDefault="00D24350" w:rsidP="00D24350">
      <w:pPr>
        <w:rPr>
          <w:lang w:val="en-GB"/>
        </w:rPr>
      </w:pPr>
      <w:r w:rsidRPr="00D24350">
        <w:rPr>
          <w:lang w:val="en-GB"/>
        </w:rPr>
        <w:t xml:space="preserve">Addressing complexity across the social security system by re-orienting it towards the needs of people is an urgent requirement and neither a simple nor small undertaking. The Committee observes that a place to start would be to increase harmonisation between the rates of payment and indexation regimes. There should also be a reduction in eligibility requirements that apply to some payments and not others, which act as barriers to support, including waiting periods. </w:t>
      </w:r>
    </w:p>
    <w:p w14:paraId="11BA84D0" w14:textId="77777777" w:rsidR="00D24350" w:rsidRPr="000E7896" w:rsidRDefault="00D24350" w:rsidP="000E7896">
      <w:pPr>
        <w:pStyle w:val="Heading3"/>
      </w:pPr>
      <w:r w:rsidRPr="000E7896">
        <w:t>6.4.6 A safety net for all – a new compact to underwrite our social security system</w:t>
      </w:r>
    </w:p>
    <w:p w14:paraId="3B85D463" w14:textId="77777777" w:rsidR="00D24350" w:rsidRPr="00D24350" w:rsidRDefault="00D24350" w:rsidP="00D24350">
      <w:pPr>
        <w:rPr>
          <w:lang w:val="en-GB"/>
        </w:rPr>
      </w:pPr>
      <w:r w:rsidRPr="00D24350">
        <w:rPr>
          <w:lang w:val="en-GB"/>
        </w:rPr>
        <w:t>The Committee proposes that an open and collaborative process be undertaken to codify a new guiding statement or Charter to serve as a “north star” for the rejuvenation of the social security system. This co-design process should include people who receive income support, the public servants who operate the system, civil society stakeholders, employers, and others who care about our social security system. Consideration could also be given to legislating the resulting statement to give it force.</w:t>
      </w:r>
    </w:p>
    <w:p w14:paraId="51386194" w14:textId="26901C40" w:rsidR="00D24350" w:rsidRDefault="00D24350" w:rsidP="00D24350">
      <w:pPr>
        <w:rPr>
          <w:lang w:val="en-GB"/>
        </w:rPr>
      </w:pPr>
      <w:r w:rsidRPr="00D24350">
        <w:rPr>
          <w:lang w:val="en-GB"/>
        </w:rPr>
        <w:t>The Government of Scotland conducted such a process and produced a Charter</w:t>
      </w:r>
      <w:r w:rsidRPr="00D24350">
        <w:rPr>
          <w:rStyle w:val="Superscript"/>
          <w:lang w:val="en-GB"/>
        </w:rPr>
        <w:footnoteReference w:id="116"/>
      </w:r>
      <w:r w:rsidRPr="00D24350">
        <w:rPr>
          <w:lang w:val="en-GB"/>
        </w:rPr>
        <w:t xml:space="preserve"> to improve culture and practice. Excerpts from the Charter and the Act which enshrined it are provided here to illustrate what might be possible for Australia’s social security system.</w:t>
      </w:r>
    </w:p>
    <w:p w14:paraId="1CDCE325" w14:textId="77777777" w:rsidR="00235747" w:rsidRPr="00684925" w:rsidRDefault="00235747" w:rsidP="00235747">
      <w:pPr>
        <w:rPr>
          <w:rStyle w:val="SubtleEmphasis"/>
          <w:b/>
          <w:bCs/>
          <w:lang w:val="en-GB"/>
        </w:rPr>
      </w:pPr>
      <w:r w:rsidRPr="00684925">
        <w:rPr>
          <w:rStyle w:val="SubtleEmphasis"/>
          <w:b/>
          <w:bCs/>
          <w:lang w:val="en-GB"/>
        </w:rPr>
        <w:t>Social Security (Scotland) Act 2018 – Section 1.</w:t>
      </w:r>
    </w:p>
    <w:p w14:paraId="6102B2FE"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social security is an investment in the people of Scotland </w:t>
      </w:r>
    </w:p>
    <w:p w14:paraId="3F99AF16"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social security is itself a human right and essential to the realisation of other human rights </w:t>
      </w:r>
    </w:p>
    <w:p w14:paraId="05DEBFA7" w14:textId="77777777" w:rsidR="00235747" w:rsidRPr="00235747" w:rsidRDefault="00235747">
      <w:pPr>
        <w:pStyle w:val="ListParagraph"/>
        <w:numPr>
          <w:ilvl w:val="0"/>
          <w:numId w:val="14"/>
        </w:numPr>
        <w:rPr>
          <w:rStyle w:val="SubtleEmphasis"/>
          <w:lang w:val="en-GB"/>
        </w:rPr>
      </w:pPr>
      <w:r w:rsidRPr="00235747">
        <w:rPr>
          <w:rStyle w:val="SubtleEmphasis"/>
          <w:lang w:val="en-GB"/>
        </w:rPr>
        <w:lastRenderedPageBreak/>
        <w:t xml:space="preserve">the delivery of social security is a public service </w:t>
      </w:r>
    </w:p>
    <w:p w14:paraId="4D6B2948"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respect for the dignity of individuals is to be at the heart of the Scottish social security system </w:t>
      </w:r>
    </w:p>
    <w:p w14:paraId="231B912A" w14:textId="77777777" w:rsidR="00235747" w:rsidRPr="00235747" w:rsidRDefault="00235747">
      <w:pPr>
        <w:pStyle w:val="ListParagraph"/>
        <w:numPr>
          <w:ilvl w:val="0"/>
          <w:numId w:val="14"/>
        </w:numPr>
        <w:rPr>
          <w:rStyle w:val="SubtleEmphasis"/>
          <w:lang w:val="en-GB"/>
        </w:rPr>
      </w:pPr>
      <w:r w:rsidRPr="00235747">
        <w:rPr>
          <w:rStyle w:val="SubtleEmphasis"/>
          <w:lang w:val="en-GB"/>
        </w:rPr>
        <w:t>the Scottish social security system is to contribute to reducing poverty in Scotland</w:t>
      </w:r>
    </w:p>
    <w:p w14:paraId="739CC236"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the Scottish social security system is to be designed with the people of Scotland on the basis of evidence </w:t>
      </w:r>
    </w:p>
    <w:p w14:paraId="5FD3762B" w14:textId="77777777" w:rsidR="00235747" w:rsidRPr="00235747" w:rsidRDefault="00235747">
      <w:pPr>
        <w:pStyle w:val="ListParagraph"/>
        <w:numPr>
          <w:ilvl w:val="0"/>
          <w:numId w:val="14"/>
        </w:numPr>
        <w:rPr>
          <w:rStyle w:val="SubtleEmphasis"/>
          <w:lang w:val="en-GB"/>
        </w:rPr>
      </w:pPr>
      <w:r w:rsidRPr="00235747">
        <w:rPr>
          <w:rStyle w:val="SubtleEmphasis"/>
          <w:lang w:val="en-GB"/>
        </w:rPr>
        <w:t xml:space="preserve">opportunities are to be sought to continuously improve the Scottish social security system in ways which — </w:t>
      </w:r>
    </w:p>
    <w:p w14:paraId="4E6946AE" w14:textId="77777777" w:rsidR="00235747" w:rsidRPr="00235747" w:rsidRDefault="00235747" w:rsidP="00235747">
      <w:pPr>
        <w:rPr>
          <w:rStyle w:val="SubtleEmphasis"/>
          <w:lang w:val="en-GB"/>
        </w:rPr>
      </w:pPr>
      <w:r w:rsidRPr="00235747">
        <w:rPr>
          <w:rStyle w:val="SubtleEmphasis"/>
          <w:lang w:val="en-GB"/>
        </w:rPr>
        <w:t xml:space="preserve">(i) put the needs of those who require assistance first, and </w:t>
      </w:r>
    </w:p>
    <w:p w14:paraId="37C9731A" w14:textId="77777777" w:rsidR="00235747" w:rsidRPr="00235747" w:rsidRDefault="00235747" w:rsidP="00235747">
      <w:pPr>
        <w:rPr>
          <w:rStyle w:val="SubtleEmphasis"/>
          <w:lang w:val="en-GB"/>
        </w:rPr>
      </w:pPr>
      <w:r w:rsidRPr="00235747">
        <w:rPr>
          <w:rStyle w:val="SubtleEmphasis"/>
          <w:lang w:val="en-GB"/>
        </w:rPr>
        <w:t xml:space="preserve">(ii) advance equality and non-discrimination, </w:t>
      </w:r>
    </w:p>
    <w:p w14:paraId="465189E1" w14:textId="77777777" w:rsidR="00235747" w:rsidRPr="00235747" w:rsidRDefault="00235747" w:rsidP="00235747">
      <w:pPr>
        <w:rPr>
          <w:rStyle w:val="SubtleEmphasis"/>
          <w:lang w:val="en-GB"/>
        </w:rPr>
      </w:pPr>
      <w:r w:rsidRPr="00235747">
        <w:rPr>
          <w:rStyle w:val="SubtleEmphasis"/>
          <w:lang w:val="en-GB"/>
        </w:rPr>
        <w:t>the Scottish social security system is to be efficient and deliver value for money.</w:t>
      </w:r>
    </w:p>
    <w:p w14:paraId="5363E3B9" w14:textId="77777777" w:rsidR="00235747" w:rsidRPr="00684925" w:rsidRDefault="00235747" w:rsidP="00235747">
      <w:pPr>
        <w:rPr>
          <w:rStyle w:val="SubtleEmphasis"/>
          <w:b/>
          <w:bCs/>
          <w:lang w:val="en-GB"/>
        </w:rPr>
      </w:pPr>
      <w:r w:rsidRPr="00684925">
        <w:rPr>
          <w:rStyle w:val="SubtleEmphasis"/>
          <w:b/>
          <w:bCs/>
          <w:lang w:val="en-GB"/>
        </w:rPr>
        <w:t>Social Security Scotland – Our Charter</w:t>
      </w:r>
    </w:p>
    <w:p w14:paraId="3A240CE5" w14:textId="77777777" w:rsidR="00235747" w:rsidRPr="00235747" w:rsidRDefault="00235747">
      <w:pPr>
        <w:pStyle w:val="ListParagraph"/>
        <w:numPr>
          <w:ilvl w:val="0"/>
          <w:numId w:val="15"/>
        </w:numPr>
        <w:rPr>
          <w:rStyle w:val="SubtleEmphasis"/>
          <w:lang w:val="en-GB"/>
        </w:rPr>
      </w:pPr>
      <w:r w:rsidRPr="00235747">
        <w:rPr>
          <w:rStyle w:val="SubtleEmphasis"/>
          <w:lang w:val="en-GB"/>
        </w:rPr>
        <w:t>A People’s Service – we are here to help you get everything you are entitled to</w:t>
      </w:r>
    </w:p>
    <w:p w14:paraId="140F7B1F"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Social Security Scotland and the Scottish Government will: </w:t>
      </w:r>
    </w:p>
    <w:p w14:paraId="30F30424"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be patient, kind and consider how you might feel </w:t>
      </w:r>
    </w:p>
    <w:p w14:paraId="75F2B589"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listen to you, trust you and treat you as an individual </w:t>
      </w:r>
    </w:p>
    <w:p w14:paraId="7B2B4E83"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treat everyone equally, fairly and without discrimination </w:t>
      </w:r>
    </w:p>
    <w:p w14:paraId="477000A2" w14:textId="77777777" w:rsidR="00235747" w:rsidRPr="00235747" w:rsidRDefault="00235747">
      <w:pPr>
        <w:pStyle w:val="ListParagraph"/>
        <w:numPr>
          <w:ilvl w:val="0"/>
          <w:numId w:val="15"/>
        </w:numPr>
        <w:rPr>
          <w:rStyle w:val="SubtleEmphasis"/>
          <w:lang w:val="en-GB"/>
        </w:rPr>
      </w:pPr>
      <w:r w:rsidRPr="00235747">
        <w:rPr>
          <w:rStyle w:val="SubtleEmphasis"/>
          <w:lang w:val="en-GB"/>
        </w:rPr>
        <w:t>support you through your application, keeping you updated and explaining what will happen and why</w:t>
      </w:r>
    </w:p>
    <w:p w14:paraId="2ED5293C"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ensure staff are knowledgeable about social security to help you get what you’re entitled to </w:t>
      </w:r>
    </w:p>
    <w:p w14:paraId="429BA93B"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refer you to independent advice and support if you want extra help with your application or appeal. You are also entitled to ask someone that you know to support you </w:t>
      </w:r>
    </w:p>
    <w:p w14:paraId="68B80C61"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make decisions in a way that is consistent and accurate – and aim to get them right first time </w:t>
      </w:r>
    </w:p>
    <w:p w14:paraId="77BFDE2B"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be honest, provide clear reasons for decisions and explain what to do if you disagree </w:t>
      </w:r>
    </w:p>
    <w:p w14:paraId="16BB1E45" w14:textId="77777777" w:rsidR="00235747" w:rsidRPr="00235747" w:rsidRDefault="00235747">
      <w:pPr>
        <w:pStyle w:val="ListParagraph"/>
        <w:numPr>
          <w:ilvl w:val="0"/>
          <w:numId w:val="15"/>
        </w:numPr>
        <w:rPr>
          <w:rStyle w:val="SubtleEmphasis"/>
          <w:lang w:val="en-GB"/>
        </w:rPr>
      </w:pPr>
      <w:r w:rsidRPr="00235747">
        <w:rPr>
          <w:rStyle w:val="SubtleEmphasis"/>
          <w:lang w:val="en-GB"/>
        </w:rPr>
        <w:t>pay you on time in the right amount</w:t>
      </w:r>
    </w:p>
    <w:p w14:paraId="23850047"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refer you to other organisations, services or forms of help where they could help improve your wellbeing or financial circumstances </w:t>
      </w:r>
    </w:p>
    <w:p w14:paraId="40687B03"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tell you if we think you might be entitled to benefits not delivered by Social Security Scotland </w:t>
      </w:r>
    </w:p>
    <w:p w14:paraId="0343E60E"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recruit people who care about delivering a service based on equality, respect, dignity and human rights </w:t>
      </w:r>
    </w:p>
    <w:p w14:paraId="5EDD50E5" w14:textId="77777777" w:rsidR="00235747" w:rsidRPr="00235747" w:rsidRDefault="00235747">
      <w:pPr>
        <w:pStyle w:val="ListParagraph"/>
        <w:numPr>
          <w:ilvl w:val="0"/>
          <w:numId w:val="15"/>
        </w:numPr>
        <w:rPr>
          <w:rStyle w:val="SubtleEmphasis"/>
          <w:lang w:val="en-GB"/>
        </w:rPr>
      </w:pPr>
      <w:r w:rsidRPr="00235747">
        <w:rPr>
          <w:rStyle w:val="SubtleEmphasis"/>
          <w:lang w:val="en-GB"/>
        </w:rPr>
        <w:t xml:space="preserve">involve people with diverse lived experiences of social security and the organisations that represent them in training staff. </w:t>
      </w:r>
    </w:p>
    <w:p w14:paraId="6B7548AB" w14:textId="2B0EBC67" w:rsidR="00235747" w:rsidRPr="00235747" w:rsidRDefault="00235747" w:rsidP="00235747">
      <w:pPr>
        <w:rPr>
          <w:rStyle w:val="SubtleEmphasis"/>
          <w:lang w:val="en-GB"/>
        </w:rPr>
      </w:pPr>
      <w:r w:rsidRPr="00235747">
        <w:rPr>
          <w:rStyle w:val="SubtleEmphasis"/>
          <w:lang w:val="en-GB"/>
        </w:rPr>
        <w:t xml:space="preserve">Please help us by: </w:t>
      </w:r>
    </w:p>
    <w:p w14:paraId="0D71B30C"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treating staff with dignity, fairness and respect </w:t>
      </w:r>
    </w:p>
    <w:p w14:paraId="5DEE8EA0"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telling us if you have particular access or cultural needs – we’ll do our best to meet them </w:t>
      </w:r>
    </w:p>
    <w:p w14:paraId="23E283F7" w14:textId="77777777" w:rsidR="00235747" w:rsidRPr="00235747" w:rsidRDefault="00235747">
      <w:pPr>
        <w:pStyle w:val="ListParagraph"/>
        <w:numPr>
          <w:ilvl w:val="0"/>
          <w:numId w:val="16"/>
        </w:numPr>
        <w:rPr>
          <w:rStyle w:val="SubtleEmphasis"/>
          <w:lang w:val="en-GB"/>
        </w:rPr>
      </w:pPr>
      <w:r w:rsidRPr="00235747">
        <w:rPr>
          <w:rStyle w:val="SubtleEmphasis"/>
          <w:lang w:val="en-GB"/>
        </w:rPr>
        <w:t xml:space="preserve">giving us the information we need to help you and telling us if something changes that might affect your entitlement </w:t>
      </w:r>
    </w:p>
    <w:p w14:paraId="43ED6D87" w14:textId="77777777" w:rsidR="00235747" w:rsidRPr="00235747" w:rsidRDefault="00235747">
      <w:pPr>
        <w:pStyle w:val="ListParagraph"/>
        <w:numPr>
          <w:ilvl w:val="0"/>
          <w:numId w:val="16"/>
        </w:numPr>
        <w:rPr>
          <w:rStyle w:val="SubtleEmphasis"/>
          <w:lang w:val="en-GB"/>
        </w:rPr>
      </w:pPr>
      <w:r w:rsidRPr="00235747">
        <w:rPr>
          <w:rStyle w:val="SubtleEmphasis"/>
          <w:lang w:val="en-GB"/>
        </w:rPr>
        <w:t>telling us about any problems with getting this information that we might be able to help with</w:t>
      </w:r>
    </w:p>
    <w:p w14:paraId="0EE8A321" w14:textId="068FA2DF" w:rsidR="00235747" w:rsidRPr="00235747" w:rsidRDefault="00235747">
      <w:pPr>
        <w:pStyle w:val="ListParagraph"/>
        <w:numPr>
          <w:ilvl w:val="0"/>
          <w:numId w:val="16"/>
        </w:numPr>
        <w:rPr>
          <w:rStyle w:val="SubtleEmphasis"/>
        </w:rPr>
      </w:pPr>
      <w:r w:rsidRPr="00235747">
        <w:rPr>
          <w:rStyle w:val="SubtleEmphasis"/>
          <w:lang w:val="en-GB"/>
        </w:rPr>
        <w:t>telling us how you feel about the service. We always want to get better and your ideas can help us do that.</w:t>
      </w:r>
    </w:p>
    <w:p w14:paraId="6E24BBD7" w14:textId="63AAF96A" w:rsidR="00D24350" w:rsidRPr="00D24350" w:rsidRDefault="00D24350" w:rsidP="00D24350">
      <w:pPr>
        <w:rPr>
          <w:lang w:val="en-GB"/>
        </w:rPr>
      </w:pPr>
      <w:r w:rsidRPr="00D24350">
        <w:rPr>
          <w:lang w:val="en-GB"/>
        </w:rPr>
        <w:t xml:space="preserve">The ethic explicit in Scotland’s Charter contrasts strongly with that revealed in evidence given to the Committee. The Committee believes that the collaborative development of a such a Charter for the Australian social security system would help draw a line under the traumas of the Robodebt policy and encourage people to work to create a more constructive future. </w:t>
      </w:r>
    </w:p>
    <w:p w14:paraId="4C26B131" w14:textId="40D5C31D" w:rsidR="00D24350" w:rsidRDefault="00D24350" w:rsidP="00D24350">
      <w:pPr>
        <w:rPr>
          <w:lang w:val="en-GB"/>
        </w:rPr>
      </w:pPr>
      <w:r w:rsidRPr="00D24350">
        <w:rPr>
          <w:lang w:val="en-GB"/>
        </w:rPr>
        <w:t>The Committee therefore recommends:</w:t>
      </w:r>
    </w:p>
    <w:p w14:paraId="073A6817" w14:textId="77777777" w:rsidR="00235747" w:rsidRPr="00235747" w:rsidRDefault="00235747" w:rsidP="00023C01">
      <w:pPr>
        <w:shd w:val="clear" w:color="auto" w:fill="FAF1E8" w:themeFill="accent2"/>
        <w:rPr>
          <w:b/>
          <w:bCs/>
        </w:rPr>
      </w:pPr>
      <w:r w:rsidRPr="00235747">
        <w:rPr>
          <w:b/>
          <w:bCs/>
        </w:rPr>
        <w:lastRenderedPageBreak/>
        <w:t>Recommendation 22</w:t>
      </w:r>
    </w:p>
    <w:p w14:paraId="66B7E91C" w14:textId="77777777" w:rsidR="00235747" w:rsidRPr="00235747" w:rsidRDefault="00235747" w:rsidP="00023C01">
      <w:pPr>
        <w:shd w:val="clear" w:color="auto" w:fill="FAF1E8" w:themeFill="accent2"/>
        <w:rPr>
          <w:b/>
          <w:bCs/>
        </w:rPr>
      </w:pPr>
      <w:r w:rsidRPr="00235747">
        <w:rPr>
          <w:b/>
          <w:bCs/>
        </w:rPr>
        <w:t xml:space="preserve">The Government should consider a collaborative process to develop a new charter for the Australian social security system. </w:t>
      </w:r>
    </w:p>
    <w:p w14:paraId="3876BE33" w14:textId="77777777" w:rsidR="00235747" w:rsidRPr="00235747" w:rsidRDefault="00235747" w:rsidP="00023C01">
      <w:pPr>
        <w:shd w:val="clear" w:color="auto" w:fill="FAF1E8" w:themeFill="accent2"/>
        <w:rPr>
          <w:b/>
          <w:bCs/>
        </w:rPr>
      </w:pPr>
      <w:r w:rsidRPr="00235747">
        <w:rPr>
          <w:b/>
          <w:bCs/>
        </w:rPr>
        <w:t xml:space="preserve">This charter should be centred upon the proposed new mandate for the social security system to promote economic inclusion and wellbeing. </w:t>
      </w:r>
    </w:p>
    <w:p w14:paraId="3E6B7B00" w14:textId="77777777" w:rsidR="00235747" w:rsidRPr="00684925" w:rsidRDefault="00235747">
      <w:pPr>
        <w:pStyle w:val="ListParagraph"/>
        <w:numPr>
          <w:ilvl w:val="0"/>
          <w:numId w:val="32"/>
        </w:numPr>
        <w:shd w:val="clear" w:color="auto" w:fill="FAF1E8" w:themeFill="accent2"/>
        <w:rPr>
          <w:b/>
          <w:bCs/>
        </w:rPr>
      </w:pPr>
      <w:r w:rsidRPr="00684925">
        <w:rPr>
          <w:b/>
          <w:bCs/>
        </w:rPr>
        <w:t xml:space="preserve">This co-design process should involve people receiving social security payments and a broad range of other stakeholders. </w:t>
      </w:r>
    </w:p>
    <w:p w14:paraId="3C5A8BFD" w14:textId="77777777" w:rsidR="00235747" w:rsidRPr="00684925" w:rsidRDefault="00235747">
      <w:pPr>
        <w:pStyle w:val="ListParagraph"/>
        <w:numPr>
          <w:ilvl w:val="0"/>
          <w:numId w:val="32"/>
        </w:numPr>
        <w:shd w:val="clear" w:color="auto" w:fill="FAF1E8" w:themeFill="accent2"/>
        <w:rPr>
          <w:b/>
          <w:bCs/>
        </w:rPr>
      </w:pPr>
      <w:r w:rsidRPr="00684925">
        <w:rPr>
          <w:b/>
          <w:bCs/>
        </w:rPr>
        <w:t>The Government should consider legislating the resulting statement, so it guides reform, policy development and practice long term.</w:t>
      </w:r>
    </w:p>
    <w:p w14:paraId="0AF5029A" w14:textId="78B92C58" w:rsidR="00235747" w:rsidRPr="00684925" w:rsidRDefault="00235747">
      <w:pPr>
        <w:pStyle w:val="ListParagraph"/>
        <w:numPr>
          <w:ilvl w:val="0"/>
          <w:numId w:val="32"/>
        </w:numPr>
        <w:shd w:val="clear" w:color="auto" w:fill="FAF1E8" w:themeFill="accent2"/>
        <w:rPr>
          <w:b/>
          <w:bCs/>
        </w:rPr>
      </w:pPr>
      <w:r w:rsidRPr="00684925">
        <w:rPr>
          <w:b/>
          <w:bCs/>
        </w:rPr>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w:t>
      </w:r>
    </w:p>
    <w:p w14:paraId="036879EC" w14:textId="77777777" w:rsidR="00D24350" w:rsidRPr="000E7896" w:rsidRDefault="00D24350" w:rsidP="000E7896">
      <w:pPr>
        <w:pStyle w:val="Heading2"/>
      </w:pPr>
      <w:bookmarkStart w:id="64" w:name="_Toc165366891"/>
      <w:r w:rsidRPr="000E7896">
        <w:t>6.5 Conclusion</w:t>
      </w:r>
      <w:bookmarkEnd w:id="64"/>
    </w:p>
    <w:p w14:paraId="5A1A1365" w14:textId="77777777" w:rsidR="00D24350" w:rsidRPr="00D24350" w:rsidRDefault="00D24350" w:rsidP="00D24350">
      <w:pPr>
        <w:rPr>
          <w:lang w:val="en-GB"/>
        </w:rPr>
      </w:pPr>
      <w:r w:rsidRPr="00D24350">
        <w:rPr>
          <w:lang w:val="en-GB"/>
        </w:rPr>
        <w:t xml:space="preserve">As part of its consultations, the Committee heard many worrying testimonies from people receiving social security, which point to the need for significant changes to be made. Their critique mirrors closely that provided in the report of the recent Royal Commission into Robodebt. </w:t>
      </w:r>
    </w:p>
    <w:p w14:paraId="35670087" w14:textId="77777777" w:rsidR="00D24350" w:rsidRPr="00D24350" w:rsidRDefault="00D24350" w:rsidP="00D24350">
      <w:pPr>
        <w:rPr>
          <w:lang w:val="en-GB"/>
        </w:rPr>
      </w:pPr>
      <w:r w:rsidRPr="00D24350">
        <w:rPr>
          <w:lang w:val="en-GB"/>
        </w:rPr>
        <w:t xml:space="preserve">Many of the problems people outlined result from inadequacy of payments. Many others, relate to things that can be improved through reform of the operation of the system, delivering benefits to people receiving income support, who are important and equal citizens of our country. </w:t>
      </w:r>
    </w:p>
    <w:p w14:paraId="5882AE57" w14:textId="01988989" w:rsidR="00D24350" w:rsidRPr="00D24350" w:rsidRDefault="00D24350" w:rsidP="00D24350">
      <w:pPr>
        <w:rPr>
          <w:lang w:val="en-GB"/>
        </w:rPr>
      </w:pPr>
      <w:r w:rsidRPr="00D24350">
        <w:rPr>
          <w:lang w:val="en-GB"/>
        </w:rPr>
        <w:t xml:space="preserve">The Government must recognise that changing eligibility criteria for higher-paid payments like the pension and parenting payments has markedly changed the make-up of those receiving the JobSeeker Payment over the last two decades. People receiving JobSeeker Payment are now older and less capable of engaging in full-time, paid work. This underscores the need to lift the adequacy of this and related working-age payments as a priority. </w:t>
      </w:r>
    </w:p>
    <w:p w14:paraId="28672BBB" w14:textId="77777777" w:rsidR="00D24350" w:rsidRPr="00D24350" w:rsidRDefault="00D24350" w:rsidP="00D24350">
      <w:pPr>
        <w:rPr>
          <w:lang w:val="en-GB"/>
        </w:rPr>
      </w:pPr>
      <w:r w:rsidRPr="00D24350">
        <w:rPr>
          <w:lang w:val="en-GB"/>
        </w:rPr>
        <w:t xml:space="preserve">Other major problems stem from the culture of the system, much of which is based on claims for which there is little or no evidence: that the system is characterised by widespread fraud, and that people receiving income support do not value paid work and therefore must be shamed and coerced to seek employment by highly onerous activity and compliance requirements. A further and related cultural problem is the poor standard of service currently provided in some parts of the system, which, intentionally or not, deters people from claiming income support. </w:t>
      </w:r>
    </w:p>
    <w:p w14:paraId="19055C88" w14:textId="77777777" w:rsidR="00D24350" w:rsidRPr="00D24350" w:rsidRDefault="00D24350" w:rsidP="00D24350">
      <w:pPr>
        <w:rPr>
          <w:lang w:val="en-GB"/>
        </w:rPr>
      </w:pPr>
      <w:r w:rsidRPr="00D24350">
        <w:rPr>
          <w:lang w:val="en-GB"/>
        </w:rPr>
        <w:t xml:space="preserve">As a result, the system is becoming counter-productive. Instead of assisting Australians back into paid work and active community life, it causes unnecessary humiliation, stress and even trauma for some, due to the stigma and shame attached, as well as the delays, mistakes and imposed costs associated with claiming payments. </w:t>
      </w:r>
    </w:p>
    <w:p w14:paraId="18046D0B" w14:textId="394EB677" w:rsidR="000E7896" w:rsidRDefault="00D24350" w:rsidP="00D24350">
      <w:pPr>
        <w:rPr>
          <w:lang w:val="en-GB"/>
        </w:rPr>
      </w:pPr>
      <w:r w:rsidRPr="00D24350">
        <w:rPr>
          <w:lang w:val="en-GB"/>
        </w:rPr>
        <w:t>This chapter argues for leadership to provide the system with a new sense of purpose, with a more positive attitude towards people, and with improved and less compliance-based customer service.</w:t>
      </w:r>
    </w:p>
    <w:p w14:paraId="0B918748" w14:textId="77777777" w:rsidR="00C61B2A" w:rsidRDefault="00C61B2A">
      <w:pPr>
        <w:spacing w:after="0"/>
        <w:rPr>
          <w:lang w:val="en-GB"/>
        </w:rPr>
        <w:sectPr w:rsidR="00C61B2A" w:rsidSect="0039440B">
          <w:headerReference w:type="first" r:id="rId49"/>
          <w:footerReference w:type="first" r:id="rId50"/>
          <w:pgSz w:w="11906" w:h="16838"/>
          <w:pgMar w:top="1440" w:right="1440" w:bottom="1440" w:left="1440" w:header="708" w:footer="708" w:gutter="0"/>
          <w:cols w:space="708"/>
          <w:titlePg/>
          <w:docGrid w:linePitch="360"/>
        </w:sectPr>
      </w:pPr>
    </w:p>
    <w:p w14:paraId="5DFFCC55" w14:textId="7487DC7A" w:rsidR="000E7896" w:rsidRPr="00C61B2A" w:rsidRDefault="00262D09" w:rsidP="000E7896">
      <w:pPr>
        <w:pStyle w:val="Heading1"/>
        <w:rPr>
          <w:color w:val="F9F1E7" w:themeColor="background2"/>
        </w:rPr>
      </w:pPr>
      <w:bookmarkStart w:id="65" w:name="_Toc165366892"/>
      <w:r>
        <w:rPr>
          <w:noProof/>
        </w:rPr>
        <w:lastRenderedPageBreak/>
        <w:drawing>
          <wp:anchor distT="0" distB="0" distL="114300" distR="114300" simplePos="0" relativeHeight="251677696" behindDoc="1" locked="0" layoutInCell="1" allowOverlap="1" wp14:anchorId="61D9D834" wp14:editId="1B222E28">
            <wp:simplePos x="0" y="0"/>
            <wp:positionH relativeFrom="column">
              <wp:posOffset>-885825</wp:posOffset>
            </wp:positionH>
            <wp:positionV relativeFrom="paragraph">
              <wp:posOffset>-914400</wp:posOffset>
            </wp:positionV>
            <wp:extent cx="7560310" cy="10687050"/>
            <wp:effectExtent l="0" t="0" r="2540" b="0"/>
            <wp:wrapNone/>
            <wp:docPr id="645714639"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14639" name="Picture 25">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310" cy="10687050"/>
                    </a:xfrm>
                    <a:prstGeom prst="rect">
                      <a:avLst/>
                    </a:prstGeom>
                  </pic:spPr>
                </pic:pic>
              </a:graphicData>
            </a:graphic>
            <wp14:sizeRelH relativeFrom="page">
              <wp14:pctWidth>0</wp14:pctWidth>
            </wp14:sizeRelH>
            <wp14:sizeRelV relativeFrom="page">
              <wp14:pctHeight>0</wp14:pctHeight>
            </wp14:sizeRelV>
          </wp:anchor>
        </w:drawing>
      </w:r>
      <w:r w:rsidR="000E7896" w:rsidRPr="00C61B2A">
        <w:rPr>
          <w:color w:val="F9F1E7" w:themeColor="background2"/>
        </w:rPr>
        <w:t xml:space="preserve">Chapter 7: </w:t>
      </w:r>
      <w:r w:rsidR="00C61B2A" w:rsidRPr="00C61B2A">
        <w:rPr>
          <w:color w:val="F9F1E7" w:themeColor="background2"/>
        </w:rPr>
        <w:br/>
      </w:r>
      <w:r w:rsidR="000E7896" w:rsidRPr="00C61B2A">
        <w:rPr>
          <w:color w:val="F9F1E7" w:themeColor="background2"/>
        </w:rPr>
        <w:t>Assessing Government responses to the 2023 report</w:t>
      </w:r>
      <w:bookmarkEnd w:id="65"/>
    </w:p>
    <w:p w14:paraId="2C2D47AF" w14:textId="1E13B15C" w:rsidR="000E7896" w:rsidRDefault="000E7896">
      <w:pPr>
        <w:spacing w:after="0"/>
        <w:rPr>
          <w:rFonts w:eastAsiaTheme="majorEastAsia" w:cstheme="majorBidi"/>
          <w:b/>
          <w:color w:val="131727" w:themeColor="text1"/>
          <w:sz w:val="36"/>
          <w:szCs w:val="40"/>
        </w:rPr>
      </w:pPr>
      <w:r>
        <w:br w:type="page"/>
      </w:r>
    </w:p>
    <w:p w14:paraId="000BA053" w14:textId="43CB938A" w:rsidR="003F7709" w:rsidRPr="003F7709" w:rsidRDefault="003F7709" w:rsidP="003F7709">
      <w:pPr>
        <w:rPr>
          <w:rStyle w:val="Emphasis"/>
        </w:rPr>
      </w:pPr>
      <w:r w:rsidRPr="003F7709">
        <w:rPr>
          <w:rStyle w:val="Emphasis"/>
        </w:rPr>
        <w:lastRenderedPageBreak/>
        <w:t xml:space="preserve">The table below summarises The Committee’s assessment of Government responses to date to the recommendations of the Interim Economic Inclusion Advisory Committee’s 2023 Report. </w:t>
      </w:r>
    </w:p>
    <w:p w14:paraId="1B4A1467" w14:textId="59123384" w:rsidR="004061F3" w:rsidRDefault="003F7709" w:rsidP="003F7709">
      <w:r w:rsidRPr="003F7709">
        <w:t>The table identifies the Government response to each of the 37 recommendations of the 2023 report and comments on how far the recommendations have been implemented, as well as further monitoring to be undertaken by The Committee in future. The substantive chapters of this year’s report also provide a more detailed evaluation of action to date.</w:t>
      </w:r>
    </w:p>
    <w:tbl>
      <w:tblPr>
        <w:tblStyle w:val="TableGrid"/>
        <w:tblW w:w="0" w:type="auto"/>
        <w:tblLook w:val="04A0" w:firstRow="1" w:lastRow="0" w:firstColumn="1" w:lastColumn="0" w:noHBand="0" w:noVBand="1"/>
      </w:tblPr>
      <w:tblGrid>
        <w:gridCol w:w="3397"/>
        <w:gridCol w:w="1843"/>
        <w:gridCol w:w="3776"/>
      </w:tblGrid>
      <w:tr w:rsidR="0009306C" w14:paraId="5BBE757E" w14:textId="77777777" w:rsidTr="007F5623">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5E100547" w14:textId="0E5097AD" w:rsidR="0009306C" w:rsidRPr="00684925" w:rsidRDefault="0009306C" w:rsidP="0009306C">
            <w:pPr>
              <w:rPr>
                <w:color w:val="FFFFFF" w:themeColor="background1"/>
                <w:sz w:val="18"/>
                <w:szCs w:val="18"/>
              </w:rPr>
            </w:pPr>
            <w:bookmarkStart w:id="66" w:name="ColumnTitle_Table14"/>
            <w:bookmarkEnd w:id="66"/>
            <w:r w:rsidRPr="00684925">
              <w:rPr>
                <w:color w:val="FFFFFF" w:themeColor="background1"/>
                <w:sz w:val="18"/>
                <w:szCs w:val="18"/>
              </w:rPr>
              <w:t>Recommendation in the Committee’s 2023 report</w:t>
            </w:r>
          </w:p>
        </w:tc>
        <w:tc>
          <w:tcPr>
            <w:tcW w:w="1843" w:type="dxa"/>
            <w:vAlign w:val="center"/>
          </w:tcPr>
          <w:p w14:paraId="27A75740" w14:textId="4E2C9365" w:rsidR="0009306C" w:rsidRPr="00684925" w:rsidRDefault="0009306C" w:rsidP="0009306C">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59CAFFA6" w14:textId="1F1F7A16" w:rsidR="0009306C" w:rsidRPr="00684925" w:rsidRDefault="0009306C" w:rsidP="0009306C">
            <w:pPr>
              <w:rPr>
                <w:color w:val="FFFFFF" w:themeColor="background1"/>
                <w:sz w:val="18"/>
                <w:szCs w:val="18"/>
              </w:rPr>
            </w:pPr>
            <w:r w:rsidRPr="00684925">
              <w:rPr>
                <w:color w:val="FFFFFF" w:themeColor="background1"/>
                <w:sz w:val="18"/>
                <w:szCs w:val="18"/>
              </w:rPr>
              <w:t>The Committee comment</w:t>
            </w:r>
          </w:p>
        </w:tc>
      </w:tr>
      <w:tr w:rsidR="0009306C" w14:paraId="4DC72A95"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124A7715" w14:textId="5C2510C5" w:rsidR="0009306C" w:rsidRPr="009F44A8" w:rsidRDefault="0009306C" w:rsidP="0009306C">
            <w:pPr>
              <w:rPr>
                <w:b/>
                <w:bCs/>
                <w:sz w:val="18"/>
                <w:szCs w:val="18"/>
              </w:rPr>
            </w:pPr>
            <w:r w:rsidRPr="009F44A8">
              <w:rPr>
                <w:b/>
                <w:bCs/>
                <w:sz w:val="18"/>
                <w:szCs w:val="18"/>
              </w:rPr>
              <w:t>Adequacy of working age payments</w:t>
            </w:r>
          </w:p>
        </w:tc>
      </w:tr>
      <w:tr w:rsidR="0009306C" w14:paraId="3789A7D4" w14:textId="77777777" w:rsidTr="007F5623">
        <w:tc>
          <w:tcPr>
            <w:tcW w:w="3397" w:type="dxa"/>
          </w:tcPr>
          <w:p w14:paraId="34AE5C15" w14:textId="423AEC92" w:rsidR="0009306C" w:rsidRPr="0009306C" w:rsidRDefault="0009306C" w:rsidP="0009306C">
            <w:pPr>
              <w:rPr>
                <w:sz w:val="18"/>
                <w:szCs w:val="18"/>
              </w:rPr>
            </w:pPr>
            <w:r w:rsidRPr="0009306C">
              <w:rPr>
                <w:sz w:val="18"/>
                <w:szCs w:val="18"/>
              </w:rPr>
              <w:t>Recommendation 1</w:t>
            </w:r>
            <w:r w:rsidRPr="0009306C">
              <w:rPr>
                <w:sz w:val="18"/>
                <w:szCs w:val="18"/>
              </w:rPr>
              <w:br/>
              <w:t>The Government commit to a substantial increase in the base rates of JobSeeker Payment and related working age payments as a first priority.</w:t>
            </w:r>
          </w:p>
        </w:tc>
        <w:tc>
          <w:tcPr>
            <w:tcW w:w="1843" w:type="dxa"/>
          </w:tcPr>
          <w:p w14:paraId="200F6E64" w14:textId="704BA93C" w:rsidR="0009306C" w:rsidRPr="0009306C" w:rsidRDefault="0009306C" w:rsidP="0009306C">
            <w:pPr>
              <w:rPr>
                <w:sz w:val="18"/>
                <w:szCs w:val="18"/>
              </w:rPr>
            </w:pPr>
            <w:r w:rsidRPr="0009306C">
              <w:rPr>
                <w:sz w:val="18"/>
                <w:szCs w:val="18"/>
              </w:rPr>
              <w:t>Sustained priority in 2024 report</w:t>
            </w:r>
          </w:p>
        </w:tc>
        <w:tc>
          <w:tcPr>
            <w:tcW w:w="3776" w:type="dxa"/>
          </w:tcPr>
          <w:p w14:paraId="0B0AC73A" w14:textId="30CB16BA" w:rsidR="0009306C" w:rsidRPr="0009306C" w:rsidRDefault="0009306C" w:rsidP="0009306C">
            <w:pPr>
              <w:rPr>
                <w:sz w:val="18"/>
                <w:szCs w:val="18"/>
              </w:rPr>
            </w:pPr>
            <w:r w:rsidRPr="0009306C">
              <w:rPr>
                <w:sz w:val="18"/>
                <w:szCs w:val="18"/>
              </w:rPr>
              <w:t>The increase in the 2023-24 Budget is welcome, but the Committee considers that the level of JobSeeker and related payments continue to remain well below all measures of adequacy of payments and should be increased substantially. This remains the first priority in the Committee’s 2024 report.</w:t>
            </w:r>
          </w:p>
        </w:tc>
      </w:tr>
      <w:tr w:rsidR="0009306C" w14:paraId="0A274D11" w14:textId="77777777" w:rsidTr="007F5623">
        <w:trPr>
          <w:cnfStyle w:val="000000100000" w:firstRow="0" w:lastRow="0" w:firstColumn="0" w:lastColumn="0" w:oddVBand="0" w:evenVBand="0" w:oddHBand="1" w:evenHBand="0" w:firstRowFirstColumn="0" w:firstRowLastColumn="0" w:lastRowFirstColumn="0" w:lastRowLastColumn="0"/>
        </w:trPr>
        <w:tc>
          <w:tcPr>
            <w:tcW w:w="3397" w:type="dxa"/>
          </w:tcPr>
          <w:p w14:paraId="36F84CDA" w14:textId="7A33B562" w:rsidR="0009306C" w:rsidRPr="0009306C" w:rsidRDefault="0009306C" w:rsidP="0009306C">
            <w:pPr>
              <w:rPr>
                <w:sz w:val="18"/>
                <w:szCs w:val="18"/>
              </w:rPr>
            </w:pPr>
            <w:r w:rsidRPr="0009306C">
              <w:rPr>
                <w:sz w:val="18"/>
                <w:szCs w:val="18"/>
              </w:rPr>
              <w:t>Recommendation 2</w:t>
            </w:r>
            <w:r w:rsidRPr="0009306C">
              <w:rPr>
                <w:sz w:val="18"/>
                <w:szCs w:val="18"/>
              </w:rPr>
              <w:br/>
              <w:t>The Government commit to increase Commonwealth Rent Assistance and reform its indexation to better reflect rent paid.</w:t>
            </w:r>
          </w:p>
        </w:tc>
        <w:tc>
          <w:tcPr>
            <w:tcW w:w="1843" w:type="dxa"/>
          </w:tcPr>
          <w:p w14:paraId="6EA9230E" w14:textId="403EC21A" w:rsidR="0009306C" w:rsidRPr="0009306C" w:rsidRDefault="0009306C" w:rsidP="0009306C">
            <w:pPr>
              <w:rPr>
                <w:sz w:val="18"/>
                <w:szCs w:val="18"/>
              </w:rPr>
            </w:pPr>
            <w:r w:rsidRPr="0009306C">
              <w:rPr>
                <w:sz w:val="18"/>
                <w:szCs w:val="18"/>
              </w:rPr>
              <w:t>Sustained priority in 2024 report</w:t>
            </w:r>
          </w:p>
        </w:tc>
        <w:tc>
          <w:tcPr>
            <w:tcW w:w="3776" w:type="dxa"/>
          </w:tcPr>
          <w:p w14:paraId="69B2C473" w14:textId="39C1E858" w:rsidR="0009306C" w:rsidRPr="0009306C" w:rsidRDefault="0009306C" w:rsidP="0009306C">
            <w:pPr>
              <w:rPr>
                <w:sz w:val="18"/>
                <w:szCs w:val="18"/>
              </w:rPr>
            </w:pPr>
            <w:r w:rsidRPr="0009306C">
              <w:rPr>
                <w:sz w:val="18"/>
                <w:szCs w:val="18"/>
              </w:rPr>
              <w:t>The increase in Commonwealth Rent Assistance is welcome but as the 2024 report points out more work needs to be done to further increase the rate of Commonwealth Rent Assistance to address the long-term reduction in adequacy and better reflect rents currently paid.</w:t>
            </w:r>
          </w:p>
        </w:tc>
      </w:tr>
      <w:tr w:rsidR="0009306C" w14:paraId="3CACADAA" w14:textId="77777777" w:rsidTr="007F5623">
        <w:tc>
          <w:tcPr>
            <w:tcW w:w="3397" w:type="dxa"/>
          </w:tcPr>
          <w:p w14:paraId="20C43E20" w14:textId="5EFB430C" w:rsidR="0009306C" w:rsidRPr="0009306C" w:rsidRDefault="0009306C" w:rsidP="0009306C">
            <w:pPr>
              <w:rPr>
                <w:sz w:val="18"/>
                <w:szCs w:val="18"/>
              </w:rPr>
            </w:pPr>
            <w:r w:rsidRPr="0009306C">
              <w:rPr>
                <w:sz w:val="18"/>
                <w:szCs w:val="18"/>
              </w:rPr>
              <w:t>Recommendation 3</w:t>
            </w:r>
            <w:r w:rsidRPr="0009306C">
              <w:rPr>
                <w:sz w:val="18"/>
                <w:szCs w:val="18"/>
              </w:rPr>
              <w:br/>
              <w:t xml:space="preserve">The Government commit to a timeframe for the full increases to be implemented, if increases are to be staged. </w:t>
            </w:r>
          </w:p>
        </w:tc>
        <w:tc>
          <w:tcPr>
            <w:tcW w:w="1843" w:type="dxa"/>
          </w:tcPr>
          <w:p w14:paraId="239006E7" w14:textId="70667E6E" w:rsidR="0009306C" w:rsidRPr="0009306C" w:rsidRDefault="0009306C" w:rsidP="0009306C">
            <w:pPr>
              <w:rPr>
                <w:sz w:val="18"/>
                <w:szCs w:val="18"/>
              </w:rPr>
            </w:pPr>
            <w:r w:rsidRPr="0009306C">
              <w:rPr>
                <w:sz w:val="18"/>
                <w:szCs w:val="18"/>
              </w:rPr>
              <w:t>Sustained priority in 2024 report</w:t>
            </w:r>
          </w:p>
        </w:tc>
        <w:tc>
          <w:tcPr>
            <w:tcW w:w="3776" w:type="dxa"/>
          </w:tcPr>
          <w:p w14:paraId="67658503" w14:textId="2CCF1EF1" w:rsidR="0009306C" w:rsidRPr="0009306C" w:rsidRDefault="0009306C" w:rsidP="0009306C">
            <w:pPr>
              <w:rPr>
                <w:sz w:val="18"/>
                <w:szCs w:val="18"/>
              </w:rPr>
            </w:pPr>
            <w:r w:rsidRPr="0009306C">
              <w:rPr>
                <w:sz w:val="18"/>
                <w:szCs w:val="18"/>
              </w:rPr>
              <w:t>The Government has yet to commit to a timeframe for the full increases to be implemented, if increases are to be staged.</w:t>
            </w:r>
          </w:p>
        </w:tc>
      </w:tr>
      <w:tr w:rsidR="0009306C" w14:paraId="117CAB7F" w14:textId="77777777" w:rsidTr="007F5623">
        <w:trPr>
          <w:cnfStyle w:val="000000100000" w:firstRow="0" w:lastRow="0" w:firstColumn="0" w:lastColumn="0" w:oddVBand="0" w:evenVBand="0" w:oddHBand="1" w:evenHBand="0" w:firstRowFirstColumn="0" w:firstRowLastColumn="0" w:lastRowFirstColumn="0" w:lastRowLastColumn="0"/>
        </w:trPr>
        <w:tc>
          <w:tcPr>
            <w:tcW w:w="3397" w:type="dxa"/>
          </w:tcPr>
          <w:p w14:paraId="478F29F9" w14:textId="20E2D4B3" w:rsidR="0009306C" w:rsidRPr="0009306C" w:rsidRDefault="0009306C" w:rsidP="0009306C">
            <w:pPr>
              <w:rPr>
                <w:sz w:val="18"/>
                <w:szCs w:val="18"/>
              </w:rPr>
            </w:pPr>
            <w:r w:rsidRPr="0009306C">
              <w:rPr>
                <w:sz w:val="18"/>
                <w:szCs w:val="18"/>
              </w:rPr>
              <w:t>Recommendation 4</w:t>
            </w:r>
            <w:r w:rsidRPr="0009306C">
              <w:rPr>
                <w:sz w:val="18"/>
                <w:szCs w:val="18"/>
              </w:rPr>
              <w:br/>
              <w:t>The Government consider any increase in income support be accompanied by, but not contingent upon, major reform of employment services to support people who have been on payments for an extended period, including exploring demand-led and place-based approaches.</w:t>
            </w:r>
          </w:p>
        </w:tc>
        <w:tc>
          <w:tcPr>
            <w:tcW w:w="1843" w:type="dxa"/>
          </w:tcPr>
          <w:p w14:paraId="5A4A1FC7" w14:textId="42B5D6BF" w:rsidR="0009306C" w:rsidRPr="0009306C" w:rsidRDefault="0009306C" w:rsidP="0009306C">
            <w:pPr>
              <w:rPr>
                <w:sz w:val="18"/>
                <w:szCs w:val="18"/>
              </w:rPr>
            </w:pPr>
            <w:r w:rsidRPr="0009306C">
              <w:rPr>
                <w:sz w:val="18"/>
                <w:szCs w:val="18"/>
              </w:rPr>
              <w:t>Sustained priority in 2024 report</w:t>
            </w:r>
          </w:p>
        </w:tc>
        <w:tc>
          <w:tcPr>
            <w:tcW w:w="3776" w:type="dxa"/>
          </w:tcPr>
          <w:p w14:paraId="4F1B3912" w14:textId="77777777" w:rsidR="0009306C" w:rsidRPr="0009306C" w:rsidRDefault="0009306C" w:rsidP="0009306C">
            <w:pPr>
              <w:rPr>
                <w:sz w:val="18"/>
                <w:szCs w:val="18"/>
              </w:rPr>
            </w:pPr>
            <w:r w:rsidRPr="0009306C">
              <w:rPr>
                <w:sz w:val="18"/>
                <w:szCs w:val="18"/>
              </w:rPr>
              <w:t xml:space="preserve">Creating a new employment services system to underpin the goal of full employment is a priority recommendation in the 2024 report. </w:t>
            </w:r>
          </w:p>
          <w:p w14:paraId="68B20BD4" w14:textId="62695708" w:rsidR="0009306C" w:rsidRPr="0009306C" w:rsidRDefault="0009306C" w:rsidP="0009306C">
            <w:pPr>
              <w:rPr>
                <w:sz w:val="18"/>
                <w:szCs w:val="18"/>
              </w:rPr>
            </w:pPr>
            <w:r w:rsidRPr="0009306C">
              <w:rPr>
                <w:sz w:val="18"/>
                <w:szCs w:val="18"/>
              </w:rPr>
              <w:t>The Committee can continue to actively follow up in coming years as reforms are announced.</w:t>
            </w:r>
          </w:p>
        </w:tc>
      </w:tr>
    </w:tbl>
    <w:p w14:paraId="38E84393" w14:textId="77777777" w:rsidR="009F44A8" w:rsidRPr="009F44A8" w:rsidRDefault="009F44A8" w:rsidP="009F44A8">
      <w:pPr>
        <w:pStyle w:val="Heading4"/>
      </w:pPr>
      <w:r w:rsidRPr="009F44A8">
        <w:t xml:space="preserve">Relevant Government actions </w:t>
      </w:r>
    </w:p>
    <w:p w14:paraId="4175218A" w14:textId="77777777" w:rsidR="009F44A8" w:rsidRPr="009F44A8" w:rsidRDefault="009F44A8" w:rsidP="009F44A8">
      <w:pPr>
        <w:rPr>
          <w:lang w:val="en-GB"/>
        </w:rPr>
      </w:pPr>
      <w:r w:rsidRPr="009F44A8">
        <w:rPr>
          <w:lang w:val="en-GB"/>
        </w:rPr>
        <w:t>In the 2023-24 Budget, the Government announced $4.9 billion to increase working age and student payments by at least $40 per fortnight from 20 September 2023, including JobSeeker Payment, Youth Allowance, Parenting Payment (Partnered), Austudy, ABSTUDY, Disability Support Pension (Youth), and Special Benefit. This measure commenced from 20 September 2023, on the same day as indexation, and is benefitting around 1.1 million income support recipients by around $56 per fortnight.</w:t>
      </w:r>
    </w:p>
    <w:p w14:paraId="45947B62" w14:textId="77777777" w:rsidR="009F44A8" w:rsidRPr="009F44A8" w:rsidRDefault="009F44A8" w:rsidP="009F44A8">
      <w:pPr>
        <w:rPr>
          <w:lang w:val="en-GB"/>
        </w:rPr>
      </w:pPr>
      <w:r w:rsidRPr="009F44A8">
        <w:rPr>
          <w:lang w:val="en-GB"/>
        </w:rPr>
        <w:t>This measure also included extending eligibility for the existing higher rate of JobSeeker Payment to single recipients aged 55 to 59, who are on payment for nine or more continuous months. Previously the qualifying age for this higher rate was 60. The higher level of support for older recipients on JobSeeker Payment, the majority of whom are women (55 per cent), acknowledges the additional barriers they face when they are looking for work, such as age discrimination or poor health. More than 50,000 recipients aged 55-59 (on payment for 9 continuous months or more) have received an increase of $109 per fortnight.</w:t>
      </w:r>
    </w:p>
    <w:p w14:paraId="6C4E26AE" w14:textId="77777777" w:rsidR="009F44A8" w:rsidRPr="009F44A8" w:rsidRDefault="009F44A8" w:rsidP="009F44A8">
      <w:pPr>
        <w:rPr>
          <w:lang w:val="en-GB"/>
        </w:rPr>
      </w:pPr>
      <w:r w:rsidRPr="009F44A8">
        <w:rPr>
          <w:lang w:val="en-GB"/>
        </w:rPr>
        <w:lastRenderedPageBreak/>
        <w:t xml:space="preserve">The Government is also investing $1.9 billion to extend eligibility for Parenting Payment (Single) to single principal carers with a youngest dependent child under 14 years (up from 8 years). This measure has provided an increase to the maximum basic payment of $197.20 per fortnight and around 75,000 single parents with a youngest child aged 8 to 13 years are now benefiting from this measure.  </w:t>
      </w:r>
    </w:p>
    <w:p w14:paraId="0D2ED760" w14:textId="77777777" w:rsidR="009F44A8" w:rsidRPr="009F44A8" w:rsidRDefault="009F44A8" w:rsidP="009F44A8">
      <w:pPr>
        <w:rPr>
          <w:lang w:val="en-GB"/>
        </w:rPr>
      </w:pPr>
      <w:r w:rsidRPr="009F44A8">
        <w:rPr>
          <w:lang w:val="en-GB"/>
        </w:rPr>
        <w:t>The Government also invested $2.7 billion to provide additional support to around 1.1 million households, with the biggest increase to Commonwealth Rent Assistance in over three decades—a 15 per cent increase to the maximum rates of Commonwealth Rent Assistance.</w:t>
      </w:r>
    </w:p>
    <w:p w14:paraId="59094295" w14:textId="77777777" w:rsidR="009F44A8" w:rsidRPr="009F44A8" w:rsidRDefault="009F44A8" w:rsidP="009F44A8">
      <w:pPr>
        <w:rPr>
          <w:lang w:val="en-GB"/>
        </w:rPr>
      </w:pPr>
      <w:r w:rsidRPr="009F44A8">
        <w:rPr>
          <w:lang w:val="en-GB"/>
        </w:rPr>
        <w:t>With respect to employment services reform, the Government set out principles for future reform of employment services in its White Paper on Jobs and Opportunities (Employment White Paper). The House of Representatives Select Committee Review of Workforce Australia Employment Services recommended a new employment services system be developed and implemented.</w:t>
      </w:r>
    </w:p>
    <w:p w14:paraId="534C3D9F" w14:textId="77777777" w:rsidR="009F44A8" w:rsidRPr="009F44A8" w:rsidRDefault="009F44A8" w:rsidP="009F44A8">
      <w:pPr>
        <w:rPr>
          <w:lang w:val="en-GB"/>
        </w:rPr>
      </w:pPr>
      <w:r w:rsidRPr="009F44A8">
        <w:rPr>
          <w:lang w:val="en-GB"/>
        </w:rPr>
        <w:t xml:space="preserve">The Government has announced it will have a new Disability Employment Service from 1 July 2025. </w:t>
      </w:r>
    </w:p>
    <w:p w14:paraId="00872C3D" w14:textId="2EE4E164" w:rsidR="0009306C" w:rsidRDefault="009F44A8" w:rsidP="009F44A8">
      <w:pPr>
        <w:rPr>
          <w:lang w:val="en-GB"/>
        </w:rPr>
      </w:pPr>
      <w:r w:rsidRPr="009F44A8">
        <w:rPr>
          <w:lang w:val="en-GB"/>
        </w:rPr>
        <w:t>The Government has announced a new Remote Jobs and Economic Development Program to replace the Community Development Program and create 3,000 jobs in remote Australia.</w:t>
      </w:r>
    </w:p>
    <w:tbl>
      <w:tblPr>
        <w:tblStyle w:val="TableGrid"/>
        <w:tblW w:w="0" w:type="auto"/>
        <w:tblLook w:val="04A0" w:firstRow="1" w:lastRow="0" w:firstColumn="1" w:lastColumn="0" w:noHBand="0" w:noVBand="1"/>
      </w:tblPr>
      <w:tblGrid>
        <w:gridCol w:w="3295"/>
        <w:gridCol w:w="1803"/>
        <w:gridCol w:w="3918"/>
      </w:tblGrid>
      <w:tr w:rsidR="007F5623" w14:paraId="273C7A16" w14:textId="77777777" w:rsidTr="007F5623">
        <w:trPr>
          <w:cnfStyle w:val="100000000000" w:firstRow="1" w:lastRow="0" w:firstColumn="0" w:lastColumn="0" w:oddVBand="0" w:evenVBand="0" w:oddHBand="0" w:evenHBand="0" w:firstRowFirstColumn="0" w:firstRowLastColumn="0" w:lastRowFirstColumn="0" w:lastRowLastColumn="0"/>
        </w:trPr>
        <w:tc>
          <w:tcPr>
            <w:tcW w:w="3295" w:type="dxa"/>
            <w:vAlign w:val="center"/>
          </w:tcPr>
          <w:p w14:paraId="3EE248D1" w14:textId="77777777" w:rsidR="007F5623" w:rsidRPr="00684925" w:rsidRDefault="007F5623" w:rsidP="007F5623">
            <w:pPr>
              <w:rPr>
                <w:color w:val="FFFFFF" w:themeColor="background1"/>
                <w:sz w:val="18"/>
                <w:szCs w:val="18"/>
              </w:rPr>
            </w:pPr>
            <w:r w:rsidRPr="00684925">
              <w:rPr>
                <w:color w:val="FFFFFF" w:themeColor="background1"/>
                <w:sz w:val="18"/>
                <w:szCs w:val="18"/>
              </w:rPr>
              <w:t>Recommendation in the Committee’s 2023 report</w:t>
            </w:r>
          </w:p>
        </w:tc>
        <w:tc>
          <w:tcPr>
            <w:tcW w:w="1803" w:type="dxa"/>
            <w:vAlign w:val="center"/>
          </w:tcPr>
          <w:p w14:paraId="0A106141" w14:textId="77777777" w:rsidR="007F5623" w:rsidRPr="00684925" w:rsidRDefault="007F5623" w:rsidP="007F5623">
            <w:pPr>
              <w:rPr>
                <w:color w:val="FFFFFF" w:themeColor="background1"/>
                <w:sz w:val="18"/>
                <w:szCs w:val="18"/>
              </w:rPr>
            </w:pPr>
            <w:r w:rsidRPr="00684925">
              <w:rPr>
                <w:color w:val="FFFFFF" w:themeColor="background1"/>
                <w:sz w:val="18"/>
                <w:szCs w:val="18"/>
              </w:rPr>
              <w:t>The Committee response</w:t>
            </w:r>
          </w:p>
        </w:tc>
        <w:tc>
          <w:tcPr>
            <w:tcW w:w="3918" w:type="dxa"/>
            <w:vAlign w:val="center"/>
          </w:tcPr>
          <w:p w14:paraId="316FC099" w14:textId="77777777" w:rsidR="007F5623" w:rsidRPr="00684925" w:rsidRDefault="007F5623" w:rsidP="007F5623">
            <w:pPr>
              <w:rPr>
                <w:color w:val="FFFFFF" w:themeColor="background1"/>
                <w:sz w:val="18"/>
                <w:szCs w:val="18"/>
              </w:rPr>
            </w:pPr>
            <w:r w:rsidRPr="00684925">
              <w:rPr>
                <w:color w:val="FFFFFF" w:themeColor="background1"/>
                <w:sz w:val="18"/>
                <w:szCs w:val="18"/>
              </w:rPr>
              <w:t>The Committee comment</w:t>
            </w:r>
          </w:p>
        </w:tc>
      </w:tr>
      <w:tr w:rsidR="007F5623" w14:paraId="4CF3FC22"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562462ED" w14:textId="4E33C28B" w:rsidR="007F5623" w:rsidRPr="00684925" w:rsidRDefault="007F5623" w:rsidP="007F5623">
            <w:pPr>
              <w:rPr>
                <w:b/>
                <w:bCs/>
                <w:sz w:val="18"/>
                <w:szCs w:val="18"/>
              </w:rPr>
            </w:pPr>
            <w:r w:rsidRPr="00684925">
              <w:rPr>
                <w:b/>
                <w:bCs/>
                <w:sz w:val="18"/>
                <w:szCs w:val="18"/>
              </w:rPr>
              <w:t>Full employment objective</w:t>
            </w:r>
          </w:p>
        </w:tc>
      </w:tr>
      <w:tr w:rsidR="00FD0395" w14:paraId="0572664E" w14:textId="77777777" w:rsidTr="007F5623">
        <w:tc>
          <w:tcPr>
            <w:tcW w:w="3295" w:type="dxa"/>
          </w:tcPr>
          <w:p w14:paraId="471C7C9E" w14:textId="488DB1EB" w:rsidR="007F5623" w:rsidRPr="007F5623" w:rsidRDefault="007F5623" w:rsidP="007F5623">
            <w:pPr>
              <w:rPr>
                <w:sz w:val="18"/>
                <w:szCs w:val="18"/>
              </w:rPr>
            </w:pPr>
            <w:r w:rsidRPr="007F5623">
              <w:rPr>
                <w:sz w:val="18"/>
                <w:szCs w:val="18"/>
              </w:rPr>
              <w:t>Recommendation 5</w:t>
            </w:r>
            <w:r w:rsidRPr="007F5623">
              <w:rPr>
                <w:sz w:val="18"/>
                <w:szCs w:val="18"/>
              </w:rPr>
              <w:br/>
              <w:t>The Government commit to a full employment objective as a critical means of maximising economic inclusion</w:t>
            </w:r>
          </w:p>
        </w:tc>
        <w:tc>
          <w:tcPr>
            <w:tcW w:w="1803" w:type="dxa"/>
          </w:tcPr>
          <w:p w14:paraId="2AE59231" w14:textId="5401BF18" w:rsidR="007F5623" w:rsidRPr="007F5623" w:rsidRDefault="007F5623" w:rsidP="007F5623">
            <w:pPr>
              <w:rPr>
                <w:sz w:val="18"/>
                <w:szCs w:val="18"/>
              </w:rPr>
            </w:pPr>
            <w:r>
              <w:rPr>
                <w:sz w:val="18"/>
                <w:szCs w:val="18"/>
              </w:rPr>
              <w:t>Achieved – monitor implementation</w:t>
            </w:r>
          </w:p>
        </w:tc>
        <w:tc>
          <w:tcPr>
            <w:tcW w:w="3918" w:type="dxa"/>
          </w:tcPr>
          <w:p w14:paraId="25B2B422" w14:textId="77777777" w:rsidR="007F5623" w:rsidRPr="007F5623" w:rsidRDefault="007F5623" w:rsidP="007F5623">
            <w:pPr>
              <w:rPr>
                <w:sz w:val="18"/>
                <w:szCs w:val="18"/>
              </w:rPr>
            </w:pPr>
            <w:r w:rsidRPr="007F5623">
              <w:rPr>
                <w:sz w:val="18"/>
                <w:szCs w:val="18"/>
              </w:rPr>
              <w:t xml:space="preserve">The commitment in Employment White Paper achieves this recommendation made by the Committee. </w:t>
            </w:r>
          </w:p>
          <w:p w14:paraId="53B538D1" w14:textId="77777777" w:rsidR="007F5623" w:rsidRPr="007F5623" w:rsidRDefault="007F5623" w:rsidP="007F5623">
            <w:pPr>
              <w:rPr>
                <w:sz w:val="18"/>
                <w:szCs w:val="18"/>
              </w:rPr>
            </w:pPr>
            <w:r w:rsidRPr="007F5623">
              <w:rPr>
                <w:sz w:val="18"/>
                <w:szCs w:val="18"/>
              </w:rPr>
              <w:t>Next steps for the Committee through future work can be to:</w:t>
            </w:r>
          </w:p>
          <w:p w14:paraId="6A519A2B" w14:textId="77777777" w:rsidR="007F5623" w:rsidRPr="007F5623" w:rsidRDefault="007F5623" w:rsidP="007F5623">
            <w:pPr>
              <w:rPr>
                <w:sz w:val="18"/>
                <w:szCs w:val="18"/>
              </w:rPr>
            </w:pPr>
            <w:r w:rsidRPr="007F5623">
              <w:rPr>
                <w:sz w:val="18"/>
                <w:szCs w:val="18"/>
              </w:rPr>
              <w:t>1] Support the establishment in policy-making processes of this objective and the method for determining the sustainable rate of labour underutilisation detailed in the Employment White Paper; and</w:t>
            </w:r>
          </w:p>
          <w:p w14:paraId="44261EA5" w14:textId="57944135" w:rsidR="007F5623" w:rsidRPr="007F5623" w:rsidRDefault="007F5623" w:rsidP="007F5623">
            <w:pPr>
              <w:rPr>
                <w:sz w:val="18"/>
                <w:szCs w:val="18"/>
              </w:rPr>
            </w:pPr>
            <w:r w:rsidRPr="007F5623">
              <w:rPr>
                <w:sz w:val="18"/>
                <w:szCs w:val="18"/>
              </w:rPr>
              <w:t>2] Have an annual process of evaluating whether the full employment objective is being achieved; and engaging with the Government as to how the objective can be best achieved.</w:t>
            </w:r>
          </w:p>
        </w:tc>
      </w:tr>
      <w:tr w:rsidR="00FD0395" w14:paraId="436E770A"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10CB60F5" w14:textId="17631CF3" w:rsidR="007F5623" w:rsidRPr="007F5623" w:rsidRDefault="007F5623" w:rsidP="007F5623">
            <w:pPr>
              <w:rPr>
                <w:sz w:val="18"/>
                <w:szCs w:val="18"/>
              </w:rPr>
            </w:pPr>
            <w:r w:rsidRPr="007F5623">
              <w:rPr>
                <w:sz w:val="18"/>
                <w:szCs w:val="18"/>
              </w:rPr>
              <w:t>Recommendation 6</w:t>
            </w:r>
            <w:r w:rsidRPr="007F5623">
              <w:rPr>
                <w:sz w:val="18"/>
                <w:szCs w:val="18"/>
              </w:rPr>
              <w:br/>
              <w:t xml:space="preserve">The Government commit to a full employment objective receiving increased weight in the design of macroeconomic policy – both monetary and fiscal. </w:t>
            </w:r>
          </w:p>
        </w:tc>
        <w:tc>
          <w:tcPr>
            <w:tcW w:w="1803" w:type="dxa"/>
          </w:tcPr>
          <w:p w14:paraId="65534755" w14:textId="218FAC97" w:rsidR="007F5623" w:rsidRPr="007F5623" w:rsidRDefault="007F5623" w:rsidP="007F5623">
            <w:pPr>
              <w:rPr>
                <w:sz w:val="18"/>
                <w:szCs w:val="18"/>
              </w:rPr>
            </w:pPr>
            <w:r>
              <w:rPr>
                <w:sz w:val="18"/>
                <w:szCs w:val="18"/>
              </w:rPr>
              <w:t>Achieved – monitor implementation</w:t>
            </w:r>
          </w:p>
        </w:tc>
        <w:tc>
          <w:tcPr>
            <w:tcW w:w="3918" w:type="dxa"/>
          </w:tcPr>
          <w:p w14:paraId="40699C0E" w14:textId="77777777" w:rsidR="007F5623" w:rsidRPr="007F5623" w:rsidRDefault="007F5623" w:rsidP="007F5623">
            <w:pPr>
              <w:rPr>
                <w:sz w:val="18"/>
                <w:szCs w:val="18"/>
              </w:rPr>
            </w:pPr>
            <w:r w:rsidRPr="007F5623">
              <w:rPr>
                <w:sz w:val="18"/>
                <w:szCs w:val="18"/>
              </w:rPr>
              <w:t xml:space="preserve">That the Employment White Paper increases the weight placed on the full employment objective can be seen from use of the term ‘sustained’ and clarification of the RBA as having the ‘dual mandate of price stability and full employment’ (p.39), juxtaposed against statements such as ‘the Australian economy has rarely achieved full employment for extended periods’ (p.26); and discussion of policy making in the second half of 2010s.  </w:t>
            </w:r>
          </w:p>
          <w:p w14:paraId="46E467C9" w14:textId="2E94AE23" w:rsidR="007F5623" w:rsidRPr="007F5623" w:rsidRDefault="007F5623" w:rsidP="007F5623">
            <w:pPr>
              <w:rPr>
                <w:sz w:val="18"/>
                <w:szCs w:val="18"/>
              </w:rPr>
            </w:pPr>
            <w:r w:rsidRPr="007F5623">
              <w:rPr>
                <w:sz w:val="18"/>
                <w:szCs w:val="18"/>
              </w:rPr>
              <w:t xml:space="preserve">The Government also committed in its response to the review into the RBA to strengthen and clarify the RBA’s mandate and clarify that “Australia’s monetary policy framework will have the dual objectives of price stability and full employment” (20 April 2023). The Statement on the Conduct of Monetary Policy has been agreed between the Treasurer and Reserve Bank Board and was announced on 8 December 2023. The Statement clarifies that the RBA’s mandate for monetary policy is to contribute to both price </w:t>
            </w:r>
            <w:r w:rsidRPr="007F5623">
              <w:rPr>
                <w:sz w:val="18"/>
                <w:szCs w:val="18"/>
              </w:rPr>
              <w:lastRenderedPageBreak/>
              <w:t xml:space="preserve">stability and full employment. A role for the Committee is to support the establishment of this mandate in policy-making processes. </w:t>
            </w:r>
          </w:p>
        </w:tc>
      </w:tr>
      <w:tr w:rsidR="00FD0395" w14:paraId="41FB97A4" w14:textId="77777777" w:rsidTr="007F5623">
        <w:tc>
          <w:tcPr>
            <w:tcW w:w="3295" w:type="dxa"/>
          </w:tcPr>
          <w:p w14:paraId="7FD99F7C" w14:textId="478345C3" w:rsidR="007F5623" w:rsidRPr="007F5623" w:rsidRDefault="007F5623" w:rsidP="007F5623">
            <w:pPr>
              <w:rPr>
                <w:sz w:val="18"/>
                <w:szCs w:val="18"/>
              </w:rPr>
            </w:pPr>
            <w:r w:rsidRPr="007F5623">
              <w:rPr>
                <w:sz w:val="18"/>
                <w:szCs w:val="18"/>
              </w:rPr>
              <w:lastRenderedPageBreak/>
              <w:t>Recommendation 7</w:t>
            </w:r>
            <w:r w:rsidRPr="007F5623">
              <w:rPr>
                <w:sz w:val="18"/>
                <w:szCs w:val="18"/>
              </w:rPr>
              <w:br/>
              <w:t xml:space="preserve">The Government commit to a full employment objective including a target for labour utilisation that encompasses both unemployment and underemployment; ideally expressed as a (hours-based) rate of labour underutilisation. </w:t>
            </w:r>
          </w:p>
        </w:tc>
        <w:tc>
          <w:tcPr>
            <w:tcW w:w="1803" w:type="dxa"/>
          </w:tcPr>
          <w:p w14:paraId="5AC8449E" w14:textId="7561FC59" w:rsidR="007F5623" w:rsidRPr="007F5623" w:rsidRDefault="007F5623" w:rsidP="007F5623">
            <w:pPr>
              <w:rPr>
                <w:sz w:val="18"/>
                <w:szCs w:val="18"/>
              </w:rPr>
            </w:pPr>
            <w:r w:rsidRPr="007F5623">
              <w:rPr>
                <w:sz w:val="18"/>
                <w:szCs w:val="18"/>
              </w:rPr>
              <w:t>Achieved – monitor implementation</w:t>
            </w:r>
          </w:p>
        </w:tc>
        <w:tc>
          <w:tcPr>
            <w:tcW w:w="3918" w:type="dxa"/>
          </w:tcPr>
          <w:p w14:paraId="4FFD42E1" w14:textId="000C7CC0" w:rsidR="007F5623" w:rsidRPr="007F5623" w:rsidRDefault="007F5623" w:rsidP="007F5623">
            <w:pPr>
              <w:rPr>
                <w:sz w:val="18"/>
                <w:szCs w:val="18"/>
              </w:rPr>
            </w:pPr>
            <w:r w:rsidRPr="007F5623">
              <w:rPr>
                <w:sz w:val="18"/>
                <w:szCs w:val="18"/>
              </w:rPr>
              <w:t xml:space="preserve">Rather than committing specifically that a numerical target should encompass both unemployment and underemployment, the Employment White Paper recommends a ‘broad suite of measures to gauge the extent of current underutilisation and track progress towards the longer-term full employment objective’. This suite includes measures of labour underutilisation.  To implement the full employment objective, the end point in the policy making process will need to be set a numerical target.  By proposing that a broad suite of indicators should be used in that process, the Employment White Paper does shift policy making substantially towards the Committee recommendation, and away from basing policy on a target based on unemployment. </w:t>
            </w:r>
          </w:p>
        </w:tc>
      </w:tr>
      <w:tr w:rsidR="007F5623" w14:paraId="5E98F768"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01E2FE1F" w14:textId="77777777" w:rsidR="007F5623" w:rsidRPr="007F5623" w:rsidRDefault="007F5623" w:rsidP="007F5623">
            <w:pPr>
              <w:rPr>
                <w:sz w:val="18"/>
                <w:szCs w:val="18"/>
              </w:rPr>
            </w:pPr>
            <w:r w:rsidRPr="007F5623">
              <w:rPr>
                <w:sz w:val="18"/>
                <w:szCs w:val="18"/>
              </w:rPr>
              <w:t>Recommendation 8</w:t>
            </w:r>
            <w:r w:rsidRPr="007F5623">
              <w:rPr>
                <w:sz w:val="18"/>
                <w:szCs w:val="18"/>
              </w:rPr>
              <w:br/>
              <w:t xml:space="preserve">The Government commit to an appropriate full employment target for labour utilisation, based on recent labour market outcomes, at a rate of unemployment close to 3.5 per cent.  Moreover, there still being uncertainty about what the rate of unemployment can be reduced to without causing excessive wage inflation, the possibility that the target rate should be lower needs to motivate macroeconomic policy.  [Expressed in terms of labour underutilisation incorporating both unemployment and underemployment, this corresponds to a target for the Australian Bureau of Statistics (ABS) (hours-based) rate of labour underutilisation of 5 to 5.5 per cent.] </w:t>
            </w:r>
          </w:p>
          <w:p w14:paraId="14A69508" w14:textId="77777777" w:rsidR="007F5623" w:rsidRPr="007F5623" w:rsidRDefault="007F5623" w:rsidP="007F5623">
            <w:pPr>
              <w:rPr>
                <w:sz w:val="18"/>
                <w:szCs w:val="18"/>
              </w:rPr>
            </w:pPr>
          </w:p>
        </w:tc>
        <w:tc>
          <w:tcPr>
            <w:tcW w:w="1803" w:type="dxa"/>
          </w:tcPr>
          <w:p w14:paraId="55B01B89" w14:textId="78A10ADE" w:rsidR="007F5623" w:rsidRPr="007F5623" w:rsidRDefault="007F5623" w:rsidP="007F5623">
            <w:pPr>
              <w:rPr>
                <w:sz w:val="18"/>
                <w:szCs w:val="18"/>
              </w:rPr>
            </w:pPr>
            <w:r w:rsidRPr="007F5623">
              <w:rPr>
                <w:sz w:val="18"/>
                <w:szCs w:val="18"/>
              </w:rPr>
              <w:t xml:space="preserve">Achieved </w:t>
            </w:r>
            <w:r>
              <w:rPr>
                <w:sz w:val="18"/>
                <w:szCs w:val="18"/>
              </w:rPr>
              <w:t xml:space="preserve">in part </w:t>
            </w:r>
            <w:r w:rsidRPr="007F5623">
              <w:rPr>
                <w:sz w:val="18"/>
                <w:szCs w:val="18"/>
              </w:rPr>
              <w:t>– monitor implementation</w:t>
            </w:r>
          </w:p>
        </w:tc>
        <w:tc>
          <w:tcPr>
            <w:tcW w:w="3918" w:type="dxa"/>
          </w:tcPr>
          <w:p w14:paraId="14A79CF6" w14:textId="77777777" w:rsidR="007F5623" w:rsidRPr="007F5623" w:rsidRDefault="007F5623" w:rsidP="007F5623">
            <w:pPr>
              <w:rPr>
                <w:sz w:val="18"/>
                <w:szCs w:val="18"/>
              </w:rPr>
            </w:pPr>
            <w:r w:rsidRPr="007F5623">
              <w:rPr>
                <w:sz w:val="18"/>
                <w:szCs w:val="18"/>
              </w:rPr>
              <w:t xml:space="preserve">The Employment White Paper may not have been the appropriate place for the Government to commit to a specific numerical target.  White Papers set out long-term policy strategy, whereas a numerical target for labour underutilisation is likely to vary over time. The Employment White Paper has appropriately provided a definition of full employment and a process for getting from that definition to a numerical target at any point in time, based on information from a broad set of indicators.  </w:t>
            </w:r>
          </w:p>
          <w:p w14:paraId="7D3D3EF0" w14:textId="77777777" w:rsidR="007F5623" w:rsidRPr="007F5623" w:rsidRDefault="007F5623" w:rsidP="007F5623">
            <w:pPr>
              <w:rPr>
                <w:sz w:val="18"/>
                <w:szCs w:val="18"/>
              </w:rPr>
            </w:pPr>
            <w:r w:rsidRPr="007F5623">
              <w:rPr>
                <w:sz w:val="18"/>
                <w:szCs w:val="18"/>
              </w:rPr>
              <w:t>What is required as the next step is for both the Government and RBA is to follow the process specified in the White Paper to say what rate of labour underutilisation they believe is consistent with the objective of ‘sustained full employment’.</w:t>
            </w:r>
          </w:p>
          <w:p w14:paraId="31A47885" w14:textId="77777777" w:rsidR="007F5623" w:rsidRPr="007F5623" w:rsidRDefault="007F5623" w:rsidP="007F5623">
            <w:pPr>
              <w:rPr>
                <w:sz w:val="18"/>
                <w:szCs w:val="18"/>
              </w:rPr>
            </w:pPr>
            <w:r w:rsidRPr="007F5623">
              <w:rPr>
                <w:sz w:val="18"/>
                <w:szCs w:val="18"/>
              </w:rPr>
              <w:t xml:space="preserve">The Committee remains of the view that an appropriate target for full employment is a rate of unemployment close to 3.5 per cent. Wage growth should be the primary indicator of a potential trade-off between price inflation and full employment objectives. Present evidence is that wage growth would not be excessive at that rate of unemployment.  </w:t>
            </w:r>
          </w:p>
          <w:p w14:paraId="601D497C" w14:textId="0DB05F69" w:rsidR="007F5623" w:rsidRPr="007F5623" w:rsidRDefault="007F5623" w:rsidP="007F5623">
            <w:pPr>
              <w:rPr>
                <w:sz w:val="18"/>
                <w:szCs w:val="18"/>
              </w:rPr>
            </w:pPr>
            <w:r w:rsidRPr="007F5623">
              <w:rPr>
                <w:sz w:val="18"/>
                <w:szCs w:val="18"/>
              </w:rPr>
              <w:t>More generally, the Committee believes that the process for establishing the numerical target for full employment from the broad set of indicators needs to be transparent and to place appropriate weight on each of those indicators.</w:t>
            </w:r>
          </w:p>
        </w:tc>
      </w:tr>
      <w:tr w:rsidR="007F5623" w14:paraId="641FFB69" w14:textId="77777777" w:rsidTr="007F5623">
        <w:tc>
          <w:tcPr>
            <w:tcW w:w="3295" w:type="dxa"/>
          </w:tcPr>
          <w:p w14:paraId="52BB4A5D" w14:textId="4248F17F" w:rsidR="007F5623" w:rsidRPr="007F5623" w:rsidRDefault="007F5623" w:rsidP="007F5623">
            <w:pPr>
              <w:rPr>
                <w:sz w:val="18"/>
                <w:szCs w:val="18"/>
              </w:rPr>
            </w:pPr>
            <w:r w:rsidRPr="007F5623">
              <w:rPr>
                <w:sz w:val="18"/>
                <w:szCs w:val="18"/>
              </w:rPr>
              <w:t>Recommendation 9</w:t>
            </w:r>
            <w:r w:rsidRPr="007F5623">
              <w:rPr>
                <w:sz w:val="18"/>
                <w:szCs w:val="18"/>
              </w:rPr>
              <w:br/>
              <w:t xml:space="preserve">The Government commit to a full employment objective incorporating the objective of achieving high rates of labour utilisation for specific groups who face high barriers to employment and economic inclusion. For example, First Nations people, people with a </w:t>
            </w:r>
            <w:r w:rsidRPr="007F5623">
              <w:rPr>
                <w:sz w:val="18"/>
                <w:szCs w:val="18"/>
              </w:rPr>
              <w:lastRenderedPageBreak/>
              <w:t xml:space="preserve">disability, young disengaged people, refugees and recent immigrants from Culturally and Linguistically diverse (CALD) backgrounds, people living in regions with low levels of employment opportunity, and homeless people or people with insecure housing.  </w:t>
            </w:r>
          </w:p>
        </w:tc>
        <w:tc>
          <w:tcPr>
            <w:tcW w:w="1803" w:type="dxa"/>
          </w:tcPr>
          <w:p w14:paraId="7620BAC2" w14:textId="6AB321AF" w:rsidR="007F5623" w:rsidRPr="007F5623" w:rsidRDefault="007F5623" w:rsidP="007F5623">
            <w:pPr>
              <w:rPr>
                <w:sz w:val="18"/>
                <w:szCs w:val="18"/>
              </w:rPr>
            </w:pPr>
            <w:r w:rsidRPr="007F5623">
              <w:rPr>
                <w:sz w:val="18"/>
                <w:szCs w:val="18"/>
              </w:rPr>
              <w:lastRenderedPageBreak/>
              <w:t>Achieved – monitor implementation</w:t>
            </w:r>
          </w:p>
        </w:tc>
        <w:tc>
          <w:tcPr>
            <w:tcW w:w="3918" w:type="dxa"/>
          </w:tcPr>
          <w:p w14:paraId="65BB3A5A" w14:textId="77777777" w:rsidR="007F5623" w:rsidRPr="007F5623" w:rsidRDefault="007F5623" w:rsidP="007F5623">
            <w:pPr>
              <w:rPr>
                <w:sz w:val="18"/>
                <w:szCs w:val="18"/>
              </w:rPr>
            </w:pPr>
            <w:r w:rsidRPr="007F5623">
              <w:rPr>
                <w:sz w:val="18"/>
                <w:szCs w:val="18"/>
              </w:rPr>
              <w:t>The commitment in Employment White Paper achieves this recommendation.</w:t>
            </w:r>
          </w:p>
          <w:p w14:paraId="60A990AC" w14:textId="5ABA7DAA" w:rsidR="007F5623" w:rsidRPr="007F5623" w:rsidRDefault="007F5623" w:rsidP="007F5623">
            <w:pPr>
              <w:rPr>
                <w:sz w:val="18"/>
                <w:szCs w:val="18"/>
              </w:rPr>
            </w:pPr>
            <w:r w:rsidRPr="007F5623">
              <w:rPr>
                <w:sz w:val="18"/>
                <w:szCs w:val="18"/>
              </w:rPr>
              <w:t>The Committee can monitor outcomes for groups facing high barriers to employment.  Funding has been provided for the ABS to develop and implement improved measures of barriers to work.</w:t>
            </w:r>
          </w:p>
        </w:tc>
      </w:tr>
      <w:tr w:rsidR="007F5623" w14:paraId="454879D5" w14:textId="77777777" w:rsidTr="007F5623">
        <w:trPr>
          <w:cnfStyle w:val="000000100000" w:firstRow="0" w:lastRow="0" w:firstColumn="0" w:lastColumn="0" w:oddVBand="0" w:evenVBand="0" w:oddHBand="1" w:evenHBand="0" w:firstRowFirstColumn="0" w:firstRowLastColumn="0" w:lastRowFirstColumn="0" w:lastRowLastColumn="0"/>
        </w:trPr>
        <w:tc>
          <w:tcPr>
            <w:tcW w:w="3295" w:type="dxa"/>
          </w:tcPr>
          <w:p w14:paraId="08F56A13" w14:textId="50853C38" w:rsidR="007F5623" w:rsidRPr="007F5623" w:rsidRDefault="007F5623" w:rsidP="007F5623">
            <w:pPr>
              <w:rPr>
                <w:sz w:val="18"/>
                <w:szCs w:val="18"/>
              </w:rPr>
            </w:pPr>
            <w:r w:rsidRPr="007F5623">
              <w:rPr>
                <w:sz w:val="18"/>
                <w:szCs w:val="18"/>
              </w:rPr>
              <w:t>Recommendation 10</w:t>
            </w:r>
            <w:r w:rsidRPr="007F5623">
              <w:rPr>
                <w:sz w:val="18"/>
                <w:szCs w:val="18"/>
              </w:rPr>
              <w:br/>
              <w:t xml:space="preserve">The Government explore broadening the full employment objective to encompass issues of job quality, for example, for inclusion in the set of Wellbeing Indicators for the 2023-24 Budget and through the Employment White Paper process. That similarly, the House Select Committee inquiry into Workforce Australia Employment Services takes a broad perspective on the objectives of the employment services system. </w:t>
            </w:r>
          </w:p>
        </w:tc>
        <w:tc>
          <w:tcPr>
            <w:tcW w:w="1803" w:type="dxa"/>
          </w:tcPr>
          <w:p w14:paraId="49F313FF" w14:textId="6C364C41" w:rsidR="007F5623" w:rsidRPr="007F5623" w:rsidRDefault="007F5623" w:rsidP="007F5623">
            <w:pPr>
              <w:rPr>
                <w:sz w:val="18"/>
                <w:szCs w:val="18"/>
              </w:rPr>
            </w:pPr>
            <w:r w:rsidRPr="007F5623">
              <w:rPr>
                <w:sz w:val="18"/>
                <w:szCs w:val="18"/>
              </w:rPr>
              <w:t>Achieved – monitor implementation</w:t>
            </w:r>
          </w:p>
        </w:tc>
        <w:tc>
          <w:tcPr>
            <w:tcW w:w="3918" w:type="dxa"/>
          </w:tcPr>
          <w:p w14:paraId="72520578" w14:textId="77777777" w:rsidR="007F5623" w:rsidRPr="007F5623" w:rsidRDefault="007F5623" w:rsidP="007F5623">
            <w:pPr>
              <w:rPr>
                <w:sz w:val="18"/>
                <w:szCs w:val="18"/>
              </w:rPr>
            </w:pPr>
            <w:r w:rsidRPr="007F5623">
              <w:rPr>
                <w:sz w:val="18"/>
                <w:szCs w:val="18"/>
              </w:rPr>
              <w:t>Commitments in Employment White Paper achieve this recommendation.</w:t>
            </w:r>
          </w:p>
          <w:p w14:paraId="4FA8BC76" w14:textId="77777777" w:rsidR="007F5623" w:rsidRPr="007F5623" w:rsidRDefault="007F5623" w:rsidP="007F5623">
            <w:pPr>
              <w:rPr>
                <w:sz w:val="18"/>
                <w:szCs w:val="18"/>
              </w:rPr>
            </w:pPr>
            <w:r w:rsidRPr="007F5623">
              <w:rPr>
                <w:sz w:val="18"/>
                <w:szCs w:val="18"/>
              </w:rPr>
              <w:t>The Employment White Paper has noted (p.186): ‘Limitations in the level of labour market information available have constrained policymakers’ ability to account for underemployment and variation in employment outcomes across cohorts. To address this, the Government will invest in significantly improving the data available to policymakers through expanding the ABS’s data on barriers to job mobility and career progression, job security and the quality of employment.’</w:t>
            </w:r>
          </w:p>
          <w:p w14:paraId="0D530737" w14:textId="1752DC0D" w:rsidR="007F5623" w:rsidRPr="007F5623" w:rsidRDefault="007F5623" w:rsidP="007F5623">
            <w:pPr>
              <w:rPr>
                <w:sz w:val="18"/>
                <w:szCs w:val="18"/>
              </w:rPr>
            </w:pPr>
            <w:r w:rsidRPr="007F5623">
              <w:rPr>
                <w:sz w:val="18"/>
                <w:szCs w:val="18"/>
              </w:rPr>
              <w:t>The Committee can assist in this process by developing a new framework for measurement of job security and job quality, intended to provide a new and broadly agreed basis for policy analysis.</w:t>
            </w:r>
          </w:p>
        </w:tc>
      </w:tr>
    </w:tbl>
    <w:p w14:paraId="4178938B" w14:textId="77777777" w:rsidR="007F5623" w:rsidRPr="007F5623" w:rsidRDefault="007F5623" w:rsidP="007F5623">
      <w:pPr>
        <w:pStyle w:val="Heading4"/>
      </w:pPr>
      <w:r w:rsidRPr="007F5623">
        <w:t xml:space="preserve">Relevant Government actions </w:t>
      </w:r>
    </w:p>
    <w:p w14:paraId="49C11C4E" w14:textId="77777777" w:rsidR="007F5623" w:rsidRPr="007F5623" w:rsidRDefault="007F5623" w:rsidP="007F5623">
      <w:pPr>
        <w:rPr>
          <w:lang w:val="en-GB"/>
        </w:rPr>
      </w:pPr>
      <w:r w:rsidRPr="007F5623">
        <w:rPr>
          <w:lang w:val="en-GB"/>
        </w:rPr>
        <w:t>The Employment White Paper has as Objective 1 ‘delivering…full employment’. Full employment is defined as ‘an economy where everyone who wants a job is able to find one without searching for too long’. The objective has two key dimensions: sustained full employment and inclusive full employment. The dimension of ‘inclusive full employment’ explicitly addresses the motivation for the Committee’s recommendation, that full employment is a necessary condition for inclusion. Inclusive full employment is defined to be ‘about broadening opportunities, lowering barriers to work including discrimination, and reducing structural underutilisation over time to increase the level of employment in our economy’.</w:t>
      </w:r>
    </w:p>
    <w:p w14:paraId="1067A9E4" w14:textId="77777777" w:rsidR="007F5623" w:rsidRPr="007F5623" w:rsidRDefault="007F5623" w:rsidP="007F5623">
      <w:pPr>
        <w:rPr>
          <w:lang w:val="en-GB"/>
        </w:rPr>
      </w:pPr>
      <w:r w:rsidRPr="007F5623">
        <w:rPr>
          <w:lang w:val="en-GB"/>
        </w:rPr>
        <w:t>The Government’s objective of “sustained and inclusive full employment” is also now recognised as a core objective in the Government’s Economic and Fiscal Strategy (Employment White Paper Roadmap, page 186). This means it will be a key consideration in the development of each Federal Budget.</w:t>
      </w:r>
    </w:p>
    <w:p w14:paraId="73ED433A" w14:textId="77777777" w:rsidR="007F5623" w:rsidRPr="007F5623" w:rsidRDefault="007F5623" w:rsidP="007F5623">
      <w:pPr>
        <w:rPr>
          <w:lang w:val="en-GB"/>
        </w:rPr>
      </w:pPr>
      <w:r w:rsidRPr="007F5623">
        <w:rPr>
          <w:lang w:val="en-GB"/>
        </w:rPr>
        <w:t xml:space="preserve">The dimension of ‘sustained full employment’ commits the Government to ‘using macroeconomic policy to reduce volatility in economic cycles and keep employment as close as possible to the current maximum sustainable level of employment that is consistent with low and stable inflation’ (p.24). </w:t>
      </w:r>
    </w:p>
    <w:p w14:paraId="7038F922" w14:textId="77777777" w:rsidR="007F5623" w:rsidRPr="007F5623" w:rsidRDefault="007F5623" w:rsidP="007F5623">
      <w:pPr>
        <w:rPr>
          <w:lang w:val="en-GB"/>
        </w:rPr>
      </w:pPr>
      <w:r w:rsidRPr="007F5623">
        <w:rPr>
          <w:lang w:val="en-GB"/>
        </w:rPr>
        <w:t>Monetary policy will continue to be focused on, and the primary tool for, managing business cycles.  Fiscal policy is cast as playing a supporting role via not acting against monetary policy, automatic stabilisers and addressing significant adverse episodes (pp.37-38).</w:t>
      </w:r>
    </w:p>
    <w:p w14:paraId="54BA914D" w14:textId="77777777" w:rsidR="007F5623" w:rsidRPr="007F5623" w:rsidRDefault="007F5623" w:rsidP="007F5623">
      <w:pPr>
        <w:rPr>
          <w:lang w:val="en-GB"/>
        </w:rPr>
      </w:pPr>
      <w:r w:rsidRPr="007F5623">
        <w:rPr>
          <w:lang w:val="en-GB"/>
        </w:rPr>
        <w:t xml:space="preserve">The Employment White Paper recognises ‘the importance of all types of underutilisation, and what causes them, in addition to unemployment’ (p.24). The Employment White Paper includes an extended discussion of why underemployment ‘has become a more important indicator of capacity’ (p.17). Measures of underutilisation and potential workers are identified as alternative measures for understanding the degree of spare capacity in the labour market for the purposes of business cycle management (p.33). </w:t>
      </w:r>
    </w:p>
    <w:p w14:paraId="14650BDF" w14:textId="77777777" w:rsidR="007F5623" w:rsidRPr="007F5623" w:rsidRDefault="007F5623" w:rsidP="007F5623">
      <w:pPr>
        <w:rPr>
          <w:lang w:val="en-GB"/>
        </w:rPr>
      </w:pPr>
      <w:r w:rsidRPr="007F5623">
        <w:rPr>
          <w:lang w:val="en-GB"/>
        </w:rPr>
        <w:lastRenderedPageBreak/>
        <w:t>The Employment White Paper does not commit to a specific numerical target that represents full employment. The definition it uses of full employment includes as one of two key dimensions, ‘inclusive full employment’.  It points to ‘stark differences in employment outcomes across different groups of people in our society’ (p.20) as a motivation for ‘giving attention to employment outcomes for specific groups and regions, as well as the aggregate national outcome’ (p.24).</w:t>
      </w:r>
    </w:p>
    <w:p w14:paraId="038515C6" w14:textId="77777777" w:rsidR="007F5623" w:rsidRPr="007F5623" w:rsidRDefault="007F5623" w:rsidP="007F5623">
      <w:pPr>
        <w:rPr>
          <w:lang w:val="en-GB"/>
        </w:rPr>
      </w:pPr>
      <w:r w:rsidRPr="007F5623">
        <w:rPr>
          <w:lang w:val="en-GB"/>
        </w:rPr>
        <w:t>With respect to job quality, the Employment White Paper has as Objective 2 that ‘The Government will seek to promote a labour market with jobs that are safe, secure, fairly paid and provide mutually beneficial flexibility to workers and employers’. With more specific reference to the full employment objective, the statement of the definition of full employment is immediately followed by the statement that ‘These should be decent jobs that are secure and fairly paid’.</w:t>
      </w:r>
    </w:p>
    <w:p w14:paraId="367A06CB" w14:textId="23A10368" w:rsidR="009F44A8" w:rsidRDefault="007F5623" w:rsidP="007F5623">
      <w:pPr>
        <w:rPr>
          <w:lang w:val="en-GB"/>
        </w:rPr>
      </w:pPr>
      <w:r w:rsidRPr="007F5623">
        <w:rPr>
          <w:lang w:val="en-GB"/>
        </w:rPr>
        <w:t>With respect to employment services, the Employment White Paper lists ‘Building capabilities through employment services’ as one of 10 areas of policy focus.  Employment services are identified as a core element of overcoming barriers to employment and broadening opportunity (6.3). The Employment White Paper presents eight principles for reform of employment services (Box R.4). A path forward to delivering on these principles is proposed in the House Select Committee inquiry into Workforce Australia Employment Services.</w:t>
      </w:r>
    </w:p>
    <w:tbl>
      <w:tblPr>
        <w:tblStyle w:val="TableGrid"/>
        <w:tblW w:w="0" w:type="auto"/>
        <w:tblLook w:val="04A0" w:firstRow="1" w:lastRow="0" w:firstColumn="1" w:lastColumn="0" w:noHBand="0" w:noVBand="1"/>
      </w:tblPr>
      <w:tblGrid>
        <w:gridCol w:w="3261"/>
        <w:gridCol w:w="2140"/>
        <w:gridCol w:w="3615"/>
      </w:tblGrid>
      <w:tr w:rsidR="007F5623" w14:paraId="6EA23103" w14:textId="77777777" w:rsidTr="007D5C10">
        <w:trPr>
          <w:cnfStyle w:val="100000000000" w:firstRow="1" w:lastRow="0" w:firstColumn="0" w:lastColumn="0" w:oddVBand="0" w:evenVBand="0" w:oddHBand="0" w:evenHBand="0" w:firstRowFirstColumn="0" w:firstRowLastColumn="0" w:lastRowFirstColumn="0" w:lastRowLastColumn="0"/>
        </w:trPr>
        <w:tc>
          <w:tcPr>
            <w:tcW w:w="3261" w:type="dxa"/>
            <w:vAlign w:val="center"/>
          </w:tcPr>
          <w:p w14:paraId="4481D8BB" w14:textId="77777777" w:rsidR="007F5623" w:rsidRPr="00684925" w:rsidRDefault="007F5623" w:rsidP="00192F35">
            <w:pPr>
              <w:rPr>
                <w:color w:val="FFFFFF" w:themeColor="background1"/>
                <w:sz w:val="18"/>
                <w:szCs w:val="18"/>
              </w:rPr>
            </w:pPr>
            <w:r w:rsidRPr="00684925">
              <w:rPr>
                <w:color w:val="FFFFFF" w:themeColor="background1"/>
                <w:sz w:val="18"/>
                <w:szCs w:val="18"/>
              </w:rPr>
              <w:t>Recommendation in the Committee’s 2023 report</w:t>
            </w:r>
          </w:p>
        </w:tc>
        <w:tc>
          <w:tcPr>
            <w:tcW w:w="2140" w:type="dxa"/>
            <w:vAlign w:val="center"/>
          </w:tcPr>
          <w:p w14:paraId="44644A49" w14:textId="77777777" w:rsidR="007F5623" w:rsidRPr="00684925" w:rsidRDefault="007F5623" w:rsidP="00192F35">
            <w:pPr>
              <w:rPr>
                <w:color w:val="FFFFFF" w:themeColor="background1"/>
                <w:sz w:val="18"/>
                <w:szCs w:val="18"/>
              </w:rPr>
            </w:pPr>
            <w:r w:rsidRPr="00684925">
              <w:rPr>
                <w:color w:val="FFFFFF" w:themeColor="background1"/>
                <w:sz w:val="18"/>
                <w:szCs w:val="18"/>
              </w:rPr>
              <w:t>The Committee response</w:t>
            </w:r>
          </w:p>
        </w:tc>
        <w:tc>
          <w:tcPr>
            <w:tcW w:w="3615" w:type="dxa"/>
            <w:vAlign w:val="center"/>
          </w:tcPr>
          <w:p w14:paraId="5682AFE1" w14:textId="77777777" w:rsidR="007F5623" w:rsidRPr="00684925" w:rsidRDefault="007F5623" w:rsidP="00192F35">
            <w:pPr>
              <w:rPr>
                <w:color w:val="FFFFFF" w:themeColor="background1"/>
                <w:sz w:val="18"/>
                <w:szCs w:val="18"/>
              </w:rPr>
            </w:pPr>
            <w:r w:rsidRPr="00684925">
              <w:rPr>
                <w:color w:val="FFFFFF" w:themeColor="background1"/>
                <w:sz w:val="18"/>
                <w:szCs w:val="18"/>
              </w:rPr>
              <w:t>The Committee comment</w:t>
            </w:r>
          </w:p>
        </w:tc>
      </w:tr>
      <w:tr w:rsidR="007F5623" w14:paraId="183932EE"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3"/>
            <w:shd w:val="clear" w:color="auto" w:fill="F29671" w:themeFill="accent1"/>
            <w:vAlign w:val="center"/>
          </w:tcPr>
          <w:p w14:paraId="5F3F3DF8" w14:textId="2C84C7C9" w:rsidR="007F5623" w:rsidRPr="007F5623" w:rsidRDefault="007F5623" w:rsidP="007F5623">
            <w:pPr>
              <w:rPr>
                <w:b/>
                <w:bCs/>
                <w:sz w:val="18"/>
                <w:szCs w:val="18"/>
              </w:rPr>
            </w:pPr>
            <w:r w:rsidRPr="007F5623">
              <w:rPr>
                <w:b/>
                <w:bCs/>
                <w:sz w:val="18"/>
                <w:szCs w:val="18"/>
              </w:rPr>
              <w:t>Addressing disadvantage in places where it is concentrated</w:t>
            </w:r>
          </w:p>
        </w:tc>
      </w:tr>
      <w:tr w:rsidR="007D5C10" w14:paraId="77B97456" w14:textId="77777777" w:rsidTr="007D5C10">
        <w:tc>
          <w:tcPr>
            <w:tcW w:w="3261" w:type="dxa"/>
          </w:tcPr>
          <w:p w14:paraId="290B18B9" w14:textId="77777777" w:rsidR="007D5C10" w:rsidRPr="007D5C10" w:rsidRDefault="007D5C10" w:rsidP="007D5C10">
            <w:pPr>
              <w:rPr>
                <w:sz w:val="18"/>
                <w:szCs w:val="18"/>
              </w:rPr>
            </w:pPr>
            <w:r w:rsidRPr="007D5C10">
              <w:rPr>
                <w:sz w:val="18"/>
                <w:szCs w:val="18"/>
              </w:rPr>
              <w:t>Recommendation 11</w:t>
            </w:r>
            <w:r w:rsidRPr="007D5C10">
              <w:rPr>
                <w:sz w:val="18"/>
                <w:szCs w:val="18"/>
              </w:rPr>
              <w:br/>
              <w:t>The Government provide long-term certainty around funding provision for place based strategies, with a priority on ensuring operational continuity for successful existing initiatives</w:t>
            </w:r>
          </w:p>
          <w:p w14:paraId="65639426" w14:textId="7813C21F" w:rsidR="007D5C10" w:rsidRPr="007D5C10" w:rsidRDefault="007D5C10" w:rsidP="007D5C10">
            <w:pPr>
              <w:rPr>
                <w:sz w:val="18"/>
                <w:szCs w:val="18"/>
              </w:rPr>
            </w:pPr>
          </w:p>
        </w:tc>
        <w:tc>
          <w:tcPr>
            <w:tcW w:w="2140" w:type="dxa"/>
          </w:tcPr>
          <w:p w14:paraId="38375EC8" w14:textId="06E392E3" w:rsidR="007D5C10" w:rsidRPr="007D5C10" w:rsidRDefault="007D5C10" w:rsidP="007D5C10">
            <w:pPr>
              <w:rPr>
                <w:sz w:val="18"/>
                <w:szCs w:val="18"/>
              </w:rPr>
            </w:pPr>
            <w:r w:rsidRPr="007F5623">
              <w:rPr>
                <w:sz w:val="18"/>
                <w:szCs w:val="18"/>
              </w:rPr>
              <w:t>Achieved – monitor implementation</w:t>
            </w:r>
          </w:p>
        </w:tc>
        <w:tc>
          <w:tcPr>
            <w:tcW w:w="3615" w:type="dxa"/>
          </w:tcPr>
          <w:p w14:paraId="1D3278D9" w14:textId="77777777" w:rsidR="007D5C10" w:rsidRPr="007D5C10" w:rsidRDefault="007D5C10" w:rsidP="007D5C10">
            <w:pPr>
              <w:rPr>
                <w:sz w:val="18"/>
                <w:szCs w:val="18"/>
              </w:rPr>
            </w:pPr>
            <w:r w:rsidRPr="007D5C10">
              <w:rPr>
                <w:sz w:val="18"/>
                <w:szCs w:val="18"/>
              </w:rPr>
              <w:t>Commitments in the Targeting Entrenched Community Disadvantage substantially achieves this recommendation.</w:t>
            </w:r>
          </w:p>
          <w:p w14:paraId="3452CBF7" w14:textId="77777777" w:rsidR="007D5C10" w:rsidRPr="007D5C10" w:rsidRDefault="007D5C10" w:rsidP="007D5C10">
            <w:pPr>
              <w:rPr>
                <w:sz w:val="18"/>
                <w:szCs w:val="18"/>
              </w:rPr>
            </w:pPr>
            <w:r w:rsidRPr="007D5C10">
              <w:rPr>
                <w:sz w:val="18"/>
                <w:szCs w:val="18"/>
              </w:rPr>
              <w:t>Funding certainty has been achieved for communities engaged in the Stronger Places Stronger People initiative and the development of a whole-of-government strategy to advance place-based work has been embarked upon.</w:t>
            </w:r>
          </w:p>
          <w:p w14:paraId="67677FDF" w14:textId="77777777" w:rsidR="007D5C10" w:rsidRPr="007D5C10" w:rsidRDefault="007D5C10" w:rsidP="007D5C10">
            <w:pPr>
              <w:rPr>
                <w:sz w:val="18"/>
                <w:szCs w:val="18"/>
              </w:rPr>
            </w:pPr>
            <w:r w:rsidRPr="007D5C10">
              <w:rPr>
                <w:sz w:val="18"/>
                <w:szCs w:val="18"/>
              </w:rPr>
              <w:t>There are opportunities to bring greater coherence to existing place-based Commonwealth initiatives and to advance funding to promising community initiatives that currently sit outside any Commonwealth program. These opportunities will be priorities for resolution through the whole-of-government framework development process.</w:t>
            </w:r>
          </w:p>
          <w:p w14:paraId="3F3BE47D" w14:textId="08A1703F" w:rsidR="007D5C10" w:rsidRPr="007D5C10" w:rsidRDefault="007D5C10" w:rsidP="007D5C10">
            <w:pPr>
              <w:rPr>
                <w:sz w:val="18"/>
                <w:szCs w:val="18"/>
              </w:rPr>
            </w:pPr>
            <w:r w:rsidRPr="007D5C10">
              <w:rPr>
                <w:sz w:val="18"/>
                <w:szCs w:val="18"/>
              </w:rPr>
              <w:t>Over time, the Committee can monitor progress of these strategies to ensure they fully achieve the intent of the recommendation.</w:t>
            </w:r>
          </w:p>
        </w:tc>
      </w:tr>
      <w:tr w:rsidR="007D5C10" w14:paraId="15087E90"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20B0FAC9" w14:textId="42AF5CCB" w:rsidR="007D5C10" w:rsidRPr="007D5C10" w:rsidRDefault="007D5C10" w:rsidP="007D5C10">
            <w:pPr>
              <w:rPr>
                <w:sz w:val="18"/>
                <w:szCs w:val="18"/>
              </w:rPr>
            </w:pPr>
            <w:r w:rsidRPr="007D5C10">
              <w:rPr>
                <w:sz w:val="18"/>
                <w:szCs w:val="18"/>
              </w:rPr>
              <w:t>Recommendation 12</w:t>
            </w:r>
            <w:r w:rsidRPr="007D5C10">
              <w:rPr>
                <w:sz w:val="18"/>
                <w:szCs w:val="18"/>
              </w:rPr>
              <w:br/>
              <w:t>The Government agree to a whole-of-government policy and investment framework for place-based initiatives, informed by an audit of current place-based initiatives and their funding, administrative and support arrangements across different levels of government and philanthropy. This work should also embrace the priorities set out by the Closing the Gap Implementation Plan.</w:t>
            </w:r>
          </w:p>
        </w:tc>
        <w:tc>
          <w:tcPr>
            <w:tcW w:w="2140" w:type="dxa"/>
          </w:tcPr>
          <w:p w14:paraId="4091A7F1" w14:textId="422D1ED9" w:rsidR="007D5C10" w:rsidRPr="007D5C10" w:rsidRDefault="007D5C10" w:rsidP="007D5C10">
            <w:pPr>
              <w:rPr>
                <w:sz w:val="18"/>
                <w:szCs w:val="18"/>
              </w:rPr>
            </w:pPr>
            <w:r w:rsidRPr="007F5623">
              <w:rPr>
                <w:sz w:val="18"/>
                <w:szCs w:val="18"/>
              </w:rPr>
              <w:t>Achieved – monitor implementation</w:t>
            </w:r>
          </w:p>
        </w:tc>
        <w:tc>
          <w:tcPr>
            <w:tcW w:w="3615" w:type="dxa"/>
          </w:tcPr>
          <w:p w14:paraId="2D4D5DD6" w14:textId="77777777" w:rsidR="007D5C10" w:rsidRPr="007D5C10" w:rsidRDefault="007D5C10" w:rsidP="007D5C10">
            <w:pPr>
              <w:rPr>
                <w:sz w:val="18"/>
                <w:szCs w:val="18"/>
              </w:rPr>
            </w:pPr>
            <w:r w:rsidRPr="007D5C10">
              <w:rPr>
                <w:sz w:val="18"/>
                <w:szCs w:val="18"/>
              </w:rPr>
              <w:t>Commitments in the Targeting Entrenched Disadvantage package substantially achieve this recommendation.</w:t>
            </w:r>
          </w:p>
          <w:p w14:paraId="0C159FC1" w14:textId="77777777" w:rsidR="007D5C10" w:rsidRPr="007D5C10" w:rsidRDefault="007D5C10" w:rsidP="007D5C10">
            <w:pPr>
              <w:rPr>
                <w:sz w:val="18"/>
                <w:szCs w:val="18"/>
              </w:rPr>
            </w:pPr>
            <w:r w:rsidRPr="007D5C10">
              <w:rPr>
                <w:sz w:val="18"/>
                <w:szCs w:val="18"/>
              </w:rPr>
              <w:t xml:space="preserve">The scope of the development of the whole-of-government framework to Address Disadvantage is not yet known, however it will be important that it maintains the intended ambition.  Engagement with state and territory governments and stakeholders connected </w:t>
            </w:r>
            <w:r w:rsidRPr="007D5C10">
              <w:rPr>
                <w:sz w:val="18"/>
                <w:szCs w:val="18"/>
              </w:rPr>
              <w:lastRenderedPageBreak/>
              <w:t xml:space="preserve">to the Closing the Gap agenda will be required.  </w:t>
            </w:r>
          </w:p>
          <w:p w14:paraId="2EE4A7DC" w14:textId="349E6DC1" w:rsidR="007D5C10" w:rsidRPr="007D5C10" w:rsidRDefault="007D5C10" w:rsidP="007D5C10">
            <w:pPr>
              <w:rPr>
                <w:sz w:val="18"/>
                <w:szCs w:val="18"/>
              </w:rPr>
            </w:pPr>
            <w:r w:rsidRPr="007D5C10">
              <w:rPr>
                <w:sz w:val="18"/>
                <w:szCs w:val="18"/>
              </w:rPr>
              <w:t>The Committee can maintain visibility of the development of the whole-of-government framework to ensure it works to its intended scope.</w:t>
            </w:r>
          </w:p>
        </w:tc>
      </w:tr>
      <w:tr w:rsidR="007D5C10" w14:paraId="1768E6C2" w14:textId="77777777" w:rsidTr="007D5C10">
        <w:tc>
          <w:tcPr>
            <w:tcW w:w="3261" w:type="dxa"/>
          </w:tcPr>
          <w:p w14:paraId="01EC1369" w14:textId="5F75B5D3" w:rsidR="007D5C10" w:rsidRPr="007D5C10" w:rsidRDefault="007D5C10" w:rsidP="007D5C10">
            <w:pPr>
              <w:rPr>
                <w:sz w:val="18"/>
                <w:szCs w:val="18"/>
              </w:rPr>
            </w:pPr>
            <w:r w:rsidRPr="007D5C10">
              <w:rPr>
                <w:sz w:val="18"/>
                <w:szCs w:val="18"/>
              </w:rPr>
              <w:lastRenderedPageBreak/>
              <w:t>Recommendation 13</w:t>
            </w:r>
            <w:r w:rsidRPr="007D5C10">
              <w:rPr>
                <w:sz w:val="18"/>
                <w:szCs w:val="18"/>
              </w:rPr>
              <w:br/>
              <w:t>The Commonwealth and state and territory governments should proceed with the creation of key enabling infrastructure such as a Community Data Asset to inform decision 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w:t>
            </w:r>
          </w:p>
        </w:tc>
        <w:tc>
          <w:tcPr>
            <w:tcW w:w="2140" w:type="dxa"/>
          </w:tcPr>
          <w:p w14:paraId="58B1665B" w14:textId="1B7118C2" w:rsidR="007D5C10" w:rsidRPr="007D5C10" w:rsidRDefault="007D5C10" w:rsidP="007D5C10">
            <w:pPr>
              <w:rPr>
                <w:sz w:val="18"/>
                <w:szCs w:val="18"/>
              </w:rPr>
            </w:pPr>
            <w:r>
              <w:rPr>
                <w:sz w:val="18"/>
                <w:szCs w:val="18"/>
              </w:rPr>
              <w:t>Achieved in part – active follow up</w:t>
            </w:r>
          </w:p>
        </w:tc>
        <w:tc>
          <w:tcPr>
            <w:tcW w:w="3615" w:type="dxa"/>
          </w:tcPr>
          <w:p w14:paraId="571F33A2" w14:textId="77777777" w:rsidR="007D5C10" w:rsidRPr="007D5C10" w:rsidRDefault="007D5C10" w:rsidP="007D5C10">
            <w:pPr>
              <w:rPr>
                <w:sz w:val="18"/>
                <w:szCs w:val="18"/>
              </w:rPr>
            </w:pPr>
            <w:r w:rsidRPr="007D5C10">
              <w:rPr>
                <w:sz w:val="18"/>
                <w:szCs w:val="18"/>
              </w:rPr>
              <w:t>Commitments in the Targeting Entrenched Disadvantage package partly achieve this recommendation, but some critical elements remain to be addressed.</w:t>
            </w:r>
          </w:p>
          <w:p w14:paraId="630CA883" w14:textId="77777777" w:rsidR="007D5C10" w:rsidRPr="007D5C10" w:rsidRDefault="007D5C10" w:rsidP="007D5C10">
            <w:pPr>
              <w:rPr>
                <w:sz w:val="18"/>
                <w:szCs w:val="18"/>
              </w:rPr>
            </w:pPr>
            <w:r w:rsidRPr="007D5C10">
              <w:rPr>
                <w:sz w:val="18"/>
                <w:szCs w:val="18"/>
              </w:rPr>
              <w:t xml:space="preserve">The ABS-led Life Course Data Asset will make a valuable contribution to building cross-Government data sharing capability, however, the extent of engagement with state and territory and community data sets is unknown. It is also unclear the extent to which delivery of data tools and assets from this project will support shared local decision making – a principal requirement intended from the recommendation. </w:t>
            </w:r>
          </w:p>
          <w:p w14:paraId="77A9A18C" w14:textId="77777777" w:rsidR="007D5C10" w:rsidRPr="007D5C10" w:rsidRDefault="007D5C10" w:rsidP="007D5C10">
            <w:pPr>
              <w:rPr>
                <w:sz w:val="18"/>
                <w:szCs w:val="18"/>
              </w:rPr>
            </w:pPr>
            <w:r w:rsidRPr="007D5C10">
              <w:rPr>
                <w:sz w:val="18"/>
                <w:szCs w:val="18"/>
              </w:rPr>
              <w:t xml:space="preserve">There are several projects afoot around Australia – such as the Australian Child and Youth Wellbeing Asset – that are seeking to achieve similar objectives and opportunities remain for much better alignment of – and resourcing for – these initiatives. </w:t>
            </w:r>
          </w:p>
          <w:p w14:paraId="41A770A5" w14:textId="77777777" w:rsidR="007D5C10" w:rsidRPr="007D5C10" w:rsidRDefault="007D5C10" w:rsidP="007D5C10">
            <w:pPr>
              <w:rPr>
                <w:sz w:val="18"/>
                <w:szCs w:val="18"/>
              </w:rPr>
            </w:pPr>
            <w:r w:rsidRPr="007D5C10">
              <w:rPr>
                <w:sz w:val="18"/>
                <w:szCs w:val="18"/>
              </w:rPr>
              <w:t>There also remain some important data governance reforms to be undertaken to allow for the well managed and ongoing sharing and building of the kinds of intersectional data sets intended by this recommendation.  It is unclear whether current initiatives will achieve these reforms.</w:t>
            </w:r>
          </w:p>
          <w:p w14:paraId="28B08847" w14:textId="4F993C49" w:rsidR="007D5C10" w:rsidRPr="007D5C10" w:rsidRDefault="007D5C10" w:rsidP="007D5C10">
            <w:pPr>
              <w:rPr>
                <w:sz w:val="18"/>
                <w:szCs w:val="18"/>
              </w:rPr>
            </w:pPr>
            <w:r w:rsidRPr="007D5C10">
              <w:rPr>
                <w:sz w:val="18"/>
                <w:szCs w:val="18"/>
              </w:rPr>
              <w:t>The Committee can advise on further work to be considered to respond to the recommendation more fully.</w:t>
            </w:r>
          </w:p>
        </w:tc>
      </w:tr>
      <w:tr w:rsidR="007D5C10" w14:paraId="06356F95"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62EC0FD6" w14:textId="77777777" w:rsidR="007D5C10" w:rsidRPr="007D5C10" w:rsidRDefault="007D5C10" w:rsidP="007D5C10">
            <w:pPr>
              <w:rPr>
                <w:sz w:val="18"/>
                <w:szCs w:val="18"/>
              </w:rPr>
            </w:pPr>
            <w:r w:rsidRPr="007D5C10">
              <w:rPr>
                <w:sz w:val="18"/>
                <w:szCs w:val="18"/>
              </w:rPr>
              <w:t>Recommendation 14</w:t>
            </w:r>
            <w:r w:rsidRPr="007D5C10">
              <w:rPr>
                <w:sz w:val="18"/>
                <w:szCs w:val="18"/>
              </w:rPr>
              <w:br/>
              <w:t xml:space="preserve">The Government progress two key administrative instruments to support place based strategies: </w:t>
            </w:r>
          </w:p>
          <w:p w14:paraId="15287A3C" w14:textId="171E9953" w:rsidR="007D5C10" w:rsidRPr="007D5C10" w:rsidRDefault="007D5C10" w:rsidP="007D5C10">
            <w:pPr>
              <w:rPr>
                <w:sz w:val="18"/>
                <w:szCs w:val="18"/>
              </w:rPr>
            </w:pPr>
            <w:r w:rsidRPr="007D5C10">
              <w:rPr>
                <w:sz w:val="18"/>
                <w:szCs w:val="18"/>
              </w:rPr>
              <w:t xml:space="preserve">a) mechanisms to coordinate and control services investment into target communities from across multiple agencies and multiple levels of Government; </w:t>
            </w:r>
          </w:p>
          <w:p w14:paraId="2E696796" w14:textId="0BECCA51" w:rsidR="007D5C10" w:rsidRPr="007D5C10" w:rsidRDefault="007D5C10" w:rsidP="007D5C10">
            <w:pPr>
              <w:rPr>
                <w:sz w:val="18"/>
                <w:szCs w:val="18"/>
              </w:rPr>
            </w:pPr>
            <w:r w:rsidRPr="007D5C10">
              <w:rPr>
                <w:sz w:val="18"/>
                <w:szCs w:val="18"/>
              </w:rPr>
              <w:t>b) mechanisms to support shared local decision making at scale. These should be designed in concert with similar work underway via the Closing the Gap agenda.</w:t>
            </w:r>
          </w:p>
        </w:tc>
        <w:tc>
          <w:tcPr>
            <w:tcW w:w="2140" w:type="dxa"/>
          </w:tcPr>
          <w:p w14:paraId="1CB7A76E" w14:textId="739E332F" w:rsidR="007D5C10" w:rsidRPr="007D5C10" w:rsidRDefault="007D5C10" w:rsidP="007D5C10">
            <w:pPr>
              <w:rPr>
                <w:sz w:val="18"/>
                <w:szCs w:val="18"/>
              </w:rPr>
            </w:pPr>
            <w:r>
              <w:rPr>
                <w:sz w:val="18"/>
                <w:szCs w:val="18"/>
              </w:rPr>
              <w:t>Active follow up</w:t>
            </w:r>
          </w:p>
        </w:tc>
        <w:tc>
          <w:tcPr>
            <w:tcW w:w="3615" w:type="dxa"/>
          </w:tcPr>
          <w:p w14:paraId="12DD616D" w14:textId="77777777" w:rsidR="007D5C10" w:rsidRPr="007D5C10" w:rsidRDefault="007D5C10" w:rsidP="007D5C10">
            <w:pPr>
              <w:rPr>
                <w:sz w:val="18"/>
                <w:szCs w:val="18"/>
              </w:rPr>
            </w:pPr>
            <w:r w:rsidRPr="007D5C10">
              <w:rPr>
                <w:sz w:val="18"/>
                <w:szCs w:val="18"/>
              </w:rPr>
              <w:t>It is unclear whether these recommendations will be advanced sufficiently through current processes connected to:</w:t>
            </w:r>
          </w:p>
          <w:p w14:paraId="51EF4DCA" w14:textId="77777777" w:rsidR="007D5C10" w:rsidRPr="007D5C10" w:rsidRDefault="007D5C10" w:rsidP="007D5C10">
            <w:pPr>
              <w:rPr>
                <w:sz w:val="18"/>
                <w:szCs w:val="18"/>
              </w:rPr>
            </w:pPr>
            <w:r w:rsidRPr="007D5C10">
              <w:rPr>
                <w:sz w:val="18"/>
                <w:szCs w:val="18"/>
              </w:rPr>
              <w:t>• The Closing the Gap Implementation Plan</w:t>
            </w:r>
          </w:p>
          <w:p w14:paraId="64882B40" w14:textId="161A2BA4" w:rsidR="007D5C10" w:rsidRPr="007D5C10" w:rsidRDefault="007D5C10" w:rsidP="007D5C10">
            <w:pPr>
              <w:rPr>
                <w:sz w:val="18"/>
                <w:szCs w:val="18"/>
              </w:rPr>
            </w:pPr>
            <w:r w:rsidRPr="007D5C10">
              <w:rPr>
                <w:sz w:val="18"/>
                <w:szCs w:val="18"/>
              </w:rPr>
              <w:t>• The Targeting Entrenched Disadvantage Package (and related Whole-of-Government Framework to Address Disadvantage)</w:t>
            </w:r>
          </w:p>
          <w:p w14:paraId="56F03387" w14:textId="0508FE7C" w:rsidR="007D5C10" w:rsidRPr="007D5C10" w:rsidRDefault="007D5C10" w:rsidP="007D5C10">
            <w:pPr>
              <w:rPr>
                <w:sz w:val="18"/>
                <w:szCs w:val="18"/>
              </w:rPr>
            </w:pPr>
            <w:r w:rsidRPr="007D5C10">
              <w:rPr>
                <w:sz w:val="18"/>
                <w:szCs w:val="18"/>
              </w:rPr>
              <w:t>• Program level work through Empowered Communities and Stronger Places Stronger People.</w:t>
            </w:r>
          </w:p>
          <w:p w14:paraId="57F5B6DB" w14:textId="45178E99" w:rsidR="007D5C10" w:rsidRPr="007D5C10" w:rsidRDefault="007D5C10" w:rsidP="007D5C10">
            <w:pPr>
              <w:rPr>
                <w:sz w:val="18"/>
                <w:szCs w:val="18"/>
              </w:rPr>
            </w:pPr>
            <w:r w:rsidRPr="007D5C10">
              <w:rPr>
                <w:sz w:val="18"/>
                <w:szCs w:val="18"/>
              </w:rPr>
              <w:t>• Development of the Place-based Centre for Collaboration (Nexus Centre).</w:t>
            </w:r>
          </w:p>
          <w:p w14:paraId="0A08947F" w14:textId="0874D038" w:rsidR="007D5C10" w:rsidRPr="007D5C10" w:rsidRDefault="007D5C10" w:rsidP="007D5C10">
            <w:pPr>
              <w:rPr>
                <w:sz w:val="18"/>
                <w:szCs w:val="18"/>
              </w:rPr>
            </w:pPr>
            <w:r w:rsidRPr="007D5C10">
              <w:rPr>
                <w:sz w:val="18"/>
                <w:szCs w:val="18"/>
              </w:rPr>
              <w:t>The Committee can advise on further work to be considered to respond to the recommendation more fully.</w:t>
            </w:r>
          </w:p>
        </w:tc>
      </w:tr>
      <w:tr w:rsidR="007D5C10" w14:paraId="61D3522F" w14:textId="77777777" w:rsidTr="007D5C10">
        <w:tc>
          <w:tcPr>
            <w:tcW w:w="3261" w:type="dxa"/>
          </w:tcPr>
          <w:p w14:paraId="1C7B7572" w14:textId="59BE4AD5" w:rsidR="007D5C10" w:rsidRPr="007D5C10" w:rsidRDefault="007D5C10" w:rsidP="007D5C10">
            <w:pPr>
              <w:rPr>
                <w:sz w:val="18"/>
                <w:szCs w:val="18"/>
              </w:rPr>
            </w:pPr>
            <w:r w:rsidRPr="007D5C10">
              <w:rPr>
                <w:sz w:val="18"/>
                <w:szCs w:val="18"/>
              </w:rPr>
              <w:lastRenderedPageBreak/>
              <w:t>Recommendation 15</w:t>
            </w:r>
            <w:r w:rsidRPr="007D5C10">
              <w:rPr>
                <w:sz w:val="18"/>
                <w:szCs w:val="18"/>
              </w:rPr>
              <w:br/>
              <w:t>The Government create “Innovation zones” in partnership with a select number of communities to allow trial and learning of new social and economic development strategies, including as part of the Employment White Paper and Early Years Strategy. This opportunity should also be open to First Nations communities if it is of value to them.</w:t>
            </w:r>
          </w:p>
        </w:tc>
        <w:tc>
          <w:tcPr>
            <w:tcW w:w="2140" w:type="dxa"/>
          </w:tcPr>
          <w:p w14:paraId="4755646A" w14:textId="3CA5D2EF" w:rsidR="007D5C10" w:rsidRPr="007D5C10" w:rsidRDefault="007D5C10" w:rsidP="007D5C10">
            <w:pPr>
              <w:rPr>
                <w:sz w:val="18"/>
                <w:szCs w:val="18"/>
              </w:rPr>
            </w:pPr>
            <w:r>
              <w:rPr>
                <w:sz w:val="18"/>
                <w:szCs w:val="18"/>
              </w:rPr>
              <w:t>Achieved in part – monitor implementation</w:t>
            </w:r>
          </w:p>
        </w:tc>
        <w:tc>
          <w:tcPr>
            <w:tcW w:w="3615" w:type="dxa"/>
          </w:tcPr>
          <w:p w14:paraId="4D1BCD6A" w14:textId="77777777" w:rsidR="007D5C10" w:rsidRPr="007D5C10" w:rsidRDefault="007D5C10" w:rsidP="007D5C10">
            <w:pPr>
              <w:rPr>
                <w:sz w:val="18"/>
                <w:szCs w:val="18"/>
              </w:rPr>
            </w:pPr>
            <w:r w:rsidRPr="007D5C10">
              <w:rPr>
                <w:sz w:val="18"/>
                <w:szCs w:val="18"/>
              </w:rPr>
              <w:t>Actions to date progress this recommendation with more to do in the coming year. Several actions afoot offer progress on this recommendation, without yet providing a certainty as to its achievement at the scale and ambition intended.</w:t>
            </w:r>
          </w:p>
          <w:p w14:paraId="3EA43A4B" w14:textId="77777777" w:rsidR="007D5C10" w:rsidRPr="007D5C10" w:rsidRDefault="007D5C10" w:rsidP="007D5C10">
            <w:pPr>
              <w:rPr>
                <w:sz w:val="18"/>
                <w:szCs w:val="18"/>
              </w:rPr>
            </w:pPr>
            <w:r w:rsidRPr="007D5C10">
              <w:rPr>
                <w:sz w:val="18"/>
                <w:szCs w:val="18"/>
              </w:rPr>
              <w:t xml:space="preserve">Creating innovation zones is part of rebuilding a new employment services system. </w:t>
            </w:r>
          </w:p>
          <w:p w14:paraId="31FA13B8" w14:textId="3D5D2078" w:rsidR="007D5C10" w:rsidRPr="007D5C10" w:rsidRDefault="007D5C10" w:rsidP="007D5C10">
            <w:pPr>
              <w:rPr>
                <w:sz w:val="18"/>
                <w:szCs w:val="18"/>
              </w:rPr>
            </w:pPr>
            <w:r w:rsidRPr="007D5C10">
              <w:rPr>
                <w:sz w:val="18"/>
                <w:szCs w:val="18"/>
              </w:rPr>
              <w:t>The Committee can maintain visibility of the development of the “innovation zones” concept to ensure it progresses as intended.</w:t>
            </w:r>
          </w:p>
        </w:tc>
      </w:tr>
      <w:tr w:rsidR="007D5C10" w14:paraId="0CE3B78D" w14:textId="77777777" w:rsidTr="007D5C10">
        <w:trPr>
          <w:cnfStyle w:val="000000100000" w:firstRow="0" w:lastRow="0" w:firstColumn="0" w:lastColumn="0" w:oddVBand="0" w:evenVBand="0" w:oddHBand="1" w:evenHBand="0" w:firstRowFirstColumn="0" w:firstRowLastColumn="0" w:lastRowFirstColumn="0" w:lastRowLastColumn="0"/>
        </w:trPr>
        <w:tc>
          <w:tcPr>
            <w:tcW w:w="3261" w:type="dxa"/>
          </w:tcPr>
          <w:p w14:paraId="35564D31" w14:textId="38B3718A" w:rsidR="007D5C10" w:rsidRPr="007D5C10" w:rsidRDefault="007D5C10" w:rsidP="007D5C10">
            <w:pPr>
              <w:rPr>
                <w:sz w:val="18"/>
                <w:szCs w:val="18"/>
              </w:rPr>
            </w:pPr>
            <w:r w:rsidRPr="007D5C10">
              <w:rPr>
                <w:sz w:val="18"/>
                <w:szCs w:val="18"/>
              </w:rPr>
              <w:t>Recommendation 16</w:t>
            </w:r>
            <w:r w:rsidRPr="007D5C10">
              <w:rPr>
                <w:sz w:val="18"/>
                <w:szCs w:val="18"/>
              </w:rPr>
              <w:br/>
              <w:t>The Government commit to systematic developmental and summative evaluation of all existing and new place-based strategies. This should include evaluation that is properly funded and conducted independently, including randomised control trials and effective use of administrative data. The funding and continuation of individual programs should depend upon the outcomes of evaluation. Funding should be re-allocated from things that do not work to things that do so that approaches that are found to deliver the best outcomes can be scaled up.</w:t>
            </w:r>
          </w:p>
        </w:tc>
        <w:tc>
          <w:tcPr>
            <w:tcW w:w="2140" w:type="dxa"/>
          </w:tcPr>
          <w:p w14:paraId="4ADC302F" w14:textId="31ECBB53" w:rsidR="007D5C10" w:rsidRPr="007D5C10" w:rsidRDefault="007D5C10" w:rsidP="007D5C10">
            <w:pPr>
              <w:rPr>
                <w:sz w:val="18"/>
                <w:szCs w:val="18"/>
              </w:rPr>
            </w:pPr>
            <w:r>
              <w:rPr>
                <w:sz w:val="18"/>
                <w:szCs w:val="18"/>
              </w:rPr>
              <w:t>Achieved in part – monitor implementation</w:t>
            </w:r>
          </w:p>
        </w:tc>
        <w:tc>
          <w:tcPr>
            <w:tcW w:w="3615" w:type="dxa"/>
          </w:tcPr>
          <w:p w14:paraId="3AF231B6" w14:textId="77777777" w:rsidR="007D5C10" w:rsidRPr="007D5C10" w:rsidRDefault="007D5C10" w:rsidP="007D5C10">
            <w:pPr>
              <w:rPr>
                <w:sz w:val="18"/>
                <w:szCs w:val="18"/>
              </w:rPr>
            </w:pPr>
            <w:r w:rsidRPr="007D5C10">
              <w:rPr>
                <w:sz w:val="18"/>
                <w:szCs w:val="18"/>
              </w:rPr>
              <w:t>Actions to date progress this recommendation with more to do in the coming year.</w:t>
            </w:r>
          </w:p>
          <w:p w14:paraId="7869F439" w14:textId="77777777" w:rsidR="007D5C10" w:rsidRPr="007D5C10" w:rsidRDefault="007D5C10" w:rsidP="007D5C10">
            <w:pPr>
              <w:rPr>
                <w:sz w:val="18"/>
                <w:szCs w:val="18"/>
              </w:rPr>
            </w:pPr>
            <w:r w:rsidRPr="007D5C10">
              <w:rPr>
                <w:sz w:val="18"/>
                <w:szCs w:val="18"/>
              </w:rPr>
              <w:t>The Government has initiated the Targeting Entrenched Disadvantage package, including the Whole-of-Government Framework to Address Disadvantage, which may in time deliver against this recommendation.</w:t>
            </w:r>
          </w:p>
          <w:p w14:paraId="7C315DAD" w14:textId="13CB1822" w:rsidR="007D5C10" w:rsidRPr="007D5C10" w:rsidRDefault="007D5C10" w:rsidP="007D5C10">
            <w:pPr>
              <w:rPr>
                <w:sz w:val="18"/>
                <w:szCs w:val="18"/>
              </w:rPr>
            </w:pPr>
            <w:r w:rsidRPr="007D5C10">
              <w:rPr>
                <w:sz w:val="18"/>
                <w:szCs w:val="18"/>
              </w:rPr>
              <w:t>The Committee can maintain visibility of progress against this recommendation.</w:t>
            </w:r>
          </w:p>
        </w:tc>
      </w:tr>
    </w:tbl>
    <w:p w14:paraId="5763C106" w14:textId="77777777" w:rsidR="007D5C10" w:rsidRPr="007D5C10" w:rsidRDefault="007D5C10" w:rsidP="007D5C10">
      <w:pPr>
        <w:pStyle w:val="Heading4"/>
      </w:pPr>
      <w:r w:rsidRPr="007D5C10">
        <w:t xml:space="preserve">Relevant Government actions </w:t>
      </w:r>
    </w:p>
    <w:p w14:paraId="28F0D60D" w14:textId="77777777" w:rsidR="007D5C10" w:rsidRPr="007D5C10" w:rsidRDefault="007D5C10" w:rsidP="007D5C10">
      <w:pPr>
        <w:rPr>
          <w:lang w:val="en-GB"/>
        </w:rPr>
      </w:pPr>
      <w:r w:rsidRPr="007D5C10">
        <w:rPr>
          <w:lang w:val="en-GB"/>
        </w:rPr>
        <w:t>The Employment White Paper embraces place-based approaches as a central strategy within its chapter on ‘Overcoming Barriers to Employment and Broadening Opportunities’.</w:t>
      </w:r>
    </w:p>
    <w:p w14:paraId="3A508684" w14:textId="77777777" w:rsidR="007D5C10" w:rsidRPr="007D5C10" w:rsidRDefault="007D5C10" w:rsidP="007D5C10">
      <w:pPr>
        <w:rPr>
          <w:lang w:val="en-GB"/>
        </w:rPr>
      </w:pPr>
      <w:r w:rsidRPr="007D5C10">
        <w:rPr>
          <w:lang w:val="en-GB"/>
        </w:rPr>
        <w:t>The 2023-24 Budget delivered a $199.8 million Targeting Entrenched Disadvantage package.</w:t>
      </w:r>
    </w:p>
    <w:p w14:paraId="3E454EF8" w14:textId="77777777" w:rsidR="007D5C10" w:rsidRPr="007D5C10" w:rsidRDefault="007D5C10" w:rsidP="007D5C10">
      <w:pPr>
        <w:rPr>
          <w:lang w:val="en-GB"/>
        </w:rPr>
      </w:pPr>
      <w:r w:rsidRPr="007D5C10">
        <w:rPr>
          <w:lang w:val="en-GB"/>
        </w:rPr>
        <w:t>This package has a strong focus on intergenerational disadvantage and child and family wellbeing. Action in the early years of a child’s life – including through health, education and protection from harm – is key to breaking these cycles of disadvantage.</w:t>
      </w:r>
    </w:p>
    <w:p w14:paraId="03F351D8" w14:textId="77777777" w:rsidR="007D5C10" w:rsidRPr="007D5C10" w:rsidRDefault="007D5C10" w:rsidP="007D5C10">
      <w:pPr>
        <w:rPr>
          <w:lang w:val="en-GB"/>
        </w:rPr>
      </w:pPr>
      <w:r w:rsidRPr="007D5C10">
        <w:rPr>
          <w:lang w:val="en-GB"/>
        </w:rPr>
        <w:t>This includes:</w:t>
      </w:r>
    </w:p>
    <w:p w14:paraId="28978577" w14:textId="0DA0FB10" w:rsidR="007D5C10" w:rsidRPr="007D5C10" w:rsidRDefault="007D5C10" w:rsidP="007D5C10">
      <w:pPr>
        <w:pStyle w:val="ListBullet"/>
      </w:pPr>
      <w:r w:rsidRPr="007D5C10">
        <w:t>A new strategy to partner with philanthropy through the Investment Dialogue on Australia’s Children – enabling the Government to coordinate efforts and rapidly divert funding where it’s needed most. The inaugural Roundtable took place on 4 December 2023.</w:t>
      </w:r>
    </w:p>
    <w:p w14:paraId="57E7F055" w14:textId="3329832B" w:rsidR="007D5C10" w:rsidRPr="007D5C10" w:rsidRDefault="007D5C10" w:rsidP="007D5C10">
      <w:pPr>
        <w:pStyle w:val="ListBullet"/>
      </w:pPr>
      <w:r w:rsidRPr="007D5C10">
        <w:t>A new approach to gain insights and put data in the hands of communities to help guide local decision making and better direct funding.</w:t>
      </w:r>
    </w:p>
    <w:p w14:paraId="77FBDF5E" w14:textId="23B7C207" w:rsidR="007D5C10" w:rsidRPr="007D5C10" w:rsidRDefault="007D5C10" w:rsidP="007D5C10">
      <w:pPr>
        <w:pStyle w:val="ListBullet"/>
      </w:pPr>
      <w:r w:rsidRPr="007D5C10">
        <w:t>A new strategy to embed and expanding local decision-making in existing place-based initiatives.</w:t>
      </w:r>
    </w:p>
    <w:p w14:paraId="14B507F8" w14:textId="65AB9450" w:rsidR="007D5C10" w:rsidRPr="007D5C10" w:rsidRDefault="007D5C10" w:rsidP="007D5C10">
      <w:pPr>
        <w:pStyle w:val="ListBullet"/>
      </w:pPr>
      <w:r w:rsidRPr="007D5C10">
        <w:t>A new $100 million Outcomes Fund which will see the Commonwealth partner with states, territories and social enterprises to tackle disadvantage by funding projects that deliver outcomes in communities.</w:t>
      </w:r>
    </w:p>
    <w:p w14:paraId="7FFF8171" w14:textId="77777777" w:rsidR="007D5C10" w:rsidRPr="007D5C10" w:rsidRDefault="007D5C10" w:rsidP="007D5C10">
      <w:pPr>
        <w:rPr>
          <w:lang w:val="en-GB"/>
        </w:rPr>
      </w:pPr>
      <w:r w:rsidRPr="007D5C10">
        <w:rPr>
          <w:lang w:val="en-GB"/>
        </w:rPr>
        <w:t xml:space="preserve">The Department of Social Services and Treasury are developing a Whole-of-Government Framework to Address Community Disadvantage (the Framework) to identify strategic </w:t>
      </w:r>
      <w:r w:rsidRPr="007D5C10">
        <w:rPr>
          <w:lang w:val="en-GB"/>
        </w:rPr>
        <w:lastRenderedPageBreak/>
        <w:t xml:space="preserve">objectives and key principles to guide how Government works in partnership with communities and to support more impactful investment in initiatives. </w:t>
      </w:r>
    </w:p>
    <w:p w14:paraId="0815CFC7" w14:textId="77777777" w:rsidR="007D5C10" w:rsidRPr="007D5C10" w:rsidRDefault="007D5C10" w:rsidP="007D5C10">
      <w:pPr>
        <w:rPr>
          <w:lang w:val="en-GB"/>
        </w:rPr>
      </w:pPr>
      <w:r w:rsidRPr="007D5C10">
        <w:rPr>
          <w:lang w:val="en-GB"/>
        </w:rPr>
        <w:t>In June 2023, the Government committed $68.3 million for the analysis, research and delivery of the National Disability Data Asset, with expectations the Asset will be fully operational in 2026.</w:t>
      </w:r>
    </w:p>
    <w:p w14:paraId="47D0C535" w14:textId="77777777" w:rsidR="007D5C10" w:rsidRPr="007D5C10" w:rsidRDefault="007D5C10" w:rsidP="007D5C10">
      <w:pPr>
        <w:rPr>
          <w:lang w:val="en-GB"/>
        </w:rPr>
      </w:pPr>
      <w:r w:rsidRPr="007D5C10">
        <w:rPr>
          <w:lang w:val="en-GB"/>
        </w:rPr>
        <w:t>The Government has committed to establish the Life Course Data Asset led by the ABS as part of the Targeting Entrenched Disadvantage Package, detailed above. This is expected to allow more comprehensive evaluation of place-based strategies pursued by governments.</w:t>
      </w:r>
    </w:p>
    <w:p w14:paraId="5EC4F1EC" w14:textId="2F2A59C6" w:rsidR="007F5623" w:rsidRDefault="007D5C10" w:rsidP="007D5C10">
      <w:pPr>
        <w:rPr>
          <w:lang w:val="en-GB"/>
        </w:rPr>
      </w:pPr>
      <w:r w:rsidRPr="007D5C10">
        <w:rPr>
          <w:lang w:val="en-GB"/>
        </w:rPr>
        <w:t>The Innovation Zones idea is a central focus of the Investment Dialogue for Australia’s Children process with philanthropy which the Government has committed to, and the Targeting Entrenched Disadvantage Package has funded initial small steps towards enacting the Innovation Zones idea.</w:t>
      </w:r>
    </w:p>
    <w:tbl>
      <w:tblPr>
        <w:tblStyle w:val="TableGrid"/>
        <w:tblW w:w="0" w:type="auto"/>
        <w:tblLook w:val="04A0" w:firstRow="1" w:lastRow="0" w:firstColumn="1" w:lastColumn="0" w:noHBand="0" w:noVBand="1"/>
      </w:tblPr>
      <w:tblGrid>
        <w:gridCol w:w="3397"/>
        <w:gridCol w:w="1843"/>
        <w:gridCol w:w="3776"/>
      </w:tblGrid>
      <w:tr w:rsidR="007D5C10" w14:paraId="2325EF6C"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187946AA" w14:textId="77777777" w:rsidR="007D5C10" w:rsidRPr="00684925" w:rsidRDefault="007D5C10"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7F989C5B"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1CB33C88"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comment</w:t>
            </w:r>
          </w:p>
        </w:tc>
      </w:tr>
      <w:tr w:rsidR="007D5C10" w14:paraId="3399BA89"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FB5F75B" w14:textId="139329AF" w:rsidR="007D5C10" w:rsidRPr="007D5C10" w:rsidRDefault="007D5C10" w:rsidP="007D5C10">
            <w:pPr>
              <w:rPr>
                <w:sz w:val="18"/>
                <w:szCs w:val="18"/>
              </w:rPr>
            </w:pPr>
            <w:r w:rsidRPr="007D5C10">
              <w:rPr>
                <w:sz w:val="18"/>
                <w:szCs w:val="18"/>
              </w:rPr>
              <w:t>Recommendation 17</w:t>
            </w:r>
            <w:r w:rsidRPr="007D5C10">
              <w:rPr>
                <w:sz w:val="18"/>
                <w:szCs w:val="18"/>
              </w:rPr>
              <w:br/>
              <w:t>The Government should set out a Local Jobs Deals framework to guide future decision making and resourcing by governments, industry, the community sector and philanthropy. This framework should build on work underway through the Net Zero Economy Taskforce, Employment White Paper, Local Jobs Program, the House Select Committee inquiry into Workforce Australia Employment Services, and employment initiatives priorities under the Closing the Gap Implementation Plan.</w:t>
            </w:r>
          </w:p>
        </w:tc>
        <w:tc>
          <w:tcPr>
            <w:tcW w:w="1843" w:type="dxa"/>
          </w:tcPr>
          <w:p w14:paraId="52DF164B" w14:textId="3C20EFA4" w:rsidR="007D5C10" w:rsidRPr="007D5C10" w:rsidRDefault="007D5C10" w:rsidP="007D5C10">
            <w:pPr>
              <w:rPr>
                <w:sz w:val="18"/>
                <w:szCs w:val="18"/>
              </w:rPr>
            </w:pPr>
            <w:r>
              <w:rPr>
                <w:sz w:val="18"/>
                <w:szCs w:val="18"/>
              </w:rPr>
              <w:t>Sustained priority in 2024 report</w:t>
            </w:r>
          </w:p>
        </w:tc>
        <w:tc>
          <w:tcPr>
            <w:tcW w:w="3776" w:type="dxa"/>
          </w:tcPr>
          <w:p w14:paraId="4B81F0EA" w14:textId="77777777" w:rsidR="007D5C10" w:rsidRPr="007D5C10" w:rsidRDefault="007D5C10" w:rsidP="007D5C10">
            <w:pPr>
              <w:rPr>
                <w:sz w:val="18"/>
                <w:szCs w:val="18"/>
              </w:rPr>
            </w:pPr>
            <w:r w:rsidRPr="007D5C10">
              <w:rPr>
                <w:sz w:val="18"/>
                <w:szCs w:val="18"/>
              </w:rPr>
              <w:t>The Employment White Paper and Select Committee report on Workforce Australia Employment Services create the authorising environment within which this recommendation can be progressed. Work in the year(s) ahead will allow an assessment of how fully the recommendation is responded to.</w:t>
            </w:r>
          </w:p>
          <w:p w14:paraId="53670E3A" w14:textId="53041AFF" w:rsidR="007D5C10" w:rsidRPr="007D5C10" w:rsidRDefault="007D5C10" w:rsidP="007D5C10">
            <w:pPr>
              <w:rPr>
                <w:sz w:val="18"/>
                <w:szCs w:val="18"/>
              </w:rPr>
            </w:pPr>
            <w:r w:rsidRPr="007D5C10">
              <w:rPr>
                <w:sz w:val="18"/>
                <w:szCs w:val="18"/>
              </w:rPr>
              <w:t xml:space="preserve">In the 2024 report, the Committee recommends the Government commits to a full scale redesign of Australia’s employment services system, including a network of demonstration sites and regional hubs that enable stronger connections to local human services systems and place-based direction of effort. </w:t>
            </w:r>
          </w:p>
        </w:tc>
      </w:tr>
      <w:tr w:rsidR="007D5C10" w:rsidRPr="007D5C10" w14:paraId="54FE241E" w14:textId="77777777" w:rsidTr="00192F35">
        <w:tc>
          <w:tcPr>
            <w:tcW w:w="3397" w:type="dxa"/>
          </w:tcPr>
          <w:p w14:paraId="2B95F017" w14:textId="2D53AA09" w:rsidR="007D5C10" w:rsidRPr="007D5C10" w:rsidRDefault="007D5C10" w:rsidP="007D5C10">
            <w:pPr>
              <w:rPr>
                <w:sz w:val="18"/>
                <w:szCs w:val="18"/>
              </w:rPr>
            </w:pPr>
            <w:r w:rsidRPr="007D5C10">
              <w:rPr>
                <w:sz w:val="18"/>
                <w:szCs w:val="18"/>
              </w:rPr>
              <w:t>Recommendation 18</w:t>
            </w:r>
            <w:r w:rsidRPr="007D5C10">
              <w:rPr>
                <w:sz w:val="18"/>
                <w:szCs w:val="18"/>
              </w:rPr>
              <w:br/>
              <w:t>The Government commit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w:t>
            </w:r>
          </w:p>
        </w:tc>
        <w:tc>
          <w:tcPr>
            <w:tcW w:w="1843" w:type="dxa"/>
          </w:tcPr>
          <w:p w14:paraId="32285F6C" w14:textId="6B3E9411" w:rsidR="007D5C10" w:rsidRPr="007D5C10" w:rsidRDefault="007D5C10" w:rsidP="007D5C10">
            <w:pPr>
              <w:rPr>
                <w:sz w:val="18"/>
                <w:szCs w:val="18"/>
              </w:rPr>
            </w:pPr>
            <w:r>
              <w:rPr>
                <w:sz w:val="18"/>
                <w:szCs w:val="18"/>
              </w:rPr>
              <w:t>Sustained priority in 2024 report</w:t>
            </w:r>
          </w:p>
        </w:tc>
        <w:tc>
          <w:tcPr>
            <w:tcW w:w="3776" w:type="dxa"/>
          </w:tcPr>
          <w:p w14:paraId="51E18D7F" w14:textId="71F3579D" w:rsidR="007D5C10" w:rsidRPr="007D5C10" w:rsidRDefault="007D5C10" w:rsidP="007D5C10">
            <w:pPr>
              <w:rPr>
                <w:sz w:val="18"/>
                <w:szCs w:val="18"/>
              </w:rPr>
            </w:pPr>
            <w:r w:rsidRPr="007D5C10">
              <w:rPr>
                <w:sz w:val="18"/>
                <w:szCs w:val="18"/>
              </w:rPr>
              <w:t>As per recommendation 17</w:t>
            </w:r>
          </w:p>
        </w:tc>
      </w:tr>
    </w:tbl>
    <w:p w14:paraId="2E2E5DC2" w14:textId="77777777" w:rsidR="007D5C10" w:rsidRPr="007D5C10" w:rsidRDefault="007D5C10" w:rsidP="007D5C10">
      <w:pPr>
        <w:pStyle w:val="Heading4"/>
      </w:pPr>
      <w:r w:rsidRPr="007D5C10">
        <w:t xml:space="preserve">Relevant Government actions </w:t>
      </w:r>
    </w:p>
    <w:p w14:paraId="43CFA3DB" w14:textId="77777777" w:rsidR="007D5C10" w:rsidRPr="007D5C10" w:rsidRDefault="007D5C10" w:rsidP="007D5C10">
      <w:pPr>
        <w:rPr>
          <w:lang w:val="en-GB"/>
        </w:rPr>
      </w:pPr>
      <w:r w:rsidRPr="007D5C10">
        <w:rPr>
          <w:lang w:val="en-GB"/>
        </w:rPr>
        <w:t xml:space="preserve">The Employment White Paper embraces place-based approaches as a central strategy within its chapter on ‘Overcoming Barriers to Employment and Broadening Opportunities’. The Employment White Paper committed to reforming the Local Jobs Program to align with best practices in place-based policy design, and expanding eligibility for projects to more people seeking work (outcome 63, pp. 180, 222 &amp; 225). The proposed enhancement of the Local Jobs Program  is consistent with the intent of this recommendation. </w:t>
      </w:r>
    </w:p>
    <w:p w14:paraId="15BBA454" w14:textId="0FCDF43C" w:rsidR="007D5C10" w:rsidRDefault="007D5C10" w:rsidP="007D5C10">
      <w:pPr>
        <w:rPr>
          <w:lang w:val="en-GB"/>
        </w:rPr>
      </w:pPr>
      <w:r w:rsidRPr="007D5C10">
        <w:rPr>
          <w:lang w:val="en-GB"/>
        </w:rPr>
        <w:t>More extensive reform has been recommended in the Select Committee report on Workforce Australia Employment Services, including a network of regional hubs and service gateways to facilitate locally-coordinated prioritisation and service delivery. The Select Committee report also recommends a new evaluation framework for employment services and a research, evaluation and continuous learning function embedded in a new Employment Services Quality Commission.</w:t>
      </w:r>
    </w:p>
    <w:tbl>
      <w:tblPr>
        <w:tblStyle w:val="TableGrid"/>
        <w:tblW w:w="0" w:type="auto"/>
        <w:tblLook w:val="04A0" w:firstRow="1" w:lastRow="0" w:firstColumn="1" w:lastColumn="0" w:noHBand="0" w:noVBand="1"/>
      </w:tblPr>
      <w:tblGrid>
        <w:gridCol w:w="3397"/>
        <w:gridCol w:w="1843"/>
        <w:gridCol w:w="3776"/>
      </w:tblGrid>
      <w:tr w:rsidR="007D5C10" w14:paraId="2426D801"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4236AAFA" w14:textId="77777777" w:rsidR="007D5C10" w:rsidRPr="00684925" w:rsidRDefault="007D5C10" w:rsidP="00192F35">
            <w:pPr>
              <w:rPr>
                <w:color w:val="FFFFFF" w:themeColor="background1"/>
                <w:sz w:val="18"/>
                <w:szCs w:val="18"/>
              </w:rPr>
            </w:pPr>
            <w:r w:rsidRPr="00684925">
              <w:rPr>
                <w:color w:val="FFFFFF" w:themeColor="background1"/>
                <w:sz w:val="18"/>
                <w:szCs w:val="18"/>
              </w:rPr>
              <w:lastRenderedPageBreak/>
              <w:t>Recommendation in the Committee’s 2023 report</w:t>
            </w:r>
          </w:p>
        </w:tc>
        <w:tc>
          <w:tcPr>
            <w:tcW w:w="1843" w:type="dxa"/>
            <w:vAlign w:val="center"/>
          </w:tcPr>
          <w:p w14:paraId="464A0D90"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21F737DD" w14:textId="77777777" w:rsidR="007D5C10" w:rsidRPr="00684925" w:rsidRDefault="007D5C10" w:rsidP="00192F35">
            <w:pPr>
              <w:rPr>
                <w:color w:val="FFFFFF" w:themeColor="background1"/>
                <w:sz w:val="18"/>
                <w:szCs w:val="18"/>
              </w:rPr>
            </w:pPr>
            <w:r w:rsidRPr="00684925">
              <w:rPr>
                <w:color w:val="FFFFFF" w:themeColor="background1"/>
                <w:sz w:val="18"/>
                <w:szCs w:val="18"/>
              </w:rPr>
              <w:t>The Committee comment</w:t>
            </w:r>
          </w:p>
        </w:tc>
      </w:tr>
      <w:tr w:rsidR="007D5C10" w14:paraId="70D529A5"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139531E" w14:textId="243A1637" w:rsidR="007D5C10" w:rsidRPr="007D5C10" w:rsidRDefault="007D5C10" w:rsidP="007D5C10">
            <w:pPr>
              <w:rPr>
                <w:sz w:val="18"/>
                <w:szCs w:val="18"/>
              </w:rPr>
            </w:pPr>
            <w:r w:rsidRPr="007D5C10">
              <w:rPr>
                <w:sz w:val="18"/>
                <w:szCs w:val="18"/>
              </w:rPr>
              <w:t>Recommendation 19</w:t>
            </w:r>
            <w:r w:rsidRPr="007D5C10">
              <w:rPr>
                <w:sz w:val="18"/>
                <w:szCs w:val="18"/>
              </w:rPr>
              <w:br/>
              <w:t>The Government establish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renewables, and other measures to ensure people experiencing disadvantage benefit from the transition.</w:t>
            </w:r>
          </w:p>
        </w:tc>
        <w:tc>
          <w:tcPr>
            <w:tcW w:w="1843" w:type="dxa"/>
          </w:tcPr>
          <w:p w14:paraId="0F365495" w14:textId="62BE0462" w:rsidR="007D5C10" w:rsidRPr="007D5C10" w:rsidRDefault="007D5C10" w:rsidP="007D5C10">
            <w:pPr>
              <w:rPr>
                <w:sz w:val="18"/>
                <w:szCs w:val="18"/>
              </w:rPr>
            </w:pPr>
            <w:r>
              <w:rPr>
                <w:sz w:val="18"/>
                <w:szCs w:val="18"/>
              </w:rPr>
              <w:t>Active follow up</w:t>
            </w:r>
          </w:p>
        </w:tc>
        <w:tc>
          <w:tcPr>
            <w:tcW w:w="3776" w:type="dxa"/>
          </w:tcPr>
          <w:p w14:paraId="49878661" w14:textId="77777777" w:rsidR="007D5C10" w:rsidRPr="007D5C10" w:rsidRDefault="007D5C10" w:rsidP="007D5C10">
            <w:pPr>
              <w:rPr>
                <w:sz w:val="18"/>
                <w:szCs w:val="18"/>
              </w:rPr>
            </w:pPr>
            <w:r w:rsidRPr="007D5C10">
              <w:rPr>
                <w:sz w:val="18"/>
                <w:szCs w:val="18"/>
              </w:rPr>
              <w:t>While commitments announced through the Household Energy Upgrades Fund are welcome, more could be done to systematically ensure an equitable and inclusion energy transition for people experiencing poverty and disadvantage.</w:t>
            </w:r>
          </w:p>
          <w:p w14:paraId="64822BBF" w14:textId="6F3B0D54" w:rsidR="007D5C10" w:rsidRPr="007D5C10" w:rsidRDefault="007D5C10" w:rsidP="007D5C10">
            <w:pPr>
              <w:rPr>
                <w:sz w:val="18"/>
                <w:szCs w:val="18"/>
              </w:rPr>
            </w:pPr>
            <w:r w:rsidRPr="007D5C10">
              <w:rPr>
                <w:sz w:val="18"/>
                <w:szCs w:val="18"/>
              </w:rPr>
              <w:t>Over time, the Committee can monitor progress of work in this area and offer advice to ensure it achieves the intent of the recommendation.</w:t>
            </w:r>
          </w:p>
        </w:tc>
      </w:tr>
      <w:tr w:rsidR="007D5C10" w:rsidRPr="007D5C10" w14:paraId="444C9755" w14:textId="77777777" w:rsidTr="00192F35">
        <w:tc>
          <w:tcPr>
            <w:tcW w:w="3397" w:type="dxa"/>
          </w:tcPr>
          <w:p w14:paraId="3CAB8CB6" w14:textId="5EFC0B0B" w:rsidR="007D5C10" w:rsidRPr="007D5C10" w:rsidRDefault="007D5C10" w:rsidP="007D5C10">
            <w:pPr>
              <w:rPr>
                <w:sz w:val="18"/>
                <w:szCs w:val="18"/>
              </w:rPr>
            </w:pPr>
            <w:r w:rsidRPr="007D5C10">
              <w:rPr>
                <w:sz w:val="18"/>
                <w:szCs w:val="18"/>
              </w:rPr>
              <w:t>Recommendation 20</w:t>
            </w:r>
            <w:r w:rsidRPr="007D5C10">
              <w:rPr>
                <w:sz w:val="18"/>
                <w:szCs w:val="18"/>
              </w:rPr>
              <w:br/>
              <w:t>The Government establish an independent and properly resourced National Energy Transition Authority to manage an orderly and fair transition process for workers in emissions intensive industries and impacted communities to support economic and social inclusion – that has governance of governments, industry, community and unions.</w:t>
            </w:r>
          </w:p>
        </w:tc>
        <w:tc>
          <w:tcPr>
            <w:tcW w:w="1843" w:type="dxa"/>
          </w:tcPr>
          <w:p w14:paraId="1C420001" w14:textId="19434321" w:rsidR="007D5C10" w:rsidRPr="007D5C10" w:rsidRDefault="00687881" w:rsidP="007D5C10">
            <w:pPr>
              <w:rPr>
                <w:sz w:val="18"/>
                <w:szCs w:val="18"/>
              </w:rPr>
            </w:pPr>
            <w:r>
              <w:rPr>
                <w:sz w:val="18"/>
                <w:szCs w:val="18"/>
              </w:rPr>
              <w:t>Achieved in part – monitor implementation</w:t>
            </w:r>
          </w:p>
        </w:tc>
        <w:tc>
          <w:tcPr>
            <w:tcW w:w="3776" w:type="dxa"/>
          </w:tcPr>
          <w:p w14:paraId="4BCE6B7A" w14:textId="77777777" w:rsidR="007D5C10" w:rsidRPr="007D5C10" w:rsidRDefault="007D5C10" w:rsidP="007D5C10">
            <w:pPr>
              <w:rPr>
                <w:sz w:val="18"/>
                <w:szCs w:val="18"/>
              </w:rPr>
            </w:pPr>
            <w:r w:rsidRPr="007D5C10">
              <w:rPr>
                <w:sz w:val="18"/>
                <w:szCs w:val="18"/>
              </w:rPr>
              <w:t xml:space="preserve">Work to establish the Net Zero Economy Authority in legislation is welcome, and has the potential to support an orderly and fair transition process as outlined in this recommendation. </w:t>
            </w:r>
          </w:p>
          <w:p w14:paraId="2B06F0B2" w14:textId="48FDF9E4" w:rsidR="007D5C10" w:rsidRPr="007D5C10" w:rsidRDefault="007D5C10" w:rsidP="007D5C10">
            <w:pPr>
              <w:rPr>
                <w:sz w:val="18"/>
                <w:szCs w:val="18"/>
              </w:rPr>
            </w:pPr>
            <w:r w:rsidRPr="007D5C10">
              <w:rPr>
                <w:sz w:val="18"/>
                <w:szCs w:val="18"/>
              </w:rPr>
              <w:t>The Committee can monitor the establishment of this Authority to ensure it fully achieve the intent of the recommendation.</w:t>
            </w:r>
          </w:p>
        </w:tc>
      </w:tr>
    </w:tbl>
    <w:p w14:paraId="79A536F9" w14:textId="77777777" w:rsidR="00687881" w:rsidRPr="00687881" w:rsidRDefault="00687881" w:rsidP="00687881">
      <w:pPr>
        <w:pStyle w:val="Heading4"/>
        <w:rPr>
          <w:lang w:val="en-US"/>
        </w:rPr>
      </w:pPr>
      <w:r w:rsidRPr="00687881">
        <w:rPr>
          <w:lang w:val="en-US"/>
        </w:rPr>
        <w:t xml:space="preserve">Relevant Government actions </w:t>
      </w:r>
    </w:p>
    <w:p w14:paraId="523ADEEC" w14:textId="77777777" w:rsidR="00687881" w:rsidRPr="00687881" w:rsidRDefault="00687881" w:rsidP="00687881">
      <w:pPr>
        <w:rPr>
          <w:lang w:val="en-GB"/>
        </w:rPr>
      </w:pPr>
      <w:r w:rsidRPr="00687881">
        <w:rPr>
          <w:lang w:val="en-GB"/>
        </w:rPr>
        <w:t>The $1.3 billion Household Energy Upgrades Fund will improve the energy performance of households. The Fund will deliver concessional loans and mortgages for energy efficient upgrades for at least 110,000 homes; and partnering with states and territories, the Fund will support over 60,000 social housing properties to improve energy efficiency. The $100 million Community Energy Upgrades Fund will also support local Governments’ lower emissions and costs through energy upgrades.</w:t>
      </w:r>
    </w:p>
    <w:p w14:paraId="3786F64D" w14:textId="77777777" w:rsidR="00687881" w:rsidRPr="00687881" w:rsidRDefault="00687881" w:rsidP="00687881">
      <w:pPr>
        <w:rPr>
          <w:lang w:val="en-GB"/>
        </w:rPr>
      </w:pPr>
      <w:r w:rsidRPr="00687881">
        <w:rPr>
          <w:lang w:val="en-GB"/>
        </w:rPr>
        <w:t>The Net Zero Economy Authority will promote orderly and positive net zero economic transformation for Australia, its regions, industries, workers and communities. The Government is targeting commencement of the legislated Authority in 2024, subject passage through Parliament.</w:t>
      </w:r>
    </w:p>
    <w:p w14:paraId="5F0AF3C5" w14:textId="4FA3B765" w:rsidR="007D5C10" w:rsidRDefault="00687881" w:rsidP="00687881">
      <w:pPr>
        <w:rPr>
          <w:lang w:val="en-GB"/>
        </w:rPr>
      </w:pPr>
      <w:r w:rsidRPr="00687881">
        <w:rPr>
          <w:lang w:val="en-GB"/>
        </w:rPr>
        <w:t>To lead on the design of the Authority and begin some of its core functions, the Net Zero Economy Agency has been established in the Department of the Prime Minister and Cabinet.</w:t>
      </w:r>
    </w:p>
    <w:tbl>
      <w:tblPr>
        <w:tblStyle w:val="TableGrid"/>
        <w:tblW w:w="0" w:type="auto"/>
        <w:tblLook w:val="04A0" w:firstRow="1" w:lastRow="0" w:firstColumn="1" w:lastColumn="0" w:noHBand="0" w:noVBand="1"/>
      </w:tblPr>
      <w:tblGrid>
        <w:gridCol w:w="3397"/>
        <w:gridCol w:w="1843"/>
        <w:gridCol w:w="3776"/>
      </w:tblGrid>
      <w:tr w:rsidR="00FA004A" w14:paraId="38EAB5AF"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5067831B" w14:textId="77777777" w:rsidR="00FA004A" w:rsidRPr="00684925" w:rsidRDefault="00FA004A"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2E1D874A" w14:textId="77777777" w:rsidR="00FA004A" w:rsidRPr="00684925" w:rsidRDefault="00FA004A"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3DDBEB9D" w14:textId="77777777" w:rsidR="00FA004A" w:rsidRPr="00684925" w:rsidRDefault="00FA004A" w:rsidP="00192F35">
            <w:pPr>
              <w:rPr>
                <w:color w:val="FFFFFF" w:themeColor="background1"/>
                <w:sz w:val="18"/>
                <w:szCs w:val="18"/>
              </w:rPr>
            </w:pPr>
            <w:r w:rsidRPr="00684925">
              <w:rPr>
                <w:color w:val="FFFFFF" w:themeColor="background1"/>
                <w:sz w:val="18"/>
                <w:szCs w:val="18"/>
              </w:rPr>
              <w:t>The Committee comment</w:t>
            </w:r>
          </w:p>
        </w:tc>
      </w:tr>
      <w:tr w:rsidR="00FA004A" w14:paraId="47848C1B"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1F48D7A3" w14:textId="26DC3450" w:rsidR="00FA004A" w:rsidRPr="00FA004A" w:rsidRDefault="00FA004A" w:rsidP="00FA004A">
            <w:pPr>
              <w:rPr>
                <w:sz w:val="18"/>
                <w:szCs w:val="18"/>
              </w:rPr>
            </w:pPr>
            <w:r w:rsidRPr="00FA004A">
              <w:rPr>
                <w:sz w:val="18"/>
                <w:szCs w:val="18"/>
              </w:rPr>
              <w:t>Recommendation 21</w:t>
            </w:r>
            <w:r w:rsidRPr="00FA004A">
              <w:rPr>
                <w:sz w:val="18"/>
                <w:szCs w:val="18"/>
              </w:rPr>
              <w:br/>
              <w:t>The Government use the Early Years Strategy to explore how it can partner with States and Territories, philanthropy and other stakeholders to expand holistic child and family models across community, school, primary health, early learning and other relevant settings, including by creating common infrastructure, workforce and standards to support these at network scale.</w:t>
            </w:r>
          </w:p>
        </w:tc>
        <w:tc>
          <w:tcPr>
            <w:tcW w:w="1843" w:type="dxa"/>
          </w:tcPr>
          <w:p w14:paraId="4885529E" w14:textId="4605CE29" w:rsidR="00FA004A" w:rsidRPr="00FA004A" w:rsidRDefault="00FA004A" w:rsidP="00FA004A">
            <w:pPr>
              <w:rPr>
                <w:sz w:val="18"/>
                <w:szCs w:val="18"/>
              </w:rPr>
            </w:pPr>
            <w:r>
              <w:rPr>
                <w:sz w:val="18"/>
                <w:szCs w:val="18"/>
              </w:rPr>
              <w:t>Sustained priority in 2024 report</w:t>
            </w:r>
          </w:p>
        </w:tc>
        <w:tc>
          <w:tcPr>
            <w:tcW w:w="3776" w:type="dxa"/>
          </w:tcPr>
          <w:p w14:paraId="2913BC1F" w14:textId="77777777" w:rsidR="00FA004A" w:rsidRPr="00FA004A" w:rsidRDefault="00FA004A" w:rsidP="00FA004A">
            <w:pPr>
              <w:rPr>
                <w:sz w:val="18"/>
                <w:szCs w:val="18"/>
              </w:rPr>
            </w:pPr>
            <w:r w:rsidRPr="00FA004A">
              <w:rPr>
                <w:sz w:val="18"/>
                <w:szCs w:val="18"/>
              </w:rPr>
              <w:t>The final Early Years Strategy is due for release in 2024. It is unclear from the draft Early Years Strategy whether there is likely to be a relevant response to this recommendation in the final Strategy.</w:t>
            </w:r>
          </w:p>
          <w:p w14:paraId="71BBAA63" w14:textId="7524C9D3" w:rsidR="00FA004A" w:rsidRPr="00FA004A" w:rsidRDefault="00FA004A" w:rsidP="00FA004A">
            <w:pPr>
              <w:rPr>
                <w:sz w:val="18"/>
                <w:szCs w:val="18"/>
              </w:rPr>
            </w:pPr>
            <w:r w:rsidRPr="00FA004A">
              <w:rPr>
                <w:sz w:val="18"/>
                <w:szCs w:val="18"/>
              </w:rPr>
              <w:t xml:space="preserve">In the 2024 report, the Committee includes a recommendation that as an early action of the new Early Years Strategy, the Commonwealth Government commits to wider scale delivery of integrated child and family centres and holistic “full service” school models targeted to communities of highest need. </w:t>
            </w:r>
          </w:p>
        </w:tc>
      </w:tr>
      <w:tr w:rsidR="00FA004A" w:rsidRPr="007D5C10" w14:paraId="42C654E0" w14:textId="77777777" w:rsidTr="00192F35">
        <w:tc>
          <w:tcPr>
            <w:tcW w:w="3397" w:type="dxa"/>
          </w:tcPr>
          <w:p w14:paraId="42FFB01D" w14:textId="31632E39" w:rsidR="00FA004A" w:rsidRPr="00FA004A" w:rsidRDefault="00FA004A" w:rsidP="00FA004A">
            <w:pPr>
              <w:rPr>
                <w:sz w:val="18"/>
                <w:szCs w:val="18"/>
              </w:rPr>
            </w:pPr>
            <w:r w:rsidRPr="00FA004A">
              <w:rPr>
                <w:sz w:val="18"/>
                <w:szCs w:val="18"/>
              </w:rPr>
              <w:lastRenderedPageBreak/>
              <w:t>Recommendation 22</w:t>
            </w:r>
            <w:r w:rsidRPr="00FA004A">
              <w:rPr>
                <w:sz w:val="18"/>
                <w:szCs w:val="18"/>
              </w:rPr>
              <w:br/>
              <w:t>The Government commit to an audit of existing integrated models is undertaken and secure resourcing provided for those which are (or have the potential to be) high performing.</w:t>
            </w:r>
          </w:p>
        </w:tc>
        <w:tc>
          <w:tcPr>
            <w:tcW w:w="1843" w:type="dxa"/>
          </w:tcPr>
          <w:p w14:paraId="66142D3D" w14:textId="117FDBF3" w:rsidR="00FA004A" w:rsidRPr="00FA004A" w:rsidRDefault="00FA004A" w:rsidP="00FA004A">
            <w:pPr>
              <w:rPr>
                <w:sz w:val="18"/>
                <w:szCs w:val="18"/>
              </w:rPr>
            </w:pPr>
            <w:r>
              <w:rPr>
                <w:sz w:val="18"/>
                <w:szCs w:val="18"/>
              </w:rPr>
              <w:t>Active follow up</w:t>
            </w:r>
          </w:p>
        </w:tc>
        <w:tc>
          <w:tcPr>
            <w:tcW w:w="3776" w:type="dxa"/>
          </w:tcPr>
          <w:p w14:paraId="18321288" w14:textId="77777777" w:rsidR="00FA004A" w:rsidRPr="00FA004A" w:rsidRDefault="00FA004A" w:rsidP="00FA004A">
            <w:pPr>
              <w:rPr>
                <w:sz w:val="18"/>
                <w:szCs w:val="18"/>
              </w:rPr>
            </w:pPr>
            <w:r w:rsidRPr="00FA004A">
              <w:rPr>
                <w:sz w:val="18"/>
                <w:szCs w:val="18"/>
              </w:rPr>
              <w:t>It is unclear that there has been a relevant response to this recommendation.</w:t>
            </w:r>
          </w:p>
          <w:p w14:paraId="53FDA3C0" w14:textId="77777777" w:rsidR="00FA004A" w:rsidRPr="00FA004A" w:rsidRDefault="00FA004A" w:rsidP="00FA004A">
            <w:pPr>
              <w:rPr>
                <w:sz w:val="18"/>
                <w:szCs w:val="18"/>
              </w:rPr>
            </w:pPr>
            <w:r w:rsidRPr="00FA004A">
              <w:rPr>
                <w:sz w:val="18"/>
                <w:szCs w:val="18"/>
              </w:rPr>
              <w:t>Integrated school models, child and family centres and other hub models are achieving significant outcomes and are central to the reform of the child and family support system.</w:t>
            </w:r>
          </w:p>
          <w:p w14:paraId="54866465" w14:textId="447FED5E" w:rsidR="00FA004A" w:rsidRPr="00FA004A" w:rsidRDefault="00FA004A" w:rsidP="00FA004A">
            <w:pPr>
              <w:rPr>
                <w:sz w:val="18"/>
                <w:szCs w:val="18"/>
              </w:rPr>
            </w:pPr>
            <w:r w:rsidRPr="00FA004A">
              <w:rPr>
                <w:sz w:val="18"/>
                <w:szCs w:val="18"/>
              </w:rPr>
              <w:t>The Committee can advise on further work to be considered to respond to the recommendation.</w:t>
            </w:r>
          </w:p>
        </w:tc>
      </w:tr>
      <w:tr w:rsidR="00FA004A" w:rsidRPr="007D5C10" w14:paraId="149BEE2E"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4139123" w14:textId="7AC20935" w:rsidR="00FA004A" w:rsidRPr="00FA004A" w:rsidRDefault="00FA004A" w:rsidP="00FA004A">
            <w:pPr>
              <w:rPr>
                <w:sz w:val="18"/>
                <w:szCs w:val="18"/>
              </w:rPr>
            </w:pPr>
            <w:r w:rsidRPr="00FA004A">
              <w:rPr>
                <w:sz w:val="18"/>
                <w:szCs w:val="18"/>
              </w:rPr>
              <w:t>Recommendation 23</w:t>
            </w:r>
            <w:r w:rsidRPr="00FA004A">
              <w:rPr>
                <w:sz w:val="18"/>
                <w:szCs w:val="18"/>
              </w:rPr>
              <w:br/>
              <w:t xml:space="preserve">Pending the outcome of recommendations 21 and 22, the Government commit to establish a forward program of projects creating a pipeline of shovel-ready capital and services projects that can be accelerated in the event that economic stimulus is required in a future downturn. </w:t>
            </w:r>
          </w:p>
        </w:tc>
        <w:tc>
          <w:tcPr>
            <w:tcW w:w="1843" w:type="dxa"/>
          </w:tcPr>
          <w:p w14:paraId="7DB38B7B" w14:textId="3B1CB453" w:rsidR="00FA004A" w:rsidRPr="00FA004A" w:rsidRDefault="00FA004A" w:rsidP="00FA004A">
            <w:pPr>
              <w:rPr>
                <w:sz w:val="18"/>
                <w:szCs w:val="18"/>
              </w:rPr>
            </w:pPr>
            <w:r>
              <w:rPr>
                <w:sz w:val="18"/>
                <w:szCs w:val="18"/>
              </w:rPr>
              <w:t>Active follow up</w:t>
            </w:r>
          </w:p>
        </w:tc>
        <w:tc>
          <w:tcPr>
            <w:tcW w:w="3776" w:type="dxa"/>
          </w:tcPr>
          <w:p w14:paraId="6966A243" w14:textId="77777777" w:rsidR="00FA004A" w:rsidRPr="00FA004A" w:rsidRDefault="00FA004A" w:rsidP="00FA004A">
            <w:pPr>
              <w:rPr>
                <w:sz w:val="18"/>
                <w:szCs w:val="18"/>
              </w:rPr>
            </w:pPr>
            <w:r w:rsidRPr="00FA004A">
              <w:rPr>
                <w:sz w:val="18"/>
                <w:szCs w:val="18"/>
              </w:rPr>
              <w:t>It is unclear that there has been a relevant response to this recommendation.</w:t>
            </w:r>
          </w:p>
          <w:p w14:paraId="6BFAEE7C" w14:textId="216BE106" w:rsidR="00FA004A" w:rsidRPr="00FA004A" w:rsidRDefault="00FA004A" w:rsidP="00FA004A">
            <w:pPr>
              <w:rPr>
                <w:sz w:val="18"/>
                <w:szCs w:val="18"/>
              </w:rPr>
            </w:pPr>
            <w:r w:rsidRPr="00FA004A">
              <w:rPr>
                <w:sz w:val="18"/>
                <w:szCs w:val="18"/>
              </w:rPr>
              <w:t>The Committee can advise on further work to be considered to respond to the recommendation.</w:t>
            </w:r>
          </w:p>
        </w:tc>
      </w:tr>
    </w:tbl>
    <w:p w14:paraId="44B2602E" w14:textId="77777777" w:rsidR="00FA004A" w:rsidRPr="00FA004A" w:rsidRDefault="00FA004A" w:rsidP="00FA004A">
      <w:pPr>
        <w:pStyle w:val="Heading4"/>
        <w:rPr>
          <w:lang w:val="en-US"/>
        </w:rPr>
      </w:pPr>
      <w:r w:rsidRPr="00FA004A">
        <w:rPr>
          <w:lang w:val="en-US"/>
        </w:rPr>
        <w:t xml:space="preserve">Relevant Government actions </w:t>
      </w:r>
    </w:p>
    <w:p w14:paraId="0A2095DD" w14:textId="77777777" w:rsidR="00FA004A" w:rsidRPr="00FA004A" w:rsidRDefault="00FA004A" w:rsidP="00FA004A">
      <w:pPr>
        <w:rPr>
          <w:lang w:val="en-GB"/>
        </w:rPr>
      </w:pPr>
      <w:r w:rsidRPr="00FA004A">
        <w:rPr>
          <w:lang w:val="en-GB"/>
        </w:rPr>
        <w:t xml:space="preserve">The development of the Early Years Strategy is progressing. The draft Early Years Strategy has been developed following broad consultation throughout 2023 and into early 2024. </w:t>
      </w:r>
    </w:p>
    <w:p w14:paraId="1EC6EC64" w14:textId="1F21E7E6" w:rsidR="00FA004A" w:rsidRDefault="00FA004A" w:rsidP="00FA004A">
      <w:pPr>
        <w:rPr>
          <w:lang w:val="en-GB"/>
        </w:rPr>
      </w:pPr>
      <w:r w:rsidRPr="00FA004A">
        <w:rPr>
          <w:lang w:val="en-GB"/>
        </w:rPr>
        <w:t>The Early Years Strategy will be an overarching 10-year document. It will be implemented through Action Plans and will be supported by an Outcomes Framework to measure its progress and effectiveness. Action Plans will be developed after the Early Years Strategy is finalised.</w:t>
      </w:r>
    </w:p>
    <w:tbl>
      <w:tblPr>
        <w:tblStyle w:val="TableGrid"/>
        <w:tblW w:w="0" w:type="auto"/>
        <w:tblLook w:val="04A0" w:firstRow="1" w:lastRow="0" w:firstColumn="1" w:lastColumn="0" w:noHBand="0" w:noVBand="1"/>
      </w:tblPr>
      <w:tblGrid>
        <w:gridCol w:w="3397"/>
        <w:gridCol w:w="1843"/>
        <w:gridCol w:w="3776"/>
      </w:tblGrid>
      <w:tr w:rsidR="009A10E4" w14:paraId="0AD794DA" w14:textId="77777777" w:rsidTr="00192F35">
        <w:trPr>
          <w:cnfStyle w:val="100000000000" w:firstRow="1" w:lastRow="0" w:firstColumn="0" w:lastColumn="0" w:oddVBand="0" w:evenVBand="0" w:oddHBand="0" w:evenHBand="0" w:firstRowFirstColumn="0" w:firstRowLastColumn="0" w:lastRowFirstColumn="0" w:lastRowLastColumn="0"/>
        </w:trPr>
        <w:tc>
          <w:tcPr>
            <w:tcW w:w="3397" w:type="dxa"/>
            <w:vAlign w:val="center"/>
          </w:tcPr>
          <w:p w14:paraId="095A35B1" w14:textId="77777777" w:rsidR="009A10E4" w:rsidRPr="00684925" w:rsidRDefault="009A10E4" w:rsidP="00192F35">
            <w:pPr>
              <w:rPr>
                <w:color w:val="FFFFFF" w:themeColor="background1"/>
                <w:sz w:val="18"/>
                <w:szCs w:val="18"/>
              </w:rPr>
            </w:pPr>
            <w:r w:rsidRPr="00684925">
              <w:rPr>
                <w:color w:val="FFFFFF" w:themeColor="background1"/>
                <w:sz w:val="18"/>
                <w:szCs w:val="18"/>
              </w:rPr>
              <w:t>Recommendation in the Committee’s 2023 report</w:t>
            </w:r>
          </w:p>
        </w:tc>
        <w:tc>
          <w:tcPr>
            <w:tcW w:w="1843" w:type="dxa"/>
            <w:vAlign w:val="center"/>
          </w:tcPr>
          <w:p w14:paraId="64CA6F50"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response</w:t>
            </w:r>
          </w:p>
        </w:tc>
        <w:tc>
          <w:tcPr>
            <w:tcW w:w="3776" w:type="dxa"/>
            <w:vAlign w:val="center"/>
          </w:tcPr>
          <w:p w14:paraId="451D29C0"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comment</w:t>
            </w:r>
          </w:p>
        </w:tc>
      </w:tr>
      <w:tr w:rsidR="009A10E4" w14:paraId="00914F80"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0B762A78" w14:textId="5999FB21" w:rsidR="009A10E4" w:rsidRPr="009A10E4" w:rsidRDefault="009A10E4" w:rsidP="009A10E4">
            <w:pPr>
              <w:rPr>
                <w:sz w:val="18"/>
                <w:szCs w:val="18"/>
              </w:rPr>
            </w:pPr>
            <w:r w:rsidRPr="009A10E4">
              <w:rPr>
                <w:sz w:val="18"/>
                <w:szCs w:val="18"/>
              </w:rPr>
              <w:t>Recommendation 24</w:t>
            </w:r>
            <w:r w:rsidRPr="009A10E4">
              <w:rPr>
                <w:sz w:val="18"/>
                <w:szCs w:val="18"/>
              </w:rPr>
              <w:br/>
              <w:t>The Government work with the Secretariat of National Aboriginal and Islander Child Care (SNAICC) and other First Nations stakeholders to re-invigorate, re-fund and expand the Aboriginal Child and Family Centre model, learning the lessons of past successes and challenges. This should include a robust evaluation strategy and funding which is linked to outcomes.</w:t>
            </w:r>
          </w:p>
        </w:tc>
        <w:tc>
          <w:tcPr>
            <w:tcW w:w="1843" w:type="dxa"/>
          </w:tcPr>
          <w:p w14:paraId="4F47E4B5" w14:textId="5082FAEE" w:rsidR="009A10E4" w:rsidRPr="009A10E4" w:rsidRDefault="009A10E4" w:rsidP="009A10E4">
            <w:pPr>
              <w:rPr>
                <w:sz w:val="18"/>
                <w:szCs w:val="18"/>
              </w:rPr>
            </w:pPr>
            <w:r>
              <w:rPr>
                <w:sz w:val="18"/>
                <w:szCs w:val="18"/>
              </w:rPr>
              <w:t>Active follow up</w:t>
            </w:r>
          </w:p>
        </w:tc>
        <w:tc>
          <w:tcPr>
            <w:tcW w:w="3776" w:type="dxa"/>
          </w:tcPr>
          <w:p w14:paraId="02BBE4F8" w14:textId="77777777" w:rsidR="009A10E4" w:rsidRPr="009A10E4" w:rsidRDefault="009A10E4" w:rsidP="009A10E4">
            <w:pPr>
              <w:rPr>
                <w:sz w:val="18"/>
                <w:szCs w:val="18"/>
              </w:rPr>
            </w:pPr>
            <w:r w:rsidRPr="009A10E4">
              <w:rPr>
                <w:sz w:val="18"/>
                <w:szCs w:val="18"/>
              </w:rPr>
              <w:t>A response to this recommendation does not seem to have been progressed.</w:t>
            </w:r>
          </w:p>
          <w:p w14:paraId="5556DE0C" w14:textId="7D4BB6A9" w:rsidR="009A10E4" w:rsidRPr="009A10E4" w:rsidRDefault="009A10E4" w:rsidP="009A10E4">
            <w:pPr>
              <w:rPr>
                <w:sz w:val="18"/>
                <w:szCs w:val="18"/>
              </w:rPr>
            </w:pPr>
            <w:r w:rsidRPr="009A10E4">
              <w:rPr>
                <w:sz w:val="18"/>
                <w:szCs w:val="18"/>
              </w:rPr>
              <w:t>The Committee can advise on further work to be considered to respond to the recommendation.</w:t>
            </w:r>
          </w:p>
        </w:tc>
      </w:tr>
      <w:tr w:rsidR="009A10E4" w:rsidRPr="007D5C10" w14:paraId="2298DF0C" w14:textId="77777777" w:rsidTr="00192F35">
        <w:tc>
          <w:tcPr>
            <w:tcW w:w="3397" w:type="dxa"/>
          </w:tcPr>
          <w:p w14:paraId="61A38C82" w14:textId="38FDFA00" w:rsidR="009A10E4" w:rsidRPr="009A10E4" w:rsidRDefault="009A10E4" w:rsidP="009A10E4">
            <w:pPr>
              <w:rPr>
                <w:sz w:val="18"/>
                <w:szCs w:val="18"/>
              </w:rPr>
            </w:pPr>
            <w:r w:rsidRPr="009A10E4">
              <w:rPr>
                <w:sz w:val="18"/>
                <w:szCs w:val="18"/>
              </w:rPr>
              <w:t>Recommendation 25</w:t>
            </w:r>
            <w:r w:rsidRPr="009A10E4">
              <w:rPr>
                <w:sz w:val="18"/>
                <w:szCs w:val="18"/>
              </w:rPr>
              <w:br/>
              <w:t xml:space="preserve">The Government continue to build support for Aboriginal Community Controlled Organisations (ACCOs) so these multidisciplinary service models are led by Aboriginal and Torres Strait Islander organisations, and create a dedicated fund to support ACCO-led innovation, monitoring and evaluation. </w:t>
            </w:r>
          </w:p>
        </w:tc>
        <w:tc>
          <w:tcPr>
            <w:tcW w:w="1843" w:type="dxa"/>
          </w:tcPr>
          <w:p w14:paraId="5A523B1B" w14:textId="1D31AB3C" w:rsidR="009A10E4" w:rsidRPr="009A10E4" w:rsidRDefault="009A10E4" w:rsidP="009A10E4">
            <w:pPr>
              <w:rPr>
                <w:sz w:val="18"/>
                <w:szCs w:val="18"/>
              </w:rPr>
            </w:pPr>
            <w:r>
              <w:rPr>
                <w:sz w:val="18"/>
                <w:szCs w:val="18"/>
              </w:rPr>
              <w:t>Active follow up</w:t>
            </w:r>
          </w:p>
        </w:tc>
        <w:tc>
          <w:tcPr>
            <w:tcW w:w="3776" w:type="dxa"/>
          </w:tcPr>
          <w:p w14:paraId="1F1C8FED" w14:textId="77777777" w:rsidR="009A10E4" w:rsidRPr="009A10E4" w:rsidRDefault="009A10E4" w:rsidP="009A10E4">
            <w:pPr>
              <w:rPr>
                <w:sz w:val="18"/>
                <w:szCs w:val="18"/>
              </w:rPr>
            </w:pPr>
            <w:r w:rsidRPr="009A10E4">
              <w:rPr>
                <w:sz w:val="18"/>
                <w:szCs w:val="18"/>
              </w:rPr>
              <w:t>Support for ACCOs remains a priority under Closing The Gap, with ‘Building the Community-Controlled Sector’ as the fourth Priority Reform. However, there has been no additional investment, prioritisation, or dedicated fund established to support ACCOs since the Committee’s recommendation in the 2023 report.</w:t>
            </w:r>
          </w:p>
          <w:p w14:paraId="2F27BD60" w14:textId="25CA2CD3" w:rsidR="009A10E4" w:rsidRPr="009A10E4" w:rsidRDefault="009A10E4" w:rsidP="009A10E4">
            <w:pPr>
              <w:rPr>
                <w:sz w:val="18"/>
                <w:szCs w:val="18"/>
              </w:rPr>
            </w:pPr>
            <w:r w:rsidRPr="009A10E4">
              <w:rPr>
                <w:sz w:val="18"/>
                <w:szCs w:val="18"/>
              </w:rPr>
              <w:t>The Committee can advise on further work to be considered to respond to the recommendation more fully.</w:t>
            </w:r>
          </w:p>
        </w:tc>
      </w:tr>
      <w:tr w:rsidR="009A10E4" w:rsidRPr="007D5C10" w14:paraId="1B6FCC37" w14:textId="77777777" w:rsidTr="00192F35">
        <w:trPr>
          <w:cnfStyle w:val="000000100000" w:firstRow="0" w:lastRow="0" w:firstColumn="0" w:lastColumn="0" w:oddVBand="0" w:evenVBand="0" w:oddHBand="1" w:evenHBand="0" w:firstRowFirstColumn="0" w:firstRowLastColumn="0" w:lastRowFirstColumn="0" w:lastRowLastColumn="0"/>
        </w:trPr>
        <w:tc>
          <w:tcPr>
            <w:tcW w:w="3397" w:type="dxa"/>
          </w:tcPr>
          <w:p w14:paraId="5DB19AA9" w14:textId="51EBEA03" w:rsidR="009A10E4" w:rsidRPr="009A10E4" w:rsidRDefault="009A10E4" w:rsidP="009A10E4">
            <w:pPr>
              <w:rPr>
                <w:sz w:val="18"/>
                <w:szCs w:val="18"/>
              </w:rPr>
            </w:pPr>
            <w:r w:rsidRPr="009A10E4">
              <w:rPr>
                <w:sz w:val="18"/>
                <w:szCs w:val="18"/>
              </w:rPr>
              <w:t>Recommendation 26</w:t>
            </w:r>
            <w:r w:rsidRPr="009A10E4">
              <w:rPr>
                <w:sz w:val="18"/>
                <w:szCs w:val="18"/>
              </w:rPr>
              <w:br/>
              <w:t xml:space="preserve">The Government progress all actions from the Closing The Gap </w:t>
            </w:r>
            <w:r w:rsidRPr="009A10E4">
              <w:rPr>
                <w:sz w:val="18"/>
                <w:szCs w:val="18"/>
              </w:rPr>
              <w:lastRenderedPageBreak/>
              <w:t>Implementation Plan relating to early childhood.</w:t>
            </w:r>
          </w:p>
        </w:tc>
        <w:tc>
          <w:tcPr>
            <w:tcW w:w="1843" w:type="dxa"/>
          </w:tcPr>
          <w:p w14:paraId="0187344B" w14:textId="59EC7787" w:rsidR="009A10E4" w:rsidRPr="009A10E4" w:rsidRDefault="009A10E4" w:rsidP="009A10E4">
            <w:pPr>
              <w:rPr>
                <w:sz w:val="18"/>
                <w:szCs w:val="18"/>
              </w:rPr>
            </w:pPr>
            <w:r>
              <w:rPr>
                <w:sz w:val="18"/>
                <w:szCs w:val="18"/>
              </w:rPr>
              <w:lastRenderedPageBreak/>
              <w:t>Active follow up</w:t>
            </w:r>
          </w:p>
        </w:tc>
        <w:tc>
          <w:tcPr>
            <w:tcW w:w="3776" w:type="dxa"/>
          </w:tcPr>
          <w:p w14:paraId="4DF6253C" w14:textId="77777777" w:rsidR="009A10E4" w:rsidRPr="009A10E4" w:rsidRDefault="009A10E4" w:rsidP="009A10E4">
            <w:pPr>
              <w:rPr>
                <w:sz w:val="18"/>
                <w:szCs w:val="18"/>
              </w:rPr>
            </w:pPr>
            <w:r w:rsidRPr="009A10E4">
              <w:rPr>
                <w:sz w:val="18"/>
                <w:szCs w:val="18"/>
              </w:rPr>
              <w:t xml:space="preserve">The Government continues to progress the Closing The Gap Implementation Plan with more to do in the coming years. The Productivity Commission’s latest data on </w:t>
            </w:r>
            <w:r w:rsidRPr="009A10E4">
              <w:rPr>
                <w:sz w:val="18"/>
                <w:szCs w:val="18"/>
              </w:rPr>
              <w:lastRenderedPageBreak/>
              <w:t>Closing the Gap, released in March 2024, shows that 5 out of 19 targets are currently on track.</w:t>
            </w:r>
          </w:p>
          <w:p w14:paraId="50099A43" w14:textId="76FF4C28" w:rsidR="009A10E4" w:rsidRPr="009A10E4" w:rsidRDefault="009A10E4" w:rsidP="009A10E4">
            <w:pPr>
              <w:rPr>
                <w:sz w:val="18"/>
                <w:szCs w:val="18"/>
              </w:rPr>
            </w:pPr>
            <w:r w:rsidRPr="009A10E4">
              <w:rPr>
                <w:sz w:val="18"/>
                <w:szCs w:val="18"/>
              </w:rPr>
              <w:t>The Committee can maintain visibility of progress against this recommendation.</w:t>
            </w:r>
          </w:p>
        </w:tc>
      </w:tr>
    </w:tbl>
    <w:p w14:paraId="29FDEE59" w14:textId="77777777" w:rsidR="009A10E4" w:rsidRPr="009A10E4" w:rsidRDefault="009A10E4" w:rsidP="009A10E4">
      <w:pPr>
        <w:pStyle w:val="Heading4"/>
      </w:pPr>
      <w:r w:rsidRPr="009A10E4">
        <w:lastRenderedPageBreak/>
        <w:t xml:space="preserve">Relevant Government actions </w:t>
      </w:r>
    </w:p>
    <w:p w14:paraId="0DAD8F9F" w14:textId="77777777" w:rsidR="009A10E4" w:rsidRPr="009A10E4" w:rsidRDefault="009A10E4" w:rsidP="009A10E4">
      <w:pPr>
        <w:rPr>
          <w:lang w:val="en-GB"/>
        </w:rPr>
      </w:pPr>
      <w:r w:rsidRPr="009A10E4">
        <w:rPr>
          <w:lang w:val="en-GB"/>
        </w:rPr>
        <w:t>The Government is committed to working in partnership with First Nations representatives to improve outcomes for First Nations children and families and implement actions from the 2024 Closing The Gap Implementation Plan. Progress towards each action will be reported in the 2025 Closing The Gap Annual Report.</w:t>
      </w:r>
    </w:p>
    <w:p w14:paraId="566B7E95" w14:textId="77777777" w:rsidR="009A10E4" w:rsidRPr="009A10E4" w:rsidRDefault="009A10E4" w:rsidP="009A10E4">
      <w:pPr>
        <w:rPr>
          <w:lang w:val="en-GB"/>
        </w:rPr>
      </w:pPr>
      <w:r w:rsidRPr="009A10E4">
        <w:rPr>
          <w:lang w:val="en-GB"/>
        </w:rPr>
        <w:t xml:space="preserve">The Early Childhood Care and Development Policy Partnership, co-developed with SNAICC,  is the mechanism for all governments and First Nations representatives to work together to develop advice on future reform options, including for integrated service delivery.  </w:t>
      </w:r>
    </w:p>
    <w:p w14:paraId="61D6D29A" w14:textId="74E40054" w:rsidR="009A10E4" w:rsidRDefault="009A10E4" w:rsidP="009A10E4">
      <w:pPr>
        <w:rPr>
          <w:lang w:val="en-GB"/>
        </w:rPr>
      </w:pPr>
      <w:r w:rsidRPr="009A10E4">
        <w:rPr>
          <w:lang w:val="en-GB"/>
        </w:rPr>
        <w:t>In February 2024, Government announced its commitment to establish a National Commissioner for Aboriginal and Torres Strait Islander Children and Young People, to address the number of children in out of home care and in youth detention.</w:t>
      </w:r>
    </w:p>
    <w:tbl>
      <w:tblPr>
        <w:tblStyle w:val="TableGrid"/>
        <w:tblW w:w="0" w:type="auto"/>
        <w:tblLook w:val="04A0" w:firstRow="1" w:lastRow="0" w:firstColumn="1" w:lastColumn="0" w:noHBand="0" w:noVBand="1"/>
      </w:tblPr>
      <w:tblGrid>
        <w:gridCol w:w="2182"/>
        <w:gridCol w:w="2934"/>
        <w:gridCol w:w="1790"/>
        <w:gridCol w:w="2110"/>
      </w:tblGrid>
      <w:tr w:rsidR="002F4FFF" w14:paraId="20185F7D" w14:textId="77777777" w:rsidTr="00FD0395">
        <w:trPr>
          <w:cnfStyle w:val="100000000000" w:firstRow="1" w:lastRow="0" w:firstColumn="0" w:lastColumn="0" w:oddVBand="0" w:evenVBand="0" w:oddHBand="0" w:evenHBand="0" w:firstRowFirstColumn="0" w:firstRowLastColumn="0" w:lastRowFirstColumn="0" w:lastRowLastColumn="0"/>
        </w:trPr>
        <w:tc>
          <w:tcPr>
            <w:tcW w:w="2182" w:type="dxa"/>
            <w:vAlign w:val="center"/>
          </w:tcPr>
          <w:p w14:paraId="3C336567" w14:textId="77777777" w:rsidR="009A10E4" w:rsidRPr="00684925" w:rsidRDefault="009A10E4" w:rsidP="00192F35">
            <w:pPr>
              <w:rPr>
                <w:color w:val="FFFFFF" w:themeColor="background1"/>
                <w:sz w:val="18"/>
                <w:szCs w:val="18"/>
              </w:rPr>
            </w:pPr>
            <w:r w:rsidRPr="00684925">
              <w:rPr>
                <w:color w:val="FFFFFF" w:themeColor="background1"/>
                <w:sz w:val="18"/>
                <w:szCs w:val="18"/>
              </w:rPr>
              <w:t>Recommendation in the Committee’s 2023 report</w:t>
            </w:r>
          </w:p>
        </w:tc>
        <w:tc>
          <w:tcPr>
            <w:tcW w:w="2934" w:type="dxa"/>
          </w:tcPr>
          <w:p w14:paraId="5A127B65" w14:textId="77777777" w:rsidR="009A10E4" w:rsidRPr="00684925" w:rsidRDefault="009A10E4" w:rsidP="00192F35">
            <w:pPr>
              <w:rPr>
                <w:color w:val="FFFFFF" w:themeColor="background1"/>
                <w:sz w:val="18"/>
                <w:szCs w:val="18"/>
              </w:rPr>
            </w:pPr>
          </w:p>
        </w:tc>
        <w:tc>
          <w:tcPr>
            <w:tcW w:w="1790" w:type="dxa"/>
            <w:vAlign w:val="center"/>
          </w:tcPr>
          <w:p w14:paraId="1AC5F17E" w14:textId="127CD560" w:rsidR="009A10E4" w:rsidRPr="00684925" w:rsidRDefault="009A10E4" w:rsidP="00192F35">
            <w:pPr>
              <w:rPr>
                <w:color w:val="FFFFFF" w:themeColor="background1"/>
                <w:sz w:val="18"/>
                <w:szCs w:val="18"/>
              </w:rPr>
            </w:pPr>
            <w:r w:rsidRPr="00684925">
              <w:rPr>
                <w:color w:val="FFFFFF" w:themeColor="background1"/>
                <w:sz w:val="18"/>
                <w:szCs w:val="18"/>
              </w:rPr>
              <w:t>The Committee response</w:t>
            </w:r>
          </w:p>
        </w:tc>
        <w:tc>
          <w:tcPr>
            <w:tcW w:w="2110" w:type="dxa"/>
            <w:vAlign w:val="center"/>
          </w:tcPr>
          <w:p w14:paraId="36CE36C8" w14:textId="77777777" w:rsidR="009A10E4" w:rsidRPr="00684925" w:rsidRDefault="009A10E4" w:rsidP="00192F35">
            <w:pPr>
              <w:rPr>
                <w:color w:val="FFFFFF" w:themeColor="background1"/>
                <w:sz w:val="18"/>
                <w:szCs w:val="18"/>
              </w:rPr>
            </w:pPr>
            <w:r w:rsidRPr="00684925">
              <w:rPr>
                <w:color w:val="FFFFFF" w:themeColor="background1"/>
                <w:sz w:val="18"/>
                <w:szCs w:val="18"/>
              </w:rPr>
              <w:t>The Committee comment</w:t>
            </w:r>
          </w:p>
        </w:tc>
      </w:tr>
      <w:tr w:rsidR="002F4FFF" w14:paraId="093E0AD2"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6214072A" w14:textId="594E1BC4" w:rsidR="009A10E4" w:rsidRPr="009A10E4" w:rsidRDefault="009A10E4" w:rsidP="009A10E4">
            <w:pPr>
              <w:rPr>
                <w:sz w:val="18"/>
                <w:szCs w:val="18"/>
              </w:rPr>
            </w:pPr>
            <w:r w:rsidRPr="009A10E4">
              <w:rPr>
                <w:sz w:val="18"/>
                <w:szCs w:val="18"/>
              </w:rPr>
              <w:t>Recommendation 27</w:t>
            </w:r>
            <w:r w:rsidRPr="009A10E4">
              <w:rPr>
                <w:sz w:val="18"/>
                <w:szCs w:val="18"/>
              </w:rPr>
              <w:br/>
              <w:t xml:space="preserve">The Government commit that Measuring What Matters reporting includes legislated measures on economic inclusion and poverty, and an expansion of the Intergenerational Report to include forecasting, benchmarking, tracking and modelling of savings from the alleviation of disadvantage, with a specific focus on outcomes in places of persistent disadvantage. </w:t>
            </w:r>
          </w:p>
        </w:tc>
        <w:tc>
          <w:tcPr>
            <w:tcW w:w="2934" w:type="dxa"/>
          </w:tcPr>
          <w:p w14:paraId="248C1F32" w14:textId="77777777" w:rsidR="009A10E4" w:rsidRPr="009A10E4" w:rsidRDefault="009A10E4" w:rsidP="009A10E4">
            <w:pPr>
              <w:rPr>
                <w:b/>
                <w:bCs/>
                <w:sz w:val="18"/>
                <w:szCs w:val="18"/>
              </w:rPr>
            </w:pPr>
            <w:r w:rsidRPr="009A10E4">
              <w:rPr>
                <w:b/>
                <w:bCs/>
                <w:sz w:val="18"/>
                <w:szCs w:val="18"/>
              </w:rPr>
              <w:t xml:space="preserve">Relevant Government actions </w:t>
            </w:r>
          </w:p>
          <w:p w14:paraId="2E9597B5" w14:textId="77777777" w:rsidR="009A10E4" w:rsidRPr="009A10E4" w:rsidRDefault="009A10E4" w:rsidP="009A10E4">
            <w:pPr>
              <w:rPr>
                <w:sz w:val="18"/>
                <w:szCs w:val="18"/>
              </w:rPr>
            </w:pPr>
            <w:r w:rsidRPr="009A10E4">
              <w:rPr>
                <w:sz w:val="18"/>
                <w:szCs w:val="18"/>
              </w:rPr>
              <w:t xml:space="preserve">Themes within the Measuring What Matters framework and Intergenerational Report are consistent with the proposed increase in focus on the alleviation of disadvantage, including financial stress, homelessness, housing serviceability, income and wealth inequality and household income and wealth indicators. </w:t>
            </w:r>
          </w:p>
          <w:p w14:paraId="3BE9CCBA" w14:textId="77777777" w:rsidR="009A10E4" w:rsidRPr="009A10E4" w:rsidRDefault="009A10E4" w:rsidP="009A10E4">
            <w:pPr>
              <w:rPr>
                <w:sz w:val="18"/>
                <w:szCs w:val="18"/>
              </w:rPr>
            </w:pPr>
            <w:r w:rsidRPr="009A10E4">
              <w:rPr>
                <w:sz w:val="18"/>
                <w:szCs w:val="18"/>
              </w:rPr>
              <w:t>The indicators for financial stress is the proportion of households:</w:t>
            </w:r>
          </w:p>
          <w:p w14:paraId="135FCA79" w14:textId="14281C57" w:rsidR="009A10E4" w:rsidRPr="009A10E4" w:rsidRDefault="009A10E4" w:rsidP="009A10E4">
            <w:pPr>
              <w:rPr>
                <w:sz w:val="18"/>
                <w:szCs w:val="18"/>
              </w:rPr>
            </w:pPr>
            <w:r w:rsidRPr="009A10E4">
              <w:rPr>
                <w:sz w:val="18"/>
                <w:szCs w:val="18"/>
              </w:rPr>
              <w:t xml:space="preserve">• who experienced a cash flow problem in last 12 months; </w:t>
            </w:r>
          </w:p>
          <w:p w14:paraId="5CE741B2" w14:textId="583C1616" w:rsidR="009A10E4" w:rsidRPr="009A10E4" w:rsidRDefault="009A10E4" w:rsidP="009A10E4">
            <w:pPr>
              <w:rPr>
                <w:sz w:val="18"/>
                <w:szCs w:val="18"/>
              </w:rPr>
            </w:pPr>
            <w:r w:rsidRPr="009A10E4">
              <w:rPr>
                <w:sz w:val="18"/>
                <w:szCs w:val="18"/>
              </w:rPr>
              <w:t xml:space="preserve">• unable to raise $2,000 when needed. </w:t>
            </w:r>
          </w:p>
          <w:p w14:paraId="2ED03D48" w14:textId="77777777" w:rsidR="009A10E4" w:rsidRPr="009A10E4" w:rsidRDefault="009A10E4" w:rsidP="009A10E4">
            <w:pPr>
              <w:rPr>
                <w:sz w:val="18"/>
                <w:szCs w:val="18"/>
              </w:rPr>
            </w:pPr>
            <w:r w:rsidRPr="009A10E4">
              <w:rPr>
                <w:sz w:val="18"/>
                <w:szCs w:val="18"/>
              </w:rPr>
              <w:t xml:space="preserve">The indicator for homelessness is the rate of people who are experiencing homelessness.  </w:t>
            </w:r>
          </w:p>
          <w:p w14:paraId="41720AA2" w14:textId="05CBB10D" w:rsidR="009A10E4" w:rsidRPr="009A10E4" w:rsidRDefault="009A10E4" w:rsidP="009A10E4">
            <w:pPr>
              <w:rPr>
                <w:sz w:val="18"/>
                <w:szCs w:val="18"/>
              </w:rPr>
            </w:pPr>
            <w:r w:rsidRPr="009A10E4">
              <w:rPr>
                <w:sz w:val="18"/>
                <w:szCs w:val="18"/>
              </w:rPr>
              <w:t>However, measures on poverty are not included in the Measuring What Matters framework or Intergenerational Report.</w:t>
            </w:r>
          </w:p>
        </w:tc>
        <w:tc>
          <w:tcPr>
            <w:tcW w:w="1790" w:type="dxa"/>
          </w:tcPr>
          <w:p w14:paraId="3563BE69" w14:textId="078506B6" w:rsidR="009A10E4" w:rsidRPr="009A10E4" w:rsidRDefault="009A10E4" w:rsidP="009A10E4">
            <w:pPr>
              <w:rPr>
                <w:sz w:val="18"/>
                <w:szCs w:val="18"/>
              </w:rPr>
            </w:pPr>
            <w:r>
              <w:rPr>
                <w:sz w:val="18"/>
                <w:szCs w:val="18"/>
              </w:rPr>
              <w:t>Consider relative priority</w:t>
            </w:r>
          </w:p>
        </w:tc>
        <w:tc>
          <w:tcPr>
            <w:tcW w:w="2110" w:type="dxa"/>
          </w:tcPr>
          <w:p w14:paraId="3A37773F" w14:textId="77777777" w:rsidR="009A10E4" w:rsidRPr="009A10E4" w:rsidRDefault="009A10E4" w:rsidP="009A10E4">
            <w:pPr>
              <w:rPr>
                <w:sz w:val="18"/>
                <w:szCs w:val="18"/>
              </w:rPr>
            </w:pPr>
            <w:r w:rsidRPr="009A10E4">
              <w:rPr>
                <w:sz w:val="18"/>
                <w:szCs w:val="18"/>
              </w:rPr>
              <w:t>The Government has not taken up this recommendation in the first iterations of the Measuring What Matters Framework and latest Intergenerational Report, however could do so in future years.</w:t>
            </w:r>
          </w:p>
          <w:p w14:paraId="004C46A0" w14:textId="7CE684F9" w:rsidR="009A10E4" w:rsidRPr="009A10E4" w:rsidRDefault="009A10E4" w:rsidP="009A10E4">
            <w:pPr>
              <w:rPr>
                <w:sz w:val="18"/>
                <w:szCs w:val="18"/>
              </w:rPr>
            </w:pPr>
            <w:r w:rsidRPr="009A10E4">
              <w:rPr>
                <w:sz w:val="18"/>
                <w:szCs w:val="18"/>
              </w:rPr>
              <w:t>The Committee can consider whether this recommendation remains a priority for the future.</w:t>
            </w:r>
          </w:p>
        </w:tc>
      </w:tr>
      <w:tr w:rsidR="002F4FFF" w:rsidRPr="007D5C10" w14:paraId="41ED79AD" w14:textId="77777777" w:rsidTr="00FD0395">
        <w:tc>
          <w:tcPr>
            <w:tcW w:w="2182" w:type="dxa"/>
          </w:tcPr>
          <w:p w14:paraId="2C31D197" w14:textId="5CB9ABBD" w:rsidR="009A10E4" w:rsidRPr="009A10E4" w:rsidRDefault="009A10E4" w:rsidP="009A10E4">
            <w:pPr>
              <w:rPr>
                <w:sz w:val="18"/>
                <w:szCs w:val="18"/>
              </w:rPr>
            </w:pPr>
            <w:r w:rsidRPr="009A10E4">
              <w:rPr>
                <w:sz w:val="18"/>
                <w:szCs w:val="18"/>
              </w:rPr>
              <w:t>Recommendation 28</w:t>
            </w:r>
            <w:r w:rsidRPr="009A10E4">
              <w:rPr>
                <w:sz w:val="18"/>
                <w:szCs w:val="18"/>
              </w:rPr>
              <w:br/>
              <w:t xml:space="preserve">The Government commit to use actuarial and whole-of-society modelling such as the Priority Investment Approach to underpin long range investment in alleviation strategies, </w:t>
            </w:r>
            <w:r w:rsidRPr="009A10E4">
              <w:rPr>
                <w:sz w:val="18"/>
                <w:szCs w:val="18"/>
              </w:rPr>
              <w:lastRenderedPageBreak/>
              <w:t xml:space="preserve">with returns tracked and savings through cost avoidance reported. This may best be first applied to communities where place-based strategies are active and to delivery of the kinds of holistic integrated models set out above. New models and tools capable of capturing social and non-monetary benefits that are difficult to quantify will also be needed.  </w:t>
            </w:r>
          </w:p>
        </w:tc>
        <w:tc>
          <w:tcPr>
            <w:tcW w:w="2934" w:type="dxa"/>
          </w:tcPr>
          <w:p w14:paraId="59FE56E3" w14:textId="77777777" w:rsidR="009A10E4" w:rsidRPr="009A10E4" w:rsidRDefault="009A10E4" w:rsidP="009A10E4">
            <w:pPr>
              <w:rPr>
                <w:b/>
                <w:bCs/>
                <w:sz w:val="18"/>
                <w:szCs w:val="18"/>
              </w:rPr>
            </w:pPr>
            <w:r w:rsidRPr="009A10E4">
              <w:rPr>
                <w:b/>
                <w:bCs/>
                <w:sz w:val="18"/>
                <w:szCs w:val="18"/>
              </w:rPr>
              <w:lastRenderedPageBreak/>
              <w:t xml:space="preserve">Relevant Government actions </w:t>
            </w:r>
          </w:p>
          <w:p w14:paraId="059A631B" w14:textId="0D582B85" w:rsidR="009A10E4" w:rsidRPr="009A10E4" w:rsidRDefault="009A10E4" w:rsidP="009A10E4">
            <w:pPr>
              <w:rPr>
                <w:sz w:val="18"/>
                <w:szCs w:val="18"/>
              </w:rPr>
            </w:pPr>
            <w:r w:rsidRPr="009A10E4">
              <w:rPr>
                <w:sz w:val="18"/>
                <w:szCs w:val="18"/>
              </w:rPr>
              <w:t>No response</w:t>
            </w:r>
          </w:p>
        </w:tc>
        <w:tc>
          <w:tcPr>
            <w:tcW w:w="1790" w:type="dxa"/>
          </w:tcPr>
          <w:p w14:paraId="0E4251A9" w14:textId="1A079901" w:rsidR="009A10E4" w:rsidRPr="009A10E4" w:rsidRDefault="002F4FFF" w:rsidP="009A10E4">
            <w:pPr>
              <w:rPr>
                <w:sz w:val="18"/>
                <w:szCs w:val="18"/>
              </w:rPr>
            </w:pPr>
            <w:r>
              <w:rPr>
                <w:sz w:val="18"/>
                <w:szCs w:val="18"/>
              </w:rPr>
              <w:t>Consider relative priority</w:t>
            </w:r>
          </w:p>
        </w:tc>
        <w:tc>
          <w:tcPr>
            <w:tcW w:w="2110" w:type="dxa"/>
          </w:tcPr>
          <w:p w14:paraId="3AF1945C" w14:textId="77777777" w:rsidR="009A10E4" w:rsidRPr="009A10E4" w:rsidRDefault="009A10E4" w:rsidP="009A10E4">
            <w:pPr>
              <w:rPr>
                <w:sz w:val="18"/>
                <w:szCs w:val="18"/>
              </w:rPr>
            </w:pPr>
            <w:r w:rsidRPr="009A10E4">
              <w:rPr>
                <w:sz w:val="18"/>
                <w:szCs w:val="18"/>
              </w:rPr>
              <w:t xml:space="preserve">The Government has not taken up this recommendation in the first iterations of the Measuring What Matters Framework and latest Intergenerational </w:t>
            </w:r>
            <w:r w:rsidRPr="009A10E4">
              <w:rPr>
                <w:sz w:val="18"/>
                <w:szCs w:val="18"/>
              </w:rPr>
              <w:lastRenderedPageBreak/>
              <w:t>Report, however could do so in future years.</w:t>
            </w:r>
          </w:p>
          <w:p w14:paraId="60D55F18" w14:textId="77777777" w:rsidR="009A10E4" w:rsidRPr="009A10E4" w:rsidRDefault="009A10E4" w:rsidP="009A10E4">
            <w:pPr>
              <w:rPr>
                <w:sz w:val="18"/>
                <w:szCs w:val="18"/>
              </w:rPr>
            </w:pPr>
            <w:r w:rsidRPr="009A10E4">
              <w:rPr>
                <w:sz w:val="18"/>
                <w:szCs w:val="18"/>
              </w:rPr>
              <w:t>The Committee can consider whether this recommendation remains a priority for the future.</w:t>
            </w:r>
          </w:p>
          <w:p w14:paraId="74ADF51B" w14:textId="77777777" w:rsidR="009A10E4" w:rsidRPr="009A10E4" w:rsidRDefault="009A10E4" w:rsidP="009A10E4">
            <w:pPr>
              <w:rPr>
                <w:sz w:val="18"/>
                <w:szCs w:val="18"/>
              </w:rPr>
            </w:pPr>
            <w:r w:rsidRPr="009A10E4">
              <w:rPr>
                <w:sz w:val="18"/>
                <w:szCs w:val="18"/>
              </w:rPr>
              <w:t xml:space="preserve">A response to this recommendation does not seem to have been progressed. </w:t>
            </w:r>
          </w:p>
          <w:p w14:paraId="33AE5486" w14:textId="50A10165" w:rsidR="009A10E4" w:rsidRPr="009A10E4" w:rsidRDefault="009A10E4" w:rsidP="009A10E4">
            <w:pPr>
              <w:rPr>
                <w:sz w:val="18"/>
                <w:szCs w:val="18"/>
              </w:rPr>
            </w:pPr>
            <w:r w:rsidRPr="009A10E4">
              <w:rPr>
                <w:sz w:val="18"/>
                <w:szCs w:val="18"/>
              </w:rPr>
              <w:t>The Committee can consider whether this recommendation remains a priority for the future.</w:t>
            </w:r>
          </w:p>
        </w:tc>
      </w:tr>
      <w:tr w:rsidR="002F4FFF" w:rsidRPr="007D5C10" w14:paraId="257AC3CD"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4E61ADA3" w14:textId="63B4B77C" w:rsidR="002F4FFF" w:rsidRPr="002F4FFF" w:rsidRDefault="002F4FFF" w:rsidP="002F4FFF">
            <w:pPr>
              <w:rPr>
                <w:sz w:val="18"/>
                <w:szCs w:val="18"/>
              </w:rPr>
            </w:pPr>
            <w:r w:rsidRPr="002F4FFF">
              <w:rPr>
                <w:sz w:val="18"/>
                <w:szCs w:val="18"/>
              </w:rPr>
              <w:lastRenderedPageBreak/>
              <w:t>Recommendation 29</w:t>
            </w:r>
            <w:r w:rsidRPr="002F4FFF">
              <w:rPr>
                <w:sz w:val="18"/>
                <w:szCs w:val="18"/>
              </w:rPr>
              <w:br/>
              <w:t xml:space="preserve">The Government commit to a whole-of-Government strategic learning framework to coordinate evidence, evaluation, learning, innovation and adaptive decision-making. This includes leading cross-jurisdictional efforts to ensure data held by all levels of Government is made readily available to inform and evaluate place-based approaches. </w:t>
            </w:r>
          </w:p>
        </w:tc>
        <w:tc>
          <w:tcPr>
            <w:tcW w:w="2934" w:type="dxa"/>
          </w:tcPr>
          <w:p w14:paraId="26EFF461" w14:textId="77777777" w:rsidR="002F4FFF" w:rsidRPr="002F4FFF" w:rsidRDefault="002F4FFF" w:rsidP="002F4FFF">
            <w:pPr>
              <w:rPr>
                <w:b/>
                <w:bCs/>
                <w:sz w:val="18"/>
                <w:szCs w:val="18"/>
              </w:rPr>
            </w:pPr>
            <w:r w:rsidRPr="002F4FFF">
              <w:rPr>
                <w:b/>
                <w:bCs/>
                <w:sz w:val="18"/>
                <w:szCs w:val="18"/>
              </w:rPr>
              <w:t xml:space="preserve">Relevant Government actions </w:t>
            </w:r>
          </w:p>
          <w:p w14:paraId="5E7EE908" w14:textId="77777777" w:rsidR="002F4FFF" w:rsidRPr="002F4FFF" w:rsidRDefault="002F4FFF" w:rsidP="002F4FFF">
            <w:pPr>
              <w:rPr>
                <w:sz w:val="18"/>
                <w:szCs w:val="18"/>
              </w:rPr>
            </w:pPr>
            <w:r w:rsidRPr="002F4FFF">
              <w:rPr>
                <w:sz w:val="18"/>
                <w:szCs w:val="18"/>
              </w:rPr>
              <w:t xml:space="preserve">The Department of Social Services and Treasury are developing a Whole-of-Government Framework to Address Community Disadvantage (the Framework) to identify strategic objectives and key principles to guide how Government works in partnership with communities and to support more impactful investment in initiatives. </w:t>
            </w:r>
          </w:p>
          <w:p w14:paraId="45BEAFCC" w14:textId="77777777" w:rsidR="002F4FFF" w:rsidRPr="002F4FFF" w:rsidRDefault="002F4FFF" w:rsidP="002F4FFF">
            <w:pPr>
              <w:rPr>
                <w:sz w:val="18"/>
                <w:szCs w:val="18"/>
              </w:rPr>
            </w:pPr>
            <w:r w:rsidRPr="002F4FFF">
              <w:rPr>
                <w:sz w:val="18"/>
                <w:szCs w:val="18"/>
              </w:rPr>
              <w:t xml:space="preserve">‘Evaluation and strategic learning’ is an element contained within the Targeting Entrenched Disadvantage package and may be expected to feature within the Whole-of-Government Framework to Address Disadvantage. </w:t>
            </w:r>
          </w:p>
          <w:p w14:paraId="3F6B016C" w14:textId="77777777" w:rsidR="002F4FFF" w:rsidRPr="002F4FFF" w:rsidRDefault="002F4FFF" w:rsidP="002F4FFF">
            <w:pPr>
              <w:rPr>
                <w:sz w:val="18"/>
                <w:szCs w:val="18"/>
              </w:rPr>
            </w:pPr>
            <w:r w:rsidRPr="002F4FFF">
              <w:rPr>
                <w:sz w:val="18"/>
                <w:szCs w:val="18"/>
              </w:rPr>
              <w:t>The Australian Centre for Evaluation (ACE) was established to help put evaluation evidence at the heart of policy design and decision-making, and the ABS is leading the Life Course Data Initiative as a component of the Targeting Entrenched Disadvantage package.</w:t>
            </w:r>
          </w:p>
          <w:p w14:paraId="28BC5861" w14:textId="07225DAF" w:rsidR="002F4FFF" w:rsidRPr="002F4FFF" w:rsidRDefault="002F4FFF" w:rsidP="002F4FFF">
            <w:pPr>
              <w:rPr>
                <w:sz w:val="18"/>
                <w:szCs w:val="18"/>
              </w:rPr>
            </w:pPr>
            <w:r w:rsidRPr="002F4FFF">
              <w:rPr>
                <w:sz w:val="18"/>
                <w:szCs w:val="18"/>
              </w:rPr>
              <w:t xml:space="preserve">The National Centre for Place-Based Collaboration (Nexus Centre) is envisaged to be an independent entity supporting more inclusive and effective partnerships between communities and governments. </w:t>
            </w:r>
          </w:p>
        </w:tc>
        <w:tc>
          <w:tcPr>
            <w:tcW w:w="1790" w:type="dxa"/>
          </w:tcPr>
          <w:p w14:paraId="144F28E6" w14:textId="006C6DF1" w:rsidR="002F4FFF" w:rsidRPr="002F4FFF" w:rsidRDefault="002F4FFF" w:rsidP="002F4FFF">
            <w:pPr>
              <w:rPr>
                <w:sz w:val="18"/>
                <w:szCs w:val="18"/>
              </w:rPr>
            </w:pPr>
            <w:r>
              <w:rPr>
                <w:sz w:val="18"/>
                <w:szCs w:val="18"/>
              </w:rPr>
              <w:t>Achieved in part – monitor implementation</w:t>
            </w:r>
          </w:p>
        </w:tc>
        <w:tc>
          <w:tcPr>
            <w:tcW w:w="2110" w:type="dxa"/>
          </w:tcPr>
          <w:p w14:paraId="77FD0FE1" w14:textId="77777777" w:rsidR="002F4FFF" w:rsidRPr="002F4FFF" w:rsidRDefault="002F4FFF" w:rsidP="002F4FFF">
            <w:pPr>
              <w:rPr>
                <w:sz w:val="18"/>
                <w:szCs w:val="18"/>
              </w:rPr>
            </w:pPr>
            <w:r w:rsidRPr="002F4FFF">
              <w:rPr>
                <w:sz w:val="18"/>
                <w:szCs w:val="18"/>
              </w:rPr>
              <w:t>The Government has initiated the Targeting Entrenched Disadvantage package and related Whole-of-Government Framework to Address Disadvantage, which may in time deliver against this recommendation.</w:t>
            </w:r>
          </w:p>
          <w:p w14:paraId="3785DCF7" w14:textId="42572326" w:rsidR="002F4FFF" w:rsidRPr="002F4FFF" w:rsidRDefault="002F4FFF" w:rsidP="002F4FFF">
            <w:pPr>
              <w:rPr>
                <w:sz w:val="18"/>
                <w:szCs w:val="18"/>
              </w:rPr>
            </w:pPr>
            <w:r w:rsidRPr="002F4FFF">
              <w:rPr>
                <w:sz w:val="18"/>
                <w:szCs w:val="18"/>
              </w:rPr>
              <w:t>The Committee can maintain visibility of progress against this recommendation.</w:t>
            </w:r>
          </w:p>
        </w:tc>
      </w:tr>
      <w:tr w:rsidR="002F4FFF" w:rsidRPr="007D5C10" w14:paraId="074566F1" w14:textId="77777777" w:rsidTr="00FD0395">
        <w:tc>
          <w:tcPr>
            <w:tcW w:w="2182" w:type="dxa"/>
          </w:tcPr>
          <w:p w14:paraId="3F8D0143" w14:textId="67172A68" w:rsidR="002F4FFF" w:rsidRPr="002F4FFF" w:rsidRDefault="002F4FFF" w:rsidP="002F4FFF">
            <w:pPr>
              <w:rPr>
                <w:sz w:val="18"/>
                <w:szCs w:val="18"/>
              </w:rPr>
            </w:pPr>
            <w:r w:rsidRPr="002F4FFF">
              <w:rPr>
                <w:sz w:val="18"/>
                <w:szCs w:val="18"/>
              </w:rPr>
              <w:t>Recommendation 30</w:t>
            </w:r>
            <w:r w:rsidRPr="002F4FFF">
              <w:rPr>
                <w:sz w:val="18"/>
                <w:szCs w:val="18"/>
              </w:rPr>
              <w:br/>
              <w:t xml:space="preserve">The Government review public service capability to deliver a place-based agenda and an </w:t>
            </w:r>
            <w:r w:rsidRPr="002F4FFF">
              <w:rPr>
                <w:sz w:val="18"/>
                <w:szCs w:val="18"/>
              </w:rPr>
              <w:lastRenderedPageBreak/>
              <w:t>appropriate skilling and workforce development program be introduced. This review should consider what arrangements, tools, capacity and resources are required for effective policy-to-practice implementation, including in cross departmental governance and coordination.</w:t>
            </w:r>
          </w:p>
        </w:tc>
        <w:tc>
          <w:tcPr>
            <w:tcW w:w="2934" w:type="dxa"/>
          </w:tcPr>
          <w:p w14:paraId="7EC2D129" w14:textId="77777777" w:rsidR="002F4FFF" w:rsidRPr="002F4FFF" w:rsidRDefault="002F4FFF" w:rsidP="002F4FFF">
            <w:pPr>
              <w:rPr>
                <w:b/>
                <w:bCs/>
                <w:sz w:val="18"/>
                <w:szCs w:val="18"/>
              </w:rPr>
            </w:pPr>
            <w:r w:rsidRPr="002F4FFF">
              <w:rPr>
                <w:b/>
                <w:bCs/>
                <w:sz w:val="18"/>
                <w:szCs w:val="18"/>
              </w:rPr>
              <w:lastRenderedPageBreak/>
              <w:t xml:space="preserve">Relevant Government actions </w:t>
            </w:r>
          </w:p>
          <w:p w14:paraId="1F76375E" w14:textId="12DF1BFE" w:rsidR="002F4FFF" w:rsidRPr="002F4FFF" w:rsidRDefault="002F4FFF" w:rsidP="002F4FFF">
            <w:pPr>
              <w:rPr>
                <w:sz w:val="18"/>
                <w:szCs w:val="18"/>
              </w:rPr>
            </w:pPr>
            <w:r w:rsidRPr="002F4FFF">
              <w:rPr>
                <w:sz w:val="18"/>
                <w:szCs w:val="18"/>
              </w:rPr>
              <w:t>Australian Public Service capability may be expected to feature within the Whole-of-</w:t>
            </w:r>
            <w:r w:rsidRPr="002F4FFF">
              <w:rPr>
                <w:sz w:val="18"/>
                <w:szCs w:val="18"/>
              </w:rPr>
              <w:lastRenderedPageBreak/>
              <w:t>Government Framework to Address Disadvantage.</w:t>
            </w:r>
          </w:p>
        </w:tc>
        <w:tc>
          <w:tcPr>
            <w:tcW w:w="1790" w:type="dxa"/>
          </w:tcPr>
          <w:p w14:paraId="1536C454" w14:textId="2B220059" w:rsidR="002F4FFF" w:rsidRPr="002F4FFF" w:rsidRDefault="002F4FFF" w:rsidP="002F4FFF">
            <w:pPr>
              <w:rPr>
                <w:sz w:val="18"/>
                <w:szCs w:val="18"/>
              </w:rPr>
            </w:pPr>
            <w:r>
              <w:rPr>
                <w:sz w:val="18"/>
                <w:szCs w:val="18"/>
              </w:rPr>
              <w:lastRenderedPageBreak/>
              <w:t>Active follow up</w:t>
            </w:r>
          </w:p>
        </w:tc>
        <w:tc>
          <w:tcPr>
            <w:tcW w:w="2110" w:type="dxa"/>
          </w:tcPr>
          <w:p w14:paraId="314EB0F1" w14:textId="77777777" w:rsidR="002F4FFF" w:rsidRPr="002F4FFF" w:rsidRDefault="002F4FFF" w:rsidP="002F4FFF">
            <w:pPr>
              <w:rPr>
                <w:sz w:val="18"/>
                <w:szCs w:val="18"/>
              </w:rPr>
            </w:pPr>
            <w:r w:rsidRPr="002F4FFF">
              <w:rPr>
                <w:sz w:val="18"/>
                <w:szCs w:val="18"/>
              </w:rPr>
              <w:t>It is unclear what priority has been given to this recommendation.</w:t>
            </w:r>
          </w:p>
          <w:p w14:paraId="32E6E2BF" w14:textId="77777777" w:rsidR="002F4FFF" w:rsidRPr="002F4FFF" w:rsidRDefault="002F4FFF" w:rsidP="002F4FFF">
            <w:pPr>
              <w:rPr>
                <w:sz w:val="18"/>
                <w:szCs w:val="18"/>
              </w:rPr>
            </w:pPr>
            <w:r w:rsidRPr="002F4FFF">
              <w:rPr>
                <w:sz w:val="18"/>
                <w:szCs w:val="18"/>
              </w:rPr>
              <w:lastRenderedPageBreak/>
              <w:t>The Committee can maintain visibility of progress against this recommendation and advise on measures to implement it.</w:t>
            </w:r>
          </w:p>
          <w:p w14:paraId="71168050" w14:textId="77777777" w:rsidR="002F4FFF" w:rsidRPr="002F4FFF" w:rsidRDefault="002F4FFF" w:rsidP="002F4FFF">
            <w:pPr>
              <w:rPr>
                <w:sz w:val="18"/>
                <w:szCs w:val="18"/>
              </w:rPr>
            </w:pPr>
          </w:p>
        </w:tc>
      </w:tr>
      <w:tr w:rsidR="00FD0395" w14:paraId="0A4D6F39"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F29671" w:themeFill="accent1"/>
          </w:tcPr>
          <w:p w14:paraId="025176F6" w14:textId="3430E6D0" w:rsidR="00FD0395" w:rsidRPr="00FD0395" w:rsidRDefault="00FD0395" w:rsidP="00FD0395">
            <w:pPr>
              <w:rPr>
                <w:b/>
                <w:bCs/>
                <w:sz w:val="18"/>
                <w:szCs w:val="18"/>
              </w:rPr>
            </w:pPr>
            <w:r w:rsidRPr="00FD0395">
              <w:rPr>
                <w:b/>
                <w:bCs/>
                <w:sz w:val="18"/>
                <w:szCs w:val="18"/>
              </w:rPr>
              <w:lastRenderedPageBreak/>
              <w:t>Removing barriers to economic inclusion – families with children</w:t>
            </w:r>
            <w:r w:rsidRPr="00FD0395">
              <w:rPr>
                <w:b/>
                <w:bCs/>
                <w:sz w:val="18"/>
                <w:szCs w:val="18"/>
              </w:rPr>
              <w:tab/>
            </w:r>
          </w:p>
        </w:tc>
      </w:tr>
      <w:tr w:rsidR="00977D8C" w14:paraId="539A939A" w14:textId="77777777" w:rsidTr="00FD0395">
        <w:tc>
          <w:tcPr>
            <w:tcW w:w="2182" w:type="dxa"/>
          </w:tcPr>
          <w:p w14:paraId="57B0857F" w14:textId="4AA93A82" w:rsidR="00FD0395" w:rsidRPr="00FD0395" w:rsidRDefault="00FD0395" w:rsidP="00FD0395">
            <w:pPr>
              <w:rPr>
                <w:sz w:val="18"/>
                <w:szCs w:val="18"/>
              </w:rPr>
            </w:pPr>
            <w:r w:rsidRPr="00FD0395">
              <w:rPr>
                <w:sz w:val="18"/>
                <w:szCs w:val="18"/>
              </w:rPr>
              <w:t>Recommendation 31</w:t>
            </w:r>
            <w:r w:rsidRPr="00FD0395">
              <w:rPr>
                <w:sz w:val="18"/>
                <w:szCs w:val="18"/>
              </w:rPr>
              <w:br/>
              <w:t xml:space="preserve">The Government abolish the Activity Test on the Child Care Subsidy and commit to guaranteeing all Australian children access to three days of early childhood education and care. All children benefit from access to early childhood education and care, and Government policies that ensure affordable access can lift female participation.  </w:t>
            </w:r>
          </w:p>
        </w:tc>
        <w:tc>
          <w:tcPr>
            <w:tcW w:w="2934" w:type="dxa"/>
          </w:tcPr>
          <w:p w14:paraId="195E8EDB" w14:textId="77777777" w:rsidR="00FD0395" w:rsidRPr="00FD0395" w:rsidRDefault="00FD0395" w:rsidP="00FD0395">
            <w:pPr>
              <w:rPr>
                <w:b/>
                <w:bCs/>
                <w:sz w:val="18"/>
                <w:szCs w:val="18"/>
              </w:rPr>
            </w:pPr>
            <w:r w:rsidRPr="00FD0395">
              <w:rPr>
                <w:b/>
                <w:bCs/>
                <w:sz w:val="18"/>
                <w:szCs w:val="18"/>
              </w:rPr>
              <w:t xml:space="preserve">Relevant Government actions </w:t>
            </w:r>
          </w:p>
          <w:p w14:paraId="3885B591" w14:textId="5B9B2A3E" w:rsidR="00FD0395" w:rsidRPr="00FD0395" w:rsidRDefault="00FD0395" w:rsidP="00FD0395">
            <w:pPr>
              <w:rPr>
                <w:sz w:val="18"/>
                <w:szCs w:val="18"/>
              </w:rPr>
            </w:pPr>
            <w:r w:rsidRPr="00FD0395">
              <w:rPr>
                <w:sz w:val="18"/>
                <w:szCs w:val="18"/>
              </w:rPr>
              <w:t>The Productivity Commission has been asked to consider activity requirements in their Inquiry into Early Childhood Education and Care. A draft report was provided to Government in November 2023. A final report is due to Government by 30 June 2024. In the draft report, the Productivity Commission recommended that the activity test should be relaxed so that it is not a barrier for any family wishing to access up to 30 hours or three days a week of ECEC services.</w:t>
            </w:r>
          </w:p>
        </w:tc>
        <w:tc>
          <w:tcPr>
            <w:tcW w:w="1790" w:type="dxa"/>
          </w:tcPr>
          <w:p w14:paraId="7C93543D" w14:textId="50EEF0EA" w:rsidR="00FD0395" w:rsidRPr="00FD0395" w:rsidRDefault="00977D8C" w:rsidP="00FD0395">
            <w:pPr>
              <w:rPr>
                <w:sz w:val="18"/>
                <w:szCs w:val="18"/>
              </w:rPr>
            </w:pPr>
            <w:r>
              <w:rPr>
                <w:sz w:val="18"/>
                <w:szCs w:val="18"/>
              </w:rPr>
              <w:t>Sustained priority in 2024</w:t>
            </w:r>
          </w:p>
        </w:tc>
        <w:tc>
          <w:tcPr>
            <w:tcW w:w="2110" w:type="dxa"/>
          </w:tcPr>
          <w:p w14:paraId="5100C7F3" w14:textId="77777777" w:rsidR="00FD0395" w:rsidRPr="00FD0395" w:rsidRDefault="00FD0395" w:rsidP="00FD0395">
            <w:pPr>
              <w:rPr>
                <w:sz w:val="18"/>
                <w:szCs w:val="18"/>
              </w:rPr>
            </w:pPr>
            <w:r w:rsidRPr="00FD0395">
              <w:rPr>
                <w:sz w:val="18"/>
                <w:szCs w:val="18"/>
              </w:rPr>
              <w:t>The Government has not yet taken up this recommendation.</w:t>
            </w:r>
          </w:p>
          <w:p w14:paraId="2603A659" w14:textId="77777777" w:rsidR="00FD0395" w:rsidRPr="00FD0395" w:rsidRDefault="00FD0395" w:rsidP="00FD0395">
            <w:pPr>
              <w:rPr>
                <w:sz w:val="18"/>
                <w:szCs w:val="18"/>
              </w:rPr>
            </w:pPr>
            <w:r w:rsidRPr="00FD0395">
              <w:rPr>
                <w:sz w:val="18"/>
                <w:szCs w:val="18"/>
              </w:rPr>
              <w:t>In the 2024 report, the Committee continues to recommend the abolition of the Activity Test on the Child Care Subsidy.</w:t>
            </w:r>
          </w:p>
          <w:p w14:paraId="75115B7A" w14:textId="77777777" w:rsidR="00FD0395" w:rsidRPr="00FD0395" w:rsidRDefault="00FD0395" w:rsidP="00FD0395">
            <w:pPr>
              <w:rPr>
                <w:sz w:val="18"/>
                <w:szCs w:val="18"/>
              </w:rPr>
            </w:pPr>
          </w:p>
          <w:p w14:paraId="7A741D72" w14:textId="1F4263F1" w:rsidR="00FD0395" w:rsidRPr="00FD0395" w:rsidRDefault="00FD0395" w:rsidP="00FD0395">
            <w:pPr>
              <w:rPr>
                <w:sz w:val="18"/>
                <w:szCs w:val="18"/>
              </w:rPr>
            </w:pPr>
          </w:p>
        </w:tc>
      </w:tr>
      <w:tr w:rsidR="00977D8C" w:rsidRPr="007D5C10" w14:paraId="2CDF2DF1"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6C1D5814" w14:textId="3831961F" w:rsidR="00FD0395" w:rsidRPr="00FD0395" w:rsidRDefault="00FD0395" w:rsidP="00FD0395">
            <w:pPr>
              <w:rPr>
                <w:sz w:val="18"/>
                <w:szCs w:val="18"/>
              </w:rPr>
            </w:pPr>
            <w:r w:rsidRPr="00FD0395">
              <w:rPr>
                <w:sz w:val="18"/>
                <w:szCs w:val="18"/>
              </w:rPr>
              <w:t>Recommendation 32</w:t>
            </w:r>
            <w:r w:rsidRPr="00FD0395">
              <w:rPr>
                <w:sz w:val="18"/>
                <w:szCs w:val="18"/>
              </w:rPr>
              <w:br/>
              <w:t xml:space="preserve">The Government abolish the ParentsNext program. Its resources should be redirected to a co-designed set of voluntary support programs for vulnerable families, particularly low-income parents with young children who want to enter or re-enter the workforce, or access more financially secure employment. These voluntary support programs should be designed with a fully-funded evaluation strategy, to inform ongoing service improvements. </w:t>
            </w:r>
          </w:p>
        </w:tc>
        <w:tc>
          <w:tcPr>
            <w:tcW w:w="2934" w:type="dxa"/>
          </w:tcPr>
          <w:p w14:paraId="2A40EAAB" w14:textId="77777777" w:rsidR="00FD0395" w:rsidRPr="00FD0395" w:rsidRDefault="00FD0395" w:rsidP="00FD0395">
            <w:pPr>
              <w:rPr>
                <w:b/>
                <w:bCs/>
                <w:sz w:val="18"/>
                <w:szCs w:val="18"/>
              </w:rPr>
            </w:pPr>
            <w:r w:rsidRPr="00FD0395">
              <w:rPr>
                <w:b/>
                <w:bCs/>
                <w:sz w:val="18"/>
                <w:szCs w:val="18"/>
              </w:rPr>
              <w:t xml:space="preserve">Relevant Government actions </w:t>
            </w:r>
          </w:p>
          <w:p w14:paraId="0385B6E2" w14:textId="17776243" w:rsidR="00FD0395" w:rsidRPr="00FD0395" w:rsidRDefault="00FD0395" w:rsidP="00FD0395">
            <w:pPr>
              <w:rPr>
                <w:sz w:val="18"/>
                <w:szCs w:val="18"/>
              </w:rPr>
            </w:pPr>
            <w:r w:rsidRPr="00FD0395">
              <w:rPr>
                <w:sz w:val="18"/>
                <w:szCs w:val="18"/>
              </w:rPr>
              <w:t>The Government will provide $20.9 million over four years from 2023–24 (and $29.4 million per year ongoing) to implement a new voluntary pre-employment service for disadvantaged parents of children under six years of age from 1 November 2024, following the abolition of ParentsNext.</w:t>
            </w:r>
          </w:p>
        </w:tc>
        <w:tc>
          <w:tcPr>
            <w:tcW w:w="1790" w:type="dxa"/>
          </w:tcPr>
          <w:p w14:paraId="3BC5B473" w14:textId="5D1C67BD" w:rsidR="00FD0395" w:rsidRPr="00FD0395" w:rsidRDefault="00FD0395" w:rsidP="00FD0395">
            <w:pPr>
              <w:rPr>
                <w:sz w:val="18"/>
                <w:szCs w:val="18"/>
              </w:rPr>
            </w:pPr>
            <w:r>
              <w:rPr>
                <w:sz w:val="18"/>
                <w:szCs w:val="18"/>
              </w:rPr>
              <w:t>Achieved priority – monitor implementation</w:t>
            </w:r>
          </w:p>
        </w:tc>
        <w:tc>
          <w:tcPr>
            <w:tcW w:w="2110" w:type="dxa"/>
          </w:tcPr>
          <w:p w14:paraId="03FFECF9" w14:textId="77777777" w:rsidR="00FD0395" w:rsidRPr="00FD0395" w:rsidRDefault="00FD0395" w:rsidP="00FD0395">
            <w:pPr>
              <w:rPr>
                <w:sz w:val="18"/>
                <w:szCs w:val="18"/>
              </w:rPr>
            </w:pPr>
            <w:r w:rsidRPr="00FD0395">
              <w:rPr>
                <w:sz w:val="18"/>
                <w:szCs w:val="18"/>
              </w:rPr>
              <w:t>Actions to date achieve this recommendation.</w:t>
            </w:r>
          </w:p>
          <w:p w14:paraId="0C32BAD7" w14:textId="77777777" w:rsidR="00FD0395" w:rsidRPr="00FD0395" w:rsidRDefault="00FD0395" w:rsidP="00FD0395">
            <w:pPr>
              <w:rPr>
                <w:sz w:val="18"/>
                <w:szCs w:val="18"/>
              </w:rPr>
            </w:pPr>
            <w:r w:rsidRPr="00FD0395">
              <w:rPr>
                <w:sz w:val="18"/>
                <w:szCs w:val="18"/>
              </w:rPr>
              <w:t>The Committee can maintain visibility of progress against this recommendation to ensure successful implementation and evaluation of the new program.</w:t>
            </w:r>
          </w:p>
          <w:p w14:paraId="41B3E183" w14:textId="6CDD61DB" w:rsidR="00FD0395" w:rsidRPr="00FD0395" w:rsidRDefault="00FD0395" w:rsidP="00FD0395">
            <w:pPr>
              <w:rPr>
                <w:sz w:val="18"/>
                <w:szCs w:val="18"/>
              </w:rPr>
            </w:pPr>
          </w:p>
        </w:tc>
      </w:tr>
      <w:tr w:rsidR="00977D8C" w:rsidRPr="007D5C10" w14:paraId="22637001" w14:textId="77777777" w:rsidTr="00FD0395">
        <w:tc>
          <w:tcPr>
            <w:tcW w:w="2182" w:type="dxa"/>
          </w:tcPr>
          <w:p w14:paraId="08F237BE" w14:textId="72052EBC" w:rsidR="00FD0395" w:rsidRPr="00FD0395" w:rsidRDefault="00FD0395" w:rsidP="00FD0395">
            <w:pPr>
              <w:rPr>
                <w:sz w:val="18"/>
                <w:szCs w:val="18"/>
              </w:rPr>
            </w:pPr>
            <w:r w:rsidRPr="00FD0395">
              <w:rPr>
                <w:sz w:val="18"/>
                <w:szCs w:val="18"/>
              </w:rPr>
              <w:t>Recommendation 33</w:t>
            </w:r>
            <w:r w:rsidRPr="00FD0395">
              <w:rPr>
                <w:sz w:val="18"/>
                <w:szCs w:val="18"/>
              </w:rPr>
              <w:br/>
              <w:t xml:space="preserve">The Government remove the Maintenance Income Test (MIT) from the calculation of Family Tax Benefit Part A (FTBA) </w:t>
            </w:r>
            <w:r w:rsidRPr="00FD0395">
              <w:rPr>
                <w:sz w:val="18"/>
                <w:szCs w:val="18"/>
              </w:rPr>
              <w:lastRenderedPageBreak/>
              <w:t xml:space="preserve">for child support customers. Affected families should be provided with a similar amount of family benefits as would have resulted under the MIT. The removal of the MIT would result in more certain FTBA payments for financially vulnerable families, remove the prospect of retrospectively applied FTBA debts, and concurrently close a loophole that allows child support and FTBA to be used as vehicles for enacting financial abuse. </w:t>
            </w:r>
          </w:p>
        </w:tc>
        <w:tc>
          <w:tcPr>
            <w:tcW w:w="2934" w:type="dxa"/>
          </w:tcPr>
          <w:p w14:paraId="6D47AEAE" w14:textId="77777777" w:rsidR="00FD0395" w:rsidRPr="00FD0395" w:rsidRDefault="00FD0395" w:rsidP="00FD0395">
            <w:pPr>
              <w:rPr>
                <w:b/>
                <w:bCs/>
                <w:sz w:val="18"/>
                <w:szCs w:val="18"/>
              </w:rPr>
            </w:pPr>
            <w:r w:rsidRPr="00FD0395">
              <w:rPr>
                <w:b/>
                <w:bCs/>
                <w:sz w:val="18"/>
                <w:szCs w:val="18"/>
              </w:rPr>
              <w:lastRenderedPageBreak/>
              <w:t xml:space="preserve">Relevant Government actions </w:t>
            </w:r>
          </w:p>
          <w:p w14:paraId="1BA2F4BB" w14:textId="286CB425" w:rsidR="00FD0395" w:rsidRPr="00FD0395" w:rsidRDefault="00FD0395" w:rsidP="00FD0395">
            <w:pPr>
              <w:rPr>
                <w:sz w:val="18"/>
                <w:szCs w:val="18"/>
              </w:rPr>
            </w:pPr>
            <w:r w:rsidRPr="00FD0395">
              <w:rPr>
                <w:sz w:val="18"/>
                <w:szCs w:val="18"/>
              </w:rPr>
              <w:t xml:space="preserve">As part of the Government’s response to the Family Law Inquiry, the Department of Social Services has established the Child Support Expert Panel and </w:t>
            </w:r>
            <w:r w:rsidRPr="00FD0395">
              <w:rPr>
                <w:sz w:val="18"/>
                <w:szCs w:val="18"/>
              </w:rPr>
              <w:lastRenderedPageBreak/>
              <w:t xml:space="preserve">the Child Support Stakeholder Consultation Group. The expert panel and consultation group will have a role in the department’s work to examine interactions between Family Tax Benefit and the Child Support Program. </w:t>
            </w:r>
          </w:p>
          <w:p w14:paraId="1548B53D" w14:textId="559363A1" w:rsidR="00FD0395" w:rsidRPr="00FD0395" w:rsidRDefault="00FD0395" w:rsidP="00FD0395">
            <w:pPr>
              <w:rPr>
                <w:sz w:val="18"/>
                <w:szCs w:val="18"/>
              </w:rPr>
            </w:pPr>
            <w:r w:rsidRPr="00FD0395">
              <w:rPr>
                <w:sz w:val="18"/>
                <w:szCs w:val="18"/>
              </w:rPr>
              <w:t xml:space="preserve">The Government will also commission an evaluation of separated parents in 2024 to understand the barriers that vulnerable child support and Family Tax Benefit parents may face to apply for child support, an exemption from the maintenance action test, or seeking help. </w:t>
            </w:r>
          </w:p>
        </w:tc>
        <w:tc>
          <w:tcPr>
            <w:tcW w:w="1790" w:type="dxa"/>
          </w:tcPr>
          <w:p w14:paraId="215D9916" w14:textId="50113063" w:rsidR="00FD0395" w:rsidRPr="00FD0395" w:rsidRDefault="00FD0395" w:rsidP="00FD0395">
            <w:pPr>
              <w:rPr>
                <w:sz w:val="18"/>
                <w:szCs w:val="18"/>
              </w:rPr>
            </w:pPr>
            <w:r>
              <w:rPr>
                <w:sz w:val="18"/>
                <w:szCs w:val="18"/>
              </w:rPr>
              <w:lastRenderedPageBreak/>
              <w:t>Sustained priority in 2024</w:t>
            </w:r>
          </w:p>
        </w:tc>
        <w:tc>
          <w:tcPr>
            <w:tcW w:w="2110" w:type="dxa"/>
          </w:tcPr>
          <w:p w14:paraId="27FEA40D" w14:textId="77777777" w:rsidR="00FD0395" w:rsidRPr="00FD0395" w:rsidRDefault="00FD0395" w:rsidP="00FD0395">
            <w:pPr>
              <w:rPr>
                <w:sz w:val="18"/>
                <w:szCs w:val="18"/>
              </w:rPr>
            </w:pPr>
            <w:r w:rsidRPr="00FD0395">
              <w:rPr>
                <w:sz w:val="18"/>
                <w:szCs w:val="18"/>
              </w:rPr>
              <w:t>The Government has not yet taken up this recommendation.</w:t>
            </w:r>
          </w:p>
          <w:p w14:paraId="48453733" w14:textId="6EE83C72" w:rsidR="00FD0395" w:rsidRPr="00FD0395" w:rsidRDefault="00FD0395" w:rsidP="00FD0395">
            <w:pPr>
              <w:rPr>
                <w:sz w:val="18"/>
                <w:szCs w:val="18"/>
              </w:rPr>
            </w:pPr>
            <w:r w:rsidRPr="00FD0395">
              <w:rPr>
                <w:sz w:val="18"/>
                <w:szCs w:val="18"/>
              </w:rPr>
              <w:t xml:space="preserve">In the 2024 report, the Committee continues to recommend </w:t>
            </w:r>
            <w:r w:rsidRPr="00FD0395">
              <w:rPr>
                <w:sz w:val="18"/>
                <w:szCs w:val="18"/>
              </w:rPr>
              <w:lastRenderedPageBreak/>
              <w:t>implementation of this recommendation.</w:t>
            </w:r>
          </w:p>
        </w:tc>
      </w:tr>
      <w:tr w:rsidR="00977D8C" w:rsidRPr="007D5C10" w14:paraId="09D24AB2" w14:textId="77777777" w:rsidTr="00684925">
        <w:trPr>
          <w:cnfStyle w:val="000000100000" w:firstRow="0" w:lastRow="0" w:firstColumn="0" w:lastColumn="0" w:oddVBand="0" w:evenVBand="0" w:oddHBand="1" w:evenHBand="0" w:firstRowFirstColumn="0" w:firstRowLastColumn="0" w:lastRowFirstColumn="0" w:lastRowLastColumn="0"/>
        </w:trPr>
        <w:tc>
          <w:tcPr>
            <w:tcW w:w="9016" w:type="dxa"/>
            <w:gridSpan w:val="4"/>
            <w:shd w:val="clear" w:color="auto" w:fill="F29671" w:themeFill="accent1"/>
          </w:tcPr>
          <w:p w14:paraId="7FA220D3" w14:textId="5C199077" w:rsidR="00977D8C" w:rsidRPr="00977D8C" w:rsidRDefault="00977D8C" w:rsidP="00977D8C">
            <w:pPr>
              <w:rPr>
                <w:b/>
                <w:bCs/>
                <w:sz w:val="18"/>
                <w:szCs w:val="18"/>
              </w:rPr>
            </w:pPr>
            <w:r w:rsidRPr="00977D8C">
              <w:rPr>
                <w:b/>
                <w:bCs/>
                <w:sz w:val="18"/>
                <w:szCs w:val="18"/>
              </w:rPr>
              <w:lastRenderedPageBreak/>
              <w:t>Advice on legislated measures on economic inclusion and poverty reduction</w:t>
            </w:r>
          </w:p>
        </w:tc>
      </w:tr>
      <w:tr w:rsidR="00977D8C" w:rsidRPr="007D5C10" w14:paraId="1C68AD5F" w14:textId="77777777" w:rsidTr="00FD0395">
        <w:tc>
          <w:tcPr>
            <w:tcW w:w="2182" w:type="dxa"/>
          </w:tcPr>
          <w:p w14:paraId="64C12AB9" w14:textId="292D81F8" w:rsidR="00977D8C" w:rsidRPr="00977D8C" w:rsidRDefault="00977D8C" w:rsidP="00977D8C">
            <w:pPr>
              <w:rPr>
                <w:sz w:val="18"/>
                <w:szCs w:val="18"/>
              </w:rPr>
            </w:pPr>
            <w:r w:rsidRPr="00977D8C">
              <w:rPr>
                <w:sz w:val="18"/>
                <w:szCs w:val="18"/>
              </w:rPr>
              <w:t>Recommendation 34</w:t>
            </w:r>
            <w:r w:rsidRPr="00977D8C">
              <w:rPr>
                <w:sz w:val="18"/>
                <w:szCs w:val="18"/>
              </w:rPr>
              <w:br/>
              <w:t>The Government specify and include measures on economic inclusion and poverty reduction in the legislation to establish an Economic Inclusion Advisory Committee. The legislation should follow the release of the Measuring What Matters statement and specify the process to agree targets and track progress against economic inclusion and poverty measures over time.</w:t>
            </w:r>
          </w:p>
        </w:tc>
        <w:tc>
          <w:tcPr>
            <w:tcW w:w="2934" w:type="dxa"/>
            <w:vMerge w:val="restart"/>
          </w:tcPr>
          <w:p w14:paraId="2704897E" w14:textId="77777777" w:rsidR="00977D8C" w:rsidRPr="00977D8C" w:rsidRDefault="00977D8C" w:rsidP="00977D8C">
            <w:pPr>
              <w:rPr>
                <w:b/>
                <w:bCs/>
                <w:sz w:val="18"/>
                <w:szCs w:val="18"/>
              </w:rPr>
            </w:pPr>
            <w:r w:rsidRPr="00977D8C">
              <w:rPr>
                <w:b/>
                <w:bCs/>
                <w:sz w:val="18"/>
                <w:szCs w:val="18"/>
              </w:rPr>
              <w:t xml:space="preserve">Relevant Government actions </w:t>
            </w:r>
          </w:p>
          <w:p w14:paraId="741B6AE1" w14:textId="77777777" w:rsidR="00977D8C" w:rsidRPr="00977D8C" w:rsidRDefault="00977D8C" w:rsidP="00977D8C">
            <w:pPr>
              <w:rPr>
                <w:sz w:val="18"/>
                <w:szCs w:val="18"/>
              </w:rPr>
            </w:pPr>
            <w:r w:rsidRPr="00977D8C">
              <w:rPr>
                <w:sz w:val="18"/>
                <w:szCs w:val="18"/>
              </w:rPr>
              <w:t xml:space="preserve">The Economic Inclusion Advisory Committee Act 2023 received Royal Assent on 8 December 2023. </w:t>
            </w:r>
          </w:p>
          <w:p w14:paraId="5AE03E36" w14:textId="77777777" w:rsidR="00977D8C" w:rsidRPr="00977D8C" w:rsidRDefault="00977D8C" w:rsidP="00977D8C">
            <w:pPr>
              <w:rPr>
                <w:sz w:val="18"/>
                <w:szCs w:val="18"/>
              </w:rPr>
            </w:pPr>
            <w:r w:rsidRPr="00977D8C">
              <w:rPr>
                <w:sz w:val="18"/>
                <w:szCs w:val="18"/>
              </w:rPr>
              <w:t>The Measuring What Matters framework was released on 21 July 2023. The framework provides a range of measures of financial stress and distribution of income and wealth, but does not specify poverty measures.</w:t>
            </w:r>
          </w:p>
          <w:p w14:paraId="6190DE1C" w14:textId="67BF7CD9" w:rsidR="00977D8C" w:rsidRPr="00FD0395" w:rsidRDefault="00977D8C" w:rsidP="00977D8C">
            <w:pPr>
              <w:rPr>
                <w:b/>
                <w:bCs/>
                <w:sz w:val="18"/>
                <w:szCs w:val="18"/>
              </w:rPr>
            </w:pPr>
            <w:r w:rsidRPr="00977D8C">
              <w:rPr>
                <w:sz w:val="18"/>
                <w:szCs w:val="18"/>
              </w:rPr>
              <w:t>The Government will respond to the final report from the Senate Inquiry into the Extent and Nature of Poverty in Australia. The final report, released in February 2024, provided information on current poverty rates, impacts of poverty, structural drivers of poverty and the relationship between income support payments and poverty in Australia.</w:t>
            </w:r>
          </w:p>
        </w:tc>
        <w:tc>
          <w:tcPr>
            <w:tcW w:w="1790" w:type="dxa"/>
          </w:tcPr>
          <w:p w14:paraId="0DA5CF63" w14:textId="3630FCD8" w:rsidR="00977D8C" w:rsidRPr="00977D8C" w:rsidRDefault="00977D8C" w:rsidP="00977D8C">
            <w:pPr>
              <w:rPr>
                <w:sz w:val="18"/>
                <w:szCs w:val="18"/>
              </w:rPr>
            </w:pPr>
            <w:r>
              <w:rPr>
                <w:sz w:val="18"/>
                <w:szCs w:val="18"/>
              </w:rPr>
              <w:t>Consider relative priority</w:t>
            </w:r>
          </w:p>
        </w:tc>
        <w:tc>
          <w:tcPr>
            <w:tcW w:w="2110" w:type="dxa"/>
          </w:tcPr>
          <w:p w14:paraId="5D01763D" w14:textId="77777777" w:rsidR="00977D8C" w:rsidRPr="00977D8C" w:rsidRDefault="00977D8C" w:rsidP="00977D8C">
            <w:pPr>
              <w:rPr>
                <w:sz w:val="18"/>
                <w:szCs w:val="18"/>
              </w:rPr>
            </w:pPr>
            <w:r w:rsidRPr="00977D8C">
              <w:rPr>
                <w:sz w:val="18"/>
                <w:szCs w:val="18"/>
              </w:rPr>
              <w:t xml:space="preserve">This recommendation was not taken up in the legislation to establish the Economic Inclusion Advisory Committee. </w:t>
            </w:r>
          </w:p>
          <w:p w14:paraId="1C21D8C8" w14:textId="77777777" w:rsidR="00977D8C" w:rsidRPr="00977D8C" w:rsidRDefault="00977D8C" w:rsidP="00977D8C">
            <w:pPr>
              <w:rPr>
                <w:sz w:val="18"/>
                <w:szCs w:val="18"/>
              </w:rPr>
            </w:pPr>
            <w:r w:rsidRPr="00977D8C">
              <w:rPr>
                <w:sz w:val="18"/>
                <w:szCs w:val="18"/>
              </w:rPr>
              <w:t xml:space="preserve">The Committee has included a set of poverty measures within its framework for Economic Inclusion and maintains that legislated poverty measures that are routinely reported would give Australia clarity on our progress as a nation, and help identify where additional support or investment is required. </w:t>
            </w:r>
          </w:p>
          <w:p w14:paraId="2D11BC11" w14:textId="5986233B" w:rsidR="00977D8C" w:rsidRPr="00977D8C" w:rsidRDefault="00977D8C" w:rsidP="00977D8C">
            <w:pPr>
              <w:rPr>
                <w:sz w:val="18"/>
                <w:szCs w:val="18"/>
              </w:rPr>
            </w:pPr>
            <w:r w:rsidRPr="00977D8C">
              <w:rPr>
                <w:sz w:val="18"/>
                <w:szCs w:val="18"/>
              </w:rPr>
              <w:t xml:space="preserve">The Committee will also monitor the extent to which the Measuring What Matters framework is updated to incorporate poverty measures. </w:t>
            </w:r>
          </w:p>
        </w:tc>
      </w:tr>
      <w:tr w:rsidR="00977D8C" w:rsidRPr="007D5C10" w14:paraId="01879568"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753DE865" w14:textId="51DFD1DF" w:rsidR="00977D8C" w:rsidRPr="00977D8C" w:rsidRDefault="00977D8C" w:rsidP="00977D8C">
            <w:pPr>
              <w:rPr>
                <w:sz w:val="18"/>
                <w:szCs w:val="18"/>
              </w:rPr>
            </w:pPr>
            <w:r w:rsidRPr="00977D8C">
              <w:rPr>
                <w:sz w:val="18"/>
                <w:szCs w:val="18"/>
              </w:rPr>
              <w:t xml:space="preserve">Recommendation 35 </w:t>
            </w:r>
            <w:r w:rsidRPr="00977D8C">
              <w:rPr>
                <w:sz w:val="18"/>
                <w:szCs w:val="18"/>
              </w:rPr>
              <w:br/>
              <w:t>The Government develop a data, evidence and consultation strategy to support the legislated measures and agreed targets.</w:t>
            </w:r>
          </w:p>
        </w:tc>
        <w:tc>
          <w:tcPr>
            <w:tcW w:w="2934" w:type="dxa"/>
            <w:vMerge/>
          </w:tcPr>
          <w:p w14:paraId="63097156" w14:textId="77777777" w:rsidR="00977D8C" w:rsidRPr="00FD0395" w:rsidRDefault="00977D8C" w:rsidP="00977D8C">
            <w:pPr>
              <w:rPr>
                <w:b/>
                <w:bCs/>
                <w:sz w:val="18"/>
                <w:szCs w:val="18"/>
              </w:rPr>
            </w:pPr>
          </w:p>
        </w:tc>
        <w:tc>
          <w:tcPr>
            <w:tcW w:w="1790" w:type="dxa"/>
          </w:tcPr>
          <w:p w14:paraId="7C4DD9D0" w14:textId="3236F9CB" w:rsidR="00977D8C" w:rsidRPr="00977D8C" w:rsidRDefault="001E7795" w:rsidP="00977D8C">
            <w:pPr>
              <w:rPr>
                <w:sz w:val="18"/>
                <w:szCs w:val="18"/>
              </w:rPr>
            </w:pPr>
            <w:r>
              <w:rPr>
                <w:sz w:val="18"/>
                <w:szCs w:val="18"/>
              </w:rPr>
              <w:t>Consider relative priority</w:t>
            </w:r>
          </w:p>
        </w:tc>
        <w:tc>
          <w:tcPr>
            <w:tcW w:w="2110" w:type="dxa"/>
          </w:tcPr>
          <w:p w14:paraId="51A9FE24" w14:textId="1CE50EE2" w:rsidR="00977D8C" w:rsidRPr="00977D8C" w:rsidRDefault="00977D8C" w:rsidP="00977D8C">
            <w:pPr>
              <w:rPr>
                <w:sz w:val="18"/>
                <w:szCs w:val="18"/>
              </w:rPr>
            </w:pPr>
            <w:r w:rsidRPr="00977D8C">
              <w:rPr>
                <w:sz w:val="18"/>
                <w:szCs w:val="18"/>
              </w:rPr>
              <w:t>As per Recommendation 34.</w:t>
            </w:r>
          </w:p>
        </w:tc>
      </w:tr>
      <w:tr w:rsidR="00977D8C" w:rsidRPr="007D5C10" w14:paraId="7DDC3383" w14:textId="77777777" w:rsidTr="00FD0395">
        <w:tc>
          <w:tcPr>
            <w:tcW w:w="2182" w:type="dxa"/>
          </w:tcPr>
          <w:p w14:paraId="701F5F40" w14:textId="12833C7E" w:rsidR="00977D8C" w:rsidRPr="00977D8C" w:rsidRDefault="00977D8C" w:rsidP="00977D8C">
            <w:pPr>
              <w:rPr>
                <w:sz w:val="18"/>
                <w:szCs w:val="18"/>
              </w:rPr>
            </w:pPr>
            <w:r w:rsidRPr="00977D8C">
              <w:rPr>
                <w:sz w:val="18"/>
                <w:szCs w:val="18"/>
              </w:rPr>
              <w:t xml:space="preserve">Recommendation 36 </w:t>
            </w:r>
            <w:r w:rsidRPr="00977D8C">
              <w:rPr>
                <w:sz w:val="18"/>
                <w:szCs w:val="18"/>
              </w:rPr>
              <w:br/>
              <w:t xml:space="preserve">The Government establish a </w:t>
            </w:r>
            <w:r w:rsidRPr="00977D8C">
              <w:rPr>
                <w:sz w:val="18"/>
                <w:szCs w:val="18"/>
              </w:rPr>
              <w:lastRenderedPageBreak/>
              <w:t>multidimensional poverty index, to supplement legislated measures, to provide a more comprehensive picture of the nature and extent of poverty and to enable monitoring of trends and targeting of effort by population and dimensions such as health, education and living standards.</w:t>
            </w:r>
          </w:p>
        </w:tc>
        <w:tc>
          <w:tcPr>
            <w:tcW w:w="2934" w:type="dxa"/>
            <w:vMerge/>
          </w:tcPr>
          <w:p w14:paraId="7E960432" w14:textId="77777777" w:rsidR="00977D8C" w:rsidRPr="00FD0395" w:rsidRDefault="00977D8C" w:rsidP="00977D8C">
            <w:pPr>
              <w:rPr>
                <w:b/>
                <w:bCs/>
                <w:sz w:val="18"/>
                <w:szCs w:val="18"/>
              </w:rPr>
            </w:pPr>
          </w:p>
        </w:tc>
        <w:tc>
          <w:tcPr>
            <w:tcW w:w="1790" w:type="dxa"/>
          </w:tcPr>
          <w:p w14:paraId="5C2BEC39" w14:textId="2CD083EE" w:rsidR="00977D8C" w:rsidRPr="00977D8C" w:rsidRDefault="001E7795" w:rsidP="00977D8C">
            <w:pPr>
              <w:rPr>
                <w:sz w:val="18"/>
                <w:szCs w:val="18"/>
              </w:rPr>
            </w:pPr>
            <w:r>
              <w:rPr>
                <w:sz w:val="18"/>
                <w:szCs w:val="18"/>
              </w:rPr>
              <w:t>Consider relative priority</w:t>
            </w:r>
          </w:p>
        </w:tc>
        <w:tc>
          <w:tcPr>
            <w:tcW w:w="2110" w:type="dxa"/>
          </w:tcPr>
          <w:p w14:paraId="1C121C81" w14:textId="25176408" w:rsidR="00977D8C" w:rsidRPr="00977D8C" w:rsidRDefault="00977D8C" w:rsidP="00977D8C">
            <w:pPr>
              <w:rPr>
                <w:sz w:val="18"/>
                <w:szCs w:val="18"/>
              </w:rPr>
            </w:pPr>
            <w:r w:rsidRPr="00977D8C">
              <w:rPr>
                <w:sz w:val="18"/>
                <w:szCs w:val="18"/>
              </w:rPr>
              <w:t xml:space="preserve">The inclusion of additional poverty measures to the </w:t>
            </w:r>
            <w:r w:rsidRPr="00977D8C">
              <w:rPr>
                <w:sz w:val="18"/>
                <w:szCs w:val="18"/>
              </w:rPr>
              <w:lastRenderedPageBreak/>
              <w:t>Measuring What Matters Framework, and construction of a multidimensional poverty index, would advance this recommendation.</w:t>
            </w:r>
          </w:p>
        </w:tc>
      </w:tr>
      <w:tr w:rsidR="001E7795" w:rsidRPr="007D5C10" w14:paraId="75980DF5" w14:textId="77777777" w:rsidTr="00FD0395">
        <w:trPr>
          <w:cnfStyle w:val="000000100000" w:firstRow="0" w:lastRow="0" w:firstColumn="0" w:lastColumn="0" w:oddVBand="0" w:evenVBand="0" w:oddHBand="1" w:evenHBand="0" w:firstRowFirstColumn="0" w:firstRowLastColumn="0" w:lastRowFirstColumn="0" w:lastRowLastColumn="0"/>
        </w:trPr>
        <w:tc>
          <w:tcPr>
            <w:tcW w:w="2182" w:type="dxa"/>
          </w:tcPr>
          <w:p w14:paraId="50B7220B" w14:textId="0B55A461" w:rsidR="001E7795" w:rsidRPr="001E7795" w:rsidRDefault="001E7795" w:rsidP="001E7795">
            <w:pPr>
              <w:rPr>
                <w:sz w:val="18"/>
                <w:szCs w:val="18"/>
              </w:rPr>
            </w:pPr>
            <w:r w:rsidRPr="001E7795">
              <w:rPr>
                <w:sz w:val="18"/>
                <w:szCs w:val="18"/>
              </w:rPr>
              <w:lastRenderedPageBreak/>
              <w:t>Recommendation 37</w:t>
            </w:r>
            <w:r w:rsidRPr="001E7795">
              <w:rPr>
                <w:sz w:val="18"/>
                <w:szCs w:val="18"/>
              </w:rPr>
              <w:br/>
              <w:t>The Government include Economic Inclusion and Poverty Reduction in the Treasury Portfolio, with the Treasurer to be the responsible Minister for setting targets and driving whole-of-government implementation.</w:t>
            </w:r>
          </w:p>
        </w:tc>
        <w:tc>
          <w:tcPr>
            <w:tcW w:w="2934" w:type="dxa"/>
          </w:tcPr>
          <w:p w14:paraId="6F8FE026" w14:textId="77777777" w:rsidR="001E7795" w:rsidRPr="001E7795" w:rsidRDefault="001E7795" w:rsidP="001E7795">
            <w:pPr>
              <w:rPr>
                <w:sz w:val="18"/>
                <w:szCs w:val="18"/>
              </w:rPr>
            </w:pPr>
            <w:r w:rsidRPr="001E7795">
              <w:rPr>
                <w:sz w:val="18"/>
                <w:szCs w:val="18"/>
              </w:rPr>
              <w:t xml:space="preserve">Relevant Government actions </w:t>
            </w:r>
          </w:p>
          <w:p w14:paraId="7D96F382" w14:textId="77777777" w:rsidR="001E7795" w:rsidRPr="001E7795" w:rsidRDefault="001E7795" w:rsidP="001E7795">
            <w:pPr>
              <w:rPr>
                <w:sz w:val="18"/>
                <w:szCs w:val="18"/>
              </w:rPr>
            </w:pPr>
            <w:r w:rsidRPr="001E7795">
              <w:rPr>
                <w:sz w:val="18"/>
                <w:szCs w:val="18"/>
              </w:rPr>
              <w:t>There are several clear developments consistent with this recommendation:</w:t>
            </w:r>
          </w:p>
          <w:p w14:paraId="2308BD09" w14:textId="40605196" w:rsidR="001E7795" w:rsidRPr="001E7795" w:rsidRDefault="001E7795" w:rsidP="001E7795">
            <w:pPr>
              <w:rPr>
                <w:sz w:val="18"/>
                <w:szCs w:val="18"/>
              </w:rPr>
            </w:pPr>
            <w:r w:rsidRPr="001E7795">
              <w:rPr>
                <w:sz w:val="18"/>
                <w:szCs w:val="18"/>
              </w:rPr>
              <w:t>• the Employment White Paper has encompassed themes of reducing economic disadvantage</w:t>
            </w:r>
          </w:p>
          <w:p w14:paraId="2148D105" w14:textId="4A26C6A7" w:rsidR="001E7795" w:rsidRPr="001E7795" w:rsidRDefault="001E7795" w:rsidP="001E7795">
            <w:pPr>
              <w:rPr>
                <w:sz w:val="18"/>
                <w:szCs w:val="18"/>
              </w:rPr>
            </w:pPr>
            <w:r w:rsidRPr="001E7795">
              <w:rPr>
                <w:sz w:val="18"/>
                <w:szCs w:val="18"/>
              </w:rPr>
              <w:t>• the Treasurer is the co-sponsor of the Committee</w:t>
            </w:r>
          </w:p>
          <w:p w14:paraId="018782FD" w14:textId="4C9FC25E" w:rsidR="001E7795" w:rsidRPr="001E7795" w:rsidRDefault="001E7795" w:rsidP="001E7795">
            <w:pPr>
              <w:rPr>
                <w:sz w:val="18"/>
                <w:szCs w:val="18"/>
              </w:rPr>
            </w:pPr>
            <w:r w:rsidRPr="001E7795">
              <w:rPr>
                <w:sz w:val="18"/>
                <w:szCs w:val="18"/>
              </w:rPr>
              <w:t xml:space="preserve">• Treasury’s social policy group has expanded to co-sponsor the Tackling Entrenched Disadvantage package </w:t>
            </w:r>
          </w:p>
          <w:p w14:paraId="46B8D30A" w14:textId="27F077DA" w:rsidR="001E7795" w:rsidRPr="001E7795" w:rsidRDefault="001E7795" w:rsidP="001E7795">
            <w:pPr>
              <w:rPr>
                <w:sz w:val="18"/>
                <w:szCs w:val="18"/>
              </w:rPr>
            </w:pPr>
            <w:r w:rsidRPr="001E7795">
              <w:rPr>
                <w:sz w:val="18"/>
                <w:szCs w:val="18"/>
              </w:rPr>
              <w:t xml:space="preserve">• The Treasurer is a member of the Executive Group of the Investment Dialogue for Australia’s Children, which aims to reduce intergenerational disadvantage, with a focus on children and families  </w:t>
            </w:r>
          </w:p>
          <w:p w14:paraId="1CA1CE73" w14:textId="3B850A24" w:rsidR="001E7795" w:rsidRPr="001E7795" w:rsidRDefault="001E7795" w:rsidP="001E7795">
            <w:pPr>
              <w:rPr>
                <w:sz w:val="18"/>
                <w:szCs w:val="18"/>
              </w:rPr>
            </w:pPr>
            <w:r w:rsidRPr="001E7795">
              <w:rPr>
                <w:sz w:val="18"/>
                <w:szCs w:val="18"/>
              </w:rPr>
              <w:t>The Measuring What Matters framework has some dimensions encompassing economic disadvantage, but does not specify poverty measures.</w:t>
            </w:r>
          </w:p>
        </w:tc>
        <w:tc>
          <w:tcPr>
            <w:tcW w:w="1790" w:type="dxa"/>
          </w:tcPr>
          <w:p w14:paraId="0679CC13" w14:textId="2C9DE4D4" w:rsidR="001E7795" w:rsidRPr="001E7795" w:rsidRDefault="001E7795" w:rsidP="001E7795">
            <w:pPr>
              <w:rPr>
                <w:sz w:val="18"/>
                <w:szCs w:val="18"/>
              </w:rPr>
            </w:pPr>
            <w:r>
              <w:rPr>
                <w:sz w:val="18"/>
                <w:szCs w:val="18"/>
              </w:rPr>
              <w:t>Consider relative priority</w:t>
            </w:r>
          </w:p>
        </w:tc>
        <w:tc>
          <w:tcPr>
            <w:tcW w:w="2110" w:type="dxa"/>
          </w:tcPr>
          <w:p w14:paraId="0D1568FD" w14:textId="77777777" w:rsidR="001E7795" w:rsidRPr="001E7795" w:rsidRDefault="001E7795" w:rsidP="001E7795">
            <w:pPr>
              <w:rPr>
                <w:sz w:val="18"/>
                <w:szCs w:val="18"/>
              </w:rPr>
            </w:pPr>
            <w:r w:rsidRPr="001E7795">
              <w:rPr>
                <w:sz w:val="18"/>
                <w:szCs w:val="18"/>
              </w:rPr>
              <w:t>Actions to date significantly progress, but do not fully achieve this recommendation.</w:t>
            </w:r>
          </w:p>
          <w:p w14:paraId="09697978" w14:textId="77777777" w:rsidR="001E7795" w:rsidRPr="001E7795" w:rsidRDefault="001E7795" w:rsidP="001E7795">
            <w:pPr>
              <w:rPr>
                <w:sz w:val="18"/>
                <w:szCs w:val="18"/>
              </w:rPr>
            </w:pPr>
            <w:r w:rsidRPr="001E7795">
              <w:rPr>
                <w:sz w:val="18"/>
                <w:szCs w:val="18"/>
              </w:rPr>
              <w:t>The Treasury and the Treasurer have been very active in promoting these themes as central considerations within Treasury’s mandate, in partnership with the Social Services portfolio. There are many practical manifestations.</w:t>
            </w:r>
          </w:p>
          <w:p w14:paraId="0996B485" w14:textId="2E65B5FB" w:rsidR="001E7795" w:rsidRPr="001E7795" w:rsidRDefault="001E7795" w:rsidP="001E7795">
            <w:pPr>
              <w:rPr>
                <w:sz w:val="18"/>
                <w:szCs w:val="18"/>
              </w:rPr>
            </w:pPr>
            <w:r w:rsidRPr="001E7795">
              <w:rPr>
                <w:sz w:val="18"/>
                <w:szCs w:val="18"/>
              </w:rPr>
              <w:t>In future, the Committee may wish to further consider whether to recommend a more formalised adoption of this recommendation through, say, an explicit expression within portfolio responsibilities and within charter documents.</w:t>
            </w:r>
          </w:p>
        </w:tc>
      </w:tr>
    </w:tbl>
    <w:p w14:paraId="657D134A" w14:textId="7DA039EA" w:rsidR="001E7795" w:rsidRDefault="001E7795" w:rsidP="009A10E4"/>
    <w:p w14:paraId="06DACE88" w14:textId="77777777" w:rsidR="001E7795" w:rsidRDefault="001E7795">
      <w:pPr>
        <w:spacing w:after="0"/>
      </w:pPr>
      <w:r>
        <w:br w:type="page"/>
      </w:r>
    </w:p>
    <w:p w14:paraId="27105504" w14:textId="77777777" w:rsidR="001E7795" w:rsidRPr="001E7795" w:rsidRDefault="001E7795" w:rsidP="001E7795">
      <w:pPr>
        <w:pStyle w:val="Heading2"/>
      </w:pPr>
      <w:bookmarkStart w:id="67" w:name="_Toc165366893"/>
      <w:r w:rsidRPr="001E7795">
        <w:lastRenderedPageBreak/>
        <w:t>Appendix A - List of members</w:t>
      </w:r>
      <w:bookmarkEnd w:id="67"/>
      <w:r w:rsidRPr="001E7795">
        <w:t xml:space="preserve"> </w:t>
      </w:r>
    </w:p>
    <w:p w14:paraId="389A332D" w14:textId="309A13C8" w:rsidR="001E7795" w:rsidRPr="001E7795" w:rsidRDefault="001E7795" w:rsidP="001E7795">
      <w:pPr>
        <w:pStyle w:val="Heading4"/>
      </w:pPr>
      <w:r w:rsidRPr="001E7795">
        <w:t>Members of the Committee</w:t>
      </w:r>
    </w:p>
    <w:p w14:paraId="0EAA0C15" w14:textId="77777777" w:rsidR="001E7795" w:rsidRPr="001E7795" w:rsidRDefault="001E7795" w:rsidP="001E7795">
      <w:pPr>
        <w:rPr>
          <w:lang w:val="en-GB"/>
        </w:rPr>
      </w:pPr>
      <w:r w:rsidRPr="001E7795">
        <w:rPr>
          <w:lang w:val="en-GB"/>
        </w:rPr>
        <w:t>Hon Jenny Macklin AC</w:t>
      </w:r>
      <w:r w:rsidRPr="001E7795">
        <w:rPr>
          <w:lang w:val="en-GB"/>
        </w:rPr>
        <w:br/>
        <w:t>Chair</w:t>
      </w:r>
    </w:p>
    <w:p w14:paraId="2C9E4717" w14:textId="77777777" w:rsidR="001E7795" w:rsidRPr="001E7795" w:rsidRDefault="001E7795" w:rsidP="001E7795">
      <w:pPr>
        <w:rPr>
          <w:lang w:val="en-GB"/>
        </w:rPr>
      </w:pPr>
      <w:r w:rsidRPr="001E7795">
        <w:rPr>
          <w:lang w:val="en-GB"/>
        </w:rPr>
        <w:t>Mr Bran Black</w:t>
      </w:r>
      <w:r w:rsidRPr="001E7795">
        <w:rPr>
          <w:lang w:val="en-GB"/>
        </w:rPr>
        <w:br/>
        <w:t>Business Council of Australia</w:t>
      </w:r>
    </w:p>
    <w:p w14:paraId="4F19FF71" w14:textId="77777777" w:rsidR="001E7795" w:rsidRPr="001E7795" w:rsidRDefault="001E7795" w:rsidP="001E7795">
      <w:pPr>
        <w:rPr>
          <w:lang w:val="en-GB"/>
        </w:rPr>
      </w:pPr>
      <w:r w:rsidRPr="001E7795">
        <w:rPr>
          <w:lang w:val="en-GB"/>
        </w:rPr>
        <w:t>Professor Jeff Borland</w:t>
      </w:r>
      <w:r w:rsidRPr="001E7795">
        <w:rPr>
          <w:lang w:val="en-GB"/>
        </w:rPr>
        <w:br/>
        <w:t xml:space="preserve">Melbourne University </w:t>
      </w:r>
    </w:p>
    <w:p w14:paraId="336973D5" w14:textId="77777777" w:rsidR="001E7795" w:rsidRPr="001E7795" w:rsidRDefault="001E7795" w:rsidP="001E7795">
      <w:pPr>
        <w:rPr>
          <w:lang w:val="en-GB"/>
        </w:rPr>
      </w:pPr>
      <w:r w:rsidRPr="001E7795">
        <w:rPr>
          <w:lang w:val="en-GB"/>
        </w:rPr>
        <w:t>Ms Emily Carter AM</w:t>
      </w:r>
      <w:r w:rsidRPr="001E7795">
        <w:rPr>
          <w:lang w:val="en-GB"/>
        </w:rPr>
        <w:br/>
        <w:t>Marninwarntikura Women’s Resource Centre</w:t>
      </w:r>
    </w:p>
    <w:p w14:paraId="6F8D8DCA" w14:textId="77777777" w:rsidR="001E7795" w:rsidRPr="001E7795" w:rsidRDefault="001E7795" w:rsidP="001E7795">
      <w:pPr>
        <w:rPr>
          <w:lang w:val="en-GB"/>
        </w:rPr>
      </w:pPr>
      <w:r w:rsidRPr="001E7795">
        <w:rPr>
          <w:lang w:val="en-GB"/>
        </w:rPr>
        <w:t>Professor Kay Cook</w:t>
      </w:r>
      <w:r w:rsidRPr="001E7795">
        <w:rPr>
          <w:lang w:val="en-GB"/>
        </w:rPr>
        <w:br/>
        <w:t xml:space="preserve">Swinburne University of Technology </w:t>
      </w:r>
    </w:p>
    <w:p w14:paraId="24856F4D" w14:textId="77777777" w:rsidR="001E7795" w:rsidRPr="001E7795" w:rsidRDefault="001E7795" w:rsidP="001E7795">
      <w:pPr>
        <w:rPr>
          <w:lang w:val="en-GB"/>
        </w:rPr>
      </w:pPr>
      <w:r w:rsidRPr="001E7795">
        <w:rPr>
          <w:lang w:val="en-GB"/>
        </w:rPr>
        <w:t xml:space="preserve">Mr Matthew Cox </w:t>
      </w:r>
      <w:r w:rsidRPr="001E7795">
        <w:rPr>
          <w:lang w:val="en-GB"/>
        </w:rPr>
        <w:br/>
        <w:t>The Bryan Foundation</w:t>
      </w:r>
    </w:p>
    <w:p w14:paraId="2E0BAC9F" w14:textId="77777777" w:rsidR="001E7795" w:rsidRPr="001E7795" w:rsidRDefault="001E7795" w:rsidP="001E7795">
      <w:pPr>
        <w:rPr>
          <w:lang w:val="en-GB"/>
        </w:rPr>
      </w:pPr>
      <w:r w:rsidRPr="001E7795">
        <w:rPr>
          <w:lang w:val="en-GB"/>
        </w:rPr>
        <w:t>Dr Cassandra Goldie AO</w:t>
      </w:r>
      <w:r w:rsidRPr="001E7795">
        <w:rPr>
          <w:lang w:val="en-GB"/>
        </w:rPr>
        <w:br/>
        <w:t>Australian Council of Social Service</w:t>
      </w:r>
    </w:p>
    <w:p w14:paraId="10EA2CD3" w14:textId="77777777" w:rsidR="001E7795" w:rsidRPr="001E7795" w:rsidRDefault="001E7795" w:rsidP="001E7795">
      <w:pPr>
        <w:rPr>
          <w:lang w:val="en-GB"/>
        </w:rPr>
      </w:pPr>
      <w:r w:rsidRPr="001E7795">
        <w:rPr>
          <w:lang w:val="en-GB"/>
        </w:rPr>
        <w:t xml:space="preserve">Dr Angela Jackson </w:t>
      </w:r>
      <w:r w:rsidRPr="001E7795">
        <w:rPr>
          <w:lang w:val="en-GB"/>
        </w:rPr>
        <w:br/>
        <w:t>Impact Economics and Policy</w:t>
      </w:r>
    </w:p>
    <w:p w14:paraId="02C6650F" w14:textId="77777777" w:rsidR="001E7795" w:rsidRPr="001E7795" w:rsidRDefault="001E7795" w:rsidP="001E7795">
      <w:pPr>
        <w:rPr>
          <w:lang w:val="en-GB"/>
        </w:rPr>
      </w:pPr>
      <w:r w:rsidRPr="001E7795">
        <w:rPr>
          <w:lang w:val="en-GB"/>
        </w:rPr>
        <w:t xml:space="preserve">Mr Travers McLeod </w:t>
      </w:r>
      <w:r w:rsidRPr="001E7795">
        <w:rPr>
          <w:lang w:val="en-GB"/>
        </w:rPr>
        <w:br/>
        <w:t>Brotherhood of St Laurence</w:t>
      </w:r>
    </w:p>
    <w:p w14:paraId="101FB217" w14:textId="77777777" w:rsidR="001E7795" w:rsidRPr="001E7795" w:rsidRDefault="001E7795" w:rsidP="001E7795">
      <w:pPr>
        <w:rPr>
          <w:lang w:val="en-GB"/>
        </w:rPr>
      </w:pPr>
      <w:r w:rsidRPr="001E7795">
        <w:rPr>
          <w:lang w:val="en-GB"/>
        </w:rPr>
        <w:t>Ms Sally McManus</w:t>
      </w:r>
      <w:r w:rsidRPr="001E7795">
        <w:rPr>
          <w:lang w:val="en-GB"/>
        </w:rPr>
        <w:br/>
        <w:t xml:space="preserve">Australian Council of Trade Unions </w:t>
      </w:r>
    </w:p>
    <w:p w14:paraId="2AFFD455" w14:textId="77777777" w:rsidR="001E7795" w:rsidRPr="001E7795" w:rsidRDefault="001E7795" w:rsidP="001E7795">
      <w:pPr>
        <w:rPr>
          <w:lang w:val="en-GB"/>
        </w:rPr>
      </w:pPr>
      <w:r w:rsidRPr="001E7795">
        <w:rPr>
          <w:lang w:val="en-GB"/>
        </w:rPr>
        <w:t>Associate Professor Ben Phillips</w:t>
      </w:r>
      <w:r w:rsidRPr="001E7795">
        <w:rPr>
          <w:lang w:val="en-GB"/>
        </w:rPr>
        <w:br/>
        <w:t xml:space="preserve">Australian National University </w:t>
      </w:r>
    </w:p>
    <w:p w14:paraId="33817F4C" w14:textId="77777777" w:rsidR="001E7795" w:rsidRPr="001E7795" w:rsidRDefault="001E7795" w:rsidP="001E7795">
      <w:pPr>
        <w:rPr>
          <w:lang w:val="en-GB"/>
        </w:rPr>
      </w:pPr>
      <w:r w:rsidRPr="001E7795">
        <w:rPr>
          <w:lang w:val="en-GB"/>
        </w:rPr>
        <w:t xml:space="preserve">Ms Leah van Poppel </w:t>
      </w:r>
      <w:r w:rsidRPr="001E7795">
        <w:rPr>
          <w:lang w:val="en-GB"/>
        </w:rPr>
        <w:br/>
        <w:t>Independent Advisory Council to the NDIS</w:t>
      </w:r>
    </w:p>
    <w:p w14:paraId="09FD45DA" w14:textId="77777777" w:rsidR="001E7795" w:rsidRPr="001E7795" w:rsidRDefault="001E7795" w:rsidP="001E7795">
      <w:pPr>
        <w:rPr>
          <w:lang w:val="en-GB"/>
        </w:rPr>
      </w:pPr>
      <w:r w:rsidRPr="001E7795">
        <w:rPr>
          <w:lang w:val="en-GB"/>
        </w:rPr>
        <w:t xml:space="preserve">Professor Peter Whiteford </w:t>
      </w:r>
      <w:r w:rsidRPr="001E7795">
        <w:rPr>
          <w:lang w:val="en-GB"/>
        </w:rPr>
        <w:br/>
        <w:t>Australian National University</w:t>
      </w:r>
    </w:p>
    <w:p w14:paraId="072256FC" w14:textId="79F1ECE6" w:rsidR="001E7795" w:rsidRPr="001E7795" w:rsidRDefault="001E7795" w:rsidP="001E7795">
      <w:pPr>
        <w:pStyle w:val="Heading4"/>
      </w:pPr>
      <w:r>
        <w:t>Ex-Officio</w:t>
      </w:r>
      <w:r w:rsidRPr="001E7795">
        <w:t xml:space="preserve"> Members</w:t>
      </w:r>
    </w:p>
    <w:p w14:paraId="4B6FBDDD" w14:textId="77777777" w:rsidR="001E7795" w:rsidRPr="001E7795" w:rsidRDefault="001E7795" w:rsidP="001E7795">
      <w:pPr>
        <w:rPr>
          <w:lang w:val="en-GB"/>
        </w:rPr>
      </w:pPr>
      <w:r w:rsidRPr="001E7795">
        <w:rPr>
          <w:lang w:val="en-GB"/>
        </w:rPr>
        <w:t>Dr Steven Kennedy PSM</w:t>
      </w:r>
      <w:r w:rsidRPr="001E7795">
        <w:rPr>
          <w:lang w:val="en-GB"/>
        </w:rPr>
        <w:br/>
        <w:t>Secretary to the Treasury</w:t>
      </w:r>
    </w:p>
    <w:p w14:paraId="0B1DEBB0" w14:textId="511A387A" w:rsidR="001E7795" w:rsidRPr="001E7795" w:rsidRDefault="001E7795" w:rsidP="001E7795">
      <w:pPr>
        <w:rPr>
          <w:lang w:val="en-GB"/>
        </w:rPr>
      </w:pPr>
      <w:r w:rsidRPr="001E7795">
        <w:rPr>
          <w:lang w:val="en-GB"/>
        </w:rPr>
        <w:t>Mr Ray Griggs AO CSC</w:t>
      </w:r>
      <w:r w:rsidRPr="001E7795">
        <w:rPr>
          <w:lang w:val="en-GB"/>
        </w:rPr>
        <w:br/>
        <w:t>Secretary Department of Social Services</w:t>
      </w:r>
    </w:p>
    <w:p w14:paraId="15E76CA6" w14:textId="77777777" w:rsidR="001E7795" w:rsidRPr="001E7795" w:rsidRDefault="001E7795" w:rsidP="001E7795">
      <w:pPr>
        <w:pStyle w:val="Heading2"/>
      </w:pPr>
      <w:bookmarkStart w:id="68" w:name="_Toc165366894"/>
      <w:r w:rsidRPr="001E7795">
        <w:t>Appendix B - Economic Inclusion Advisory Committee Act 2023</w:t>
      </w:r>
      <w:bookmarkEnd w:id="68"/>
      <w:r w:rsidRPr="001E7795">
        <w:t xml:space="preserve"> </w:t>
      </w:r>
    </w:p>
    <w:p w14:paraId="2BEDCA85" w14:textId="78934994" w:rsidR="001E7795" w:rsidRPr="001E7795" w:rsidRDefault="001E7795" w:rsidP="001E7795">
      <w:pPr>
        <w:rPr>
          <w:lang w:val="en-US"/>
        </w:rPr>
      </w:pPr>
      <w:r w:rsidRPr="001E7795">
        <w:rPr>
          <w:lang w:val="en-US"/>
        </w:rPr>
        <w:t xml:space="preserve">See Attached PDF. </w:t>
      </w:r>
    </w:p>
    <w:p w14:paraId="5C7F280E" w14:textId="77777777" w:rsidR="001E7795" w:rsidRPr="001E7795" w:rsidRDefault="001E7795" w:rsidP="001E7795">
      <w:pPr>
        <w:pStyle w:val="Heading2"/>
        <w:rPr>
          <w:lang w:val="en-US"/>
        </w:rPr>
      </w:pPr>
      <w:bookmarkStart w:id="69" w:name="_Toc165366895"/>
      <w:r w:rsidRPr="001E7795">
        <w:rPr>
          <w:lang w:val="en-US"/>
        </w:rPr>
        <w:t>Appendix C - Additional data for Economic Inclusion Framework</w:t>
      </w:r>
      <w:bookmarkEnd w:id="69"/>
    </w:p>
    <w:p w14:paraId="153095D4" w14:textId="77777777" w:rsidR="001E7795" w:rsidRPr="001E7795" w:rsidRDefault="001E7795" w:rsidP="001E7795">
      <w:pPr>
        <w:rPr>
          <w:lang w:val="en-GB"/>
        </w:rPr>
      </w:pPr>
      <w:r w:rsidRPr="001E7795">
        <w:rPr>
          <w:lang w:val="en-GB"/>
        </w:rPr>
        <w:t>This attachment provides greater detail on selected measures in the Economic Inclusion Framework:</w:t>
      </w:r>
    </w:p>
    <w:p w14:paraId="03F09958" w14:textId="77777777" w:rsidR="001E7795" w:rsidRPr="001E7795" w:rsidRDefault="001E7795" w:rsidP="001E7795">
      <w:pPr>
        <w:pStyle w:val="ListBullet"/>
        <w:rPr>
          <w:lang w:val="en-GB"/>
        </w:rPr>
      </w:pPr>
      <w:r w:rsidRPr="001E7795">
        <w:rPr>
          <w:lang w:val="en-GB"/>
        </w:rPr>
        <w:t>Poverty measures and social security rates</w:t>
      </w:r>
    </w:p>
    <w:p w14:paraId="403788B4" w14:textId="77777777" w:rsidR="001E7795" w:rsidRPr="001E7795" w:rsidRDefault="001E7795" w:rsidP="001E7795">
      <w:pPr>
        <w:pStyle w:val="ListBullet"/>
        <w:rPr>
          <w:lang w:val="en-GB"/>
        </w:rPr>
      </w:pPr>
      <w:r w:rsidRPr="001E7795">
        <w:rPr>
          <w:lang w:val="en-GB"/>
        </w:rPr>
        <w:t>Financial stress and deprivation</w:t>
      </w:r>
    </w:p>
    <w:p w14:paraId="2D844306" w14:textId="77777777" w:rsidR="001E7795" w:rsidRPr="001E7795" w:rsidRDefault="001E7795" w:rsidP="001E7795">
      <w:pPr>
        <w:pStyle w:val="ListBullet"/>
        <w:rPr>
          <w:lang w:val="en-GB"/>
        </w:rPr>
      </w:pPr>
      <w:r w:rsidRPr="001E7795">
        <w:rPr>
          <w:lang w:val="en-GB"/>
        </w:rPr>
        <w:lastRenderedPageBreak/>
        <w:t>Income growth and income inequality</w:t>
      </w:r>
    </w:p>
    <w:p w14:paraId="460C0AA8" w14:textId="77777777" w:rsidR="001E7795" w:rsidRPr="001E7795" w:rsidRDefault="001E7795" w:rsidP="001E7795">
      <w:pPr>
        <w:pStyle w:val="ListBullet"/>
        <w:rPr>
          <w:lang w:val="en-GB"/>
        </w:rPr>
      </w:pPr>
      <w:r w:rsidRPr="001E7795">
        <w:rPr>
          <w:lang w:val="en-GB"/>
        </w:rPr>
        <w:t>Housing stress.</w:t>
      </w:r>
    </w:p>
    <w:p w14:paraId="5701A1D3" w14:textId="69AD3404" w:rsidR="001E7795" w:rsidRPr="001E7795" w:rsidRDefault="001E7795" w:rsidP="001E7795">
      <w:pPr>
        <w:pStyle w:val="Heading4"/>
      </w:pPr>
      <w:r w:rsidRPr="001E7795">
        <w:t>Poverty measures and social security rates</w:t>
      </w:r>
    </w:p>
    <w:p w14:paraId="74AA10D6" w14:textId="77777777" w:rsidR="001E7795" w:rsidRPr="001E7795" w:rsidRDefault="001E7795" w:rsidP="001E7795">
      <w:pPr>
        <w:rPr>
          <w:lang w:val="en-GB"/>
        </w:rPr>
      </w:pPr>
      <w:r w:rsidRPr="001E7795">
        <w:rPr>
          <w:lang w:val="en-GB"/>
        </w:rPr>
        <w:t xml:space="preserve">Charts 1 to 4 provide an overview of selected poverty measures since 2000, along with comparisons to primary working age and pension payments. </w:t>
      </w:r>
    </w:p>
    <w:p w14:paraId="3B54E53E" w14:textId="77777777" w:rsidR="001E7795" w:rsidRPr="001E7795" w:rsidRDefault="001E7795" w:rsidP="001E7795">
      <w:pPr>
        <w:rPr>
          <w:lang w:val="en-GB"/>
        </w:rPr>
      </w:pPr>
      <w:r w:rsidRPr="001E7795">
        <w:rPr>
          <w:lang w:val="en-GB"/>
        </w:rPr>
        <w:t xml:space="preserve">The following poverty measures were compared against selected social security payments over time, from January 2000 to December 2023. All figures used are as at December 2023 prices. </w:t>
      </w:r>
    </w:p>
    <w:p w14:paraId="42EB4CF8" w14:textId="77777777" w:rsidR="001E7795" w:rsidRPr="001E7795" w:rsidRDefault="001E7795" w:rsidP="001E7795">
      <w:pPr>
        <w:pStyle w:val="Heading4"/>
      </w:pPr>
      <w:r w:rsidRPr="001E7795">
        <w:t>Poverty measures</w:t>
      </w:r>
    </w:p>
    <w:p w14:paraId="57F4B0F1" w14:textId="77777777" w:rsidR="001E7795" w:rsidRPr="001E7795" w:rsidRDefault="001E7795" w:rsidP="001E7795">
      <w:pPr>
        <w:pStyle w:val="ListBullet"/>
      </w:pPr>
      <w:r w:rsidRPr="001E7795">
        <w:t>ABS 50% of median Equivalised Disposable Household Income (EDHI)</w:t>
      </w:r>
    </w:p>
    <w:p w14:paraId="6134E823" w14:textId="77777777" w:rsidR="001E7795" w:rsidRPr="001E7795" w:rsidRDefault="001E7795" w:rsidP="001E7795">
      <w:pPr>
        <w:pStyle w:val="ListBullet"/>
      </w:pPr>
      <w:r w:rsidRPr="001E7795">
        <w:t>Household and Income Labour Dynamics in Australia (HILDA) Survey – 50% of median EDHI</w:t>
      </w:r>
    </w:p>
    <w:p w14:paraId="45BA77B5" w14:textId="77777777" w:rsidR="001E7795" w:rsidRPr="001E7795" w:rsidRDefault="001E7795" w:rsidP="001E7795">
      <w:pPr>
        <w:pStyle w:val="ListBullet"/>
      </w:pPr>
      <w:r w:rsidRPr="001E7795">
        <w:t>Budget Standards for single unemployed, before housing costs</w:t>
      </w:r>
    </w:p>
    <w:p w14:paraId="1D8F314C" w14:textId="77777777" w:rsidR="001E7795" w:rsidRPr="001E7795" w:rsidRDefault="001E7795" w:rsidP="001E7795">
      <w:pPr>
        <w:pStyle w:val="ListBullet"/>
      </w:pPr>
      <w:r w:rsidRPr="001E7795">
        <w:t>Henderson Poverty Line, single, head not in the workforce, before housing costs</w:t>
      </w:r>
    </w:p>
    <w:p w14:paraId="19630295" w14:textId="77777777" w:rsidR="001E7795" w:rsidRPr="001E7795" w:rsidRDefault="001E7795" w:rsidP="001E7795">
      <w:pPr>
        <w:pStyle w:val="Heading4"/>
      </w:pPr>
      <w:r w:rsidRPr="001E7795">
        <w:t>Social security payments</w:t>
      </w:r>
    </w:p>
    <w:p w14:paraId="0666DD08" w14:textId="77777777" w:rsidR="001E7795" w:rsidRPr="001E7795" w:rsidRDefault="001E7795" w:rsidP="001E7795">
      <w:pPr>
        <w:pStyle w:val="ListBullet"/>
      </w:pPr>
      <w:r w:rsidRPr="001E7795">
        <w:t>JobSeeker Payment – single</w:t>
      </w:r>
    </w:p>
    <w:p w14:paraId="333A39A6" w14:textId="77777777" w:rsidR="001E7795" w:rsidRPr="001E7795" w:rsidRDefault="001E7795" w:rsidP="001E7795">
      <w:pPr>
        <w:pStyle w:val="ListBullet"/>
      </w:pPr>
      <w:r w:rsidRPr="001E7795">
        <w:t>Austudy – single</w:t>
      </w:r>
    </w:p>
    <w:p w14:paraId="4B4BC5D7" w14:textId="476C27EE" w:rsidR="001E7795" w:rsidRPr="001E7795" w:rsidRDefault="001E7795" w:rsidP="001E7795">
      <w:pPr>
        <w:pStyle w:val="ListBullet"/>
      </w:pPr>
      <w:r w:rsidRPr="001E7795">
        <w:t>Age Pension – single</w:t>
      </w:r>
    </w:p>
    <w:p w14:paraId="34F1A44B" w14:textId="77777777" w:rsidR="001E7795" w:rsidRPr="001E7795" w:rsidRDefault="001E7795" w:rsidP="001E7795">
      <w:pPr>
        <w:rPr>
          <w:lang w:val="en-GB"/>
        </w:rPr>
      </w:pPr>
      <w:r w:rsidRPr="001E7795">
        <w:rPr>
          <w:lang w:val="en-GB"/>
        </w:rPr>
        <w:t xml:space="preserve">Where possible, the closest ‘like-for-like’ comparisons between poverty measures and social security payment rates have been made with the latest available data. </w:t>
      </w:r>
    </w:p>
    <w:p w14:paraId="3538AD42" w14:textId="77777777" w:rsidR="001E7795" w:rsidRPr="001E7795" w:rsidRDefault="001E7795" w:rsidP="001E7795">
      <w:pPr>
        <w:rPr>
          <w:lang w:val="en-GB"/>
        </w:rPr>
      </w:pPr>
      <w:r w:rsidRPr="001E7795">
        <w:rPr>
          <w:lang w:val="en-GB"/>
        </w:rPr>
        <w:t>Changes in relative income and other poverty measurement indices over time reflect individual calculation methods, indexation methods of payments and measures, and may not reflect actual changes in circumstances for any individual or household.</w:t>
      </w:r>
    </w:p>
    <w:p w14:paraId="5A5B98EA" w14:textId="77777777" w:rsidR="001E7795" w:rsidRPr="001E7795" w:rsidRDefault="001E7795" w:rsidP="001E7795">
      <w:pPr>
        <w:rPr>
          <w:lang w:val="en-GB"/>
        </w:rPr>
      </w:pPr>
      <w:r w:rsidRPr="001E7795">
        <w:rPr>
          <w:lang w:val="en-GB"/>
        </w:rPr>
        <w:t>Care should be taken in assessing the comparisons with Budget Standards, as noted in the most recent report of the Social Policy Research Centre for the Research for the Annual Wage Review 2022–23 | Fair Work Commission (fwc.gov.au), as ‘beyond the seven-year time horizon, it is preferable to review and revise the entire budgets to ensure that items, quantities and lifetimes as well as prices are reviewed and adjusted to reflect changes in community norms and average living standards’).</w:t>
      </w:r>
      <w:r w:rsidRPr="001E7795">
        <w:rPr>
          <w:lang w:val="en-GB"/>
        </w:rPr>
        <w:footnoteReference w:id="117"/>
      </w:r>
    </w:p>
    <w:p w14:paraId="07061DFB" w14:textId="77777777" w:rsidR="001E7795" w:rsidRPr="001E7795" w:rsidRDefault="001E7795" w:rsidP="001E7795">
      <w:pPr>
        <w:rPr>
          <w:lang w:val="en-GB"/>
        </w:rPr>
      </w:pPr>
      <w:r w:rsidRPr="001E7795">
        <w:rPr>
          <w:lang w:val="en-GB"/>
        </w:rPr>
        <w:t xml:space="preserve">See Attached Word Document for charts and tables. </w:t>
      </w:r>
    </w:p>
    <w:p w14:paraId="10B8D8EA" w14:textId="77777777" w:rsidR="001E7795" w:rsidRPr="001E7795" w:rsidRDefault="001E7795" w:rsidP="001E7795">
      <w:pPr>
        <w:pStyle w:val="Heading2"/>
      </w:pPr>
      <w:bookmarkStart w:id="70" w:name="_Toc165366896"/>
      <w:r w:rsidRPr="001E7795">
        <w:t>Appendix D - Aboriginal and Torres Strait Islander Housing Review</w:t>
      </w:r>
      <w:bookmarkEnd w:id="70"/>
      <w:r w:rsidRPr="001E7795">
        <w:t xml:space="preserve"> </w:t>
      </w:r>
    </w:p>
    <w:p w14:paraId="00028A5C" w14:textId="77777777" w:rsidR="009F4EDC" w:rsidRDefault="001E7795" w:rsidP="009A10E4">
      <w:pPr>
        <w:rPr>
          <w:lang w:val="en-US"/>
        </w:rPr>
        <w:sectPr w:rsidR="009F4EDC" w:rsidSect="0039440B">
          <w:headerReference w:type="first" r:id="rId51"/>
          <w:footerReference w:type="first" r:id="rId52"/>
          <w:pgSz w:w="11906" w:h="16838"/>
          <w:pgMar w:top="1440" w:right="1440" w:bottom="1440" w:left="1440" w:header="708" w:footer="708" w:gutter="0"/>
          <w:cols w:space="708"/>
          <w:titlePg/>
          <w:docGrid w:linePitch="360"/>
        </w:sectPr>
      </w:pPr>
      <w:r w:rsidRPr="001E7795">
        <w:rPr>
          <w:lang w:val="en-US"/>
        </w:rPr>
        <w:t>See Attached PDF.</w:t>
      </w:r>
    </w:p>
    <w:p w14:paraId="524F0375" w14:textId="77777777" w:rsidR="00811887" w:rsidRDefault="00811887" w:rsidP="00811887">
      <w:pPr>
        <w:pStyle w:val="BodyText"/>
        <w:ind w:left="1702"/>
        <w:rPr>
          <w:rFonts w:ascii="Times New Roman"/>
        </w:rPr>
      </w:pPr>
      <w:r>
        <w:rPr>
          <w:rFonts w:ascii="Times New Roman"/>
          <w:noProof/>
        </w:rPr>
        <w:lastRenderedPageBreak/>
        <w:drawing>
          <wp:inline distT="0" distB="0" distL="0" distR="0" wp14:anchorId="5D26905A" wp14:editId="2B7CB9A5">
            <wp:extent cx="1357971" cy="955167"/>
            <wp:effectExtent l="0" t="0" r="0" b="0"/>
            <wp:docPr id="2" name="Image 2" descr="Commonwealth Coat of Arms of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ommonwealth Coat of Arms of Australia"/>
                    <pic:cNvPicPr/>
                  </pic:nvPicPr>
                  <pic:blipFill>
                    <a:blip r:embed="rId53" cstate="print"/>
                    <a:stretch>
                      <a:fillRect/>
                    </a:stretch>
                  </pic:blipFill>
                  <pic:spPr>
                    <a:xfrm>
                      <a:off x="0" y="0"/>
                      <a:ext cx="1357971" cy="955167"/>
                    </a:xfrm>
                    <a:prstGeom prst="rect">
                      <a:avLst/>
                    </a:prstGeom>
                  </pic:spPr>
                </pic:pic>
              </a:graphicData>
            </a:graphic>
          </wp:inline>
        </w:drawing>
      </w:r>
    </w:p>
    <w:p w14:paraId="3C447DC4" w14:textId="77777777" w:rsidR="00811887" w:rsidRDefault="00811887" w:rsidP="00811887">
      <w:pPr>
        <w:pStyle w:val="BodyText"/>
        <w:rPr>
          <w:rFonts w:ascii="Times New Roman"/>
          <w:sz w:val="40"/>
        </w:rPr>
      </w:pPr>
    </w:p>
    <w:p w14:paraId="2A998F03" w14:textId="77777777" w:rsidR="00811887" w:rsidRDefault="00811887" w:rsidP="00811887">
      <w:pPr>
        <w:pStyle w:val="BodyText"/>
        <w:rPr>
          <w:rFonts w:ascii="Times New Roman"/>
          <w:sz w:val="40"/>
        </w:rPr>
      </w:pPr>
    </w:p>
    <w:p w14:paraId="60103284" w14:textId="77777777" w:rsidR="00811887" w:rsidRDefault="00811887" w:rsidP="00811887">
      <w:pPr>
        <w:pStyle w:val="BodyText"/>
        <w:spacing w:before="194"/>
        <w:rPr>
          <w:rFonts w:ascii="Times New Roman"/>
          <w:sz w:val="40"/>
        </w:rPr>
      </w:pPr>
    </w:p>
    <w:p w14:paraId="686ED648" w14:textId="77777777" w:rsidR="00811887" w:rsidRDefault="00811887" w:rsidP="00811887">
      <w:pPr>
        <w:ind w:left="1670" w:right="1757"/>
        <w:rPr>
          <w:rFonts w:ascii="Times New Roman"/>
          <w:b/>
          <w:sz w:val="40"/>
        </w:rPr>
      </w:pPr>
      <w:bookmarkStart w:id="71" w:name="Bookmarks"/>
      <w:bookmarkEnd w:id="71"/>
      <w:r>
        <w:rPr>
          <w:rFonts w:ascii="Times New Roman"/>
          <w:b/>
          <w:sz w:val="40"/>
        </w:rPr>
        <w:t>Economic</w:t>
      </w:r>
      <w:r>
        <w:rPr>
          <w:rFonts w:ascii="Times New Roman"/>
          <w:b/>
          <w:spacing w:val="-12"/>
          <w:sz w:val="40"/>
        </w:rPr>
        <w:t xml:space="preserve"> </w:t>
      </w:r>
      <w:r>
        <w:rPr>
          <w:rFonts w:ascii="Times New Roman"/>
          <w:b/>
          <w:sz w:val="40"/>
        </w:rPr>
        <w:t>Inclusion</w:t>
      </w:r>
      <w:r>
        <w:rPr>
          <w:rFonts w:ascii="Times New Roman"/>
          <w:b/>
          <w:spacing w:val="-11"/>
          <w:sz w:val="40"/>
        </w:rPr>
        <w:t xml:space="preserve"> </w:t>
      </w:r>
      <w:r>
        <w:rPr>
          <w:rFonts w:ascii="Times New Roman"/>
          <w:b/>
          <w:sz w:val="40"/>
        </w:rPr>
        <w:t>Advisory</w:t>
      </w:r>
      <w:r>
        <w:rPr>
          <w:rFonts w:ascii="Times New Roman"/>
          <w:b/>
          <w:spacing w:val="-11"/>
          <w:sz w:val="40"/>
        </w:rPr>
        <w:t xml:space="preserve"> </w:t>
      </w:r>
      <w:r>
        <w:rPr>
          <w:rFonts w:ascii="Times New Roman"/>
          <w:b/>
          <w:sz w:val="40"/>
        </w:rPr>
        <w:t>Committee Act 2023</w:t>
      </w:r>
    </w:p>
    <w:p w14:paraId="7F1F6A4F" w14:textId="77777777" w:rsidR="00811887" w:rsidRDefault="00811887" w:rsidP="00811887">
      <w:pPr>
        <w:pStyle w:val="BodyText"/>
        <w:spacing w:before="200"/>
        <w:rPr>
          <w:rFonts w:ascii="Times New Roman"/>
          <w:b/>
          <w:sz w:val="40"/>
        </w:rPr>
      </w:pPr>
    </w:p>
    <w:p w14:paraId="733E56F3" w14:textId="77777777" w:rsidR="00811887" w:rsidRDefault="00811887" w:rsidP="00811887">
      <w:pPr>
        <w:ind w:left="1670"/>
        <w:rPr>
          <w:rFonts w:ascii="Times New Roman"/>
          <w:b/>
          <w:sz w:val="40"/>
        </w:rPr>
      </w:pPr>
      <w:r>
        <w:rPr>
          <w:rFonts w:ascii="Times New Roman"/>
          <w:b/>
          <w:sz w:val="40"/>
        </w:rPr>
        <w:t>No.</w:t>
      </w:r>
      <w:r>
        <w:rPr>
          <w:rFonts w:ascii="Times New Roman"/>
          <w:b/>
          <w:spacing w:val="-4"/>
          <w:sz w:val="40"/>
        </w:rPr>
        <w:t xml:space="preserve"> </w:t>
      </w:r>
      <w:r>
        <w:rPr>
          <w:rFonts w:ascii="Times New Roman"/>
          <w:b/>
          <w:sz w:val="40"/>
        </w:rPr>
        <w:t xml:space="preserve">112, </w:t>
      </w:r>
      <w:r>
        <w:rPr>
          <w:rFonts w:ascii="Times New Roman"/>
          <w:b/>
          <w:spacing w:val="-4"/>
          <w:sz w:val="40"/>
        </w:rPr>
        <w:t>2023</w:t>
      </w:r>
    </w:p>
    <w:p w14:paraId="399AAB07" w14:textId="77777777" w:rsidR="00811887" w:rsidRDefault="00811887" w:rsidP="00811887">
      <w:pPr>
        <w:pStyle w:val="BodyText"/>
        <w:rPr>
          <w:rFonts w:ascii="Times New Roman"/>
          <w:b/>
          <w:sz w:val="40"/>
        </w:rPr>
      </w:pPr>
    </w:p>
    <w:p w14:paraId="7DA00408" w14:textId="77777777" w:rsidR="00811887" w:rsidRDefault="00811887" w:rsidP="00811887">
      <w:pPr>
        <w:pStyle w:val="BodyText"/>
        <w:spacing w:before="380"/>
        <w:rPr>
          <w:rFonts w:ascii="Times New Roman"/>
          <w:b/>
          <w:sz w:val="40"/>
        </w:rPr>
      </w:pPr>
    </w:p>
    <w:p w14:paraId="7EC79499" w14:textId="77777777" w:rsidR="00811887" w:rsidRDefault="00811887" w:rsidP="00811887">
      <w:pPr>
        <w:pStyle w:val="Heading3"/>
        <w:ind w:left="1673" w:right="1758"/>
      </w:pPr>
      <w:r>
        <w:t>An Act to establish the Economic Inclusion Advisory</w:t>
      </w:r>
      <w:r>
        <w:rPr>
          <w:spacing w:val="-8"/>
        </w:rPr>
        <w:t xml:space="preserve"> </w:t>
      </w:r>
      <w:r>
        <w:t>Committee,</w:t>
      </w:r>
      <w:r>
        <w:rPr>
          <w:spacing w:val="-10"/>
        </w:rPr>
        <w:t xml:space="preserve"> </w:t>
      </w:r>
      <w:r>
        <w:t>and</w:t>
      </w:r>
      <w:r>
        <w:rPr>
          <w:spacing w:val="-6"/>
        </w:rPr>
        <w:t xml:space="preserve"> </w:t>
      </w:r>
      <w:r>
        <w:t>for</w:t>
      </w:r>
      <w:r>
        <w:rPr>
          <w:spacing w:val="-7"/>
        </w:rPr>
        <w:t xml:space="preserve"> </w:t>
      </w:r>
      <w:r>
        <w:t>related</w:t>
      </w:r>
      <w:r>
        <w:rPr>
          <w:spacing w:val="-5"/>
        </w:rPr>
        <w:t xml:space="preserve"> </w:t>
      </w:r>
      <w:r>
        <w:t>purposes</w:t>
      </w:r>
    </w:p>
    <w:p w14:paraId="499CAEC9" w14:textId="77777777" w:rsidR="00811887" w:rsidRDefault="00811887" w:rsidP="00811887">
      <w:pPr>
        <w:pStyle w:val="BodyText"/>
        <w:rPr>
          <w:rFonts w:ascii="Times New Roman"/>
          <w:b/>
          <w:sz w:val="18"/>
        </w:rPr>
      </w:pPr>
    </w:p>
    <w:p w14:paraId="1AEA42F1" w14:textId="77777777" w:rsidR="00811887" w:rsidRDefault="00811887" w:rsidP="00811887">
      <w:pPr>
        <w:pStyle w:val="BodyText"/>
        <w:rPr>
          <w:rFonts w:ascii="Times New Roman"/>
          <w:b/>
          <w:sz w:val="18"/>
        </w:rPr>
      </w:pPr>
    </w:p>
    <w:p w14:paraId="2816DCF0" w14:textId="77777777" w:rsidR="00811887" w:rsidRDefault="00811887" w:rsidP="00811887">
      <w:pPr>
        <w:pStyle w:val="BodyText"/>
        <w:rPr>
          <w:rFonts w:ascii="Times New Roman"/>
          <w:b/>
          <w:sz w:val="18"/>
        </w:rPr>
      </w:pPr>
    </w:p>
    <w:p w14:paraId="10269E4F" w14:textId="77777777" w:rsidR="00811887" w:rsidRDefault="00811887" w:rsidP="00811887">
      <w:pPr>
        <w:pStyle w:val="BodyText"/>
        <w:rPr>
          <w:rFonts w:ascii="Times New Roman"/>
          <w:b/>
          <w:sz w:val="18"/>
        </w:rPr>
      </w:pPr>
    </w:p>
    <w:p w14:paraId="3493FC3D" w14:textId="77777777" w:rsidR="00811887" w:rsidRDefault="00811887" w:rsidP="00811887">
      <w:pPr>
        <w:pStyle w:val="BodyText"/>
        <w:rPr>
          <w:rFonts w:ascii="Times New Roman"/>
          <w:b/>
          <w:sz w:val="18"/>
        </w:rPr>
      </w:pPr>
    </w:p>
    <w:p w14:paraId="2C408B33" w14:textId="77777777" w:rsidR="00811887" w:rsidRDefault="00811887" w:rsidP="00811887">
      <w:pPr>
        <w:pStyle w:val="BodyText"/>
        <w:rPr>
          <w:rFonts w:ascii="Times New Roman"/>
          <w:b/>
          <w:sz w:val="18"/>
        </w:rPr>
      </w:pPr>
    </w:p>
    <w:p w14:paraId="4328F19A" w14:textId="77777777" w:rsidR="00811887" w:rsidRDefault="00811887" w:rsidP="00811887">
      <w:pPr>
        <w:pStyle w:val="BodyText"/>
        <w:rPr>
          <w:rFonts w:ascii="Times New Roman"/>
          <w:b/>
          <w:sz w:val="18"/>
        </w:rPr>
      </w:pPr>
    </w:p>
    <w:p w14:paraId="14C98521" w14:textId="77777777" w:rsidR="00811887" w:rsidRDefault="00811887" w:rsidP="00811887">
      <w:pPr>
        <w:pStyle w:val="BodyText"/>
        <w:rPr>
          <w:rFonts w:ascii="Times New Roman"/>
          <w:b/>
          <w:sz w:val="18"/>
        </w:rPr>
      </w:pPr>
    </w:p>
    <w:p w14:paraId="1204F0D9" w14:textId="77777777" w:rsidR="00811887" w:rsidRDefault="00811887" w:rsidP="00811887">
      <w:pPr>
        <w:pStyle w:val="BodyText"/>
        <w:rPr>
          <w:rFonts w:ascii="Times New Roman"/>
          <w:b/>
          <w:sz w:val="18"/>
        </w:rPr>
      </w:pPr>
    </w:p>
    <w:p w14:paraId="62986E9A" w14:textId="77777777" w:rsidR="00811887" w:rsidRDefault="00811887" w:rsidP="00811887">
      <w:pPr>
        <w:pStyle w:val="BodyText"/>
        <w:rPr>
          <w:rFonts w:ascii="Times New Roman"/>
          <w:b/>
          <w:sz w:val="18"/>
        </w:rPr>
      </w:pPr>
    </w:p>
    <w:p w14:paraId="0CD7E583" w14:textId="77777777" w:rsidR="00811887" w:rsidRDefault="00811887" w:rsidP="00811887">
      <w:pPr>
        <w:pStyle w:val="BodyText"/>
        <w:rPr>
          <w:rFonts w:ascii="Times New Roman"/>
          <w:b/>
          <w:sz w:val="18"/>
        </w:rPr>
      </w:pPr>
    </w:p>
    <w:p w14:paraId="518C84B7" w14:textId="77777777" w:rsidR="00811887" w:rsidRDefault="00811887" w:rsidP="00811887">
      <w:pPr>
        <w:pStyle w:val="BodyText"/>
        <w:rPr>
          <w:rFonts w:ascii="Times New Roman"/>
          <w:b/>
          <w:sz w:val="18"/>
        </w:rPr>
      </w:pPr>
    </w:p>
    <w:p w14:paraId="16CC4E2E" w14:textId="77777777" w:rsidR="00811887" w:rsidRDefault="00811887" w:rsidP="00811887">
      <w:pPr>
        <w:pStyle w:val="BodyText"/>
        <w:rPr>
          <w:rFonts w:ascii="Times New Roman"/>
          <w:b/>
          <w:sz w:val="18"/>
        </w:rPr>
      </w:pPr>
    </w:p>
    <w:p w14:paraId="36DFEB31" w14:textId="77777777" w:rsidR="00811887" w:rsidRDefault="00811887" w:rsidP="00811887">
      <w:pPr>
        <w:pStyle w:val="BodyText"/>
        <w:rPr>
          <w:rFonts w:ascii="Times New Roman"/>
          <w:b/>
          <w:sz w:val="18"/>
        </w:rPr>
      </w:pPr>
    </w:p>
    <w:p w14:paraId="474E7E48" w14:textId="77777777" w:rsidR="00811887" w:rsidRDefault="00811887" w:rsidP="00811887">
      <w:pPr>
        <w:pStyle w:val="BodyText"/>
        <w:rPr>
          <w:rFonts w:ascii="Times New Roman"/>
          <w:b/>
          <w:sz w:val="18"/>
        </w:rPr>
      </w:pPr>
    </w:p>
    <w:p w14:paraId="294F74F0" w14:textId="77777777" w:rsidR="00811887" w:rsidRDefault="00811887" w:rsidP="00811887">
      <w:pPr>
        <w:pStyle w:val="BodyText"/>
        <w:rPr>
          <w:rFonts w:ascii="Times New Roman"/>
          <w:b/>
          <w:sz w:val="18"/>
        </w:rPr>
      </w:pPr>
    </w:p>
    <w:p w14:paraId="6845DA6D" w14:textId="77777777" w:rsidR="00811887" w:rsidRDefault="00811887" w:rsidP="00811887">
      <w:pPr>
        <w:pStyle w:val="BodyText"/>
        <w:spacing w:before="47"/>
        <w:rPr>
          <w:rFonts w:ascii="Times New Roman"/>
          <w:b/>
          <w:sz w:val="18"/>
        </w:rPr>
      </w:pPr>
    </w:p>
    <w:p w14:paraId="5AD96D20" w14:textId="77777777" w:rsidR="00811887" w:rsidRDefault="00811887" w:rsidP="00811887">
      <w:pPr>
        <w:spacing w:before="1"/>
        <w:ind w:left="1670" w:right="1757"/>
        <w:rPr>
          <w:rFonts w:ascii="Times New Roman"/>
          <w:sz w:val="18"/>
        </w:rPr>
      </w:pPr>
      <w:r>
        <w:rPr>
          <w:rFonts w:ascii="Times New Roman"/>
          <w:sz w:val="18"/>
        </w:rPr>
        <w:t>Note:</w:t>
      </w:r>
      <w:r>
        <w:rPr>
          <w:rFonts w:ascii="Times New Roman"/>
          <w:spacing w:val="-3"/>
          <w:sz w:val="18"/>
        </w:rPr>
        <w:t xml:space="preserve"> </w:t>
      </w:r>
      <w:r>
        <w:rPr>
          <w:rFonts w:ascii="Times New Roman"/>
          <w:sz w:val="18"/>
        </w:rPr>
        <w:t>An</w:t>
      </w:r>
      <w:r>
        <w:rPr>
          <w:rFonts w:ascii="Times New Roman"/>
          <w:spacing w:val="-2"/>
          <w:sz w:val="18"/>
        </w:rPr>
        <w:t xml:space="preserve"> </w:t>
      </w:r>
      <w:r>
        <w:rPr>
          <w:rFonts w:ascii="Times New Roman"/>
          <w:sz w:val="18"/>
        </w:rPr>
        <w:t>electronic</w:t>
      </w:r>
      <w:r>
        <w:rPr>
          <w:rFonts w:ascii="Times New Roman"/>
          <w:spacing w:val="-3"/>
          <w:sz w:val="18"/>
        </w:rPr>
        <w:t xml:space="preserve"> </w:t>
      </w:r>
      <w:r>
        <w:rPr>
          <w:rFonts w:ascii="Times New Roman"/>
          <w:sz w:val="18"/>
        </w:rPr>
        <w:t>version</w:t>
      </w:r>
      <w:r>
        <w:rPr>
          <w:rFonts w:ascii="Times New Roman"/>
          <w:spacing w:val="-4"/>
          <w:sz w:val="18"/>
        </w:rPr>
        <w:t xml:space="preserve"> </w:t>
      </w:r>
      <w:r>
        <w:rPr>
          <w:rFonts w:ascii="Times New Roman"/>
          <w:sz w:val="18"/>
        </w:rPr>
        <w:t>of</w:t>
      </w:r>
      <w:r>
        <w:rPr>
          <w:rFonts w:ascii="Times New Roman"/>
          <w:spacing w:val="-5"/>
          <w:sz w:val="18"/>
        </w:rPr>
        <w:t xml:space="preserve"> </w:t>
      </w:r>
      <w:r>
        <w:rPr>
          <w:rFonts w:ascii="Times New Roman"/>
          <w:sz w:val="18"/>
        </w:rPr>
        <w:t>this</w:t>
      </w:r>
      <w:r>
        <w:rPr>
          <w:rFonts w:ascii="Times New Roman"/>
          <w:spacing w:val="-4"/>
          <w:sz w:val="18"/>
        </w:rPr>
        <w:t xml:space="preserve"> </w:t>
      </w:r>
      <w:r>
        <w:rPr>
          <w:rFonts w:ascii="Times New Roman"/>
          <w:sz w:val="18"/>
        </w:rPr>
        <w:t>Act</w:t>
      </w:r>
      <w:r>
        <w:rPr>
          <w:rFonts w:ascii="Times New Roman"/>
          <w:spacing w:val="-3"/>
          <w:sz w:val="18"/>
        </w:rPr>
        <w:t xml:space="preserve"> </w:t>
      </w:r>
      <w:r>
        <w:rPr>
          <w:rFonts w:ascii="Times New Roman"/>
          <w:sz w:val="18"/>
        </w:rPr>
        <w:t>is</w:t>
      </w:r>
      <w:r>
        <w:rPr>
          <w:rFonts w:ascii="Times New Roman"/>
          <w:spacing w:val="-4"/>
          <w:sz w:val="18"/>
        </w:rPr>
        <w:t xml:space="preserve"> </w:t>
      </w:r>
      <w:r>
        <w:rPr>
          <w:rFonts w:ascii="Times New Roman"/>
          <w:sz w:val="18"/>
        </w:rPr>
        <w:t>available</w:t>
      </w:r>
      <w:r>
        <w:rPr>
          <w:rFonts w:ascii="Times New Roman"/>
          <w:spacing w:val="-3"/>
          <w:sz w:val="18"/>
        </w:rPr>
        <w:t xml:space="preserve"> </w:t>
      </w:r>
      <w:r>
        <w:rPr>
          <w:rFonts w:ascii="Times New Roman"/>
          <w:sz w:val="18"/>
        </w:rPr>
        <w:t>on</w:t>
      </w:r>
      <w:r>
        <w:rPr>
          <w:rFonts w:ascii="Times New Roman"/>
          <w:spacing w:val="-2"/>
          <w:sz w:val="18"/>
        </w:rPr>
        <w:t xml:space="preserve"> </w:t>
      </w:r>
      <w:r>
        <w:rPr>
          <w:rFonts w:ascii="Times New Roman"/>
          <w:sz w:val="18"/>
        </w:rPr>
        <w:t>the</w:t>
      </w:r>
      <w:r>
        <w:rPr>
          <w:rFonts w:ascii="Times New Roman"/>
          <w:spacing w:val="-4"/>
          <w:sz w:val="18"/>
        </w:rPr>
        <w:t xml:space="preserve"> </w:t>
      </w:r>
      <w:r>
        <w:rPr>
          <w:rFonts w:ascii="Times New Roman"/>
          <w:sz w:val="18"/>
        </w:rPr>
        <w:t>Federal</w:t>
      </w:r>
      <w:r>
        <w:rPr>
          <w:rFonts w:ascii="Times New Roman"/>
          <w:spacing w:val="-5"/>
          <w:sz w:val="18"/>
        </w:rPr>
        <w:t xml:space="preserve"> </w:t>
      </w:r>
      <w:r>
        <w:rPr>
          <w:rFonts w:ascii="Times New Roman"/>
          <w:sz w:val="18"/>
        </w:rPr>
        <w:t>Register</w:t>
      </w:r>
      <w:r>
        <w:rPr>
          <w:rFonts w:ascii="Times New Roman"/>
          <w:spacing w:val="-3"/>
          <w:sz w:val="18"/>
        </w:rPr>
        <w:t xml:space="preserve"> </w:t>
      </w:r>
      <w:r>
        <w:rPr>
          <w:rFonts w:ascii="Times New Roman"/>
          <w:sz w:val="18"/>
        </w:rPr>
        <w:t>of</w:t>
      </w:r>
      <w:r>
        <w:rPr>
          <w:rFonts w:ascii="Times New Roman"/>
          <w:spacing w:val="-3"/>
          <w:sz w:val="18"/>
        </w:rPr>
        <w:t xml:space="preserve"> </w:t>
      </w:r>
      <w:r>
        <w:rPr>
          <w:rFonts w:ascii="Times New Roman"/>
          <w:sz w:val="18"/>
        </w:rPr>
        <w:t xml:space="preserve">Legislation </w:t>
      </w:r>
      <w:hyperlink r:id="rId54">
        <w:r>
          <w:rPr>
            <w:rFonts w:ascii="Times New Roman"/>
            <w:spacing w:val="-2"/>
            <w:sz w:val="18"/>
          </w:rPr>
          <w:t>(https://www.legislation.gov.au/</w:t>
        </w:r>
      </w:hyperlink>
      <w:r>
        <w:rPr>
          <w:rFonts w:ascii="Times New Roman"/>
          <w:spacing w:val="-2"/>
          <w:sz w:val="18"/>
        </w:rPr>
        <w:t>)</w:t>
      </w:r>
    </w:p>
    <w:p w14:paraId="623C432F" w14:textId="77777777" w:rsidR="00811887" w:rsidRDefault="00811887" w:rsidP="00811887">
      <w:pPr>
        <w:rPr>
          <w:rFonts w:ascii="Times New Roman"/>
          <w:sz w:val="18"/>
        </w:rPr>
        <w:sectPr w:rsidR="00811887" w:rsidSect="00811887">
          <w:footerReference w:type="default" r:id="rId55"/>
          <w:pgSz w:w="11910" w:h="16840"/>
          <w:pgMar w:top="1440" w:right="722" w:bottom="560" w:left="740" w:header="0" w:footer="377" w:gutter="0"/>
          <w:pgNumType w:start="1"/>
          <w:cols w:space="720"/>
        </w:sectPr>
      </w:pPr>
    </w:p>
    <w:p w14:paraId="3CEA44C1" w14:textId="77777777" w:rsidR="00811887" w:rsidRDefault="00811887" w:rsidP="00811887">
      <w:pPr>
        <w:pStyle w:val="BodyText"/>
        <w:spacing w:before="4"/>
        <w:rPr>
          <w:rFonts w:ascii="Times New Roman"/>
          <w:sz w:val="17"/>
        </w:rPr>
      </w:pPr>
    </w:p>
    <w:p w14:paraId="025C826C" w14:textId="77777777" w:rsidR="00811887" w:rsidRDefault="00811887" w:rsidP="00811887">
      <w:pPr>
        <w:rPr>
          <w:rFonts w:ascii="Times New Roman"/>
          <w:sz w:val="17"/>
        </w:rPr>
        <w:sectPr w:rsidR="00811887" w:rsidSect="00811887">
          <w:pgSz w:w="11910" w:h="16840"/>
          <w:pgMar w:top="1920" w:right="722" w:bottom="560" w:left="740" w:header="0" w:footer="377" w:gutter="0"/>
          <w:cols w:space="720"/>
        </w:sectPr>
      </w:pPr>
    </w:p>
    <w:p w14:paraId="320428B3" w14:textId="77777777" w:rsidR="00811887" w:rsidRDefault="00811887" w:rsidP="00811887">
      <w:pPr>
        <w:pStyle w:val="BodyText"/>
        <w:spacing w:before="10"/>
        <w:rPr>
          <w:rFonts w:ascii="Times New Roman"/>
          <w:sz w:val="4"/>
        </w:rPr>
      </w:pPr>
    </w:p>
    <w:p w14:paraId="649A2F19" w14:textId="77777777" w:rsidR="00811887" w:rsidRDefault="00811887" w:rsidP="00811887">
      <w:pPr>
        <w:pStyle w:val="BodyText"/>
        <w:spacing w:line="20" w:lineRule="exact"/>
        <w:ind w:left="1641"/>
        <w:rPr>
          <w:rFonts w:ascii="Times New Roman"/>
          <w:sz w:val="2"/>
        </w:rPr>
      </w:pPr>
      <w:r>
        <w:rPr>
          <w:rFonts w:ascii="Times New Roman"/>
          <w:noProof/>
          <w:sz w:val="2"/>
        </w:rPr>
        <mc:AlternateContent>
          <mc:Choice Requires="wpg">
            <w:drawing>
              <wp:inline distT="0" distB="0" distL="0" distR="0" wp14:anchorId="6AEAA676" wp14:editId="4700ED8F">
                <wp:extent cx="4538345" cy="9525"/>
                <wp:effectExtent l="0" t="0" r="0" b="0"/>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8345" cy="9525"/>
                          <a:chOff x="0" y="0"/>
                          <a:chExt cx="4538345" cy="9525"/>
                        </a:xfrm>
                      </wpg:grpSpPr>
                      <wps:wsp>
                        <wps:cNvPr id="4" name="Graphic 4"/>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FD3F9C" id="Group 3" o:spid="_x0000_s1026" alt="&quot;&quot;" style="width:357.35pt;height:.75pt;mso-position-horizontal-relative:char;mso-position-vertical-relative:line" coordsize="45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">
                <v:shape id="Graphic 4" o:spid="_x0000_s1027" style="position:absolute;width:45383;height:95;visibility:visible;mso-wrap-style:square;v-text-anchor:top" coordsize="45383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" path="m4537837,l,,,9144r4537837,l4537837,xe" fillcolor="black" stroked="f">
                  <v:path arrowok="t"/>
                </v:shape>
                <w10:anchorlock/>
              </v:group>
            </w:pict>
          </mc:Fallback>
        </mc:AlternateContent>
      </w:r>
    </w:p>
    <w:p w14:paraId="0A0DBB49" w14:textId="77777777" w:rsidR="00811887" w:rsidRDefault="00811887" w:rsidP="00811887">
      <w:pPr>
        <w:spacing w:before="357"/>
        <w:ind w:left="1670"/>
        <w:rPr>
          <w:rFonts w:ascii="Times New Roman"/>
          <w:sz w:val="36"/>
        </w:rPr>
      </w:pPr>
      <w:bookmarkStart w:id="72" w:name="Contents"/>
      <w:bookmarkEnd w:id="72"/>
      <w:r>
        <w:rPr>
          <w:rFonts w:ascii="Times New Roman"/>
          <w:spacing w:val="-2"/>
          <w:sz w:val="36"/>
        </w:rPr>
        <w:t>Contents</w:t>
      </w:r>
    </w:p>
    <w:p w14:paraId="4BD693E5" w14:textId="77777777" w:rsidR="00811887" w:rsidRDefault="00811887" w:rsidP="00811887">
      <w:pPr>
        <w:rPr>
          <w:rFonts w:ascii="Times New Roman"/>
          <w:sz w:val="36"/>
        </w:rPr>
        <w:sectPr w:rsidR="00811887" w:rsidSect="00811887">
          <w:pgSz w:w="11910" w:h="16840"/>
          <w:pgMar w:top="1920" w:right="722" w:bottom="3644" w:left="740" w:header="0" w:footer="377" w:gutter="0"/>
          <w:cols w:space="720"/>
        </w:sectPr>
      </w:pPr>
    </w:p>
    <w:sdt>
      <w:sdtPr>
        <w:rPr>
          <w:b/>
          <w:bCs/>
          <w:sz w:val="18"/>
          <w:szCs w:val="18"/>
        </w:rPr>
        <w:id w:val="141006630"/>
        <w:docPartObj>
          <w:docPartGallery w:val="Table of Contents"/>
          <w:docPartUnique/>
        </w:docPartObj>
      </w:sdtPr>
      <w:sdtEndPr>
        <w:rPr>
          <w:b w:val="0"/>
          <w:bCs w:val="0"/>
          <w:i w:val="0"/>
          <w:iCs w:val="0"/>
          <w:sz w:val="20"/>
          <w:szCs w:val="20"/>
        </w:rPr>
      </w:sdtEndPr>
      <w:sdtContent>
        <w:p w14:paraId="01F490C3" w14:textId="77777777" w:rsidR="00811887" w:rsidRDefault="00811887" w:rsidP="00811887">
          <w:pPr>
            <w:pStyle w:val="TOC2"/>
            <w:tabs>
              <w:tab w:val="left" w:pos="8667"/>
            </w:tabs>
            <w:spacing w:before="127"/>
            <w:rPr>
              <w:b/>
              <w:sz w:val="18"/>
            </w:rPr>
          </w:pPr>
          <w:hyperlink w:anchor="_TOC_250034" w:history="1">
            <w:r>
              <w:t>Part</w:t>
            </w:r>
            <w:r>
              <w:rPr>
                <w:spacing w:val="-1"/>
              </w:rPr>
              <w:t xml:space="preserve"> </w:t>
            </w:r>
            <w:r>
              <w:t>1—</w:t>
            </w:r>
            <w:r>
              <w:rPr>
                <w:spacing w:val="-2"/>
              </w:rPr>
              <w:t>Preliminary</w:t>
            </w:r>
            <w:r>
              <w:tab/>
            </w:r>
            <w:r>
              <w:rPr>
                <w:spacing w:val="-10"/>
                <w:sz w:val="18"/>
              </w:rPr>
              <w:t>2</w:t>
            </w:r>
          </w:hyperlink>
        </w:p>
        <w:p w14:paraId="1E6230C7" w14:textId="77777777" w:rsidR="00811887" w:rsidRDefault="00811887" w:rsidP="00FB2FE9">
          <w:pPr>
            <w:pStyle w:val="TOC4"/>
            <w:widowControl w:val="0"/>
            <w:numPr>
              <w:ilvl w:val="0"/>
              <w:numId w:val="78"/>
            </w:numPr>
            <w:tabs>
              <w:tab w:val="left" w:pos="3768"/>
              <w:tab w:val="left" w:leader="dot" w:pos="8667"/>
            </w:tabs>
            <w:autoSpaceDE w:val="0"/>
            <w:autoSpaceDN w:val="0"/>
            <w:spacing w:before="37"/>
            <w:ind w:hanging="679"/>
          </w:pPr>
          <w:hyperlink w:anchor="_TOC_250033" w:history="1">
            <w:r>
              <w:t xml:space="preserve">Short </w:t>
            </w:r>
            <w:r>
              <w:rPr>
                <w:spacing w:val="-2"/>
              </w:rPr>
              <w:t>title</w:t>
            </w:r>
            <w:r>
              <w:tab/>
            </w:r>
            <w:r>
              <w:rPr>
                <w:spacing w:val="-10"/>
              </w:rPr>
              <w:t>2</w:t>
            </w:r>
          </w:hyperlink>
        </w:p>
        <w:p w14:paraId="37F61504" w14:textId="77777777" w:rsidR="00811887" w:rsidRDefault="00811887" w:rsidP="00FB2FE9">
          <w:pPr>
            <w:pStyle w:val="TOC4"/>
            <w:widowControl w:val="0"/>
            <w:numPr>
              <w:ilvl w:val="0"/>
              <w:numId w:val="78"/>
            </w:numPr>
            <w:tabs>
              <w:tab w:val="left" w:pos="3768"/>
              <w:tab w:val="left" w:leader="dot" w:pos="8667"/>
            </w:tabs>
            <w:autoSpaceDE w:val="0"/>
            <w:autoSpaceDN w:val="0"/>
            <w:spacing w:before="38"/>
            <w:ind w:hanging="679"/>
          </w:pPr>
          <w:hyperlink w:anchor="_TOC_250032" w:history="1">
            <w:r>
              <w:rPr>
                <w:spacing w:val="-2"/>
              </w:rPr>
              <w:t>Commencement</w:t>
            </w:r>
            <w:r>
              <w:tab/>
            </w:r>
            <w:r>
              <w:rPr>
                <w:spacing w:val="-10"/>
              </w:rPr>
              <w:t>2</w:t>
            </w:r>
          </w:hyperlink>
        </w:p>
        <w:p w14:paraId="7691194F" w14:textId="77777777" w:rsidR="00811887" w:rsidRDefault="00811887" w:rsidP="00FB2FE9">
          <w:pPr>
            <w:pStyle w:val="TOC4"/>
            <w:widowControl w:val="0"/>
            <w:numPr>
              <w:ilvl w:val="0"/>
              <w:numId w:val="78"/>
            </w:numPr>
            <w:tabs>
              <w:tab w:val="left" w:pos="3768"/>
              <w:tab w:val="left" w:leader="dot" w:pos="8667"/>
            </w:tabs>
            <w:autoSpaceDE w:val="0"/>
            <w:autoSpaceDN w:val="0"/>
            <w:spacing w:before="40"/>
            <w:ind w:hanging="679"/>
          </w:pPr>
          <w:hyperlink w:anchor="_TOC_250031" w:history="1">
            <w:r>
              <w:t>Simplified outline</w:t>
            </w:r>
            <w:r>
              <w:rPr>
                <w:spacing w:val="-2"/>
              </w:rPr>
              <w:t xml:space="preserve"> </w:t>
            </w:r>
            <w:r>
              <w:t>of</w:t>
            </w:r>
            <w:r>
              <w:rPr>
                <w:spacing w:val="-3"/>
              </w:rPr>
              <w:t xml:space="preserve"> </w:t>
            </w:r>
            <w:r>
              <w:t>this</w:t>
            </w:r>
            <w:r>
              <w:rPr>
                <w:spacing w:val="-1"/>
              </w:rPr>
              <w:t xml:space="preserve"> </w:t>
            </w:r>
            <w:r>
              <w:rPr>
                <w:spacing w:val="-5"/>
              </w:rPr>
              <w:t>Act</w:t>
            </w:r>
            <w:r>
              <w:tab/>
            </w:r>
            <w:r>
              <w:rPr>
                <w:spacing w:val="-12"/>
              </w:rPr>
              <w:t>2</w:t>
            </w:r>
          </w:hyperlink>
        </w:p>
        <w:p w14:paraId="3784EA41" w14:textId="77777777" w:rsidR="00811887" w:rsidRDefault="00811887" w:rsidP="00FB2FE9">
          <w:pPr>
            <w:pStyle w:val="TOC4"/>
            <w:widowControl w:val="0"/>
            <w:numPr>
              <w:ilvl w:val="0"/>
              <w:numId w:val="78"/>
            </w:numPr>
            <w:tabs>
              <w:tab w:val="left" w:pos="3768"/>
              <w:tab w:val="left" w:leader="dot" w:pos="8667"/>
            </w:tabs>
            <w:autoSpaceDE w:val="0"/>
            <w:autoSpaceDN w:val="0"/>
            <w:spacing w:before="41"/>
            <w:ind w:hanging="679"/>
          </w:pPr>
          <w:hyperlink w:anchor="_TOC_250030" w:history="1">
            <w:r>
              <w:rPr>
                <w:spacing w:val="-2"/>
              </w:rPr>
              <w:t>Definitions</w:t>
            </w:r>
            <w:r>
              <w:tab/>
            </w:r>
            <w:r>
              <w:rPr>
                <w:spacing w:val="-10"/>
              </w:rPr>
              <w:t>3</w:t>
            </w:r>
          </w:hyperlink>
        </w:p>
        <w:p w14:paraId="011B9184" w14:textId="77777777" w:rsidR="00811887" w:rsidRDefault="00811887" w:rsidP="00FB2FE9">
          <w:pPr>
            <w:pStyle w:val="TOC4"/>
            <w:widowControl w:val="0"/>
            <w:numPr>
              <w:ilvl w:val="0"/>
              <w:numId w:val="78"/>
            </w:numPr>
            <w:tabs>
              <w:tab w:val="left" w:pos="3768"/>
              <w:tab w:val="left" w:leader="dot" w:pos="8667"/>
            </w:tabs>
            <w:autoSpaceDE w:val="0"/>
            <w:autoSpaceDN w:val="0"/>
            <w:spacing w:before="40"/>
            <w:ind w:hanging="679"/>
          </w:pPr>
          <w:hyperlink w:anchor="_TOC_250029" w:history="1">
            <w:r>
              <w:t>Functions</w:t>
            </w:r>
            <w:r>
              <w:rPr>
                <w:spacing w:val="-3"/>
              </w:rPr>
              <w:t xml:space="preserve"> </w:t>
            </w:r>
            <w:r>
              <w:t>or</w:t>
            </w:r>
            <w:r>
              <w:rPr>
                <w:spacing w:val="-2"/>
              </w:rPr>
              <w:t xml:space="preserve"> </w:t>
            </w:r>
            <w:r>
              <w:t>powers</w:t>
            </w:r>
            <w:r>
              <w:rPr>
                <w:spacing w:val="-1"/>
              </w:rPr>
              <w:t xml:space="preserve"> </w:t>
            </w:r>
            <w:r>
              <w:t>of</w:t>
            </w:r>
            <w:r>
              <w:rPr>
                <w:spacing w:val="-2"/>
              </w:rPr>
              <w:t xml:space="preserve"> </w:t>
            </w:r>
            <w:r>
              <w:t>Joint</w:t>
            </w:r>
            <w:r>
              <w:rPr>
                <w:spacing w:val="1"/>
              </w:rPr>
              <w:t xml:space="preserve"> </w:t>
            </w:r>
            <w:r>
              <w:rPr>
                <w:spacing w:val="-2"/>
              </w:rPr>
              <w:t>Ministers</w:t>
            </w:r>
            <w:r>
              <w:tab/>
            </w:r>
            <w:r>
              <w:rPr>
                <w:spacing w:val="-10"/>
              </w:rPr>
              <w:t>3</w:t>
            </w:r>
          </w:hyperlink>
        </w:p>
        <w:p w14:paraId="19AA1686" w14:textId="77777777" w:rsidR="00811887" w:rsidRDefault="00811887" w:rsidP="00811887">
          <w:pPr>
            <w:pStyle w:val="TOC2"/>
            <w:tabs>
              <w:tab w:val="left" w:pos="8667"/>
            </w:tabs>
            <w:spacing w:before="124"/>
            <w:rPr>
              <w:b/>
              <w:sz w:val="18"/>
            </w:rPr>
          </w:pPr>
          <w:hyperlink w:anchor="_TOC_250028" w:history="1">
            <w:r>
              <w:t>Part</w:t>
            </w:r>
            <w:r>
              <w:rPr>
                <w:spacing w:val="-4"/>
              </w:rPr>
              <w:t xml:space="preserve"> </w:t>
            </w:r>
            <w:r>
              <w:t>2—Economic</w:t>
            </w:r>
            <w:r>
              <w:rPr>
                <w:spacing w:val="-2"/>
              </w:rPr>
              <w:t xml:space="preserve"> </w:t>
            </w:r>
            <w:r>
              <w:t>Inclusion</w:t>
            </w:r>
            <w:r>
              <w:rPr>
                <w:spacing w:val="-2"/>
              </w:rPr>
              <w:t xml:space="preserve"> </w:t>
            </w:r>
            <w:r>
              <w:t>Advisory</w:t>
            </w:r>
            <w:r>
              <w:rPr>
                <w:spacing w:val="-2"/>
              </w:rPr>
              <w:t xml:space="preserve"> Committee</w:t>
            </w:r>
            <w:r>
              <w:tab/>
            </w:r>
            <w:r>
              <w:rPr>
                <w:spacing w:val="-10"/>
                <w:sz w:val="18"/>
              </w:rPr>
              <w:t>4</w:t>
            </w:r>
          </w:hyperlink>
        </w:p>
        <w:p w14:paraId="2D2ED48B" w14:textId="77777777" w:rsidR="00811887" w:rsidRDefault="00811887" w:rsidP="00811887">
          <w:pPr>
            <w:pStyle w:val="TOC3"/>
            <w:tabs>
              <w:tab w:val="left" w:pos="8667"/>
            </w:tabs>
            <w:rPr>
              <w:b/>
              <w:sz w:val="18"/>
            </w:rPr>
          </w:pPr>
          <w:hyperlink w:anchor="_TOC_250027" w:history="1">
            <w:r>
              <w:t>Division</w:t>
            </w:r>
            <w:r>
              <w:rPr>
                <w:spacing w:val="-9"/>
              </w:rPr>
              <w:t xml:space="preserve"> </w:t>
            </w:r>
            <w:r>
              <w:t>1—</w:t>
            </w:r>
            <w:r>
              <w:rPr>
                <w:spacing w:val="-2"/>
              </w:rPr>
              <w:t>Introduction</w:t>
            </w:r>
            <w:r>
              <w:tab/>
            </w:r>
            <w:r>
              <w:rPr>
                <w:spacing w:val="-10"/>
                <w:sz w:val="18"/>
              </w:rPr>
              <w:t>4</w:t>
            </w:r>
          </w:hyperlink>
        </w:p>
        <w:p w14:paraId="789CB0DF" w14:textId="77777777" w:rsidR="00811887" w:rsidRDefault="00811887" w:rsidP="00FB2FE9">
          <w:pPr>
            <w:pStyle w:val="TOC4"/>
            <w:widowControl w:val="0"/>
            <w:numPr>
              <w:ilvl w:val="0"/>
              <w:numId w:val="78"/>
            </w:numPr>
            <w:tabs>
              <w:tab w:val="left" w:pos="3768"/>
              <w:tab w:val="left" w:leader="dot" w:pos="8667"/>
            </w:tabs>
            <w:autoSpaceDE w:val="0"/>
            <w:autoSpaceDN w:val="0"/>
            <w:spacing w:before="36"/>
            <w:ind w:hanging="679"/>
          </w:pPr>
          <w:hyperlink w:anchor="_TOC_250026" w:history="1">
            <w:r>
              <w:t>Simplified</w:t>
            </w:r>
            <w:r>
              <w:rPr>
                <w:spacing w:val="-2"/>
              </w:rPr>
              <w:t xml:space="preserve"> </w:t>
            </w:r>
            <w:r>
              <w:t>outline</w:t>
            </w:r>
            <w:r>
              <w:rPr>
                <w:spacing w:val="-2"/>
              </w:rPr>
              <w:t xml:space="preserve"> </w:t>
            </w:r>
            <w:r>
              <w:t>of</w:t>
            </w:r>
            <w:r>
              <w:rPr>
                <w:spacing w:val="-3"/>
              </w:rPr>
              <w:t xml:space="preserve"> </w:t>
            </w:r>
            <w:r>
              <w:t>this</w:t>
            </w:r>
            <w:r>
              <w:rPr>
                <w:spacing w:val="-2"/>
              </w:rPr>
              <w:t xml:space="preserve"> </w:t>
            </w:r>
            <w:r>
              <w:rPr>
                <w:spacing w:val="-4"/>
              </w:rPr>
              <w:t>Part</w:t>
            </w:r>
            <w:r>
              <w:tab/>
            </w:r>
            <w:r>
              <w:rPr>
                <w:spacing w:val="-10"/>
              </w:rPr>
              <w:t>4</w:t>
            </w:r>
          </w:hyperlink>
        </w:p>
        <w:p w14:paraId="2E3A5170" w14:textId="77777777" w:rsidR="00811887" w:rsidRDefault="00811887" w:rsidP="00811887">
          <w:pPr>
            <w:pStyle w:val="TOC3"/>
            <w:tabs>
              <w:tab w:val="left" w:pos="8667"/>
            </w:tabs>
            <w:spacing w:before="85"/>
            <w:rPr>
              <w:b/>
              <w:sz w:val="18"/>
            </w:rPr>
          </w:pPr>
          <w:hyperlink w:anchor="_TOC_250025" w:history="1">
            <w:r>
              <w:t>Division</w:t>
            </w:r>
            <w:r>
              <w:rPr>
                <w:spacing w:val="-8"/>
              </w:rPr>
              <w:t xml:space="preserve"> </w:t>
            </w:r>
            <w:r>
              <w:t>2—Committee</w:t>
            </w:r>
            <w:r>
              <w:rPr>
                <w:spacing w:val="-8"/>
              </w:rPr>
              <w:t xml:space="preserve"> </w:t>
            </w:r>
            <w:r>
              <w:t>establishment</w:t>
            </w:r>
            <w:r>
              <w:rPr>
                <w:spacing w:val="-9"/>
              </w:rPr>
              <w:t xml:space="preserve"> </w:t>
            </w:r>
            <w:r>
              <w:t>and</w:t>
            </w:r>
            <w:r>
              <w:rPr>
                <w:spacing w:val="-10"/>
              </w:rPr>
              <w:t xml:space="preserve"> </w:t>
            </w:r>
            <w:r>
              <w:rPr>
                <w:spacing w:val="-2"/>
              </w:rPr>
              <w:t>function</w:t>
            </w:r>
            <w:r>
              <w:tab/>
            </w:r>
            <w:r>
              <w:rPr>
                <w:spacing w:val="-10"/>
                <w:sz w:val="18"/>
              </w:rPr>
              <w:t>5</w:t>
            </w:r>
          </w:hyperlink>
        </w:p>
        <w:p w14:paraId="0E52FFA5" w14:textId="77777777" w:rsidR="00811887" w:rsidRDefault="00811887" w:rsidP="00FB2FE9">
          <w:pPr>
            <w:pStyle w:val="TOC4"/>
            <w:widowControl w:val="0"/>
            <w:numPr>
              <w:ilvl w:val="0"/>
              <w:numId w:val="78"/>
            </w:numPr>
            <w:tabs>
              <w:tab w:val="left" w:pos="3768"/>
              <w:tab w:val="left" w:leader="dot" w:pos="8667"/>
            </w:tabs>
            <w:autoSpaceDE w:val="0"/>
            <w:autoSpaceDN w:val="0"/>
            <w:spacing w:before="34"/>
            <w:ind w:hanging="679"/>
          </w:pPr>
          <w:hyperlink w:anchor="_TOC_250024" w:history="1">
            <w:r>
              <w:t>Establishment</w:t>
            </w:r>
            <w:r>
              <w:rPr>
                <w:spacing w:val="-3"/>
              </w:rPr>
              <w:t xml:space="preserve"> </w:t>
            </w:r>
            <w:r>
              <w:t>of</w:t>
            </w:r>
            <w:r>
              <w:rPr>
                <w:spacing w:val="-3"/>
              </w:rPr>
              <w:t xml:space="preserve"> </w:t>
            </w:r>
            <w:r>
              <w:t>Economic</w:t>
            </w:r>
            <w:r>
              <w:rPr>
                <w:spacing w:val="-3"/>
              </w:rPr>
              <w:t xml:space="preserve"> </w:t>
            </w:r>
            <w:r>
              <w:t>Inclusion</w:t>
            </w:r>
            <w:r>
              <w:rPr>
                <w:spacing w:val="-1"/>
              </w:rPr>
              <w:t xml:space="preserve"> </w:t>
            </w:r>
            <w:r>
              <w:t>Advisory</w:t>
            </w:r>
            <w:r>
              <w:rPr>
                <w:spacing w:val="-5"/>
              </w:rPr>
              <w:t xml:space="preserve"> </w:t>
            </w:r>
            <w:r>
              <w:rPr>
                <w:spacing w:val="-2"/>
              </w:rPr>
              <w:t>Committee</w:t>
            </w:r>
            <w:r>
              <w:tab/>
            </w:r>
            <w:r>
              <w:rPr>
                <w:spacing w:val="-10"/>
              </w:rPr>
              <w:t>5</w:t>
            </w:r>
          </w:hyperlink>
        </w:p>
        <w:p w14:paraId="21261B22" w14:textId="77777777" w:rsidR="00811887" w:rsidRDefault="00811887" w:rsidP="00FB2FE9">
          <w:pPr>
            <w:pStyle w:val="TOC4"/>
            <w:widowControl w:val="0"/>
            <w:numPr>
              <w:ilvl w:val="0"/>
              <w:numId w:val="78"/>
            </w:numPr>
            <w:tabs>
              <w:tab w:val="left" w:pos="3768"/>
              <w:tab w:val="left" w:leader="dot" w:pos="8667"/>
            </w:tabs>
            <w:autoSpaceDE w:val="0"/>
            <w:autoSpaceDN w:val="0"/>
            <w:spacing w:before="40"/>
            <w:ind w:right="1684"/>
          </w:pPr>
          <w:hyperlink w:anchor="_TOC_250023" w:history="1">
            <w:r>
              <w:t>Committee’s function—reports ahead of Commonwealth Government budgets</w:t>
            </w:r>
            <w:r>
              <w:tab/>
            </w:r>
            <w:r>
              <w:rPr>
                <w:spacing w:val="-10"/>
              </w:rPr>
              <w:t>5</w:t>
            </w:r>
          </w:hyperlink>
        </w:p>
        <w:p w14:paraId="4DEBB80C" w14:textId="77777777" w:rsidR="00811887" w:rsidRDefault="00811887" w:rsidP="00FB2FE9">
          <w:pPr>
            <w:pStyle w:val="TOC4"/>
            <w:widowControl w:val="0"/>
            <w:numPr>
              <w:ilvl w:val="0"/>
              <w:numId w:val="78"/>
            </w:numPr>
            <w:tabs>
              <w:tab w:val="left" w:pos="3768"/>
              <w:tab w:val="left" w:leader="dot" w:pos="8667"/>
            </w:tabs>
            <w:autoSpaceDE w:val="0"/>
            <w:autoSpaceDN w:val="0"/>
            <w:spacing w:before="42"/>
            <w:ind w:hanging="679"/>
          </w:pPr>
          <w:hyperlink w:anchor="_TOC_250022" w:history="1">
            <w:r>
              <w:t>Committee’s</w:t>
            </w:r>
            <w:r>
              <w:rPr>
                <w:spacing w:val="-11"/>
              </w:rPr>
              <w:t xml:space="preserve"> </w:t>
            </w:r>
            <w:r>
              <w:rPr>
                <w:spacing w:val="-2"/>
              </w:rPr>
              <w:t>powers</w:t>
            </w:r>
            <w:r>
              <w:tab/>
            </w:r>
            <w:r>
              <w:rPr>
                <w:spacing w:val="-10"/>
              </w:rPr>
              <w:t>7</w:t>
            </w:r>
          </w:hyperlink>
        </w:p>
        <w:p w14:paraId="67009640" w14:textId="77777777" w:rsidR="00811887" w:rsidRDefault="00811887" w:rsidP="00811887">
          <w:pPr>
            <w:pStyle w:val="TOC3"/>
            <w:tabs>
              <w:tab w:val="left" w:pos="8667"/>
            </w:tabs>
            <w:spacing w:before="82"/>
            <w:rPr>
              <w:b/>
              <w:sz w:val="18"/>
            </w:rPr>
          </w:pPr>
          <w:hyperlink w:anchor="_TOC_250021" w:history="1">
            <w:r>
              <w:t>Division</w:t>
            </w:r>
            <w:r>
              <w:rPr>
                <w:spacing w:val="-9"/>
              </w:rPr>
              <w:t xml:space="preserve"> </w:t>
            </w:r>
            <w:r>
              <w:t>3—Committee</w:t>
            </w:r>
            <w:r>
              <w:rPr>
                <w:spacing w:val="-10"/>
              </w:rPr>
              <w:t xml:space="preserve"> </w:t>
            </w:r>
            <w:r>
              <w:rPr>
                <w:spacing w:val="-2"/>
              </w:rPr>
              <w:t>members</w:t>
            </w:r>
            <w:r>
              <w:tab/>
            </w:r>
            <w:r>
              <w:rPr>
                <w:spacing w:val="-10"/>
                <w:sz w:val="18"/>
              </w:rPr>
              <w:t>8</w:t>
            </w:r>
          </w:hyperlink>
        </w:p>
        <w:p w14:paraId="1C90F2B0" w14:textId="77777777" w:rsidR="00811887" w:rsidRDefault="00811887" w:rsidP="00FB2FE9">
          <w:pPr>
            <w:pStyle w:val="TOC4"/>
            <w:widowControl w:val="0"/>
            <w:numPr>
              <w:ilvl w:val="0"/>
              <w:numId w:val="78"/>
            </w:numPr>
            <w:tabs>
              <w:tab w:val="left" w:pos="3768"/>
              <w:tab w:val="left" w:leader="dot" w:pos="8667"/>
            </w:tabs>
            <w:autoSpaceDE w:val="0"/>
            <w:autoSpaceDN w:val="0"/>
            <w:spacing w:before="36"/>
            <w:ind w:hanging="679"/>
          </w:pPr>
          <w:hyperlink w:anchor="_TOC_250020" w:history="1">
            <w:r>
              <w:t>Number</w:t>
            </w:r>
            <w:r>
              <w:rPr>
                <w:spacing w:val="-2"/>
              </w:rPr>
              <w:t xml:space="preserve"> </w:t>
            </w:r>
            <w:r>
              <w:t>of</w:t>
            </w:r>
            <w:r>
              <w:rPr>
                <w:spacing w:val="-4"/>
              </w:rPr>
              <w:t xml:space="preserve"> </w:t>
            </w:r>
            <w:r>
              <w:t xml:space="preserve">Committee </w:t>
            </w:r>
            <w:r>
              <w:rPr>
                <w:spacing w:val="-2"/>
              </w:rPr>
              <w:t>members</w:t>
            </w:r>
            <w:r>
              <w:tab/>
            </w:r>
            <w:r>
              <w:rPr>
                <w:spacing w:val="-12"/>
              </w:rPr>
              <w:t>8</w:t>
            </w:r>
          </w:hyperlink>
        </w:p>
        <w:p w14:paraId="7FBB10D1" w14:textId="77777777" w:rsidR="00811887" w:rsidRDefault="00811887" w:rsidP="00FB2FE9">
          <w:pPr>
            <w:pStyle w:val="TOC4"/>
            <w:widowControl w:val="0"/>
            <w:numPr>
              <w:ilvl w:val="0"/>
              <w:numId w:val="78"/>
            </w:numPr>
            <w:tabs>
              <w:tab w:val="left" w:pos="3768"/>
              <w:tab w:val="left" w:leader="dot" w:pos="8667"/>
            </w:tabs>
            <w:autoSpaceDE w:val="0"/>
            <w:autoSpaceDN w:val="0"/>
            <w:spacing w:before="41"/>
            <w:ind w:hanging="679"/>
          </w:pPr>
          <w:hyperlink w:anchor="_TOC_250019" w:history="1">
            <w:r>
              <w:rPr>
                <w:spacing w:val="-2"/>
              </w:rPr>
              <w:t>Appointments</w:t>
            </w:r>
            <w:r>
              <w:tab/>
            </w:r>
            <w:r>
              <w:rPr>
                <w:spacing w:val="-10"/>
              </w:rPr>
              <w:t>8</w:t>
            </w:r>
          </w:hyperlink>
        </w:p>
        <w:p w14:paraId="46811BAF" w14:textId="77777777" w:rsidR="00811887" w:rsidRDefault="00811887" w:rsidP="00FB2FE9">
          <w:pPr>
            <w:pStyle w:val="TOC4"/>
            <w:widowControl w:val="0"/>
            <w:numPr>
              <w:ilvl w:val="0"/>
              <w:numId w:val="78"/>
            </w:numPr>
            <w:tabs>
              <w:tab w:val="left" w:pos="3768"/>
              <w:tab w:val="left" w:leader="dot" w:pos="8667"/>
            </w:tabs>
            <w:autoSpaceDE w:val="0"/>
            <w:autoSpaceDN w:val="0"/>
            <w:spacing w:before="40"/>
            <w:ind w:hanging="679"/>
          </w:pPr>
          <w:hyperlink w:anchor="_TOC_250018" w:history="1">
            <w:r>
              <w:t>Term</w:t>
            </w:r>
            <w:r>
              <w:rPr>
                <w:spacing w:val="-3"/>
              </w:rPr>
              <w:t xml:space="preserve"> </w:t>
            </w:r>
            <w:r>
              <w:t xml:space="preserve">of </w:t>
            </w:r>
            <w:r>
              <w:rPr>
                <w:spacing w:val="-2"/>
              </w:rPr>
              <w:t>appointments</w:t>
            </w:r>
            <w:r>
              <w:tab/>
            </w:r>
            <w:r>
              <w:rPr>
                <w:spacing w:val="-10"/>
              </w:rPr>
              <w:t>9</w:t>
            </w:r>
          </w:hyperlink>
        </w:p>
        <w:p w14:paraId="620FE8DB" w14:textId="77777777" w:rsidR="00811887" w:rsidRDefault="00811887" w:rsidP="00FB2FE9">
          <w:pPr>
            <w:pStyle w:val="TOC4"/>
            <w:widowControl w:val="0"/>
            <w:numPr>
              <w:ilvl w:val="0"/>
              <w:numId w:val="78"/>
            </w:numPr>
            <w:tabs>
              <w:tab w:val="left" w:pos="3768"/>
              <w:tab w:val="left" w:leader="dot" w:pos="8667"/>
            </w:tabs>
            <w:autoSpaceDE w:val="0"/>
            <w:autoSpaceDN w:val="0"/>
            <w:spacing w:before="40"/>
            <w:ind w:hanging="679"/>
          </w:pPr>
          <w:hyperlink w:anchor="_TOC_250017" w:history="1">
            <w:r>
              <w:t>Acting</w:t>
            </w:r>
            <w:r>
              <w:rPr>
                <w:spacing w:val="-4"/>
              </w:rPr>
              <w:t xml:space="preserve"> </w:t>
            </w:r>
            <w:r>
              <w:rPr>
                <w:spacing w:val="-2"/>
              </w:rPr>
              <w:t>appointments</w:t>
            </w:r>
            <w:r>
              <w:tab/>
            </w:r>
            <w:r>
              <w:rPr>
                <w:spacing w:val="-10"/>
              </w:rPr>
              <w:t>9</w:t>
            </w:r>
          </w:hyperlink>
        </w:p>
        <w:p w14:paraId="1765030F" w14:textId="77777777" w:rsidR="00811887" w:rsidRDefault="00811887" w:rsidP="00FB2FE9">
          <w:pPr>
            <w:pStyle w:val="TOC4"/>
            <w:widowControl w:val="0"/>
            <w:numPr>
              <w:ilvl w:val="0"/>
              <w:numId w:val="78"/>
            </w:numPr>
            <w:tabs>
              <w:tab w:val="left" w:pos="3768"/>
              <w:tab w:val="left" w:leader="dot" w:pos="8578"/>
            </w:tabs>
            <w:autoSpaceDE w:val="0"/>
            <w:autoSpaceDN w:val="0"/>
            <w:spacing w:before="41"/>
            <w:ind w:hanging="679"/>
          </w:pPr>
          <w:hyperlink w:anchor="_TOC_250016" w:history="1">
            <w:r>
              <w:rPr>
                <w:spacing w:val="-2"/>
              </w:rPr>
              <w:t>Allowances</w:t>
            </w:r>
            <w:r>
              <w:tab/>
            </w:r>
            <w:r>
              <w:rPr>
                <w:spacing w:val="-5"/>
              </w:rPr>
              <w:t>10</w:t>
            </w:r>
          </w:hyperlink>
        </w:p>
        <w:p w14:paraId="193326B3" w14:textId="77777777" w:rsidR="00811887" w:rsidRDefault="00811887" w:rsidP="00FB2FE9">
          <w:pPr>
            <w:pStyle w:val="TOC4"/>
            <w:widowControl w:val="0"/>
            <w:numPr>
              <w:ilvl w:val="0"/>
              <w:numId w:val="78"/>
            </w:numPr>
            <w:tabs>
              <w:tab w:val="left" w:pos="3768"/>
              <w:tab w:val="left" w:leader="dot" w:pos="8578"/>
            </w:tabs>
            <w:autoSpaceDE w:val="0"/>
            <w:autoSpaceDN w:val="0"/>
            <w:spacing w:before="40"/>
            <w:ind w:hanging="679"/>
          </w:pPr>
          <w:hyperlink w:anchor="_TOC_250015" w:history="1">
            <w:r>
              <w:t>Leave</w:t>
            </w:r>
            <w:r>
              <w:rPr>
                <w:spacing w:val="-5"/>
              </w:rPr>
              <w:t xml:space="preserve"> </w:t>
            </w:r>
            <w:r>
              <w:t>of</w:t>
            </w:r>
            <w:r>
              <w:rPr>
                <w:spacing w:val="-3"/>
              </w:rPr>
              <w:t xml:space="preserve"> </w:t>
            </w:r>
            <w:r>
              <w:rPr>
                <w:spacing w:val="-2"/>
              </w:rPr>
              <w:t>absence</w:t>
            </w:r>
            <w:r>
              <w:tab/>
            </w:r>
            <w:r>
              <w:rPr>
                <w:spacing w:val="-5"/>
              </w:rPr>
              <w:t>10</w:t>
            </w:r>
          </w:hyperlink>
        </w:p>
        <w:p w14:paraId="5A60691B" w14:textId="77777777" w:rsidR="00811887" w:rsidRDefault="00811887" w:rsidP="00FB2FE9">
          <w:pPr>
            <w:pStyle w:val="TOC4"/>
            <w:widowControl w:val="0"/>
            <w:numPr>
              <w:ilvl w:val="0"/>
              <w:numId w:val="78"/>
            </w:numPr>
            <w:tabs>
              <w:tab w:val="left" w:pos="3768"/>
              <w:tab w:val="left" w:leader="dot" w:pos="8578"/>
            </w:tabs>
            <w:autoSpaceDE w:val="0"/>
            <w:autoSpaceDN w:val="0"/>
            <w:spacing w:before="40"/>
            <w:ind w:hanging="679"/>
          </w:pPr>
          <w:hyperlink w:anchor="_TOC_250014" w:history="1">
            <w:r>
              <w:t>Disclosure</w:t>
            </w:r>
            <w:r>
              <w:rPr>
                <w:spacing w:val="-3"/>
              </w:rPr>
              <w:t xml:space="preserve"> </w:t>
            </w:r>
            <w:r>
              <w:t>of</w:t>
            </w:r>
            <w:r>
              <w:rPr>
                <w:spacing w:val="-3"/>
              </w:rPr>
              <w:t xml:space="preserve"> </w:t>
            </w:r>
            <w:r>
              <w:t>interests</w:t>
            </w:r>
            <w:r>
              <w:rPr>
                <w:spacing w:val="-2"/>
              </w:rPr>
              <w:t xml:space="preserve"> </w:t>
            </w:r>
            <w:r>
              <w:t>to Joint</w:t>
            </w:r>
            <w:r>
              <w:rPr>
                <w:spacing w:val="-1"/>
              </w:rPr>
              <w:t xml:space="preserve"> </w:t>
            </w:r>
            <w:r>
              <w:rPr>
                <w:spacing w:val="-2"/>
              </w:rPr>
              <w:t>Ministers</w:t>
            </w:r>
            <w:r>
              <w:tab/>
            </w:r>
            <w:r>
              <w:rPr>
                <w:spacing w:val="-5"/>
              </w:rPr>
              <w:t>10</w:t>
            </w:r>
          </w:hyperlink>
        </w:p>
        <w:p w14:paraId="3FAD26F9" w14:textId="77777777" w:rsidR="00811887" w:rsidRDefault="00811887" w:rsidP="00FB2FE9">
          <w:pPr>
            <w:pStyle w:val="TOC4"/>
            <w:widowControl w:val="0"/>
            <w:numPr>
              <w:ilvl w:val="0"/>
              <w:numId w:val="78"/>
            </w:numPr>
            <w:tabs>
              <w:tab w:val="left" w:pos="3768"/>
              <w:tab w:val="left" w:leader="dot" w:pos="8578"/>
            </w:tabs>
            <w:autoSpaceDE w:val="0"/>
            <w:autoSpaceDN w:val="0"/>
            <w:spacing w:before="40"/>
            <w:ind w:hanging="679"/>
          </w:pPr>
          <w:hyperlink w:anchor="_TOC_250013" w:history="1">
            <w:r>
              <w:t>Disclosure</w:t>
            </w:r>
            <w:r>
              <w:rPr>
                <w:spacing w:val="-2"/>
              </w:rPr>
              <w:t xml:space="preserve"> </w:t>
            </w:r>
            <w:r>
              <w:t>of</w:t>
            </w:r>
            <w:r>
              <w:rPr>
                <w:spacing w:val="-3"/>
              </w:rPr>
              <w:t xml:space="preserve"> </w:t>
            </w:r>
            <w:r>
              <w:t>interests</w:t>
            </w:r>
            <w:r>
              <w:rPr>
                <w:spacing w:val="-2"/>
              </w:rPr>
              <w:t xml:space="preserve"> </w:t>
            </w:r>
            <w:r>
              <w:t>to</w:t>
            </w:r>
            <w:r>
              <w:rPr>
                <w:spacing w:val="1"/>
              </w:rPr>
              <w:t xml:space="preserve"> </w:t>
            </w:r>
            <w:r>
              <w:rPr>
                <w:spacing w:val="-2"/>
              </w:rPr>
              <w:t>Committee</w:t>
            </w:r>
            <w:r>
              <w:tab/>
            </w:r>
            <w:r>
              <w:rPr>
                <w:spacing w:val="-5"/>
              </w:rPr>
              <w:t>10</w:t>
            </w:r>
          </w:hyperlink>
        </w:p>
        <w:p w14:paraId="70BCE317" w14:textId="77777777" w:rsidR="00811887" w:rsidRDefault="00811887" w:rsidP="00FB2FE9">
          <w:pPr>
            <w:pStyle w:val="TOC4"/>
            <w:widowControl w:val="0"/>
            <w:numPr>
              <w:ilvl w:val="0"/>
              <w:numId w:val="78"/>
            </w:numPr>
            <w:tabs>
              <w:tab w:val="left" w:pos="3768"/>
              <w:tab w:val="left" w:leader="dot" w:pos="8578"/>
            </w:tabs>
            <w:autoSpaceDE w:val="0"/>
            <w:autoSpaceDN w:val="0"/>
            <w:spacing w:before="38"/>
            <w:ind w:hanging="679"/>
          </w:pPr>
          <w:hyperlink w:anchor="_TOC_250012" w:history="1">
            <w:r>
              <w:t>Resignation of</w:t>
            </w:r>
            <w:r>
              <w:rPr>
                <w:spacing w:val="-2"/>
              </w:rPr>
              <w:t xml:space="preserve"> appointment</w:t>
            </w:r>
            <w:r>
              <w:tab/>
            </w:r>
            <w:r>
              <w:rPr>
                <w:spacing w:val="-5"/>
              </w:rPr>
              <w:t>11</w:t>
            </w:r>
          </w:hyperlink>
        </w:p>
        <w:p w14:paraId="1960D1E2" w14:textId="77777777" w:rsidR="00811887" w:rsidRDefault="00811887" w:rsidP="00FB2FE9">
          <w:pPr>
            <w:pStyle w:val="TOC4"/>
            <w:widowControl w:val="0"/>
            <w:numPr>
              <w:ilvl w:val="0"/>
              <w:numId w:val="78"/>
            </w:numPr>
            <w:tabs>
              <w:tab w:val="left" w:pos="3768"/>
              <w:tab w:val="left" w:leader="dot" w:pos="8578"/>
            </w:tabs>
            <w:autoSpaceDE w:val="0"/>
            <w:autoSpaceDN w:val="0"/>
            <w:spacing w:before="40"/>
            <w:ind w:hanging="679"/>
          </w:pPr>
          <w:hyperlink w:anchor="_TOC_250011" w:history="1">
            <w:r>
              <w:t>Termination</w:t>
            </w:r>
            <w:r>
              <w:rPr>
                <w:spacing w:val="-1"/>
              </w:rPr>
              <w:t xml:space="preserve"> </w:t>
            </w:r>
            <w:r>
              <w:t>of</w:t>
            </w:r>
            <w:r>
              <w:rPr>
                <w:spacing w:val="-3"/>
              </w:rPr>
              <w:t xml:space="preserve"> </w:t>
            </w:r>
            <w:r>
              <w:rPr>
                <w:spacing w:val="-2"/>
              </w:rPr>
              <w:t>appointment</w:t>
            </w:r>
            <w:r>
              <w:tab/>
            </w:r>
            <w:r>
              <w:rPr>
                <w:spacing w:val="-5"/>
              </w:rPr>
              <w:t>11</w:t>
            </w:r>
          </w:hyperlink>
        </w:p>
        <w:p w14:paraId="32608D90" w14:textId="77777777" w:rsidR="00811887" w:rsidRDefault="00811887" w:rsidP="00FB2FE9">
          <w:pPr>
            <w:pStyle w:val="TOC4"/>
            <w:widowControl w:val="0"/>
            <w:numPr>
              <w:ilvl w:val="0"/>
              <w:numId w:val="78"/>
            </w:numPr>
            <w:tabs>
              <w:tab w:val="left" w:pos="3768"/>
              <w:tab w:val="left" w:leader="dot" w:pos="8578"/>
            </w:tabs>
            <w:autoSpaceDE w:val="0"/>
            <w:autoSpaceDN w:val="0"/>
            <w:spacing w:before="41"/>
            <w:ind w:hanging="679"/>
          </w:pPr>
          <w:hyperlink w:anchor="_TOC_250010" w:history="1">
            <w:r>
              <w:t>Other</w:t>
            </w:r>
            <w:r>
              <w:rPr>
                <w:spacing w:val="-2"/>
              </w:rPr>
              <w:t xml:space="preserve"> </w:t>
            </w:r>
            <w:r>
              <w:t>terms</w:t>
            </w:r>
            <w:r>
              <w:rPr>
                <w:spacing w:val="-2"/>
              </w:rPr>
              <w:t xml:space="preserve"> </w:t>
            </w:r>
            <w:r>
              <w:t xml:space="preserve">and </w:t>
            </w:r>
            <w:r>
              <w:rPr>
                <w:spacing w:val="-2"/>
              </w:rPr>
              <w:t>conditions</w:t>
            </w:r>
            <w:r>
              <w:tab/>
            </w:r>
            <w:r>
              <w:rPr>
                <w:spacing w:val="-5"/>
              </w:rPr>
              <w:t>12</w:t>
            </w:r>
          </w:hyperlink>
        </w:p>
        <w:p w14:paraId="3D23AB93" w14:textId="77777777" w:rsidR="00811887" w:rsidRDefault="00811887" w:rsidP="00811887">
          <w:pPr>
            <w:pStyle w:val="TOC3"/>
            <w:tabs>
              <w:tab w:val="left" w:pos="8578"/>
            </w:tabs>
            <w:spacing w:before="84"/>
            <w:rPr>
              <w:b/>
              <w:sz w:val="18"/>
            </w:rPr>
          </w:pPr>
          <w:hyperlink w:anchor="_TOC_250009" w:history="1">
            <w:r>
              <w:t>Division</w:t>
            </w:r>
            <w:r>
              <w:rPr>
                <w:spacing w:val="-11"/>
              </w:rPr>
              <w:t xml:space="preserve"> </w:t>
            </w:r>
            <w:r>
              <w:t>4—Committee’s</w:t>
            </w:r>
            <w:r>
              <w:rPr>
                <w:spacing w:val="-11"/>
              </w:rPr>
              <w:t xml:space="preserve"> </w:t>
            </w:r>
            <w:r>
              <w:rPr>
                <w:spacing w:val="-2"/>
              </w:rPr>
              <w:t>operation</w:t>
            </w:r>
            <w:r>
              <w:tab/>
            </w:r>
            <w:r>
              <w:rPr>
                <w:spacing w:val="-5"/>
                <w:sz w:val="18"/>
              </w:rPr>
              <w:t>13</w:t>
            </w:r>
          </w:hyperlink>
        </w:p>
        <w:p w14:paraId="1C79ED36" w14:textId="77777777" w:rsidR="00811887" w:rsidRDefault="00811887" w:rsidP="00FB2FE9">
          <w:pPr>
            <w:pStyle w:val="TOC4"/>
            <w:widowControl w:val="0"/>
            <w:numPr>
              <w:ilvl w:val="0"/>
              <w:numId w:val="78"/>
            </w:numPr>
            <w:tabs>
              <w:tab w:val="left" w:pos="3768"/>
              <w:tab w:val="left" w:leader="dot" w:pos="8578"/>
            </w:tabs>
            <w:autoSpaceDE w:val="0"/>
            <w:autoSpaceDN w:val="0"/>
            <w:spacing w:before="36"/>
            <w:ind w:hanging="679"/>
          </w:pPr>
          <w:hyperlink w:anchor="_TOC_250008" w:history="1">
            <w:r>
              <w:t>Holding</w:t>
            </w:r>
            <w:r>
              <w:rPr>
                <w:spacing w:val="-1"/>
              </w:rPr>
              <w:t xml:space="preserve"> </w:t>
            </w:r>
            <w:r>
              <w:rPr>
                <w:spacing w:val="-2"/>
              </w:rPr>
              <w:t>meetings</w:t>
            </w:r>
            <w:r>
              <w:tab/>
            </w:r>
            <w:r>
              <w:rPr>
                <w:spacing w:val="-7"/>
              </w:rPr>
              <w:t>13</w:t>
            </w:r>
          </w:hyperlink>
        </w:p>
        <w:p w14:paraId="0C8DFD0C" w14:textId="77777777" w:rsidR="00811887" w:rsidRDefault="00811887" w:rsidP="00FB2FE9">
          <w:pPr>
            <w:pStyle w:val="TOC4"/>
            <w:widowControl w:val="0"/>
            <w:numPr>
              <w:ilvl w:val="0"/>
              <w:numId w:val="78"/>
            </w:numPr>
            <w:tabs>
              <w:tab w:val="left" w:pos="3768"/>
              <w:tab w:val="left" w:leader="dot" w:pos="8578"/>
            </w:tabs>
            <w:autoSpaceDE w:val="0"/>
            <w:autoSpaceDN w:val="0"/>
            <w:spacing w:before="41"/>
            <w:ind w:hanging="679"/>
          </w:pPr>
          <w:hyperlink w:anchor="_TOC_250007" w:history="1">
            <w:r>
              <w:rPr>
                <w:spacing w:val="-2"/>
              </w:rPr>
              <w:t>Quorum</w:t>
            </w:r>
            <w:r>
              <w:tab/>
            </w:r>
            <w:r>
              <w:rPr>
                <w:spacing w:val="-5"/>
              </w:rPr>
              <w:t>13</w:t>
            </w:r>
          </w:hyperlink>
        </w:p>
        <w:p w14:paraId="3E317353" w14:textId="77777777" w:rsidR="00811887" w:rsidRDefault="00811887" w:rsidP="00FB2FE9">
          <w:pPr>
            <w:pStyle w:val="TOC4"/>
            <w:widowControl w:val="0"/>
            <w:numPr>
              <w:ilvl w:val="0"/>
              <w:numId w:val="78"/>
            </w:numPr>
            <w:tabs>
              <w:tab w:val="left" w:pos="3768"/>
              <w:tab w:val="left" w:leader="dot" w:pos="8578"/>
            </w:tabs>
            <w:autoSpaceDE w:val="0"/>
            <w:autoSpaceDN w:val="0"/>
            <w:spacing w:before="40"/>
            <w:ind w:hanging="679"/>
          </w:pPr>
          <w:hyperlink w:anchor="_TOC_250006" w:history="1">
            <w:r>
              <w:t>Conduct</w:t>
            </w:r>
            <w:r>
              <w:rPr>
                <w:spacing w:val="-2"/>
              </w:rPr>
              <w:t xml:space="preserve"> </w:t>
            </w:r>
            <w:r>
              <w:t>of</w:t>
            </w:r>
            <w:r>
              <w:rPr>
                <w:spacing w:val="-2"/>
              </w:rPr>
              <w:t xml:space="preserve"> meetings</w:t>
            </w:r>
            <w:r>
              <w:tab/>
            </w:r>
            <w:r>
              <w:rPr>
                <w:spacing w:val="-5"/>
              </w:rPr>
              <w:t>13</w:t>
            </w:r>
          </w:hyperlink>
        </w:p>
        <w:p w14:paraId="0A221950" w14:textId="77777777" w:rsidR="00811887" w:rsidRDefault="00811887" w:rsidP="00FB2FE9">
          <w:pPr>
            <w:pStyle w:val="TOC4"/>
            <w:widowControl w:val="0"/>
            <w:numPr>
              <w:ilvl w:val="0"/>
              <w:numId w:val="78"/>
            </w:numPr>
            <w:tabs>
              <w:tab w:val="left" w:pos="3768"/>
            </w:tabs>
            <w:autoSpaceDE w:val="0"/>
            <w:autoSpaceDN w:val="0"/>
            <w:spacing w:before="41"/>
            <w:ind w:hanging="679"/>
          </w:pPr>
          <w:r>
            <w:t>Departmental</w:t>
          </w:r>
          <w:r>
            <w:rPr>
              <w:spacing w:val="-2"/>
            </w:rPr>
            <w:t xml:space="preserve"> </w:t>
          </w:r>
          <w:r>
            <w:t>Secretary</w:t>
          </w:r>
          <w:r>
            <w:rPr>
              <w:spacing w:val="-5"/>
            </w:rPr>
            <w:t xml:space="preserve"> </w:t>
          </w:r>
          <w:r>
            <w:t>and</w:t>
          </w:r>
          <w:r>
            <w:rPr>
              <w:spacing w:val="-1"/>
            </w:rPr>
            <w:t xml:space="preserve"> </w:t>
          </w:r>
          <w:r>
            <w:t>Treasury</w:t>
          </w:r>
          <w:r>
            <w:rPr>
              <w:spacing w:val="-5"/>
            </w:rPr>
            <w:t xml:space="preserve"> </w:t>
          </w:r>
          <w:r>
            <w:t>Secretary</w:t>
          </w:r>
          <w:r>
            <w:rPr>
              <w:spacing w:val="-3"/>
            </w:rPr>
            <w:t xml:space="preserve"> </w:t>
          </w:r>
          <w:r>
            <w:t xml:space="preserve">to </w:t>
          </w:r>
          <w:r>
            <w:rPr>
              <w:spacing w:val="-2"/>
            </w:rPr>
            <w:t>attend</w:t>
          </w:r>
        </w:p>
        <w:p w14:paraId="5931C397" w14:textId="77777777" w:rsidR="00811887" w:rsidRDefault="00811887" w:rsidP="00811887">
          <w:pPr>
            <w:pStyle w:val="TOC5"/>
            <w:tabs>
              <w:tab w:val="left" w:leader="dot" w:pos="8578"/>
            </w:tabs>
          </w:pPr>
          <w:r>
            <w:t>meetings</w:t>
          </w:r>
          <w:r>
            <w:rPr>
              <w:spacing w:val="-5"/>
            </w:rPr>
            <w:t xml:space="preserve"> </w:t>
          </w:r>
          <w:r>
            <w:t>and</w:t>
          </w:r>
          <w:r>
            <w:rPr>
              <w:spacing w:val="1"/>
            </w:rPr>
            <w:t xml:space="preserve"> </w:t>
          </w:r>
          <w:r>
            <w:t>provide</w:t>
          </w:r>
          <w:r>
            <w:rPr>
              <w:spacing w:val="-2"/>
            </w:rPr>
            <w:t xml:space="preserve"> </w:t>
          </w:r>
          <w:r>
            <w:t>advice</w:t>
          </w:r>
          <w:r>
            <w:rPr>
              <w:spacing w:val="-2"/>
            </w:rPr>
            <w:t xml:space="preserve"> </w:t>
          </w:r>
          <w:r>
            <w:t>or</w:t>
          </w:r>
          <w:r>
            <w:rPr>
              <w:spacing w:val="-1"/>
            </w:rPr>
            <w:t xml:space="preserve"> </w:t>
          </w:r>
          <w:r>
            <w:rPr>
              <w:spacing w:val="-2"/>
            </w:rPr>
            <w:t>assistance</w:t>
          </w:r>
          <w:r>
            <w:tab/>
          </w:r>
          <w:r>
            <w:rPr>
              <w:spacing w:val="-5"/>
            </w:rPr>
            <w:t>13</w:t>
          </w:r>
        </w:p>
        <w:p w14:paraId="6529542A" w14:textId="77777777" w:rsidR="00811887" w:rsidRDefault="00811887" w:rsidP="00811887">
          <w:pPr>
            <w:pStyle w:val="TOC4"/>
            <w:tabs>
              <w:tab w:val="left" w:pos="3768"/>
            </w:tabs>
            <w:spacing w:before="38"/>
            <w:ind w:left="3089"/>
          </w:pPr>
          <w:r>
            <w:rPr>
              <w:spacing w:val="-5"/>
            </w:rPr>
            <w:t>24A</w:t>
          </w:r>
          <w:r>
            <w:tab/>
            <w:t>Joint</w:t>
          </w:r>
          <w:r>
            <w:rPr>
              <w:spacing w:val="-5"/>
            </w:rPr>
            <w:t xml:space="preserve"> </w:t>
          </w:r>
          <w:r>
            <w:t>Ministers</w:t>
          </w:r>
          <w:r>
            <w:rPr>
              <w:spacing w:val="-3"/>
            </w:rPr>
            <w:t xml:space="preserve"> </w:t>
          </w:r>
          <w:r>
            <w:t>to</w:t>
          </w:r>
          <w:r>
            <w:rPr>
              <w:spacing w:val="-2"/>
            </w:rPr>
            <w:t xml:space="preserve"> </w:t>
          </w:r>
          <w:r>
            <w:t>attend</w:t>
          </w:r>
          <w:r>
            <w:rPr>
              <w:spacing w:val="-1"/>
            </w:rPr>
            <w:t xml:space="preserve"> </w:t>
          </w:r>
          <w:r>
            <w:t>meetings</w:t>
          </w:r>
          <w:r>
            <w:rPr>
              <w:spacing w:val="-1"/>
            </w:rPr>
            <w:t xml:space="preserve"> </w:t>
          </w:r>
          <w:r>
            <w:t>and</w:t>
          </w:r>
          <w:r>
            <w:rPr>
              <w:spacing w:val="-4"/>
            </w:rPr>
            <w:t xml:space="preserve"> </w:t>
          </w:r>
          <w:r>
            <w:t>provide</w:t>
          </w:r>
          <w:r>
            <w:rPr>
              <w:spacing w:val="-3"/>
            </w:rPr>
            <w:t xml:space="preserve"> </w:t>
          </w:r>
          <w:r>
            <w:t>advice</w:t>
          </w:r>
          <w:r>
            <w:rPr>
              <w:spacing w:val="-3"/>
            </w:rPr>
            <w:t xml:space="preserve"> </w:t>
          </w:r>
          <w:r>
            <w:rPr>
              <w:spacing w:val="-5"/>
            </w:rPr>
            <w:t>or</w:t>
          </w:r>
        </w:p>
        <w:p w14:paraId="7D8EC711" w14:textId="77777777" w:rsidR="00811887" w:rsidRDefault="00811887" w:rsidP="00811887">
          <w:pPr>
            <w:pStyle w:val="TOC5"/>
            <w:tabs>
              <w:tab w:val="left" w:leader="dot" w:pos="8578"/>
            </w:tabs>
            <w:spacing w:before="2"/>
          </w:pPr>
          <w:r>
            <w:rPr>
              <w:spacing w:val="-2"/>
            </w:rPr>
            <w:t>assistance</w:t>
          </w:r>
          <w:r>
            <w:tab/>
          </w:r>
          <w:r>
            <w:rPr>
              <w:spacing w:val="-5"/>
            </w:rPr>
            <w:t>14</w:t>
          </w:r>
        </w:p>
        <w:p w14:paraId="6977C205" w14:textId="77777777" w:rsidR="00811887" w:rsidRDefault="00811887" w:rsidP="00811887">
          <w:pPr>
            <w:pStyle w:val="TOC2"/>
            <w:tabs>
              <w:tab w:val="left" w:pos="8578"/>
            </w:tabs>
            <w:rPr>
              <w:b/>
              <w:sz w:val="18"/>
            </w:rPr>
          </w:pPr>
          <w:hyperlink w:anchor="_TOC_250005" w:history="1">
            <w:r>
              <w:t>Part</w:t>
            </w:r>
            <w:r>
              <w:rPr>
                <w:spacing w:val="-6"/>
              </w:rPr>
              <w:t xml:space="preserve"> </w:t>
            </w:r>
            <w:r>
              <w:t>3—Other</w:t>
            </w:r>
            <w:r>
              <w:rPr>
                <w:spacing w:val="-1"/>
              </w:rPr>
              <w:t xml:space="preserve"> </w:t>
            </w:r>
            <w:r>
              <w:rPr>
                <w:spacing w:val="-2"/>
              </w:rPr>
              <w:t>matters</w:t>
            </w:r>
            <w:r>
              <w:tab/>
            </w:r>
            <w:r>
              <w:rPr>
                <w:spacing w:val="-5"/>
                <w:sz w:val="18"/>
              </w:rPr>
              <w:t>15</w:t>
            </w:r>
          </w:hyperlink>
        </w:p>
        <w:p w14:paraId="325B3AEB" w14:textId="77777777" w:rsidR="00811887" w:rsidRDefault="00811887" w:rsidP="00FB2FE9">
          <w:pPr>
            <w:pStyle w:val="TOC4"/>
            <w:widowControl w:val="0"/>
            <w:numPr>
              <w:ilvl w:val="0"/>
              <w:numId w:val="78"/>
            </w:numPr>
            <w:tabs>
              <w:tab w:val="left" w:pos="3768"/>
              <w:tab w:val="left" w:leader="dot" w:pos="8578"/>
            </w:tabs>
            <w:autoSpaceDE w:val="0"/>
            <w:autoSpaceDN w:val="0"/>
            <w:spacing w:before="37"/>
            <w:ind w:hanging="679"/>
          </w:pPr>
          <w:r>
            <w:rPr>
              <w:noProof/>
            </w:rPr>
            <mc:AlternateContent>
              <mc:Choice Requires="wps">
                <w:drawing>
                  <wp:anchor distT="0" distB="0" distL="0" distR="0" simplePos="0" relativeHeight="251682816" behindDoc="0" locked="0" layoutInCell="1" allowOverlap="1" wp14:anchorId="09A667FC" wp14:editId="4FEFEAA4">
                    <wp:simplePos x="0" y="0"/>
                    <wp:positionH relativeFrom="page">
                      <wp:posOffset>1512061</wp:posOffset>
                    </wp:positionH>
                    <wp:positionV relativeFrom="paragraph">
                      <wp:posOffset>326953</wp:posOffset>
                    </wp:positionV>
                    <wp:extent cx="4538345" cy="9525"/>
                    <wp:effectExtent l="0" t="0" r="0" b="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53B40" id="Graphic 5" o:spid="_x0000_s1026" alt="&quot;&quot;" style="position:absolute;margin-left:119.05pt;margin-top:25.75pt;width:357.35pt;height:.75pt;z-index:25168281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" path="m4537837,l,,,9143r4537837,l4537837,xe" fillcolor="black" stroked="f">
                    <v:path arrowok="t"/>
                    <w10:wrap anchorx="page"/>
                  </v:shape>
                </w:pict>
              </mc:Fallback>
            </mc:AlternateContent>
          </w:r>
          <w:hyperlink w:anchor="_TOC_250004" w:history="1">
            <w:r>
              <w:t>Simplified</w:t>
            </w:r>
            <w:r>
              <w:rPr>
                <w:spacing w:val="-2"/>
              </w:rPr>
              <w:t xml:space="preserve"> </w:t>
            </w:r>
            <w:r>
              <w:t>outline</w:t>
            </w:r>
            <w:r>
              <w:rPr>
                <w:spacing w:val="-2"/>
              </w:rPr>
              <w:t xml:space="preserve"> </w:t>
            </w:r>
            <w:r>
              <w:t>of</w:t>
            </w:r>
            <w:r>
              <w:rPr>
                <w:spacing w:val="-3"/>
              </w:rPr>
              <w:t xml:space="preserve"> </w:t>
            </w:r>
            <w:r>
              <w:t>this</w:t>
            </w:r>
            <w:r>
              <w:rPr>
                <w:spacing w:val="-2"/>
              </w:rPr>
              <w:t xml:space="preserve"> </w:t>
            </w:r>
            <w:r>
              <w:rPr>
                <w:spacing w:val="-4"/>
              </w:rPr>
              <w:t>Part</w:t>
            </w:r>
            <w:r>
              <w:tab/>
            </w:r>
            <w:r>
              <w:rPr>
                <w:spacing w:val="-5"/>
              </w:rPr>
              <w:t>15</w:t>
            </w:r>
          </w:hyperlink>
        </w:p>
        <w:p w14:paraId="70F021EF" w14:textId="77777777" w:rsidR="00811887" w:rsidRDefault="00811887" w:rsidP="00811887">
          <w:pPr>
            <w:pStyle w:val="TOC1"/>
            <w:tabs>
              <w:tab w:val="left" w:pos="2016"/>
              <w:tab w:val="left" w:pos="7038"/>
            </w:tabs>
          </w:pPr>
          <w:r>
            <w:lastRenderedPageBreak/>
            <w:t>No.</w:t>
          </w:r>
          <w:r>
            <w:rPr>
              <w:spacing w:val="-4"/>
            </w:rPr>
            <w:t xml:space="preserve"> </w:t>
          </w:r>
          <w:r>
            <w:t>112,</w:t>
          </w:r>
          <w:r>
            <w:rPr>
              <w:spacing w:val="-1"/>
            </w:rPr>
            <w:t xml:space="preserve"> </w:t>
          </w:r>
          <w:r>
            <w:rPr>
              <w:spacing w:val="-4"/>
            </w:rPr>
            <w:t>2023</w:t>
          </w:r>
          <w:r>
            <w:tab/>
            <w:t>Economic</w:t>
          </w:r>
          <w:r>
            <w:rPr>
              <w:spacing w:val="-3"/>
            </w:rPr>
            <w:t xml:space="preserve"> </w:t>
          </w:r>
          <w:r>
            <w:t>Inclusion</w:t>
          </w:r>
          <w:r>
            <w:rPr>
              <w:spacing w:val="-3"/>
            </w:rPr>
            <w:t xml:space="preserve"> </w:t>
          </w:r>
          <w:r>
            <w:t>Advisory</w:t>
          </w:r>
          <w:r>
            <w:rPr>
              <w:spacing w:val="-3"/>
            </w:rPr>
            <w:t xml:space="preserve"> </w:t>
          </w:r>
          <w:r>
            <w:t>Committee</w:t>
          </w:r>
          <w:r>
            <w:rPr>
              <w:spacing w:val="-3"/>
            </w:rPr>
            <w:t xml:space="preserve"> </w:t>
          </w:r>
          <w:r>
            <w:t>Act</w:t>
          </w:r>
          <w:r>
            <w:rPr>
              <w:spacing w:val="-1"/>
            </w:rPr>
            <w:t xml:space="preserve"> </w:t>
          </w:r>
          <w:r>
            <w:rPr>
              <w:spacing w:val="-4"/>
            </w:rPr>
            <w:t>2023</w:t>
          </w:r>
          <w:r>
            <w:tab/>
          </w:r>
          <w:r>
            <w:rPr>
              <w:spacing w:val="-10"/>
            </w:rPr>
            <w:t>i</w:t>
          </w:r>
        </w:p>
        <w:p w14:paraId="4752C27D" w14:textId="77777777" w:rsidR="00811887" w:rsidRDefault="00811887" w:rsidP="00FB2FE9">
          <w:pPr>
            <w:pStyle w:val="TOC4"/>
            <w:widowControl w:val="0"/>
            <w:numPr>
              <w:ilvl w:val="0"/>
              <w:numId w:val="78"/>
            </w:numPr>
            <w:tabs>
              <w:tab w:val="left" w:pos="3768"/>
              <w:tab w:val="right" w:leader="dot" w:pos="8761"/>
            </w:tabs>
            <w:autoSpaceDE w:val="0"/>
            <w:autoSpaceDN w:val="0"/>
            <w:spacing w:before="435"/>
            <w:ind w:hanging="679"/>
          </w:pPr>
          <w:hyperlink w:anchor="_TOC_250003" w:history="1">
            <w:r>
              <w:rPr>
                <w:spacing w:val="-2"/>
              </w:rPr>
              <w:t>Staffing</w:t>
            </w:r>
            <w:r>
              <w:tab/>
            </w:r>
            <w:r>
              <w:rPr>
                <w:spacing w:val="-5"/>
              </w:rPr>
              <w:t>15</w:t>
            </w:r>
          </w:hyperlink>
        </w:p>
        <w:p w14:paraId="4CFC0835" w14:textId="77777777" w:rsidR="00811887" w:rsidRDefault="00811887" w:rsidP="00FB2FE9">
          <w:pPr>
            <w:pStyle w:val="TOC4"/>
            <w:widowControl w:val="0"/>
            <w:numPr>
              <w:ilvl w:val="0"/>
              <w:numId w:val="78"/>
            </w:numPr>
            <w:tabs>
              <w:tab w:val="left" w:pos="3768"/>
              <w:tab w:val="right" w:leader="dot" w:pos="8761"/>
            </w:tabs>
            <w:autoSpaceDE w:val="0"/>
            <w:autoSpaceDN w:val="0"/>
            <w:spacing w:before="40"/>
            <w:ind w:hanging="679"/>
          </w:pPr>
          <w:hyperlink w:anchor="_TOC_250002" w:history="1">
            <w:r>
              <w:t>Minister</w:t>
            </w:r>
            <w:r>
              <w:rPr>
                <w:spacing w:val="-1"/>
              </w:rPr>
              <w:t xml:space="preserve"> </w:t>
            </w:r>
            <w:r>
              <w:t>to consult</w:t>
            </w:r>
            <w:r>
              <w:rPr>
                <w:spacing w:val="-2"/>
              </w:rPr>
              <w:t xml:space="preserve"> </w:t>
            </w:r>
            <w:r>
              <w:t>the</w:t>
            </w:r>
            <w:r>
              <w:rPr>
                <w:spacing w:val="-1"/>
              </w:rPr>
              <w:t xml:space="preserve"> </w:t>
            </w:r>
            <w:r>
              <w:rPr>
                <w:spacing w:val="-2"/>
              </w:rPr>
              <w:t>Treasurer</w:t>
            </w:r>
            <w:r>
              <w:tab/>
            </w:r>
            <w:r>
              <w:rPr>
                <w:spacing w:val="-5"/>
              </w:rPr>
              <w:t>15</w:t>
            </w:r>
          </w:hyperlink>
        </w:p>
        <w:p w14:paraId="7BD3A813" w14:textId="77777777" w:rsidR="00811887" w:rsidRDefault="00811887" w:rsidP="00FB2FE9">
          <w:pPr>
            <w:pStyle w:val="TOC4"/>
            <w:widowControl w:val="0"/>
            <w:numPr>
              <w:ilvl w:val="0"/>
              <w:numId w:val="78"/>
            </w:numPr>
            <w:tabs>
              <w:tab w:val="left" w:pos="3768"/>
              <w:tab w:val="right" w:leader="dot" w:pos="8761"/>
            </w:tabs>
            <w:autoSpaceDE w:val="0"/>
            <w:autoSpaceDN w:val="0"/>
            <w:spacing w:before="41"/>
            <w:ind w:hanging="679"/>
          </w:pPr>
          <w:hyperlink w:anchor="_TOC_250001" w:history="1">
            <w:r>
              <w:t>Periodic</w:t>
            </w:r>
            <w:r>
              <w:rPr>
                <w:spacing w:val="-1"/>
              </w:rPr>
              <w:t xml:space="preserve"> </w:t>
            </w:r>
            <w:r>
              <w:t>reviews</w:t>
            </w:r>
            <w:r>
              <w:rPr>
                <w:spacing w:val="-1"/>
              </w:rPr>
              <w:t xml:space="preserve"> </w:t>
            </w:r>
            <w:r>
              <w:t>of</w:t>
            </w:r>
            <w:r>
              <w:rPr>
                <w:spacing w:val="-3"/>
              </w:rPr>
              <w:t xml:space="preserve"> </w:t>
            </w:r>
            <w:r>
              <w:t>the</w:t>
            </w:r>
            <w:r>
              <w:rPr>
                <w:spacing w:val="-1"/>
              </w:rPr>
              <w:t xml:space="preserve"> </w:t>
            </w:r>
            <w:r>
              <w:t>operation</w:t>
            </w:r>
            <w:r>
              <w:rPr>
                <w:spacing w:val="-5"/>
              </w:rPr>
              <w:t xml:space="preserve"> </w:t>
            </w:r>
            <w:r>
              <w:t>of</w:t>
            </w:r>
            <w:r>
              <w:rPr>
                <w:spacing w:val="-2"/>
              </w:rPr>
              <w:t xml:space="preserve"> </w:t>
            </w:r>
            <w:r>
              <w:t>this</w:t>
            </w:r>
            <w:r>
              <w:rPr>
                <w:spacing w:val="-1"/>
              </w:rPr>
              <w:t xml:space="preserve"> </w:t>
            </w:r>
            <w:r>
              <w:rPr>
                <w:spacing w:val="-5"/>
              </w:rPr>
              <w:t>Act</w:t>
            </w:r>
            <w:r>
              <w:tab/>
            </w:r>
            <w:r>
              <w:rPr>
                <w:spacing w:val="-5"/>
              </w:rPr>
              <w:t>15</w:t>
            </w:r>
          </w:hyperlink>
        </w:p>
        <w:p w14:paraId="01E3E468" w14:textId="77777777" w:rsidR="00811887" w:rsidRDefault="00811887" w:rsidP="00FB2FE9">
          <w:pPr>
            <w:pStyle w:val="TOC4"/>
            <w:widowControl w:val="0"/>
            <w:numPr>
              <w:ilvl w:val="0"/>
              <w:numId w:val="78"/>
            </w:numPr>
            <w:tabs>
              <w:tab w:val="left" w:pos="3768"/>
              <w:tab w:val="right" w:leader="dot" w:pos="8761"/>
            </w:tabs>
            <w:autoSpaceDE w:val="0"/>
            <w:autoSpaceDN w:val="0"/>
            <w:spacing w:before="40"/>
            <w:ind w:hanging="679"/>
          </w:pPr>
          <w:hyperlink w:anchor="_TOC_250000" w:history="1">
            <w:r>
              <w:rPr>
                <w:spacing w:val="-2"/>
              </w:rPr>
              <w:t>Regulations</w:t>
            </w:r>
            <w:r>
              <w:tab/>
            </w:r>
            <w:r>
              <w:rPr>
                <w:spacing w:val="-5"/>
              </w:rPr>
              <w:t>16</w:t>
            </w:r>
          </w:hyperlink>
        </w:p>
      </w:sdtContent>
    </w:sdt>
    <w:p w14:paraId="1EBE14DE" w14:textId="77777777" w:rsidR="00811887" w:rsidRDefault="00811887" w:rsidP="00811887">
      <w:pPr>
        <w:sectPr w:rsidR="00811887" w:rsidSect="00811887">
          <w:type w:val="continuous"/>
          <w:pgSz w:w="11910" w:h="16840"/>
          <w:pgMar w:top="1940" w:right="722" w:bottom="3644" w:left="740" w:header="0" w:footer="377" w:gutter="0"/>
          <w:cols w:space="720"/>
        </w:sectPr>
      </w:pPr>
    </w:p>
    <w:p w14:paraId="7D334D22" w14:textId="77777777" w:rsidR="00811887" w:rsidRDefault="00811887" w:rsidP="00811887">
      <w:pPr>
        <w:pStyle w:val="BodyText"/>
        <w:rPr>
          <w:rFonts w:ascii="Times New Roman"/>
        </w:rPr>
      </w:pPr>
    </w:p>
    <w:p w14:paraId="342302F2" w14:textId="77777777" w:rsidR="00811887" w:rsidRDefault="00811887" w:rsidP="00811887">
      <w:pPr>
        <w:pStyle w:val="BodyText"/>
        <w:rPr>
          <w:rFonts w:ascii="Times New Roman"/>
        </w:rPr>
      </w:pPr>
    </w:p>
    <w:p w14:paraId="3E34BF7A" w14:textId="77777777" w:rsidR="00811887" w:rsidRDefault="00811887" w:rsidP="00811887">
      <w:pPr>
        <w:pStyle w:val="BodyText"/>
        <w:rPr>
          <w:rFonts w:ascii="Times New Roman"/>
        </w:rPr>
      </w:pPr>
    </w:p>
    <w:p w14:paraId="08A282B1" w14:textId="77777777" w:rsidR="00811887" w:rsidRDefault="00811887" w:rsidP="00811887">
      <w:pPr>
        <w:pStyle w:val="BodyText"/>
        <w:rPr>
          <w:rFonts w:ascii="Times New Roman"/>
        </w:rPr>
      </w:pPr>
    </w:p>
    <w:p w14:paraId="5D7C6BD5" w14:textId="77777777" w:rsidR="00811887" w:rsidRDefault="00811887" w:rsidP="00811887">
      <w:pPr>
        <w:pStyle w:val="BodyText"/>
        <w:rPr>
          <w:rFonts w:ascii="Times New Roman"/>
        </w:rPr>
      </w:pPr>
    </w:p>
    <w:p w14:paraId="0941B8AD" w14:textId="77777777" w:rsidR="00811887" w:rsidRDefault="00811887" w:rsidP="00811887">
      <w:pPr>
        <w:pStyle w:val="BodyText"/>
        <w:rPr>
          <w:rFonts w:ascii="Times New Roman"/>
        </w:rPr>
      </w:pPr>
    </w:p>
    <w:p w14:paraId="395686B6" w14:textId="77777777" w:rsidR="00811887" w:rsidRDefault="00811887" w:rsidP="00811887">
      <w:pPr>
        <w:pStyle w:val="BodyText"/>
        <w:rPr>
          <w:rFonts w:ascii="Times New Roman"/>
        </w:rPr>
      </w:pPr>
    </w:p>
    <w:p w14:paraId="477AC0FE" w14:textId="77777777" w:rsidR="00811887" w:rsidRDefault="00811887" w:rsidP="00811887">
      <w:pPr>
        <w:pStyle w:val="BodyText"/>
        <w:rPr>
          <w:rFonts w:ascii="Times New Roman"/>
        </w:rPr>
      </w:pPr>
    </w:p>
    <w:p w14:paraId="4B4AB80C" w14:textId="77777777" w:rsidR="00811887" w:rsidRDefault="00811887" w:rsidP="00811887">
      <w:pPr>
        <w:pStyle w:val="BodyText"/>
        <w:rPr>
          <w:rFonts w:ascii="Times New Roman"/>
        </w:rPr>
      </w:pPr>
    </w:p>
    <w:p w14:paraId="0C839428" w14:textId="77777777" w:rsidR="00811887" w:rsidRDefault="00811887" w:rsidP="00811887">
      <w:pPr>
        <w:pStyle w:val="BodyText"/>
        <w:rPr>
          <w:rFonts w:ascii="Times New Roman"/>
        </w:rPr>
      </w:pPr>
    </w:p>
    <w:p w14:paraId="2ED7764F" w14:textId="77777777" w:rsidR="00811887" w:rsidRDefault="00811887" w:rsidP="00811887">
      <w:pPr>
        <w:pStyle w:val="BodyText"/>
        <w:rPr>
          <w:rFonts w:ascii="Times New Roman"/>
        </w:rPr>
      </w:pPr>
    </w:p>
    <w:p w14:paraId="1AE27BE2" w14:textId="77777777" w:rsidR="00811887" w:rsidRDefault="00811887" w:rsidP="00811887">
      <w:pPr>
        <w:pStyle w:val="BodyText"/>
        <w:rPr>
          <w:rFonts w:ascii="Times New Roman"/>
        </w:rPr>
      </w:pPr>
    </w:p>
    <w:p w14:paraId="7DB75601" w14:textId="77777777" w:rsidR="00811887" w:rsidRDefault="00811887" w:rsidP="00811887">
      <w:pPr>
        <w:pStyle w:val="BodyText"/>
        <w:rPr>
          <w:rFonts w:ascii="Times New Roman"/>
        </w:rPr>
      </w:pPr>
    </w:p>
    <w:p w14:paraId="7D6B5A72" w14:textId="77777777" w:rsidR="00811887" w:rsidRDefault="00811887" w:rsidP="00811887">
      <w:pPr>
        <w:pStyle w:val="BodyText"/>
        <w:rPr>
          <w:rFonts w:ascii="Times New Roman"/>
        </w:rPr>
      </w:pPr>
    </w:p>
    <w:p w14:paraId="1A79D1CF" w14:textId="77777777" w:rsidR="00811887" w:rsidRDefault="00811887" w:rsidP="00811887">
      <w:pPr>
        <w:pStyle w:val="BodyText"/>
        <w:rPr>
          <w:rFonts w:ascii="Times New Roman"/>
        </w:rPr>
      </w:pPr>
    </w:p>
    <w:p w14:paraId="4E72B88E" w14:textId="77777777" w:rsidR="00811887" w:rsidRDefault="00811887" w:rsidP="00811887">
      <w:pPr>
        <w:pStyle w:val="BodyText"/>
        <w:rPr>
          <w:rFonts w:ascii="Times New Roman"/>
        </w:rPr>
      </w:pPr>
    </w:p>
    <w:p w14:paraId="221F0EEE" w14:textId="77777777" w:rsidR="00811887" w:rsidRDefault="00811887" w:rsidP="00811887">
      <w:pPr>
        <w:pStyle w:val="BodyText"/>
        <w:rPr>
          <w:rFonts w:ascii="Times New Roman"/>
        </w:rPr>
      </w:pPr>
    </w:p>
    <w:p w14:paraId="1C8C9728" w14:textId="77777777" w:rsidR="00811887" w:rsidRDefault="00811887" w:rsidP="00811887">
      <w:pPr>
        <w:pStyle w:val="BodyText"/>
        <w:rPr>
          <w:rFonts w:ascii="Times New Roman"/>
        </w:rPr>
      </w:pPr>
    </w:p>
    <w:p w14:paraId="588F9313" w14:textId="77777777" w:rsidR="00811887" w:rsidRDefault="00811887" w:rsidP="00811887">
      <w:pPr>
        <w:pStyle w:val="BodyText"/>
        <w:rPr>
          <w:rFonts w:ascii="Times New Roman"/>
        </w:rPr>
      </w:pPr>
    </w:p>
    <w:p w14:paraId="170A2CED" w14:textId="77777777" w:rsidR="00811887" w:rsidRDefault="00811887" w:rsidP="00811887">
      <w:pPr>
        <w:pStyle w:val="BodyText"/>
        <w:rPr>
          <w:rFonts w:ascii="Times New Roman"/>
        </w:rPr>
      </w:pPr>
    </w:p>
    <w:p w14:paraId="7C6A3E96" w14:textId="77777777" w:rsidR="00811887" w:rsidRDefault="00811887" w:rsidP="00811887">
      <w:pPr>
        <w:pStyle w:val="BodyText"/>
        <w:rPr>
          <w:rFonts w:ascii="Times New Roman"/>
        </w:rPr>
      </w:pPr>
    </w:p>
    <w:p w14:paraId="12EFED11" w14:textId="77777777" w:rsidR="00811887" w:rsidRDefault="00811887" w:rsidP="00811887">
      <w:pPr>
        <w:pStyle w:val="BodyText"/>
        <w:rPr>
          <w:rFonts w:ascii="Times New Roman"/>
        </w:rPr>
      </w:pPr>
    </w:p>
    <w:p w14:paraId="1966604C" w14:textId="77777777" w:rsidR="00811887" w:rsidRDefault="00811887" w:rsidP="00811887">
      <w:pPr>
        <w:pStyle w:val="BodyText"/>
        <w:rPr>
          <w:rFonts w:ascii="Times New Roman"/>
        </w:rPr>
      </w:pPr>
    </w:p>
    <w:p w14:paraId="07890327" w14:textId="77777777" w:rsidR="00811887" w:rsidRDefault="00811887" w:rsidP="00811887">
      <w:pPr>
        <w:pStyle w:val="BodyText"/>
        <w:rPr>
          <w:rFonts w:ascii="Times New Roman"/>
        </w:rPr>
      </w:pPr>
    </w:p>
    <w:p w14:paraId="2E4AA3D8" w14:textId="77777777" w:rsidR="00811887" w:rsidRDefault="00811887" w:rsidP="00811887">
      <w:pPr>
        <w:pStyle w:val="BodyText"/>
        <w:rPr>
          <w:rFonts w:ascii="Times New Roman"/>
        </w:rPr>
      </w:pPr>
    </w:p>
    <w:p w14:paraId="007C638C" w14:textId="77777777" w:rsidR="00811887" w:rsidRDefault="00811887" w:rsidP="00811887">
      <w:pPr>
        <w:pStyle w:val="BodyText"/>
        <w:rPr>
          <w:rFonts w:ascii="Times New Roman"/>
        </w:rPr>
      </w:pPr>
    </w:p>
    <w:p w14:paraId="3F03AFAD" w14:textId="77777777" w:rsidR="00811887" w:rsidRDefault="00811887" w:rsidP="00811887">
      <w:pPr>
        <w:pStyle w:val="BodyText"/>
        <w:rPr>
          <w:rFonts w:ascii="Times New Roman"/>
        </w:rPr>
      </w:pPr>
    </w:p>
    <w:p w14:paraId="0B775412" w14:textId="77777777" w:rsidR="00811887" w:rsidRDefault="00811887" w:rsidP="00811887">
      <w:pPr>
        <w:pStyle w:val="BodyText"/>
        <w:rPr>
          <w:rFonts w:ascii="Times New Roman"/>
        </w:rPr>
      </w:pPr>
    </w:p>
    <w:p w14:paraId="7BE0FBC5" w14:textId="77777777" w:rsidR="00811887" w:rsidRDefault="00811887" w:rsidP="00811887">
      <w:pPr>
        <w:pStyle w:val="BodyText"/>
        <w:rPr>
          <w:rFonts w:ascii="Times New Roman"/>
        </w:rPr>
      </w:pPr>
    </w:p>
    <w:p w14:paraId="0127AE7B" w14:textId="77777777" w:rsidR="00811887" w:rsidRDefault="00811887" w:rsidP="00811887">
      <w:pPr>
        <w:pStyle w:val="BodyText"/>
        <w:rPr>
          <w:rFonts w:ascii="Times New Roman"/>
        </w:rPr>
      </w:pPr>
    </w:p>
    <w:p w14:paraId="6A5D462D" w14:textId="77777777" w:rsidR="00811887" w:rsidRDefault="00811887" w:rsidP="00811887">
      <w:pPr>
        <w:pStyle w:val="BodyText"/>
        <w:rPr>
          <w:rFonts w:ascii="Times New Roman"/>
        </w:rPr>
      </w:pPr>
    </w:p>
    <w:p w14:paraId="175A0D9C" w14:textId="77777777" w:rsidR="00811887" w:rsidRDefault="00811887" w:rsidP="00811887">
      <w:pPr>
        <w:pStyle w:val="BodyText"/>
        <w:rPr>
          <w:rFonts w:ascii="Times New Roman"/>
        </w:rPr>
      </w:pPr>
    </w:p>
    <w:p w14:paraId="74C8CFC4" w14:textId="77777777" w:rsidR="00811887" w:rsidRDefault="00811887" w:rsidP="00811887">
      <w:pPr>
        <w:pStyle w:val="BodyText"/>
        <w:rPr>
          <w:rFonts w:ascii="Times New Roman"/>
        </w:rPr>
      </w:pPr>
    </w:p>
    <w:p w14:paraId="56D797F3" w14:textId="77777777" w:rsidR="00811887" w:rsidRDefault="00811887" w:rsidP="00811887">
      <w:pPr>
        <w:pStyle w:val="BodyText"/>
        <w:rPr>
          <w:rFonts w:ascii="Times New Roman"/>
        </w:rPr>
      </w:pPr>
    </w:p>
    <w:p w14:paraId="27ED27F6" w14:textId="77777777" w:rsidR="00811887" w:rsidRDefault="00811887" w:rsidP="00811887">
      <w:pPr>
        <w:pStyle w:val="BodyText"/>
        <w:rPr>
          <w:rFonts w:ascii="Times New Roman"/>
        </w:rPr>
      </w:pPr>
    </w:p>
    <w:p w14:paraId="5022C44F" w14:textId="77777777" w:rsidR="00811887" w:rsidRDefault="00811887" w:rsidP="00811887">
      <w:pPr>
        <w:pStyle w:val="BodyText"/>
        <w:rPr>
          <w:rFonts w:ascii="Times New Roman"/>
        </w:rPr>
      </w:pPr>
    </w:p>
    <w:p w14:paraId="60D1F086" w14:textId="77777777" w:rsidR="00811887" w:rsidRDefault="00811887" w:rsidP="00811887">
      <w:pPr>
        <w:pStyle w:val="BodyText"/>
        <w:rPr>
          <w:rFonts w:ascii="Times New Roman"/>
        </w:rPr>
      </w:pPr>
    </w:p>
    <w:p w14:paraId="71053F1C" w14:textId="77777777" w:rsidR="00811887" w:rsidRDefault="00811887" w:rsidP="00811887">
      <w:pPr>
        <w:pStyle w:val="BodyText"/>
        <w:rPr>
          <w:rFonts w:ascii="Times New Roman"/>
        </w:rPr>
      </w:pPr>
    </w:p>
    <w:p w14:paraId="71530DBB" w14:textId="77777777" w:rsidR="00811887" w:rsidRDefault="00811887" w:rsidP="00811887">
      <w:pPr>
        <w:pStyle w:val="BodyText"/>
        <w:rPr>
          <w:rFonts w:ascii="Times New Roman"/>
        </w:rPr>
      </w:pPr>
    </w:p>
    <w:p w14:paraId="1A42A2D1" w14:textId="77777777" w:rsidR="00811887" w:rsidRDefault="00811887" w:rsidP="00811887">
      <w:pPr>
        <w:pStyle w:val="BodyText"/>
        <w:spacing w:before="78"/>
        <w:rPr>
          <w:rFonts w:ascii="Times New Roman"/>
        </w:rPr>
      </w:pPr>
      <w:r>
        <w:rPr>
          <w:noProof/>
        </w:rPr>
        <mc:AlternateContent>
          <mc:Choice Requires="wps">
            <w:drawing>
              <wp:anchor distT="0" distB="0" distL="0" distR="0" simplePos="0" relativeHeight="251695104" behindDoc="1" locked="0" layoutInCell="1" allowOverlap="1" wp14:anchorId="420962FB" wp14:editId="7D270302">
                <wp:simplePos x="0" y="0"/>
                <wp:positionH relativeFrom="page">
                  <wp:posOffset>1512061</wp:posOffset>
                </wp:positionH>
                <wp:positionV relativeFrom="paragraph">
                  <wp:posOffset>210840</wp:posOffset>
                </wp:positionV>
                <wp:extent cx="4538345" cy="9525"/>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3BD83" id="Graphic 7" o:spid="_x0000_s1026" alt="&quot;&quot;" style="position:absolute;margin-left:119.05pt;margin-top:16.6pt;width:357.35pt;height:.75pt;z-index:-25162137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" path="m4537837,l,,,9143r4537837,l4537837,xe" fillcolor="black" stroked="f">
                <v:path arrowok="t"/>
                <w10:wrap type="topAndBottom" anchorx="page"/>
              </v:shape>
            </w:pict>
          </mc:Fallback>
        </mc:AlternateContent>
      </w:r>
    </w:p>
    <w:p w14:paraId="096CE45A" w14:textId="77777777" w:rsidR="00811887" w:rsidRDefault="00811887" w:rsidP="00811887">
      <w:pPr>
        <w:pStyle w:val="BodyText"/>
        <w:spacing w:before="121"/>
        <w:rPr>
          <w:rFonts w:ascii="Times New Roman"/>
          <w:sz w:val="18"/>
        </w:rPr>
      </w:pPr>
    </w:p>
    <w:p w14:paraId="3180FB8E" w14:textId="77777777" w:rsidR="00811887" w:rsidRDefault="00811887" w:rsidP="00811887">
      <w:pPr>
        <w:tabs>
          <w:tab w:val="left" w:pos="1414"/>
          <w:tab w:val="left" w:pos="6068"/>
        </w:tabs>
        <w:ind w:right="13"/>
        <w:jc w:val="center"/>
        <w:rPr>
          <w:rFonts w:ascii="Times New Roman"/>
          <w:i/>
          <w:sz w:val="18"/>
        </w:rPr>
      </w:pPr>
      <w:r>
        <w:rPr>
          <w:rFonts w:ascii="Times New Roman"/>
          <w:i/>
          <w:spacing w:val="-5"/>
          <w:sz w:val="18"/>
        </w:rPr>
        <w:t>ii</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2"/>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3C3F4C87" w14:textId="77777777" w:rsidR="00811887" w:rsidRDefault="00811887" w:rsidP="00811887">
      <w:pPr>
        <w:jc w:val="center"/>
        <w:rPr>
          <w:rFonts w:ascii="Times New Roman"/>
          <w:sz w:val="18"/>
        </w:rPr>
        <w:sectPr w:rsidR="00811887" w:rsidSect="00811887">
          <w:type w:val="continuous"/>
          <w:pgSz w:w="11910" w:h="16840"/>
          <w:pgMar w:top="1920" w:right="722" w:bottom="560" w:left="740" w:header="0" w:footer="377" w:gutter="0"/>
          <w:cols w:space="720"/>
        </w:sectPr>
      </w:pPr>
    </w:p>
    <w:p w14:paraId="6367BDFE" w14:textId="77777777" w:rsidR="00811887" w:rsidRDefault="00811887" w:rsidP="00811887">
      <w:pPr>
        <w:pStyle w:val="BodyText"/>
        <w:rPr>
          <w:rFonts w:ascii="Times New Roman"/>
          <w:i/>
        </w:rPr>
      </w:pPr>
    </w:p>
    <w:p w14:paraId="1DF0A925" w14:textId="77777777" w:rsidR="00811887" w:rsidRDefault="00811887" w:rsidP="00811887">
      <w:pPr>
        <w:pStyle w:val="BodyText"/>
        <w:spacing w:before="15"/>
        <w:rPr>
          <w:rFonts w:ascii="Times New Roman"/>
          <w:i/>
        </w:rPr>
      </w:pPr>
    </w:p>
    <w:p w14:paraId="3495AB30" w14:textId="77777777" w:rsidR="00811887" w:rsidRDefault="00811887" w:rsidP="00811887">
      <w:pPr>
        <w:pStyle w:val="BodyText"/>
        <w:ind w:left="1703"/>
        <w:rPr>
          <w:rFonts w:ascii="Times New Roman"/>
        </w:rPr>
      </w:pPr>
      <w:r>
        <w:rPr>
          <w:rFonts w:ascii="Times New Roman"/>
          <w:noProof/>
        </w:rPr>
        <w:drawing>
          <wp:inline distT="0" distB="0" distL="0" distR="0" wp14:anchorId="5CAB5D09" wp14:editId="351CFF1B">
            <wp:extent cx="1396887" cy="996696"/>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1396887" cy="996696"/>
                    </a:xfrm>
                    <a:prstGeom prst="rect">
                      <a:avLst/>
                    </a:prstGeom>
                  </pic:spPr>
                </pic:pic>
              </a:graphicData>
            </a:graphic>
          </wp:inline>
        </w:drawing>
      </w:r>
    </w:p>
    <w:p w14:paraId="6CD5137F" w14:textId="77777777" w:rsidR="00811887" w:rsidRDefault="00811887" w:rsidP="00811887">
      <w:pPr>
        <w:pStyle w:val="BodyText"/>
        <w:rPr>
          <w:rFonts w:ascii="Times New Roman"/>
          <w:i/>
          <w:sz w:val="40"/>
        </w:rPr>
      </w:pPr>
    </w:p>
    <w:p w14:paraId="4559DEC8" w14:textId="77777777" w:rsidR="00811887" w:rsidRDefault="00811887" w:rsidP="00811887">
      <w:pPr>
        <w:pStyle w:val="BodyText"/>
        <w:spacing w:before="392"/>
        <w:rPr>
          <w:rFonts w:ascii="Times New Roman"/>
          <w:i/>
          <w:sz w:val="40"/>
        </w:rPr>
      </w:pPr>
    </w:p>
    <w:p w14:paraId="23C46B03" w14:textId="77777777" w:rsidR="00811887" w:rsidRDefault="00811887" w:rsidP="00811887">
      <w:pPr>
        <w:ind w:left="1670" w:right="1757"/>
        <w:rPr>
          <w:rFonts w:ascii="Times New Roman"/>
          <w:b/>
          <w:sz w:val="40"/>
        </w:rPr>
      </w:pPr>
      <w:r>
        <w:rPr>
          <w:rFonts w:ascii="Times New Roman"/>
          <w:b/>
          <w:sz w:val="40"/>
        </w:rPr>
        <w:t>Economic</w:t>
      </w:r>
      <w:r>
        <w:rPr>
          <w:rFonts w:ascii="Times New Roman"/>
          <w:b/>
          <w:spacing w:val="-12"/>
          <w:sz w:val="40"/>
        </w:rPr>
        <w:t xml:space="preserve"> </w:t>
      </w:r>
      <w:r>
        <w:rPr>
          <w:rFonts w:ascii="Times New Roman"/>
          <w:b/>
          <w:sz w:val="40"/>
        </w:rPr>
        <w:t>Inclusion</w:t>
      </w:r>
      <w:r>
        <w:rPr>
          <w:rFonts w:ascii="Times New Roman"/>
          <w:b/>
          <w:spacing w:val="-11"/>
          <w:sz w:val="40"/>
        </w:rPr>
        <w:t xml:space="preserve"> </w:t>
      </w:r>
      <w:r>
        <w:rPr>
          <w:rFonts w:ascii="Times New Roman"/>
          <w:b/>
          <w:sz w:val="40"/>
        </w:rPr>
        <w:t>Advisory</w:t>
      </w:r>
      <w:r>
        <w:rPr>
          <w:rFonts w:ascii="Times New Roman"/>
          <w:b/>
          <w:spacing w:val="-11"/>
          <w:sz w:val="40"/>
        </w:rPr>
        <w:t xml:space="preserve"> </w:t>
      </w:r>
      <w:r>
        <w:rPr>
          <w:rFonts w:ascii="Times New Roman"/>
          <w:b/>
          <w:sz w:val="40"/>
        </w:rPr>
        <w:t>Committee Act 2023</w:t>
      </w:r>
    </w:p>
    <w:p w14:paraId="414A0916" w14:textId="77777777" w:rsidR="00811887" w:rsidRDefault="00811887" w:rsidP="00811887">
      <w:pPr>
        <w:pStyle w:val="BodyText"/>
        <w:spacing w:before="340"/>
        <w:rPr>
          <w:rFonts w:ascii="Times New Roman"/>
          <w:b/>
          <w:sz w:val="40"/>
        </w:rPr>
      </w:pPr>
    </w:p>
    <w:p w14:paraId="504B7745" w14:textId="77777777" w:rsidR="00811887" w:rsidRDefault="00811887" w:rsidP="00811887">
      <w:pPr>
        <w:ind w:left="1670"/>
        <w:rPr>
          <w:rFonts w:ascii="Times New Roman"/>
          <w:b/>
          <w:sz w:val="28"/>
        </w:rPr>
      </w:pPr>
      <w:r>
        <w:rPr>
          <w:rFonts w:ascii="Times New Roman"/>
          <w:b/>
          <w:sz w:val="28"/>
        </w:rPr>
        <w:t>No.</w:t>
      </w:r>
      <w:r>
        <w:rPr>
          <w:rFonts w:ascii="Times New Roman"/>
          <w:b/>
          <w:spacing w:val="-3"/>
          <w:sz w:val="28"/>
        </w:rPr>
        <w:t xml:space="preserve"> </w:t>
      </w:r>
      <w:r>
        <w:rPr>
          <w:rFonts w:ascii="Times New Roman"/>
          <w:b/>
          <w:sz w:val="28"/>
        </w:rPr>
        <w:t>112,</w:t>
      </w:r>
      <w:r>
        <w:rPr>
          <w:rFonts w:ascii="Times New Roman"/>
          <w:b/>
          <w:spacing w:val="-3"/>
          <w:sz w:val="28"/>
        </w:rPr>
        <w:t xml:space="preserve"> </w:t>
      </w:r>
      <w:r>
        <w:rPr>
          <w:rFonts w:ascii="Times New Roman"/>
          <w:b/>
          <w:spacing w:val="-4"/>
          <w:sz w:val="28"/>
        </w:rPr>
        <w:t>2023</w:t>
      </w:r>
    </w:p>
    <w:p w14:paraId="7A2B6994" w14:textId="77777777" w:rsidR="00811887" w:rsidRDefault="00811887" w:rsidP="00811887">
      <w:pPr>
        <w:pStyle w:val="BodyText"/>
        <w:rPr>
          <w:rFonts w:ascii="Times New Roman"/>
          <w:b/>
        </w:rPr>
      </w:pPr>
    </w:p>
    <w:p w14:paraId="6E7E58F6" w14:textId="77777777" w:rsidR="00811887" w:rsidRDefault="00811887" w:rsidP="00811887">
      <w:pPr>
        <w:pStyle w:val="BodyText"/>
        <w:rPr>
          <w:rFonts w:ascii="Times New Roman"/>
          <w:b/>
        </w:rPr>
      </w:pPr>
    </w:p>
    <w:p w14:paraId="0027BB80" w14:textId="77777777" w:rsidR="00811887" w:rsidRDefault="00811887" w:rsidP="00811887">
      <w:pPr>
        <w:pStyle w:val="BodyText"/>
        <w:spacing w:before="13"/>
        <w:rPr>
          <w:rFonts w:ascii="Times New Roman"/>
          <w:b/>
        </w:rPr>
      </w:pPr>
      <w:r>
        <w:rPr>
          <w:noProof/>
        </w:rPr>
        <mc:AlternateContent>
          <mc:Choice Requires="wps">
            <w:drawing>
              <wp:anchor distT="0" distB="0" distL="0" distR="0" simplePos="0" relativeHeight="251696128" behindDoc="1" locked="0" layoutInCell="1" allowOverlap="1" wp14:anchorId="34738AAC" wp14:editId="4F9BB67C">
                <wp:simplePos x="0" y="0"/>
                <wp:positionH relativeFrom="page">
                  <wp:posOffset>1512062</wp:posOffset>
                </wp:positionH>
                <wp:positionV relativeFrom="paragraph">
                  <wp:posOffset>170009</wp:posOffset>
                </wp:positionV>
                <wp:extent cx="4538345" cy="52069"/>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52069"/>
                        </a:xfrm>
                        <a:custGeom>
                          <a:avLst/>
                          <a:gdLst/>
                          <a:ahLst/>
                          <a:cxnLst/>
                          <a:rect l="l" t="t" r="r" b="b"/>
                          <a:pathLst>
                            <a:path w="4538345" h="52069">
                              <a:moveTo>
                                <a:pt x="4537837" y="33528"/>
                              </a:moveTo>
                              <a:lnTo>
                                <a:pt x="0" y="33528"/>
                              </a:lnTo>
                              <a:lnTo>
                                <a:pt x="0" y="51816"/>
                              </a:lnTo>
                              <a:lnTo>
                                <a:pt x="4537837" y="51816"/>
                              </a:lnTo>
                              <a:lnTo>
                                <a:pt x="4537837" y="33528"/>
                              </a:lnTo>
                              <a:close/>
                            </a:path>
                            <a:path w="4538345" h="52069">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E0A22" id="Graphic 9" o:spid="_x0000_s1026" alt="&quot;&quot;" style="position:absolute;margin-left:119.05pt;margin-top:13.4pt;width:357.35pt;height:4.1pt;z-index:-251620352;visibility:visible;mso-wrap-style:square;mso-wrap-distance-left:0;mso-wrap-distance-top:0;mso-wrap-distance-right:0;mso-wrap-distance-bottom:0;mso-position-horizontal:absolute;mso-position-horizontal-relative:page;mso-position-vertical:absolute;mso-position-vertical-relative:text;v-text-anchor:top" coordsize="4538345,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" path="m4537837,33528l,33528,,51816r4537837,l4537837,33528xem4537837,l,,,9144r4537837,l4537837,xe" fillcolor="black" stroked="f">
                <v:path arrowok="t"/>
                <w10:wrap type="topAndBottom" anchorx="page"/>
              </v:shape>
            </w:pict>
          </mc:Fallback>
        </mc:AlternateContent>
      </w:r>
    </w:p>
    <w:p w14:paraId="0F50C0CB" w14:textId="77777777" w:rsidR="00811887" w:rsidRDefault="00811887" w:rsidP="00811887">
      <w:pPr>
        <w:pStyle w:val="BodyText"/>
        <w:spacing w:before="353"/>
        <w:rPr>
          <w:rFonts w:ascii="Times New Roman"/>
          <w:b/>
          <w:sz w:val="32"/>
        </w:rPr>
      </w:pPr>
    </w:p>
    <w:p w14:paraId="2800F46E" w14:textId="77777777" w:rsidR="00811887" w:rsidRDefault="00811887" w:rsidP="00811887">
      <w:pPr>
        <w:pStyle w:val="Heading3"/>
        <w:ind w:right="1757"/>
      </w:pPr>
      <w:r>
        <w:t>An Act to establish the Economic Inclusion Advisory</w:t>
      </w:r>
      <w:r>
        <w:rPr>
          <w:spacing w:val="-8"/>
        </w:rPr>
        <w:t xml:space="preserve"> </w:t>
      </w:r>
      <w:r>
        <w:t>Committee,</w:t>
      </w:r>
      <w:r>
        <w:rPr>
          <w:spacing w:val="-10"/>
        </w:rPr>
        <w:t xml:space="preserve"> </w:t>
      </w:r>
      <w:r>
        <w:t>and</w:t>
      </w:r>
      <w:r>
        <w:rPr>
          <w:spacing w:val="-7"/>
        </w:rPr>
        <w:t xml:space="preserve"> </w:t>
      </w:r>
      <w:r>
        <w:t>for</w:t>
      </w:r>
      <w:r>
        <w:rPr>
          <w:spacing w:val="-7"/>
        </w:rPr>
        <w:t xml:space="preserve"> </w:t>
      </w:r>
      <w:r>
        <w:t>related</w:t>
      </w:r>
      <w:r>
        <w:rPr>
          <w:spacing w:val="-9"/>
        </w:rPr>
        <w:t xml:space="preserve"> </w:t>
      </w:r>
      <w:r>
        <w:t>purposes</w:t>
      </w:r>
    </w:p>
    <w:p w14:paraId="47ADE926" w14:textId="77777777" w:rsidR="00811887" w:rsidRDefault="00811887" w:rsidP="00811887">
      <w:pPr>
        <w:spacing w:before="234"/>
        <w:ind w:left="1670"/>
        <w:rPr>
          <w:rFonts w:ascii="Times New Roman"/>
          <w:sz w:val="24"/>
        </w:rPr>
      </w:pPr>
      <w:r>
        <w:rPr>
          <w:rFonts w:ascii="Times New Roman"/>
          <w:sz w:val="24"/>
        </w:rPr>
        <w:t>[</w:t>
      </w:r>
      <w:r>
        <w:rPr>
          <w:rFonts w:ascii="Times New Roman"/>
          <w:i/>
          <w:sz w:val="24"/>
        </w:rPr>
        <w:t>Assented</w:t>
      </w:r>
      <w:r>
        <w:rPr>
          <w:rFonts w:ascii="Times New Roman"/>
          <w:i/>
          <w:spacing w:val="-1"/>
          <w:sz w:val="24"/>
        </w:rPr>
        <w:t xml:space="preserve"> </w:t>
      </w:r>
      <w:r>
        <w:rPr>
          <w:rFonts w:ascii="Times New Roman"/>
          <w:i/>
          <w:sz w:val="24"/>
        </w:rPr>
        <w:t>to</w:t>
      </w:r>
      <w:r>
        <w:rPr>
          <w:rFonts w:ascii="Times New Roman"/>
          <w:i/>
          <w:spacing w:val="-1"/>
          <w:sz w:val="24"/>
        </w:rPr>
        <w:t xml:space="preserve"> </w:t>
      </w:r>
      <w:r>
        <w:rPr>
          <w:rFonts w:ascii="Times New Roman"/>
          <w:i/>
          <w:sz w:val="24"/>
        </w:rPr>
        <w:t>8</w:t>
      </w:r>
      <w:r>
        <w:rPr>
          <w:rFonts w:ascii="Times New Roman"/>
          <w:i/>
          <w:spacing w:val="-1"/>
          <w:sz w:val="24"/>
        </w:rPr>
        <w:t xml:space="preserve"> </w:t>
      </w:r>
      <w:r>
        <w:rPr>
          <w:rFonts w:ascii="Times New Roman"/>
          <w:i/>
          <w:sz w:val="24"/>
        </w:rPr>
        <w:t>December</w:t>
      </w:r>
      <w:r>
        <w:rPr>
          <w:rFonts w:ascii="Times New Roman"/>
          <w:i/>
          <w:spacing w:val="1"/>
          <w:sz w:val="24"/>
        </w:rPr>
        <w:t xml:space="preserve"> </w:t>
      </w:r>
      <w:r>
        <w:rPr>
          <w:rFonts w:ascii="Times New Roman"/>
          <w:i/>
          <w:spacing w:val="-2"/>
          <w:sz w:val="24"/>
        </w:rPr>
        <w:t>2023</w:t>
      </w:r>
      <w:r>
        <w:rPr>
          <w:rFonts w:ascii="Times New Roman"/>
          <w:spacing w:val="-2"/>
          <w:sz w:val="24"/>
        </w:rPr>
        <w:t>]</w:t>
      </w:r>
    </w:p>
    <w:p w14:paraId="75D623E7" w14:textId="77777777" w:rsidR="00811887" w:rsidRDefault="00811887" w:rsidP="00811887">
      <w:pPr>
        <w:pStyle w:val="Heading4"/>
        <w:spacing w:before="240"/>
        <w:ind w:left="1670"/>
      </w:pPr>
      <w:bookmarkStart w:id="73" w:name="The_Parliament_of_Australia_enacts:"/>
      <w:bookmarkEnd w:id="73"/>
      <w:r>
        <w:t>The</w:t>
      </w:r>
      <w:r>
        <w:rPr>
          <w:spacing w:val="-11"/>
        </w:rPr>
        <w:t xml:space="preserve"> </w:t>
      </w:r>
      <w:r>
        <w:t>Parliament</w:t>
      </w:r>
      <w:r>
        <w:rPr>
          <w:spacing w:val="-7"/>
        </w:rPr>
        <w:t xml:space="preserve"> </w:t>
      </w:r>
      <w:r>
        <w:t>of</w:t>
      </w:r>
      <w:r>
        <w:rPr>
          <w:spacing w:val="-9"/>
        </w:rPr>
        <w:t xml:space="preserve"> </w:t>
      </w:r>
      <w:r>
        <w:t>Australia</w:t>
      </w:r>
      <w:r>
        <w:rPr>
          <w:spacing w:val="-11"/>
        </w:rPr>
        <w:t xml:space="preserve"> </w:t>
      </w:r>
      <w:r>
        <w:rPr>
          <w:spacing w:val="-2"/>
        </w:rPr>
        <w:t>enacts:</w:t>
      </w:r>
    </w:p>
    <w:p w14:paraId="332C519A" w14:textId="77777777" w:rsidR="00811887" w:rsidRDefault="00811887" w:rsidP="00811887">
      <w:pPr>
        <w:pStyle w:val="BodyText"/>
        <w:rPr>
          <w:rFonts w:ascii="Times New Roman"/>
        </w:rPr>
      </w:pPr>
    </w:p>
    <w:p w14:paraId="46433E03" w14:textId="77777777" w:rsidR="00811887" w:rsidRDefault="00811887" w:rsidP="00811887">
      <w:pPr>
        <w:pStyle w:val="BodyText"/>
        <w:rPr>
          <w:rFonts w:ascii="Times New Roman"/>
        </w:rPr>
      </w:pPr>
    </w:p>
    <w:p w14:paraId="1CAED45B" w14:textId="77777777" w:rsidR="00811887" w:rsidRDefault="00811887" w:rsidP="00811887">
      <w:pPr>
        <w:pStyle w:val="BodyText"/>
        <w:rPr>
          <w:rFonts w:ascii="Times New Roman"/>
        </w:rPr>
      </w:pPr>
    </w:p>
    <w:p w14:paraId="7A1563AC" w14:textId="77777777" w:rsidR="00811887" w:rsidRDefault="00811887" w:rsidP="00811887">
      <w:pPr>
        <w:pStyle w:val="BodyText"/>
        <w:rPr>
          <w:rFonts w:ascii="Times New Roman"/>
        </w:rPr>
      </w:pPr>
    </w:p>
    <w:p w14:paraId="219DBBAA" w14:textId="77777777" w:rsidR="00811887" w:rsidRDefault="00811887" w:rsidP="00811887">
      <w:pPr>
        <w:pStyle w:val="BodyText"/>
        <w:rPr>
          <w:rFonts w:ascii="Times New Roman"/>
        </w:rPr>
      </w:pPr>
    </w:p>
    <w:p w14:paraId="3B353E1A" w14:textId="77777777" w:rsidR="00811887" w:rsidRDefault="00811887" w:rsidP="00811887">
      <w:pPr>
        <w:pStyle w:val="BodyText"/>
        <w:rPr>
          <w:rFonts w:ascii="Times New Roman"/>
        </w:rPr>
      </w:pPr>
    </w:p>
    <w:p w14:paraId="049C4104" w14:textId="77777777" w:rsidR="00811887" w:rsidRDefault="00811887" w:rsidP="00811887">
      <w:pPr>
        <w:pStyle w:val="BodyText"/>
        <w:rPr>
          <w:rFonts w:ascii="Times New Roman"/>
        </w:rPr>
      </w:pPr>
    </w:p>
    <w:p w14:paraId="7976FA8F" w14:textId="77777777" w:rsidR="00811887" w:rsidRDefault="00811887" w:rsidP="00811887">
      <w:pPr>
        <w:pStyle w:val="BodyText"/>
        <w:spacing w:before="37"/>
        <w:rPr>
          <w:rFonts w:ascii="Times New Roman"/>
        </w:rPr>
      </w:pPr>
      <w:r>
        <w:rPr>
          <w:noProof/>
        </w:rPr>
        <mc:AlternateContent>
          <mc:Choice Requires="wps">
            <w:drawing>
              <wp:anchor distT="0" distB="0" distL="0" distR="0" simplePos="0" relativeHeight="251697152" behindDoc="1" locked="0" layoutInCell="1" allowOverlap="1" wp14:anchorId="23B49042" wp14:editId="610F0C51">
                <wp:simplePos x="0" y="0"/>
                <wp:positionH relativeFrom="page">
                  <wp:posOffset>1512061</wp:posOffset>
                </wp:positionH>
                <wp:positionV relativeFrom="paragraph">
                  <wp:posOffset>185347</wp:posOffset>
                </wp:positionV>
                <wp:extent cx="4538345" cy="9525"/>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831354" id="Graphic 10" o:spid="_x0000_s1026" alt="&quot;&quot;" style="position:absolute;margin-left:119.05pt;margin-top:14.6pt;width:357.35pt;height:.75pt;z-index:-25161932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" path="m4537837,l,,,9143r4537837,l4537837,xe" fillcolor="black" stroked="f">
                <v:path arrowok="t"/>
                <w10:wrap type="topAndBottom" anchorx="page"/>
              </v:shape>
            </w:pict>
          </mc:Fallback>
        </mc:AlternateContent>
      </w:r>
    </w:p>
    <w:p w14:paraId="6477446C" w14:textId="77777777" w:rsidR="00811887" w:rsidRDefault="00811887" w:rsidP="00811887">
      <w:pPr>
        <w:pStyle w:val="BodyText"/>
        <w:spacing w:before="121"/>
        <w:rPr>
          <w:rFonts w:ascii="Times New Roman"/>
          <w:sz w:val="18"/>
        </w:rPr>
      </w:pPr>
    </w:p>
    <w:p w14:paraId="4E88C278" w14:textId="77777777" w:rsidR="00811887" w:rsidRDefault="00811887" w:rsidP="00811887">
      <w:pPr>
        <w:tabs>
          <w:tab w:val="left" w:pos="3669"/>
          <w:tab w:val="right" w:pos="8541"/>
        </w:tabs>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2"/>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10"/>
          <w:sz w:val="18"/>
        </w:rPr>
        <w:t>1</w:t>
      </w:r>
    </w:p>
    <w:p w14:paraId="6F994A43" w14:textId="77777777" w:rsidR="00811887" w:rsidRDefault="00811887" w:rsidP="00811887">
      <w:pPr>
        <w:rPr>
          <w:rFonts w:ascii="Times New Roman"/>
          <w:sz w:val="18"/>
        </w:rPr>
        <w:sectPr w:rsidR="00811887" w:rsidSect="00811887">
          <w:pgSz w:w="11910" w:h="16840"/>
          <w:pgMar w:top="1920" w:right="722" w:bottom="560" w:left="740" w:header="0" w:footer="377" w:gutter="0"/>
          <w:cols w:space="720"/>
        </w:sectPr>
      </w:pPr>
    </w:p>
    <w:p w14:paraId="66C2CFEB" w14:textId="77777777" w:rsidR="00811887" w:rsidRDefault="00811887" w:rsidP="00811887">
      <w:pPr>
        <w:spacing w:before="65"/>
        <w:ind w:left="1670"/>
        <w:rPr>
          <w:rFonts w:ascii="Times New Roman"/>
          <w:sz w:val="20"/>
        </w:rPr>
      </w:pPr>
      <w:r>
        <w:rPr>
          <w:rFonts w:ascii="Times New Roman"/>
          <w:b/>
          <w:sz w:val="20"/>
        </w:rPr>
        <w:lastRenderedPageBreak/>
        <w:t>Part</w:t>
      </w:r>
      <w:r>
        <w:rPr>
          <w:rFonts w:ascii="Times New Roman"/>
          <w:b/>
          <w:spacing w:val="-1"/>
          <w:sz w:val="20"/>
        </w:rPr>
        <w:t xml:space="preserve"> </w:t>
      </w:r>
      <w:r>
        <w:rPr>
          <w:rFonts w:ascii="Times New Roman"/>
          <w:b/>
          <w:sz w:val="20"/>
        </w:rPr>
        <w:t>1</w:t>
      </w:r>
      <w:r>
        <w:rPr>
          <w:rFonts w:ascii="Times New Roman"/>
          <w:b/>
          <w:spacing w:val="48"/>
          <w:sz w:val="20"/>
        </w:rPr>
        <w:t xml:space="preserve"> </w:t>
      </w:r>
      <w:r>
        <w:rPr>
          <w:rFonts w:ascii="Times New Roman"/>
          <w:spacing w:val="-2"/>
          <w:sz w:val="20"/>
        </w:rPr>
        <w:t>Preliminary</w:t>
      </w:r>
    </w:p>
    <w:p w14:paraId="5AAF53A5" w14:textId="77777777" w:rsidR="00811887" w:rsidRDefault="00811887" w:rsidP="00811887">
      <w:pPr>
        <w:pStyle w:val="BodyText"/>
        <w:rPr>
          <w:rFonts w:ascii="Times New Roman"/>
        </w:rPr>
      </w:pPr>
    </w:p>
    <w:p w14:paraId="1328C2A7" w14:textId="77777777" w:rsidR="00811887" w:rsidRDefault="00811887" w:rsidP="00811887">
      <w:pPr>
        <w:pStyle w:val="BodyText"/>
        <w:spacing w:before="77"/>
        <w:rPr>
          <w:rFonts w:ascii="Times New Roman"/>
        </w:rPr>
      </w:pPr>
    </w:p>
    <w:p w14:paraId="1DC02EC0"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698176" behindDoc="1" locked="0" layoutInCell="1" allowOverlap="1" wp14:anchorId="19585F30" wp14:editId="6E486D28">
                <wp:simplePos x="0" y="0"/>
                <wp:positionH relativeFrom="page">
                  <wp:posOffset>1512061</wp:posOffset>
                </wp:positionH>
                <wp:positionV relativeFrom="paragraph">
                  <wp:posOffset>192823</wp:posOffset>
                </wp:positionV>
                <wp:extent cx="4538345" cy="9525"/>
                <wp:effectExtent l="0" t="0" r="0" b="0"/>
                <wp:wrapTopAndBottom/>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A07CCF" id="Graphic 11" o:spid="_x0000_s1026" alt="&quot;&quot;" style="position:absolute;margin-left:119.05pt;margin-top:15.2pt;width:357.35pt;height:.75pt;z-index:-25161830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1</w:t>
      </w:r>
    </w:p>
    <w:p w14:paraId="70CE4A6C" w14:textId="77777777" w:rsidR="00811887" w:rsidRDefault="00811887" w:rsidP="00811887">
      <w:pPr>
        <w:pStyle w:val="BodyText"/>
        <w:spacing w:before="13"/>
        <w:rPr>
          <w:rFonts w:ascii="Times New Roman"/>
          <w:sz w:val="24"/>
        </w:rPr>
      </w:pPr>
    </w:p>
    <w:p w14:paraId="350A06CC" w14:textId="77777777" w:rsidR="00811887" w:rsidRDefault="00811887" w:rsidP="00811887">
      <w:pPr>
        <w:pStyle w:val="Heading3"/>
      </w:pPr>
      <w:bookmarkStart w:id="74" w:name="_TOC_250034"/>
      <w:r>
        <w:t>Part</w:t>
      </w:r>
      <w:r>
        <w:rPr>
          <w:spacing w:val="-9"/>
        </w:rPr>
        <w:t xml:space="preserve"> </w:t>
      </w:r>
      <w:r>
        <w:t>1—</w:t>
      </w:r>
      <w:bookmarkEnd w:id="74"/>
      <w:r>
        <w:rPr>
          <w:spacing w:val="-2"/>
        </w:rPr>
        <w:t>Preliminary</w:t>
      </w:r>
    </w:p>
    <w:p w14:paraId="5CB399CC" w14:textId="77777777" w:rsidR="00811887" w:rsidRDefault="00811887" w:rsidP="00811887">
      <w:pPr>
        <w:pStyle w:val="BodyText"/>
        <w:spacing w:before="73"/>
        <w:rPr>
          <w:rFonts w:ascii="Times New Roman"/>
          <w:b/>
          <w:sz w:val="32"/>
        </w:rPr>
      </w:pPr>
    </w:p>
    <w:p w14:paraId="71201135" w14:textId="77777777" w:rsidR="00811887" w:rsidRDefault="00811887" w:rsidP="00FB2FE9">
      <w:pPr>
        <w:pStyle w:val="Heading7"/>
        <w:numPr>
          <w:ilvl w:val="0"/>
          <w:numId w:val="77"/>
        </w:numPr>
        <w:tabs>
          <w:tab w:val="left" w:pos="1910"/>
        </w:tabs>
        <w:ind w:left="1190" w:hanging="360"/>
      </w:pPr>
      <w:bookmarkStart w:id="75" w:name="_TOC_250033"/>
      <w:r>
        <w:t>Short</w:t>
      </w:r>
      <w:r>
        <w:rPr>
          <w:spacing w:val="-1"/>
        </w:rPr>
        <w:t xml:space="preserve"> </w:t>
      </w:r>
      <w:bookmarkEnd w:id="75"/>
      <w:r>
        <w:rPr>
          <w:spacing w:val="-2"/>
        </w:rPr>
        <w:t>title</w:t>
      </w:r>
    </w:p>
    <w:p w14:paraId="7640FFE2" w14:textId="77777777" w:rsidR="00811887" w:rsidRDefault="00811887" w:rsidP="00811887">
      <w:pPr>
        <w:spacing w:before="177"/>
        <w:ind w:left="2803"/>
        <w:rPr>
          <w:rFonts w:ascii="Times New Roman"/>
        </w:rPr>
      </w:pPr>
      <w:r>
        <w:rPr>
          <w:rFonts w:ascii="Times New Roman"/>
        </w:rPr>
        <w:t>This</w:t>
      </w:r>
      <w:r>
        <w:rPr>
          <w:rFonts w:ascii="Times New Roman"/>
          <w:spacing w:val="-5"/>
        </w:rPr>
        <w:t xml:space="preserve"> </w:t>
      </w:r>
      <w:r>
        <w:rPr>
          <w:rFonts w:ascii="Times New Roman"/>
        </w:rPr>
        <w:t>Act</w:t>
      </w:r>
      <w:r>
        <w:rPr>
          <w:rFonts w:ascii="Times New Roman"/>
          <w:spacing w:val="-4"/>
        </w:rPr>
        <w:t xml:space="preserve"> </w:t>
      </w:r>
      <w:r>
        <w:rPr>
          <w:rFonts w:ascii="Times New Roman"/>
        </w:rPr>
        <w:t>is</w:t>
      </w:r>
      <w:r>
        <w:rPr>
          <w:rFonts w:ascii="Times New Roman"/>
          <w:spacing w:val="-5"/>
        </w:rPr>
        <w:t xml:space="preserve"> </w:t>
      </w:r>
      <w:r>
        <w:rPr>
          <w:rFonts w:ascii="Times New Roman"/>
        </w:rPr>
        <w:t>the</w:t>
      </w:r>
      <w:r>
        <w:rPr>
          <w:rFonts w:ascii="Times New Roman"/>
          <w:spacing w:val="-5"/>
        </w:rPr>
        <w:t xml:space="preserve"> </w:t>
      </w:r>
      <w:r>
        <w:rPr>
          <w:rFonts w:ascii="Times New Roman"/>
          <w:i/>
        </w:rPr>
        <w:t>Economic</w:t>
      </w:r>
      <w:r>
        <w:rPr>
          <w:rFonts w:ascii="Times New Roman"/>
          <w:i/>
          <w:spacing w:val="-6"/>
        </w:rPr>
        <w:t xml:space="preserve"> </w:t>
      </w:r>
      <w:r>
        <w:rPr>
          <w:rFonts w:ascii="Times New Roman"/>
          <w:i/>
        </w:rPr>
        <w:t>Inclusion</w:t>
      </w:r>
      <w:r>
        <w:rPr>
          <w:rFonts w:ascii="Times New Roman"/>
          <w:i/>
          <w:spacing w:val="-5"/>
        </w:rPr>
        <w:t xml:space="preserve"> </w:t>
      </w:r>
      <w:r>
        <w:rPr>
          <w:rFonts w:ascii="Times New Roman"/>
          <w:i/>
        </w:rPr>
        <w:t>Advisory</w:t>
      </w:r>
      <w:r>
        <w:rPr>
          <w:rFonts w:ascii="Times New Roman"/>
          <w:i/>
          <w:spacing w:val="-5"/>
        </w:rPr>
        <w:t xml:space="preserve"> </w:t>
      </w:r>
      <w:r>
        <w:rPr>
          <w:rFonts w:ascii="Times New Roman"/>
          <w:i/>
        </w:rPr>
        <w:t>Committee</w:t>
      </w:r>
      <w:r>
        <w:rPr>
          <w:rFonts w:ascii="Times New Roman"/>
          <w:i/>
          <w:spacing w:val="-5"/>
        </w:rPr>
        <w:t xml:space="preserve"> </w:t>
      </w:r>
      <w:r>
        <w:rPr>
          <w:rFonts w:ascii="Times New Roman"/>
          <w:i/>
        </w:rPr>
        <w:t>Act</w:t>
      </w:r>
      <w:r>
        <w:rPr>
          <w:rFonts w:ascii="Times New Roman"/>
          <w:i/>
          <w:spacing w:val="-3"/>
        </w:rPr>
        <w:t xml:space="preserve"> </w:t>
      </w:r>
      <w:r>
        <w:rPr>
          <w:rFonts w:ascii="Times New Roman"/>
          <w:i/>
          <w:spacing w:val="-2"/>
        </w:rPr>
        <w:t>2023</w:t>
      </w:r>
      <w:r>
        <w:rPr>
          <w:rFonts w:ascii="Times New Roman"/>
          <w:spacing w:val="-2"/>
        </w:rPr>
        <w:t>.</w:t>
      </w:r>
    </w:p>
    <w:p w14:paraId="36A57504" w14:textId="77777777" w:rsidR="00811887" w:rsidRDefault="00811887" w:rsidP="00811887">
      <w:pPr>
        <w:pStyle w:val="BodyText"/>
        <w:spacing w:before="30"/>
        <w:rPr>
          <w:rFonts w:ascii="Times New Roman"/>
          <w:sz w:val="22"/>
        </w:rPr>
      </w:pPr>
    </w:p>
    <w:p w14:paraId="0486F44C" w14:textId="77777777" w:rsidR="00811887" w:rsidRDefault="00811887" w:rsidP="00FB2FE9">
      <w:pPr>
        <w:pStyle w:val="Heading7"/>
        <w:numPr>
          <w:ilvl w:val="0"/>
          <w:numId w:val="77"/>
        </w:numPr>
        <w:tabs>
          <w:tab w:val="left" w:pos="1909"/>
        </w:tabs>
        <w:ind w:left="1909" w:hanging="360"/>
      </w:pPr>
      <w:bookmarkStart w:id="76" w:name="_TOC_250032"/>
      <w:bookmarkEnd w:id="76"/>
      <w:r>
        <w:rPr>
          <w:spacing w:val="-2"/>
        </w:rPr>
        <w:t>Commencement</w:t>
      </w:r>
    </w:p>
    <w:p w14:paraId="4856B2EB" w14:textId="77777777" w:rsidR="00811887" w:rsidRDefault="00811887" w:rsidP="00FB2FE9">
      <w:pPr>
        <w:pStyle w:val="ListParagraph"/>
        <w:widowControl w:val="0"/>
        <w:numPr>
          <w:ilvl w:val="1"/>
          <w:numId w:val="77"/>
        </w:numPr>
        <w:tabs>
          <w:tab w:val="left" w:pos="2801"/>
          <w:tab w:val="left" w:pos="2803"/>
        </w:tabs>
        <w:autoSpaceDE w:val="0"/>
        <w:autoSpaceDN w:val="0"/>
        <w:spacing w:before="178" w:after="0"/>
        <w:ind w:right="1865"/>
        <w:contextualSpacing w:val="0"/>
        <w:rPr>
          <w:rFonts w:ascii="Times New Roman"/>
        </w:rPr>
      </w:pPr>
      <w:r>
        <w:rPr>
          <w:rFonts w:ascii="Times New Roman"/>
        </w:rPr>
        <w:t>Each provision of this Act specified in column 1 of the table commences, or is taken to have commenced, in accordance with column</w:t>
      </w:r>
      <w:r>
        <w:rPr>
          <w:rFonts w:ascii="Times New Roman"/>
          <w:spacing w:val="-2"/>
        </w:rPr>
        <w:t xml:space="preserve"> </w:t>
      </w:r>
      <w:r>
        <w:rPr>
          <w:rFonts w:ascii="Times New Roman"/>
        </w:rPr>
        <w:t>2</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table.</w:t>
      </w:r>
      <w:r>
        <w:rPr>
          <w:rFonts w:ascii="Times New Roman"/>
          <w:spacing w:val="-2"/>
        </w:rPr>
        <w:t xml:space="preserve"> </w:t>
      </w:r>
      <w:r>
        <w:rPr>
          <w:rFonts w:ascii="Times New Roman"/>
        </w:rPr>
        <w:t>Any</w:t>
      </w:r>
      <w:r>
        <w:rPr>
          <w:rFonts w:ascii="Times New Roman"/>
          <w:spacing w:val="-5"/>
        </w:rPr>
        <w:t xml:space="preserve"> </w:t>
      </w:r>
      <w:r>
        <w:rPr>
          <w:rFonts w:ascii="Times New Roman"/>
        </w:rPr>
        <w:t>other</w:t>
      </w:r>
      <w:r>
        <w:rPr>
          <w:rFonts w:ascii="Times New Roman"/>
          <w:spacing w:val="-2"/>
        </w:rPr>
        <w:t xml:space="preserve"> </w:t>
      </w:r>
      <w:r>
        <w:rPr>
          <w:rFonts w:ascii="Times New Roman"/>
        </w:rPr>
        <w:t>statement</w:t>
      </w:r>
      <w:r>
        <w:rPr>
          <w:rFonts w:ascii="Times New Roman"/>
          <w:spacing w:val="-1"/>
        </w:rPr>
        <w:t xml:space="preserve"> </w:t>
      </w:r>
      <w:r>
        <w:rPr>
          <w:rFonts w:ascii="Times New Roman"/>
        </w:rPr>
        <w:t>in</w:t>
      </w:r>
      <w:r>
        <w:rPr>
          <w:rFonts w:ascii="Times New Roman"/>
          <w:spacing w:val="-5"/>
        </w:rPr>
        <w:t xml:space="preserve"> </w:t>
      </w:r>
      <w:r>
        <w:rPr>
          <w:rFonts w:ascii="Times New Roman"/>
        </w:rPr>
        <w:t>column</w:t>
      </w:r>
      <w:r>
        <w:rPr>
          <w:rFonts w:ascii="Times New Roman"/>
          <w:spacing w:val="-2"/>
        </w:rPr>
        <w:t xml:space="preserve"> </w:t>
      </w:r>
      <w:r>
        <w:rPr>
          <w:rFonts w:ascii="Times New Roman"/>
        </w:rPr>
        <w:t>2</w:t>
      </w:r>
      <w:r>
        <w:rPr>
          <w:rFonts w:ascii="Times New Roman"/>
          <w:spacing w:val="-5"/>
        </w:rPr>
        <w:t xml:space="preserve"> </w:t>
      </w:r>
      <w:r>
        <w:rPr>
          <w:rFonts w:ascii="Times New Roman"/>
        </w:rPr>
        <w:t>has</w:t>
      </w:r>
      <w:r>
        <w:rPr>
          <w:rFonts w:ascii="Times New Roman"/>
          <w:spacing w:val="-2"/>
        </w:rPr>
        <w:t xml:space="preserve"> </w:t>
      </w:r>
      <w:r>
        <w:rPr>
          <w:rFonts w:ascii="Times New Roman"/>
        </w:rPr>
        <w:t>effect according to its terms.</w:t>
      </w:r>
    </w:p>
    <w:p w14:paraId="411ABAC3" w14:textId="77777777" w:rsidR="00811887" w:rsidRDefault="00811887" w:rsidP="00811887">
      <w:pPr>
        <w:pStyle w:val="BodyText"/>
        <w:spacing w:before="74"/>
        <w:rPr>
          <w:rFonts w:ascii="Times New Roman"/>
        </w:rPr>
      </w:pPr>
    </w:p>
    <w:tbl>
      <w:tblPr>
        <w:tblW w:w="0" w:type="auto"/>
        <w:tblInd w:w="1555" w:type="dxa"/>
        <w:tblLayout w:type="fixed"/>
        <w:tblCellMar>
          <w:left w:w="0" w:type="dxa"/>
          <w:right w:w="0" w:type="dxa"/>
        </w:tblCellMar>
        <w:tblLook w:val="01E0" w:firstRow="1" w:lastRow="1" w:firstColumn="1" w:lastColumn="1" w:noHBand="0" w:noVBand="0"/>
      </w:tblPr>
      <w:tblGrid>
        <w:gridCol w:w="1654"/>
        <w:gridCol w:w="3815"/>
        <w:gridCol w:w="1850"/>
      </w:tblGrid>
      <w:tr w:rsidR="00811887" w14:paraId="55ABECED" w14:textId="77777777" w:rsidTr="00486E22">
        <w:trPr>
          <w:trHeight w:val="301"/>
        </w:trPr>
        <w:tc>
          <w:tcPr>
            <w:tcW w:w="7319" w:type="dxa"/>
            <w:gridSpan w:val="3"/>
            <w:tcBorders>
              <w:top w:val="single" w:sz="12" w:space="0" w:color="000000"/>
              <w:bottom w:val="single" w:sz="2" w:space="0" w:color="000000"/>
            </w:tcBorders>
          </w:tcPr>
          <w:p w14:paraId="397B9911" w14:textId="77777777" w:rsidR="00811887" w:rsidRDefault="00811887" w:rsidP="00486E22">
            <w:pPr>
              <w:pStyle w:val="TableParagraph"/>
              <w:spacing w:before="72" w:line="210" w:lineRule="exact"/>
              <w:ind w:left="122"/>
              <w:rPr>
                <w:rFonts w:ascii="Times New Roman"/>
                <w:b/>
                <w:sz w:val="20"/>
              </w:rPr>
            </w:pPr>
            <w:r>
              <w:rPr>
                <w:rFonts w:ascii="Times New Roman"/>
                <w:b/>
                <w:sz w:val="20"/>
              </w:rPr>
              <w:t>Commencement</w:t>
            </w:r>
            <w:r>
              <w:rPr>
                <w:rFonts w:ascii="Times New Roman"/>
                <w:b/>
                <w:spacing w:val="-12"/>
                <w:sz w:val="20"/>
              </w:rPr>
              <w:t xml:space="preserve"> </w:t>
            </w:r>
            <w:r>
              <w:rPr>
                <w:rFonts w:ascii="Times New Roman"/>
                <w:b/>
                <w:spacing w:val="-2"/>
                <w:sz w:val="20"/>
              </w:rPr>
              <w:t>information</w:t>
            </w:r>
          </w:p>
        </w:tc>
      </w:tr>
      <w:tr w:rsidR="00811887" w14:paraId="281CAF98" w14:textId="77777777" w:rsidTr="00486E22">
        <w:trPr>
          <w:trHeight w:val="299"/>
        </w:trPr>
        <w:tc>
          <w:tcPr>
            <w:tcW w:w="1654" w:type="dxa"/>
            <w:tcBorders>
              <w:top w:val="single" w:sz="2" w:space="0" w:color="000000"/>
              <w:bottom w:val="single" w:sz="2" w:space="0" w:color="000000"/>
            </w:tcBorders>
          </w:tcPr>
          <w:p w14:paraId="3FAD3270" w14:textId="77777777" w:rsidR="00811887" w:rsidRDefault="00811887" w:rsidP="00486E22">
            <w:pPr>
              <w:pStyle w:val="TableParagraph"/>
              <w:spacing w:before="70" w:line="210" w:lineRule="exact"/>
              <w:ind w:left="122"/>
              <w:rPr>
                <w:rFonts w:ascii="Times New Roman"/>
                <w:b/>
                <w:sz w:val="20"/>
              </w:rPr>
            </w:pPr>
            <w:r>
              <w:rPr>
                <w:rFonts w:ascii="Times New Roman"/>
                <w:b/>
                <w:sz w:val="20"/>
              </w:rPr>
              <w:t>Column</w:t>
            </w:r>
            <w:r>
              <w:rPr>
                <w:rFonts w:ascii="Times New Roman"/>
                <w:b/>
                <w:spacing w:val="-10"/>
                <w:sz w:val="20"/>
              </w:rPr>
              <w:t xml:space="preserve"> 1</w:t>
            </w:r>
          </w:p>
        </w:tc>
        <w:tc>
          <w:tcPr>
            <w:tcW w:w="3815" w:type="dxa"/>
            <w:tcBorders>
              <w:top w:val="single" w:sz="2" w:space="0" w:color="000000"/>
              <w:bottom w:val="single" w:sz="2" w:space="0" w:color="000000"/>
            </w:tcBorders>
          </w:tcPr>
          <w:p w14:paraId="7274D391" w14:textId="77777777" w:rsidR="00811887" w:rsidRDefault="00811887" w:rsidP="00486E22">
            <w:pPr>
              <w:pStyle w:val="TableParagraph"/>
              <w:spacing w:before="70" w:line="210" w:lineRule="exact"/>
              <w:ind w:left="216"/>
              <w:rPr>
                <w:rFonts w:ascii="Times New Roman"/>
                <w:b/>
                <w:sz w:val="20"/>
              </w:rPr>
            </w:pPr>
            <w:r>
              <w:rPr>
                <w:rFonts w:ascii="Times New Roman"/>
                <w:b/>
                <w:sz w:val="20"/>
              </w:rPr>
              <w:t>Column</w:t>
            </w:r>
            <w:r>
              <w:rPr>
                <w:rFonts w:ascii="Times New Roman"/>
                <w:b/>
                <w:spacing w:val="-10"/>
                <w:sz w:val="20"/>
              </w:rPr>
              <w:t xml:space="preserve"> 2</w:t>
            </w:r>
          </w:p>
        </w:tc>
        <w:tc>
          <w:tcPr>
            <w:tcW w:w="1850" w:type="dxa"/>
            <w:tcBorders>
              <w:top w:val="single" w:sz="2" w:space="0" w:color="000000"/>
              <w:bottom w:val="single" w:sz="2" w:space="0" w:color="000000"/>
            </w:tcBorders>
          </w:tcPr>
          <w:p w14:paraId="06E55C90" w14:textId="77777777" w:rsidR="00811887" w:rsidRDefault="00811887" w:rsidP="00486E22">
            <w:pPr>
              <w:pStyle w:val="TableParagraph"/>
              <w:spacing w:before="70" w:line="210" w:lineRule="exact"/>
              <w:ind w:left="332"/>
              <w:rPr>
                <w:rFonts w:ascii="Times New Roman"/>
                <w:b/>
                <w:sz w:val="20"/>
              </w:rPr>
            </w:pPr>
            <w:r>
              <w:rPr>
                <w:rFonts w:ascii="Times New Roman"/>
                <w:b/>
                <w:sz w:val="20"/>
              </w:rPr>
              <w:t>Column</w:t>
            </w:r>
            <w:r>
              <w:rPr>
                <w:rFonts w:ascii="Times New Roman"/>
                <w:b/>
                <w:spacing w:val="-10"/>
                <w:sz w:val="20"/>
              </w:rPr>
              <w:t xml:space="preserve"> 3</w:t>
            </w:r>
          </w:p>
        </w:tc>
      </w:tr>
      <w:tr w:rsidR="00811887" w14:paraId="472D1FE5" w14:textId="77777777" w:rsidTr="00486E22">
        <w:trPr>
          <w:trHeight w:val="299"/>
        </w:trPr>
        <w:tc>
          <w:tcPr>
            <w:tcW w:w="1654" w:type="dxa"/>
            <w:tcBorders>
              <w:top w:val="single" w:sz="2" w:space="0" w:color="000000"/>
              <w:bottom w:val="single" w:sz="12" w:space="0" w:color="000000"/>
            </w:tcBorders>
          </w:tcPr>
          <w:p w14:paraId="6F89254B" w14:textId="77777777" w:rsidR="00811887" w:rsidRDefault="00811887" w:rsidP="00486E22">
            <w:pPr>
              <w:pStyle w:val="TableParagraph"/>
              <w:spacing w:before="70" w:line="209" w:lineRule="exact"/>
              <w:ind w:left="122"/>
              <w:rPr>
                <w:rFonts w:ascii="Times New Roman"/>
                <w:b/>
                <w:sz w:val="20"/>
              </w:rPr>
            </w:pPr>
            <w:r>
              <w:rPr>
                <w:rFonts w:ascii="Times New Roman"/>
                <w:b/>
                <w:spacing w:val="-2"/>
                <w:sz w:val="20"/>
              </w:rPr>
              <w:t>Provisions</w:t>
            </w:r>
          </w:p>
        </w:tc>
        <w:tc>
          <w:tcPr>
            <w:tcW w:w="3815" w:type="dxa"/>
            <w:tcBorders>
              <w:top w:val="single" w:sz="2" w:space="0" w:color="000000"/>
              <w:bottom w:val="single" w:sz="12" w:space="0" w:color="000000"/>
            </w:tcBorders>
          </w:tcPr>
          <w:p w14:paraId="7B68AE98" w14:textId="77777777" w:rsidR="00811887" w:rsidRDefault="00811887" w:rsidP="00486E22">
            <w:pPr>
              <w:pStyle w:val="TableParagraph"/>
              <w:spacing w:before="70" w:line="209" w:lineRule="exact"/>
              <w:ind w:left="216"/>
              <w:rPr>
                <w:rFonts w:ascii="Times New Roman"/>
                <w:b/>
                <w:sz w:val="20"/>
              </w:rPr>
            </w:pPr>
            <w:r>
              <w:rPr>
                <w:rFonts w:ascii="Times New Roman"/>
                <w:b/>
                <w:spacing w:val="-2"/>
                <w:sz w:val="20"/>
              </w:rPr>
              <w:t>Commencement</w:t>
            </w:r>
          </w:p>
        </w:tc>
        <w:tc>
          <w:tcPr>
            <w:tcW w:w="1850" w:type="dxa"/>
            <w:tcBorders>
              <w:top w:val="single" w:sz="2" w:space="0" w:color="000000"/>
              <w:bottom w:val="single" w:sz="12" w:space="0" w:color="000000"/>
            </w:tcBorders>
          </w:tcPr>
          <w:p w14:paraId="79FF0343" w14:textId="77777777" w:rsidR="00811887" w:rsidRDefault="00811887" w:rsidP="00486E22">
            <w:pPr>
              <w:pStyle w:val="TableParagraph"/>
              <w:spacing w:before="70" w:line="209" w:lineRule="exact"/>
              <w:ind w:left="332"/>
              <w:rPr>
                <w:rFonts w:ascii="Times New Roman"/>
                <w:b/>
                <w:sz w:val="20"/>
              </w:rPr>
            </w:pPr>
            <w:r>
              <w:rPr>
                <w:rFonts w:ascii="Times New Roman"/>
                <w:b/>
                <w:spacing w:val="-2"/>
                <w:sz w:val="20"/>
              </w:rPr>
              <w:t>Date/Details</w:t>
            </w:r>
          </w:p>
        </w:tc>
      </w:tr>
      <w:tr w:rsidR="00811887" w14:paraId="4C172E1D" w14:textId="77777777" w:rsidTr="00486E22">
        <w:trPr>
          <w:trHeight w:val="541"/>
        </w:trPr>
        <w:tc>
          <w:tcPr>
            <w:tcW w:w="1654" w:type="dxa"/>
            <w:tcBorders>
              <w:top w:val="single" w:sz="12" w:space="0" w:color="000000"/>
              <w:bottom w:val="single" w:sz="12" w:space="0" w:color="000000"/>
            </w:tcBorders>
          </w:tcPr>
          <w:p w14:paraId="292D6617" w14:textId="77777777" w:rsidR="00811887" w:rsidRDefault="00811887" w:rsidP="00486E22">
            <w:pPr>
              <w:pStyle w:val="TableParagraph"/>
              <w:spacing w:before="41" w:line="240" w:lineRule="atLeast"/>
              <w:ind w:left="122"/>
              <w:rPr>
                <w:rFonts w:ascii="Times New Roman"/>
                <w:sz w:val="20"/>
              </w:rPr>
            </w:pPr>
            <w:r>
              <w:rPr>
                <w:rFonts w:ascii="Times New Roman"/>
                <w:sz w:val="20"/>
              </w:rPr>
              <w:t>1.</w:t>
            </w:r>
            <w:r>
              <w:rPr>
                <w:rFonts w:ascii="Times New Roman"/>
                <w:spacing w:val="28"/>
                <w:sz w:val="20"/>
              </w:rPr>
              <w:t xml:space="preserve"> </w:t>
            </w:r>
            <w:r>
              <w:rPr>
                <w:rFonts w:ascii="Times New Roman"/>
                <w:sz w:val="20"/>
              </w:rPr>
              <w:t>The</w:t>
            </w:r>
            <w:r>
              <w:rPr>
                <w:rFonts w:ascii="Times New Roman"/>
                <w:spacing w:val="-8"/>
                <w:sz w:val="20"/>
              </w:rPr>
              <w:t xml:space="preserve"> </w:t>
            </w:r>
            <w:r>
              <w:rPr>
                <w:rFonts w:ascii="Times New Roman"/>
                <w:sz w:val="20"/>
              </w:rPr>
              <w:t>whole</w:t>
            </w:r>
            <w:r>
              <w:rPr>
                <w:rFonts w:ascii="Times New Roman"/>
                <w:spacing w:val="-10"/>
                <w:sz w:val="20"/>
              </w:rPr>
              <w:t xml:space="preserve"> </w:t>
            </w:r>
            <w:r>
              <w:rPr>
                <w:rFonts w:ascii="Times New Roman"/>
                <w:sz w:val="20"/>
              </w:rPr>
              <w:t>of this Act</w:t>
            </w:r>
          </w:p>
        </w:tc>
        <w:tc>
          <w:tcPr>
            <w:tcW w:w="3815" w:type="dxa"/>
            <w:tcBorders>
              <w:top w:val="single" w:sz="12" w:space="0" w:color="000000"/>
              <w:bottom w:val="single" w:sz="12" w:space="0" w:color="000000"/>
            </w:tcBorders>
          </w:tcPr>
          <w:p w14:paraId="4DB24849" w14:textId="77777777" w:rsidR="00811887" w:rsidRDefault="00811887" w:rsidP="00486E22">
            <w:pPr>
              <w:pStyle w:val="TableParagraph"/>
              <w:spacing w:before="41" w:line="240" w:lineRule="atLeast"/>
              <w:ind w:left="216"/>
              <w:rPr>
                <w:rFonts w:ascii="Times New Roman"/>
                <w:sz w:val="20"/>
              </w:rPr>
            </w:pPr>
            <w:r>
              <w:rPr>
                <w:rFonts w:ascii="Times New Roman"/>
                <w:sz w:val="20"/>
              </w:rPr>
              <w:t>The</w:t>
            </w:r>
            <w:r>
              <w:rPr>
                <w:rFonts w:ascii="Times New Roman"/>
                <w:spacing w:val="-7"/>
                <w:sz w:val="20"/>
              </w:rPr>
              <w:t xml:space="preserve"> </w:t>
            </w:r>
            <w:r>
              <w:rPr>
                <w:rFonts w:ascii="Times New Roman"/>
                <w:sz w:val="20"/>
              </w:rPr>
              <w:t>day</w:t>
            </w:r>
            <w:r>
              <w:rPr>
                <w:rFonts w:ascii="Times New Roman"/>
                <w:spacing w:val="-9"/>
                <w:sz w:val="20"/>
              </w:rPr>
              <w:t xml:space="preserve"> </w:t>
            </w:r>
            <w:r>
              <w:rPr>
                <w:rFonts w:ascii="Times New Roman"/>
                <w:sz w:val="20"/>
              </w:rPr>
              <w:t>after</w:t>
            </w:r>
            <w:r>
              <w:rPr>
                <w:rFonts w:ascii="Times New Roman"/>
                <w:spacing w:val="-6"/>
                <w:sz w:val="20"/>
              </w:rPr>
              <w:t xml:space="preserve"> </w:t>
            </w:r>
            <w:r>
              <w:rPr>
                <w:rFonts w:ascii="Times New Roman"/>
                <w:sz w:val="20"/>
              </w:rPr>
              <w:t>this</w:t>
            </w:r>
            <w:r>
              <w:rPr>
                <w:rFonts w:ascii="Times New Roman"/>
                <w:spacing w:val="-6"/>
                <w:sz w:val="20"/>
              </w:rPr>
              <w:t xml:space="preserve"> </w:t>
            </w:r>
            <w:r>
              <w:rPr>
                <w:rFonts w:ascii="Times New Roman"/>
                <w:sz w:val="20"/>
              </w:rPr>
              <w:t>Act</w:t>
            </w:r>
            <w:r>
              <w:rPr>
                <w:rFonts w:ascii="Times New Roman"/>
                <w:spacing w:val="-7"/>
                <w:sz w:val="20"/>
              </w:rPr>
              <w:t xml:space="preserve"> </w:t>
            </w:r>
            <w:r>
              <w:rPr>
                <w:rFonts w:ascii="Times New Roman"/>
                <w:sz w:val="20"/>
              </w:rPr>
              <w:t>receives</w:t>
            </w:r>
            <w:r>
              <w:rPr>
                <w:rFonts w:ascii="Times New Roman"/>
                <w:spacing w:val="-6"/>
                <w:sz w:val="20"/>
              </w:rPr>
              <w:t xml:space="preserve"> </w:t>
            </w:r>
            <w:r>
              <w:rPr>
                <w:rFonts w:ascii="Times New Roman"/>
                <w:sz w:val="20"/>
              </w:rPr>
              <w:t>the</w:t>
            </w:r>
            <w:r>
              <w:rPr>
                <w:rFonts w:ascii="Times New Roman"/>
                <w:spacing w:val="-7"/>
                <w:sz w:val="20"/>
              </w:rPr>
              <w:t xml:space="preserve"> </w:t>
            </w:r>
            <w:r>
              <w:rPr>
                <w:rFonts w:ascii="Times New Roman"/>
                <w:sz w:val="20"/>
              </w:rPr>
              <w:t xml:space="preserve">Royal </w:t>
            </w:r>
            <w:r>
              <w:rPr>
                <w:rFonts w:ascii="Times New Roman"/>
                <w:spacing w:val="-2"/>
                <w:sz w:val="20"/>
              </w:rPr>
              <w:t>Assent.</w:t>
            </w:r>
          </w:p>
        </w:tc>
        <w:tc>
          <w:tcPr>
            <w:tcW w:w="1850" w:type="dxa"/>
            <w:tcBorders>
              <w:top w:val="single" w:sz="12" w:space="0" w:color="000000"/>
              <w:bottom w:val="single" w:sz="12" w:space="0" w:color="000000"/>
            </w:tcBorders>
          </w:tcPr>
          <w:p w14:paraId="4B8C00BF" w14:textId="77777777" w:rsidR="00811887" w:rsidRDefault="00811887" w:rsidP="00486E22">
            <w:pPr>
              <w:pStyle w:val="TableParagraph"/>
              <w:spacing w:before="67" w:line="240" w:lineRule="auto"/>
              <w:ind w:left="332"/>
              <w:rPr>
                <w:rFonts w:ascii="Times New Roman"/>
                <w:sz w:val="20"/>
              </w:rPr>
            </w:pPr>
            <w:r>
              <w:rPr>
                <w:rFonts w:ascii="Times New Roman"/>
                <w:sz w:val="20"/>
              </w:rPr>
              <w:t xml:space="preserve">9 </w:t>
            </w:r>
            <w:r>
              <w:rPr>
                <w:rFonts w:ascii="Times New Roman"/>
                <w:spacing w:val="-2"/>
                <w:sz w:val="20"/>
              </w:rPr>
              <w:t>December</w:t>
            </w:r>
          </w:p>
          <w:p w14:paraId="55056C43" w14:textId="77777777" w:rsidR="00811887" w:rsidRDefault="00811887" w:rsidP="00486E22">
            <w:pPr>
              <w:pStyle w:val="TableParagraph"/>
              <w:spacing w:before="10" w:line="214" w:lineRule="exact"/>
              <w:ind w:left="332"/>
              <w:rPr>
                <w:rFonts w:ascii="Times New Roman"/>
                <w:sz w:val="20"/>
              </w:rPr>
            </w:pPr>
            <w:r>
              <w:rPr>
                <w:rFonts w:ascii="Times New Roman"/>
                <w:spacing w:val="-4"/>
                <w:sz w:val="20"/>
              </w:rPr>
              <w:t>2023</w:t>
            </w:r>
          </w:p>
        </w:tc>
      </w:tr>
    </w:tbl>
    <w:p w14:paraId="3050FE54" w14:textId="77777777" w:rsidR="00811887" w:rsidRDefault="00811887" w:rsidP="00811887">
      <w:pPr>
        <w:tabs>
          <w:tab w:val="left" w:pos="3655"/>
        </w:tabs>
        <w:spacing w:before="118"/>
        <w:ind w:left="3655" w:right="1815" w:hanging="852"/>
        <w:rPr>
          <w:rFonts w:ascii="Times New Roman"/>
          <w:sz w:val="18"/>
        </w:rPr>
      </w:pPr>
      <w:r>
        <w:rPr>
          <w:rFonts w:ascii="Times New Roman"/>
          <w:spacing w:val="-2"/>
          <w:sz w:val="18"/>
        </w:rPr>
        <w:t>Note:</w:t>
      </w:r>
      <w:r>
        <w:rPr>
          <w:rFonts w:ascii="Times New Roman"/>
          <w:sz w:val="18"/>
        </w:rPr>
        <w:tab/>
        <w:t>This table relates only to the provisions of this Act as originally enacted.</w:t>
      </w:r>
      <w:r>
        <w:rPr>
          <w:rFonts w:ascii="Times New Roman"/>
          <w:spacing w:val="-3"/>
          <w:sz w:val="18"/>
        </w:rPr>
        <w:t xml:space="preserve"> </w:t>
      </w:r>
      <w:r>
        <w:rPr>
          <w:rFonts w:ascii="Times New Roman"/>
          <w:sz w:val="18"/>
        </w:rPr>
        <w:t>It</w:t>
      </w:r>
      <w:r>
        <w:rPr>
          <w:rFonts w:ascii="Times New Roman"/>
          <w:spacing w:val="-3"/>
          <w:sz w:val="18"/>
        </w:rPr>
        <w:t xml:space="preserve"> </w:t>
      </w:r>
      <w:r>
        <w:rPr>
          <w:rFonts w:ascii="Times New Roman"/>
          <w:sz w:val="18"/>
        </w:rPr>
        <w:t>will</w:t>
      </w:r>
      <w:r>
        <w:rPr>
          <w:rFonts w:ascii="Times New Roman"/>
          <w:spacing w:val="-3"/>
          <w:sz w:val="18"/>
        </w:rPr>
        <w:t xml:space="preserve"> </w:t>
      </w:r>
      <w:r>
        <w:rPr>
          <w:rFonts w:ascii="Times New Roman"/>
          <w:sz w:val="18"/>
        </w:rPr>
        <w:t>not</w:t>
      </w:r>
      <w:r>
        <w:rPr>
          <w:rFonts w:ascii="Times New Roman"/>
          <w:spacing w:val="-3"/>
          <w:sz w:val="18"/>
        </w:rPr>
        <w:t xml:space="preserve"> </w:t>
      </w:r>
      <w:r>
        <w:rPr>
          <w:rFonts w:ascii="Times New Roman"/>
          <w:sz w:val="18"/>
        </w:rPr>
        <w:t>be</w:t>
      </w:r>
      <w:r>
        <w:rPr>
          <w:rFonts w:ascii="Times New Roman"/>
          <w:spacing w:val="-4"/>
          <w:sz w:val="18"/>
        </w:rPr>
        <w:t xml:space="preserve"> </w:t>
      </w:r>
      <w:r>
        <w:rPr>
          <w:rFonts w:ascii="Times New Roman"/>
          <w:sz w:val="18"/>
        </w:rPr>
        <w:t>amended</w:t>
      </w:r>
      <w:r>
        <w:rPr>
          <w:rFonts w:ascii="Times New Roman"/>
          <w:spacing w:val="-2"/>
          <w:sz w:val="18"/>
        </w:rPr>
        <w:t xml:space="preserve"> </w:t>
      </w:r>
      <w:r>
        <w:rPr>
          <w:rFonts w:ascii="Times New Roman"/>
          <w:sz w:val="18"/>
        </w:rPr>
        <w:t>to</w:t>
      </w:r>
      <w:r>
        <w:rPr>
          <w:rFonts w:ascii="Times New Roman"/>
          <w:spacing w:val="-4"/>
          <w:sz w:val="18"/>
        </w:rPr>
        <w:t xml:space="preserve"> </w:t>
      </w:r>
      <w:r>
        <w:rPr>
          <w:rFonts w:ascii="Times New Roman"/>
          <w:sz w:val="18"/>
        </w:rPr>
        <w:t>deal with</w:t>
      </w:r>
      <w:r>
        <w:rPr>
          <w:rFonts w:ascii="Times New Roman"/>
          <w:spacing w:val="-2"/>
          <w:sz w:val="18"/>
        </w:rPr>
        <w:t xml:space="preserve"> </w:t>
      </w:r>
      <w:r>
        <w:rPr>
          <w:rFonts w:ascii="Times New Roman"/>
          <w:sz w:val="18"/>
        </w:rPr>
        <w:t>any</w:t>
      </w:r>
      <w:r>
        <w:rPr>
          <w:rFonts w:ascii="Times New Roman"/>
          <w:spacing w:val="-7"/>
          <w:sz w:val="18"/>
        </w:rPr>
        <w:t xml:space="preserve"> </w:t>
      </w:r>
      <w:r>
        <w:rPr>
          <w:rFonts w:ascii="Times New Roman"/>
          <w:sz w:val="18"/>
        </w:rPr>
        <w:t>later</w:t>
      </w:r>
      <w:r>
        <w:rPr>
          <w:rFonts w:ascii="Times New Roman"/>
          <w:spacing w:val="-3"/>
          <w:sz w:val="18"/>
        </w:rPr>
        <w:t xml:space="preserve"> </w:t>
      </w:r>
      <w:r>
        <w:rPr>
          <w:rFonts w:ascii="Times New Roman"/>
          <w:sz w:val="18"/>
        </w:rPr>
        <w:t>amendments</w:t>
      </w:r>
      <w:r>
        <w:rPr>
          <w:rFonts w:ascii="Times New Roman"/>
          <w:spacing w:val="-4"/>
          <w:sz w:val="18"/>
        </w:rPr>
        <w:t xml:space="preserve"> </w:t>
      </w:r>
      <w:r>
        <w:rPr>
          <w:rFonts w:ascii="Times New Roman"/>
          <w:sz w:val="18"/>
        </w:rPr>
        <w:t>of this Act.</w:t>
      </w:r>
    </w:p>
    <w:p w14:paraId="2E39B6A8" w14:textId="77777777" w:rsidR="00811887" w:rsidRDefault="00811887" w:rsidP="00FB2FE9">
      <w:pPr>
        <w:pStyle w:val="ListParagraph"/>
        <w:widowControl w:val="0"/>
        <w:numPr>
          <w:ilvl w:val="1"/>
          <w:numId w:val="77"/>
        </w:numPr>
        <w:tabs>
          <w:tab w:val="left" w:pos="2801"/>
          <w:tab w:val="left" w:pos="2803"/>
        </w:tabs>
        <w:autoSpaceDE w:val="0"/>
        <w:autoSpaceDN w:val="0"/>
        <w:spacing w:before="180" w:after="0"/>
        <w:ind w:right="2038"/>
        <w:contextualSpacing w:val="0"/>
        <w:jc w:val="both"/>
        <w:rPr>
          <w:rFonts w:ascii="Times New Roman"/>
        </w:rPr>
      </w:pPr>
      <w:r>
        <w:rPr>
          <w:rFonts w:ascii="Times New Roman"/>
        </w:rPr>
        <w:t>Any</w:t>
      </w:r>
      <w:r>
        <w:rPr>
          <w:rFonts w:ascii="Times New Roman"/>
          <w:spacing w:val="-4"/>
        </w:rPr>
        <w:t xml:space="preserve"> </w:t>
      </w:r>
      <w:r>
        <w:rPr>
          <w:rFonts w:ascii="Times New Roman"/>
        </w:rPr>
        <w:t>information</w:t>
      </w:r>
      <w:r>
        <w:rPr>
          <w:rFonts w:ascii="Times New Roman"/>
          <w:spacing w:val="-4"/>
        </w:rPr>
        <w:t xml:space="preserve"> </w:t>
      </w:r>
      <w:r>
        <w:rPr>
          <w:rFonts w:ascii="Times New Roman"/>
        </w:rPr>
        <w:t>in</w:t>
      </w:r>
      <w:r>
        <w:rPr>
          <w:rFonts w:ascii="Times New Roman"/>
          <w:spacing w:val="-4"/>
        </w:rPr>
        <w:t xml:space="preserve"> </w:t>
      </w:r>
      <w:r>
        <w:rPr>
          <w:rFonts w:ascii="Times New Roman"/>
        </w:rPr>
        <w:t>column</w:t>
      </w:r>
      <w:r>
        <w:rPr>
          <w:rFonts w:ascii="Times New Roman"/>
          <w:spacing w:val="-1"/>
        </w:rPr>
        <w:t xml:space="preserve"> </w:t>
      </w:r>
      <w:r>
        <w:rPr>
          <w:rFonts w:ascii="Times New Roman"/>
        </w:rPr>
        <w:t>3</w:t>
      </w:r>
      <w:r>
        <w:rPr>
          <w:rFonts w:ascii="Times New Roman"/>
          <w:spacing w:val="-1"/>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table</w:t>
      </w:r>
      <w:r>
        <w:rPr>
          <w:rFonts w:ascii="Times New Roman"/>
          <w:spacing w:val="-3"/>
        </w:rPr>
        <w:t xml:space="preserve"> </w:t>
      </w:r>
      <w:r>
        <w:rPr>
          <w:rFonts w:ascii="Times New Roman"/>
        </w:rPr>
        <w:t>is</w:t>
      </w:r>
      <w:r>
        <w:rPr>
          <w:rFonts w:ascii="Times New Roman"/>
          <w:spacing w:val="-1"/>
        </w:rPr>
        <w:t xml:space="preserve"> </w:t>
      </w:r>
      <w:r>
        <w:rPr>
          <w:rFonts w:ascii="Times New Roman"/>
        </w:rPr>
        <w:t>not part</w:t>
      </w:r>
      <w:r>
        <w:rPr>
          <w:rFonts w:ascii="Times New Roman"/>
          <w:spacing w:val="-3"/>
        </w:rPr>
        <w:t xml:space="preserve"> </w:t>
      </w:r>
      <w:r>
        <w:rPr>
          <w:rFonts w:ascii="Times New Roman"/>
        </w:rPr>
        <w:t>of</w:t>
      </w:r>
      <w:r>
        <w:rPr>
          <w:rFonts w:ascii="Times New Roman"/>
          <w:spacing w:val="-3"/>
        </w:rPr>
        <w:t xml:space="preserve"> </w:t>
      </w:r>
      <w:r>
        <w:rPr>
          <w:rFonts w:ascii="Times New Roman"/>
        </w:rPr>
        <w:t>this</w:t>
      </w:r>
      <w:r>
        <w:rPr>
          <w:rFonts w:ascii="Times New Roman"/>
          <w:spacing w:val="-1"/>
        </w:rPr>
        <w:t xml:space="preserve"> </w:t>
      </w:r>
      <w:r>
        <w:rPr>
          <w:rFonts w:ascii="Times New Roman"/>
        </w:rPr>
        <w:t>Act. Information</w:t>
      </w:r>
      <w:r>
        <w:rPr>
          <w:rFonts w:ascii="Times New Roman"/>
          <w:spacing w:val="-3"/>
        </w:rPr>
        <w:t xml:space="preserve"> </w:t>
      </w:r>
      <w:r>
        <w:rPr>
          <w:rFonts w:ascii="Times New Roman"/>
        </w:rPr>
        <w:t>may</w:t>
      </w:r>
      <w:r>
        <w:rPr>
          <w:rFonts w:ascii="Times New Roman"/>
          <w:spacing w:val="-5"/>
        </w:rPr>
        <w:t xml:space="preserve"> </w:t>
      </w:r>
      <w:r>
        <w:rPr>
          <w:rFonts w:ascii="Times New Roman"/>
        </w:rPr>
        <w:t>be</w:t>
      </w:r>
      <w:r>
        <w:rPr>
          <w:rFonts w:ascii="Times New Roman"/>
          <w:spacing w:val="-3"/>
        </w:rPr>
        <w:t xml:space="preserve"> </w:t>
      </w:r>
      <w:r>
        <w:rPr>
          <w:rFonts w:ascii="Times New Roman"/>
        </w:rPr>
        <w:t>inserted</w:t>
      </w:r>
      <w:r>
        <w:rPr>
          <w:rFonts w:ascii="Times New Roman"/>
          <w:spacing w:val="-3"/>
        </w:rPr>
        <w:t xml:space="preserve"> </w:t>
      </w:r>
      <w:r>
        <w:rPr>
          <w:rFonts w:ascii="Times New Roman"/>
        </w:rPr>
        <w:t>in</w:t>
      </w:r>
      <w:r>
        <w:rPr>
          <w:rFonts w:ascii="Times New Roman"/>
          <w:spacing w:val="-6"/>
        </w:rPr>
        <w:t xml:space="preserve"> </w:t>
      </w:r>
      <w:r>
        <w:rPr>
          <w:rFonts w:ascii="Times New Roman"/>
        </w:rPr>
        <w:t>this</w:t>
      </w:r>
      <w:r>
        <w:rPr>
          <w:rFonts w:ascii="Times New Roman"/>
          <w:spacing w:val="-3"/>
        </w:rPr>
        <w:t xml:space="preserve"> </w:t>
      </w:r>
      <w:r>
        <w:rPr>
          <w:rFonts w:ascii="Times New Roman"/>
        </w:rPr>
        <w:t>column,</w:t>
      </w:r>
      <w:r>
        <w:rPr>
          <w:rFonts w:ascii="Times New Roman"/>
          <w:spacing w:val="-3"/>
        </w:rPr>
        <w:t xml:space="preserve"> </w:t>
      </w:r>
      <w:r>
        <w:rPr>
          <w:rFonts w:ascii="Times New Roman"/>
        </w:rPr>
        <w:t>or</w:t>
      </w:r>
      <w:r>
        <w:rPr>
          <w:rFonts w:ascii="Times New Roman"/>
          <w:spacing w:val="-3"/>
        </w:rPr>
        <w:t xml:space="preserve"> </w:t>
      </w:r>
      <w:r>
        <w:rPr>
          <w:rFonts w:ascii="Times New Roman"/>
        </w:rPr>
        <w:t>information</w:t>
      </w:r>
      <w:r>
        <w:rPr>
          <w:rFonts w:ascii="Times New Roman"/>
          <w:spacing w:val="-3"/>
        </w:rPr>
        <w:t xml:space="preserve"> </w:t>
      </w:r>
      <w:r>
        <w:rPr>
          <w:rFonts w:ascii="Times New Roman"/>
        </w:rPr>
        <w:t>in</w:t>
      </w:r>
      <w:r>
        <w:rPr>
          <w:rFonts w:ascii="Times New Roman"/>
          <w:spacing w:val="-6"/>
        </w:rPr>
        <w:t xml:space="preserve"> </w:t>
      </w:r>
      <w:r>
        <w:rPr>
          <w:rFonts w:ascii="Times New Roman"/>
        </w:rPr>
        <w:t>it may be edited, in any published version of this Act.</w:t>
      </w:r>
    </w:p>
    <w:p w14:paraId="77211236" w14:textId="77777777" w:rsidR="00811887" w:rsidRDefault="00811887" w:rsidP="00811887">
      <w:pPr>
        <w:pStyle w:val="BodyText"/>
        <w:spacing w:before="30"/>
        <w:rPr>
          <w:rFonts w:ascii="Times New Roman"/>
          <w:sz w:val="22"/>
        </w:rPr>
      </w:pPr>
    </w:p>
    <w:p w14:paraId="4AC490E3" w14:textId="77777777" w:rsidR="00811887" w:rsidRPr="00F716D3" w:rsidRDefault="00811887" w:rsidP="00FB2FE9">
      <w:pPr>
        <w:pStyle w:val="Heading7"/>
        <w:numPr>
          <w:ilvl w:val="0"/>
          <w:numId w:val="77"/>
        </w:numPr>
        <w:tabs>
          <w:tab w:val="left" w:pos="1909"/>
        </w:tabs>
        <w:ind w:left="1911" w:right="1701" w:hanging="360"/>
        <w:rPr>
          <w:rFonts w:ascii="Times New Roman" w:hAnsi="Times New Roman" w:cs="Times New Roman"/>
          <w:i/>
          <w:iCs/>
          <w:spacing w:val="-5"/>
        </w:rPr>
      </w:pPr>
      <w:bookmarkStart w:id="77" w:name="_TOC_250031"/>
      <w:r>
        <w:rPr>
          <w:noProof/>
        </w:rPr>
        <mc:AlternateContent>
          <mc:Choice Requires="wps">
            <w:drawing>
              <wp:anchor distT="0" distB="0" distL="114300" distR="114300" simplePos="0" relativeHeight="251782144" behindDoc="0" locked="0" layoutInCell="1" allowOverlap="1" wp14:anchorId="6B9084A0" wp14:editId="223CD9F3">
                <wp:simplePos x="0" y="0"/>
                <wp:positionH relativeFrom="column">
                  <wp:posOffset>1109345</wp:posOffset>
                </wp:positionH>
                <wp:positionV relativeFrom="paragraph">
                  <wp:posOffset>555180</wp:posOffset>
                </wp:positionV>
                <wp:extent cx="4560125" cy="1235034"/>
                <wp:effectExtent l="0" t="0" r="12065" b="22860"/>
                <wp:wrapNone/>
                <wp:docPr id="105895655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60125" cy="1235034"/>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F6104" id="Rectangle 3" o:spid="_x0000_s1026" alt="&quot;&quot;" style="position:absolute;margin-left:87.35pt;margin-top:43.7pt;width:359.05pt;height:97.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" filled="f" strokecolor="#301104 [484]" strokeweight=".5pt"/>
            </w:pict>
          </mc:Fallback>
        </mc:AlternateContent>
      </w:r>
      <w:r>
        <w:t>Simplified</w:t>
      </w:r>
      <w:r w:rsidRPr="00F716D3">
        <w:rPr>
          <w:spacing w:val="-4"/>
        </w:rPr>
        <w:t xml:space="preserve"> </w:t>
      </w:r>
      <w:r>
        <w:t>outline</w:t>
      </w:r>
      <w:r w:rsidRPr="00F716D3">
        <w:rPr>
          <w:spacing w:val="-2"/>
        </w:rPr>
        <w:t xml:space="preserve"> </w:t>
      </w:r>
      <w:r>
        <w:t>of</w:t>
      </w:r>
      <w:r w:rsidRPr="00F716D3">
        <w:rPr>
          <w:spacing w:val="-2"/>
        </w:rPr>
        <w:t xml:space="preserve"> </w:t>
      </w:r>
      <w:r>
        <w:t>this</w:t>
      </w:r>
      <w:r w:rsidRPr="00F716D3">
        <w:rPr>
          <w:spacing w:val="-2"/>
        </w:rPr>
        <w:t xml:space="preserve"> </w:t>
      </w:r>
      <w:bookmarkEnd w:id="77"/>
      <w:r w:rsidRPr="00F716D3">
        <w:rPr>
          <w:spacing w:val="-5"/>
        </w:rPr>
        <w:t>Act</w:t>
      </w:r>
      <w:r w:rsidRPr="00F716D3">
        <w:rPr>
          <w:spacing w:val="-5"/>
        </w:rPr>
        <w:br/>
      </w:r>
      <w:r w:rsidRPr="00F716D3">
        <w:rPr>
          <w:spacing w:val="-5"/>
        </w:rPr>
        <w:br/>
      </w:r>
      <w:r w:rsidRPr="00F716D3">
        <w:rPr>
          <w:spacing w:val="-5"/>
        </w:rPr>
        <w:br/>
      </w:r>
      <w:r w:rsidRPr="00F716D3">
        <w:rPr>
          <w:spacing w:val="-5"/>
        </w:rPr>
        <w:br/>
      </w:r>
      <w:r w:rsidRPr="00F716D3">
        <w:rPr>
          <w:rFonts w:ascii="Times New Roman" w:hAnsi="Times New Roman" w:cs="Times New Roman"/>
          <w:spacing w:val="-5"/>
        </w:rPr>
        <w:t>There is to be an Economic Inclusion Advisory Committee.</w:t>
      </w:r>
      <w:r>
        <w:rPr>
          <w:rFonts w:ascii="Times New Roman" w:hAnsi="Times New Roman" w:cs="Times New Roman"/>
          <w:spacing w:val="-5"/>
        </w:rPr>
        <w:br/>
      </w:r>
      <w:r w:rsidRPr="00F716D3">
        <w:rPr>
          <w:rFonts w:ascii="Times New Roman" w:hAnsi="Times New Roman" w:cs="Times New Roman"/>
          <w:spacing w:val="-5"/>
        </w:rPr>
        <w:br/>
        <w:t>The Committee’s function is to give a written report to the Joint Ministers, ahead of each Commonwealth Government budget, on matters related to the Commonwealth Government’s policies, programs and responsibilities for enhancing economic inclusion and participation.</w:t>
      </w:r>
    </w:p>
    <w:p w14:paraId="71F72443" w14:textId="77777777" w:rsidR="00811887" w:rsidRPr="00410B33" w:rsidRDefault="00811887" w:rsidP="00811887"/>
    <w:p w14:paraId="31370957" w14:textId="77777777" w:rsidR="00811887" w:rsidRDefault="00811887" w:rsidP="00811887">
      <w:pPr>
        <w:pStyle w:val="BodyText"/>
        <w:rPr>
          <w:rFonts w:ascii="Times New Roman"/>
          <w:b/>
          <w:sz w:val="19"/>
        </w:rPr>
      </w:pPr>
    </w:p>
    <w:p w14:paraId="276E10C5" w14:textId="77777777" w:rsidR="00811887" w:rsidRDefault="00811887" w:rsidP="00811887">
      <w:pPr>
        <w:pStyle w:val="BodyText"/>
        <w:rPr>
          <w:rFonts w:ascii="Times New Roman"/>
          <w:b/>
        </w:rPr>
      </w:pPr>
    </w:p>
    <w:p w14:paraId="448617F4" w14:textId="77777777" w:rsidR="00811887" w:rsidRDefault="00811887" w:rsidP="00811887">
      <w:pPr>
        <w:pStyle w:val="BodyText"/>
        <w:spacing w:before="192"/>
        <w:rPr>
          <w:rFonts w:ascii="Times New Roman"/>
          <w:b/>
        </w:rPr>
      </w:pPr>
      <w:r>
        <w:rPr>
          <w:noProof/>
        </w:rPr>
        <mc:AlternateContent>
          <mc:Choice Requires="wps">
            <w:drawing>
              <wp:anchor distT="0" distB="0" distL="0" distR="0" simplePos="0" relativeHeight="251699200" behindDoc="1" locked="0" layoutInCell="1" allowOverlap="1" wp14:anchorId="13820171" wp14:editId="7D7E0E6F">
                <wp:simplePos x="0" y="0"/>
                <wp:positionH relativeFrom="page">
                  <wp:posOffset>1512061</wp:posOffset>
                </wp:positionH>
                <wp:positionV relativeFrom="paragraph">
                  <wp:posOffset>283730</wp:posOffset>
                </wp:positionV>
                <wp:extent cx="4538345" cy="9525"/>
                <wp:effectExtent l="0" t="0" r="0" b="0"/>
                <wp:wrapTopAndBottom/>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D913E4" id="Graphic 13" o:spid="_x0000_s1026" alt="&quot;&quot;" style="position:absolute;margin-left:119.05pt;margin-top:22.35pt;width:357.35pt;height:.75pt;z-index:-25161728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" path="m4537837,l,,,9143r4537837,l4537837,xe" fillcolor="black" stroked="f">
                <v:path arrowok="t"/>
                <w10:wrap type="topAndBottom" anchorx="page"/>
              </v:shape>
            </w:pict>
          </mc:Fallback>
        </mc:AlternateContent>
      </w:r>
    </w:p>
    <w:p w14:paraId="6751C2EE" w14:textId="77777777" w:rsidR="00811887" w:rsidRDefault="00811887" w:rsidP="00811887">
      <w:pPr>
        <w:pStyle w:val="BodyText"/>
        <w:spacing w:before="121"/>
        <w:rPr>
          <w:rFonts w:ascii="Times New Roman"/>
          <w:b/>
          <w:sz w:val="18"/>
        </w:rPr>
      </w:pPr>
    </w:p>
    <w:p w14:paraId="46B015C1" w14:textId="77777777" w:rsidR="00811887" w:rsidRDefault="00811887" w:rsidP="00811887">
      <w:pPr>
        <w:tabs>
          <w:tab w:val="left" w:pos="3084"/>
          <w:tab w:val="left" w:pos="7738"/>
        </w:tabs>
        <w:ind w:left="1670"/>
        <w:rPr>
          <w:rFonts w:ascii="Times New Roman"/>
          <w:i/>
          <w:sz w:val="18"/>
        </w:rPr>
      </w:pPr>
      <w:r>
        <w:rPr>
          <w:rFonts w:ascii="Times New Roman"/>
          <w:i/>
          <w:spacing w:val="-10"/>
          <w:sz w:val="18"/>
        </w:rPr>
        <w:t>2</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6C3F592A"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554C881C" w14:textId="77777777" w:rsidR="00811887" w:rsidRDefault="00811887" w:rsidP="00811887">
      <w:pPr>
        <w:spacing w:before="65"/>
        <w:ind w:right="1685"/>
        <w:jc w:val="right"/>
        <w:rPr>
          <w:rFonts w:ascii="Times New Roman"/>
          <w:b/>
          <w:sz w:val="20"/>
        </w:rPr>
      </w:pPr>
      <w:r>
        <w:rPr>
          <w:rFonts w:ascii="Times New Roman"/>
          <w:sz w:val="20"/>
        </w:rPr>
        <w:lastRenderedPageBreak/>
        <w:t>Preliminary</w:t>
      </w:r>
      <w:r>
        <w:rPr>
          <w:rFonts w:ascii="Times New Roman"/>
          <w:spacing w:val="39"/>
          <w:sz w:val="20"/>
        </w:rPr>
        <w:t xml:space="preserve"> </w:t>
      </w:r>
      <w:r>
        <w:rPr>
          <w:rFonts w:ascii="Times New Roman"/>
          <w:b/>
          <w:sz w:val="20"/>
        </w:rPr>
        <w:t>Part</w:t>
      </w:r>
      <w:r>
        <w:rPr>
          <w:rFonts w:ascii="Times New Roman"/>
          <w:b/>
          <w:spacing w:val="-3"/>
          <w:sz w:val="20"/>
        </w:rPr>
        <w:t xml:space="preserve"> </w:t>
      </w:r>
      <w:r>
        <w:rPr>
          <w:rFonts w:ascii="Times New Roman"/>
          <w:b/>
          <w:spacing w:val="-10"/>
          <w:sz w:val="20"/>
        </w:rPr>
        <w:t>1</w:t>
      </w:r>
    </w:p>
    <w:p w14:paraId="740E6AB8" w14:textId="77777777" w:rsidR="00811887" w:rsidRDefault="00811887" w:rsidP="00811887">
      <w:pPr>
        <w:pStyle w:val="BodyText"/>
        <w:rPr>
          <w:rFonts w:ascii="Times New Roman"/>
          <w:b/>
        </w:rPr>
      </w:pPr>
    </w:p>
    <w:p w14:paraId="6820F8CC" w14:textId="77777777" w:rsidR="00811887" w:rsidRDefault="00811887" w:rsidP="00811887">
      <w:pPr>
        <w:pStyle w:val="BodyText"/>
        <w:spacing w:before="77"/>
        <w:rPr>
          <w:rFonts w:ascii="Times New Roman"/>
          <w:b/>
        </w:rPr>
      </w:pPr>
    </w:p>
    <w:p w14:paraId="53F58FF0"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00224" behindDoc="1" locked="0" layoutInCell="1" allowOverlap="1" wp14:anchorId="67FCB5FA" wp14:editId="64DE292F">
                <wp:simplePos x="0" y="0"/>
                <wp:positionH relativeFrom="page">
                  <wp:posOffset>1512061</wp:posOffset>
                </wp:positionH>
                <wp:positionV relativeFrom="paragraph">
                  <wp:posOffset>192823</wp:posOffset>
                </wp:positionV>
                <wp:extent cx="4538345" cy="9525"/>
                <wp:effectExtent l="0" t="0" r="0" b="0"/>
                <wp:wrapTopAndBottom/>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57DA08" id="Graphic 14" o:spid="_x0000_s1026" alt="&quot;&quot;" style="position:absolute;margin-left:119.05pt;margin-top:15.2pt;width:357.35pt;height:.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4</w:t>
      </w:r>
    </w:p>
    <w:p w14:paraId="0E9FBE43" w14:textId="77777777" w:rsidR="00811887" w:rsidRDefault="00811887" w:rsidP="00811887">
      <w:pPr>
        <w:pStyle w:val="BodyText"/>
        <w:spacing w:before="38"/>
        <w:rPr>
          <w:rFonts w:ascii="Times New Roman"/>
        </w:rPr>
      </w:pPr>
    </w:p>
    <w:p w14:paraId="2152BC2D" w14:textId="77777777" w:rsidR="00811887" w:rsidRDefault="00811887" w:rsidP="00811887">
      <w:pPr>
        <w:pStyle w:val="BodyText"/>
        <w:spacing w:before="8"/>
        <w:ind w:left="1701" w:right="1701"/>
        <w:rPr>
          <w:rFonts w:ascii="Times New Roman"/>
          <w:sz w:val="24"/>
        </w:rPr>
      </w:pPr>
      <w:r>
        <w:rPr>
          <w:noProof/>
          <w14:ligatures w14:val="standardContextual"/>
        </w:rPr>
        <mc:AlternateContent>
          <mc:Choice Requires="wps">
            <w:drawing>
              <wp:anchor distT="0" distB="0" distL="114300" distR="114300" simplePos="0" relativeHeight="251783168" behindDoc="0" locked="0" layoutInCell="1" allowOverlap="1" wp14:anchorId="39DEE975" wp14:editId="37AF113C">
                <wp:simplePos x="0" y="0"/>
                <wp:positionH relativeFrom="margin">
                  <wp:posOffset>1026160</wp:posOffset>
                </wp:positionH>
                <wp:positionV relativeFrom="paragraph">
                  <wp:posOffset>80455</wp:posOffset>
                </wp:positionV>
                <wp:extent cx="4559935" cy="866305"/>
                <wp:effectExtent l="0" t="0" r="12065" b="10160"/>
                <wp:wrapNone/>
                <wp:docPr id="42749447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59935" cy="86630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91C37B" id="Rectangle 3" o:spid="_x0000_s1026" alt="&quot;&quot;" style="position:absolute;margin-left:80.8pt;margin-top:6.35pt;width:359.05pt;height:68.2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" filled="f" strokecolor="#301104 [484]" strokeweight=".5pt">
                <w10:wrap anchorx="margin"/>
              </v:rect>
            </w:pict>
          </mc:Fallback>
        </mc:AlternateContent>
      </w:r>
      <w:r>
        <w:rPr>
          <w:rFonts w:ascii="Times New Roman"/>
          <w:sz w:val="24"/>
        </w:rPr>
        <w:br/>
      </w:r>
      <w:r w:rsidRPr="00F716D3">
        <w:rPr>
          <w:rFonts w:ascii="Times New Roman"/>
          <w:sz w:val="24"/>
        </w:rPr>
        <w:t>The Committee is to consist of up to 14 part-time members, including a Chair, appointed by the Minister for terms of up to 3 years.</w:t>
      </w:r>
      <w:r>
        <w:rPr>
          <w:rFonts w:ascii="Times New Roman"/>
          <w:sz w:val="24"/>
        </w:rPr>
        <w:br/>
      </w:r>
      <w:r>
        <w:rPr>
          <w:rFonts w:ascii="Times New Roman"/>
          <w:sz w:val="24"/>
        </w:rPr>
        <w:br/>
      </w:r>
      <w:r w:rsidRPr="00F716D3">
        <w:rPr>
          <w:rFonts w:ascii="Times New Roman"/>
          <w:sz w:val="24"/>
        </w:rPr>
        <w:t>This Act is to be reviewed every 5 years.</w:t>
      </w:r>
      <w:r>
        <w:rPr>
          <w:rFonts w:ascii="Times New Roman"/>
          <w:sz w:val="24"/>
        </w:rPr>
        <w:br/>
      </w:r>
    </w:p>
    <w:p w14:paraId="7E09C7C9" w14:textId="77777777" w:rsidR="00811887" w:rsidRDefault="00811887" w:rsidP="00FB2FE9">
      <w:pPr>
        <w:pStyle w:val="Heading7"/>
        <w:numPr>
          <w:ilvl w:val="0"/>
          <w:numId w:val="77"/>
        </w:numPr>
        <w:tabs>
          <w:tab w:val="left" w:pos="1910"/>
        </w:tabs>
        <w:ind w:left="1190" w:hanging="360"/>
      </w:pPr>
      <w:bookmarkStart w:id="78" w:name="_TOC_250030"/>
      <w:bookmarkEnd w:id="78"/>
      <w:r>
        <w:rPr>
          <w:spacing w:val="-2"/>
        </w:rPr>
        <w:t>Definitions</w:t>
      </w:r>
    </w:p>
    <w:p w14:paraId="5842681F" w14:textId="77777777" w:rsidR="00811887" w:rsidRDefault="00811887" w:rsidP="00811887">
      <w:pPr>
        <w:spacing w:before="176"/>
        <w:ind w:left="2803"/>
        <w:rPr>
          <w:rFonts w:ascii="Times New Roman"/>
        </w:rPr>
      </w:pPr>
      <w:r>
        <w:rPr>
          <w:rFonts w:ascii="Times New Roman"/>
        </w:rPr>
        <w:t>In</w:t>
      </w:r>
      <w:r>
        <w:rPr>
          <w:rFonts w:ascii="Times New Roman"/>
          <w:spacing w:val="-2"/>
        </w:rPr>
        <w:t xml:space="preserve"> </w:t>
      </w:r>
      <w:r>
        <w:rPr>
          <w:rFonts w:ascii="Times New Roman"/>
        </w:rPr>
        <w:t>this</w:t>
      </w:r>
      <w:r>
        <w:rPr>
          <w:rFonts w:ascii="Times New Roman"/>
          <w:spacing w:val="-2"/>
        </w:rPr>
        <w:t xml:space="preserve"> </w:t>
      </w:r>
      <w:r>
        <w:rPr>
          <w:rFonts w:ascii="Times New Roman"/>
          <w:spacing w:val="-4"/>
        </w:rPr>
        <w:t>Act:</w:t>
      </w:r>
    </w:p>
    <w:p w14:paraId="06A16214" w14:textId="77777777" w:rsidR="00811887" w:rsidRDefault="00811887" w:rsidP="00811887">
      <w:pPr>
        <w:spacing w:before="181"/>
        <w:ind w:left="2803"/>
        <w:rPr>
          <w:rFonts w:ascii="Times New Roman"/>
        </w:rPr>
      </w:pPr>
      <w:r>
        <w:rPr>
          <w:rFonts w:ascii="Times New Roman"/>
          <w:b/>
          <w:i/>
        </w:rPr>
        <w:t>Chair</w:t>
      </w:r>
      <w:r>
        <w:rPr>
          <w:rFonts w:ascii="Times New Roman"/>
          <w:b/>
          <w:i/>
          <w:spacing w:val="-2"/>
        </w:rPr>
        <w:t xml:space="preserve"> </w:t>
      </w:r>
      <w:r>
        <w:rPr>
          <w:rFonts w:ascii="Times New Roman"/>
        </w:rPr>
        <w:t>means</w:t>
      </w:r>
      <w:r>
        <w:rPr>
          <w:rFonts w:ascii="Times New Roman"/>
          <w:spacing w:val="-3"/>
        </w:rPr>
        <w:t xml:space="preserve"> </w:t>
      </w:r>
      <w:r>
        <w:rPr>
          <w:rFonts w:ascii="Times New Roman"/>
        </w:rPr>
        <w:t>the</w:t>
      </w:r>
      <w:r>
        <w:rPr>
          <w:rFonts w:ascii="Times New Roman"/>
          <w:spacing w:val="-2"/>
        </w:rPr>
        <w:t xml:space="preserve"> </w:t>
      </w:r>
      <w:r>
        <w:rPr>
          <w:rFonts w:ascii="Times New Roman"/>
        </w:rPr>
        <w:t>Chair</w:t>
      </w:r>
      <w:r>
        <w:rPr>
          <w:rFonts w:ascii="Times New Roman"/>
          <w:spacing w:val="-5"/>
        </w:rPr>
        <w:t xml:space="preserve"> </w:t>
      </w:r>
      <w:r>
        <w:rPr>
          <w:rFonts w:ascii="Times New Roman"/>
        </w:rPr>
        <w:t>of</w:t>
      </w:r>
      <w:r>
        <w:rPr>
          <w:rFonts w:ascii="Times New Roman"/>
          <w:spacing w:val="-4"/>
        </w:rPr>
        <w:t xml:space="preserve"> </w:t>
      </w:r>
      <w:r>
        <w:rPr>
          <w:rFonts w:ascii="Times New Roman"/>
        </w:rPr>
        <w:t>the</w:t>
      </w:r>
      <w:r>
        <w:rPr>
          <w:rFonts w:ascii="Times New Roman"/>
          <w:spacing w:val="-2"/>
        </w:rPr>
        <w:t xml:space="preserve"> Committee.</w:t>
      </w:r>
    </w:p>
    <w:p w14:paraId="783C538F" w14:textId="77777777" w:rsidR="00811887" w:rsidRDefault="00811887" w:rsidP="00811887">
      <w:pPr>
        <w:spacing w:before="179"/>
        <w:ind w:left="2803" w:right="1669"/>
        <w:rPr>
          <w:rFonts w:ascii="Times New Roman"/>
        </w:rPr>
      </w:pPr>
      <w:r>
        <w:rPr>
          <w:rFonts w:ascii="Times New Roman"/>
          <w:b/>
          <w:i/>
        </w:rPr>
        <w:t>Committee</w:t>
      </w:r>
      <w:r>
        <w:rPr>
          <w:rFonts w:ascii="Times New Roman"/>
          <w:b/>
          <w:i/>
          <w:spacing w:val="-5"/>
        </w:rPr>
        <w:t xml:space="preserve"> </w:t>
      </w:r>
      <w:r>
        <w:rPr>
          <w:rFonts w:ascii="Times New Roman"/>
        </w:rPr>
        <w:t>means</w:t>
      </w:r>
      <w:r>
        <w:rPr>
          <w:rFonts w:ascii="Times New Roman"/>
          <w:spacing w:val="-6"/>
        </w:rPr>
        <w:t xml:space="preserve"> </w:t>
      </w:r>
      <w:r>
        <w:rPr>
          <w:rFonts w:ascii="Times New Roman"/>
        </w:rPr>
        <w:t>the</w:t>
      </w:r>
      <w:r>
        <w:rPr>
          <w:rFonts w:ascii="Times New Roman"/>
          <w:spacing w:val="-6"/>
        </w:rPr>
        <w:t xml:space="preserve"> </w:t>
      </w:r>
      <w:r>
        <w:rPr>
          <w:rFonts w:ascii="Times New Roman"/>
        </w:rPr>
        <w:t>Economic</w:t>
      </w:r>
      <w:r>
        <w:rPr>
          <w:rFonts w:ascii="Times New Roman"/>
          <w:spacing w:val="-4"/>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9"/>
        </w:rPr>
        <w:t xml:space="preserve"> </w:t>
      </w:r>
      <w:r>
        <w:rPr>
          <w:rFonts w:ascii="Times New Roman"/>
        </w:rPr>
        <w:t>Committee established by section 7.</w:t>
      </w:r>
    </w:p>
    <w:p w14:paraId="3D5E7AED" w14:textId="77777777" w:rsidR="00811887" w:rsidRDefault="00811887" w:rsidP="00811887">
      <w:pPr>
        <w:spacing w:before="181"/>
        <w:ind w:left="2803"/>
        <w:rPr>
          <w:rFonts w:ascii="Times New Roman"/>
        </w:rPr>
      </w:pPr>
      <w:r>
        <w:rPr>
          <w:rFonts w:ascii="Times New Roman"/>
          <w:b/>
          <w:i/>
        </w:rPr>
        <w:t>Indigenous</w:t>
      </w:r>
      <w:r>
        <w:rPr>
          <w:rFonts w:ascii="Times New Roman"/>
          <w:b/>
          <w:i/>
          <w:spacing w:val="-4"/>
        </w:rPr>
        <w:t xml:space="preserve"> </w:t>
      </w:r>
      <w:r>
        <w:rPr>
          <w:rFonts w:ascii="Times New Roman"/>
          <w:b/>
          <w:i/>
        </w:rPr>
        <w:t>person</w:t>
      </w:r>
      <w:r>
        <w:rPr>
          <w:rFonts w:ascii="Times New Roman"/>
          <w:b/>
          <w:i/>
          <w:spacing w:val="-3"/>
        </w:rPr>
        <w:t xml:space="preserve"> </w:t>
      </w:r>
      <w:r>
        <w:rPr>
          <w:rFonts w:ascii="Times New Roman"/>
        </w:rPr>
        <w:t>means</w:t>
      </w:r>
      <w:r>
        <w:rPr>
          <w:rFonts w:ascii="Times New Roman"/>
          <w:spacing w:val="-6"/>
        </w:rPr>
        <w:t xml:space="preserve"> </w:t>
      </w:r>
      <w:r>
        <w:rPr>
          <w:rFonts w:ascii="Times New Roman"/>
        </w:rPr>
        <w:t>a</w:t>
      </w:r>
      <w:r>
        <w:rPr>
          <w:rFonts w:ascii="Times New Roman"/>
          <w:spacing w:val="-3"/>
        </w:rPr>
        <w:t xml:space="preserve"> </w:t>
      </w:r>
      <w:r>
        <w:rPr>
          <w:rFonts w:ascii="Times New Roman"/>
        </w:rPr>
        <w:t>person</w:t>
      </w:r>
      <w:r>
        <w:rPr>
          <w:rFonts w:ascii="Times New Roman"/>
          <w:spacing w:val="-3"/>
        </w:rPr>
        <w:t xml:space="preserve"> </w:t>
      </w:r>
      <w:r>
        <w:rPr>
          <w:rFonts w:ascii="Times New Roman"/>
        </w:rPr>
        <w:t>who</w:t>
      </w:r>
      <w:r>
        <w:rPr>
          <w:rFonts w:ascii="Times New Roman"/>
          <w:spacing w:val="-6"/>
        </w:rPr>
        <w:t xml:space="preserve"> </w:t>
      </w:r>
      <w:r>
        <w:rPr>
          <w:rFonts w:ascii="Times New Roman"/>
          <w:spacing w:val="-5"/>
        </w:rPr>
        <w:t>is:</w:t>
      </w:r>
    </w:p>
    <w:p w14:paraId="6C9EB82D" w14:textId="77777777" w:rsidR="00811887" w:rsidRDefault="00811887" w:rsidP="00FB2FE9">
      <w:pPr>
        <w:pStyle w:val="ListParagraph"/>
        <w:widowControl w:val="0"/>
        <w:numPr>
          <w:ilvl w:val="0"/>
          <w:numId w:val="76"/>
        </w:numPr>
        <w:tabs>
          <w:tab w:val="left" w:pos="3313"/>
        </w:tabs>
        <w:autoSpaceDE w:val="0"/>
        <w:autoSpaceDN w:val="0"/>
        <w:spacing w:before="39" w:after="0"/>
        <w:ind w:left="3313" w:hanging="356"/>
        <w:contextualSpacing w:val="0"/>
        <w:rPr>
          <w:rFonts w:ascii="Times New Roman"/>
        </w:rPr>
      </w:pPr>
      <w:r>
        <w:rPr>
          <w:rFonts w:ascii="Times New Roman"/>
        </w:rPr>
        <w:t>a</w:t>
      </w:r>
      <w:r>
        <w:rPr>
          <w:rFonts w:ascii="Times New Roman"/>
          <w:spacing w:val="-4"/>
        </w:rPr>
        <w:t xml:space="preserve"> </w:t>
      </w:r>
      <w:r>
        <w:rPr>
          <w:rFonts w:ascii="Times New Roman"/>
        </w:rPr>
        <w:t>member</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rPr>
        <w:t>Aboriginal</w:t>
      </w:r>
      <w:r>
        <w:rPr>
          <w:rFonts w:ascii="Times New Roman"/>
          <w:spacing w:val="-5"/>
        </w:rPr>
        <w:t xml:space="preserve"> </w:t>
      </w:r>
      <w:r>
        <w:rPr>
          <w:rFonts w:ascii="Times New Roman"/>
        </w:rPr>
        <w:t>race</w:t>
      </w:r>
      <w:r>
        <w:rPr>
          <w:rFonts w:ascii="Times New Roman"/>
          <w:spacing w:val="-6"/>
        </w:rPr>
        <w:t xml:space="preserve"> </w:t>
      </w:r>
      <w:r>
        <w:rPr>
          <w:rFonts w:ascii="Times New Roman"/>
        </w:rPr>
        <w:t>of</w:t>
      </w:r>
      <w:r>
        <w:rPr>
          <w:rFonts w:ascii="Times New Roman"/>
          <w:spacing w:val="-3"/>
        </w:rPr>
        <w:t xml:space="preserve"> </w:t>
      </w:r>
      <w:r>
        <w:rPr>
          <w:rFonts w:ascii="Times New Roman"/>
        </w:rPr>
        <w:t xml:space="preserve">Australia; </w:t>
      </w:r>
      <w:r>
        <w:rPr>
          <w:rFonts w:ascii="Times New Roman"/>
          <w:spacing w:val="-5"/>
        </w:rPr>
        <w:t>or</w:t>
      </w:r>
    </w:p>
    <w:p w14:paraId="200C8DA3" w14:textId="77777777" w:rsidR="00811887" w:rsidRDefault="00811887" w:rsidP="00FB2FE9">
      <w:pPr>
        <w:pStyle w:val="ListParagraph"/>
        <w:widowControl w:val="0"/>
        <w:numPr>
          <w:ilvl w:val="0"/>
          <w:numId w:val="76"/>
        </w:numPr>
        <w:tabs>
          <w:tab w:val="left" w:pos="3312"/>
          <w:tab w:val="left" w:pos="3314"/>
        </w:tabs>
        <w:autoSpaceDE w:val="0"/>
        <w:autoSpaceDN w:val="0"/>
        <w:spacing w:before="40" w:after="0"/>
        <w:ind w:right="1805" w:hanging="370"/>
        <w:contextualSpacing w:val="0"/>
        <w:rPr>
          <w:rFonts w:ascii="Times New Roman"/>
        </w:rPr>
      </w:pPr>
      <w:r>
        <w:rPr>
          <w:rFonts w:ascii="Times New Roman"/>
        </w:rPr>
        <w:t>a</w:t>
      </w:r>
      <w:r>
        <w:rPr>
          <w:rFonts w:ascii="Times New Roman"/>
          <w:spacing w:val="-4"/>
        </w:rPr>
        <w:t xml:space="preserve"> </w:t>
      </w:r>
      <w:r>
        <w:rPr>
          <w:rFonts w:ascii="Times New Roman"/>
        </w:rPr>
        <w:t>descendant</w:t>
      </w:r>
      <w:r>
        <w:rPr>
          <w:rFonts w:ascii="Times New Roman"/>
          <w:spacing w:val="-3"/>
        </w:rPr>
        <w:t xml:space="preserve"> </w:t>
      </w:r>
      <w:r>
        <w:rPr>
          <w:rFonts w:ascii="Times New Roman"/>
        </w:rPr>
        <w:t>of</w:t>
      </w:r>
      <w:r>
        <w:rPr>
          <w:rFonts w:ascii="Times New Roman"/>
          <w:spacing w:val="-4"/>
        </w:rPr>
        <w:t xml:space="preserve"> </w:t>
      </w:r>
      <w:r>
        <w:rPr>
          <w:rFonts w:ascii="Times New Roman"/>
        </w:rPr>
        <w:t>an</w:t>
      </w:r>
      <w:r>
        <w:rPr>
          <w:rFonts w:ascii="Times New Roman"/>
          <w:spacing w:val="-4"/>
        </w:rPr>
        <w:t xml:space="preserve"> </w:t>
      </w:r>
      <w:r>
        <w:rPr>
          <w:rFonts w:ascii="Times New Roman"/>
        </w:rPr>
        <w:t>Indigenous</w:t>
      </w:r>
      <w:r>
        <w:rPr>
          <w:rFonts w:ascii="Times New Roman"/>
          <w:spacing w:val="-4"/>
        </w:rPr>
        <w:t xml:space="preserve"> </w:t>
      </w:r>
      <w:r>
        <w:rPr>
          <w:rFonts w:ascii="Times New Roman"/>
        </w:rPr>
        <w:t>inhabitant</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6"/>
        </w:rPr>
        <w:t xml:space="preserve"> </w:t>
      </w:r>
      <w:r>
        <w:rPr>
          <w:rFonts w:ascii="Times New Roman"/>
        </w:rPr>
        <w:t>Torres</w:t>
      </w:r>
      <w:r>
        <w:rPr>
          <w:rFonts w:ascii="Times New Roman"/>
          <w:spacing w:val="-6"/>
        </w:rPr>
        <w:t xml:space="preserve"> </w:t>
      </w:r>
      <w:r>
        <w:rPr>
          <w:rFonts w:ascii="Times New Roman"/>
        </w:rPr>
        <w:t xml:space="preserve">Strait </w:t>
      </w:r>
      <w:r>
        <w:rPr>
          <w:rFonts w:ascii="Times New Roman"/>
          <w:spacing w:val="-2"/>
        </w:rPr>
        <w:t>Islands.</w:t>
      </w:r>
    </w:p>
    <w:p w14:paraId="1CA26049" w14:textId="77777777" w:rsidR="00811887" w:rsidRDefault="00811887" w:rsidP="00811887">
      <w:pPr>
        <w:spacing w:before="181"/>
        <w:ind w:left="2803"/>
        <w:rPr>
          <w:rFonts w:ascii="Times New Roman"/>
        </w:rPr>
      </w:pPr>
      <w:r>
        <w:rPr>
          <w:rFonts w:ascii="Times New Roman"/>
          <w:b/>
          <w:i/>
        </w:rPr>
        <w:t>Joint</w:t>
      </w:r>
      <w:r>
        <w:rPr>
          <w:rFonts w:ascii="Times New Roman"/>
          <w:b/>
          <w:i/>
          <w:spacing w:val="-5"/>
        </w:rPr>
        <w:t xml:space="preserve"> </w:t>
      </w:r>
      <w:r>
        <w:rPr>
          <w:rFonts w:ascii="Times New Roman"/>
          <w:b/>
          <w:i/>
        </w:rPr>
        <w:t>Ministers</w:t>
      </w:r>
      <w:r>
        <w:rPr>
          <w:rFonts w:ascii="Times New Roman"/>
          <w:b/>
          <w:i/>
          <w:spacing w:val="-3"/>
        </w:rPr>
        <w:t xml:space="preserve"> </w:t>
      </w:r>
      <w:r>
        <w:rPr>
          <w:rFonts w:ascii="Times New Roman"/>
        </w:rPr>
        <w:t>means</w:t>
      </w:r>
      <w:r>
        <w:rPr>
          <w:rFonts w:ascii="Times New Roman"/>
          <w:spacing w:val="-3"/>
        </w:rPr>
        <w:t xml:space="preserve"> </w:t>
      </w:r>
      <w:r>
        <w:rPr>
          <w:rFonts w:ascii="Times New Roman"/>
        </w:rPr>
        <w:t>the</w:t>
      </w:r>
      <w:r>
        <w:rPr>
          <w:rFonts w:ascii="Times New Roman"/>
          <w:spacing w:val="-5"/>
        </w:rPr>
        <w:t xml:space="preserve"> </w:t>
      </w:r>
      <w:r>
        <w:rPr>
          <w:rFonts w:ascii="Times New Roman"/>
        </w:rPr>
        <w:t>Minister</w:t>
      </w:r>
      <w:r>
        <w:rPr>
          <w:rFonts w:ascii="Times New Roman"/>
          <w:spacing w:val="-5"/>
        </w:rPr>
        <w:t xml:space="preserve"> </w:t>
      </w:r>
      <w:r>
        <w:rPr>
          <w:rFonts w:ascii="Times New Roman"/>
        </w:rPr>
        <w:t>and</w:t>
      </w:r>
      <w:r>
        <w:rPr>
          <w:rFonts w:ascii="Times New Roman"/>
          <w:spacing w:val="-5"/>
        </w:rPr>
        <w:t xml:space="preserve"> </w:t>
      </w:r>
      <w:r>
        <w:rPr>
          <w:rFonts w:ascii="Times New Roman"/>
        </w:rPr>
        <w:t>the</w:t>
      </w:r>
      <w:r>
        <w:rPr>
          <w:rFonts w:ascii="Times New Roman"/>
          <w:spacing w:val="-4"/>
        </w:rPr>
        <w:t xml:space="preserve"> </w:t>
      </w:r>
      <w:r>
        <w:rPr>
          <w:rFonts w:ascii="Times New Roman"/>
          <w:spacing w:val="-2"/>
        </w:rPr>
        <w:t>Treasurer.</w:t>
      </w:r>
    </w:p>
    <w:p w14:paraId="1C54A198" w14:textId="77777777" w:rsidR="00811887" w:rsidRDefault="00811887" w:rsidP="00811887">
      <w:pPr>
        <w:pStyle w:val="BodyText"/>
        <w:spacing w:before="30"/>
        <w:rPr>
          <w:rFonts w:ascii="Times New Roman"/>
          <w:sz w:val="22"/>
        </w:rPr>
      </w:pPr>
    </w:p>
    <w:p w14:paraId="75C80C39" w14:textId="77777777" w:rsidR="00811887" w:rsidRDefault="00811887" w:rsidP="00FB2FE9">
      <w:pPr>
        <w:pStyle w:val="Heading7"/>
        <w:numPr>
          <w:ilvl w:val="0"/>
          <w:numId w:val="77"/>
        </w:numPr>
        <w:tabs>
          <w:tab w:val="left" w:pos="1910"/>
        </w:tabs>
        <w:ind w:left="1190" w:hanging="360"/>
      </w:pPr>
      <w:bookmarkStart w:id="79" w:name="_TOC_250029"/>
      <w:r>
        <w:t>Functions</w:t>
      </w:r>
      <w:r>
        <w:rPr>
          <w:spacing w:val="-2"/>
        </w:rPr>
        <w:t xml:space="preserve"> </w:t>
      </w:r>
      <w:r>
        <w:t>or</w:t>
      </w:r>
      <w:r>
        <w:rPr>
          <w:spacing w:val="-3"/>
        </w:rPr>
        <w:t xml:space="preserve"> </w:t>
      </w:r>
      <w:r>
        <w:t>powers</w:t>
      </w:r>
      <w:r>
        <w:rPr>
          <w:spacing w:val="-2"/>
        </w:rPr>
        <w:t xml:space="preserve"> </w:t>
      </w:r>
      <w:r>
        <w:t>of</w:t>
      </w:r>
      <w:r>
        <w:rPr>
          <w:spacing w:val="-1"/>
        </w:rPr>
        <w:t xml:space="preserve"> </w:t>
      </w:r>
      <w:r>
        <w:t>Joint</w:t>
      </w:r>
      <w:bookmarkEnd w:id="79"/>
      <w:r>
        <w:rPr>
          <w:spacing w:val="-2"/>
        </w:rPr>
        <w:t xml:space="preserve"> Ministers</w:t>
      </w:r>
    </w:p>
    <w:p w14:paraId="1689D5E7" w14:textId="77777777" w:rsidR="00811887" w:rsidRDefault="00811887" w:rsidP="00811887">
      <w:pPr>
        <w:spacing w:before="177"/>
        <w:ind w:left="2803" w:right="1757"/>
        <w:rPr>
          <w:rFonts w:ascii="Times New Roman"/>
        </w:rPr>
      </w:pPr>
      <w:r>
        <w:rPr>
          <w:rFonts w:ascii="Times New Roman"/>
        </w:rPr>
        <w:t>If</w:t>
      </w:r>
      <w:r>
        <w:rPr>
          <w:rFonts w:ascii="Times New Roman"/>
          <w:spacing w:val="-3"/>
        </w:rPr>
        <w:t xml:space="preserve"> </w:t>
      </w:r>
      <w:r>
        <w:rPr>
          <w:rFonts w:ascii="Times New Roman"/>
        </w:rPr>
        <w:t>this</w:t>
      </w:r>
      <w:r>
        <w:rPr>
          <w:rFonts w:ascii="Times New Roman"/>
          <w:spacing w:val="-3"/>
        </w:rPr>
        <w:t xml:space="preserve"> </w:t>
      </w:r>
      <w:r>
        <w:rPr>
          <w:rFonts w:ascii="Times New Roman"/>
        </w:rPr>
        <w:t>Act</w:t>
      </w:r>
      <w:r>
        <w:rPr>
          <w:rFonts w:ascii="Times New Roman"/>
          <w:spacing w:val="-3"/>
        </w:rPr>
        <w:t xml:space="preserve"> </w:t>
      </w:r>
      <w:r>
        <w:rPr>
          <w:rFonts w:ascii="Times New Roman"/>
        </w:rPr>
        <w:t>gives</w:t>
      </w:r>
      <w:r>
        <w:rPr>
          <w:rFonts w:ascii="Times New Roman"/>
          <w:spacing w:val="-3"/>
        </w:rPr>
        <w:t xml:space="preserve"> </w:t>
      </w:r>
      <w:r>
        <w:rPr>
          <w:rFonts w:ascii="Times New Roman"/>
        </w:rPr>
        <w:t>a</w:t>
      </w:r>
      <w:r>
        <w:rPr>
          <w:rFonts w:ascii="Times New Roman"/>
          <w:spacing w:val="-4"/>
        </w:rPr>
        <w:t xml:space="preserve"> </w:t>
      </w:r>
      <w:r>
        <w:rPr>
          <w:rFonts w:ascii="Times New Roman"/>
        </w:rPr>
        <w:t>function</w:t>
      </w:r>
      <w:r>
        <w:rPr>
          <w:rFonts w:ascii="Times New Roman"/>
          <w:spacing w:val="-5"/>
        </w:rPr>
        <w:t xml:space="preserve"> </w:t>
      </w:r>
      <w:r>
        <w:rPr>
          <w:rFonts w:ascii="Times New Roman"/>
        </w:rPr>
        <w:t>or</w:t>
      </w:r>
      <w:r>
        <w:rPr>
          <w:rFonts w:ascii="Times New Roman"/>
          <w:spacing w:val="-3"/>
        </w:rPr>
        <w:t xml:space="preserve"> </w:t>
      </w:r>
      <w:r>
        <w:rPr>
          <w:rFonts w:ascii="Times New Roman"/>
        </w:rPr>
        <w:t>a</w:t>
      </w:r>
      <w:r>
        <w:rPr>
          <w:rFonts w:ascii="Times New Roman"/>
          <w:spacing w:val="-3"/>
        </w:rPr>
        <w:t xml:space="preserve"> </w:t>
      </w:r>
      <w:r>
        <w:rPr>
          <w:rFonts w:ascii="Times New Roman"/>
        </w:rPr>
        <w:t>power</w:t>
      </w:r>
      <w:r>
        <w:rPr>
          <w:rFonts w:ascii="Times New Roman"/>
          <w:spacing w:val="-4"/>
        </w:rPr>
        <w:t xml:space="preserve"> </w:t>
      </w:r>
      <w:r>
        <w:rPr>
          <w:rFonts w:ascii="Times New Roman"/>
        </w:rPr>
        <w:t>to</w:t>
      </w:r>
      <w:r>
        <w:rPr>
          <w:rFonts w:ascii="Times New Roman"/>
          <w:spacing w:val="-3"/>
        </w:rPr>
        <w:t xml:space="preserve"> </w:t>
      </w:r>
      <w:r>
        <w:rPr>
          <w:rFonts w:ascii="Times New Roman"/>
        </w:rPr>
        <w:t>the</w:t>
      </w:r>
      <w:r>
        <w:rPr>
          <w:rFonts w:ascii="Times New Roman"/>
          <w:spacing w:val="-4"/>
        </w:rPr>
        <w:t xml:space="preserve"> </w:t>
      </w:r>
      <w:r>
        <w:rPr>
          <w:rFonts w:ascii="Times New Roman"/>
        </w:rPr>
        <w:t>Joint</w:t>
      </w:r>
      <w:r>
        <w:rPr>
          <w:rFonts w:ascii="Times New Roman"/>
          <w:spacing w:val="-2"/>
        </w:rPr>
        <w:t xml:space="preserve"> </w:t>
      </w:r>
      <w:r>
        <w:rPr>
          <w:rFonts w:ascii="Times New Roman"/>
        </w:rPr>
        <w:t>Ministers,</w:t>
      </w:r>
      <w:r>
        <w:rPr>
          <w:rFonts w:ascii="Times New Roman"/>
          <w:spacing w:val="-3"/>
        </w:rPr>
        <w:t xml:space="preserve"> </w:t>
      </w:r>
      <w:r>
        <w:rPr>
          <w:rFonts w:ascii="Times New Roman"/>
        </w:rPr>
        <w:t>the function or power is to be performed or exercised by both Ministers jointly.</w:t>
      </w:r>
    </w:p>
    <w:p w14:paraId="40DFC7AC" w14:textId="77777777" w:rsidR="00811887" w:rsidRDefault="00811887" w:rsidP="00811887">
      <w:pPr>
        <w:pStyle w:val="BodyText"/>
        <w:rPr>
          <w:rFonts w:ascii="Times New Roman"/>
        </w:rPr>
      </w:pPr>
    </w:p>
    <w:p w14:paraId="63FBF9A2" w14:textId="77777777" w:rsidR="00811887" w:rsidRDefault="00811887" w:rsidP="00811887">
      <w:pPr>
        <w:pStyle w:val="BodyText"/>
        <w:rPr>
          <w:rFonts w:ascii="Times New Roman"/>
        </w:rPr>
      </w:pPr>
    </w:p>
    <w:p w14:paraId="54A4A81F" w14:textId="77777777" w:rsidR="00811887" w:rsidRDefault="00811887" w:rsidP="00811887">
      <w:pPr>
        <w:pStyle w:val="BodyText"/>
        <w:rPr>
          <w:rFonts w:ascii="Times New Roman"/>
        </w:rPr>
      </w:pPr>
    </w:p>
    <w:p w14:paraId="4BD29928" w14:textId="77777777" w:rsidR="00811887" w:rsidRDefault="00811887" w:rsidP="00811887">
      <w:pPr>
        <w:pStyle w:val="BodyText"/>
        <w:rPr>
          <w:rFonts w:ascii="Times New Roman"/>
        </w:rPr>
      </w:pPr>
    </w:p>
    <w:p w14:paraId="694A82F3" w14:textId="77777777" w:rsidR="00811887" w:rsidRDefault="00811887" w:rsidP="00811887">
      <w:pPr>
        <w:pStyle w:val="BodyText"/>
        <w:rPr>
          <w:rFonts w:ascii="Times New Roman"/>
        </w:rPr>
      </w:pPr>
    </w:p>
    <w:p w14:paraId="6A8E81EF" w14:textId="77777777" w:rsidR="00811887" w:rsidRDefault="00811887" w:rsidP="00811887">
      <w:pPr>
        <w:pStyle w:val="BodyText"/>
        <w:rPr>
          <w:rFonts w:ascii="Times New Roman"/>
        </w:rPr>
      </w:pPr>
    </w:p>
    <w:p w14:paraId="781BAFF9" w14:textId="77777777" w:rsidR="00811887" w:rsidRDefault="00811887" w:rsidP="00811887">
      <w:pPr>
        <w:pStyle w:val="BodyText"/>
        <w:rPr>
          <w:rFonts w:ascii="Times New Roman"/>
        </w:rPr>
      </w:pPr>
    </w:p>
    <w:p w14:paraId="593AD0DA" w14:textId="77777777" w:rsidR="00811887" w:rsidRDefault="00811887" w:rsidP="00811887">
      <w:pPr>
        <w:pStyle w:val="BodyText"/>
        <w:rPr>
          <w:rFonts w:ascii="Times New Roman"/>
        </w:rPr>
      </w:pPr>
    </w:p>
    <w:p w14:paraId="406B1C87" w14:textId="77777777" w:rsidR="00811887" w:rsidRDefault="00811887" w:rsidP="00811887">
      <w:pPr>
        <w:pStyle w:val="BodyText"/>
        <w:rPr>
          <w:rFonts w:ascii="Times New Roman"/>
        </w:rPr>
      </w:pPr>
    </w:p>
    <w:p w14:paraId="68323F02" w14:textId="77777777" w:rsidR="00811887" w:rsidRDefault="00811887" w:rsidP="00811887">
      <w:pPr>
        <w:pStyle w:val="BodyText"/>
        <w:rPr>
          <w:rFonts w:ascii="Times New Roman"/>
        </w:rPr>
      </w:pPr>
    </w:p>
    <w:p w14:paraId="6AA81301" w14:textId="77777777" w:rsidR="00811887" w:rsidRDefault="00811887" w:rsidP="00811887">
      <w:pPr>
        <w:pStyle w:val="BodyText"/>
        <w:rPr>
          <w:rFonts w:ascii="Times New Roman"/>
        </w:rPr>
      </w:pPr>
    </w:p>
    <w:p w14:paraId="4CEE010D" w14:textId="77777777" w:rsidR="00811887" w:rsidRDefault="00811887" w:rsidP="00811887">
      <w:pPr>
        <w:pStyle w:val="BodyText"/>
        <w:rPr>
          <w:rFonts w:ascii="Times New Roman"/>
        </w:rPr>
      </w:pPr>
    </w:p>
    <w:p w14:paraId="61AB3AF1" w14:textId="77777777" w:rsidR="00811887" w:rsidRDefault="00811887" w:rsidP="00811887">
      <w:pPr>
        <w:pStyle w:val="BodyText"/>
        <w:rPr>
          <w:rFonts w:ascii="Times New Roman"/>
        </w:rPr>
      </w:pPr>
    </w:p>
    <w:p w14:paraId="01012CFC" w14:textId="77777777" w:rsidR="00811887" w:rsidRDefault="00811887" w:rsidP="00811887">
      <w:pPr>
        <w:pStyle w:val="BodyText"/>
        <w:spacing w:before="214"/>
        <w:rPr>
          <w:rFonts w:ascii="Times New Roman"/>
        </w:rPr>
      </w:pPr>
      <w:r>
        <w:rPr>
          <w:noProof/>
        </w:rPr>
        <mc:AlternateContent>
          <mc:Choice Requires="wps">
            <w:drawing>
              <wp:anchor distT="0" distB="0" distL="0" distR="0" simplePos="0" relativeHeight="251701248" behindDoc="1" locked="0" layoutInCell="1" allowOverlap="1" wp14:anchorId="5234FB92" wp14:editId="55A3E289">
                <wp:simplePos x="0" y="0"/>
                <wp:positionH relativeFrom="page">
                  <wp:posOffset>1512061</wp:posOffset>
                </wp:positionH>
                <wp:positionV relativeFrom="paragraph">
                  <wp:posOffset>297182</wp:posOffset>
                </wp:positionV>
                <wp:extent cx="4538345" cy="9525"/>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2C9EC" id="Graphic 16" o:spid="_x0000_s1026" alt="&quot;&quot;" style="position:absolute;margin-left:119.05pt;margin-top:23.4pt;width:357.35pt;height:.7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" path="m4537837,l,,,9143r4537837,l4537837,xe" fillcolor="black" stroked="f">
                <v:path arrowok="t"/>
                <w10:wrap type="topAndBottom" anchorx="page"/>
              </v:shape>
            </w:pict>
          </mc:Fallback>
        </mc:AlternateContent>
      </w:r>
    </w:p>
    <w:p w14:paraId="25277592" w14:textId="77777777" w:rsidR="00811887" w:rsidRDefault="00811887" w:rsidP="00811887">
      <w:pPr>
        <w:pStyle w:val="BodyText"/>
        <w:spacing w:before="121"/>
        <w:rPr>
          <w:rFonts w:ascii="Times New Roman"/>
          <w:sz w:val="18"/>
        </w:rPr>
      </w:pPr>
    </w:p>
    <w:p w14:paraId="75D63A74" w14:textId="77777777" w:rsidR="00811887" w:rsidRDefault="00811887" w:rsidP="00811887">
      <w:pPr>
        <w:tabs>
          <w:tab w:val="left" w:pos="3686"/>
          <w:tab w:val="right" w:pos="8757"/>
        </w:tabs>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10"/>
          <w:sz w:val="18"/>
        </w:rPr>
        <w:t>3</w:t>
      </w:r>
    </w:p>
    <w:p w14:paraId="368D665F"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699D0DDF" w14:textId="77777777" w:rsidR="00811887" w:rsidRPr="00F716D3" w:rsidRDefault="00811887" w:rsidP="00811887">
      <w:pPr>
        <w:pStyle w:val="BodyText"/>
        <w:spacing w:before="65"/>
        <w:ind w:left="1670"/>
        <w:rPr>
          <w:rFonts w:ascii="Times New Roman"/>
          <w:sz w:val="22"/>
          <w:szCs w:val="22"/>
        </w:rPr>
      </w:pPr>
      <w:r w:rsidRPr="00F716D3">
        <w:rPr>
          <w:rFonts w:ascii="Times New Roman"/>
          <w:b/>
          <w:sz w:val="22"/>
          <w:szCs w:val="22"/>
        </w:rPr>
        <w:lastRenderedPageBreak/>
        <w:t>Part</w:t>
      </w:r>
      <w:r w:rsidRPr="00F716D3">
        <w:rPr>
          <w:rFonts w:ascii="Times New Roman"/>
          <w:b/>
          <w:spacing w:val="-5"/>
          <w:sz w:val="22"/>
          <w:szCs w:val="22"/>
        </w:rPr>
        <w:t xml:space="preserve"> </w:t>
      </w:r>
      <w:r w:rsidRPr="00F716D3">
        <w:rPr>
          <w:rFonts w:ascii="Times New Roman"/>
          <w:b/>
          <w:sz w:val="22"/>
          <w:szCs w:val="22"/>
        </w:rPr>
        <w:t>2</w:t>
      </w:r>
      <w:r w:rsidRPr="00F716D3">
        <w:rPr>
          <w:rFonts w:ascii="Times New Roman"/>
          <w:b/>
          <w:spacing w:val="40"/>
          <w:sz w:val="22"/>
          <w:szCs w:val="22"/>
        </w:rPr>
        <w:t xml:space="preserve"> </w:t>
      </w:r>
      <w:r w:rsidRPr="00F716D3">
        <w:rPr>
          <w:rFonts w:ascii="Times New Roman"/>
          <w:sz w:val="22"/>
          <w:szCs w:val="22"/>
        </w:rPr>
        <w:t>Economic</w:t>
      </w:r>
      <w:r w:rsidRPr="00F716D3">
        <w:rPr>
          <w:rFonts w:ascii="Times New Roman"/>
          <w:spacing w:val="-5"/>
          <w:sz w:val="22"/>
          <w:szCs w:val="22"/>
        </w:rPr>
        <w:t xml:space="preserve"> </w:t>
      </w:r>
      <w:r w:rsidRPr="00F716D3">
        <w:rPr>
          <w:rFonts w:ascii="Times New Roman"/>
          <w:sz w:val="22"/>
          <w:szCs w:val="22"/>
        </w:rPr>
        <w:t>Inclusion</w:t>
      </w:r>
      <w:r w:rsidRPr="00F716D3">
        <w:rPr>
          <w:rFonts w:ascii="Times New Roman"/>
          <w:spacing w:val="-5"/>
          <w:sz w:val="22"/>
          <w:szCs w:val="22"/>
        </w:rPr>
        <w:t xml:space="preserve"> </w:t>
      </w:r>
      <w:r w:rsidRPr="00F716D3">
        <w:rPr>
          <w:rFonts w:ascii="Times New Roman"/>
          <w:sz w:val="22"/>
          <w:szCs w:val="22"/>
        </w:rPr>
        <w:t>Advisory</w:t>
      </w:r>
      <w:r w:rsidRPr="00F716D3">
        <w:rPr>
          <w:rFonts w:ascii="Times New Roman"/>
          <w:spacing w:val="-8"/>
          <w:sz w:val="22"/>
          <w:szCs w:val="22"/>
        </w:rPr>
        <w:t xml:space="preserve"> </w:t>
      </w:r>
      <w:r w:rsidRPr="00F716D3">
        <w:rPr>
          <w:rFonts w:ascii="Times New Roman"/>
          <w:spacing w:val="-2"/>
          <w:sz w:val="22"/>
          <w:szCs w:val="22"/>
        </w:rPr>
        <w:t>Committee</w:t>
      </w:r>
    </w:p>
    <w:p w14:paraId="492A092A" w14:textId="77777777" w:rsidR="00811887" w:rsidRDefault="00811887" w:rsidP="00811887">
      <w:pPr>
        <w:spacing w:before="32"/>
        <w:ind w:left="1670"/>
        <w:rPr>
          <w:rFonts w:ascii="Times New Roman"/>
          <w:sz w:val="20"/>
        </w:rPr>
      </w:pPr>
      <w:r>
        <w:rPr>
          <w:rFonts w:ascii="Times New Roman"/>
          <w:b/>
          <w:sz w:val="20"/>
        </w:rPr>
        <w:t>Division</w:t>
      </w:r>
      <w:r>
        <w:rPr>
          <w:rFonts w:ascii="Times New Roman"/>
          <w:b/>
          <w:spacing w:val="-6"/>
          <w:sz w:val="20"/>
        </w:rPr>
        <w:t xml:space="preserve"> </w:t>
      </w:r>
      <w:r>
        <w:rPr>
          <w:rFonts w:ascii="Times New Roman"/>
          <w:b/>
          <w:sz w:val="20"/>
        </w:rPr>
        <w:t>1</w:t>
      </w:r>
      <w:r>
        <w:rPr>
          <w:rFonts w:ascii="Times New Roman"/>
          <w:b/>
          <w:spacing w:val="46"/>
          <w:sz w:val="20"/>
        </w:rPr>
        <w:t xml:space="preserve"> </w:t>
      </w:r>
      <w:r>
        <w:rPr>
          <w:rFonts w:ascii="Times New Roman"/>
          <w:spacing w:val="-2"/>
          <w:sz w:val="20"/>
        </w:rPr>
        <w:t>Introduction</w:t>
      </w:r>
    </w:p>
    <w:p w14:paraId="6CAE7256" w14:textId="77777777" w:rsidR="00811887" w:rsidRDefault="00811887" w:rsidP="00811887">
      <w:pPr>
        <w:pStyle w:val="BodyText"/>
        <w:spacing w:before="45"/>
        <w:rPr>
          <w:rFonts w:ascii="Times New Roman"/>
        </w:rPr>
      </w:pPr>
    </w:p>
    <w:p w14:paraId="7B654486"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02272" behindDoc="1" locked="0" layoutInCell="1" allowOverlap="1" wp14:anchorId="0B367B16" wp14:editId="441CC240">
                <wp:simplePos x="0" y="0"/>
                <wp:positionH relativeFrom="page">
                  <wp:posOffset>1512061</wp:posOffset>
                </wp:positionH>
                <wp:positionV relativeFrom="paragraph">
                  <wp:posOffset>192823</wp:posOffset>
                </wp:positionV>
                <wp:extent cx="4538345" cy="9525"/>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4FC560" id="Graphic 17" o:spid="_x0000_s1026" alt="&quot;&quot;" style="position:absolute;margin-left:119.05pt;margin-top:15.2pt;width:357.35pt;height:.75pt;z-index:-25161420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6</w:t>
      </w:r>
    </w:p>
    <w:p w14:paraId="7702CF79" w14:textId="77777777" w:rsidR="00811887" w:rsidRDefault="00811887" w:rsidP="00811887">
      <w:pPr>
        <w:pStyle w:val="BodyText"/>
        <w:spacing w:before="202"/>
        <w:rPr>
          <w:rFonts w:ascii="Times New Roman"/>
          <w:sz w:val="32"/>
        </w:rPr>
      </w:pPr>
    </w:p>
    <w:p w14:paraId="41DE4C78" w14:textId="77777777" w:rsidR="00811887" w:rsidRDefault="00811887" w:rsidP="00811887">
      <w:pPr>
        <w:pStyle w:val="Heading3"/>
      </w:pPr>
      <w:bookmarkStart w:id="80" w:name="_TOC_250028"/>
      <w:r>
        <w:t>Part</w:t>
      </w:r>
      <w:r>
        <w:rPr>
          <w:spacing w:val="-19"/>
        </w:rPr>
        <w:t xml:space="preserve"> </w:t>
      </w:r>
      <w:r>
        <w:t>2—Economic</w:t>
      </w:r>
      <w:r>
        <w:rPr>
          <w:spacing w:val="-13"/>
        </w:rPr>
        <w:t xml:space="preserve"> </w:t>
      </w:r>
      <w:r>
        <w:t>Inclusion</w:t>
      </w:r>
      <w:r>
        <w:rPr>
          <w:spacing w:val="-20"/>
        </w:rPr>
        <w:t xml:space="preserve"> </w:t>
      </w:r>
      <w:r>
        <w:t>Advisory</w:t>
      </w:r>
      <w:r>
        <w:rPr>
          <w:spacing w:val="-12"/>
        </w:rPr>
        <w:t xml:space="preserve"> </w:t>
      </w:r>
      <w:bookmarkEnd w:id="80"/>
      <w:r>
        <w:rPr>
          <w:spacing w:val="-2"/>
        </w:rPr>
        <w:t>Committee</w:t>
      </w:r>
    </w:p>
    <w:p w14:paraId="082866A6" w14:textId="77777777" w:rsidR="00811887" w:rsidRPr="00630A63" w:rsidRDefault="00811887" w:rsidP="00811887">
      <w:pPr>
        <w:pStyle w:val="Heading5"/>
        <w:tabs>
          <w:tab w:val="left" w:pos="4073"/>
        </w:tabs>
        <w:spacing w:before="240"/>
        <w:rPr>
          <w:color w:val="465590" w:themeColor="text1" w:themeTint="A6"/>
        </w:rPr>
      </w:pPr>
      <w:bookmarkStart w:id="81" w:name="_TOC_250027"/>
      <w:r w:rsidRPr="00630A63">
        <w:rPr>
          <w:color w:val="465590" w:themeColor="text1" w:themeTint="A6"/>
        </w:rPr>
        <w:t>Division</w:t>
      </w:r>
      <w:r w:rsidRPr="00630A63">
        <w:rPr>
          <w:color w:val="465590" w:themeColor="text1" w:themeTint="A6"/>
          <w:spacing w:val="-9"/>
        </w:rPr>
        <w:t xml:space="preserve"> </w:t>
      </w:r>
      <w:r w:rsidRPr="00630A63">
        <w:rPr>
          <w:color w:val="465590" w:themeColor="text1" w:themeTint="A6"/>
        </w:rPr>
        <w:t>1—</w:t>
      </w:r>
      <w:bookmarkEnd w:id="81"/>
      <w:r w:rsidRPr="00630A63">
        <w:rPr>
          <w:color w:val="465590" w:themeColor="text1" w:themeTint="A6"/>
          <w:spacing w:val="-2"/>
        </w:rPr>
        <w:t>Introduction</w:t>
      </w:r>
    </w:p>
    <w:p w14:paraId="10F6939F" w14:textId="77777777" w:rsidR="00811887" w:rsidRDefault="00811887" w:rsidP="00FB2FE9">
      <w:pPr>
        <w:pStyle w:val="Heading7"/>
        <w:numPr>
          <w:ilvl w:val="0"/>
          <w:numId w:val="77"/>
        </w:numPr>
        <w:tabs>
          <w:tab w:val="left" w:pos="1910"/>
        </w:tabs>
        <w:spacing w:before="280"/>
        <w:ind w:left="1190" w:hanging="360"/>
      </w:pPr>
      <w:bookmarkStart w:id="82" w:name="_TOC_250026"/>
      <w:r>
        <w:t>Simplified</w:t>
      </w:r>
      <w:r>
        <w:rPr>
          <w:spacing w:val="-4"/>
        </w:rPr>
        <w:t xml:space="preserve"> </w:t>
      </w:r>
      <w:r>
        <w:t>outline</w:t>
      </w:r>
      <w:r>
        <w:rPr>
          <w:spacing w:val="-3"/>
        </w:rPr>
        <w:t xml:space="preserve"> </w:t>
      </w:r>
      <w:r>
        <w:t>of</w:t>
      </w:r>
      <w:r>
        <w:rPr>
          <w:spacing w:val="-4"/>
        </w:rPr>
        <w:t xml:space="preserve"> </w:t>
      </w:r>
      <w:r>
        <w:t>this</w:t>
      </w:r>
      <w:r>
        <w:rPr>
          <w:spacing w:val="-2"/>
        </w:rPr>
        <w:t xml:space="preserve"> </w:t>
      </w:r>
      <w:bookmarkEnd w:id="82"/>
      <w:r>
        <w:rPr>
          <w:spacing w:val="-4"/>
        </w:rPr>
        <w:t>Part</w:t>
      </w:r>
    </w:p>
    <w:p w14:paraId="5E89FFC5" w14:textId="77777777" w:rsidR="00811887" w:rsidRPr="00F45BC8" w:rsidRDefault="00811887" w:rsidP="00811887">
      <w:pPr>
        <w:pStyle w:val="BodyText"/>
        <w:spacing w:before="480"/>
        <w:ind w:left="2835" w:right="1134"/>
        <w:rPr>
          <w:rFonts w:ascii="Times New Roman" w:hAnsi="Times New Roman" w:cs="Times New Roman"/>
          <w:bCs/>
          <w:sz w:val="22"/>
          <w:szCs w:val="22"/>
        </w:rPr>
      </w:pPr>
      <w:r w:rsidRPr="00F45BC8">
        <w:rPr>
          <w:noProof/>
          <w:sz w:val="22"/>
          <w:szCs w:val="22"/>
          <w14:ligatures w14:val="standardContextual"/>
        </w:rPr>
        <mc:AlternateContent>
          <mc:Choice Requires="wps">
            <w:drawing>
              <wp:anchor distT="0" distB="0" distL="114300" distR="114300" simplePos="0" relativeHeight="251784192" behindDoc="0" locked="0" layoutInCell="1" allowOverlap="1" wp14:anchorId="1E54E120" wp14:editId="394D543A">
                <wp:simplePos x="0" y="0"/>
                <wp:positionH relativeFrom="margin">
                  <wp:posOffset>1655783</wp:posOffset>
                </wp:positionH>
                <wp:positionV relativeFrom="paragraph">
                  <wp:posOffset>194574</wp:posOffset>
                </wp:positionV>
                <wp:extent cx="4370120" cy="3277590"/>
                <wp:effectExtent l="0" t="0" r="11430" b="18415"/>
                <wp:wrapNone/>
                <wp:docPr id="109662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70120" cy="327759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9159C" id="Rectangle 3" o:spid="_x0000_s1026" alt="&quot;&quot;" style="position:absolute;margin-left:130.4pt;margin-top:15.3pt;width:344.1pt;height:258.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" filled="f" strokecolor="#301104 [484]" strokeweight=".5pt">
                <w10:wrap anchorx="margin"/>
              </v:rect>
            </w:pict>
          </mc:Fallback>
        </mc:AlternateContent>
      </w:r>
      <w:r w:rsidRPr="00F45BC8">
        <w:rPr>
          <w:rFonts w:ascii="Times New Roman" w:hAnsi="Times New Roman" w:cs="Times New Roman"/>
          <w:bCs/>
          <w:sz w:val="22"/>
          <w:szCs w:val="22"/>
        </w:rPr>
        <w:t>This Part establishes the Economic Inclusion Advisory Committee.</w:t>
      </w:r>
    </w:p>
    <w:p w14:paraId="6F260D91" w14:textId="77777777" w:rsidR="00811887" w:rsidRPr="00F45BC8" w:rsidRDefault="00811887" w:rsidP="00811887">
      <w:pPr>
        <w:pStyle w:val="BodyText"/>
        <w:spacing w:before="240"/>
        <w:ind w:left="2835" w:right="1134"/>
        <w:rPr>
          <w:rFonts w:ascii="Times New Roman" w:hAnsi="Times New Roman" w:cs="Times New Roman"/>
          <w:bCs/>
          <w:sz w:val="22"/>
          <w:szCs w:val="22"/>
        </w:rPr>
      </w:pPr>
      <w:r w:rsidRPr="00F45BC8">
        <w:rPr>
          <w:rFonts w:ascii="Times New Roman" w:hAnsi="Times New Roman" w:cs="Times New Roman"/>
          <w:bCs/>
          <w:sz w:val="22"/>
          <w:szCs w:val="22"/>
        </w:rPr>
        <w:t>The Committee’s function is to give a written report to the Joint Ministers, ahead of each Commonwealth Government budget, on matters related to the Commonwealth Government’s policies, programs and responsibilities for enhancing economic inclusion and participation.</w:t>
      </w:r>
    </w:p>
    <w:p w14:paraId="21E36E30" w14:textId="77777777" w:rsidR="00811887" w:rsidRPr="00F45BC8" w:rsidRDefault="00811887" w:rsidP="00811887">
      <w:pPr>
        <w:pStyle w:val="BodyText"/>
        <w:spacing w:before="240"/>
        <w:ind w:left="2835" w:right="1134"/>
        <w:rPr>
          <w:rFonts w:ascii="Times New Roman" w:hAnsi="Times New Roman" w:cs="Times New Roman"/>
          <w:bCs/>
          <w:sz w:val="22"/>
          <w:szCs w:val="22"/>
        </w:rPr>
      </w:pPr>
      <w:r w:rsidRPr="00F45BC8">
        <w:rPr>
          <w:rFonts w:ascii="Times New Roman" w:hAnsi="Times New Roman" w:cs="Times New Roman"/>
          <w:bCs/>
          <w:sz w:val="22"/>
          <w:szCs w:val="22"/>
        </w:rPr>
        <w:t>There are provisions providing for the appointment of the members of the Committee and for the terms and conditions of those members.</w:t>
      </w:r>
    </w:p>
    <w:p w14:paraId="2D06DA51" w14:textId="77777777" w:rsidR="00811887" w:rsidRPr="00F45BC8" w:rsidRDefault="00811887" w:rsidP="00811887">
      <w:pPr>
        <w:pStyle w:val="BodyText"/>
        <w:spacing w:before="240"/>
        <w:ind w:left="2835" w:right="1134"/>
        <w:rPr>
          <w:rFonts w:ascii="Times New Roman" w:hAnsi="Times New Roman" w:cs="Times New Roman"/>
          <w:bCs/>
          <w:sz w:val="22"/>
          <w:szCs w:val="22"/>
        </w:rPr>
      </w:pPr>
      <w:r w:rsidRPr="00F45BC8">
        <w:rPr>
          <w:rFonts w:ascii="Times New Roman" w:hAnsi="Times New Roman" w:cs="Times New Roman"/>
          <w:bCs/>
          <w:sz w:val="22"/>
          <w:szCs w:val="22"/>
        </w:rPr>
        <w:t>Committee members must include an academic social security expert and an economist, as well as members representing a range of organisations that advocate for, or provide services to, persons affected by the matters on which the Committee is to provide advice.</w:t>
      </w:r>
    </w:p>
    <w:p w14:paraId="7AF215B6" w14:textId="77777777" w:rsidR="00811887" w:rsidRPr="00F45BC8" w:rsidRDefault="00811887" w:rsidP="00811887">
      <w:pPr>
        <w:pStyle w:val="BodyText"/>
        <w:spacing w:before="240"/>
        <w:ind w:left="2835" w:right="1134"/>
        <w:rPr>
          <w:rFonts w:ascii="Times New Roman" w:hAnsi="Times New Roman" w:cs="Times New Roman"/>
          <w:bCs/>
          <w:sz w:val="22"/>
          <w:szCs w:val="22"/>
        </w:rPr>
      </w:pPr>
      <w:r w:rsidRPr="00F45BC8">
        <w:rPr>
          <w:rFonts w:ascii="Times New Roman" w:hAnsi="Times New Roman" w:cs="Times New Roman"/>
          <w:bCs/>
          <w:sz w:val="22"/>
          <w:szCs w:val="22"/>
        </w:rPr>
        <w:t>Committee members are not remunerated, but may be paid allowances.</w:t>
      </w:r>
    </w:p>
    <w:p w14:paraId="3437E17A" w14:textId="77777777" w:rsidR="00811887" w:rsidRPr="00F45BC8" w:rsidRDefault="00811887" w:rsidP="00811887">
      <w:pPr>
        <w:pStyle w:val="BodyText"/>
        <w:spacing w:before="240"/>
        <w:ind w:left="2835" w:right="1134"/>
        <w:rPr>
          <w:rFonts w:ascii="Times New Roman" w:hAnsi="Times New Roman" w:cs="Times New Roman"/>
          <w:bCs/>
          <w:sz w:val="22"/>
          <w:szCs w:val="22"/>
        </w:rPr>
      </w:pPr>
      <w:r w:rsidRPr="00F45BC8">
        <w:rPr>
          <w:rFonts w:ascii="Times New Roman" w:hAnsi="Times New Roman" w:cs="Times New Roman"/>
          <w:bCs/>
          <w:sz w:val="22"/>
          <w:szCs w:val="22"/>
        </w:rPr>
        <w:t>The Committee is to hold meetings, as necessary, for the performance of its function.</w:t>
      </w:r>
    </w:p>
    <w:p w14:paraId="5ED1D09F" w14:textId="77777777" w:rsidR="00811887" w:rsidRPr="00F716D3" w:rsidRDefault="00811887" w:rsidP="00811887">
      <w:pPr>
        <w:pStyle w:val="BodyText"/>
        <w:rPr>
          <w:rFonts w:ascii="Times New Roman" w:hAnsi="Times New Roman" w:cs="Times New Roman"/>
          <w:bCs/>
          <w:sz w:val="24"/>
          <w:szCs w:val="24"/>
        </w:rPr>
      </w:pPr>
    </w:p>
    <w:p w14:paraId="323D52A8" w14:textId="77777777" w:rsidR="00811887" w:rsidRPr="00F716D3" w:rsidRDefault="00811887" w:rsidP="00811887">
      <w:pPr>
        <w:pStyle w:val="BodyText"/>
        <w:rPr>
          <w:rFonts w:ascii="Times New Roman" w:hAnsi="Times New Roman" w:cs="Times New Roman"/>
          <w:bCs/>
          <w:sz w:val="24"/>
          <w:szCs w:val="24"/>
        </w:rPr>
      </w:pPr>
    </w:p>
    <w:p w14:paraId="7598CA46" w14:textId="77777777" w:rsidR="00811887" w:rsidRPr="00F716D3" w:rsidRDefault="00811887" w:rsidP="00811887">
      <w:pPr>
        <w:pStyle w:val="BodyText"/>
        <w:rPr>
          <w:rFonts w:ascii="Times New Roman" w:hAnsi="Times New Roman" w:cs="Times New Roman"/>
          <w:bCs/>
          <w:sz w:val="24"/>
          <w:szCs w:val="24"/>
        </w:rPr>
      </w:pPr>
    </w:p>
    <w:p w14:paraId="0194D812" w14:textId="77777777" w:rsidR="00811887" w:rsidRPr="00F716D3" w:rsidRDefault="00811887" w:rsidP="00811887">
      <w:pPr>
        <w:pStyle w:val="BodyText"/>
        <w:rPr>
          <w:rFonts w:ascii="Times New Roman" w:hAnsi="Times New Roman" w:cs="Times New Roman"/>
          <w:bCs/>
          <w:sz w:val="24"/>
          <w:szCs w:val="24"/>
        </w:rPr>
      </w:pPr>
    </w:p>
    <w:p w14:paraId="4631C8BC" w14:textId="77777777" w:rsidR="00811887" w:rsidRPr="00F716D3" w:rsidRDefault="00811887" w:rsidP="00811887">
      <w:pPr>
        <w:pStyle w:val="BodyText"/>
        <w:rPr>
          <w:rFonts w:ascii="Times New Roman" w:hAnsi="Times New Roman" w:cs="Times New Roman"/>
          <w:bCs/>
          <w:sz w:val="24"/>
          <w:szCs w:val="24"/>
        </w:rPr>
      </w:pPr>
    </w:p>
    <w:p w14:paraId="7EEEB5DA" w14:textId="77777777" w:rsidR="00811887" w:rsidRDefault="00811887" w:rsidP="00811887">
      <w:pPr>
        <w:pStyle w:val="BodyText"/>
        <w:rPr>
          <w:rFonts w:ascii="Times New Roman"/>
          <w:b/>
        </w:rPr>
      </w:pPr>
    </w:p>
    <w:p w14:paraId="26C36488" w14:textId="77777777" w:rsidR="00811887" w:rsidRDefault="00811887" w:rsidP="00811887">
      <w:pPr>
        <w:pStyle w:val="BodyText"/>
        <w:rPr>
          <w:rFonts w:ascii="Times New Roman"/>
          <w:b/>
        </w:rPr>
      </w:pPr>
    </w:p>
    <w:p w14:paraId="30F48475" w14:textId="77777777" w:rsidR="00811887" w:rsidRDefault="00811887" w:rsidP="00811887">
      <w:pPr>
        <w:pStyle w:val="BodyText"/>
        <w:rPr>
          <w:rFonts w:ascii="Times New Roman"/>
          <w:b/>
        </w:rPr>
      </w:pPr>
    </w:p>
    <w:p w14:paraId="2F8A482F" w14:textId="77777777" w:rsidR="00811887" w:rsidRDefault="00811887" w:rsidP="00811887">
      <w:pPr>
        <w:pStyle w:val="BodyText"/>
        <w:spacing w:before="165"/>
        <w:rPr>
          <w:rFonts w:ascii="Times New Roman"/>
          <w:b/>
        </w:rPr>
      </w:pPr>
      <w:r>
        <w:rPr>
          <w:noProof/>
        </w:rPr>
        <mc:AlternateContent>
          <mc:Choice Requires="wps">
            <w:drawing>
              <wp:anchor distT="0" distB="0" distL="0" distR="0" simplePos="0" relativeHeight="251703296" behindDoc="1" locked="0" layoutInCell="1" allowOverlap="1" wp14:anchorId="66A51979" wp14:editId="66CF2014">
                <wp:simplePos x="0" y="0"/>
                <wp:positionH relativeFrom="page">
                  <wp:posOffset>1512061</wp:posOffset>
                </wp:positionH>
                <wp:positionV relativeFrom="paragraph">
                  <wp:posOffset>266164</wp:posOffset>
                </wp:positionV>
                <wp:extent cx="4538345" cy="9525"/>
                <wp:effectExtent l="0" t="0" r="0" b="0"/>
                <wp:wrapTopAndBottom/>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3AFFF" id="Graphic 19" o:spid="_x0000_s1026" alt="&quot;&quot;" style="position:absolute;margin-left:119.05pt;margin-top:20.95pt;width:357.35pt;height:.7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" path="m4537837,l,,,9143r4537837,l4537837,xe" fillcolor="black" stroked="f">
                <v:path arrowok="t"/>
                <w10:wrap type="topAndBottom" anchorx="page"/>
              </v:shape>
            </w:pict>
          </mc:Fallback>
        </mc:AlternateContent>
      </w:r>
    </w:p>
    <w:p w14:paraId="66FFF815" w14:textId="77777777" w:rsidR="00811887" w:rsidRDefault="00811887" w:rsidP="00811887">
      <w:pPr>
        <w:pStyle w:val="BodyText"/>
        <w:spacing w:before="121"/>
        <w:rPr>
          <w:rFonts w:ascii="Times New Roman"/>
          <w:b/>
          <w:sz w:val="18"/>
        </w:rPr>
      </w:pPr>
    </w:p>
    <w:p w14:paraId="04DD22A3" w14:textId="77777777" w:rsidR="00811887" w:rsidRDefault="00811887" w:rsidP="00811887">
      <w:pPr>
        <w:tabs>
          <w:tab w:val="left" w:pos="3084"/>
          <w:tab w:val="left" w:pos="7738"/>
        </w:tabs>
        <w:ind w:left="1670"/>
        <w:rPr>
          <w:rFonts w:ascii="Times New Roman"/>
          <w:i/>
          <w:sz w:val="18"/>
        </w:rPr>
      </w:pPr>
      <w:r>
        <w:rPr>
          <w:rFonts w:ascii="Times New Roman"/>
          <w:i/>
          <w:spacing w:val="-10"/>
          <w:sz w:val="18"/>
        </w:rPr>
        <w:t>4</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328674FF"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6B4333CD" w14:textId="77777777" w:rsidR="00811887" w:rsidRDefault="00811887" w:rsidP="00811887">
      <w:pPr>
        <w:pStyle w:val="BodyText"/>
        <w:spacing w:before="65"/>
        <w:ind w:left="4790"/>
        <w:rPr>
          <w:rFonts w:ascii="Times New Roman"/>
          <w:b/>
        </w:rPr>
      </w:pPr>
      <w:r>
        <w:rPr>
          <w:rFonts w:ascii="Times New Roman"/>
        </w:rPr>
        <w:lastRenderedPageBreak/>
        <w:t>Economic</w:t>
      </w:r>
      <w:r>
        <w:rPr>
          <w:rFonts w:ascii="Times New Roman"/>
          <w:spacing w:val="-7"/>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7"/>
        </w:rPr>
        <w:t xml:space="preserve"> </w:t>
      </w:r>
      <w:r>
        <w:rPr>
          <w:rFonts w:ascii="Times New Roman"/>
        </w:rPr>
        <w:t>Committee</w:t>
      </w:r>
      <w:r>
        <w:rPr>
          <w:rFonts w:ascii="Times New Roman"/>
          <w:spacing w:val="41"/>
        </w:rPr>
        <w:t xml:space="preserve"> </w:t>
      </w:r>
      <w:r>
        <w:rPr>
          <w:rFonts w:ascii="Times New Roman"/>
          <w:b/>
        </w:rPr>
        <w:t>Part</w:t>
      </w:r>
      <w:r>
        <w:rPr>
          <w:rFonts w:ascii="Times New Roman"/>
          <w:b/>
          <w:spacing w:val="-5"/>
        </w:rPr>
        <w:t xml:space="preserve"> </w:t>
      </w:r>
      <w:r>
        <w:rPr>
          <w:rFonts w:ascii="Times New Roman"/>
          <w:b/>
          <w:spacing w:val="-10"/>
        </w:rPr>
        <w:t>2</w:t>
      </w:r>
    </w:p>
    <w:p w14:paraId="0C271F29" w14:textId="77777777" w:rsidR="00811887" w:rsidRDefault="00811887" w:rsidP="00811887">
      <w:pPr>
        <w:spacing w:before="32"/>
        <w:ind w:left="4713"/>
        <w:rPr>
          <w:rFonts w:ascii="Times New Roman"/>
          <w:b/>
          <w:sz w:val="20"/>
        </w:rPr>
      </w:pPr>
      <w:r>
        <w:rPr>
          <w:rFonts w:ascii="Times New Roman"/>
          <w:sz w:val="20"/>
        </w:rPr>
        <w:t>Committee</w:t>
      </w:r>
      <w:r>
        <w:rPr>
          <w:rFonts w:ascii="Times New Roman"/>
          <w:spacing w:val="-7"/>
          <w:sz w:val="20"/>
        </w:rPr>
        <w:t xml:space="preserve"> </w:t>
      </w:r>
      <w:r>
        <w:rPr>
          <w:rFonts w:ascii="Times New Roman"/>
          <w:sz w:val="20"/>
        </w:rPr>
        <w:t>establishment</w:t>
      </w:r>
      <w:r>
        <w:rPr>
          <w:rFonts w:ascii="Times New Roman"/>
          <w:spacing w:val="-7"/>
          <w:sz w:val="20"/>
        </w:rPr>
        <w:t xml:space="preserve"> </w:t>
      </w:r>
      <w:r>
        <w:rPr>
          <w:rFonts w:ascii="Times New Roman"/>
          <w:sz w:val="20"/>
        </w:rPr>
        <w:t>and</w:t>
      </w:r>
      <w:r>
        <w:rPr>
          <w:rFonts w:ascii="Times New Roman"/>
          <w:spacing w:val="-6"/>
          <w:sz w:val="20"/>
        </w:rPr>
        <w:t xml:space="preserve"> </w:t>
      </w:r>
      <w:r>
        <w:rPr>
          <w:rFonts w:ascii="Times New Roman"/>
          <w:sz w:val="20"/>
        </w:rPr>
        <w:t>function</w:t>
      </w:r>
      <w:r>
        <w:rPr>
          <w:rFonts w:ascii="Times New Roman"/>
          <w:spacing w:val="38"/>
          <w:sz w:val="20"/>
        </w:rPr>
        <w:t xml:space="preserve"> </w:t>
      </w:r>
      <w:r>
        <w:rPr>
          <w:rFonts w:ascii="Times New Roman"/>
          <w:b/>
          <w:sz w:val="20"/>
        </w:rPr>
        <w:t>Division</w:t>
      </w:r>
      <w:r>
        <w:rPr>
          <w:rFonts w:ascii="Times New Roman"/>
          <w:b/>
          <w:spacing w:val="-7"/>
          <w:sz w:val="20"/>
        </w:rPr>
        <w:t xml:space="preserve"> </w:t>
      </w:r>
      <w:r>
        <w:rPr>
          <w:rFonts w:ascii="Times New Roman"/>
          <w:b/>
          <w:spacing w:val="-10"/>
          <w:sz w:val="20"/>
        </w:rPr>
        <w:t>2</w:t>
      </w:r>
    </w:p>
    <w:p w14:paraId="53E319B9" w14:textId="77777777" w:rsidR="00811887" w:rsidRDefault="00811887" w:rsidP="00811887">
      <w:pPr>
        <w:pStyle w:val="BodyText"/>
        <w:spacing w:before="45"/>
        <w:rPr>
          <w:rFonts w:ascii="Times New Roman"/>
          <w:b/>
        </w:rPr>
      </w:pPr>
    </w:p>
    <w:p w14:paraId="4A5EA007"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04320" behindDoc="1" locked="0" layoutInCell="1" allowOverlap="1" wp14:anchorId="330E9966" wp14:editId="521FBABD">
                <wp:simplePos x="0" y="0"/>
                <wp:positionH relativeFrom="page">
                  <wp:posOffset>1512061</wp:posOffset>
                </wp:positionH>
                <wp:positionV relativeFrom="paragraph">
                  <wp:posOffset>192823</wp:posOffset>
                </wp:positionV>
                <wp:extent cx="4538345" cy="9525"/>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A7A09" id="Graphic 20" o:spid="_x0000_s1026" alt="&quot;&quot;" style="position:absolute;margin-left:119.05pt;margin-top:15.2pt;width:357.35pt;height:.75pt;z-index:-25161216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7</w:t>
      </w:r>
    </w:p>
    <w:p w14:paraId="2B2E13DF" w14:textId="77777777" w:rsidR="00811887" w:rsidRDefault="00811887" w:rsidP="00811887">
      <w:pPr>
        <w:pStyle w:val="BodyText"/>
        <w:spacing w:before="208"/>
        <w:rPr>
          <w:rFonts w:ascii="Times New Roman"/>
          <w:sz w:val="28"/>
        </w:rPr>
      </w:pPr>
    </w:p>
    <w:p w14:paraId="21BD17FF" w14:textId="77777777" w:rsidR="00811887" w:rsidRPr="00630A63" w:rsidRDefault="00811887" w:rsidP="00811887">
      <w:pPr>
        <w:pStyle w:val="Heading5"/>
        <w:rPr>
          <w:color w:val="465590" w:themeColor="text1" w:themeTint="A6"/>
        </w:rPr>
      </w:pPr>
      <w:bookmarkStart w:id="83" w:name="_TOC_250025"/>
      <w:r w:rsidRPr="00630A63">
        <w:rPr>
          <w:color w:val="465590" w:themeColor="text1" w:themeTint="A6"/>
        </w:rPr>
        <w:t>Division</w:t>
      </w:r>
      <w:r w:rsidRPr="00630A63">
        <w:rPr>
          <w:color w:val="465590" w:themeColor="text1" w:themeTint="A6"/>
          <w:spacing w:val="-8"/>
        </w:rPr>
        <w:t xml:space="preserve"> </w:t>
      </w:r>
      <w:r w:rsidRPr="00630A63">
        <w:rPr>
          <w:color w:val="465590" w:themeColor="text1" w:themeTint="A6"/>
        </w:rPr>
        <w:t>2—Committee</w:t>
      </w:r>
      <w:r w:rsidRPr="00630A63">
        <w:rPr>
          <w:color w:val="465590" w:themeColor="text1" w:themeTint="A6"/>
          <w:spacing w:val="-8"/>
        </w:rPr>
        <w:t xml:space="preserve"> </w:t>
      </w:r>
      <w:r w:rsidRPr="00630A63">
        <w:rPr>
          <w:color w:val="465590" w:themeColor="text1" w:themeTint="A6"/>
        </w:rPr>
        <w:t>establishment</w:t>
      </w:r>
      <w:r w:rsidRPr="00630A63">
        <w:rPr>
          <w:color w:val="465590" w:themeColor="text1" w:themeTint="A6"/>
          <w:spacing w:val="-8"/>
        </w:rPr>
        <w:t xml:space="preserve"> </w:t>
      </w:r>
      <w:r w:rsidRPr="00630A63">
        <w:rPr>
          <w:color w:val="465590" w:themeColor="text1" w:themeTint="A6"/>
        </w:rPr>
        <w:t>and</w:t>
      </w:r>
      <w:r w:rsidRPr="00630A63">
        <w:rPr>
          <w:color w:val="465590" w:themeColor="text1" w:themeTint="A6"/>
          <w:spacing w:val="-8"/>
        </w:rPr>
        <w:t xml:space="preserve"> </w:t>
      </w:r>
      <w:bookmarkEnd w:id="83"/>
      <w:r w:rsidRPr="00630A63">
        <w:rPr>
          <w:color w:val="465590" w:themeColor="text1" w:themeTint="A6"/>
          <w:spacing w:val="-2"/>
        </w:rPr>
        <w:t>function</w:t>
      </w:r>
    </w:p>
    <w:p w14:paraId="6E4E5E23" w14:textId="77777777" w:rsidR="00811887" w:rsidRDefault="00811887" w:rsidP="00FB2FE9">
      <w:pPr>
        <w:pStyle w:val="Heading7"/>
        <w:numPr>
          <w:ilvl w:val="0"/>
          <w:numId w:val="77"/>
        </w:numPr>
        <w:tabs>
          <w:tab w:val="left" w:pos="1910"/>
        </w:tabs>
        <w:spacing w:before="280"/>
        <w:ind w:left="1190" w:hanging="360"/>
      </w:pPr>
      <w:bookmarkStart w:id="84" w:name="_TOC_250024"/>
      <w:r>
        <w:t>Establishment</w:t>
      </w:r>
      <w:r>
        <w:rPr>
          <w:spacing w:val="-7"/>
        </w:rPr>
        <w:t xml:space="preserve"> </w:t>
      </w:r>
      <w:r>
        <w:t>of</w:t>
      </w:r>
      <w:r>
        <w:rPr>
          <w:spacing w:val="-4"/>
        </w:rPr>
        <w:t xml:space="preserve"> </w:t>
      </w:r>
      <w:r>
        <w:t>Economic</w:t>
      </w:r>
      <w:r>
        <w:rPr>
          <w:spacing w:val="-4"/>
        </w:rPr>
        <w:t xml:space="preserve"> </w:t>
      </w:r>
      <w:r>
        <w:t>Inclusion</w:t>
      </w:r>
      <w:r>
        <w:rPr>
          <w:spacing w:val="-4"/>
        </w:rPr>
        <w:t xml:space="preserve"> </w:t>
      </w:r>
      <w:r>
        <w:t>Advisory</w:t>
      </w:r>
      <w:r>
        <w:rPr>
          <w:spacing w:val="-4"/>
        </w:rPr>
        <w:t xml:space="preserve"> </w:t>
      </w:r>
      <w:bookmarkEnd w:id="84"/>
      <w:r>
        <w:rPr>
          <w:spacing w:val="-2"/>
        </w:rPr>
        <w:t>Committee</w:t>
      </w:r>
    </w:p>
    <w:p w14:paraId="4F7E5003" w14:textId="77777777" w:rsidR="00811887" w:rsidRDefault="00811887" w:rsidP="00811887">
      <w:pPr>
        <w:spacing w:before="177"/>
        <w:ind w:left="2803" w:right="1669"/>
        <w:rPr>
          <w:rFonts w:ascii="Times New Roman"/>
        </w:rPr>
      </w:pPr>
      <w:r>
        <w:rPr>
          <w:rFonts w:ascii="Times New Roman"/>
        </w:rPr>
        <w:t>The</w:t>
      </w:r>
      <w:r>
        <w:rPr>
          <w:rFonts w:ascii="Times New Roman"/>
          <w:spacing w:val="-6"/>
        </w:rPr>
        <w:t xml:space="preserve"> </w:t>
      </w:r>
      <w:r>
        <w:rPr>
          <w:rFonts w:ascii="Times New Roman"/>
        </w:rPr>
        <w:t>Economic</w:t>
      </w:r>
      <w:r>
        <w:rPr>
          <w:rFonts w:ascii="Times New Roman"/>
          <w:spacing w:val="-4"/>
        </w:rPr>
        <w:t xml:space="preserve"> </w:t>
      </w:r>
      <w:r>
        <w:rPr>
          <w:rFonts w:ascii="Times New Roman"/>
        </w:rPr>
        <w:t>Inclusion</w:t>
      </w:r>
      <w:r>
        <w:rPr>
          <w:rFonts w:ascii="Times New Roman"/>
          <w:spacing w:val="-4"/>
        </w:rPr>
        <w:t xml:space="preserve"> </w:t>
      </w:r>
      <w:r>
        <w:rPr>
          <w:rFonts w:ascii="Times New Roman"/>
        </w:rPr>
        <w:t>Advisory</w:t>
      </w:r>
      <w:r>
        <w:rPr>
          <w:rFonts w:ascii="Times New Roman"/>
          <w:spacing w:val="-7"/>
        </w:rPr>
        <w:t xml:space="preserve"> </w:t>
      </w:r>
      <w:r>
        <w:rPr>
          <w:rFonts w:ascii="Times New Roman"/>
        </w:rPr>
        <w:t>Committee</w:t>
      </w:r>
      <w:r>
        <w:rPr>
          <w:rFonts w:ascii="Times New Roman"/>
          <w:spacing w:val="-4"/>
        </w:rPr>
        <w:t xml:space="preserve"> </w:t>
      </w:r>
      <w:r>
        <w:rPr>
          <w:rFonts w:ascii="Times New Roman"/>
        </w:rPr>
        <w:t>is</w:t>
      </w:r>
      <w:r>
        <w:rPr>
          <w:rFonts w:ascii="Times New Roman"/>
          <w:spacing w:val="-4"/>
        </w:rPr>
        <w:t xml:space="preserve"> </w:t>
      </w:r>
      <w:r>
        <w:rPr>
          <w:rFonts w:ascii="Times New Roman"/>
        </w:rPr>
        <w:t>established</w:t>
      </w:r>
      <w:r>
        <w:rPr>
          <w:rFonts w:ascii="Times New Roman"/>
          <w:spacing w:val="-4"/>
        </w:rPr>
        <w:t xml:space="preserve"> </w:t>
      </w:r>
      <w:r>
        <w:rPr>
          <w:rFonts w:ascii="Times New Roman"/>
        </w:rPr>
        <w:t>by</w:t>
      </w:r>
      <w:r>
        <w:rPr>
          <w:rFonts w:ascii="Times New Roman"/>
          <w:spacing w:val="-6"/>
        </w:rPr>
        <w:t xml:space="preserve"> </w:t>
      </w:r>
      <w:r>
        <w:rPr>
          <w:rFonts w:ascii="Times New Roman"/>
        </w:rPr>
        <w:t xml:space="preserve">this </w:t>
      </w:r>
      <w:r>
        <w:rPr>
          <w:rFonts w:ascii="Times New Roman"/>
          <w:spacing w:val="-2"/>
        </w:rPr>
        <w:t>section.</w:t>
      </w:r>
    </w:p>
    <w:p w14:paraId="3BD06120" w14:textId="77777777" w:rsidR="00811887" w:rsidRDefault="00811887" w:rsidP="00811887">
      <w:pPr>
        <w:pStyle w:val="BodyText"/>
        <w:spacing w:before="31"/>
        <w:rPr>
          <w:rFonts w:ascii="Times New Roman"/>
          <w:sz w:val="22"/>
        </w:rPr>
      </w:pPr>
    </w:p>
    <w:p w14:paraId="442AE0E4" w14:textId="77777777" w:rsidR="00811887" w:rsidRDefault="00811887" w:rsidP="00FB2FE9">
      <w:pPr>
        <w:pStyle w:val="Heading7"/>
        <w:numPr>
          <w:ilvl w:val="0"/>
          <w:numId w:val="77"/>
        </w:numPr>
        <w:tabs>
          <w:tab w:val="left" w:pos="1909"/>
          <w:tab w:val="left" w:pos="2803"/>
        </w:tabs>
        <w:ind w:left="2803" w:right="2705" w:hanging="1134"/>
      </w:pPr>
      <w:bookmarkStart w:id="85" w:name="_TOC_250023"/>
      <w:r>
        <w:t>Committee’s</w:t>
      </w:r>
      <w:r>
        <w:rPr>
          <w:spacing w:val="-10"/>
        </w:rPr>
        <w:t xml:space="preserve"> </w:t>
      </w:r>
      <w:r>
        <w:t>function—reports</w:t>
      </w:r>
      <w:r>
        <w:rPr>
          <w:spacing w:val="-9"/>
        </w:rPr>
        <w:t xml:space="preserve"> </w:t>
      </w:r>
      <w:r>
        <w:t>ahead</w:t>
      </w:r>
      <w:r>
        <w:rPr>
          <w:spacing w:val="-9"/>
        </w:rPr>
        <w:t xml:space="preserve"> </w:t>
      </w:r>
      <w:r>
        <w:t>of</w:t>
      </w:r>
      <w:r>
        <w:rPr>
          <w:spacing w:val="-7"/>
        </w:rPr>
        <w:t xml:space="preserve"> </w:t>
      </w:r>
      <w:bookmarkEnd w:id="85"/>
      <w:r>
        <w:t>Commonwealth Government budgets</w:t>
      </w:r>
    </w:p>
    <w:p w14:paraId="3C02639E" w14:textId="77777777" w:rsidR="00811887" w:rsidRDefault="00811887" w:rsidP="00FB2FE9">
      <w:pPr>
        <w:pStyle w:val="ListParagraph"/>
        <w:widowControl w:val="0"/>
        <w:numPr>
          <w:ilvl w:val="1"/>
          <w:numId w:val="77"/>
        </w:numPr>
        <w:tabs>
          <w:tab w:val="left" w:pos="2801"/>
          <w:tab w:val="left" w:pos="2803"/>
        </w:tabs>
        <w:autoSpaceDE w:val="0"/>
        <w:autoSpaceDN w:val="0"/>
        <w:spacing w:before="175" w:after="0"/>
        <w:ind w:right="2012"/>
        <w:contextualSpacing w:val="0"/>
        <w:rPr>
          <w:rFonts w:ascii="Times New Roman" w:hAnsi="Times New Roman"/>
        </w:rPr>
      </w:pPr>
      <w:r>
        <w:rPr>
          <w:rFonts w:ascii="Times New Roman" w:hAnsi="Times New Roman"/>
        </w:rPr>
        <w:t>The</w:t>
      </w:r>
      <w:r>
        <w:rPr>
          <w:rFonts w:ascii="Times New Roman" w:hAnsi="Times New Roman"/>
          <w:spacing w:val="-4"/>
        </w:rPr>
        <w:t xml:space="preserve"> </w:t>
      </w:r>
      <w:r>
        <w:rPr>
          <w:rFonts w:ascii="Times New Roman" w:hAnsi="Times New Roman"/>
        </w:rPr>
        <w:t>Committee’s</w:t>
      </w:r>
      <w:r>
        <w:rPr>
          <w:rFonts w:ascii="Times New Roman" w:hAnsi="Times New Roman"/>
          <w:spacing w:val="-4"/>
        </w:rPr>
        <w:t xml:space="preserve"> </w:t>
      </w:r>
      <w:r>
        <w:rPr>
          <w:rFonts w:ascii="Times New Roman" w:hAnsi="Times New Roman"/>
        </w:rPr>
        <w:t>function</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give</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written</w:t>
      </w:r>
      <w:r>
        <w:rPr>
          <w:rFonts w:ascii="Times New Roman" w:hAnsi="Times New Roman"/>
          <w:spacing w:val="-4"/>
        </w:rPr>
        <w:t xml:space="preserve"> </w:t>
      </w:r>
      <w:r>
        <w:rPr>
          <w:rFonts w:ascii="Times New Roman" w:hAnsi="Times New Roman"/>
        </w:rPr>
        <w:t>report</w:t>
      </w:r>
      <w:r>
        <w:rPr>
          <w:rFonts w:ascii="Times New Roman" w:hAnsi="Times New Roman"/>
          <w:spacing w:val="-4"/>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Joint Ministers ahead of each Commonwealth Government budget.</w:t>
      </w:r>
    </w:p>
    <w:p w14:paraId="42B4879B" w14:textId="77777777" w:rsidR="00811887" w:rsidRDefault="00811887" w:rsidP="00811887">
      <w:pPr>
        <w:spacing w:before="241"/>
        <w:ind w:left="2803"/>
        <w:rPr>
          <w:rFonts w:ascii="Times New Roman"/>
          <w:i/>
        </w:rPr>
      </w:pPr>
      <w:r>
        <w:rPr>
          <w:rFonts w:ascii="Times New Roman"/>
          <w:i/>
        </w:rPr>
        <w:t>Contents</w:t>
      </w:r>
      <w:r>
        <w:rPr>
          <w:rFonts w:ascii="Times New Roman"/>
          <w:i/>
          <w:spacing w:val="-3"/>
        </w:rPr>
        <w:t xml:space="preserve"> </w:t>
      </w:r>
      <w:r>
        <w:rPr>
          <w:rFonts w:ascii="Times New Roman"/>
          <w:i/>
        </w:rPr>
        <w:t>of</w:t>
      </w:r>
      <w:r>
        <w:rPr>
          <w:rFonts w:ascii="Times New Roman"/>
          <w:i/>
          <w:spacing w:val="-1"/>
        </w:rPr>
        <w:t xml:space="preserve"> </w:t>
      </w:r>
      <w:r>
        <w:rPr>
          <w:rFonts w:ascii="Times New Roman"/>
          <w:i/>
          <w:spacing w:val="-2"/>
        </w:rPr>
        <w:t>report</w:t>
      </w:r>
    </w:p>
    <w:p w14:paraId="22C30BAB" w14:textId="77777777" w:rsidR="00811887" w:rsidRDefault="00811887" w:rsidP="00FB2FE9">
      <w:pPr>
        <w:pStyle w:val="ListParagraph"/>
        <w:widowControl w:val="0"/>
        <w:numPr>
          <w:ilvl w:val="1"/>
          <w:numId w:val="77"/>
        </w:numPr>
        <w:tabs>
          <w:tab w:val="left" w:pos="2800"/>
          <w:tab w:val="left" w:pos="2803"/>
        </w:tabs>
        <w:autoSpaceDE w:val="0"/>
        <w:autoSpaceDN w:val="0"/>
        <w:spacing w:before="181" w:after="0"/>
        <w:ind w:right="1702"/>
        <w:contextualSpacing w:val="0"/>
        <w:rPr>
          <w:rFonts w:ascii="Times New Roman"/>
        </w:rPr>
      </w:pPr>
      <w:r>
        <w:rPr>
          <w:rFonts w:ascii="Times New Roman"/>
        </w:rPr>
        <w:t>The</w:t>
      </w:r>
      <w:r>
        <w:rPr>
          <w:rFonts w:ascii="Times New Roman"/>
          <w:spacing w:val="-5"/>
        </w:rPr>
        <w:t xml:space="preserve"> </w:t>
      </w:r>
      <w:r>
        <w:rPr>
          <w:rFonts w:ascii="Times New Roman"/>
        </w:rPr>
        <w:t>report</w:t>
      </w:r>
      <w:r>
        <w:rPr>
          <w:rFonts w:ascii="Times New Roman"/>
          <w:spacing w:val="-3"/>
        </w:rPr>
        <w:t xml:space="preserve"> </w:t>
      </w:r>
      <w:r>
        <w:rPr>
          <w:rFonts w:ascii="Times New Roman"/>
        </w:rPr>
        <w:t>must</w:t>
      </w:r>
      <w:r>
        <w:rPr>
          <w:rFonts w:ascii="Times New Roman"/>
          <w:spacing w:val="-3"/>
        </w:rPr>
        <w:t xml:space="preserve"> </w:t>
      </w:r>
      <w:r>
        <w:rPr>
          <w:rFonts w:ascii="Times New Roman"/>
        </w:rPr>
        <w:t>consist</w:t>
      </w:r>
      <w:r>
        <w:rPr>
          <w:rFonts w:ascii="Times New Roman"/>
          <w:spacing w:val="-3"/>
        </w:rPr>
        <w:t xml:space="preserve"> </w:t>
      </w:r>
      <w:r>
        <w:rPr>
          <w:rFonts w:ascii="Times New Roman"/>
        </w:rPr>
        <w:t>of</w:t>
      </w:r>
      <w:r>
        <w:rPr>
          <w:rFonts w:ascii="Times New Roman"/>
          <w:spacing w:val="-5"/>
        </w:rPr>
        <w:t xml:space="preserve"> </w:t>
      </w:r>
      <w:r>
        <w:rPr>
          <w:rFonts w:ascii="Times New Roman"/>
        </w:rPr>
        <w:t>advice</w:t>
      </w:r>
      <w:r>
        <w:rPr>
          <w:rFonts w:ascii="Times New Roman"/>
          <w:spacing w:val="-3"/>
        </w:rPr>
        <w:t xml:space="preserve"> </w:t>
      </w:r>
      <w:r>
        <w:rPr>
          <w:rFonts w:ascii="Times New Roman"/>
        </w:rPr>
        <w:t>prepared</w:t>
      </w:r>
      <w:r>
        <w:rPr>
          <w:rFonts w:ascii="Times New Roman"/>
          <w:spacing w:val="-3"/>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3"/>
        </w:rPr>
        <w:t xml:space="preserve"> </w:t>
      </w:r>
      <w:r>
        <w:rPr>
          <w:rFonts w:ascii="Times New Roman"/>
        </w:rPr>
        <w:t>about one or more of the following matters as they relate to the policies, programs and responsibilities of the Commonwealth Government:</w:t>
      </w:r>
    </w:p>
    <w:p w14:paraId="2FA3681A"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1759"/>
        <w:contextualSpacing w:val="0"/>
        <w:rPr>
          <w:rFonts w:ascii="Times New Roman"/>
        </w:rPr>
      </w:pP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including</w:t>
      </w:r>
      <w:r>
        <w:rPr>
          <w:rFonts w:ascii="Times New Roman"/>
          <w:spacing w:val="-8"/>
        </w:rPr>
        <w:t xml:space="preserve"> </w:t>
      </w:r>
      <w:r>
        <w:rPr>
          <w:rFonts w:ascii="Times New Roman"/>
        </w:rPr>
        <w:t>approaches</w:t>
      </w:r>
      <w:r>
        <w:rPr>
          <w:rFonts w:ascii="Times New Roman"/>
          <w:spacing w:val="-7"/>
        </w:rPr>
        <w:t xml:space="preserve"> </w:t>
      </w:r>
      <w:r>
        <w:rPr>
          <w:rFonts w:ascii="Times New Roman"/>
        </w:rPr>
        <w:t>to</w:t>
      </w:r>
      <w:r>
        <w:rPr>
          <w:rFonts w:ascii="Times New Roman"/>
          <w:spacing w:val="-5"/>
        </w:rPr>
        <w:t xml:space="preserve"> </w:t>
      </w:r>
      <w:r>
        <w:rPr>
          <w:rFonts w:ascii="Times New Roman"/>
        </w:rPr>
        <w:t>boost</w:t>
      </w:r>
      <w:r>
        <w:rPr>
          <w:rFonts w:ascii="Times New Roman"/>
          <w:spacing w:val="-6"/>
        </w:rPr>
        <w:t xml:space="preserve"> </w:t>
      </w:r>
      <w:r>
        <w:rPr>
          <w:rFonts w:ascii="Times New Roman"/>
        </w:rPr>
        <w:t>economic participation through the following:</w:t>
      </w:r>
    </w:p>
    <w:p w14:paraId="2ADD8424" w14:textId="77777777" w:rsidR="00811887" w:rsidRDefault="00811887" w:rsidP="00FB2FE9">
      <w:pPr>
        <w:pStyle w:val="ListParagraph"/>
        <w:widowControl w:val="0"/>
        <w:numPr>
          <w:ilvl w:val="3"/>
          <w:numId w:val="77"/>
        </w:numPr>
        <w:tabs>
          <w:tab w:val="left" w:pos="3765"/>
          <w:tab w:val="left" w:pos="3768"/>
        </w:tabs>
        <w:autoSpaceDE w:val="0"/>
        <w:autoSpaceDN w:val="0"/>
        <w:spacing w:before="40" w:after="0"/>
        <w:ind w:right="2187"/>
        <w:contextualSpacing w:val="0"/>
        <w:rPr>
          <w:rFonts w:ascii="Times New Roman"/>
        </w:rPr>
      </w:pPr>
      <w:r>
        <w:rPr>
          <w:rFonts w:ascii="Times New Roman"/>
        </w:rPr>
        <w:t>policy</w:t>
      </w:r>
      <w:r>
        <w:rPr>
          <w:rFonts w:ascii="Times New Roman"/>
          <w:spacing w:val="-6"/>
        </w:rPr>
        <w:t xml:space="preserve"> </w:t>
      </w:r>
      <w:r>
        <w:rPr>
          <w:rFonts w:ascii="Times New Roman"/>
        </w:rPr>
        <w:t>settings,</w:t>
      </w:r>
      <w:r>
        <w:rPr>
          <w:rFonts w:ascii="Times New Roman"/>
          <w:spacing w:val="-5"/>
        </w:rPr>
        <w:t xml:space="preserve"> </w:t>
      </w:r>
      <w:r>
        <w:rPr>
          <w:rFonts w:ascii="Times New Roman"/>
        </w:rPr>
        <w:t>systems</w:t>
      </w:r>
      <w:r>
        <w:rPr>
          <w:rFonts w:ascii="Times New Roman"/>
          <w:spacing w:val="-4"/>
        </w:rPr>
        <w:t xml:space="preserve"> </w:t>
      </w:r>
      <w:r>
        <w:rPr>
          <w:rFonts w:ascii="Times New Roman"/>
        </w:rPr>
        <w:t>and</w:t>
      </w:r>
      <w:r>
        <w:rPr>
          <w:rFonts w:ascii="Times New Roman"/>
          <w:spacing w:val="-5"/>
        </w:rPr>
        <w:t xml:space="preserve"> </w:t>
      </w:r>
      <w:r>
        <w:rPr>
          <w:rFonts w:ascii="Times New Roman"/>
        </w:rPr>
        <w:t>structures</w:t>
      </w:r>
      <w:r>
        <w:rPr>
          <w:rFonts w:ascii="Times New Roman"/>
          <w:spacing w:val="-5"/>
        </w:rPr>
        <w:t xml:space="preserve"> </w:t>
      </w:r>
      <w:r>
        <w:rPr>
          <w:rFonts w:ascii="Times New Roman"/>
        </w:rPr>
        <w:t>in</w:t>
      </w:r>
      <w:r>
        <w:rPr>
          <w:rFonts w:ascii="Times New Roman"/>
          <w:spacing w:val="-5"/>
        </w:rPr>
        <w:t xml:space="preserve"> </w:t>
      </w:r>
      <w:r>
        <w:rPr>
          <w:rFonts w:ascii="Times New Roman"/>
        </w:rPr>
        <w:t>the</w:t>
      </w:r>
      <w:r>
        <w:rPr>
          <w:rFonts w:ascii="Times New Roman"/>
          <w:spacing w:val="-5"/>
        </w:rPr>
        <w:t xml:space="preserve"> </w:t>
      </w:r>
      <w:r>
        <w:rPr>
          <w:rFonts w:ascii="Times New Roman"/>
        </w:rPr>
        <w:t>social security system;</w:t>
      </w:r>
    </w:p>
    <w:p w14:paraId="0F2312A0" w14:textId="77777777" w:rsidR="00811887" w:rsidRDefault="00811887" w:rsidP="00FB2FE9">
      <w:pPr>
        <w:pStyle w:val="ListParagraph"/>
        <w:widowControl w:val="0"/>
        <w:numPr>
          <w:ilvl w:val="3"/>
          <w:numId w:val="77"/>
        </w:numPr>
        <w:tabs>
          <w:tab w:val="left" w:pos="3764"/>
        </w:tabs>
        <w:autoSpaceDE w:val="0"/>
        <w:autoSpaceDN w:val="0"/>
        <w:spacing w:before="41" w:after="0"/>
        <w:ind w:left="3764" w:hanging="378"/>
        <w:contextualSpacing w:val="0"/>
        <w:rPr>
          <w:rFonts w:ascii="Times New Roman"/>
        </w:rPr>
      </w:pPr>
      <w:r>
        <w:rPr>
          <w:rFonts w:ascii="Times New Roman"/>
        </w:rPr>
        <w:t>other</w:t>
      </w:r>
      <w:r>
        <w:rPr>
          <w:rFonts w:ascii="Times New Roman"/>
          <w:spacing w:val="-5"/>
        </w:rPr>
        <w:t xml:space="preserve"> </w:t>
      </w:r>
      <w:r>
        <w:rPr>
          <w:rFonts w:ascii="Times New Roman"/>
        </w:rPr>
        <w:t>relevant</w:t>
      </w:r>
      <w:r>
        <w:rPr>
          <w:rFonts w:ascii="Times New Roman"/>
          <w:spacing w:val="-3"/>
        </w:rPr>
        <w:t xml:space="preserve"> </w:t>
      </w:r>
      <w:r>
        <w:rPr>
          <w:rFonts w:ascii="Times New Roman"/>
        </w:rPr>
        <w:t>programs</w:t>
      </w:r>
      <w:r>
        <w:rPr>
          <w:rFonts w:ascii="Times New Roman"/>
          <w:spacing w:val="-4"/>
        </w:rPr>
        <w:t xml:space="preserve"> </w:t>
      </w:r>
      <w:r>
        <w:rPr>
          <w:rFonts w:ascii="Times New Roman"/>
        </w:rPr>
        <w:t>and</w:t>
      </w:r>
      <w:r>
        <w:rPr>
          <w:rFonts w:ascii="Times New Roman"/>
          <w:spacing w:val="-4"/>
        </w:rPr>
        <w:t xml:space="preserve"> </w:t>
      </w:r>
      <w:r>
        <w:rPr>
          <w:rFonts w:ascii="Times New Roman"/>
          <w:spacing w:val="-2"/>
        </w:rPr>
        <w:t>policies;</w:t>
      </w:r>
    </w:p>
    <w:p w14:paraId="4F8E4AC8"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2176" w:hanging="370"/>
        <w:contextualSpacing w:val="0"/>
        <w:rPr>
          <w:rFonts w:ascii="Times New Roman"/>
        </w:rPr>
      </w:pPr>
      <w:r>
        <w:rPr>
          <w:rFonts w:ascii="Times New Roman"/>
        </w:rPr>
        <w:t>the</w:t>
      </w:r>
      <w:r>
        <w:rPr>
          <w:rFonts w:ascii="Times New Roman"/>
          <w:spacing w:val="-5"/>
        </w:rPr>
        <w:t xml:space="preserve"> </w:t>
      </w:r>
      <w:r>
        <w:rPr>
          <w:rFonts w:ascii="Times New Roman"/>
        </w:rPr>
        <w:t>adequacy,</w:t>
      </w:r>
      <w:r>
        <w:rPr>
          <w:rFonts w:ascii="Times New Roman"/>
          <w:spacing w:val="-5"/>
        </w:rPr>
        <w:t xml:space="preserve"> </w:t>
      </w:r>
      <w:r>
        <w:rPr>
          <w:rFonts w:ascii="Times New Roman"/>
        </w:rPr>
        <w:t>effectiveness</w:t>
      </w:r>
      <w:r>
        <w:rPr>
          <w:rFonts w:ascii="Times New Roman"/>
          <w:spacing w:val="-7"/>
        </w:rPr>
        <w:t xml:space="preserve"> </w:t>
      </w:r>
      <w:r>
        <w:rPr>
          <w:rFonts w:ascii="Times New Roman"/>
        </w:rPr>
        <w:t>and</w:t>
      </w:r>
      <w:r>
        <w:rPr>
          <w:rFonts w:ascii="Times New Roman"/>
          <w:spacing w:val="-5"/>
        </w:rPr>
        <w:t xml:space="preserve"> </w:t>
      </w:r>
      <w:r>
        <w:rPr>
          <w:rFonts w:ascii="Times New Roman"/>
        </w:rPr>
        <w:t>sustainability</w:t>
      </w:r>
      <w:r>
        <w:rPr>
          <w:rFonts w:ascii="Times New Roman"/>
          <w:spacing w:val="-8"/>
        </w:rPr>
        <w:t xml:space="preserve"> </w:t>
      </w:r>
      <w:r>
        <w:rPr>
          <w:rFonts w:ascii="Times New Roman"/>
        </w:rPr>
        <w:t>of</w:t>
      </w:r>
      <w:r>
        <w:rPr>
          <w:rFonts w:ascii="Times New Roman"/>
          <w:spacing w:val="-5"/>
        </w:rPr>
        <w:t xml:space="preserve"> </w:t>
      </w:r>
      <w:r>
        <w:rPr>
          <w:rFonts w:ascii="Times New Roman"/>
        </w:rPr>
        <w:t>income support payments, including options to boost economic inclusion and tackle disadvantage;</w:t>
      </w:r>
    </w:p>
    <w:p w14:paraId="20D7BF83"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2273"/>
        <w:contextualSpacing w:val="0"/>
        <w:rPr>
          <w:rFonts w:ascii="Times New Roman"/>
        </w:rPr>
      </w:pPr>
      <w:r>
        <w:rPr>
          <w:rFonts w:ascii="Times New Roman"/>
        </w:rPr>
        <w:t>options to reduce barriers and disincentives to work, including</w:t>
      </w:r>
      <w:r>
        <w:rPr>
          <w:rFonts w:ascii="Times New Roman"/>
          <w:spacing w:val="-7"/>
        </w:rPr>
        <w:t xml:space="preserve"> </w:t>
      </w:r>
      <w:r>
        <w:rPr>
          <w:rFonts w:ascii="Times New Roman"/>
        </w:rPr>
        <w:t>in</w:t>
      </w:r>
      <w:r>
        <w:rPr>
          <w:rFonts w:ascii="Times New Roman"/>
          <w:spacing w:val="-5"/>
        </w:rPr>
        <w:t xml:space="preserve"> </w:t>
      </w:r>
      <w:r>
        <w:rPr>
          <w:rFonts w:ascii="Times New Roman"/>
        </w:rPr>
        <w:t>relation</w:t>
      </w:r>
      <w:r>
        <w:rPr>
          <w:rFonts w:ascii="Times New Roman"/>
          <w:spacing w:val="-5"/>
        </w:rPr>
        <w:t xml:space="preserve"> </w:t>
      </w:r>
      <w:r>
        <w:rPr>
          <w:rFonts w:ascii="Times New Roman"/>
        </w:rPr>
        <w:t>to</w:t>
      </w:r>
      <w:r>
        <w:rPr>
          <w:rFonts w:ascii="Times New Roman"/>
          <w:spacing w:val="-7"/>
        </w:rPr>
        <w:t xml:space="preserve"> </w:t>
      </w:r>
      <w:r>
        <w:rPr>
          <w:rFonts w:ascii="Times New Roman"/>
        </w:rPr>
        <w:t>social</w:t>
      </w:r>
      <w:r>
        <w:rPr>
          <w:rFonts w:ascii="Times New Roman"/>
          <w:spacing w:val="-4"/>
        </w:rPr>
        <w:t xml:space="preserve"> </w:t>
      </w:r>
      <w:r>
        <w:rPr>
          <w:rFonts w:ascii="Times New Roman"/>
        </w:rPr>
        <w:t>security</w:t>
      </w:r>
      <w:r>
        <w:rPr>
          <w:rFonts w:ascii="Times New Roman"/>
          <w:spacing w:val="-7"/>
        </w:rPr>
        <w:t xml:space="preserve"> </w:t>
      </w:r>
      <w:r>
        <w:rPr>
          <w:rFonts w:ascii="Times New Roman"/>
        </w:rPr>
        <w:t>and</w:t>
      </w:r>
      <w:r>
        <w:rPr>
          <w:rFonts w:ascii="Times New Roman"/>
          <w:spacing w:val="-5"/>
        </w:rPr>
        <w:t xml:space="preserve"> </w:t>
      </w:r>
      <w:r>
        <w:rPr>
          <w:rFonts w:ascii="Times New Roman"/>
        </w:rPr>
        <w:t xml:space="preserve">employment </w:t>
      </w:r>
      <w:r>
        <w:rPr>
          <w:rFonts w:ascii="Times New Roman"/>
          <w:spacing w:val="-2"/>
        </w:rPr>
        <w:t>services;</w:t>
      </w:r>
    </w:p>
    <w:p w14:paraId="0FDACACD"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1728" w:hanging="370"/>
        <w:contextualSpacing w:val="0"/>
        <w:rPr>
          <w:rFonts w:ascii="Times New Roman"/>
        </w:rPr>
      </w:pPr>
      <w:r>
        <w:rPr>
          <w:rFonts w:ascii="Times New Roman"/>
        </w:rPr>
        <w:t>options</w:t>
      </w:r>
      <w:r>
        <w:rPr>
          <w:rFonts w:ascii="Times New Roman"/>
          <w:spacing w:val="-5"/>
        </w:rPr>
        <w:t xml:space="preserve"> </w:t>
      </w:r>
      <w:r>
        <w:rPr>
          <w:rFonts w:ascii="Times New Roman"/>
        </w:rPr>
        <w:t>for</w:t>
      </w:r>
      <w:r>
        <w:rPr>
          <w:rFonts w:ascii="Times New Roman"/>
          <w:spacing w:val="-5"/>
        </w:rPr>
        <w:t xml:space="preserve"> </w:t>
      </w:r>
      <w:r>
        <w:rPr>
          <w:rFonts w:ascii="Times New Roman"/>
        </w:rPr>
        <w:t>tailored</w:t>
      </w:r>
      <w:r>
        <w:rPr>
          <w:rFonts w:ascii="Times New Roman"/>
          <w:spacing w:val="-5"/>
        </w:rPr>
        <w:t xml:space="preserve"> </w:t>
      </w:r>
      <w:r>
        <w:rPr>
          <w:rFonts w:ascii="Times New Roman"/>
        </w:rPr>
        <w:t>responses</w:t>
      </w:r>
      <w:r>
        <w:rPr>
          <w:rFonts w:ascii="Times New Roman"/>
          <w:spacing w:val="-3"/>
        </w:rPr>
        <w:t xml:space="preserve"> </w:t>
      </w:r>
      <w:r>
        <w:rPr>
          <w:rFonts w:ascii="Times New Roman"/>
        </w:rPr>
        <w:t>to</w:t>
      </w:r>
      <w:r>
        <w:rPr>
          <w:rFonts w:ascii="Times New Roman"/>
          <w:spacing w:val="-6"/>
        </w:rPr>
        <w:t xml:space="preserve"> </w:t>
      </w:r>
      <w:r>
        <w:rPr>
          <w:rFonts w:ascii="Times New Roman"/>
        </w:rPr>
        <w:t>address</w:t>
      </w:r>
      <w:r>
        <w:rPr>
          <w:rFonts w:ascii="Times New Roman"/>
          <w:spacing w:val="-3"/>
        </w:rPr>
        <w:t xml:space="preserve"> </w:t>
      </w:r>
      <w:r>
        <w:rPr>
          <w:rFonts w:ascii="Times New Roman"/>
        </w:rPr>
        <w:t>barriers</w:t>
      </w:r>
      <w:r>
        <w:rPr>
          <w:rFonts w:ascii="Times New Roman"/>
          <w:spacing w:val="-3"/>
        </w:rPr>
        <w:t xml:space="preserve"> </w:t>
      </w:r>
      <w:r>
        <w:rPr>
          <w:rFonts w:ascii="Times New Roman"/>
        </w:rPr>
        <w:t>to</w:t>
      </w:r>
      <w:r>
        <w:rPr>
          <w:rFonts w:ascii="Times New Roman"/>
          <w:spacing w:val="-6"/>
        </w:rPr>
        <w:t xml:space="preserve"> </w:t>
      </w:r>
      <w:r>
        <w:rPr>
          <w:rFonts w:ascii="Times New Roman"/>
        </w:rPr>
        <w:t>economic inclusion for long term unemployed and disadvantaged groups, including place-based approaches at the local level, having regard to the split between Commonwealth, State, Territory and local government responsibilities;</w:t>
      </w:r>
    </w:p>
    <w:p w14:paraId="57A2D584" w14:textId="77777777" w:rsidR="00811887" w:rsidRDefault="00811887" w:rsidP="00FB2FE9">
      <w:pPr>
        <w:pStyle w:val="ListParagraph"/>
        <w:widowControl w:val="0"/>
        <w:numPr>
          <w:ilvl w:val="2"/>
          <w:numId w:val="77"/>
        </w:numPr>
        <w:tabs>
          <w:tab w:val="left" w:pos="3312"/>
          <w:tab w:val="left" w:pos="3314"/>
        </w:tabs>
        <w:autoSpaceDE w:val="0"/>
        <w:autoSpaceDN w:val="0"/>
        <w:spacing w:before="39" w:after="0"/>
        <w:ind w:right="1699"/>
        <w:contextualSpacing w:val="0"/>
        <w:rPr>
          <w:rFonts w:ascii="Times New Roman"/>
        </w:rPr>
      </w:pPr>
      <w:r>
        <w:rPr>
          <w:rFonts w:ascii="Times New Roman"/>
        </w:rPr>
        <w:t>the impact of economic inclusion policies on people with barriers</w:t>
      </w:r>
      <w:r>
        <w:rPr>
          <w:rFonts w:ascii="Times New Roman"/>
          <w:spacing w:val="-6"/>
        </w:rPr>
        <w:t xml:space="preserve"> </w:t>
      </w:r>
      <w:r>
        <w:rPr>
          <w:rFonts w:ascii="Times New Roman"/>
        </w:rPr>
        <w:t>to</w:t>
      </w:r>
      <w:r>
        <w:rPr>
          <w:rFonts w:ascii="Times New Roman"/>
          <w:spacing w:val="-4"/>
        </w:rPr>
        <w:t xml:space="preserve"> </w:t>
      </w:r>
      <w:r>
        <w:rPr>
          <w:rFonts w:ascii="Times New Roman"/>
        </w:rPr>
        <w:t>work,</w:t>
      </w:r>
      <w:r>
        <w:rPr>
          <w:rFonts w:ascii="Times New Roman"/>
          <w:spacing w:val="-4"/>
        </w:rPr>
        <w:t xml:space="preserve"> </w:t>
      </w:r>
      <w:r>
        <w:rPr>
          <w:rFonts w:ascii="Times New Roman"/>
        </w:rPr>
        <w:t>including</w:t>
      </w:r>
      <w:r>
        <w:rPr>
          <w:rFonts w:ascii="Times New Roman"/>
          <w:spacing w:val="-7"/>
        </w:rPr>
        <w:t xml:space="preserve"> </w:t>
      </w:r>
      <w:r>
        <w:rPr>
          <w:rFonts w:ascii="Times New Roman"/>
        </w:rPr>
        <w:t>(without</w:t>
      </w:r>
      <w:r>
        <w:rPr>
          <w:rFonts w:ascii="Times New Roman"/>
          <w:spacing w:val="-6"/>
        </w:rPr>
        <w:t xml:space="preserve"> </w:t>
      </w:r>
      <w:r>
        <w:rPr>
          <w:rFonts w:ascii="Times New Roman"/>
        </w:rPr>
        <w:t>limitation)</w:t>
      </w:r>
      <w:r>
        <w:rPr>
          <w:rFonts w:ascii="Times New Roman"/>
          <w:spacing w:val="-6"/>
        </w:rPr>
        <w:t xml:space="preserve"> </w:t>
      </w:r>
      <w:r>
        <w:rPr>
          <w:rFonts w:ascii="Times New Roman"/>
        </w:rPr>
        <w:t>the</w:t>
      </w:r>
      <w:r>
        <w:rPr>
          <w:rFonts w:ascii="Times New Roman"/>
          <w:spacing w:val="-2"/>
        </w:rPr>
        <w:t xml:space="preserve"> </w:t>
      </w:r>
      <w:r>
        <w:rPr>
          <w:rFonts w:ascii="Times New Roman"/>
        </w:rPr>
        <w:t>following:</w:t>
      </w:r>
    </w:p>
    <w:p w14:paraId="1CE607E4" w14:textId="77777777" w:rsidR="00811887" w:rsidRDefault="00811887" w:rsidP="00FB2FE9">
      <w:pPr>
        <w:pStyle w:val="ListParagraph"/>
        <w:widowControl w:val="0"/>
        <w:numPr>
          <w:ilvl w:val="3"/>
          <w:numId w:val="77"/>
        </w:numPr>
        <w:tabs>
          <w:tab w:val="left" w:pos="3765"/>
        </w:tabs>
        <w:autoSpaceDE w:val="0"/>
        <w:autoSpaceDN w:val="0"/>
        <w:spacing w:before="41" w:after="0"/>
        <w:ind w:left="3765" w:hanging="319"/>
        <w:contextualSpacing w:val="0"/>
        <w:rPr>
          <w:rFonts w:ascii="Times New Roman"/>
        </w:rPr>
      </w:pPr>
      <w:r>
        <w:rPr>
          <w:rFonts w:ascii="Times New Roman"/>
        </w:rPr>
        <w:t>people</w:t>
      </w:r>
      <w:r>
        <w:rPr>
          <w:rFonts w:ascii="Times New Roman"/>
          <w:spacing w:val="-3"/>
        </w:rPr>
        <w:t xml:space="preserve"> </w:t>
      </w:r>
      <w:r>
        <w:rPr>
          <w:rFonts w:ascii="Times New Roman"/>
        </w:rPr>
        <w:t>with</w:t>
      </w:r>
      <w:r>
        <w:rPr>
          <w:rFonts w:ascii="Times New Roman"/>
          <w:spacing w:val="-3"/>
        </w:rPr>
        <w:t xml:space="preserve"> </w:t>
      </w:r>
      <w:r>
        <w:rPr>
          <w:rFonts w:ascii="Times New Roman"/>
        </w:rPr>
        <w:t>caring</w:t>
      </w:r>
      <w:r>
        <w:rPr>
          <w:rFonts w:ascii="Times New Roman"/>
          <w:spacing w:val="-5"/>
        </w:rPr>
        <w:t xml:space="preserve"> </w:t>
      </w:r>
      <w:r>
        <w:rPr>
          <w:rFonts w:ascii="Times New Roman"/>
          <w:spacing w:val="-2"/>
        </w:rPr>
        <w:t>responsibilities;</w:t>
      </w:r>
    </w:p>
    <w:p w14:paraId="3FC96EA0" w14:textId="77777777" w:rsidR="00811887" w:rsidRDefault="00811887" w:rsidP="00811887">
      <w:pPr>
        <w:tabs>
          <w:tab w:val="left" w:pos="3686"/>
          <w:tab w:val="right" w:pos="8757"/>
        </w:tabs>
        <w:spacing w:before="709"/>
        <w:ind w:left="1670"/>
        <w:rPr>
          <w:rFonts w:ascii="Times New Roman"/>
          <w:i/>
          <w:sz w:val="18"/>
        </w:rPr>
      </w:pPr>
      <w:r>
        <w:rPr>
          <w:noProof/>
        </w:rPr>
        <mc:AlternateContent>
          <mc:Choice Requires="wps">
            <w:drawing>
              <wp:anchor distT="0" distB="0" distL="0" distR="0" simplePos="0" relativeHeight="251683840" behindDoc="0" locked="0" layoutInCell="1" allowOverlap="1" wp14:anchorId="264BD8F3" wp14:editId="46CEB885">
                <wp:simplePos x="0" y="0"/>
                <wp:positionH relativeFrom="page">
                  <wp:posOffset>1512061</wp:posOffset>
                </wp:positionH>
                <wp:positionV relativeFrom="paragraph">
                  <wp:posOffset>232363</wp:posOffset>
                </wp:positionV>
                <wp:extent cx="4538345" cy="9525"/>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B7CD0" id="Graphic 21" o:spid="_x0000_s1026" alt="&quot;&quot;" style="position:absolute;margin-left:119.05pt;margin-top:18.3pt;width:357.35pt;height:.75pt;z-index:25168384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" path="m4537837,l,,,9143r4537837,l4537837,xe" fillcolor="black" stroked="f">
                <v:path arrowok="t"/>
                <w10:wrap anchorx="page"/>
              </v:shape>
            </w:pict>
          </mc:Fallback>
        </mc:AlternateContent>
      </w: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10"/>
          <w:sz w:val="18"/>
        </w:rPr>
        <w:t>5</w:t>
      </w:r>
    </w:p>
    <w:p w14:paraId="2DA5BDD4"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4A702F5A" w14:textId="77777777" w:rsidR="00811887" w:rsidRDefault="00811887" w:rsidP="00811887">
      <w:pPr>
        <w:pStyle w:val="BodyText"/>
        <w:spacing w:before="65"/>
        <w:ind w:left="1670"/>
        <w:rPr>
          <w:rFonts w:ascii="Times New Roman"/>
        </w:rPr>
      </w:pPr>
      <w:r>
        <w:rPr>
          <w:rFonts w:ascii="Times New Roman"/>
          <w:b/>
        </w:rPr>
        <w:lastRenderedPageBreak/>
        <w:t>Part</w:t>
      </w:r>
      <w:r>
        <w:rPr>
          <w:rFonts w:ascii="Times New Roman"/>
          <w:b/>
          <w:spacing w:val="-5"/>
        </w:rPr>
        <w:t xml:space="preserve"> </w:t>
      </w:r>
      <w:r>
        <w:rPr>
          <w:rFonts w:ascii="Times New Roman"/>
          <w:b/>
        </w:rPr>
        <w:t>2</w:t>
      </w:r>
      <w:r>
        <w:rPr>
          <w:rFonts w:ascii="Times New Roman"/>
          <w:b/>
          <w:spacing w:val="40"/>
        </w:rPr>
        <w:t xml:space="preserve"> </w:t>
      </w: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Advisory</w:t>
      </w:r>
      <w:r>
        <w:rPr>
          <w:rFonts w:ascii="Times New Roman"/>
          <w:spacing w:val="-8"/>
        </w:rPr>
        <w:t xml:space="preserve"> </w:t>
      </w:r>
      <w:r>
        <w:rPr>
          <w:rFonts w:ascii="Times New Roman"/>
          <w:spacing w:val="-2"/>
        </w:rPr>
        <w:t>Committee</w:t>
      </w:r>
    </w:p>
    <w:p w14:paraId="4CD57885" w14:textId="77777777" w:rsidR="00811887" w:rsidRDefault="00811887" w:rsidP="00811887">
      <w:pPr>
        <w:spacing w:before="32"/>
        <w:ind w:left="1670"/>
        <w:rPr>
          <w:rFonts w:ascii="Times New Roman"/>
          <w:sz w:val="20"/>
        </w:rPr>
      </w:pPr>
      <w:r>
        <w:rPr>
          <w:rFonts w:ascii="Times New Roman"/>
          <w:b/>
          <w:sz w:val="20"/>
        </w:rPr>
        <w:t>Division</w:t>
      </w:r>
      <w:r>
        <w:rPr>
          <w:rFonts w:ascii="Times New Roman"/>
          <w:b/>
          <w:spacing w:val="-7"/>
          <w:sz w:val="20"/>
        </w:rPr>
        <w:t xml:space="preserve"> </w:t>
      </w:r>
      <w:r>
        <w:rPr>
          <w:rFonts w:ascii="Times New Roman"/>
          <w:b/>
          <w:sz w:val="20"/>
        </w:rPr>
        <w:t>2</w:t>
      </w:r>
      <w:r>
        <w:rPr>
          <w:rFonts w:ascii="Times New Roman"/>
          <w:b/>
          <w:spacing w:val="41"/>
          <w:sz w:val="20"/>
        </w:rPr>
        <w:t xml:space="preserve"> </w:t>
      </w:r>
      <w:r>
        <w:rPr>
          <w:rFonts w:ascii="Times New Roman"/>
          <w:sz w:val="20"/>
        </w:rPr>
        <w:t>Committee</w:t>
      </w:r>
      <w:r>
        <w:rPr>
          <w:rFonts w:ascii="Times New Roman"/>
          <w:spacing w:val="-6"/>
          <w:sz w:val="20"/>
        </w:rPr>
        <w:t xml:space="preserve"> </w:t>
      </w:r>
      <w:r>
        <w:rPr>
          <w:rFonts w:ascii="Times New Roman"/>
          <w:sz w:val="20"/>
        </w:rPr>
        <w:t>establishment</w:t>
      </w:r>
      <w:r>
        <w:rPr>
          <w:rFonts w:ascii="Times New Roman"/>
          <w:spacing w:val="-7"/>
          <w:sz w:val="20"/>
        </w:rPr>
        <w:t xml:space="preserve"> </w:t>
      </w:r>
      <w:r>
        <w:rPr>
          <w:rFonts w:ascii="Times New Roman"/>
          <w:sz w:val="20"/>
        </w:rPr>
        <w:t>and</w:t>
      </w:r>
      <w:r>
        <w:rPr>
          <w:rFonts w:ascii="Times New Roman"/>
          <w:spacing w:val="-4"/>
          <w:sz w:val="20"/>
        </w:rPr>
        <w:t xml:space="preserve"> </w:t>
      </w:r>
      <w:r>
        <w:rPr>
          <w:rFonts w:ascii="Times New Roman"/>
          <w:spacing w:val="-2"/>
          <w:sz w:val="20"/>
        </w:rPr>
        <w:t>function</w:t>
      </w:r>
    </w:p>
    <w:p w14:paraId="347D6494" w14:textId="77777777" w:rsidR="00811887" w:rsidRDefault="00811887" w:rsidP="00811887">
      <w:pPr>
        <w:pStyle w:val="BodyText"/>
        <w:spacing w:before="45"/>
        <w:rPr>
          <w:rFonts w:ascii="Times New Roman"/>
        </w:rPr>
      </w:pPr>
    </w:p>
    <w:p w14:paraId="49884893"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05344" behindDoc="1" locked="0" layoutInCell="1" allowOverlap="1" wp14:anchorId="0389A2C8" wp14:editId="52368BAD">
                <wp:simplePos x="0" y="0"/>
                <wp:positionH relativeFrom="page">
                  <wp:posOffset>1512061</wp:posOffset>
                </wp:positionH>
                <wp:positionV relativeFrom="paragraph">
                  <wp:posOffset>192823</wp:posOffset>
                </wp:positionV>
                <wp:extent cx="4538345" cy="9525"/>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32237" id="Graphic 22" o:spid="_x0000_s1026" alt="&quot;&quot;" style="position:absolute;margin-left:119.05pt;margin-top:15.2pt;width:357.35pt;height:.75pt;z-index:-25161113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8</w:t>
      </w:r>
    </w:p>
    <w:p w14:paraId="0C54FBD5" w14:textId="77777777" w:rsidR="00811887" w:rsidRDefault="00811887" w:rsidP="00811887">
      <w:pPr>
        <w:pStyle w:val="BodyText"/>
        <w:spacing w:before="33"/>
        <w:rPr>
          <w:rFonts w:ascii="Times New Roman"/>
          <w:sz w:val="22"/>
        </w:rPr>
      </w:pPr>
    </w:p>
    <w:p w14:paraId="334DD859" w14:textId="77777777" w:rsidR="00811887" w:rsidRDefault="00811887" w:rsidP="00FB2FE9">
      <w:pPr>
        <w:pStyle w:val="ListParagraph"/>
        <w:widowControl w:val="0"/>
        <w:numPr>
          <w:ilvl w:val="3"/>
          <w:numId w:val="77"/>
        </w:numPr>
        <w:tabs>
          <w:tab w:val="left" w:pos="3764"/>
        </w:tabs>
        <w:autoSpaceDE w:val="0"/>
        <w:autoSpaceDN w:val="0"/>
        <w:spacing w:after="0"/>
        <w:ind w:left="3764" w:hanging="378"/>
        <w:contextualSpacing w:val="0"/>
        <w:rPr>
          <w:rFonts w:ascii="Times New Roman"/>
        </w:rPr>
      </w:pPr>
      <w:r>
        <w:rPr>
          <w:rFonts w:ascii="Times New Roman"/>
        </w:rPr>
        <w:t>Indigenous</w:t>
      </w:r>
      <w:r>
        <w:rPr>
          <w:rFonts w:ascii="Times New Roman"/>
          <w:spacing w:val="-10"/>
        </w:rPr>
        <w:t xml:space="preserve"> </w:t>
      </w:r>
      <w:r>
        <w:rPr>
          <w:rFonts w:ascii="Times New Roman"/>
          <w:spacing w:val="-2"/>
        </w:rPr>
        <w:t>persons;</w:t>
      </w:r>
    </w:p>
    <w:p w14:paraId="4C718A20" w14:textId="77777777" w:rsidR="00811887" w:rsidRDefault="00811887" w:rsidP="00FB2FE9">
      <w:pPr>
        <w:pStyle w:val="ListParagraph"/>
        <w:widowControl w:val="0"/>
        <w:numPr>
          <w:ilvl w:val="3"/>
          <w:numId w:val="77"/>
        </w:numPr>
        <w:tabs>
          <w:tab w:val="left" w:pos="3764"/>
        </w:tabs>
        <w:autoSpaceDE w:val="0"/>
        <w:autoSpaceDN w:val="0"/>
        <w:spacing w:before="40" w:after="0"/>
        <w:ind w:left="3764" w:hanging="438"/>
        <w:contextualSpacing w:val="0"/>
        <w:rPr>
          <w:rFonts w:ascii="Times New Roman"/>
        </w:rPr>
      </w:pPr>
      <w:r>
        <w:rPr>
          <w:rFonts w:ascii="Times New Roman"/>
        </w:rPr>
        <w:t>people</w:t>
      </w:r>
      <w:r>
        <w:rPr>
          <w:rFonts w:ascii="Times New Roman"/>
          <w:spacing w:val="-2"/>
        </w:rPr>
        <w:t xml:space="preserve"> </w:t>
      </w:r>
      <w:r>
        <w:rPr>
          <w:rFonts w:ascii="Times New Roman"/>
        </w:rPr>
        <w:t>with</w:t>
      </w:r>
      <w:r>
        <w:rPr>
          <w:rFonts w:ascii="Times New Roman"/>
          <w:spacing w:val="-2"/>
        </w:rPr>
        <w:t xml:space="preserve"> disability;</w:t>
      </w:r>
    </w:p>
    <w:p w14:paraId="3ACCC584" w14:textId="77777777" w:rsidR="00811887" w:rsidRDefault="00811887" w:rsidP="00FB2FE9">
      <w:pPr>
        <w:pStyle w:val="ListParagraph"/>
        <w:widowControl w:val="0"/>
        <w:numPr>
          <w:ilvl w:val="2"/>
          <w:numId w:val="77"/>
        </w:numPr>
        <w:tabs>
          <w:tab w:val="left" w:pos="3312"/>
        </w:tabs>
        <w:autoSpaceDE w:val="0"/>
        <w:autoSpaceDN w:val="0"/>
        <w:spacing w:before="42" w:after="0"/>
        <w:ind w:left="3312" w:hanging="331"/>
        <w:contextualSpacing w:val="0"/>
        <w:rPr>
          <w:rFonts w:ascii="Times New Roman"/>
        </w:rPr>
      </w:pPr>
      <w:r>
        <w:rPr>
          <w:rFonts w:ascii="Times New Roman"/>
        </w:rPr>
        <w:t>the</w:t>
      </w:r>
      <w:r>
        <w:rPr>
          <w:rFonts w:ascii="Times New Roman"/>
          <w:spacing w:val="-7"/>
        </w:rPr>
        <w:t xml:space="preserve"> </w:t>
      </w:r>
      <w:r>
        <w:rPr>
          <w:rFonts w:ascii="Times New Roman"/>
        </w:rPr>
        <w:t>impact</w:t>
      </w:r>
      <w:r>
        <w:rPr>
          <w:rFonts w:ascii="Times New Roman"/>
          <w:spacing w:val="-2"/>
        </w:rPr>
        <w:t xml:space="preserve"> </w:t>
      </w:r>
      <w:r>
        <w:rPr>
          <w:rFonts w:ascii="Times New Roman"/>
        </w:rPr>
        <w:t>of</w:t>
      </w:r>
      <w:r>
        <w:rPr>
          <w:rFonts w:ascii="Times New Roman"/>
          <w:spacing w:val="-4"/>
        </w:rPr>
        <w:t xml:space="preserve"> </w:t>
      </w:r>
      <w:r>
        <w:rPr>
          <w:rFonts w:ascii="Times New Roman"/>
        </w:rPr>
        <w:t>economic</w:t>
      </w:r>
      <w:r>
        <w:rPr>
          <w:rFonts w:ascii="Times New Roman"/>
          <w:spacing w:val="-3"/>
        </w:rPr>
        <w:t xml:space="preserve"> </w:t>
      </w:r>
      <w:r>
        <w:rPr>
          <w:rFonts w:ascii="Times New Roman"/>
        </w:rPr>
        <w:t>inclusion</w:t>
      </w:r>
      <w:r>
        <w:rPr>
          <w:rFonts w:ascii="Times New Roman"/>
          <w:spacing w:val="-6"/>
        </w:rPr>
        <w:t xml:space="preserve"> </w:t>
      </w:r>
      <w:r>
        <w:rPr>
          <w:rFonts w:ascii="Times New Roman"/>
        </w:rPr>
        <w:t>policies</w:t>
      </w:r>
      <w:r>
        <w:rPr>
          <w:rFonts w:ascii="Times New Roman"/>
          <w:spacing w:val="-4"/>
        </w:rPr>
        <w:t xml:space="preserve"> </w:t>
      </w:r>
      <w:r>
        <w:rPr>
          <w:rFonts w:ascii="Times New Roman"/>
        </w:rPr>
        <w:t>on</w:t>
      </w:r>
      <w:r>
        <w:rPr>
          <w:rFonts w:ascii="Times New Roman"/>
          <w:spacing w:val="-3"/>
        </w:rPr>
        <w:t xml:space="preserve"> </w:t>
      </w:r>
      <w:r>
        <w:rPr>
          <w:rFonts w:ascii="Times New Roman"/>
        </w:rPr>
        <w:t>gender</w:t>
      </w:r>
      <w:r>
        <w:rPr>
          <w:rFonts w:ascii="Times New Roman"/>
          <w:spacing w:val="-4"/>
        </w:rPr>
        <w:t xml:space="preserve"> </w:t>
      </w:r>
      <w:r>
        <w:rPr>
          <w:rFonts w:ascii="Times New Roman"/>
          <w:spacing w:val="-2"/>
        </w:rPr>
        <w:t>equality;</w:t>
      </w:r>
    </w:p>
    <w:p w14:paraId="5CC23543" w14:textId="77777777" w:rsidR="00811887" w:rsidRDefault="00811887" w:rsidP="00FB2FE9">
      <w:pPr>
        <w:pStyle w:val="ListParagraph"/>
        <w:widowControl w:val="0"/>
        <w:numPr>
          <w:ilvl w:val="2"/>
          <w:numId w:val="77"/>
        </w:numPr>
        <w:tabs>
          <w:tab w:val="left" w:pos="3311"/>
          <w:tab w:val="left" w:pos="3314"/>
        </w:tabs>
        <w:autoSpaceDE w:val="0"/>
        <w:autoSpaceDN w:val="0"/>
        <w:spacing w:before="40" w:after="0"/>
        <w:ind w:right="1704" w:hanging="370"/>
        <w:contextualSpacing w:val="0"/>
        <w:rPr>
          <w:rFonts w:ascii="Times New Roman"/>
        </w:rPr>
      </w:pPr>
      <w:r>
        <w:rPr>
          <w:rFonts w:ascii="Times New Roman"/>
        </w:rPr>
        <w:t>the</w:t>
      </w:r>
      <w:r>
        <w:rPr>
          <w:rFonts w:ascii="Times New Roman"/>
          <w:spacing w:val="-6"/>
        </w:rPr>
        <w:t xml:space="preserve"> </w:t>
      </w:r>
      <w:r>
        <w:rPr>
          <w:rFonts w:ascii="Times New Roman"/>
        </w:rPr>
        <w:t>trends</w:t>
      </w:r>
      <w:r>
        <w:rPr>
          <w:rFonts w:ascii="Times New Roman"/>
          <w:spacing w:val="-4"/>
        </w:rPr>
        <w:t xml:space="preserve"> </w:t>
      </w:r>
      <w:r>
        <w:rPr>
          <w:rFonts w:ascii="Times New Roman"/>
        </w:rPr>
        <w:t>of</w:t>
      </w:r>
      <w:r>
        <w:rPr>
          <w:rFonts w:ascii="Times New Roman"/>
          <w:spacing w:val="-4"/>
        </w:rPr>
        <w:t xml:space="preserve"> </w:t>
      </w:r>
      <w:r>
        <w:rPr>
          <w:rFonts w:ascii="Times New Roman"/>
        </w:rPr>
        <w:t>inequality</w:t>
      </w:r>
      <w:r>
        <w:rPr>
          <w:rFonts w:ascii="Times New Roman"/>
          <w:spacing w:val="-7"/>
        </w:rPr>
        <w:t xml:space="preserve"> </w:t>
      </w:r>
      <w:r>
        <w:rPr>
          <w:rFonts w:ascii="Times New Roman"/>
        </w:rPr>
        <w:t>markers</w:t>
      </w:r>
      <w:r>
        <w:rPr>
          <w:rFonts w:ascii="Times New Roman"/>
          <w:spacing w:val="-4"/>
        </w:rPr>
        <w:t xml:space="preserve"> </w:t>
      </w:r>
      <w:r>
        <w:rPr>
          <w:rFonts w:ascii="Times New Roman"/>
        </w:rPr>
        <w:t>in</w:t>
      </w:r>
      <w:r>
        <w:rPr>
          <w:rFonts w:ascii="Times New Roman"/>
          <w:spacing w:val="-4"/>
        </w:rPr>
        <w:t xml:space="preserve"> </w:t>
      </w:r>
      <w:r>
        <w:rPr>
          <w:rFonts w:ascii="Times New Roman"/>
        </w:rPr>
        <w:t>Australia</w:t>
      </w:r>
      <w:r>
        <w:rPr>
          <w:rFonts w:ascii="Times New Roman"/>
          <w:spacing w:val="-4"/>
        </w:rPr>
        <w:t xml:space="preserve"> </w:t>
      </w:r>
      <w:r>
        <w:rPr>
          <w:rFonts w:ascii="Times New Roman"/>
        </w:rPr>
        <w:t>and</w:t>
      </w:r>
      <w:r>
        <w:rPr>
          <w:rFonts w:ascii="Times New Roman"/>
          <w:spacing w:val="-4"/>
        </w:rPr>
        <w:t xml:space="preserve"> </w:t>
      </w:r>
      <w:r>
        <w:rPr>
          <w:rFonts w:ascii="Times New Roman"/>
        </w:rPr>
        <w:t xml:space="preserve">international </w:t>
      </w:r>
      <w:r>
        <w:rPr>
          <w:rFonts w:ascii="Times New Roman"/>
          <w:spacing w:val="-2"/>
        </w:rPr>
        <w:t>comparisons.</w:t>
      </w:r>
    </w:p>
    <w:p w14:paraId="21824327" w14:textId="77777777" w:rsidR="00811887" w:rsidRDefault="00811887" w:rsidP="00FB2FE9">
      <w:pPr>
        <w:pStyle w:val="ListParagraph"/>
        <w:widowControl w:val="0"/>
        <w:numPr>
          <w:ilvl w:val="1"/>
          <w:numId w:val="77"/>
        </w:numPr>
        <w:tabs>
          <w:tab w:val="left" w:pos="2800"/>
          <w:tab w:val="left" w:pos="2803"/>
        </w:tabs>
        <w:autoSpaceDE w:val="0"/>
        <w:autoSpaceDN w:val="0"/>
        <w:spacing w:before="178" w:after="0"/>
        <w:ind w:right="2118"/>
        <w:contextualSpacing w:val="0"/>
        <w:rPr>
          <w:rFonts w:ascii="Times New Roman"/>
        </w:rPr>
      </w:pPr>
      <w:r>
        <w:rPr>
          <w:rFonts w:ascii="Times New Roman"/>
        </w:rPr>
        <w:t>In</w:t>
      </w:r>
      <w:r>
        <w:rPr>
          <w:rFonts w:ascii="Times New Roman"/>
          <w:spacing w:val="-3"/>
        </w:rPr>
        <w:t xml:space="preserve"> </w:t>
      </w:r>
      <w:r>
        <w:rPr>
          <w:rFonts w:ascii="Times New Roman"/>
        </w:rPr>
        <w:t>preparing</w:t>
      </w:r>
      <w:r>
        <w:rPr>
          <w:rFonts w:ascii="Times New Roman"/>
          <w:spacing w:val="-6"/>
        </w:rPr>
        <w:t xml:space="preserve"> </w:t>
      </w:r>
      <w:r>
        <w:rPr>
          <w:rFonts w:ascii="Times New Roman"/>
        </w:rPr>
        <w:t>the</w:t>
      </w:r>
      <w:r>
        <w:rPr>
          <w:rFonts w:ascii="Times New Roman"/>
          <w:spacing w:val="-3"/>
        </w:rPr>
        <w:t xml:space="preserve"> </w:t>
      </w:r>
      <w:r>
        <w:rPr>
          <w:rFonts w:ascii="Times New Roman"/>
        </w:rPr>
        <w:t>report,</w:t>
      </w:r>
      <w:r>
        <w:rPr>
          <w:rFonts w:ascii="Times New Roman"/>
          <w:spacing w:val="-2"/>
        </w:rPr>
        <w:t xml:space="preserve"> </w:t>
      </w:r>
      <w:r>
        <w:rPr>
          <w:rFonts w:ascii="Times New Roman"/>
        </w:rPr>
        <w:t>the</w:t>
      </w:r>
      <w:r>
        <w:rPr>
          <w:rFonts w:ascii="Times New Roman"/>
          <w:spacing w:val="-5"/>
        </w:rPr>
        <w:t xml:space="preserve"> </w:t>
      </w:r>
      <w:r>
        <w:rPr>
          <w:rFonts w:ascii="Times New Roman"/>
        </w:rPr>
        <w:t>Committee</w:t>
      </w:r>
      <w:r>
        <w:rPr>
          <w:rFonts w:ascii="Times New Roman"/>
          <w:spacing w:val="-3"/>
        </w:rPr>
        <w:t xml:space="preserve"> </w:t>
      </w:r>
      <w:r>
        <w:rPr>
          <w:rFonts w:ascii="Times New Roman"/>
        </w:rPr>
        <w:t>must</w:t>
      </w:r>
      <w:r>
        <w:rPr>
          <w:rFonts w:ascii="Times New Roman"/>
          <w:spacing w:val="-2"/>
        </w:rPr>
        <w:t xml:space="preserve"> </w:t>
      </w:r>
      <w:r>
        <w:rPr>
          <w:rFonts w:ascii="Times New Roman"/>
        </w:rPr>
        <w:t>have</w:t>
      </w:r>
      <w:r>
        <w:rPr>
          <w:rFonts w:ascii="Times New Roman"/>
          <w:spacing w:val="-3"/>
        </w:rPr>
        <w:t xml:space="preserve"> </w:t>
      </w:r>
      <w:r>
        <w:rPr>
          <w:rFonts w:ascii="Times New Roman"/>
        </w:rPr>
        <w:t>regard</w:t>
      </w:r>
      <w:r>
        <w:rPr>
          <w:rFonts w:ascii="Times New Roman"/>
          <w:spacing w:val="-2"/>
        </w:rPr>
        <w:t xml:space="preserve"> </w:t>
      </w:r>
      <w:r>
        <w:rPr>
          <w:rFonts w:ascii="Times New Roman"/>
        </w:rPr>
        <w:t>to</w:t>
      </w:r>
      <w:r>
        <w:rPr>
          <w:rFonts w:ascii="Times New Roman"/>
          <w:spacing w:val="-6"/>
        </w:rPr>
        <w:t xml:space="preserve"> </w:t>
      </w:r>
      <w:r>
        <w:rPr>
          <w:rFonts w:ascii="Times New Roman"/>
        </w:rPr>
        <w:t>the following matters:</w:t>
      </w:r>
    </w:p>
    <w:p w14:paraId="1D56F3A8" w14:textId="77777777" w:rsidR="00811887" w:rsidRDefault="00811887" w:rsidP="00FB2FE9">
      <w:pPr>
        <w:pStyle w:val="ListParagraph"/>
        <w:widowControl w:val="0"/>
        <w:numPr>
          <w:ilvl w:val="2"/>
          <w:numId w:val="77"/>
        </w:numPr>
        <w:tabs>
          <w:tab w:val="left" w:pos="3312"/>
          <w:tab w:val="left" w:pos="3314"/>
        </w:tabs>
        <w:autoSpaceDE w:val="0"/>
        <w:autoSpaceDN w:val="0"/>
        <w:spacing w:before="41" w:after="0"/>
        <w:ind w:right="2268"/>
        <w:contextualSpacing w:val="0"/>
        <w:rPr>
          <w:rFonts w:ascii="Times New Roman" w:hAnsi="Times New Roman"/>
        </w:rPr>
      </w:pPr>
      <w:r>
        <w:rPr>
          <w:rFonts w:ascii="Times New Roman" w:hAnsi="Times New Roman"/>
        </w:rPr>
        <w:t>the</w:t>
      </w:r>
      <w:r>
        <w:rPr>
          <w:rFonts w:ascii="Times New Roman" w:hAnsi="Times New Roman"/>
          <w:spacing w:val="-6"/>
        </w:rPr>
        <w:t xml:space="preserve"> </w:t>
      </w:r>
      <w:r>
        <w:rPr>
          <w:rFonts w:ascii="Times New Roman" w:hAnsi="Times New Roman"/>
        </w:rPr>
        <w:t>Commonwealth</w:t>
      </w:r>
      <w:r>
        <w:rPr>
          <w:rFonts w:ascii="Times New Roman" w:hAnsi="Times New Roman"/>
          <w:spacing w:val="-9"/>
        </w:rPr>
        <w:t xml:space="preserve"> </w:t>
      </w:r>
      <w:r>
        <w:rPr>
          <w:rFonts w:ascii="Times New Roman" w:hAnsi="Times New Roman"/>
        </w:rPr>
        <w:t>Government’s</w:t>
      </w:r>
      <w:r>
        <w:rPr>
          <w:rFonts w:ascii="Times New Roman" w:hAnsi="Times New Roman"/>
          <w:spacing w:val="-6"/>
        </w:rPr>
        <w:t xml:space="preserve"> </w:t>
      </w:r>
      <w:r>
        <w:rPr>
          <w:rFonts w:ascii="Times New Roman" w:hAnsi="Times New Roman"/>
        </w:rPr>
        <w:t>economic</w:t>
      </w:r>
      <w:r>
        <w:rPr>
          <w:rFonts w:ascii="Times New Roman" w:hAnsi="Times New Roman"/>
          <w:spacing w:val="-4"/>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fiscal outlook and fiscal strategy;</w:t>
      </w:r>
    </w:p>
    <w:p w14:paraId="2BCE2842" w14:textId="77777777" w:rsidR="00811887" w:rsidRDefault="00811887" w:rsidP="00FB2FE9">
      <w:pPr>
        <w:pStyle w:val="ListParagraph"/>
        <w:widowControl w:val="0"/>
        <w:numPr>
          <w:ilvl w:val="2"/>
          <w:numId w:val="77"/>
        </w:numPr>
        <w:tabs>
          <w:tab w:val="left" w:pos="3313"/>
        </w:tabs>
        <w:autoSpaceDE w:val="0"/>
        <w:autoSpaceDN w:val="0"/>
        <w:spacing w:before="40" w:after="0"/>
        <w:ind w:left="3313" w:hanging="368"/>
        <w:contextualSpacing w:val="0"/>
        <w:rPr>
          <w:rFonts w:ascii="Times New Roman"/>
        </w:rPr>
      </w:pPr>
      <w:r>
        <w:rPr>
          <w:rFonts w:ascii="Times New Roman"/>
        </w:rPr>
        <w:t>workforce</w:t>
      </w:r>
      <w:r>
        <w:rPr>
          <w:rFonts w:ascii="Times New Roman"/>
          <w:spacing w:val="-7"/>
        </w:rPr>
        <w:t xml:space="preserve"> </w:t>
      </w:r>
      <w:r>
        <w:rPr>
          <w:rFonts w:ascii="Times New Roman"/>
          <w:spacing w:val="-2"/>
        </w:rPr>
        <w:t>participation;</w:t>
      </w:r>
    </w:p>
    <w:p w14:paraId="1EEB369C" w14:textId="77777777" w:rsidR="00811887" w:rsidRDefault="00811887" w:rsidP="00FB2FE9">
      <w:pPr>
        <w:pStyle w:val="ListParagraph"/>
        <w:widowControl w:val="0"/>
        <w:numPr>
          <w:ilvl w:val="2"/>
          <w:numId w:val="77"/>
        </w:numPr>
        <w:tabs>
          <w:tab w:val="left" w:pos="3313"/>
        </w:tabs>
        <w:autoSpaceDE w:val="0"/>
        <w:autoSpaceDN w:val="0"/>
        <w:spacing w:before="40" w:after="0"/>
        <w:ind w:left="3313" w:hanging="356"/>
        <w:contextualSpacing w:val="0"/>
        <w:rPr>
          <w:rFonts w:ascii="Times New Roman"/>
        </w:rPr>
      </w:pPr>
      <w:r>
        <w:rPr>
          <w:rFonts w:ascii="Times New Roman"/>
        </w:rPr>
        <w:t>relevant</w:t>
      </w:r>
      <w:r>
        <w:rPr>
          <w:rFonts w:ascii="Times New Roman"/>
          <w:spacing w:val="-8"/>
        </w:rPr>
        <w:t xml:space="preserve"> </w:t>
      </w:r>
      <w:r>
        <w:rPr>
          <w:rFonts w:ascii="Times New Roman"/>
        </w:rPr>
        <w:t>Commonwealth</w:t>
      </w:r>
      <w:r>
        <w:rPr>
          <w:rFonts w:ascii="Times New Roman"/>
          <w:spacing w:val="-8"/>
        </w:rPr>
        <w:t xml:space="preserve"> </w:t>
      </w:r>
      <w:r>
        <w:rPr>
          <w:rFonts w:ascii="Times New Roman"/>
        </w:rPr>
        <w:t>Government</w:t>
      </w:r>
      <w:r>
        <w:rPr>
          <w:rFonts w:ascii="Times New Roman"/>
          <w:spacing w:val="-7"/>
        </w:rPr>
        <w:t xml:space="preserve"> </w:t>
      </w:r>
      <w:r>
        <w:rPr>
          <w:rFonts w:ascii="Times New Roman"/>
          <w:spacing w:val="-2"/>
        </w:rPr>
        <w:t>policies;</w:t>
      </w:r>
    </w:p>
    <w:p w14:paraId="409AAEDA" w14:textId="77777777" w:rsidR="00811887" w:rsidRDefault="00811887" w:rsidP="00FB2FE9">
      <w:pPr>
        <w:pStyle w:val="ListParagraph"/>
        <w:widowControl w:val="0"/>
        <w:numPr>
          <w:ilvl w:val="2"/>
          <w:numId w:val="77"/>
        </w:numPr>
        <w:tabs>
          <w:tab w:val="left" w:pos="3313"/>
        </w:tabs>
        <w:autoSpaceDE w:val="0"/>
        <w:autoSpaceDN w:val="0"/>
        <w:spacing w:before="42" w:after="0"/>
        <w:ind w:left="3313" w:hanging="368"/>
        <w:contextualSpacing w:val="0"/>
        <w:rPr>
          <w:rFonts w:ascii="Times New Roman"/>
        </w:rPr>
      </w:pPr>
      <w:r>
        <w:rPr>
          <w:rFonts w:ascii="Times New Roman"/>
        </w:rPr>
        <w:t>the</w:t>
      </w:r>
      <w:r>
        <w:rPr>
          <w:rFonts w:ascii="Times New Roman"/>
          <w:spacing w:val="-8"/>
        </w:rPr>
        <w:t xml:space="preserve"> </w:t>
      </w:r>
      <w:r>
        <w:rPr>
          <w:rFonts w:ascii="Times New Roman"/>
        </w:rPr>
        <w:t>long-term</w:t>
      </w:r>
      <w:r>
        <w:rPr>
          <w:rFonts w:ascii="Times New Roman"/>
          <w:spacing w:val="-8"/>
        </w:rPr>
        <w:t xml:space="preserve"> </w:t>
      </w:r>
      <w:r>
        <w:rPr>
          <w:rFonts w:ascii="Times New Roman"/>
        </w:rPr>
        <w:t>sustainability</w:t>
      </w:r>
      <w:r>
        <w:rPr>
          <w:rFonts w:ascii="Times New Roman"/>
          <w:spacing w:val="-7"/>
        </w:rPr>
        <w:t xml:space="preserve"> </w:t>
      </w:r>
      <w:r>
        <w:rPr>
          <w:rFonts w:ascii="Times New Roman"/>
        </w:rPr>
        <w:t>of</w:t>
      </w:r>
      <w:r>
        <w:rPr>
          <w:rFonts w:ascii="Times New Roman"/>
          <w:spacing w:val="-2"/>
        </w:rPr>
        <w:t xml:space="preserve"> </w:t>
      </w:r>
      <w:r>
        <w:rPr>
          <w:rFonts w:ascii="Times New Roman"/>
        </w:rPr>
        <w:t>the</w:t>
      </w:r>
      <w:r>
        <w:rPr>
          <w:rFonts w:ascii="Times New Roman"/>
          <w:spacing w:val="-4"/>
        </w:rPr>
        <w:t xml:space="preserve"> </w:t>
      </w:r>
      <w:r>
        <w:rPr>
          <w:rFonts w:ascii="Times New Roman"/>
        </w:rPr>
        <w:t>social</w:t>
      </w:r>
      <w:r>
        <w:rPr>
          <w:rFonts w:ascii="Times New Roman"/>
          <w:spacing w:val="-4"/>
        </w:rPr>
        <w:t xml:space="preserve"> </w:t>
      </w:r>
      <w:r>
        <w:rPr>
          <w:rFonts w:ascii="Times New Roman"/>
        </w:rPr>
        <w:t>security</w:t>
      </w:r>
      <w:r>
        <w:rPr>
          <w:rFonts w:ascii="Times New Roman"/>
          <w:spacing w:val="-6"/>
        </w:rPr>
        <w:t xml:space="preserve"> </w:t>
      </w:r>
      <w:r>
        <w:rPr>
          <w:rFonts w:ascii="Times New Roman"/>
          <w:spacing w:val="-2"/>
        </w:rPr>
        <w:t>system.</w:t>
      </w:r>
    </w:p>
    <w:p w14:paraId="0932B32C" w14:textId="77777777" w:rsidR="00811887" w:rsidRDefault="00811887" w:rsidP="00FB2FE9">
      <w:pPr>
        <w:pStyle w:val="ListParagraph"/>
        <w:widowControl w:val="0"/>
        <w:numPr>
          <w:ilvl w:val="1"/>
          <w:numId w:val="77"/>
        </w:numPr>
        <w:tabs>
          <w:tab w:val="left" w:pos="2800"/>
          <w:tab w:val="left" w:pos="2803"/>
        </w:tabs>
        <w:autoSpaceDE w:val="0"/>
        <w:autoSpaceDN w:val="0"/>
        <w:spacing w:before="179" w:after="0"/>
        <w:ind w:right="1730"/>
        <w:contextualSpacing w:val="0"/>
        <w:rPr>
          <w:rFonts w:ascii="Times New Roman"/>
        </w:rPr>
      </w:pPr>
      <w:r>
        <w:rPr>
          <w:rFonts w:ascii="Times New Roman"/>
        </w:rPr>
        <w:t>The</w:t>
      </w:r>
      <w:r>
        <w:rPr>
          <w:rFonts w:ascii="Times New Roman"/>
          <w:spacing w:val="-5"/>
        </w:rPr>
        <w:t xml:space="preserve"> </w:t>
      </w:r>
      <w:r>
        <w:rPr>
          <w:rFonts w:ascii="Times New Roman"/>
        </w:rPr>
        <w:t>Committee</w:t>
      </w:r>
      <w:r>
        <w:rPr>
          <w:rFonts w:ascii="Times New Roman"/>
          <w:spacing w:val="-3"/>
        </w:rPr>
        <w:t xml:space="preserve"> </w:t>
      </w:r>
      <w:r>
        <w:rPr>
          <w:rFonts w:ascii="Times New Roman"/>
        </w:rPr>
        <w:t>must</w:t>
      </w:r>
      <w:r>
        <w:rPr>
          <w:rFonts w:ascii="Times New Roman"/>
          <w:spacing w:val="-2"/>
        </w:rPr>
        <w:t xml:space="preserve"> </w:t>
      </w:r>
      <w:r>
        <w:rPr>
          <w:rFonts w:ascii="Times New Roman"/>
        </w:rPr>
        <w:t>demonstrate</w:t>
      </w:r>
      <w:r>
        <w:rPr>
          <w:rFonts w:ascii="Times New Roman"/>
          <w:spacing w:val="-3"/>
        </w:rPr>
        <w:t xml:space="preserve"> </w:t>
      </w:r>
      <w:r>
        <w:rPr>
          <w:rFonts w:ascii="Times New Roman"/>
        </w:rPr>
        <w:t>in</w:t>
      </w:r>
      <w:r>
        <w:rPr>
          <w:rFonts w:ascii="Times New Roman"/>
          <w:spacing w:val="-6"/>
        </w:rPr>
        <w:t xml:space="preserve"> </w:t>
      </w:r>
      <w:r>
        <w:rPr>
          <w:rFonts w:ascii="Times New Roman"/>
        </w:rPr>
        <w:t>the</w:t>
      </w:r>
      <w:r>
        <w:rPr>
          <w:rFonts w:ascii="Times New Roman"/>
          <w:spacing w:val="-3"/>
        </w:rPr>
        <w:t xml:space="preserve"> </w:t>
      </w:r>
      <w:r>
        <w:rPr>
          <w:rFonts w:ascii="Times New Roman"/>
        </w:rPr>
        <w:t>report</w:t>
      </w:r>
      <w:r>
        <w:rPr>
          <w:rFonts w:ascii="Times New Roman"/>
          <w:spacing w:val="-2"/>
        </w:rPr>
        <w:t xml:space="preserve"> </w:t>
      </w:r>
      <w:r>
        <w:rPr>
          <w:rFonts w:ascii="Times New Roman"/>
        </w:rPr>
        <w:t>how</w:t>
      </w:r>
      <w:r>
        <w:rPr>
          <w:rFonts w:ascii="Times New Roman"/>
          <w:spacing w:val="-7"/>
        </w:rPr>
        <w:t xml:space="preserve"> </w:t>
      </w:r>
      <w:r>
        <w:rPr>
          <w:rFonts w:ascii="Times New Roman"/>
        </w:rPr>
        <w:t>the</w:t>
      </w:r>
      <w:r>
        <w:rPr>
          <w:rFonts w:ascii="Times New Roman"/>
          <w:spacing w:val="-3"/>
        </w:rPr>
        <w:t xml:space="preserve"> </w:t>
      </w:r>
      <w:r>
        <w:rPr>
          <w:rFonts w:ascii="Times New Roman"/>
        </w:rPr>
        <w:t>Committee had regard to those matters.</w:t>
      </w:r>
    </w:p>
    <w:p w14:paraId="79104784" w14:textId="77777777" w:rsidR="00811887" w:rsidRDefault="00811887" w:rsidP="00811887">
      <w:pPr>
        <w:spacing w:before="238"/>
        <w:ind w:left="2803"/>
        <w:rPr>
          <w:rFonts w:ascii="Times New Roman"/>
          <w:i/>
        </w:rPr>
      </w:pPr>
      <w:r>
        <w:rPr>
          <w:rFonts w:ascii="Times New Roman"/>
          <w:i/>
        </w:rPr>
        <w:t>Timing</w:t>
      </w:r>
      <w:r>
        <w:rPr>
          <w:rFonts w:ascii="Times New Roman"/>
          <w:i/>
          <w:spacing w:val="-1"/>
        </w:rPr>
        <w:t xml:space="preserve"> </w:t>
      </w:r>
      <w:r>
        <w:rPr>
          <w:rFonts w:ascii="Times New Roman"/>
          <w:i/>
        </w:rPr>
        <w:t xml:space="preserve">of </w:t>
      </w:r>
      <w:r>
        <w:rPr>
          <w:rFonts w:ascii="Times New Roman"/>
          <w:i/>
          <w:spacing w:val="-2"/>
        </w:rPr>
        <w:t>report</w:t>
      </w:r>
    </w:p>
    <w:p w14:paraId="00949D6D" w14:textId="77777777" w:rsidR="00811887" w:rsidRDefault="00811887" w:rsidP="00FB2FE9">
      <w:pPr>
        <w:pStyle w:val="ListParagraph"/>
        <w:widowControl w:val="0"/>
        <w:numPr>
          <w:ilvl w:val="1"/>
          <w:numId w:val="77"/>
        </w:numPr>
        <w:tabs>
          <w:tab w:val="left" w:pos="2801"/>
          <w:tab w:val="left" w:pos="2803"/>
        </w:tabs>
        <w:autoSpaceDE w:val="0"/>
        <w:autoSpaceDN w:val="0"/>
        <w:spacing w:before="181" w:after="0"/>
        <w:ind w:right="1778"/>
        <w:contextualSpacing w:val="0"/>
        <w:rPr>
          <w:rFonts w:ascii="Times New Roman"/>
        </w:rPr>
      </w:pPr>
      <w:r>
        <w:rPr>
          <w:rFonts w:ascii="Times New Roman"/>
        </w:rPr>
        <w:t>The</w:t>
      </w:r>
      <w:r>
        <w:rPr>
          <w:rFonts w:ascii="Times New Roman"/>
          <w:spacing w:val="-5"/>
        </w:rPr>
        <w:t xml:space="preserve"> </w:t>
      </w:r>
      <w:r>
        <w:rPr>
          <w:rFonts w:ascii="Times New Roman"/>
        </w:rPr>
        <w:t>Committee</w:t>
      </w:r>
      <w:r>
        <w:rPr>
          <w:rFonts w:ascii="Times New Roman"/>
          <w:spacing w:val="-3"/>
        </w:rPr>
        <w:t xml:space="preserve"> </w:t>
      </w:r>
      <w:r>
        <w:rPr>
          <w:rFonts w:ascii="Times New Roman"/>
        </w:rPr>
        <w:t>must</w:t>
      </w:r>
      <w:r>
        <w:rPr>
          <w:rFonts w:ascii="Times New Roman"/>
          <w:spacing w:val="-2"/>
        </w:rPr>
        <w:t xml:space="preserve"> </w:t>
      </w:r>
      <w:r>
        <w:rPr>
          <w:rFonts w:ascii="Times New Roman"/>
        </w:rPr>
        <w:t>give</w:t>
      </w:r>
      <w:r>
        <w:rPr>
          <w:rFonts w:ascii="Times New Roman"/>
          <w:spacing w:val="-3"/>
        </w:rPr>
        <w:t xml:space="preserve"> </w:t>
      </w:r>
      <w:r>
        <w:rPr>
          <w:rFonts w:ascii="Times New Roman"/>
        </w:rPr>
        <w:t>the</w:t>
      </w:r>
      <w:r>
        <w:rPr>
          <w:rFonts w:ascii="Times New Roman"/>
          <w:spacing w:val="-3"/>
        </w:rPr>
        <w:t xml:space="preserve"> </w:t>
      </w:r>
      <w:r>
        <w:rPr>
          <w:rFonts w:ascii="Times New Roman"/>
        </w:rPr>
        <w:t>report</w:t>
      </w:r>
      <w:r>
        <w:rPr>
          <w:rFonts w:ascii="Times New Roman"/>
          <w:spacing w:val="-2"/>
        </w:rPr>
        <w:t xml:space="preserve"> </w:t>
      </w:r>
      <w:r>
        <w:rPr>
          <w:rFonts w:ascii="Times New Roman"/>
        </w:rPr>
        <w:t>at</w:t>
      </w:r>
      <w:r>
        <w:rPr>
          <w:rFonts w:ascii="Times New Roman"/>
          <w:spacing w:val="-2"/>
        </w:rPr>
        <w:t xml:space="preserve"> </w:t>
      </w:r>
      <w:r>
        <w:rPr>
          <w:rFonts w:ascii="Times New Roman"/>
        </w:rPr>
        <w:t>a</w:t>
      </w:r>
      <w:r>
        <w:rPr>
          <w:rFonts w:ascii="Times New Roman"/>
          <w:spacing w:val="-5"/>
        </w:rPr>
        <w:t xml:space="preserve"> </w:t>
      </w:r>
      <w:r>
        <w:rPr>
          <w:rFonts w:ascii="Times New Roman"/>
        </w:rPr>
        <w:t>time</w:t>
      </w:r>
      <w:r>
        <w:rPr>
          <w:rFonts w:ascii="Times New Roman"/>
          <w:spacing w:val="-3"/>
        </w:rPr>
        <w:t xml:space="preserve"> </w:t>
      </w:r>
      <w:r>
        <w:rPr>
          <w:rFonts w:ascii="Times New Roman"/>
        </w:rPr>
        <w:t>that</w:t>
      </w:r>
      <w:r>
        <w:rPr>
          <w:rFonts w:ascii="Times New Roman"/>
          <w:spacing w:val="-2"/>
        </w:rPr>
        <w:t xml:space="preserve"> </w:t>
      </w:r>
      <w:r>
        <w:rPr>
          <w:rFonts w:ascii="Times New Roman"/>
        </w:rPr>
        <w:t>allows</w:t>
      </w:r>
      <w:r>
        <w:rPr>
          <w:rFonts w:ascii="Times New Roman"/>
          <w:spacing w:val="-3"/>
        </w:rPr>
        <w:t xml:space="preserve"> </w:t>
      </w:r>
      <w:r>
        <w:rPr>
          <w:rFonts w:ascii="Times New Roman"/>
        </w:rPr>
        <w:t xml:space="preserve">adequate time for the Joint Ministers to consider the report before the Commonwealth Government budget is delivered in the House of </w:t>
      </w:r>
      <w:r>
        <w:rPr>
          <w:rFonts w:ascii="Times New Roman"/>
          <w:spacing w:val="-2"/>
        </w:rPr>
        <w:t>Representatives.</w:t>
      </w:r>
    </w:p>
    <w:p w14:paraId="6068057C" w14:textId="77777777" w:rsidR="00811887" w:rsidRDefault="00811887" w:rsidP="00811887">
      <w:pPr>
        <w:spacing w:before="239"/>
        <w:ind w:left="2803"/>
        <w:rPr>
          <w:rFonts w:ascii="Times New Roman"/>
          <w:i/>
        </w:rPr>
      </w:pPr>
      <w:r>
        <w:rPr>
          <w:rFonts w:ascii="Times New Roman"/>
          <w:i/>
        </w:rPr>
        <w:t>Direction</w:t>
      </w:r>
      <w:r>
        <w:rPr>
          <w:rFonts w:ascii="Times New Roman"/>
          <w:i/>
          <w:spacing w:val="-4"/>
        </w:rPr>
        <w:t xml:space="preserve"> </w:t>
      </w:r>
      <w:r>
        <w:rPr>
          <w:rFonts w:ascii="Times New Roman"/>
          <w:i/>
        </w:rPr>
        <w:t>by</w:t>
      </w:r>
      <w:r>
        <w:rPr>
          <w:rFonts w:ascii="Times New Roman"/>
          <w:i/>
          <w:spacing w:val="-5"/>
        </w:rPr>
        <w:t xml:space="preserve"> </w:t>
      </w:r>
      <w:r>
        <w:rPr>
          <w:rFonts w:ascii="Times New Roman"/>
          <w:i/>
        </w:rPr>
        <w:t>Joint</w:t>
      </w:r>
      <w:r>
        <w:rPr>
          <w:rFonts w:ascii="Times New Roman"/>
          <w:i/>
          <w:spacing w:val="-4"/>
        </w:rPr>
        <w:t xml:space="preserve"> </w:t>
      </w:r>
      <w:r>
        <w:rPr>
          <w:rFonts w:ascii="Times New Roman"/>
          <w:i/>
          <w:spacing w:val="-2"/>
        </w:rPr>
        <w:t>Ministers</w:t>
      </w:r>
    </w:p>
    <w:p w14:paraId="11A74A4E" w14:textId="77777777" w:rsidR="00811887" w:rsidRDefault="00811887" w:rsidP="00FB2FE9">
      <w:pPr>
        <w:pStyle w:val="ListParagraph"/>
        <w:widowControl w:val="0"/>
        <w:numPr>
          <w:ilvl w:val="1"/>
          <w:numId w:val="77"/>
        </w:numPr>
        <w:tabs>
          <w:tab w:val="left" w:pos="2801"/>
          <w:tab w:val="left" w:pos="2803"/>
        </w:tabs>
        <w:autoSpaceDE w:val="0"/>
        <w:autoSpaceDN w:val="0"/>
        <w:spacing w:before="182" w:after="0"/>
        <w:ind w:right="1865"/>
        <w:contextualSpacing w:val="0"/>
        <w:rPr>
          <w:rFonts w:ascii="Times New Roman"/>
        </w:rPr>
      </w:pPr>
      <w:r>
        <w:rPr>
          <w:rFonts w:ascii="Times New Roman"/>
        </w:rPr>
        <w:t>The</w:t>
      </w:r>
      <w:r>
        <w:rPr>
          <w:rFonts w:ascii="Times New Roman"/>
          <w:spacing w:val="-7"/>
        </w:rPr>
        <w:t xml:space="preserve"> </w:t>
      </w:r>
      <w:r>
        <w:rPr>
          <w:rFonts w:ascii="Times New Roman"/>
        </w:rPr>
        <w:t>Joint</w:t>
      </w:r>
      <w:r>
        <w:rPr>
          <w:rFonts w:ascii="Times New Roman"/>
          <w:spacing w:val="-4"/>
        </w:rPr>
        <w:t xml:space="preserve"> </w:t>
      </w:r>
      <w:r>
        <w:rPr>
          <w:rFonts w:ascii="Times New Roman"/>
        </w:rPr>
        <w:t>Ministers</w:t>
      </w:r>
      <w:r>
        <w:rPr>
          <w:rFonts w:ascii="Times New Roman"/>
          <w:spacing w:val="-2"/>
        </w:rPr>
        <w:t xml:space="preserve"> </w:t>
      </w:r>
      <w:r>
        <w:rPr>
          <w:rFonts w:ascii="Times New Roman"/>
        </w:rPr>
        <w:t>may,</w:t>
      </w:r>
      <w:r>
        <w:rPr>
          <w:rFonts w:ascii="Times New Roman"/>
          <w:spacing w:val="-2"/>
        </w:rPr>
        <w:t xml:space="preserve"> </w:t>
      </w:r>
      <w:r>
        <w:rPr>
          <w:rFonts w:ascii="Times New Roman"/>
        </w:rPr>
        <w:t>by</w:t>
      </w:r>
      <w:r>
        <w:rPr>
          <w:rFonts w:ascii="Times New Roman"/>
          <w:spacing w:val="-5"/>
        </w:rPr>
        <w:t xml:space="preserve"> </w:t>
      </w:r>
      <w:r>
        <w:rPr>
          <w:rFonts w:ascii="Times New Roman"/>
        </w:rPr>
        <w:t>written</w:t>
      </w:r>
      <w:r>
        <w:rPr>
          <w:rFonts w:ascii="Times New Roman"/>
          <w:spacing w:val="-2"/>
        </w:rPr>
        <w:t xml:space="preserve"> </w:t>
      </w:r>
      <w:r>
        <w:rPr>
          <w:rFonts w:ascii="Times New Roman"/>
        </w:rPr>
        <w:t>notice</w:t>
      </w:r>
      <w:r>
        <w:rPr>
          <w:rFonts w:ascii="Times New Roman"/>
          <w:spacing w:val="-2"/>
        </w:rPr>
        <w:t xml:space="preserve"> </w:t>
      </w:r>
      <w:r>
        <w:rPr>
          <w:rFonts w:ascii="Times New Roman"/>
        </w:rPr>
        <w:t>to</w:t>
      </w:r>
      <w:r>
        <w:rPr>
          <w:rFonts w:ascii="Times New Roman"/>
          <w:spacing w:val="-5"/>
        </w:rPr>
        <w:t xml:space="preserve"> </w:t>
      </w:r>
      <w:r>
        <w:rPr>
          <w:rFonts w:ascii="Times New Roman"/>
        </w:rPr>
        <w:t>the</w:t>
      </w:r>
      <w:r>
        <w:rPr>
          <w:rFonts w:ascii="Times New Roman"/>
          <w:spacing w:val="-2"/>
        </w:rPr>
        <w:t xml:space="preserve"> </w:t>
      </w:r>
      <w:r>
        <w:rPr>
          <w:rFonts w:ascii="Times New Roman"/>
        </w:rPr>
        <w:t>Chair,</w:t>
      </w:r>
      <w:r>
        <w:rPr>
          <w:rFonts w:ascii="Times New Roman"/>
          <w:spacing w:val="-2"/>
        </w:rPr>
        <w:t xml:space="preserve"> </w:t>
      </w:r>
      <w:r>
        <w:rPr>
          <w:rFonts w:ascii="Times New Roman"/>
        </w:rPr>
        <w:t>direct</w:t>
      </w:r>
      <w:r>
        <w:rPr>
          <w:rFonts w:ascii="Times New Roman"/>
          <w:spacing w:val="-4"/>
        </w:rPr>
        <w:t xml:space="preserve"> </w:t>
      </w:r>
      <w:r>
        <w:rPr>
          <w:rFonts w:ascii="Times New Roman"/>
        </w:rPr>
        <w:t>the Committee to ensure that a particular report under this section at least addresses specified matters mentioned in subsection (2).</w:t>
      </w:r>
    </w:p>
    <w:p w14:paraId="59DA52A0"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2308"/>
        <w:contextualSpacing w:val="0"/>
        <w:rPr>
          <w:rFonts w:ascii="Times New Roman"/>
        </w:rPr>
      </w:pPr>
      <w:r>
        <w:rPr>
          <w:rFonts w:ascii="Times New Roman"/>
        </w:rPr>
        <w:t>The</w:t>
      </w:r>
      <w:r>
        <w:rPr>
          <w:rFonts w:ascii="Times New Roman"/>
          <w:spacing w:val="-5"/>
        </w:rPr>
        <w:t xml:space="preserve"> </w:t>
      </w:r>
      <w:r>
        <w:rPr>
          <w:rFonts w:ascii="Times New Roman"/>
        </w:rPr>
        <w:t>Committee</w:t>
      </w:r>
      <w:r>
        <w:rPr>
          <w:rFonts w:ascii="Times New Roman"/>
          <w:spacing w:val="-3"/>
        </w:rPr>
        <w:t xml:space="preserve"> </w:t>
      </w:r>
      <w:r>
        <w:rPr>
          <w:rFonts w:ascii="Times New Roman"/>
        </w:rPr>
        <w:t>must</w:t>
      </w:r>
      <w:r>
        <w:rPr>
          <w:rFonts w:ascii="Times New Roman"/>
          <w:spacing w:val="-2"/>
        </w:rPr>
        <w:t xml:space="preserve"> </w:t>
      </w:r>
      <w:r>
        <w:rPr>
          <w:rFonts w:ascii="Times New Roman"/>
        </w:rPr>
        <w:t>comply</w:t>
      </w:r>
      <w:r>
        <w:rPr>
          <w:rFonts w:ascii="Times New Roman"/>
          <w:spacing w:val="-6"/>
        </w:rPr>
        <w:t xml:space="preserve"> </w:t>
      </w:r>
      <w:r>
        <w:rPr>
          <w:rFonts w:ascii="Times New Roman"/>
        </w:rPr>
        <w:t>with</w:t>
      </w:r>
      <w:r>
        <w:rPr>
          <w:rFonts w:ascii="Times New Roman"/>
          <w:spacing w:val="-3"/>
        </w:rPr>
        <w:t xml:space="preserve"> </w:t>
      </w:r>
      <w:r>
        <w:rPr>
          <w:rFonts w:ascii="Times New Roman"/>
        </w:rPr>
        <w:t>any</w:t>
      </w:r>
      <w:r>
        <w:rPr>
          <w:rFonts w:ascii="Times New Roman"/>
          <w:spacing w:val="-5"/>
        </w:rPr>
        <w:t xml:space="preserve"> </w:t>
      </w:r>
      <w:r>
        <w:rPr>
          <w:rFonts w:ascii="Times New Roman"/>
        </w:rPr>
        <w:t>direction</w:t>
      </w:r>
      <w:r>
        <w:rPr>
          <w:rFonts w:ascii="Times New Roman"/>
          <w:spacing w:val="-3"/>
        </w:rPr>
        <w:t xml:space="preserve"> </w:t>
      </w:r>
      <w:r>
        <w:rPr>
          <w:rFonts w:ascii="Times New Roman"/>
        </w:rPr>
        <w:t>given</w:t>
      </w:r>
      <w:r>
        <w:rPr>
          <w:rFonts w:ascii="Times New Roman"/>
          <w:spacing w:val="-3"/>
        </w:rPr>
        <w:t xml:space="preserve"> </w:t>
      </w:r>
      <w:r>
        <w:rPr>
          <w:rFonts w:ascii="Times New Roman"/>
        </w:rPr>
        <w:t>under subsection (6).</w:t>
      </w:r>
    </w:p>
    <w:p w14:paraId="27A0981F" w14:textId="77777777" w:rsidR="00811887" w:rsidRDefault="00811887" w:rsidP="00FB2FE9">
      <w:pPr>
        <w:pStyle w:val="ListParagraph"/>
        <w:widowControl w:val="0"/>
        <w:numPr>
          <w:ilvl w:val="1"/>
          <w:numId w:val="77"/>
        </w:numPr>
        <w:tabs>
          <w:tab w:val="left" w:pos="2802"/>
        </w:tabs>
        <w:autoSpaceDE w:val="0"/>
        <w:autoSpaceDN w:val="0"/>
        <w:spacing w:before="181" w:after="0"/>
        <w:ind w:left="2802" w:hanging="369"/>
        <w:contextualSpacing w:val="0"/>
        <w:rPr>
          <w:rFonts w:ascii="Times New Roman"/>
        </w:rPr>
      </w:pPr>
      <w:r>
        <w:rPr>
          <w:rFonts w:ascii="Times New Roman"/>
        </w:rPr>
        <w:t>A</w:t>
      </w:r>
      <w:r>
        <w:rPr>
          <w:rFonts w:ascii="Times New Roman"/>
          <w:spacing w:val="-4"/>
        </w:rPr>
        <w:t xml:space="preserve"> </w:t>
      </w:r>
      <w:r>
        <w:rPr>
          <w:rFonts w:ascii="Times New Roman"/>
        </w:rPr>
        <w:t>direction</w:t>
      </w:r>
      <w:r>
        <w:rPr>
          <w:rFonts w:ascii="Times New Roman"/>
          <w:spacing w:val="-3"/>
        </w:rPr>
        <w:t xml:space="preserve"> </w:t>
      </w:r>
      <w:r>
        <w:rPr>
          <w:rFonts w:ascii="Times New Roman"/>
        </w:rPr>
        <w:t>under</w:t>
      </w:r>
      <w:r>
        <w:rPr>
          <w:rFonts w:ascii="Times New Roman"/>
          <w:spacing w:val="-5"/>
        </w:rPr>
        <w:t xml:space="preserve"> </w:t>
      </w:r>
      <w:r>
        <w:rPr>
          <w:rFonts w:ascii="Times New Roman"/>
        </w:rPr>
        <w:t>subsection</w:t>
      </w:r>
      <w:r>
        <w:rPr>
          <w:rFonts w:ascii="Times New Roman"/>
          <w:spacing w:val="-2"/>
        </w:rPr>
        <w:t xml:space="preserve"> </w:t>
      </w:r>
      <w:r>
        <w:rPr>
          <w:rFonts w:ascii="Times New Roman"/>
        </w:rPr>
        <w:t>(6)</w:t>
      </w:r>
      <w:r>
        <w:rPr>
          <w:rFonts w:ascii="Times New Roman"/>
          <w:spacing w:val="-4"/>
        </w:rPr>
        <w:t xml:space="preserve"> </w:t>
      </w:r>
      <w:r>
        <w:rPr>
          <w:rFonts w:ascii="Times New Roman"/>
        </w:rPr>
        <w:t>is</w:t>
      </w:r>
      <w:r>
        <w:rPr>
          <w:rFonts w:ascii="Times New Roman"/>
          <w:spacing w:val="-5"/>
        </w:rPr>
        <w:t xml:space="preserve"> </w:t>
      </w:r>
      <w:r>
        <w:rPr>
          <w:rFonts w:ascii="Times New Roman"/>
        </w:rPr>
        <w:t>not</w:t>
      </w:r>
      <w:r>
        <w:rPr>
          <w:rFonts w:ascii="Times New Roman"/>
          <w:spacing w:val="-5"/>
        </w:rPr>
        <w:t xml:space="preserve"> </w:t>
      </w:r>
      <w:r>
        <w:rPr>
          <w:rFonts w:ascii="Times New Roman"/>
        </w:rPr>
        <w:t>a</w:t>
      </w:r>
      <w:r>
        <w:rPr>
          <w:rFonts w:ascii="Times New Roman"/>
          <w:spacing w:val="-3"/>
        </w:rPr>
        <w:t xml:space="preserve"> </w:t>
      </w:r>
      <w:r>
        <w:rPr>
          <w:rFonts w:ascii="Times New Roman"/>
        </w:rPr>
        <w:t>legislative</w:t>
      </w:r>
      <w:r>
        <w:rPr>
          <w:rFonts w:ascii="Times New Roman"/>
          <w:spacing w:val="-4"/>
        </w:rPr>
        <w:t xml:space="preserve"> </w:t>
      </w:r>
      <w:r>
        <w:rPr>
          <w:rFonts w:ascii="Times New Roman"/>
          <w:spacing w:val="-2"/>
        </w:rPr>
        <w:t>instrument.</w:t>
      </w:r>
    </w:p>
    <w:p w14:paraId="56F8A87D" w14:textId="77777777" w:rsidR="00811887" w:rsidRDefault="00811887" w:rsidP="00811887">
      <w:pPr>
        <w:spacing w:before="239"/>
        <w:ind w:left="2803"/>
        <w:rPr>
          <w:rFonts w:ascii="Times New Roman"/>
          <w:i/>
        </w:rPr>
      </w:pPr>
      <w:r>
        <w:rPr>
          <w:rFonts w:ascii="Times New Roman"/>
          <w:i/>
          <w:spacing w:val="-2"/>
        </w:rPr>
        <w:t>Publication</w:t>
      </w:r>
    </w:p>
    <w:p w14:paraId="1C64AB57" w14:textId="77777777" w:rsidR="00811887" w:rsidRDefault="00811887" w:rsidP="00FB2FE9">
      <w:pPr>
        <w:pStyle w:val="ListParagraph"/>
        <w:widowControl w:val="0"/>
        <w:numPr>
          <w:ilvl w:val="1"/>
          <w:numId w:val="77"/>
        </w:numPr>
        <w:tabs>
          <w:tab w:val="left" w:pos="2801"/>
          <w:tab w:val="left" w:pos="2803"/>
        </w:tabs>
        <w:autoSpaceDE w:val="0"/>
        <w:autoSpaceDN w:val="0"/>
        <w:spacing w:before="182" w:after="0"/>
        <w:ind w:right="1798"/>
        <w:contextualSpacing w:val="0"/>
        <w:rPr>
          <w:rFonts w:ascii="Times New Roman" w:hAnsi="Times New Roman"/>
        </w:rPr>
      </w:pPr>
      <w:r>
        <w:rPr>
          <w:rFonts w:ascii="Times New Roman" w:hAnsi="Times New Roman"/>
        </w:rPr>
        <w:t>The Minister must, in relation to a report given by the Committee under</w:t>
      </w:r>
      <w:r>
        <w:rPr>
          <w:rFonts w:ascii="Times New Roman" w:hAnsi="Times New Roman"/>
          <w:spacing w:val="-5"/>
        </w:rPr>
        <w:t xml:space="preserve"> </w:t>
      </w:r>
      <w:r>
        <w:rPr>
          <w:rFonts w:ascii="Times New Roman" w:hAnsi="Times New Roman"/>
        </w:rPr>
        <w:t>this</w:t>
      </w:r>
      <w:r>
        <w:rPr>
          <w:rFonts w:ascii="Times New Roman" w:hAnsi="Times New Roman"/>
          <w:spacing w:val="-3"/>
        </w:rPr>
        <w:t xml:space="preserve"> </w:t>
      </w:r>
      <w:r>
        <w:rPr>
          <w:rFonts w:ascii="Times New Roman" w:hAnsi="Times New Roman"/>
        </w:rPr>
        <w:t>section,</w:t>
      </w:r>
      <w:r>
        <w:rPr>
          <w:rFonts w:ascii="Times New Roman" w:hAnsi="Times New Roman"/>
          <w:spacing w:val="-6"/>
        </w:rPr>
        <w:t xml:space="preserve"> </w:t>
      </w:r>
      <w:r>
        <w:rPr>
          <w:rFonts w:ascii="Times New Roman" w:hAnsi="Times New Roman"/>
        </w:rPr>
        <w:t>cause</w:t>
      </w:r>
      <w:r>
        <w:rPr>
          <w:rFonts w:ascii="Times New Roman" w:hAnsi="Times New Roman"/>
          <w:spacing w:val="-5"/>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Committee’s</w:t>
      </w:r>
      <w:r>
        <w:rPr>
          <w:rFonts w:ascii="Times New Roman" w:hAnsi="Times New Roman"/>
          <w:spacing w:val="-3"/>
        </w:rPr>
        <w:t xml:space="preserve"> </w:t>
      </w:r>
      <w:r>
        <w:rPr>
          <w:rFonts w:ascii="Times New Roman" w:hAnsi="Times New Roman"/>
        </w:rPr>
        <w:t>findings</w:t>
      </w:r>
      <w:r>
        <w:rPr>
          <w:rFonts w:ascii="Times New Roman" w:hAnsi="Times New Roman"/>
          <w:spacing w:val="-3"/>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published on the Department’s website at least 14 days before the</w:t>
      </w:r>
    </w:p>
    <w:p w14:paraId="5D0DD99B" w14:textId="77777777" w:rsidR="00811887" w:rsidRDefault="00811887" w:rsidP="00811887">
      <w:pPr>
        <w:pStyle w:val="BodyText"/>
        <w:spacing w:before="142"/>
        <w:rPr>
          <w:rFonts w:ascii="Times New Roman"/>
        </w:rPr>
      </w:pPr>
      <w:r>
        <w:rPr>
          <w:noProof/>
        </w:rPr>
        <mc:AlternateContent>
          <mc:Choice Requires="wps">
            <w:drawing>
              <wp:anchor distT="0" distB="0" distL="0" distR="0" simplePos="0" relativeHeight="251706368" behindDoc="1" locked="0" layoutInCell="1" allowOverlap="1" wp14:anchorId="11994E75" wp14:editId="4163937A">
                <wp:simplePos x="0" y="0"/>
                <wp:positionH relativeFrom="page">
                  <wp:posOffset>1512061</wp:posOffset>
                </wp:positionH>
                <wp:positionV relativeFrom="paragraph">
                  <wp:posOffset>252010</wp:posOffset>
                </wp:positionV>
                <wp:extent cx="4538345" cy="9525"/>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FE8B8" id="Graphic 23" o:spid="_x0000_s1026" alt="&quot;&quot;" style="position:absolute;margin-left:119.05pt;margin-top:19.85pt;width:357.35pt;height:.75pt;z-index:-25161011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" path="m4537837,l,,,9143r4537837,l4537837,xe" fillcolor="black" stroked="f">
                <v:path arrowok="t"/>
                <w10:wrap type="topAndBottom" anchorx="page"/>
              </v:shape>
            </w:pict>
          </mc:Fallback>
        </mc:AlternateContent>
      </w:r>
    </w:p>
    <w:p w14:paraId="77620791" w14:textId="77777777" w:rsidR="00811887" w:rsidRDefault="00811887" w:rsidP="00811887">
      <w:pPr>
        <w:pStyle w:val="BodyText"/>
        <w:spacing w:before="121"/>
        <w:rPr>
          <w:rFonts w:ascii="Times New Roman"/>
          <w:sz w:val="18"/>
        </w:rPr>
      </w:pPr>
    </w:p>
    <w:p w14:paraId="06C933F9" w14:textId="77777777" w:rsidR="00811887" w:rsidRDefault="00811887" w:rsidP="00811887">
      <w:pPr>
        <w:tabs>
          <w:tab w:val="left" w:pos="3084"/>
          <w:tab w:val="left" w:pos="7738"/>
        </w:tabs>
        <w:ind w:left="1670"/>
        <w:rPr>
          <w:rFonts w:ascii="Times New Roman"/>
          <w:i/>
          <w:sz w:val="18"/>
        </w:rPr>
      </w:pPr>
      <w:r>
        <w:rPr>
          <w:rFonts w:ascii="Times New Roman"/>
          <w:i/>
          <w:spacing w:val="-10"/>
          <w:sz w:val="18"/>
        </w:rPr>
        <w:t>6</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6FDB9951"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5695ABAA" w14:textId="77777777" w:rsidR="00811887" w:rsidRDefault="00811887" w:rsidP="00811887">
      <w:pPr>
        <w:pStyle w:val="BodyText"/>
        <w:spacing w:before="65"/>
        <w:ind w:left="4790"/>
        <w:rPr>
          <w:rFonts w:ascii="Times New Roman"/>
          <w:b/>
        </w:rPr>
      </w:pPr>
      <w:r>
        <w:rPr>
          <w:rFonts w:ascii="Times New Roman"/>
        </w:rPr>
        <w:lastRenderedPageBreak/>
        <w:t>Economic</w:t>
      </w:r>
      <w:r>
        <w:rPr>
          <w:rFonts w:ascii="Times New Roman"/>
          <w:spacing w:val="-7"/>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7"/>
        </w:rPr>
        <w:t xml:space="preserve"> </w:t>
      </w:r>
      <w:r>
        <w:rPr>
          <w:rFonts w:ascii="Times New Roman"/>
        </w:rPr>
        <w:t>Committee</w:t>
      </w:r>
      <w:r>
        <w:rPr>
          <w:rFonts w:ascii="Times New Roman"/>
          <w:spacing w:val="41"/>
        </w:rPr>
        <w:t xml:space="preserve"> </w:t>
      </w:r>
      <w:r>
        <w:rPr>
          <w:rFonts w:ascii="Times New Roman"/>
          <w:b/>
        </w:rPr>
        <w:t>Part</w:t>
      </w:r>
      <w:r>
        <w:rPr>
          <w:rFonts w:ascii="Times New Roman"/>
          <w:b/>
          <w:spacing w:val="-5"/>
        </w:rPr>
        <w:t xml:space="preserve"> </w:t>
      </w:r>
      <w:r>
        <w:rPr>
          <w:rFonts w:ascii="Times New Roman"/>
          <w:b/>
          <w:spacing w:val="-10"/>
        </w:rPr>
        <w:t>2</w:t>
      </w:r>
    </w:p>
    <w:p w14:paraId="46E780AF" w14:textId="77777777" w:rsidR="00811887" w:rsidRDefault="00811887" w:rsidP="00811887">
      <w:pPr>
        <w:spacing w:before="32"/>
        <w:ind w:left="4713"/>
        <w:rPr>
          <w:rFonts w:ascii="Times New Roman"/>
          <w:b/>
          <w:sz w:val="20"/>
        </w:rPr>
      </w:pPr>
      <w:r>
        <w:rPr>
          <w:rFonts w:ascii="Times New Roman"/>
          <w:sz w:val="20"/>
        </w:rPr>
        <w:t>Committee</w:t>
      </w:r>
      <w:r>
        <w:rPr>
          <w:rFonts w:ascii="Times New Roman"/>
          <w:spacing w:val="-7"/>
          <w:sz w:val="20"/>
        </w:rPr>
        <w:t xml:space="preserve"> </w:t>
      </w:r>
      <w:r>
        <w:rPr>
          <w:rFonts w:ascii="Times New Roman"/>
          <w:sz w:val="20"/>
        </w:rPr>
        <w:t>establishment</w:t>
      </w:r>
      <w:r>
        <w:rPr>
          <w:rFonts w:ascii="Times New Roman"/>
          <w:spacing w:val="-7"/>
          <w:sz w:val="20"/>
        </w:rPr>
        <w:t xml:space="preserve"> </w:t>
      </w:r>
      <w:r>
        <w:rPr>
          <w:rFonts w:ascii="Times New Roman"/>
          <w:sz w:val="20"/>
        </w:rPr>
        <w:t>and</w:t>
      </w:r>
      <w:r>
        <w:rPr>
          <w:rFonts w:ascii="Times New Roman"/>
          <w:spacing w:val="-6"/>
          <w:sz w:val="20"/>
        </w:rPr>
        <w:t xml:space="preserve"> </w:t>
      </w:r>
      <w:r>
        <w:rPr>
          <w:rFonts w:ascii="Times New Roman"/>
          <w:sz w:val="20"/>
        </w:rPr>
        <w:t>function</w:t>
      </w:r>
      <w:r>
        <w:rPr>
          <w:rFonts w:ascii="Times New Roman"/>
          <w:spacing w:val="38"/>
          <w:sz w:val="20"/>
        </w:rPr>
        <w:t xml:space="preserve"> </w:t>
      </w:r>
      <w:r>
        <w:rPr>
          <w:rFonts w:ascii="Times New Roman"/>
          <w:b/>
          <w:sz w:val="20"/>
        </w:rPr>
        <w:t>Division</w:t>
      </w:r>
      <w:r>
        <w:rPr>
          <w:rFonts w:ascii="Times New Roman"/>
          <w:b/>
          <w:spacing w:val="-7"/>
          <w:sz w:val="20"/>
        </w:rPr>
        <w:t xml:space="preserve"> </w:t>
      </w:r>
      <w:r>
        <w:rPr>
          <w:rFonts w:ascii="Times New Roman"/>
          <w:b/>
          <w:spacing w:val="-10"/>
          <w:sz w:val="20"/>
        </w:rPr>
        <w:t>2</w:t>
      </w:r>
    </w:p>
    <w:p w14:paraId="3A4090F1" w14:textId="77777777" w:rsidR="00811887" w:rsidRDefault="00811887" w:rsidP="00811887">
      <w:pPr>
        <w:pStyle w:val="BodyText"/>
        <w:spacing w:before="45"/>
        <w:rPr>
          <w:rFonts w:ascii="Times New Roman"/>
          <w:b/>
        </w:rPr>
      </w:pPr>
    </w:p>
    <w:p w14:paraId="5A053F72"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07392" behindDoc="1" locked="0" layoutInCell="1" allowOverlap="1" wp14:anchorId="241D9945" wp14:editId="1E8DBFC4">
                <wp:simplePos x="0" y="0"/>
                <wp:positionH relativeFrom="page">
                  <wp:posOffset>1512061</wp:posOffset>
                </wp:positionH>
                <wp:positionV relativeFrom="paragraph">
                  <wp:posOffset>192823</wp:posOffset>
                </wp:positionV>
                <wp:extent cx="4538345" cy="9525"/>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87DD4" id="Graphic 24" o:spid="_x0000_s1026" alt="&quot;&quot;" style="position:absolute;margin-left:119.05pt;margin-top:15.2pt;width:357.35pt;height:.75pt;z-index:-25160908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10"/>
          <w:sz w:val="24"/>
        </w:rPr>
        <w:t>9</w:t>
      </w:r>
    </w:p>
    <w:p w14:paraId="165FE6B6" w14:textId="77777777" w:rsidR="00811887" w:rsidRDefault="00811887" w:rsidP="00811887">
      <w:pPr>
        <w:pStyle w:val="BodyText"/>
        <w:spacing w:before="33"/>
        <w:rPr>
          <w:rFonts w:ascii="Times New Roman"/>
          <w:sz w:val="22"/>
        </w:rPr>
      </w:pPr>
    </w:p>
    <w:p w14:paraId="782295FA" w14:textId="77777777" w:rsidR="00811887" w:rsidRDefault="00811887" w:rsidP="00811887">
      <w:pPr>
        <w:ind w:left="2803" w:right="1757"/>
        <w:rPr>
          <w:rFonts w:ascii="Times New Roman"/>
        </w:rPr>
      </w:pPr>
      <w:r>
        <w:rPr>
          <w:rFonts w:ascii="Times New Roman"/>
        </w:rPr>
        <w:t>Commonwealth</w:t>
      </w:r>
      <w:r>
        <w:rPr>
          <w:rFonts w:ascii="Times New Roman"/>
          <w:spacing w:val="-4"/>
        </w:rPr>
        <w:t xml:space="preserve"> </w:t>
      </w:r>
      <w:r>
        <w:rPr>
          <w:rFonts w:ascii="Times New Roman"/>
        </w:rPr>
        <w:t>Government</w:t>
      </w:r>
      <w:r>
        <w:rPr>
          <w:rFonts w:ascii="Times New Roman"/>
          <w:spacing w:val="-3"/>
        </w:rPr>
        <w:t xml:space="preserve"> </w:t>
      </w:r>
      <w:r>
        <w:rPr>
          <w:rFonts w:ascii="Times New Roman"/>
        </w:rPr>
        <w:t>budget</w:t>
      </w:r>
      <w:r>
        <w:rPr>
          <w:rFonts w:ascii="Times New Roman"/>
          <w:spacing w:val="-6"/>
        </w:rPr>
        <w:t xml:space="preserve"> </w:t>
      </w:r>
      <w:r>
        <w:rPr>
          <w:rFonts w:ascii="Times New Roman"/>
        </w:rPr>
        <w:t>is</w:t>
      </w:r>
      <w:r>
        <w:rPr>
          <w:rFonts w:ascii="Times New Roman"/>
          <w:spacing w:val="-4"/>
        </w:rPr>
        <w:t xml:space="preserve"> </w:t>
      </w:r>
      <w:r>
        <w:rPr>
          <w:rFonts w:ascii="Times New Roman"/>
        </w:rPr>
        <w:t>delivered</w:t>
      </w:r>
      <w:r>
        <w:rPr>
          <w:rFonts w:ascii="Times New Roman"/>
          <w:spacing w:val="-6"/>
        </w:rPr>
        <w:t xml:space="preserve"> </w:t>
      </w:r>
      <w:r>
        <w:rPr>
          <w:rFonts w:ascii="Times New Roman"/>
        </w:rPr>
        <w:t>in</w:t>
      </w:r>
      <w:r>
        <w:rPr>
          <w:rFonts w:ascii="Times New Roman"/>
          <w:spacing w:val="-7"/>
        </w:rPr>
        <w:t xml:space="preserve"> </w:t>
      </w:r>
      <w:r>
        <w:rPr>
          <w:rFonts w:ascii="Times New Roman"/>
        </w:rPr>
        <w:t>the</w:t>
      </w:r>
      <w:r>
        <w:rPr>
          <w:rFonts w:ascii="Times New Roman"/>
          <w:spacing w:val="-3"/>
        </w:rPr>
        <w:t xml:space="preserve"> </w:t>
      </w:r>
      <w:r>
        <w:rPr>
          <w:rFonts w:ascii="Times New Roman"/>
        </w:rPr>
        <w:t>House</w:t>
      </w:r>
      <w:r>
        <w:rPr>
          <w:rFonts w:ascii="Times New Roman"/>
          <w:spacing w:val="-4"/>
        </w:rPr>
        <w:t xml:space="preserve"> </w:t>
      </w:r>
      <w:r>
        <w:rPr>
          <w:rFonts w:ascii="Times New Roman"/>
        </w:rPr>
        <w:t xml:space="preserve">of </w:t>
      </w:r>
      <w:r>
        <w:rPr>
          <w:rFonts w:ascii="Times New Roman"/>
          <w:spacing w:val="-2"/>
        </w:rPr>
        <w:t>Representatives.</w:t>
      </w:r>
    </w:p>
    <w:p w14:paraId="61E08B0F" w14:textId="77777777" w:rsidR="00811887" w:rsidRDefault="00811887" w:rsidP="00811887">
      <w:pPr>
        <w:pStyle w:val="BodyText"/>
        <w:spacing w:before="31"/>
        <w:rPr>
          <w:rFonts w:ascii="Times New Roman"/>
          <w:sz w:val="22"/>
        </w:rPr>
      </w:pPr>
    </w:p>
    <w:p w14:paraId="7E43A65F" w14:textId="77777777" w:rsidR="00811887" w:rsidRDefault="00811887" w:rsidP="00FB2FE9">
      <w:pPr>
        <w:pStyle w:val="Heading7"/>
        <w:numPr>
          <w:ilvl w:val="0"/>
          <w:numId w:val="77"/>
        </w:numPr>
        <w:tabs>
          <w:tab w:val="left" w:pos="1910"/>
        </w:tabs>
        <w:spacing w:before="1"/>
        <w:ind w:left="1190" w:hanging="360"/>
      </w:pPr>
      <w:bookmarkStart w:id="86" w:name="_TOC_250022"/>
      <w:r>
        <w:t>Committee’s</w:t>
      </w:r>
      <w:r>
        <w:rPr>
          <w:spacing w:val="-6"/>
        </w:rPr>
        <w:t xml:space="preserve"> </w:t>
      </w:r>
      <w:bookmarkEnd w:id="86"/>
      <w:r>
        <w:rPr>
          <w:spacing w:val="-2"/>
        </w:rPr>
        <w:t>powers</w:t>
      </w:r>
    </w:p>
    <w:p w14:paraId="0452883F" w14:textId="77777777" w:rsidR="00811887" w:rsidRDefault="00811887" w:rsidP="00811887">
      <w:pPr>
        <w:spacing w:before="177"/>
        <w:ind w:left="2803" w:right="1669"/>
        <w:rPr>
          <w:rFonts w:ascii="Times New Roman"/>
        </w:rPr>
      </w:pPr>
      <w:r>
        <w:rPr>
          <w:rFonts w:ascii="Times New Roman"/>
        </w:rPr>
        <w:t>The</w:t>
      </w:r>
      <w:r>
        <w:rPr>
          <w:rFonts w:ascii="Times New Roman"/>
          <w:spacing w:val="-5"/>
        </w:rPr>
        <w:t xml:space="preserve"> </w:t>
      </w:r>
      <w:r>
        <w:rPr>
          <w:rFonts w:ascii="Times New Roman"/>
        </w:rPr>
        <w:t>Committee</w:t>
      </w:r>
      <w:r>
        <w:rPr>
          <w:rFonts w:ascii="Times New Roman"/>
          <w:spacing w:val="-3"/>
        </w:rPr>
        <w:t xml:space="preserve"> </w:t>
      </w:r>
      <w:r>
        <w:rPr>
          <w:rFonts w:ascii="Times New Roman"/>
        </w:rPr>
        <w:t>has</w:t>
      </w:r>
      <w:r>
        <w:rPr>
          <w:rFonts w:ascii="Times New Roman"/>
          <w:spacing w:val="-3"/>
        </w:rPr>
        <w:t xml:space="preserve"> </w:t>
      </w:r>
      <w:r>
        <w:rPr>
          <w:rFonts w:ascii="Times New Roman"/>
        </w:rPr>
        <w:t>power</w:t>
      </w:r>
      <w:r>
        <w:rPr>
          <w:rFonts w:ascii="Times New Roman"/>
          <w:spacing w:val="-5"/>
        </w:rPr>
        <w:t xml:space="preserve"> </w:t>
      </w:r>
      <w:r>
        <w:rPr>
          <w:rFonts w:ascii="Times New Roman"/>
        </w:rPr>
        <w:t>to</w:t>
      </w:r>
      <w:r>
        <w:rPr>
          <w:rFonts w:ascii="Times New Roman"/>
          <w:spacing w:val="-3"/>
        </w:rPr>
        <w:t xml:space="preserve"> </w:t>
      </w:r>
      <w:r>
        <w:rPr>
          <w:rFonts w:ascii="Times New Roman"/>
        </w:rPr>
        <w:t>do</w:t>
      </w:r>
      <w:r>
        <w:rPr>
          <w:rFonts w:ascii="Times New Roman"/>
          <w:spacing w:val="-3"/>
        </w:rPr>
        <w:t xml:space="preserve"> </w:t>
      </w:r>
      <w:r>
        <w:rPr>
          <w:rFonts w:ascii="Times New Roman"/>
        </w:rPr>
        <w:t>all</w:t>
      </w:r>
      <w:r>
        <w:rPr>
          <w:rFonts w:ascii="Times New Roman"/>
          <w:spacing w:val="-5"/>
        </w:rPr>
        <w:t xml:space="preserve"> </w:t>
      </w:r>
      <w:r>
        <w:rPr>
          <w:rFonts w:ascii="Times New Roman"/>
        </w:rPr>
        <w:t>things</w:t>
      </w:r>
      <w:r>
        <w:rPr>
          <w:rFonts w:ascii="Times New Roman"/>
          <w:spacing w:val="-3"/>
        </w:rPr>
        <w:t xml:space="preserve"> </w:t>
      </w:r>
      <w:r>
        <w:rPr>
          <w:rFonts w:ascii="Times New Roman"/>
        </w:rPr>
        <w:t>necessary</w:t>
      </w:r>
      <w:r>
        <w:rPr>
          <w:rFonts w:ascii="Times New Roman"/>
          <w:spacing w:val="-6"/>
        </w:rPr>
        <w:t xml:space="preserve"> </w:t>
      </w:r>
      <w:r>
        <w:rPr>
          <w:rFonts w:ascii="Times New Roman"/>
        </w:rPr>
        <w:t>or</w:t>
      </w:r>
      <w:r>
        <w:rPr>
          <w:rFonts w:ascii="Times New Roman"/>
          <w:spacing w:val="-5"/>
        </w:rPr>
        <w:t xml:space="preserve"> </w:t>
      </w:r>
      <w:r>
        <w:rPr>
          <w:rFonts w:ascii="Times New Roman"/>
        </w:rPr>
        <w:t xml:space="preserve">convenient to be done for, or in connection with, the performance of its </w:t>
      </w:r>
      <w:r>
        <w:rPr>
          <w:rFonts w:ascii="Times New Roman"/>
          <w:spacing w:val="-2"/>
        </w:rPr>
        <w:t>function.</w:t>
      </w:r>
    </w:p>
    <w:p w14:paraId="6D418491" w14:textId="77777777" w:rsidR="00811887" w:rsidRDefault="00811887" w:rsidP="00811887">
      <w:pPr>
        <w:pStyle w:val="BodyText"/>
        <w:rPr>
          <w:rFonts w:ascii="Times New Roman"/>
        </w:rPr>
      </w:pPr>
    </w:p>
    <w:p w14:paraId="0587AAE9" w14:textId="77777777" w:rsidR="00811887" w:rsidRDefault="00811887" w:rsidP="00811887">
      <w:pPr>
        <w:pStyle w:val="BodyText"/>
        <w:rPr>
          <w:rFonts w:ascii="Times New Roman"/>
        </w:rPr>
      </w:pPr>
    </w:p>
    <w:p w14:paraId="40B4666A" w14:textId="77777777" w:rsidR="00811887" w:rsidRDefault="00811887" w:rsidP="00811887">
      <w:pPr>
        <w:pStyle w:val="BodyText"/>
        <w:rPr>
          <w:rFonts w:ascii="Times New Roman"/>
        </w:rPr>
      </w:pPr>
    </w:p>
    <w:p w14:paraId="63C9CC11" w14:textId="77777777" w:rsidR="00811887" w:rsidRDefault="00811887" w:rsidP="00811887">
      <w:pPr>
        <w:pStyle w:val="BodyText"/>
        <w:rPr>
          <w:rFonts w:ascii="Times New Roman"/>
        </w:rPr>
      </w:pPr>
    </w:p>
    <w:p w14:paraId="4FA6A707" w14:textId="77777777" w:rsidR="00811887" w:rsidRDefault="00811887" w:rsidP="00811887">
      <w:pPr>
        <w:pStyle w:val="BodyText"/>
        <w:rPr>
          <w:rFonts w:ascii="Times New Roman"/>
        </w:rPr>
      </w:pPr>
    </w:p>
    <w:p w14:paraId="4762A53D" w14:textId="77777777" w:rsidR="00811887" w:rsidRDefault="00811887" w:rsidP="00811887">
      <w:pPr>
        <w:pStyle w:val="BodyText"/>
        <w:rPr>
          <w:rFonts w:ascii="Times New Roman"/>
        </w:rPr>
      </w:pPr>
    </w:p>
    <w:p w14:paraId="2E69EC01" w14:textId="77777777" w:rsidR="00811887" w:rsidRDefault="00811887" w:rsidP="00811887">
      <w:pPr>
        <w:pStyle w:val="BodyText"/>
        <w:rPr>
          <w:rFonts w:ascii="Times New Roman"/>
        </w:rPr>
      </w:pPr>
    </w:p>
    <w:p w14:paraId="308FA9D9" w14:textId="77777777" w:rsidR="00811887" w:rsidRDefault="00811887" w:rsidP="00811887">
      <w:pPr>
        <w:pStyle w:val="BodyText"/>
        <w:rPr>
          <w:rFonts w:ascii="Times New Roman"/>
        </w:rPr>
      </w:pPr>
    </w:p>
    <w:p w14:paraId="1273A840" w14:textId="77777777" w:rsidR="00811887" w:rsidRDefault="00811887" w:rsidP="00811887">
      <w:pPr>
        <w:pStyle w:val="BodyText"/>
        <w:rPr>
          <w:rFonts w:ascii="Times New Roman"/>
        </w:rPr>
      </w:pPr>
    </w:p>
    <w:p w14:paraId="7A0A5E7C" w14:textId="77777777" w:rsidR="00811887" w:rsidRDefault="00811887" w:rsidP="00811887">
      <w:pPr>
        <w:pStyle w:val="BodyText"/>
        <w:rPr>
          <w:rFonts w:ascii="Times New Roman"/>
        </w:rPr>
      </w:pPr>
    </w:p>
    <w:p w14:paraId="7AD7C6EF" w14:textId="77777777" w:rsidR="00811887" w:rsidRDefault="00811887" w:rsidP="00811887">
      <w:pPr>
        <w:pStyle w:val="BodyText"/>
        <w:rPr>
          <w:rFonts w:ascii="Times New Roman"/>
        </w:rPr>
      </w:pPr>
    </w:p>
    <w:p w14:paraId="42F7C3D2" w14:textId="77777777" w:rsidR="00811887" w:rsidRDefault="00811887" w:rsidP="00811887">
      <w:pPr>
        <w:pStyle w:val="BodyText"/>
        <w:rPr>
          <w:rFonts w:ascii="Times New Roman"/>
        </w:rPr>
      </w:pPr>
    </w:p>
    <w:p w14:paraId="36203904" w14:textId="77777777" w:rsidR="00811887" w:rsidRDefault="00811887" w:rsidP="00811887">
      <w:pPr>
        <w:pStyle w:val="BodyText"/>
        <w:rPr>
          <w:rFonts w:ascii="Times New Roman"/>
        </w:rPr>
      </w:pPr>
    </w:p>
    <w:p w14:paraId="0D380D3F" w14:textId="77777777" w:rsidR="00811887" w:rsidRDefault="00811887" w:rsidP="00811887">
      <w:pPr>
        <w:pStyle w:val="BodyText"/>
        <w:rPr>
          <w:rFonts w:ascii="Times New Roman"/>
        </w:rPr>
      </w:pPr>
    </w:p>
    <w:p w14:paraId="3A60E59B" w14:textId="77777777" w:rsidR="00811887" w:rsidRDefault="00811887" w:rsidP="00811887">
      <w:pPr>
        <w:pStyle w:val="BodyText"/>
        <w:rPr>
          <w:rFonts w:ascii="Times New Roman"/>
        </w:rPr>
      </w:pPr>
    </w:p>
    <w:p w14:paraId="32553C3B" w14:textId="77777777" w:rsidR="00811887" w:rsidRDefault="00811887" w:rsidP="00811887">
      <w:pPr>
        <w:pStyle w:val="BodyText"/>
        <w:rPr>
          <w:rFonts w:ascii="Times New Roman"/>
        </w:rPr>
      </w:pPr>
    </w:p>
    <w:p w14:paraId="0AF483DF" w14:textId="77777777" w:rsidR="00811887" w:rsidRDefault="00811887" w:rsidP="00811887">
      <w:pPr>
        <w:pStyle w:val="BodyText"/>
        <w:rPr>
          <w:rFonts w:ascii="Times New Roman"/>
        </w:rPr>
      </w:pPr>
    </w:p>
    <w:p w14:paraId="6173ACB8" w14:textId="77777777" w:rsidR="00811887" w:rsidRDefault="00811887" w:rsidP="00811887">
      <w:pPr>
        <w:pStyle w:val="BodyText"/>
        <w:rPr>
          <w:rFonts w:ascii="Times New Roman"/>
        </w:rPr>
      </w:pPr>
    </w:p>
    <w:p w14:paraId="2DB5FD37" w14:textId="77777777" w:rsidR="00811887" w:rsidRDefault="00811887" w:rsidP="00811887">
      <w:pPr>
        <w:pStyle w:val="BodyText"/>
        <w:rPr>
          <w:rFonts w:ascii="Times New Roman"/>
        </w:rPr>
      </w:pPr>
    </w:p>
    <w:p w14:paraId="39BFEFD0" w14:textId="77777777" w:rsidR="00811887" w:rsidRDefault="00811887" w:rsidP="00811887">
      <w:pPr>
        <w:pStyle w:val="BodyText"/>
        <w:rPr>
          <w:rFonts w:ascii="Times New Roman"/>
        </w:rPr>
      </w:pPr>
    </w:p>
    <w:p w14:paraId="135FC752" w14:textId="77777777" w:rsidR="00811887" w:rsidRDefault="00811887" w:rsidP="00811887">
      <w:pPr>
        <w:pStyle w:val="BodyText"/>
        <w:rPr>
          <w:rFonts w:ascii="Times New Roman"/>
        </w:rPr>
      </w:pPr>
    </w:p>
    <w:p w14:paraId="5C6E5693" w14:textId="77777777" w:rsidR="00811887" w:rsidRDefault="00811887" w:rsidP="00811887">
      <w:pPr>
        <w:pStyle w:val="BodyText"/>
        <w:rPr>
          <w:rFonts w:ascii="Times New Roman"/>
        </w:rPr>
      </w:pPr>
    </w:p>
    <w:p w14:paraId="0FFC31AD" w14:textId="77777777" w:rsidR="00811887" w:rsidRDefault="00811887" w:rsidP="00811887">
      <w:pPr>
        <w:pStyle w:val="BodyText"/>
        <w:rPr>
          <w:rFonts w:ascii="Times New Roman"/>
        </w:rPr>
      </w:pPr>
    </w:p>
    <w:p w14:paraId="590A7F61" w14:textId="77777777" w:rsidR="00811887" w:rsidRDefault="00811887" w:rsidP="00811887">
      <w:pPr>
        <w:pStyle w:val="BodyText"/>
        <w:rPr>
          <w:rFonts w:ascii="Times New Roman"/>
        </w:rPr>
      </w:pPr>
    </w:p>
    <w:p w14:paraId="02C59BA9" w14:textId="77777777" w:rsidR="00811887" w:rsidRDefault="00811887" w:rsidP="00811887">
      <w:pPr>
        <w:pStyle w:val="BodyText"/>
        <w:rPr>
          <w:rFonts w:ascii="Times New Roman"/>
        </w:rPr>
      </w:pPr>
    </w:p>
    <w:p w14:paraId="71F159B0" w14:textId="77777777" w:rsidR="00811887" w:rsidRDefault="00811887" w:rsidP="00811887">
      <w:pPr>
        <w:pStyle w:val="BodyText"/>
        <w:rPr>
          <w:rFonts w:ascii="Times New Roman"/>
        </w:rPr>
      </w:pPr>
    </w:p>
    <w:p w14:paraId="530AB717" w14:textId="77777777" w:rsidR="00811887" w:rsidRDefault="00811887" w:rsidP="00811887">
      <w:pPr>
        <w:pStyle w:val="BodyText"/>
        <w:rPr>
          <w:rFonts w:ascii="Times New Roman"/>
        </w:rPr>
      </w:pPr>
    </w:p>
    <w:p w14:paraId="5D1ECB64" w14:textId="77777777" w:rsidR="00811887" w:rsidRDefault="00811887" w:rsidP="00811887">
      <w:pPr>
        <w:pStyle w:val="BodyText"/>
        <w:rPr>
          <w:rFonts w:ascii="Times New Roman"/>
        </w:rPr>
      </w:pPr>
    </w:p>
    <w:p w14:paraId="016D9399" w14:textId="77777777" w:rsidR="00811887" w:rsidRDefault="00811887" w:rsidP="00811887">
      <w:pPr>
        <w:pStyle w:val="BodyText"/>
        <w:rPr>
          <w:rFonts w:ascii="Times New Roman"/>
        </w:rPr>
      </w:pPr>
    </w:p>
    <w:p w14:paraId="63C40702" w14:textId="77777777" w:rsidR="00811887" w:rsidRDefault="00811887" w:rsidP="00811887">
      <w:pPr>
        <w:pStyle w:val="BodyText"/>
        <w:rPr>
          <w:rFonts w:ascii="Times New Roman"/>
        </w:rPr>
      </w:pPr>
    </w:p>
    <w:p w14:paraId="724DBAEE" w14:textId="77777777" w:rsidR="00811887" w:rsidRDefault="00811887" w:rsidP="00811887">
      <w:pPr>
        <w:pStyle w:val="BodyText"/>
        <w:rPr>
          <w:rFonts w:ascii="Times New Roman"/>
        </w:rPr>
      </w:pPr>
    </w:p>
    <w:p w14:paraId="2B0934A6" w14:textId="77777777" w:rsidR="00811887" w:rsidRDefault="00811887" w:rsidP="00811887">
      <w:pPr>
        <w:pStyle w:val="BodyText"/>
        <w:rPr>
          <w:rFonts w:ascii="Times New Roman"/>
        </w:rPr>
      </w:pPr>
    </w:p>
    <w:p w14:paraId="1B358545" w14:textId="77777777" w:rsidR="00811887" w:rsidRDefault="00811887" w:rsidP="00811887">
      <w:pPr>
        <w:pStyle w:val="BodyText"/>
        <w:rPr>
          <w:rFonts w:ascii="Times New Roman"/>
        </w:rPr>
      </w:pPr>
    </w:p>
    <w:p w14:paraId="6F466E0C" w14:textId="77777777" w:rsidR="00811887" w:rsidRDefault="00811887" w:rsidP="00811887">
      <w:pPr>
        <w:pStyle w:val="BodyText"/>
        <w:rPr>
          <w:rFonts w:ascii="Times New Roman"/>
        </w:rPr>
      </w:pPr>
    </w:p>
    <w:p w14:paraId="7BF8B539" w14:textId="77777777" w:rsidR="00811887" w:rsidRDefault="00811887" w:rsidP="00811887">
      <w:pPr>
        <w:pStyle w:val="BodyText"/>
        <w:spacing w:before="173"/>
        <w:rPr>
          <w:rFonts w:ascii="Times New Roman"/>
        </w:rPr>
      </w:pPr>
      <w:r>
        <w:rPr>
          <w:noProof/>
        </w:rPr>
        <mc:AlternateContent>
          <mc:Choice Requires="wps">
            <w:drawing>
              <wp:anchor distT="0" distB="0" distL="0" distR="0" simplePos="0" relativeHeight="251708416" behindDoc="1" locked="0" layoutInCell="1" allowOverlap="1" wp14:anchorId="3F02718F" wp14:editId="5BCB4CFF">
                <wp:simplePos x="0" y="0"/>
                <wp:positionH relativeFrom="page">
                  <wp:posOffset>1512061</wp:posOffset>
                </wp:positionH>
                <wp:positionV relativeFrom="paragraph">
                  <wp:posOffset>271169</wp:posOffset>
                </wp:positionV>
                <wp:extent cx="4538345" cy="9525"/>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7F597" id="Graphic 25" o:spid="_x0000_s1026" alt="&quot;&quot;" style="position:absolute;margin-left:119.05pt;margin-top:21.35pt;width:357.35pt;height:.75pt;z-index:-25160806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" path="m4537837,l,,,9143r4537837,l4537837,xe" fillcolor="black" stroked="f">
                <v:path arrowok="t"/>
                <w10:wrap type="topAndBottom" anchorx="page"/>
              </v:shape>
            </w:pict>
          </mc:Fallback>
        </mc:AlternateContent>
      </w:r>
    </w:p>
    <w:p w14:paraId="0F4D3715" w14:textId="77777777" w:rsidR="00811887" w:rsidRDefault="00811887" w:rsidP="00811887">
      <w:pPr>
        <w:pStyle w:val="BodyText"/>
        <w:spacing w:before="121"/>
        <w:rPr>
          <w:rFonts w:ascii="Times New Roman"/>
          <w:sz w:val="18"/>
        </w:rPr>
      </w:pPr>
    </w:p>
    <w:p w14:paraId="2046DF59" w14:textId="77777777" w:rsidR="00811887" w:rsidRDefault="00811887" w:rsidP="00811887">
      <w:pPr>
        <w:tabs>
          <w:tab w:val="left" w:pos="3686"/>
          <w:tab w:val="right" w:pos="8757"/>
        </w:tabs>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10"/>
          <w:sz w:val="18"/>
        </w:rPr>
        <w:t>7</w:t>
      </w:r>
    </w:p>
    <w:p w14:paraId="59F30E15"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5C7010AC" w14:textId="77777777" w:rsidR="00811887" w:rsidRDefault="00811887" w:rsidP="00811887">
      <w:pPr>
        <w:pStyle w:val="BodyText"/>
        <w:spacing w:before="65"/>
        <w:ind w:left="1670"/>
        <w:rPr>
          <w:rFonts w:ascii="Times New Roman"/>
        </w:rPr>
      </w:pPr>
      <w:r>
        <w:rPr>
          <w:rFonts w:ascii="Times New Roman"/>
          <w:b/>
        </w:rPr>
        <w:lastRenderedPageBreak/>
        <w:t>Part</w:t>
      </w:r>
      <w:r>
        <w:rPr>
          <w:rFonts w:ascii="Times New Roman"/>
          <w:b/>
          <w:spacing w:val="-5"/>
        </w:rPr>
        <w:t xml:space="preserve"> </w:t>
      </w:r>
      <w:r>
        <w:rPr>
          <w:rFonts w:ascii="Times New Roman"/>
          <w:b/>
        </w:rPr>
        <w:t>2</w:t>
      </w:r>
      <w:r>
        <w:rPr>
          <w:rFonts w:ascii="Times New Roman"/>
          <w:b/>
          <w:spacing w:val="40"/>
        </w:rPr>
        <w:t xml:space="preserve"> </w:t>
      </w: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Advisory</w:t>
      </w:r>
      <w:r>
        <w:rPr>
          <w:rFonts w:ascii="Times New Roman"/>
          <w:spacing w:val="-8"/>
        </w:rPr>
        <w:t xml:space="preserve"> </w:t>
      </w:r>
      <w:r>
        <w:rPr>
          <w:rFonts w:ascii="Times New Roman"/>
          <w:spacing w:val="-2"/>
        </w:rPr>
        <w:t>Committee</w:t>
      </w:r>
    </w:p>
    <w:p w14:paraId="523C768B" w14:textId="77777777" w:rsidR="00811887" w:rsidRDefault="00811887" w:rsidP="00811887">
      <w:pPr>
        <w:spacing w:before="32"/>
        <w:ind w:left="1670"/>
        <w:rPr>
          <w:rFonts w:ascii="Times New Roman"/>
          <w:sz w:val="20"/>
        </w:rPr>
      </w:pPr>
      <w:r>
        <w:rPr>
          <w:rFonts w:ascii="Times New Roman"/>
          <w:b/>
          <w:sz w:val="20"/>
        </w:rPr>
        <w:t>Division</w:t>
      </w:r>
      <w:r>
        <w:rPr>
          <w:rFonts w:ascii="Times New Roman"/>
          <w:b/>
          <w:spacing w:val="-6"/>
          <w:sz w:val="20"/>
        </w:rPr>
        <w:t xml:space="preserve"> </w:t>
      </w:r>
      <w:r>
        <w:rPr>
          <w:rFonts w:ascii="Times New Roman"/>
          <w:b/>
          <w:sz w:val="20"/>
        </w:rPr>
        <w:t>3</w:t>
      </w:r>
      <w:r>
        <w:rPr>
          <w:rFonts w:ascii="Times New Roman"/>
          <w:b/>
          <w:spacing w:val="42"/>
          <w:sz w:val="20"/>
        </w:rPr>
        <w:t xml:space="preserve"> </w:t>
      </w:r>
      <w:r>
        <w:rPr>
          <w:rFonts w:ascii="Times New Roman"/>
          <w:sz w:val="20"/>
        </w:rPr>
        <w:t>Committee</w:t>
      </w:r>
      <w:r>
        <w:rPr>
          <w:rFonts w:ascii="Times New Roman"/>
          <w:spacing w:val="-3"/>
          <w:sz w:val="20"/>
        </w:rPr>
        <w:t xml:space="preserve"> </w:t>
      </w:r>
      <w:r>
        <w:rPr>
          <w:rFonts w:ascii="Times New Roman"/>
          <w:spacing w:val="-2"/>
          <w:sz w:val="20"/>
        </w:rPr>
        <w:t>members</w:t>
      </w:r>
    </w:p>
    <w:p w14:paraId="749C8716" w14:textId="77777777" w:rsidR="00811887" w:rsidRDefault="00811887" w:rsidP="00811887">
      <w:pPr>
        <w:pStyle w:val="BodyText"/>
        <w:spacing w:before="45"/>
        <w:rPr>
          <w:rFonts w:ascii="Times New Roman"/>
        </w:rPr>
      </w:pPr>
    </w:p>
    <w:p w14:paraId="33F759F8"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09440" behindDoc="1" locked="0" layoutInCell="1" allowOverlap="1" wp14:anchorId="2155A882" wp14:editId="6E2E3CD8">
                <wp:simplePos x="0" y="0"/>
                <wp:positionH relativeFrom="page">
                  <wp:posOffset>1512061</wp:posOffset>
                </wp:positionH>
                <wp:positionV relativeFrom="paragraph">
                  <wp:posOffset>192823</wp:posOffset>
                </wp:positionV>
                <wp:extent cx="4538345" cy="9525"/>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A00F32" id="Graphic 26" o:spid="_x0000_s1026" alt="&quot;&quot;" style="position:absolute;margin-left:119.05pt;margin-top:15.2pt;width:357.35pt;height:.75pt;z-index:-25160704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10</w:t>
      </w:r>
    </w:p>
    <w:p w14:paraId="3343460D" w14:textId="77777777" w:rsidR="00811887" w:rsidRDefault="00811887" w:rsidP="00811887">
      <w:pPr>
        <w:pStyle w:val="BodyText"/>
        <w:spacing w:before="208"/>
        <w:rPr>
          <w:rFonts w:ascii="Times New Roman"/>
          <w:sz w:val="28"/>
        </w:rPr>
      </w:pPr>
    </w:p>
    <w:p w14:paraId="36E33B16" w14:textId="77777777" w:rsidR="00811887" w:rsidRPr="00630A63" w:rsidRDefault="00811887" w:rsidP="00811887">
      <w:pPr>
        <w:pStyle w:val="Heading5"/>
        <w:rPr>
          <w:color w:val="465590" w:themeColor="text1" w:themeTint="A6"/>
        </w:rPr>
      </w:pPr>
      <w:bookmarkStart w:id="87" w:name="_TOC_250021"/>
      <w:r w:rsidRPr="00630A63">
        <w:rPr>
          <w:color w:val="465590" w:themeColor="text1" w:themeTint="A6"/>
        </w:rPr>
        <w:t>Division</w:t>
      </w:r>
      <w:r w:rsidRPr="00630A63">
        <w:rPr>
          <w:color w:val="465590" w:themeColor="text1" w:themeTint="A6"/>
          <w:spacing w:val="-9"/>
        </w:rPr>
        <w:t xml:space="preserve"> </w:t>
      </w:r>
      <w:r w:rsidRPr="00630A63">
        <w:rPr>
          <w:color w:val="465590" w:themeColor="text1" w:themeTint="A6"/>
        </w:rPr>
        <w:t>3—Committee</w:t>
      </w:r>
      <w:r w:rsidRPr="00630A63">
        <w:rPr>
          <w:color w:val="465590" w:themeColor="text1" w:themeTint="A6"/>
          <w:spacing w:val="-8"/>
        </w:rPr>
        <w:t xml:space="preserve"> </w:t>
      </w:r>
      <w:bookmarkEnd w:id="87"/>
      <w:r w:rsidRPr="00630A63">
        <w:rPr>
          <w:color w:val="465590" w:themeColor="text1" w:themeTint="A6"/>
          <w:spacing w:val="-2"/>
        </w:rPr>
        <w:t>members</w:t>
      </w:r>
    </w:p>
    <w:p w14:paraId="465E9714" w14:textId="77777777" w:rsidR="00811887" w:rsidRDefault="00811887" w:rsidP="00FB2FE9">
      <w:pPr>
        <w:pStyle w:val="Heading7"/>
        <w:numPr>
          <w:ilvl w:val="0"/>
          <w:numId w:val="77"/>
        </w:numPr>
        <w:tabs>
          <w:tab w:val="left" w:pos="2030"/>
        </w:tabs>
        <w:spacing w:before="280"/>
        <w:ind w:left="2030" w:hanging="360"/>
      </w:pPr>
      <w:bookmarkStart w:id="88" w:name="_TOC_250020"/>
      <w:r>
        <w:t>Number</w:t>
      </w:r>
      <w:r>
        <w:rPr>
          <w:spacing w:val="-4"/>
        </w:rPr>
        <w:t xml:space="preserve"> </w:t>
      </w:r>
      <w:r>
        <w:t>of Committee</w:t>
      </w:r>
      <w:r>
        <w:rPr>
          <w:spacing w:val="-1"/>
        </w:rPr>
        <w:t xml:space="preserve"> </w:t>
      </w:r>
      <w:bookmarkEnd w:id="88"/>
      <w:r>
        <w:rPr>
          <w:spacing w:val="-2"/>
        </w:rPr>
        <w:t>members</w:t>
      </w:r>
    </w:p>
    <w:p w14:paraId="35D6BD2C" w14:textId="77777777" w:rsidR="00811887" w:rsidRDefault="00811887" w:rsidP="00811887">
      <w:pPr>
        <w:spacing w:before="177"/>
        <w:ind w:left="2803"/>
        <w:rPr>
          <w:rFonts w:ascii="Times New Roman"/>
        </w:rPr>
      </w:pPr>
      <w:r>
        <w:rPr>
          <w:rFonts w:ascii="Times New Roman"/>
        </w:rPr>
        <w:t>The</w:t>
      </w:r>
      <w:r>
        <w:rPr>
          <w:rFonts w:ascii="Times New Roman"/>
          <w:spacing w:val="-6"/>
        </w:rPr>
        <w:t xml:space="preserve"> </w:t>
      </w:r>
      <w:r>
        <w:rPr>
          <w:rFonts w:ascii="Times New Roman"/>
        </w:rPr>
        <w:t>Committee</w:t>
      </w:r>
      <w:r>
        <w:rPr>
          <w:rFonts w:ascii="Times New Roman"/>
          <w:spacing w:val="-5"/>
        </w:rPr>
        <w:t xml:space="preserve"> </w:t>
      </w:r>
      <w:r>
        <w:rPr>
          <w:rFonts w:ascii="Times New Roman"/>
        </w:rPr>
        <w:t>consists</w:t>
      </w:r>
      <w:r>
        <w:rPr>
          <w:rFonts w:ascii="Times New Roman"/>
          <w:spacing w:val="-4"/>
        </w:rPr>
        <w:t xml:space="preserve"> </w:t>
      </w:r>
      <w:r>
        <w:rPr>
          <w:rFonts w:ascii="Times New Roman"/>
        </w:rPr>
        <w:t>of</w:t>
      </w:r>
      <w:r>
        <w:rPr>
          <w:rFonts w:ascii="Times New Roman"/>
          <w:spacing w:val="-5"/>
        </w:rPr>
        <w:t xml:space="preserve"> </w:t>
      </w:r>
      <w:r>
        <w:rPr>
          <w:rFonts w:ascii="Times New Roman"/>
        </w:rPr>
        <w:t>the</w:t>
      </w:r>
      <w:r>
        <w:rPr>
          <w:rFonts w:ascii="Times New Roman"/>
          <w:spacing w:val="-5"/>
        </w:rPr>
        <w:t xml:space="preserve"> </w:t>
      </w:r>
      <w:r>
        <w:rPr>
          <w:rFonts w:ascii="Times New Roman"/>
        </w:rPr>
        <w:t>following</w:t>
      </w:r>
      <w:r>
        <w:rPr>
          <w:rFonts w:ascii="Times New Roman"/>
          <w:spacing w:val="-6"/>
        </w:rPr>
        <w:t xml:space="preserve"> </w:t>
      </w:r>
      <w:r>
        <w:rPr>
          <w:rFonts w:ascii="Times New Roman"/>
          <w:spacing w:val="-2"/>
        </w:rPr>
        <w:t>members:</w:t>
      </w:r>
    </w:p>
    <w:p w14:paraId="0A2411D6" w14:textId="77777777" w:rsidR="00811887" w:rsidRDefault="00811887" w:rsidP="00FB2FE9">
      <w:pPr>
        <w:pStyle w:val="ListParagraph"/>
        <w:widowControl w:val="0"/>
        <w:numPr>
          <w:ilvl w:val="0"/>
          <w:numId w:val="75"/>
        </w:numPr>
        <w:tabs>
          <w:tab w:val="left" w:pos="3313"/>
        </w:tabs>
        <w:autoSpaceDE w:val="0"/>
        <w:autoSpaceDN w:val="0"/>
        <w:spacing w:before="40" w:after="0"/>
        <w:ind w:left="3313" w:hanging="356"/>
        <w:contextualSpacing w:val="0"/>
        <w:rPr>
          <w:rFonts w:ascii="Times New Roman"/>
        </w:rPr>
      </w:pPr>
      <w:r>
        <w:rPr>
          <w:rFonts w:ascii="Times New Roman"/>
        </w:rPr>
        <w:t>a</w:t>
      </w:r>
      <w:r>
        <w:rPr>
          <w:rFonts w:ascii="Times New Roman"/>
          <w:spacing w:val="-2"/>
        </w:rPr>
        <w:t xml:space="preserve"> Chair;</w:t>
      </w:r>
    </w:p>
    <w:p w14:paraId="24CCF1D8" w14:textId="77777777" w:rsidR="00811887" w:rsidRDefault="00811887" w:rsidP="00FB2FE9">
      <w:pPr>
        <w:pStyle w:val="ListParagraph"/>
        <w:widowControl w:val="0"/>
        <w:numPr>
          <w:ilvl w:val="0"/>
          <w:numId w:val="75"/>
        </w:numPr>
        <w:tabs>
          <w:tab w:val="left" w:pos="3313"/>
        </w:tabs>
        <w:autoSpaceDE w:val="0"/>
        <w:autoSpaceDN w:val="0"/>
        <w:spacing w:before="39" w:after="0"/>
        <w:ind w:left="3313" w:hanging="368"/>
        <w:contextualSpacing w:val="0"/>
        <w:rPr>
          <w:rFonts w:ascii="Times New Roman"/>
        </w:rPr>
      </w:pPr>
      <w:r>
        <w:rPr>
          <w:rFonts w:ascii="Times New Roman"/>
        </w:rPr>
        <w:t>up</w:t>
      </w:r>
      <w:r>
        <w:rPr>
          <w:rFonts w:ascii="Times New Roman"/>
          <w:spacing w:val="-2"/>
        </w:rPr>
        <w:t xml:space="preserve"> </w:t>
      </w:r>
      <w:r>
        <w:rPr>
          <w:rFonts w:ascii="Times New Roman"/>
        </w:rPr>
        <w:t>to</w:t>
      </w:r>
      <w:r>
        <w:rPr>
          <w:rFonts w:ascii="Times New Roman"/>
          <w:spacing w:val="-1"/>
        </w:rPr>
        <w:t xml:space="preserve"> </w:t>
      </w:r>
      <w:r>
        <w:rPr>
          <w:rFonts w:ascii="Times New Roman"/>
        </w:rPr>
        <w:t>13</w:t>
      </w:r>
      <w:r>
        <w:rPr>
          <w:rFonts w:ascii="Times New Roman"/>
          <w:spacing w:val="-2"/>
        </w:rPr>
        <w:t xml:space="preserve"> </w:t>
      </w:r>
      <w:r>
        <w:rPr>
          <w:rFonts w:ascii="Times New Roman"/>
        </w:rPr>
        <w:t xml:space="preserve">other </w:t>
      </w:r>
      <w:r>
        <w:rPr>
          <w:rFonts w:ascii="Times New Roman"/>
          <w:spacing w:val="-2"/>
        </w:rPr>
        <w:t>members.</w:t>
      </w:r>
    </w:p>
    <w:p w14:paraId="6566C0A9" w14:textId="77777777" w:rsidR="00811887" w:rsidRDefault="00811887" w:rsidP="00811887">
      <w:pPr>
        <w:pStyle w:val="BodyText"/>
        <w:spacing w:before="31"/>
        <w:rPr>
          <w:rFonts w:ascii="Times New Roman"/>
          <w:sz w:val="22"/>
        </w:rPr>
      </w:pPr>
    </w:p>
    <w:p w14:paraId="31FA0164" w14:textId="77777777" w:rsidR="00811887" w:rsidRDefault="00811887" w:rsidP="00FB2FE9">
      <w:pPr>
        <w:pStyle w:val="Heading7"/>
        <w:numPr>
          <w:ilvl w:val="0"/>
          <w:numId w:val="77"/>
        </w:numPr>
        <w:tabs>
          <w:tab w:val="left" w:pos="2030"/>
        </w:tabs>
        <w:ind w:left="2030" w:hanging="360"/>
      </w:pPr>
      <w:bookmarkStart w:id="89" w:name="_TOC_250019"/>
      <w:bookmarkEnd w:id="89"/>
      <w:r>
        <w:rPr>
          <w:spacing w:val="-2"/>
        </w:rPr>
        <w:t>Appointments</w:t>
      </w:r>
    </w:p>
    <w:p w14:paraId="5F1425AE" w14:textId="77777777" w:rsidR="00811887" w:rsidRDefault="00811887" w:rsidP="00FB2FE9">
      <w:pPr>
        <w:pStyle w:val="ListParagraph"/>
        <w:widowControl w:val="0"/>
        <w:numPr>
          <w:ilvl w:val="1"/>
          <w:numId w:val="77"/>
        </w:numPr>
        <w:tabs>
          <w:tab w:val="left" w:pos="2801"/>
          <w:tab w:val="left" w:pos="2803"/>
        </w:tabs>
        <w:autoSpaceDE w:val="0"/>
        <w:autoSpaceDN w:val="0"/>
        <w:spacing w:before="177" w:after="0"/>
        <w:ind w:right="2079"/>
        <w:contextualSpacing w:val="0"/>
        <w:rPr>
          <w:rFonts w:ascii="Times New Roman"/>
        </w:rPr>
      </w:pPr>
      <w:r>
        <w:rPr>
          <w:rFonts w:ascii="Times New Roman"/>
        </w:rPr>
        <w:t>The Chair and other members of the Committee are to be appointed</w:t>
      </w:r>
      <w:r>
        <w:rPr>
          <w:rFonts w:ascii="Times New Roman"/>
          <w:spacing w:val="-5"/>
        </w:rPr>
        <w:t xml:space="preserve"> </w:t>
      </w:r>
      <w:r>
        <w:rPr>
          <w:rFonts w:ascii="Times New Roman"/>
        </w:rPr>
        <w:t>by</w:t>
      </w:r>
      <w:r>
        <w:rPr>
          <w:rFonts w:ascii="Times New Roman"/>
          <w:spacing w:val="-6"/>
        </w:rPr>
        <w:t xml:space="preserve"> </w:t>
      </w:r>
      <w:r>
        <w:rPr>
          <w:rFonts w:ascii="Times New Roman"/>
        </w:rPr>
        <w:t>the</w:t>
      </w:r>
      <w:r>
        <w:rPr>
          <w:rFonts w:ascii="Times New Roman"/>
          <w:spacing w:val="-5"/>
        </w:rPr>
        <w:t xml:space="preserve"> </w:t>
      </w:r>
      <w:r>
        <w:rPr>
          <w:rFonts w:ascii="Times New Roman"/>
        </w:rPr>
        <w:t>Minister</w:t>
      </w:r>
      <w:r>
        <w:rPr>
          <w:rFonts w:ascii="Times New Roman"/>
          <w:spacing w:val="-4"/>
        </w:rPr>
        <w:t xml:space="preserve"> </w:t>
      </w:r>
      <w:r>
        <w:rPr>
          <w:rFonts w:ascii="Times New Roman"/>
        </w:rPr>
        <w:t>by</w:t>
      </w:r>
      <w:r>
        <w:rPr>
          <w:rFonts w:ascii="Times New Roman"/>
          <w:spacing w:val="-6"/>
        </w:rPr>
        <w:t xml:space="preserve"> </w:t>
      </w:r>
      <w:r>
        <w:rPr>
          <w:rFonts w:ascii="Times New Roman"/>
        </w:rPr>
        <w:t>written</w:t>
      </w:r>
      <w:r>
        <w:rPr>
          <w:rFonts w:ascii="Times New Roman"/>
          <w:spacing w:val="-3"/>
        </w:rPr>
        <w:t xml:space="preserve"> </w:t>
      </w:r>
      <w:r>
        <w:rPr>
          <w:rFonts w:ascii="Times New Roman"/>
        </w:rPr>
        <w:t>instrument,</w:t>
      </w:r>
      <w:r>
        <w:rPr>
          <w:rFonts w:ascii="Times New Roman"/>
          <w:spacing w:val="-3"/>
        </w:rPr>
        <w:t xml:space="preserve"> </w:t>
      </w:r>
      <w:r>
        <w:rPr>
          <w:rFonts w:ascii="Times New Roman"/>
        </w:rPr>
        <w:t>on</w:t>
      </w:r>
      <w:r>
        <w:rPr>
          <w:rFonts w:ascii="Times New Roman"/>
          <w:spacing w:val="-3"/>
        </w:rPr>
        <w:t xml:space="preserve"> </w:t>
      </w:r>
      <w:r>
        <w:rPr>
          <w:rFonts w:ascii="Times New Roman"/>
        </w:rPr>
        <w:t>a</w:t>
      </w:r>
      <w:r>
        <w:rPr>
          <w:rFonts w:ascii="Times New Roman"/>
          <w:spacing w:val="-5"/>
        </w:rPr>
        <w:t xml:space="preserve"> </w:t>
      </w:r>
      <w:r>
        <w:rPr>
          <w:rFonts w:ascii="Times New Roman"/>
        </w:rPr>
        <w:t xml:space="preserve">part-time </w:t>
      </w:r>
      <w:r>
        <w:rPr>
          <w:rFonts w:ascii="Times New Roman"/>
          <w:spacing w:val="-2"/>
        </w:rPr>
        <w:t>basis.</w:t>
      </w:r>
    </w:p>
    <w:p w14:paraId="22F66193" w14:textId="77777777" w:rsidR="00811887" w:rsidRDefault="00811887" w:rsidP="00811887">
      <w:pPr>
        <w:tabs>
          <w:tab w:val="left" w:pos="3655"/>
        </w:tabs>
        <w:spacing w:before="123"/>
        <w:ind w:left="3655" w:right="2376" w:hanging="852"/>
        <w:rPr>
          <w:rFonts w:ascii="Times New Roman"/>
          <w:sz w:val="18"/>
        </w:rPr>
      </w:pPr>
      <w:r>
        <w:rPr>
          <w:rFonts w:ascii="Times New Roman"/>
          <w:spacing w:val="-2"/>
          <w:sz w:val="18"/>
        </w:rPr>
        <w:t>Note:</w:t>
      </w:r>
      <w:r>
        <w:rPr>
          <w:rFonts w:ascii="Times New Roman"/>
          <w:sz w:val="18"/>
        </w:rPr>
        <w:tab/>
        <w:t>A</w:t>
      </w:r>
      <w:r>
        <w:rPr>
          <w:rFonts w:ascii="Times New Roman"/>
          <w:spacing w:val="-3"/>
          <w:sz w:val="18"/>
        </w:rPr>
        <w:t xml:space="preserve"> </w:t>
      </w:r>
      <w:r>
        <w:rPr>
          <w:rFonts w:ascii="Times New Roman"/>
          <w:sz w:val="18"/>
        </w:rPr>
        <w:t>member may</w:t>
      </w:r>
      <w:r>
        <w:rPr>
          <w:rFonts w:ascii="Times New Roman"/>
          <w:spacing w:val="-7"/>
          <w:sz w:val="18"/>
        </w:rPr>
        <w:t xml:space="preserve"> </w:t>
      </w:r>
      <w:r>
        <w:rPr>
          <w:rFonts w:ascii="Times New Roman"/>
          <w:sz w:val="18"/>
        </w:rPr>
        <w:t>be</w:t>
      </w:r>
      <w:r>
        <w:rPr>
          <w:rFonts w:ascii="Times New Roman"/>
          <w:spacing w:val="-4"/>
          <w:sz w:val="18"/>
        </w:rPr>
        <w:t xml:space="preserve"> </w:t>
      </w:r>
      <w:r>
        <w:rPr>
          <w:rFonts w:ascii="Times New Roman"/>
          <w:sz w:val="18"/>
        </w:rPr>
        <w:t>reappointed:</w:t>
      </w:r>
      <w:r>
        <w:rPr>
          <w:rFonts w:ascii="Times New Roman"/>
          <w:spacing w:val="-5"/>
          <w:sz w:val="18"/>
        </w:rPr>
        <w:t xml:space="preserve"> </w:t>
      </w:r>
      <w:r>
        <w:rPr>
          <w:rFonts w:ascii="Times New Roman"/>
          <w:sz w:val="18"/>
        </w:rPr>
        <w:t>see</w:t>
      </w:r>
      <w:r>
        <w:rPr>
          <w:rFonts w:ascii="Times New Roman"/>
          <w:spacing w:val="-2"/>
          <w:sz w:val="18"/>
        </w:rPr>
        <w:t xml:space="preserve"> </w:t>
      </w:r>
      <w:r>
        <w:rPr>
          <w:rFonts w:ascii="Times New Roman"/>
          <w:sz w:val="18"/>
        </w:rPr>
        <w:t>section</w:t>
      </w:r>
      <w:r>
        <w:rPr>
          <w:rFonts w:ascii="Times New Roman"/>
          <w:spacing w:val="-2"/>
          <w:sz w:val="18"/>
        </w:rPr>
        <w:t xml:space="preserve"> </w:t>
      </w:r>
      <w:r>
        <w:rPr>
          <w:rFonts w:ascii="Times New Roman"/>
          <w:sz w:val="18"/>
        </w:rPr>
        <w:t>33AA</w:t>
      </w:r>
      <w:r>
        <w:rPr>
          <w:rFonts w:ascii="Times New Roman"/>
          <w:spacing w:val="-6"/>
          <w:sz w:val="18"/>
        </w:rPr>
        <w:t xml:space="preserve"> </w:t>
      </w:r>
      <w:r>
        <w:rPr>
          <w:rFonts w:ascii="Times New Roman"/>
          <w:sz w:val="18"/>
        </w:rPr>
        <w:t>of</w:t>
      </w:r>
      <w:r>
        <w:rPr>
          <w:rFonts w:ascii="Times New Roman"/>
          <w:spacing w:val="-5"/>
          <w:sz w:val="18"/>
        </w:rPr>
        <w:t xml:space="preserve"> </w:t>
      </w:r>
      <w:r>
        <w:rPr>
          <w:rFonts w:ascii="Times New Roman"/>
          <w:sz w:val="18"/>
        </w:rPr>
        <w:t>the</w:t>
      </w:r>
      <w:r>
        <w:rPr>
          <w:rFonts w:ascii="Times New Roman"/>
          <w:spacing w:val="-2"/>
          <w:sz w:val="18"/>
        </w:rPr>
        <w:t xml:space="preserve"> </w:t>
      </w:r>
      <w:r>
        <w:rPr>
          <w:rFonts w:ascii="Times New Roman"/>
          <w:i/>
          <w:sz w:val="18"/>
        </w:rPr>
        <w:t>Acts Interpretation Act 1901</w:t>
      </w:r>
      <w:r>
        <w:rPr>
          <w:rFonts w:ascii="Times New Roman"/>
          <w:sz w:val="18"/>
        </w:rPr>
        <w:t>.</w:t>
      </w:r>
    </w:p>
    <w:p w14:paraId="610A0451" w14:textId="77777777" w:rsidR="00811887" w:rsidRDefault="00811887" w:rsidP="00811887">
      <w:pPr>
        <w:pStyle w:val="BodyText"/>
        <w:spacing w:before="33"/>
        <w:rPr>
          <w:rFonts w:ascii="Times New Roman"/>
          <w:sz w:val="18"/>
        </w:rPr>
      </w:pPr>
    </w:p>
    <w:p w14:paraId="58546EF1" w14:textId="77777777" w:rsidR="00811887" w:rsidRDefault="00811887" w:rsidP="00811887">
      <w:pPr>
        <w:ind w:left="2803"/>
        <w:rPr>
          <w:rFonts w:ascii="Times New Roman"/>
          <w:i/>
        </w:rPr>
      </w:pPr>
      <w:r>
        <w:rPr>
          <w:rFonts w:ascii="Times New Roman"/>
          <w:i/>
        </w:rPr>
        <w:t>Membership</w:t>
      </w:r>
      <w:r>
        <w:rPr>
          <w:rFonts w:ascii="Times New Roman"/>
          <w:i/>
          <w:spacing w:val="-7"/>
        </w:rPr>
        <w:t xml:space="preserve"> </w:t>
      </w:r>
      <w:r>
        <w:rPr>
          <w:rFonts w:ascii="Times New Roman"/>
          <w:i/>
          <w:spacing w:val="-2"/>
        </w:rPr>
        <w:t>requirements</w:t>
      </w:r>
    </w:p>
    <w:p w14:paraId="3A30F362"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744"/>
        <w:contextualSpacing w:val="0"/>
        <w:rPr>
          <w:rFonts w:ascii="Times New Roman"/>
        </w:rPr>
      </w:pPr>
      <w:r>
        <w:rPr>
          <w:rFonts w:ascii="Times New Roman"/>
        </w:rPr>
        <w:t>In appointing the Chair and other members of the Committee, the Minister</w:t>
      </w:r>
      <w:r>
        <w:rPr>
          <w:rFonts w:ascii="Times New Roman"/>
          <w:spacing w:val="-1"/>
        </w:rPr>
        <w:t xml:space="preserve"> </w:t>
      </w:r>
      <w:r>
        <w:rPr>
          <w:rFonts w:ascii="Times New Roman"/>
        </w:rPr>
        <w:t>must</w:t>
      </w:r>
      <w:r>
        <w:rPr>
          <w:rFonts w:ascii="Times New Roman"/>
          <w:spacing w:val="-4"/>
        </w:rPr>
        <w:t xml:space="preserve"> </w:t>
      </w:r>
      <w:r>
        <w:rPr>
          <w:rFonts w:ascii="Times New Roman"/>
        </w:rPr>
        <w:t>ensure</w:t>
      </w:r>
      <w:r>
        <w:rPr>
          <w:rFonts w:ascii="Times New Roman"/>
          <w:spacing w:val="-5"/>
        </w:rPr>
        <w:t xml:space="preserve"> </w:t>
      </w:r>
      <w:r>
        <w:rPr>
          <w:rFonts w:ascii="Times New Roman"/>
        </w:rPr>
        <w:t>that</w:t>
      </w:r>
      <w:r>
        <w:rPr>
          <w:rFonts w:ascii="Times New Roman"/>
          <w:spacing w:val="-2"/>
        </w:rPr>
        <w:t xml:space="preserve"> </w:t>
      </w:r>
      <w:r>
        <w:rPr>
          <w:rFonts w:ascii="Times New Roman"/>
        </w:rPr>
        <w:t>each</w:t>
      </w:r>
      <w:r>
        <w:rPr>
          <w:rFonts w:ascii="Times New Roman"/>
          <w:spacing w:val="-3"/>
        </w:rPr>
        <w:t xml:space="preserve"> </w:t>
      </w:r>
      <w:r>
        <w:rPr>
          <w:rFonts w:ascii="Times New Roman"/>
        </w:rPr>
        <w:t>member</w:t>
      </w:r>
      <w:r>
        <w:rPr>
          <w:rFonts w:ascii="Times New Roman"/>
          <w:spacing w:val="-2"/>
        </w:rPr>
        <w:t xml:space="preserve"> </w:t>
      </w:r>
      <w:r>
        <w:rPr>
          <w:rFonts w:ascii="Times New Roman"/>
        </w:rPr>
        <w:t>is</w:t>
      </w:r>
      <w:r>
        <w:rPr>
          <w:rFonts w:ascii="Times New Roman"/>
          <w:spacing w:val="-3"/>
        </w:rPr>
        <w:t xml:space="preserve"> </w:t>
      </w:r>
      <w:r>
        <w:rPr>
          <w:rFonts w:ascii="Times New Roman"/>
        </w:rPr>
        <w:t>one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5"/>
        </w:rPr>
        <w:t xml:space="preserve"> </w:t>
      </w:r>
      <w:r>
        <w:rPr>
          <w:rFonts w:ascii="Times New Roman"/>
        </w:rPr>
        <w:t>following</w:t>
      </w:r>
      <w:r>
        <w:rPr>
          <w:rFonts w:ascii="Times New Roman"/>
          <w:spacing w:val="-6"/>
        </w:rPr>
        <w:t xml:space="preserve"> </w:t>
      </w:r>
      <w:r>
        <w:rPr>
          <w:rFonts w:ascii="Times New Roman"/>
        </w:rPr>
        <w:t>and that there is at least one of each of the following:</w:t>
      </w:r>
    </w:p>
    <w:p w14:paraId="02F5DCA8" w14:textId="77777777" w:rsidR="00811887" w:rsidRDefault="00811887" w:rsidP="00FB2FE9">
      <w:pPr>
        <w:pStyle w:val="ListParagraph"/>
        <w:widowControl w:val="0"/>
        <w:numPr>
          <w:ilvl w:val="2"/>
          <w:numId w:val="77"/>
        </w:numPr>
        <w:tabs>
          <w:tab w:val="left" w:pos="3313"/>
        </w:tabs>
        <w:autoSpaceDE w:val="0"/>
        <w:autoSpaceDN w:val="0"/>
        <w:spacing w:before="41" w:after="0"/>
        <w:ind w:left="3313" w:hanging="356"/>
        <w:contextualSpacing w:val="0"/>
        <w:rPr>
          <w:rFonts w:ascii="Times New Roman"/>
        </w:rPr>
      </w:pPr>
      <w:r>
        <w:rPr>
          <w:rFonts w:ascii="Times New Roman"/>
        </w:rPr>
        <w:t>an</w:t>
      </w:r>
      <w:r>
        <w:rPr>
          <w:rFonts w:ascii="Times New Roman"/>
          <w:spacing w:val="-4"/>
        </w:rPr>
        <w:t xml:space="preserve"> </w:t>
      </w:r>
      <w:r>
        <w:rPr>
          <w:rFonts w:ascii="Times New Roman"/>
        </w:rPr>
        <w:t>academic</w:t>
      </w:r>
      <w:r>
        <w:rPr>
          <w:rFonts w:ascii="Times New Roman"/>
          <w:spacing w:val="-3"/>
        </w:rPr>
        <w:t xml:space="preserve"> </w:t>
      </w:r>
      <w:r>
        <w:rPr>
          <w:rFonts w:ascii="Times New Roman"/>
        </w:rPr>
        <w:t>expert</w:t>
      </w:r>
      <w:r>
        <w:rPr>
          <w:rFonts w:ascii="Times New Roman"/>
          <w:spacing w:val="-2"/>
        </w:rPr>
        <w:t xml:space="preserve"> </w:t>
      </w:r>
      <w:r>
        <w:rPr>
          <w:rFonts w:ascii="Times New Roman"/>
        </w:rPr>
        <w:t>in</w:t>
      </w:r>
      <w:r>
        <w:rPr>
          <w:rFonts w:ascii="Times New Roman"/>
          <w:spacing w:val="-5"/>
        </w:rPr>
        <w:t xml:space="preserve"> </w:t>
      </w:r>
      <w:r>
        <w:rPr>
          <w:rFonts w:ascii="Times New Roman"/>
        </w:rPr>
        <w:t>social</w:t>
      </w:r>
      <w:r>
        <w:rPr>
          <w:rFonts w:ascii="Times New Roman"/>
          <w:spacing w:val="-2"/>
        </w:rPr>
        <w:t xml:space="preserve"> security;</w:t>
      </w:r>
    </w:p>
    <w:p w14:paraId="2D1EDBA5" w14:textId="77777777" w:rsidR="00811887" w:rsidRDefault="00811887" w:rsidP="00FB2FE9">
      <w:pPr>
        <w:pStyle w:val="ListParagraph"/>
        <w:widowControl w:val="0"/>
        <w:numPr>
          <w:ilvl w:val="2"/>
          <w:numId w:val="77"/>
        </w:numPr>
        <w:tabs>
          <w:tab w:val="left" w:pos="3313"/>
        </w:tabs>
        <w:autoSpaceDE w:val="0"/>
        <w:autoSpaceDN w:val="0"/>
        <w:spacing w:before="40" w:after="0"/>
        <w:ind w:left="3313" w:hanging="368"/>
        <w:contextualSpacing w:val="0"/>
        <w:rPr>
          <w:rFonts w:ascii="Times New Roman"/>
        </w:rPr>
      </w:pPr>
      <w:r>
        <w:rPr>
          <w:rFonts w:ascii="Times New Roman"/>
        </w:rPr>
        <w:t xml:space="preserve">an </w:t>
      </w:r>
      <w:r>
        <w:rPr>
          <w:rFonts w:ascii="Times New Roman"/>
          <w:spacing w:val="-2"/>
        </w:rPr>
        <w:t>economist;</w:t>
      </w:r>
    </w:p>
    <w:p w14:paraId="13DD0EC8" w14:textId="77777777" w:rsidR="00811887" w:rsidRDefault="00811887" w:rsidP="00FB2FE9">
      <w:pPr>
        <w:pStyle w:val="ListParagraph"/>
        <w:widowControl w:val="0"/>
        <w:numPr>
          <w:ilvl w:val="2"/>
          <w:numId w:val="77"/>
        </w:numPr>
        <w:tabs>
          <w:tab w:val="left" w:pos="3312"/>
          <w:tab w:val="left" w:pos="3314"/>
        </w:tabs>
        <w:autoSpaceDE w:val="0"/>
        <w:autoSpaceDN w:val="0"/>
        <w:spacing w:before="39" w:after="0"/>
        <w:ind w:right="1696"/>
        <w:contextualSpacing w:val="0"/>
        <w:rPr>
          <w:rFonts w:ascii="Times New Roman" w:hAnsi="Times New Roman"/>
        </w:rPr>
      </w:pPr>
      <w:r>
        <w:rPr>
          <w:rFonts w:ascii="Times New Roman" w:hAnsi="Times New Roman"/>
        </w:rPr>
        <w:t>a</w:t>
      </w:r>
      <w:r>
        <w:rPr>
          <w:rFonts w:ascii="Times New Roman" w:hAnsi="Times New Roman"/>
          <w:spacing w:val="-4"/>
        </w:rPr>
        <w:t xml:space="preserve"> </w:t>
      </w:r>
      <w:r>
        <w:rPr>
          <w:rFonts w:ascii="Times New Roman" w:hAnsi="Times New Roman"/>
        </w:rPr>
        <w:t>representative</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an</w:t>
      </w:r>
      <w:r>
        <w:rPr>
          <w:rFonts w:ascii="Times New Roman" w:hAnsi="Times New Roman"/>
          <w:spacing w:val="-4"/>
        </w:rPr>
        <w:t xml:space="preserve"> </w:t>
      </w:r>
      <w:r>
        <w:rPr>
          <w:rFonts w:ascii="Times New Roman" w:hAnsi="Times New Roman"/>
        </w:rPr>
        <w:t>organisation</w:t>
      </w:r>
      <w:r>
        <w:rPr>
          <w:rFonts w:ascii="Times New Roman" w:hAnsi="Times New Roman"/>
          <w:spacing w:val="-4"/>
        </w:rPr>
        <w:t xml:space="preserve"> </w:t>
      </w:r>
      <w:r>
        <w:rPr>
          <w:rFonts w:ascii="Times New Roman" w:hAnsi="Times New Roman"/>
        </w:rPr>
        <w:t>which</w:t>
      </w:r>
      <w:r>
        <w:rPr>
          <w:rFonts w:ascii="Times New Roman" w:hAnsi="Times New Roman"/>
          <w:spacing w:val="-4"/>
        </w:rPr>
        <w:t xml:space="preserve"> </w:t>
      </w:r>
      <w:r>
        <w:rPr>
          <w:rFonts w:ascii="Times New Roman" w:hAnsi="Times New Roman"/>
        </w:rPr>
        <w:t>advocates,</w:t>
      </w:r>
      <w:r>
        <w:rPr>
          <w:rFonts w:ascii="Times New Roman" w:hAnsi="Times New Roman"/>
          <w:spacing w:val="-7"/>
        </w:rPr>
        <w:t xml:space="preserve"> </w:t>
      </w:r>
      <w:r>
        <w:rPr>
          <w:rFonts w:ascii="Times New Roman" w:hAnsi="Times New Roman"/>
        </w:rPr>
        <w:t>or</w:t>
      </w:r>
      <w:r>
        <w:rPr>
          <w:rFonts w:ascii="Times New Roman" w:hAnsi="Times New Roman"/>
          <w:spacing w:val="-6"/>
        </w:rPr>
        <w:t xml:space="preserve"> </w:t>
      </w:r>
      <w:r>
        <w:rPr>
          <w:rFonts w:ascii="Times New Roman" w:hAnsi="Times New Roman"/>
        </w:rPr>
        <w:t xml:space="preserve">which consists of individuals with lived experience, in relation to a matter relevant to the performance of the Committee’s </w:t>
      </w:r>
      <w:r>
        <w:rPr>
          <w:rFonts w:ascii="Times New Roman" w:hAnsi="Times New Roman"/>
          <w:spacing w:val="-2"/>
        </w:rPr>
        <w:t>function;</w:t>
      </w:r>
    </w:p>
    <w:p w14:paraId="228CBDDD" w14:textId="77777777" w:rsidR="00811887" w:rsidRDefault="00811887" w:rsidP="00FB2FE9">
      <w:pPr>
        <w:pStyle w:val="ListParagraph"/>
        <w:widowControl w:val="0"/>
        <w:numPr>
          <w:ilvl w:val="2"/>
          <w:numId w:val="77"/>
        </w:numPr>
        <w:tabs>
          <w:tab w:val="left" w:pos="3312"/>
          <w:tab w:val="left" w:pos="3314"/>
        </w:tabs>
        <w:autoSpaceDE w:val="0"/>
        <w:autoSpaceDN w:val="0"/>
        <w:spacing w:before="42" w:after="0"/>
        <w:ind w:right="2406" w:hanging="370"/>
        <w:contextualSpacing w:val="0"/>
        <w:rPr>
          <w:rFonts w:ascii="Times New Roman"/>
        </w:rPr>
      </w:pPr>
      <w:r>
        <w:rPr>
          <w:rFonts w:ascii="Times New Roman"/>
        </w:rPr>
        <w:t>a representative of the community sector involved in assisting</w:t>
      </w:r>
      <w:r>
        <w:rPr>
          <w:rFonts w:ascii="Times New Roman"/>
          <w:spacing w:val="-7"/>
        </w:rPr>
        <w:t xml:space="preserve"> </w:t>
      </w:r>
      <w:r>
        <w:rPr>
          <w:rFonts w:ascii="Times New Roman"/>
        </w:rPr>
        <w:t>or</w:t>
      </w:r>
      <w:r>
        <w:rPr>
          <w:rFonts w:ascii="Times New Roman"/>
          <w:spacing w:val="-5"/>
        </w:rPr>
        <w:t xml:space="preserve"> </w:t>
      </w:r>
      <w:r>
        <w:rPr>
          <w:rFonts w:ascii="Times New Roman"/>
        </w:rPr>
        <w:t>supporting</w:t>
      </w:r>
      <w:r>
        <w:rPr>
          <w:rFonts w:ascii="Times New Roman"/>
          <w:spacing w:val="-7"/>
        </w:rPr>
        <w:t xml:space="preserve"> </w:t>
      </w:r>
      <w:r>
        <w:rPr>
          <w:rFonts w:ascii="Times New Roman"/>
        </w:rPr>
        <w:t>persons</w:t>
      </w:r>
      <w:r>
        <w:rPr>
          <w:rFonts w:ascii="Times New Roman"/>
          <w:spacing w:val="-4"/>
        </w:rPr>
        <w:t xml:space="preserve"> </w:t>
      </w:r>
      <w:r>
        <w:rPr>
          <w:rFonts w:ascii="Times New Roman"/>
        </w:rPr>
        <w:t>who</w:t>
      </w:r>
      <w:r>
        <w:rPr>
          <w:rFonts w:ascii="Times New Roman"/>
          <w:spacing w:val="-5"/>
        </w:rPr>
        <w:t xml:space="preserve"> </w:t>
      </w:r>
      <w:r>
        <w:rPr>
          <w:rFonts w:ascii="Times New Roman"/>
        </w:rPr>
        <w:t>are</w:t>
      </w:r>
      <w:r>
        <w:rPr>
          <w:rFonts w:ascii="Times New Roman"/>
          <w:spacing w:val="-5"/>
        </w:rPr>
        <w:t xml:space="preserve"> </w:t>
      </w:r>
      <w:r>
        <w:rPr>
          <w:rFonts w:ascii="Times New Roman"/>
        </w:rPr>
        <w:t xml:space="preserve">economically </w:t>
      </w:r>
      <w:r>
        <w:rPr>
          <w:rFonts w:ascii="Times New Roman"/>
          <w:spacing w:val="-2"/>
        </w:rPr>
        <w:t>disadvantaged;</w:t>
      </w:r>
    </w:p>
    <w:p w14:paraId="0C5C8B66" w14:textId="77777777" w:rsidR="00811887" w:rsidRDefault="00811887" w:rsidP="00FB2FE9">
      <w:pPr>
        <w:pStyle w:val="ListParagraph"/>
        <w:widowControl w:val="0"/>
        <w:numPr>
          <w:ilvl w:val="2"/>
          <w:numId w:val="77"/>
        </w:numPr>
        <w:tabs>
          <w:tab w:val="left" w:pos="3313"/>
        </w:tabs>
        <w:autoSpaceDE w:val="0"/>
        <w:autoSpaceDN w:val="0"/>
        <w:spacing w:before="40" w:after="0"/>
        <w:ind w:left="3313" w:hanging="356"/>
        <w:contextualSpacing w:val="0"/>
        <w:rPr>
          <w:rFonts w:ascii="Times New Roman"/>
        </w:rPr>
      </w:pPr>
      <w:r>
        <w:rPr>
          <w:rFonts w:ascii="Times New Roman"/>
        </w:rPr>
        <w:t>a</w:t>
      </w:r>
      <w:r>
        <w:rPr>
          <w:rFonts w:ascii="Times New Roman"/>
          <w:spacing w:val="-3"/>
        </w:rPr>
        <w:t xml:space="preserve"> </w:t>
      </w:r>
      <w:r>
        <w:rPr>
          <w:rFonts w:ascii="Times New Roman"/>
        </w:rPr>
        <w:t>representative</w:t>
      </w:r>
      <w:r>
        <w:rPr>
          <w:rFonts w:ascii="Times New Roman"/>
          <w:spacing w:val="-3"/>
        </w:rPr>
        <w:t xml:space="preserve"> </w:t>
      </w:r>
      <w:r>
        <w:rPr>
          <w:rFonts w:ascii="Times New Roman"/>
        </w:rPr>
        <w:t>of</w:t>
      </w:r>
      <w:r>
        <w:rPr>
          <w:rFonts w:ascii="Times New Roman"/>
          <w:spacing w:val="-1"/>
        </w:rPr>
        <w:t xml:space="preserve"> </w:t>
      </w:r>
      <w:r>
        <w:rPr>
          <w:rFonts w:ascii="Times New Roman"/>
        </w:rPr>
        <w:t>a</w:t>
      </w:r>
      <w:r>
        <w:rPr>
          <w:rFonts w:ascii="Times New Roman"/>
          <w:spacing w:val="-5"/>
        </w:rPr>
        <w:t xml:space="preserve"> </w:t>
      </w:r>
      <w:r>
        <w:rPr>
          <w:rFonts w:ascii="Times New Roman"/>
        </w:rPr>
        <w:t>trade</w:t>
      </w:r>
      <w:r>
        <w:rPr>
          <w:rFonts w:ascii="Times New Roman"/>
          <w:spacing w:val="-4"/>
        </w:rPr>
        <w:t xml:space="preserve"> </w:t>
      </w:r>
      <w:r>
        <w:rPr>
          <w:rFonts w:ascii="Times New Roman"/>
        </w:rPr>
        <w:t>union</w:t>
      </w:r>
      <w:r>
        <w:rPr>
          <w:rFonts w:ascii="Times New Roman"/>
          <w:spacing w:val="-1"/>
        </w:rPr>
        <w:t xml:space="preserve"> </w:t>
      </w:r>
      <w:r>
        <w:rPr>
          <w:rFonts w:ascii="Times New Roman"/>
        </w:rPr>
        <w:t>or</w:t>
      </w:r>
      <w:r>
        <w:rPr>
          <w:rFonts w:ascii="Times New Roman"/>
          <w:spacing w:val="-2"/>
        </w:rPr>
        <w:t xml:space="preserve"> </w:t>
      </w:r>
      <w:r>
        <w:rPr>
          <w:rFonts w:ascii="Times New Roman"/>
        </w:rPr>
        <w:t>a</w:t>
      </w:r>
      <w:r>
        <w:rPr>
          <w:rFonts w:ascii="Times New Roman"/>
          <w:spacing w:val="-3"/>
        </w:rPr>
        <w:t xml:space="preserve"> </w:t>
      </w:r>
      <w:r>
        <w:rPr>
          <w:rFonts w:ascii="Times New Roman"/>
        </w:rPr>
        <w:t>peak</w:t>
      </w:r>
      <w:r>
        <w:rPr>
          <w:rFonts w:ascii="Times New Roman"/>
          <w:spacing w:val="-5"/>
        </w:rPr>
        <w:t xml:space="preserve"> </w:t>
      </w:r>
      <w:r>
        <w:rPr>
          <w:rFonts w:ascii="Times New Roman"/>
        </w:rPr>
        <w:t>trade</w:t>
      </w:r>
      <w:r>
        <w:rPr>
          <w:rFonts w:ascii="Times New Roman"/>
          <w:spacing w:val="-3"/>
        </w:rPr>
        <w:t xml:space="preserve"> </w:t>
      </w:r>
      <w:r>
        <w:rPr>
          <w:rFonts w:ascii="Times New Roman"/>
        </w:rPr>
        <w:t>union</w:t>
      </w:r>
      <w:r>
        <w:rPr>
          <w:rFonts w:ascii="Times New Roman"/>
          <w:spacing w:val="-5"/>
        </w:rPr>
        <w:t xml:space="preserve"> </w:t>
      </w:r>
      <w:r>
        <w:rPr>
          <w:rFonts w:ascii="Times New Roman"/>
          <w:spacing w:val="-2"/>
        </w:rPr>
        <w:t>body;</w:t>
      </w:r>
    </w:p>
    <w:p w14:paraId="555C7FCD" w14:textId="77777777" w:rsidR="00811887" w:rsidRDefault="00811887" w:rsidP="00FB2FE9">
      <w:pPr>
        <w:pStyle w:val="ListParagraph"/>
        <w:widowControl w:val="0"/>
        <w:numPr>
          <w:ilvl w:val="2"/>
          <w:numId w:val="77"/>
        </w:numPr>
        <w:tabs>
          <w:tab w:val="left" w:pos="3311"/>
          <w:tab w:val="left" w:pos="3314"/>
        </w:tabs>
        <w:autoSpaceDE w:val="0"/>
        <w:autoSpaceDN w:val="0"/>
        <w:spacing w:before="40" w:after="0"/>
        <w:ind w:right="1887" w:hanging="334"/>
        <w:contextualSpacing w:val="0"/>
        <w:rPr>
          <w:rFonts w:ascii="Times New Roman"/>
        </w:rPr>
      </w:pPr>
      <w:r>
        <w:rPr>
          <w:rFonts w:ascii="Times New Roman"/>
        </w:rPr>
        <w:t>a</w:t>
      </w:r>
      <w:r>
        <w:rPr>
          <w:rFonts w:ascii="Times New Roman"/>
          <w:spacing w:val="-4"/>
        </w:rPr>
        <w:t xml:space="preserve"> </w:t>
      </w:r>
      <w:r>
        <w:rPr>
          <w:rFonts w:ascii="Times New Roman"/>
        </w:rPr>
        <w:t>representative</w:t>
      </w:r>
      <w:r>
        <w:rPr>
          <w:rFonts w:ascii="Times New Roman"/>
          <w:spacing w:val="-4"/>
        </w:rPr>
        <w:t xml:space="preserve"> </w:t>
      </w:r>
      <w:r>
        <w:rPr>
          <w:rFonts w:ascii="Times New Roman"/>
        </w:rPr>
        <w:t>of</w:t>
      </w:r>
      <w:r>
        <w:rPr>
          <w:rFonts w:ascii="Times New Roman"/>
          <w:spacing w:val="-3"/>
        </w:rPr>
        <w:t xml:space="preserve"> </w:t>
      </w:r>
      <w:r>
        <w:rPr>
          <w:rFonts w:ascii="Times New Roman"/>
        </w:rPr>
        <w:t>an</w:t>
      </w:r>
      <w:r>
        <w:rPr>
          <w:rFonts w:ascii="Times New Roman"/>
          <w:spacing w:val="-3"/>
        </w:rPr>
        <w:t xml:space="preserve"> </w:t>
      </w:r>
      <w:r>
        <w:rPr>
          <w:rFonts w:ascii="Times New Roman"/>
        </w:rPr>
        <w:t>employer</w:t>
      </w:r>
      <w:r>
        <w:rPr>
          <w:rFonts w:ascii="Times New Roman"/>
          <w:spacing w:val="-3"/>
        </w:rPr>
        <w:t xml:space="preserve"> </w:t>
      </w:r>
      <w:r>
        <w:rPr>
          <w:rFonts w:ascii="Times New Roman"/>
        </w:rPr>
        <w:t>or</w:t>
      </w:r>
      <w:r>
        <w:rPr>
          <w:rFonts w:ascii="Times New Roman"/>
          <w:spacing w:val="-4"/>
        </w:rPr>
        <w:t xml:space="preserve"> </w:t>
      </w:r>
      <w:r>
        <w:rPr>
          <w:rFonts w:ascii="Times New Roman"/>
        </w:rPr>
        <w:t>business</w:t>
      </w:r>
      <w:r>
        <w:rPr>
          <w:rFonts w:ascii="Times New Roman"/>
          <w:spacing w:val="-6"/>
        </w:rPr>
        <w:t xml:space="preserve"> </w:t>
      </w:r>
      <w:r>
        <w:rPr>
          <w:rFonts w:ascii="Times New Roman"/>
        </w:rPr>
        <w:t>association</w:t>
      </w:r>
      <w:r>
        <w:rPr>
          <w:rFonts w:ascii="Times New Roman"/>
          <w:spacing w:val="-2"/>
        </w:rPr>
        <w:t xml:space="preserve"> </w:t>
      </w:r>
      <w:r>
        <w:rPr>
          <w:rFonts w:ascii="Times New Roman"/>
        </w:rPr>
        <w:t>or</w:t>
      </w:r>
      <w:r>
        <w:rPr>
          <w:rFonts w:ascii="Times New Roman"/>
          <w:spacing w:val="-4"/>
        </w:rPr>
        <w:t xml:space="preserve"> </w:t>
      </w:r>
      <w:r>
        <w:rPr>
          <w:rFonts w:ascii="Times New Roman"/>
        </w:rPr>
        <w:t>a peak employer or business association.</w:t>
      </w:r>
    </w:p>
    <w:p w14:paraId="589FBAB5" w14:textId="77777777" w:rsidR="00811887" w:rsidRDefault="00811887" w:rsidP="00FB2FE9">
      <w:pPr>
        <w:pStyle w:val="ListParagraph"/>
        <w:widowControl w:val="0"/>
        <w:numPr>
          <w:ilvl w:val="1"/>
          <w:numId w:val="77"/>
        </w:numPr>
        <w:tabs>
          <w:tab w:val="left" w:pos="2801"/>
        </w:tabs>
        <w:autoSpaceDE w:val="0"/>
        <w:autoSpaceDN w:val="0"/>
        <w:spacing w:before="179" w:after="0"/>
        <w:ind w:left="2801" w:hanging="368"/>
        <w:contextualSpacing w:val="0"/>
        <w:rPr>
          <w:rFonts w:ascii="Times New Roman"/>
        </w:rPr>
      </w:pPr>
      <w:r>
        <w:rPr>
          <w:rFonts w:ascii="Times New Roman"/>
        </w:rPr>
        <w:t>The</w:t>
      </w:r>
      <w:r>
        <w:rPr>
          <w:rFonts w:ascii="Times New Roman"/>
          <w:spacing w:val="-7"/>
        </w:rPr>
        <w:t xml:space="preserve"> </w:t>
      </w:r>
      <w:r>
        <w:rPr>
          <w:rFonts w:ascii="Times New Roman"/>
        </w:rPr>
        <w:t>Minister</w:t>
      </w:r>
      <w:r>
        <w:rPr>
          <w:rFonts w:ascii="Times New Roman"/>
          <w:spacing w:val="-3"/>
        </w:rPr>
        <w:t xml:space="preserve"> </w:t>
      </w:r>
      <w:r>
        <w:rPr>
          <w:rFonts w:ascii="Times New Roman"/>
        </w:rPr>
        <w:t>must</w:t>
      </w:r>
      <w:r>
        <w:rPr>
          <w:rFonts w:ascii="Times New Roman"/>
          <w:spacing w:val="-1"/>
        </w:rPr>
        <w:t xml:space="preserve"> </w:t>
      </w:r>
      <w:r>
        <w:rPr>
          <w:rFonts w:ascii="Times New Roman"/>
          <w:spacing w:val="-4"/>
        </w:rPr>
        <w:t>also:</w:t>
      </w:r>
    </w:p>
    <w:p w14:paraId="02CA866D" w14:textId="77777777" w:rsidR="00811887" w:rsidRDefault="00811887" w:rsidP="00FB2FE9">
      <w:pPr>
        <w:pStyle w:val="ListParagraph"/>
        <w:widowControl w:val="0"/>
        <w:numPr>
          <w:ilvl w:val="2"/>
          <w:numId w:val="77"/>
        </w:numPr>
        <w:tabs>
          <w:tab w:val="left" w:pos="3312"/>
          <w:tab w:val="left" w:pos="3314"/>
        </w:tabs>
        <w:autoSpaceDE w:val="0"/>
        <w:autoSpaceDN w:val="0"/>
        <w:spacing w:before="42" w:after="0"/>
        <w:ind w:right="2006"/>
        <w:contextualSpacing w:val="0"/>
        <w:rPr>
          <w:rFonts w:ascii="Times New Roman"/>
        </w:rPr>
      </w:pPr>
      <w:r>
        <w:rPr>
          <w:rFonts w:ascii="Times New Roman"/>
        </w:rPr>
        <w:t>ensure</w:t>
      </w:r>
      <w:r>
        <w:rPr>
          <w:rFonts w:ascii="Times New Roman"/>
          <w:spacing w:val="-3"/>
        </w:rPr>
        <w:t xml:space="preserve"> </w:t>
      </w:r>
      <w:r>
        <w:rPr>
          <w:rFonts w:ascii="Times New Roman"/>
        </w:rPr>
        <w:t>that</w:t>
      </w:r>
      <w:r>
        <w:rPr>
          <w:rFonts w:ascii="Times New Roman"/>
          <w:spacing w:val="-5"/>
        </w:rPr>
        <w:t xml:space="preserve"> </w:t>
      </w:r>
      <w:r>
        <w:rPr>
          <w:rFonts w:ascii="Times New Roman"/>
        </w:rPr>
        <w:t>at</w:t>
      </w:r>
      <w:r>
        <w:rPr>
          <w:rFonts w:ascii="Times New Roman"/>
          <w:spacing w:val="-5"/>
        </w:rPr>
        <w:t xml:space="preserve"> </w:t>
      </w:r>
      <w:r>
        <w:rPr>
          <w:rFonts w:ascii="Times New Roman"/>
        </w:rPr>
        <w:t>least</w:t>
      </w:r>
      <w:r>
        <w:rPr>
          <w:rFonts w:ascii="Times New Roman"/>
          <w:spacing w:val="-5"/>
        </w:rPr>
        <w:t xml:space="preserve"> </w:t>
      </w:r>
      <w:r>
        <w:rPr>
          <w:rFonts w:ascii="Times New Roman"/>
        </w:rPr>
        <w:t>one</w:t>
      </w:r>
      <w:r>
        <w:rPr>
          <w:rFonts w:ascii="Times New Roman"/>
          <w:spacing w:val="-3"/>
        </w:rPr>
        <w:t xml:space="preserve"> </w:t>
      </w:r>
      <w:r>
        <w:rPr>
          <w:rFonts w:ascii="Times New Roman"/>
        </w:rPr>
        <w:t>of</w:t>
      </w:r>
      <w:r>
        <w:rPr>
          <w:rFonts w:ascii="Times New Roman"/>
          <w:spacing w:val="-3"/>
        </w:rPr>
        <w:t xml:space="preserve"> </w:t>
      </w:r>
      <w:r>
        <w:rPr>
          <w:rFonts w:ascii="Times New Roman"/>
        </w:rPr>
        <w:t>those</w:t>
      </w:r>
      <w:r>
        <w:rPr>
          <w:rFonts w:ascii="Times New Roman"/>
          <w:spacing w:val="-2"/>
        </w:rPr>
        <w:t xml:space="preserve"> </w:t>
      </w:r>
      <w:r>
        <w:rPr>
          <w:rFonts w:ascii="Times New Roman"/>
        </w:rPr>
        <w:t>members</w:t>
      </w:r>
      <w:r>
        <w:rPr>
          <w:rFonts w:ascii="Times New Roman"/>
          <w:spacing w:val="-3"/>
        </w:rPr>
        <w:t xml:space="preserve"> </w:t>
      </w:r>
      <w:r>
        <w:rPr>
          <w:rFonts w:ascii="Times New Roman"/>
        </w:rPr>
        <w:t>is</w:t>
      </w:r>
      <w:r>
        <w:rPr>
          <w:rFonts w:ascii="Times New Roman"/>
          <w:spacing w:val="-3"/>
        </w:rPr>
        <w:t xml:space="preserve"> </w:t>
      </w:r>
      <w:r>
        <w:rPr>
          <w:rFonts w:ascii="Times New Roman"/>
        </w:rPr>
        <w:t>an</w:t>
      </w:r>
      <w:r>
        <w:rPr>
          <w:rFonts w:ascii="Times New Roman"/>
          <w:spacing w:val="-3"/>
        </w:rPr>
        <w:t xml:space="preserve"> </w:t>
      </w:r>
      <w:r>
        <w:rPr>
          <w:rFonts w:ascii="Times New Roman"/>
        </w:rPr>
        <w:t>Indigenous person; and</w:t>
      </w:r>
    </w:p>
    <w:p w14:paraId="2E93C0D1" w14:textId="77777777" w:rsidR="00811887" w:rsidRDefault="00811887" w:rsidP="00811887">
      <w:pPr>
        <w:pStyle w:val="BodyText"/>
        <w:spacing w:before="136"/>
        <w:rPr>
          <w:rFonts w:ascii="Times New Roman"/>
        </w:rPr>
      </w:pPr>
      <w:r>
        <w:rPr>
          <w:noProof/>
        </w:rPr>
        <mc:AlternateContent>
          <mc:Choice Requires="wps">
            <w:drawing>
              <wp:anchor distT="0" distB="0" distL="0" distR="0" simplePos="0" relativeHeight="251710464" behindDoc="1" locked="0" layoutInCell="1" allowOverlap="1" wp14:anchorId="7EE11E74" wp14:editId="1D5A4F3D">
                <wp:simplePos x="0" y="0"/>
                <wp:positionH relativeFrom="page">
                  <wp:posOffset>1512061</wp:posOffset>
                </wp:positionH>
                <wp:positionV relativeFrom="paragraph">
                  <wp:posOffset>248230</wp:posOffset>
                </wp:positionV>
                <wp:extent cx="4538345" cy="9525"/>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882DCA" id="Graphic 27" o:spid="_x0000_s1026" alt="&quot;&quot;" style="position:absolute;margin-left:119.05pt;margin-top:19.55pt;width:357.35pt;height:.75pt;z-index:-25160601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" path="m4537837,l,,,9143r4537837,l4537837,xe" fillcolor="black" stroked="f">
                <v:path arrowok="t"/>
                <w10:wrap type="topAndBottom" anchorx="page"/>
              </v:shape>
            </w:pict>
          </mc:Fallback>
        </mc:AlternateContent>
      </w:r>
    </w:p>
    <w:p w14:paraId="7558D4C3" w14:textId="77777777" w:rsidR="00811887" w:rsidRDefault="00811887" w:rsidP="00811887">
      <w:pPr>
        <w:pStyle w:val="BodyText"/>
        <w:spacing w:before="121"/>
        <w:rPr>
          <w:rFonts w:ascii="Times New Roman"/>
          <w:sz w:val="18"/>
        </w:rPr>
      </w:pPr>
    </w:p>
    <w:p w14:paraId="6BE72E94" w14:textId="77777777" w:rsidR="00811887" w:rsidRDefault="00811887" w:rsidP="00811887">
      <w:pPr>
        <w:tabs>
          <w:tab w:val="left" w:pos="3084"/>
          <w:tab w:val="left" w:pos="7738"/>
        </w:tabs>
        <w:ind w:left="1670"/>
        <w:rPr>
          <w:rFonts w:ascii="Times New Roman"/>
          <w:i/>
          <w:sz w:val="18"/>
        </w:rPr>
      </w:pPr>
      <w:r>
        <w:rPr>
          <w:rFonts w:ascii="Times New Roman"/>
          <w:i/>
          <w:spacing w:val="-10"/>
          <w:sz w:val="18"/>
        </w:rPr>
        <w:t>8</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1EF2D9C8"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6599846D" w14:textId="77777777" w:rsidR="00811887" w:rsidRDefault="00811887" w:rsidP="00811887">
      <w:pPr>
        <w:pStyle w:val="BodyText"/>
        <w:spacing w:before="65"/>
        <w:ind w:right="1685"/>
        <w:jc w:val="right"/>
        <w:rPr>
          <w:rFonts w:ascii="Times New Roman"/>
          <w:b/>
        </w:rPr>
      </w:pPr>
      <w:r>
        <w:rPr>
          <w:rFonts w:ascii="Times New Roman"/>
        </w:rPr>
        <w:lastRenderedPageBreak/>
        <w:t>Economic</w:t>
      </w:r>
      <w:r>
        <w:rPr>
          <w:rFonts w:ascii="Times New Roman"/>
          <w:spacing w:val="-7"/>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7"/>
        </w:rPr>
        <w:t xml:space="preserve"> </w:t>
      </w:r>
      <w:r>
        <w:rPr>
          <w:rFonts w:ascii="Times New Roman"/>
        </w:rPr>
        <w:t>Committee</w:t>
      </w:r>
      <w:r>
        <w:rPr>
          <w:rFonts w:ascii="Times New Roman"/>
          <w:spacing w:val="41"/>
        </w:rPr>
        <w:t xml:space="preserve"> </w:t>
      </w:r>
      <w:r>
        <w:rPr>
          <w:rFonts w:ascii="Times New Roman"/>
          <w:b/>
        </w:rPr>
        <w:t>Part</w:t>
      </w:r>
      <w:r>
        <w:rPr>
          <w:rFonts w:ascii="Times New Roman"/>
          <w:b/>
          <w:spacing w:val="-5"/>
        </w:rPr>
        <w:t xml:space="preserve"> </w:t>
      </w:r>
      <w:r>
        <w:rPr>
          <w:rFonts w:ascii="Times New Roman"/>
          <w:b/>
          <w:spacing w:val="-10"/>
        </w:rPr>
        <w:t>2</w:t>
      </w:r>
    </w:p>
    <w:p w14:paraId="4D7A4155" w14:textId="77777777" w:rsidR="00811887" w:rsidRDefault="00811887" w:rsidP="00811887">
      <w:pPr>
        <w:spacing w:before="32"/>
        <w:ind w:right="1685"/>
        <w:jc w:val="right"/>
        <w:rPr>
          <w:rFonts w:ascii="Times New Roman"/>
          <w:b/>
          <w:sz w:val="20"/>
        </w:rPr>
      </w:pPr>
      <w:r>
        <w:rPr>
          <w:rFonts w:ascii="Times New Roman"/>
          <w:sz w:val="20"/>
        </w:rPr>
        <w:t>Committee</w:t>
      </w:r>
      <w:r>
        <w:rPr>
          <w:rFonts w:ascii="Times New Roman"/>
          <w:spacing w:val="-4"/>
          <w:sz w:val="20"/>
        </w:rPr>
        <w:t xml:space="preserve"> </w:t>
      </w:r>
      <w:r>
        <w:rPr>
          <w:rFonts w:ascii="Times New Roman"/>
          <w:sz w:val="20"/>
        </w:rPr>
        <w:t>members</w:t>
      </w:r>
      <w:r>
        <w:rPr>
          <w:rFonts w:ascii="Times New Roman"/>
          <w:spacing w:val="39"/>
          <w:sz w:val="20"/>
        </w:rPr>
        <w:t xml:space="preserve"> </w:t>
      </w:r>
      <w:r>
        <w:rPr>
          <w:rFonts w:ascii="Times New Roman"/>
          <w:b/>
          <w:sz w:val="20"/>
        </w:rPr>
        <w:t>Division</w:t>
      </w:r>
      <w:r>
        <w:rPr>
          <w:rFonts w:ascii="Times New Roman"/>
          <w:b/>
          <w:spacing w:val="-7"/>
          <w:sz w:val="20"/>
        </w:rPr>
        <w:t xml:space="preserve"> </w:t>
      </w:r>
      <w:r>
        <w:rPr>
          <w:rFonts w:ascii="Times New Roman"/>
          <w:b/>
          <w:spacing w:val="-10"/>
          <w:sz w:val="20"/>
        </w:rPr>
        <w:t>3</w:t>
      </w:r>
    </w:p>
    <w:p w14:paraId="66293DC2" w14:textId="77777777" w:rsidR="00811887" w:rsidRDefault="00811887" w:rsidP="00811887">
      <w:pPr>
        <w:pStyle w:val="BodyText"/>
        <w:spacing w:before="45"/>
        <w:rPr>
          <w:rFonts w:ascii="Times New Roman"/>
          <w:b/>
        </w:rPr>
      </w:pPr>
    </w:p>
    <w:p w14:paraId="57331A2F"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11488" behindDoc="1" locked="0" layoutInCell="1" allowOverlap="1" wp14:anchorId="2C9E9DD2" wp14:editId="5C193FC7">
                <wp:simplePos x="0" y="0"/>
                <wp:positionH relativeFrom="page">
                  <wp:posOffset>1512061</wp:posOffset>
                </wp:positionH>
                <wp:positionV relativeFrom="paragraph">
                  <wp:posOffset>192823</wp:posOffset>
                </wp:positionV>
                <wp:extent cx="4538345" cy="9525"/>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7DF70" id="Graphic 28" o:spid="_x0000_s1026" alt="&quot;&quot;" style="position:absolute;margin-left:119.05pt;margin-top:15.2pt;width:357.35pt;height:.75pt;z-index:-25160499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12</w:t>
      </w:r>
    </w:p>
    <w:p w14:paraId="5E806DB1" w14:textId="77777777" w:rsidR="00811887" w:rsidRDefault="00811887" w:rsidP="00811887">
      <w:pPr>
        <w:pStyle w:val="BodyText"/>
        <w:spacing w:before="33"/>
        <w:rPr>
          <w:rFonts w:ascii="Times New Roman"/>
          <w:sz w:val="22"/>
        </w:rPr>
      </w:pPr>
    </w:p>
    <w:p w14:paraId="7FFCF95C" w14:textId="77777777" w:rsidR="00811887" w:rsidRDefault="00811887" w:rsidP="00FB2FE9">
      <w:pPr>
        <w:pStyle w:val="ListParagraph"/>
        <w:widowControl w:val="0"/>
        <w:numPr>
          <w:ilvl w:val="2"/>
          <w:numId w:val="77"/>
        </w:numPr>
        <w:tabs>
          <w:tab w:val="left" w:pos="3312"/>
          <w:tab w:val="left" w:pos="3314"/>
        </w:tabs>
        <w:autoSpaceDE w:val="0"/>
        <w:autoSpaceDN w:val="0"/>
        <w:spacing w:after="0"/>
        <w:ind w:right="1727" w:hanging="370"/>
        <w:contextualSpacing w:val="0"/>
        <w:rPr>
          <w:rFonts w:ascii="Times New Roman"/>
        </w:rPr>
      </w:pPr>
      <w:r>
        <w:rPr>
          <w:rFonts w:ascii="Times New Roman"/>
        </w:rPr>
        <w:t>have regard to the desirability of the membership of the Committee</w:t>
      </w:r>
      <w:r>
        <w:rPr>
          <w:rFonts w:ascii="Times New Roman"/>
          <w:spacing w:val="-5"/>
        </w:rPr>
        <w:t xml:space="preserve"> </w:t>
      </w:r>
      <w:r>
        <w:rPr>
          <w:rFonts w:ascii="Times New Roman"/>
        </w:rPr>
        <w:t>reflecting</w:t>
      </w:r>
      <w:r>
        <w:rPr>
          <w:rFonts w:ascii="Times New Roman"/>
          <w:spacing w:val="-7"/>
        </w:rPr>
        <w:t xml:space="preserve"> </w:t>
      </w:r>
      <w:r>
        <w:rPr>
          <w:rFonts w:ascii="Times New Roman"/>
        </w:rPr>
        <w:t>the</w:t>
      </w:r>
      <w:r>
        <w:rPr>
          <w:rFonts w:ascii="Times New Roman"/>
          <w:spacing w:val="-4"/>
        </w:rPr>
        <w:t xml:space="preserve"> </w:t>
      </w:r>
      <w:r>
        <w:rPr>
          <w:rFonts w:ascii="Times New Roman"/>
        </w:rPr>
        <w:t>diversity</w:t>
      </w:r>
      <w:r>
        <w:rPr>
          <w:rFonts w:ascii="Times New Roman"/>
          <w:spacing w:val="-7"/>
        </w:rPr>
        <w:t xml:space="preserve"> </w:t>
      </w:r>
      <w:r>
        <w:rPr>
          <w:rFonts w:ascii="Times New Roman"/>
        </w:rPr>
        <w:t>of</w:t>
      </w:r>
      <w:r>
        <w:rPr>
          <w:rFonts w:ascii="Times New Roman"/>
          <w:spacing w:val="-7"/>
        </w:rPr>
        <w:t xml:space="preserve"> </w:t>
      </w:r>
      <w:r>
        <w:rPr>
          <w:rFonts w:ascii="Times New Roman"/>
        </w:rPr>
        <w:t>the</w:t>
      </w:r>
      <w:r>
        <w:rPr>
          <w:rFonts w:ascii="Times New Roman"/>
          <w:spacing w:val="-5"/>
        </w:rPr>
        <w:t xml:space="preserve"> </w:t>
      </w:r>
      <w:r>
        <w:rPr>
          <w:rFonts w:ascii="Times New Roman"/>
        </w:rPr>
        <w:t>general</w:t>
      </w:r>
      <w:r>
        <w:rPr>
          <w:rFonts w:ascii="Times New Roman"/>
          <w:spacing w:val="-4"/>
        </w:rPr>
        <w:t xml:space="preserve"> </w:t>
      </w:r>
      <w:r>
        <w:rPr>
          <w:rFonts w:ascii="Times New Roman"/>
        </w:rPr>
        <w:t>community.</w:t>
      </w:r>
    </w:p>
    <w:p w14:paraId="26F74B5D" w14:textId="77777777" w:rsidR="00811887" w:rsidRDefault="00811887" w:rsidP="00811887">
      <w:pPr>
        <w:pStyle w:val="BodyText"/>
        <w:spacing w:before="31"/>
        <w:rPr>
          <w:rFonts w:ascii="Times New Roman"/>
          <w:sz w:val="22"/>
        </w:rPr>
      </w:pPr>
    </w:p>
    <w:p w14:paraId="7812FBE2" w14:textId="77777777" w:rsidR="00811887" w:rsidRDefault="00811887" w:rsidP="00FB2FE9">
      <w:pPr>
        <w:pStyle w:val="Heading7"/>
        <w:numPr>
          <w:ilvl w:val="0"/>
          <w:numId w:val="77"/>
        </w:numPr>
        <w:tabs>
          <w:tab w:val="left" w:pos="2030"/>
        </w:tabs>
        <w:spacing w:before="1"/>
        <w:ind w:left="2030" w:hanging="360"/>
      </w:pPr>
      <w:bookmarkStart w:id="90" w:name="_TOC_250018"/>
      <w:r>
        <w:t>Term</w:t>
      </w:r>
      <w:r>
        <w:rPr>
          <w:spacing w:val="-4"/>
        </w:rPr>
        <w:t xml:space="preserve"> </w:t>
      </w:r>
      <w:r>
        <w:t>of</w:t>
      </w:r>
      <w:r>
        <w:rPr>
          <w:spacing w:val="1"/>
        </w:rPr>
        <w:t xml:space="preserve"> </w:t>
      </w:r>
      <w:bookmarkEnd w:id="90"/>
      <w:r>
        <w:rPr>
          <w:spacing w:val="-2"/>
        </w:rPr>
        <w:t>appointments</w:t>
      </w:r>
    </w:p>
    <w:p w14:paraId="0B5609C9" w14:textId="77777777" w:rsidR="00811887" w:rsidRDefault="00811887" w:rsidP="00811887">
      <w:pPr>
        <w:spacing w:before="177"/>
        <w:ind w:left="2803" w:right="1815"/>
        <w:rPr>
          <w:rFonts w:ascii="Times New Roman"/>
        </w:rPr>
      </w:pPr>
      <w:r>
        <w:rPr>
          <w:rFonts w:ascii="Times New Roman"/>
        </w:rPr>
        <w:t>A</w:t>
      </w:r>
      <w:r>
        <w:rPr>
          <w:rFonts w:ascii="Times New Roman"/>
          <w:spacing w:val="-4"/>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3"/>
        </w:rPr>
        <w:t xml:space="preserve"> </w:t>
      </w:r>
      <w:r>
        <w:rPr>
          <w:rFonts w:ascii="Times New Roman"/>
        </w:rPr>
        <w:t>holds</w:t>
      </w:r>
      <w:r>
        <w:rPr>
          <w:rFonts w:ascii="Times New Roman"/>
          <w:spacing w:val="-3"/>
        </w:rPr>
        <w:t xml:space="preserve"> </w:t>
      </w:r>
      <w:r>
        <w:rPr>
          <w:rFonts w:ascii="Times New Roman"/>
        </w:rPr>
        <w:t>office</w:t>
      </w:r>
      <w:r>
        <w:rPr>
          <w:rFonts w:ascii="Times New Roman"/>
          <w:spacing w:val="-5"/>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period</w:t>
      </w:r>
      <w:r>
        <w:rPr>
          <w:rFonts w:ascii="Times New Roman"/>
          <w:spacing w:val="-6"/>
        </w:rPr>
        <w:t xml:space="preserve"> </w:t>
      </w:r>
      <w:r>
        <w:rPr>
          <w:rFonts w:ascii="Times New Roman"/>
        </w:rPr>
        <w:t xml:space="preserve">specified in the instrument of appointment. The period must not exceed 3 </w:t>
      </w:r>
      <w:r>
        <w:rPr>
          <w:rFonts w:ascii="Times New Roman"/>
          <w:spacing w:val="-2"/>
        </w:rPr>
        <w:t>years.</w:t>
      </w:r>
    </w:p>
    <w:p w14:paraId="7EC22115" w14:textId="77777777" w:rsidR="00811887" w:rsidRDefault="00811887" w:rsidP="00811887">
      <w:pPr>
        <w:tabs>
          <w:tab w:val="left" w:pos="3655"/>
        </w:tabs>
        <w:spacing w:before="123"/>
        <w:ind w:left="3655" w:right="2376" w:hanging="852"/>
        <w:rPr>
          <w:rFonts w:ascii="Times New Roman"/>
          <w:sz w:val="18"/>
        </w:rPr>
      </w:pPr>
      <w:r>
        <w:rPr>
          <w:rFonts w:ascii="Times New Roman"/>
          <w:spacing w:val="-2"/>
          <w:sz w:val="18"/>
        </w:rPr>
        <w:t>Note:</w:t>
      </w:r>
      <w:r>
        <w:rPr>
          <w:rFonts w:ascii="Times New Roman"/>
          <w:sz w:val="18"/>
        </w:rPr>
        <w:tab/>
        <w:t>A</w:t>
      </w:r>
      <w:r>
        <w:rPr>
          <w:rFonts w:ascii="Times New Roman"/>
          <w:spacing w:val="-3"/>
          <w:sz w:val="18"/>
        </w:rPr>
        <w:t xml:space="preserve"> </w:t>
      </w:r>
      <w:r>
        <w:rPr>
          <w:rFonts w:ascii="Times New Roman"/>
          <w:sz w:val="18"/>
        </w:rPr>
        <w:t>member</w:t>
      </w:r>
      <w:r>
        <w:rPr>
          <w:rFonts w:ascii="Times New Roman"/>
          <w:spacing w:val="-1"/>
          <w:sz w:val="18"/>
        </w:rPr>
        <w:t xml:space="preserve"> </w:t>
      </w:r>
      <w:r>
        <w:rPr>
          <w:rFonts w:ascii="Times New Roman"/>
          <w:sz w:val="18"/>
        </w:rPr>
        <w:t>may</w:t>
      </w:r>
      <w:r>
        <w:rPr>
          <w:rFonts w:ascii="Times New Roman"/>
          <w:spacing w:val="-7"/>
          <w:sz w:val="18"/>
        </w:rPr>
        <w:t xml:space="preserve"> </w:t>
      </w:r>
      <w:r>
        <w:rPr>
          <w:rFonts w:ascii="Times New Roman"/>
          <w:sz w:val="18"/>
        </w:rPr>
        <w:t>be</w:t>
      </w:r>
      <w:r>
        <w:rPr>
          <w:rFonts w:ascii="Times New Roman"/>
          <w:spacing w:val="-4"/>
          <w:sz w:val="18"/>
        </w:rPr>
        <w:t xml:space="preserve"> </w:t>
      </w:r>
      <w:r>
        <w:rPr>
          <w:rFonts w:ascii="Times New Roman"/>
          <w:sz w:val="18"/>
        </w:rPr>
        <w:t>reappointed:</w:t>
      </w:r>
      <w:r>
        <w:rPr>
          <w:rFonts w:ascii="Times New Roman"/>
          <w:spacing w:val="-5"/>
          <w:sz w:val="18"/>
        </w:rPr>
        <w:t xml:space="preserve"> </w:t>
      </w:r>
      <w:r>
        <w:rPr>
          <w:rFonts w:ascii="Times New Roman"/>
          <w:sz w:val="18"/>
        </w:rPr>
        <w:t>see</w:t>
      </w:r>
      <w:r>
        <w:rPr>
          <w:rFonts w:ascii="Times New Roman"/>
          <w:spacing w:val="-1"/>
          <w:sz w:val="18"/>
        </w:rPr>
        <w:t xml:space="preserve"> </w:t>
      </w:r>
      <w:r>
        <w:rPr>
          <w:rFonts w:ascii="Times New Roman"/>
          <w:sz w:val="18"/>
        </w:rPr>
        <w:t>section</w:t>
      </w:r>
      <w:r>
        <w:rPr>
          <w:rFonts w:ascii="Times New Roman"/>
          <w:spacing w:val="-2"/>
          <w:sz w:val="18"/>
        </w:rPr>
        <w:t xml:space="preserve"> </w:t>
      </w:r>
      <w:r>
        <w:rPr>
          <w:rFonts w:ascii="Times New Roman"/>
          <w:sz w:val="18"/>
        </w:rPr>
        <w:t>33AA</w:t>
      </w:r>
      <w:r>
        <w:rPr>
          <w:rFonts w:ascii="Times New Roman"/>
          <w:spacing w:val="-6"/>
          <w:sz w:val="18"/>
        </w:rPr>
        <w:t xml:space="preserve"> </w:t>
      </w:r>
      <w:r>
        <w:rPr>
          <w:rFonts w:ascii="Times New Roman"/>
          <w:sz w:val="18"/>
        </w:rPr>
        <w:t>of</w:t>
      </w:r>
      <w:r>
        <w:rPr>
          <w:rFonts w:ascii="Times New Roman"/>
          <w:spacing w:val="-5"/>
          <w:sz w:val="18"/>
        </w:rPr>
        <w:t xml:space="preserve"> </w:t>
      </w:r>
      <w:r>
        <w:rPr>
          <w:rFonts w:ascii="Times New Roman"/>
          <w:sz w:val="18"/>
        </w:rPr>
        <w:t>the</w:t>
      </w:r>
      <w:r>
        <w:rPr>
          <w:rFonts w:ascii="Times New Roman"/>
          <w:spacing w:val="-2"/>
          <w:sz w:val="18"/>
        </w:rPr>
        <w:t xml:space="preserve"> </w:t>
      </w:r>
      <w:r>
        <w:rPr>
          <w:rFonts w:ascii="Times New Roman"/>
          <w:i/>
          <w:sz w:val="18"/>
        </w:rPr>
        <w:t>Acts Interpretation Act 1901</w:t>
      </w:r>
      <w:r>
        <w:rPr>
          <w:rFonts w:ascii="Times New Roman"/>
          <w:sz w:val="18"/>
        </w:rPr>
        <w:t>.</w:t>
      </w:r>
    </w:p>
    <w:p w14:paraId="787C2440" w14:textId="77777777" w:rsidR="00811887" w:rsidRDefault="00811887" w:rsidP="00811887">
      <w:pPr>
        <w:pStyle w:val="BodyText"/>
        <w:spacing w:before="74"/>
        <w:rPr>
          <w:rFonts w:ascii="Times New Roman"/>
          <w:sz w:val="18"/>
        </w:rPr>
      </w:pPr>
    </w:p>
    <w:p w14:paraId="4D87B4BE" w14:textId="77777777" w:rsidR="00811887" w:rsidRDefault="00811887" w:rsidP="00FB2FE9">
      <w:pPr>
        <w:pStyle w:val="Heading7"/>
        <w:numPr>
          <w:ilvl w:val="0"/>
          <w:numId w:val="77"/>
        </w:numPr>
        <w:tabs>
          <w:tab w:val="left" w:pos="2030"/>
        </w:tabs>
        <w:spacing w:before="1"/>
        <w:ind w:left="2030" w:hanging="360"/>
      </w:pPr>
      <w:bookmarkStart w:id="91" w:name="_TOC_250017"/>
      <w:r>
        <w:t>Acting</w:t>
      </w:r>
      <w:r>
        <w:rPr>
          <w:spacing w:val="-4"/>
        </w:rPr>
        <w:t xml:space="preserve"> </w:t>
      </w:r>
      <w:bookmarkEnd w:id="91"/>
      <w:r>
        <w:rPr>
          <w:spacing w:val="-2"/>
        </w:rPr>
        <w:t>appointments</w:t>
      </w:r>
    </w:p>
    <w:p w14:paraId="6A2DC2D9" w14:textId="77777777" w:rsidR="00811887" w:rsidRDefault="00811887" w:rsidP="00811887">
      <w:pPr>
        <w:spacing w:before="237"/>
        <w:ind w:left="2803"/>
        <w:rPr>
          <w:rFonts w:ascii="Times New Roman"/>
          <w:i/>
        </w:rPr>
      </w:pPr>
      <w:r>
        <w:rPr>
          <w:rFonts w:ascii="Times New Roman"/>
          <w:i/>
        </w:rPr>
        <w:t>Appointment</w:t>
      </w:r>
      <w:r>
        <w:rPr>
          <w:rFonts w:ascii="Times New Roman"/>
          <w:i/>
          <w:spacing w:val="-2"/>
        </w:rPr>
        <w:t xml:space="preserve"> </w:t>
      </w:r>
      <w:r>
        <w:rPr>
          <w:rFonts w:ascii="Times New Roman"/>
          <w:i/>
        </w:rPr>
        <w:t>to</w:t>
      </w:r>
      <w:r>
        <w:rPr>
          <w:rFonts w:ascii="Times New Roman"/>
          <w:i/>
          <w:spacing w:val="-6"/>
        </w:rPr>
        <w:t xml:space="preserve"> </w:t>
      </w:r>
      <w:r>
        <w:rPr>
          <w:rFonts w:ascii="Times New Roman"/>
          <w:i/>
        </w:rPr>
        <w:t>act</w:t>
      </w:r>
      <w:r>
        <w:rPr>
          <w:rFonts w:ascii="Times New Roman"/>
          <w:i/>
          <w:spacing w:val="-5"/>
        </w:rPr>
        <w:t xml:space="preserve"> </w:t>
      </w:r>
      <w:r>
        <w:rPr>
          <w:rFonts w:ascii="Times New Roman"/>
          <w:i/>
        </w:rPr>
        <w:t>during</w:t>
      </w:r>
      <w:r>
        <w:rPr>
          <w:rFonts w:ascii="Times New Roman"/>
          <w:i/>
          <w:spacing w:val="-5"/>
        </w:rPr>
        <w:t xml:space="preserve"> </w:t>
      </w:r>
      <w:r>
        <w:rPr>
          <w:rFonts w:ascii="Times New Roman"/>
          <w:i/>
          <w:spacing w:val="-2"/>
        </w:rPr>
        <w:t>vacancy</w:t>
      </w:r>
    </w:p>
    <w:p w14:paraId="7898F943"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720"/>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2"/>
        </w:rPr>
        <w:t xml:space="preserve"> </w:t>
      </w:r>
      <w:r>
        <w:rPr>
          <w:rFonts w:ascii="Times New Roman"/>
        </w:rPr>
        <w:t>may,</w:t>
      </w:r>
      <w:r>
        <w:rPr>
          <w:rFonts w:ascii="Times New Roman"/>
          <w:spacing w:val="-3"/>
        </w:rPr>
        <w:t xml:space="preserve"> </w:t>
      </w:r>
      <w:r>
        <w:rPr>
          <w:rFonts w:ascii="Times New Roman"/>
        </w:rPr>
        <w:t>by</w:t>
      </w:r>
      <w:r>
        <w:rPr>
          <w:rFonts w:ascii="Times New Roman"/>
          <w:spacing w:val="-6"/>
        </w:rPr>
        <w:t xml:space="preserve"> </w:t>
      </w:r>
      <w:r>
        <w:rPr>
          <w:rFonts w:ascii="Times New Roman"/>
        </w:rPr>
        <w:t>written</w:t>
      </w:r>
      <w:r>
        <w:rPr>
          <w:rFonts w:ascii="Times New Roman"/>
          <w:spacing w:val="-3"/>
        </w:rPr>
        <w:t xml:space="preserve"> </w:t>
      </w:r>
      <w:r>
        <w:rPr>
          <w:rFonts w:ascii="Times New Roman"/>
        </w:rPr>
        <w:t>instrument,</w:t>
      </w:r>
      <w:r>
        <w:rPr>
          <w:rFonts w:ascii="Times New Roman"/>
          <w:spacing w:val="-3"/>
        </w:rPr>
        <w:t xml:space="preserve"> </w:t>
      </w:r>
      <w:r>
        <w:rPr>
          <w:rFonts w:ascii="Times New Roman"/>
        </w:rPr>
        <w:t>appoint</w:t>
      </w:r>
      <w:r>
        <w:rPr>
          <w:rFonts w:ascii="Times New Roman"/>
          <w:spacing w:val="-2"/>
        </w:rPr>
        <w:t xml:space="preserve"> </w:t>
      </w:r>
      <w:r>
        <w:rPr>
          <w:rFonts w:ascii="Times New Roman"/>
        </w:rPr>
        <w:t>a</w:t>
      </w:r>
      <w:r>
        <w:rPr>
          <w:rFonts w:ascii="Times New Roman"/>
          <w:spacing w:val="-3"/>
        </w:rPr>
        <w:t xml:space="preserve"> </w:t>
      </w:r>
      <w:r>
        <w:rPr>
          <w:rFonts w:ascii="Times New Roman"/>
        </w:rPr>
        <w:t>person</w:t>
      </w:r>
      <w:r>
        <w:rPr>
          <w:rFonts w:ascii="Times New Roman"/>
          <w:spacing w:val="-5"/>
        </w:rPr>
        <w:t xml:space="preserve"> </w:t>
      </w:r>
      <w:r>
        <w:rPr>
          <w:rFonts w:ascii="Times New Roman"/>
        </w:rPr>
        <w:t>to</w:t>
      </w:r>
      <w:r>
        <w:rPr>
          <w:rFonts w:ascii="Times New Roman"/>
          <w:spacing w:val="-3"/>
        </w:rPr>
        <w:t xml:space="preserve"> </w:t>
      </w:r>
      <w:r>
        <w:rPr>
          <w:rFonts w:ascii="Times New Roman"/>
        </w:rPr>
        <w:t>act</w:t>
      </w:r>
      <w:r>
        <w:rPr>
          <w:rFonts w:ascii="Times New Roman"/>
          <w:spacing w:val="-5"/>
        </w:rPr>
        <w:t xml:space="preserve"> </w:t>
      </w:r>
      <w:r>
        <w:rPr>
          <w:rFonts w:ascii="Times New Roman"/>
        </w:rPr>
        <w:t>as the Chair, for a specified period of not more than 12 months, during a vacancy in the office of the Chair, whether or not an appointment has previously been made to the office.</w:t>
      </w:r>
    </w:p>
    <w:p w14:paraId="1F9F77E7" w14:textId="77777777" w:rsidR="00811887" w:rsidRDefault="00811887" w:rsidP="00FB2FE9">
      <w:pPr>
        <w:pStyle w:val="ListParagraph"/>
        <w:widowControl w:val="0"/>
        <w:numPr>
          <w:ilvl w:val="1"/>
          <w:numId w:val="77"/>
        </w:numPr>
        <w:tabs>
          <w:tab w:val="left" w:pos="2801"/>
          <w:tab w:val="left" w:pos="2803"/>
        </w:tabs>
        <w:autoSpaceDE w:val="0"/>
        <w:autoSpaceDN w:val="0"/>
        <w:spacing w:before="181" w:after="0"/>
        <w:ind w:right="1703"/>
        <w:contextualSpacing w:val="0"/>
        <w:rPr>
          <w:rFonts w:ascii="Times New Roman"/>
        </w:rPr>
      </w:pPr>
      <w:r>
        <w:rPr>
          <w:rFonts w:ascii="Times New Roman"/>
        </w:rPr>
        <w:t>The</w:t>
      </w:r>
      <w:r>
        <w:rPr>
          <w:rFonts w:ascii="Times New Roman"/>
          <w:spacing w:val="-3"/>
        </w:rPr>
        <w:t xml:space="preserve"> </w:t>
      </w:r>
      <w:r>
        <w:rPr>
          <w:rFonts w:ascii="Times New Roman"/>
        </w:rPr>
        <w:t>Minister may,</w:t>
      </w:r>
      <w:r>
        <w:rPr>
          <w:rFonts w:ascii="Times New Roman"/>
          <w:spacing w:val="-1"/>
        </w:rPr>
        <w:t xml:space="preserve"> </w:t>
      </w:r>
      <w:r>
        <w:rPr>
          <w:rFonts w:ascii="Times New Roman"/>
        </w:rPr>
        <w:t>by</w:t>
      </w:r>
      <w:r>
        <w:rPr>
          <w:rFonts w:ascii="Times New Roman"/>
          <w:spacing w:val="-4"/>
        </w:rPr>
        <w:t xml:space="preserve"> </w:t>
      </w:r>
      <w:r>
        <w:rPr>
          <w:rFonts w:ascii="Times New Roman"/>
        </w:rPr>
        <w:t>written</w:t>
      </w:r>
      <w:r>
        <w:rPr>
          <w:rFonts w:ascii="Times New Roman"/>
          <w:spacing w:val="-1"/>
        </w:rPr>
        <w:t xml:space="preserve"> </w:t>
      </w:r>
      <w:r>
        <w:rPr>
          <w:rFonts w:ascii="Times New Roman"/>
        </w:rPr>
        <w:t>instrument,</w:t>
      </w:r>
      <w:r>
        <w:rPr>
          <w:rFonts w:ascii="Times New Roman"/>
          <w:spacing w:val="-1"/>
        </w:rPr>
        <w:t xml:space="preserve"> </w:t>
      </w:r>
      <w:r>
        <w:rPr>
          <w:rFonts w:ascii="Times New Roman"/>
        </w:rPr>
        <w:t>appoint a</w:t>
      </w:r>
      <w:r>
        <w:rPr>
          <w:rFonts w:ascii="Times New Roman"/>
          <w:spacing w:val="-1"/>
        </w:rPr>
        <w:t xml:space="preserve"> </w:t>
      </w:r>
      <w:r>
        <w:rPr>
          <w:rFonts w:ascii="Times New Roman"/>
        </w:rPr>
        <w:t>person</w:t>
      </w:r>
      <w:r>
        <w:rPr>
          <w:rFonts w:ascii="Times New Roman"/>
          <w:spacing w:val="-3"/>
        </w:rPr>
        <w:t xml:space="preserve"> </w:t>
      </w:r>
      <w:r>
        <w:rPr>
          <w:rFonts w:ascii="Times New Roman"/>
        </w:rPr>
        <w:t>to</w:t>
      </w:r>
      <w:r>
        <w:rPr>
          <w:rFonts w:ascii="Times New Roman"/>
          <w:spacing w:val="-1"/>
        </w:rPr>
        <w:t xml:space="preserve"> </w:t>
      </w:r>
      <w:r>
        <w:rPr>
          <w:rFonts w:ascii="Times New Roman"/>
        </w:rPr>
        <w:t>act</w:t>
      </w:r>
      <w:r>
        <w:rPr>
          <w:rFonts w:ascii="Times New Roman"/>
          <w:spacing w:val="-3"/>
        </w:rPr>
        <w:t xml:space="preserve"> </w:t>
      </w:r>
      <w:r>
        <w:rPr>
          <w:rFonts w:ascii="Times New Roman"/>
        </w:rPr>
        <w:t>as a member of the Committee other than the Chair, for a specified period of not more than 150 days, during</w:t>
      </w:r>
      <w:r>
        <w:rPr>
          <w:rFonts w:ascii="Times New Roman"/>
          <w:spacing w:val="-1"/>
        </w:rPr>
        <w:t xml:space="preserve"> </w:t>
      </w:r>
      <w:r>
        <w:rPr>
          <w:rFonts w:ascii="Times New Roman"/>
        </w:rPr>
        <w:t>a vacancy</w:t>
      </w:r>
      <w:r>
        <w:rPr>
          <w:rFonts w:ascii="Times New Roman"/>
          <w:spacing w:val="-1"/>
        </w:rPr>
        <w:t xml:space="preserve"> </w:t>
      </w:r>
      <w:r>
        <w:rPr>
          <w:rFonts w:ascii="Times New Roman"/>
        </w:rPr>
        <w:t>in</w:t>
      </w:r>
      <w:r>
        <w:rPr>
          <w:rFonts w:ascii="Times New Roman"/>
          <w:spacing w:val="-1"/>
        </w:rPr>
        <w:t xml:space="preserve"> </w:t>
      </w:r>
      <w:r>
        <w:rPr>
          <w:rFonts w:ascii="Times New Roman"/>
        </w:rPr>
        <w:t>the office of a</w:t>
      </w:r>
      <w:r>
        <w:rPr>
          <w:rFonts w:ascii="Times New Roman"/>
          <w:spacing w:val="-3"/>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2"/>
        </w:rPr>
        <w:t xml:space="preserve"> </w:t>
      </w:r>
      <w:r>
        <w:rPr>
          <w:rFonts w:ascii="Times New Roman"/>
        </w:rPr>
        <w:t>other</w:t>
      </w:r>
      <w:r>
        <w:rPr>
          <w:rFonts w:ascii="Times New Roman"/>
          <w:spacing w:val="-5"/>
        </w:rPr>
        <w:t xml:space="preserve"> </w:t>
      </w:r>
      <w:r>
        <w:rPr>
          <w:rFonts w:ascii="Times New Roman"/>
        </w:rPr>
        <w:t>than</w:t>
      </w:r>
      <w:r>
        <w:rPr>
          <w:rFonts w:ascii="Times New Roman"/>
          <w:spacing w:val="-5"/>
        </w:rPr>
        <w:t xml:space="preserve"> </w:t>
      </w:r>
      <w:r>
        <w:rPr>
          <w:rFonts w:ascii="Times New Roman"/>
        </w:rPr>
        <w:t>the</w:t>
      </w:r>
      <w:r>
        <w:rPr>
          <w:rFonts w:ascii="Times New Roman"/>
          <w:spacing w:val="-2"/>
        </w:rPr>
        <w:t xml:space="preserve"> </w:t>
      </w:r>
      <w:r>
        <w:rPr>
          <w:rFonts w:ascii="Times New Roman"/>
        </w:rPr>
        <w:t>Chair,</w:t>
      </w:r>
      <w:r>
        <w:rPr>
          <w:rFonts w:ascii="Times New Roman"/>
          <w:spacing w:val="-3"/>
        </w:rPr>
        <w:t xml:space="preserve"> </w:t>
      </w:r>
      <w:r>
        <w:rPr>
          <w:rFonts w:ascii="Times New Roman"/>
        </w:rPr>
        <w:t>whether</w:t>
      </w:r>
      <w:r>
        <w:rPr>
          <w:rFonts w:ascii="Times New Roman"/>
          <w:spacing w:val="-2"/>
        </w:rPr>
        <w:t xml:space="preserve"> </w:t>
      </w:r>
      <w:r>
        <w:rPr>
          <w:rFonts w:ascii="Times New Roman"/>
        </w:rPr>
        <w:t>or</w:t>
      </w:r>
      <w:r>
        <w:rPr>
          <w:rFonts w:ascii="Times New Roman"/>
          <w:spacing w:val="-3"/>
        </w:rPr>
        <w:t xml:space="preserve"> </w:t>
      </w:r>
      <w:r>
        <w:rPr>
          <w:rFonts w:ascii="Times New Roman"/>
        </w:rPr>
        <w:t>not</w:t>
      </w:r>
      <w:r>
        <w:rPr>
          <w:rFonts w:ascii="Times New Roman"/>
          <w:spacing w:val="-2"/>
        </w:rPr>
        <w:t xml:space="preserve"> </w:t>
      </w:r>
      <w:r>
        <w:rPr>
          <w:rFonts w:ascii="Times New Roman"/>
        </w:rPr>
        <w:t>an appointment has previously been made to the office.</w:t>
      </w:r>
    </w:p>
    <w:p w14:paraId="43C7966F" w14:textId="77777777" w:rsidR="00811887" w:rsidRDefault="00811887" w:rsidP="00811887">
      <w:pPr>
        <w:spacing w:before="240"/>
        <w:ind w:left="2803"/>
        <w:rPr>
          <w:rFonts w:ascii="Times New Roman"/>
          <w:i/>
        </w:rPr>
      </w:pPr>
      <w:r>
        <w:rPr>
          <w:rFonts w:ascii="Times New Roman"/>
          <w:i/>
        </w:rPr>
        <w:t>Appointment</w:t>
      </w:r>
      <w:r>
        <w:rPr>
          <w:rFonts w:ascii="Times New Roman"/>
          <w:i/>
          <w:spacing w:val="-2"/>
        </w:rPr>
        <w:t xml:space="preserve"> </w:t>
      </w:r>
      <w:r>
        <w:rPr>
          <w:rFonts w:ascii="Times New Roman"/>
          <w:i/>
        </w:rPr>
        <w:t>to</w:t>
      </w:r>
      <w:r>
        <w:rPr>
          <w:rFonts w:ascii="Times New Roman"/>
          <w:i/>
          <w:spacing w:val="-6"/>
        </w:rPr>
        <w:t xml:space="preserve"> </w:t>
      </w:r>
      <w:r>
        <w:rPr>
          <w:rFonts w:ascii="Times New Roman"/>
          <w:i/>
        </w:rPr>
        <w:t>act</w:t>
      </w:r>
      <w:r>
        <w:rPr>
          <w:rFonts w:ascii="Times New Roman"/>
          <w:i/>
          <w:spacing w:val="-3"/>
        </w:rPr>
        <w:t xml:space="preserve"> </w:t>
      </w:r>
      <w:r>
        <w:rPr>
          <w:rFonts w:ascii="Times New Roman"/>
          <w:i/>
        </w:rPr>
        <w:t>during</w:t>
      </w:r>
      <w:r>
        <w:rPr>
          <w:rFonts w:ascii="Times New Roman"/>
          <w:i/>
          <w:spacing w:val="-6"/>
        </w:rPr>
        <w:t xml:space="preserve"> </w:t>
      </w:r>
      <w:r>
        <w:rPr>
          <w:rFonts w:ascii="Times New Roman"/>
          <w:i/>
        </w:rPr>
        <w:t>absence</w:t>
      </w:r>
      <w:r>
        <w:rPr>
          <w:rFonts w:ascii="Times New Roman"/>
          <w:i/>
          <w:spacing w:val="-2"/>
        </w:rPr>
        <w:t xml:space="preserve"> </w:t>
      </w:r>
      <w:r>
        <w:rPr>
          <w:rFonts w:ascii="Times New Roman"/>
          <w:i/>
          <w:spacing w:val="-4"/>
        </w:rPr>
        <w:t>etc.</w:t>
      </w:r>
    </w:p>
    <w:p w14:paraId="5AE2FF08"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720"/>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2"/>
        </w:rPr>
        <w:t xml:space="preserve"> </w:t>
      </w:r>
      <w:r>
        <w:rPr>
          <w:rFonts w:ascii="Times New Roman"/>
        </w:rPr>
        <w:t>may,</w:t>
      </w:r>
      <w:r>
        <w:rPr>
          <w:rFonts w:ascii="Times New Roman"/>
          <w:spacing w:val="-3"/>
        </w:rPr>
        <w:t xml:space="preserve"> </w:t>
      </w:r>
      <w:r>
        <w:rPr>
          <w:rFonts w:ascii="Times New Roman"/>
        </w:rPr>
        <w:t>by</w:t>
      </w:r>
      <w:r>
        <w:rPr>
          <w:rFonts w:ascii="Times New Roman"/>
          <w:spacing w:val="-6"/>
        </w:rPr>
        <w:t xml:space="preserve"> </w:t>
      </w:r>
      <w:r>
        <w:rPr>
          <w:rFonts w:ascii="Times New Roman"/>
        </w:rPr>
        <w:t>written</w:t>
      </w:r>
      <w:r>
        <w:rPr>
          <w:rFonts w:ascii="Times New Roman"/>
          <w:spacing w:val="-3"/>
        </w:rPr>
        <w:t xml:space="preserve"> </w:t>
      </w:r>
      <w:r>
        <w:rPr>
          <w:rFonts w:ascii="Times New Roman"/>
        </w:rPr>
        <w:t>instrument,</w:t>
      </w:r>
      <w:r>
        <w:rPr>
          <w:rFonts w:ascii="Times New Roman"/>
          <w:spacing w:val="-3"/>
        </w:rPr>
        <w:t xml:space="preserve"> </w:t>
      </w:r>
      <w:r>
        <w:rPr>
          <w:rFonts w:ascii="Times New Roman"/>
        </w:rPr>
        <w:t>appoint</w:t>
      </w:r>
      <w:r>
        <w:rPr>
          <w:rFonts w:ascii="Times New Roman"/>
          <w:spacing w:val="-2"/>
        </w:rPr>
        <w:t xml:space="preserve"> </w:t>
      </w:r>
      <w:r>
        <w:rPr>
          <w:rFonts w:ascii="Times New Roman"/>
        </w:rPr>
        <w:t>a</w:t>
      </w:r>
      <w:r>
        <w:rPr>
          <w:rFonts w:ascii="Times New Roman"/>
          <w:spacing w:val="-3"/>
        </w:rPr>
        <w:t xml:space="preserve"> </w:t>
      </w:r>
      <w:r>
        <w:rPr>
          <w:rFonts w:ascii="Times New Roman"/>
        </w:rPr>
        <w:t>person</w:t>
      </w:r>
      <w:r>
        <w:rPr>
          <w:rFonts w:ascii="Times New Roman"/>
          <w:spacing w:val="-5"/>
        </w:rPr>
        <w:t xml:space="preserve"> </w:t>
      </w:r>
      <w:r>
        <w:rPr>
          <w:rFonts w:ascii="Times New Roman"/>
        </w:rPr>
        <w:t>to</w:t>
      </w:r>
      <w:r>
        <w:rPr>
          <w:rFonts w:ascii="Times New Roman"/>
          <w:spacing w:val="-3"/>
        </w:rPr>
        <w:t xml:space="preserve"> </w:t>
      </w:r>
      <w:r>
        <w:rPr>
          <w:rFonts w:ascii="Times New Roman"/>
        </w:rPr>
        <w:t>act</w:t>
      </w:r>
      <w:r>
        <w:rPr>
          <w:rFonts w:ascii="Times New Roman"/>
          <w:spacing w:val="-5"/>
        </w:rPr>
        <w:t xml:space="preserve"> </w:t>
      </w:r>
      <w:r>
        <w:rPr>
          <w:rFonts w:ascii="Times New Roman"/>
        </w:rPr>
        <w:t>as a member of the Committee during any period, or during all periods, when a member of the Committee:</w:t>
      </w:r>
    </w:p>
    <w:p w14:paraId="515EC686" w14:textId="77777777" w:rsidR="00811887" w:rsidRDefault="00811887" w:rsidP="00FB2FE9">
      <w:pPr>
        <w:pStyle w:val="ListParagraph"/>
        <w:widowControl w:val="0"/>
        <w:numPr>
          <w:ilvl w:val="2"/>
          <w:numId w:val="77"/>
        </w:numPr>
        <w:tabs>
          <w:tab w:val="left" w:pos="3313"/>
        </w:tabs>
        <w:autoSpaceDE w:val="0"/>
        <w:autoSpaceDN w:val="0"/>
        <w:spacing w:before="40" w:after="0"/>
        <w:ind w:left="3313" w:hanging="356"/>
        <w:contextualSpacing w:val="0"/>
        <w:rPr>
          <w:rFonts w:ascii="Times New Roman"/>
        </w:rPr>
      </w:pPr>
      <w:r>
        <w:rPr>
          <w:rFonts w:ascii="Times New Roman"/>
        </w:rPr>
        <w:t>is</w:t>
      </w:r>
      <w:r>
        <w:rPr>
          <w:rFonts w:ascii="Times New Roman"/>
          <w:spacing w:val="-3"/>
        </w:rPr>
        <w:t xml:space="preserve"> </w:t>
      </w:r>
      <w:r>
        <w:rPr>
          <w:rFonts w:ascii="Times New Roman"/>
        </w:rPr>
        <w:t>absent</w:t>
      </w:r>
      <w:r>
        <w:rPr>
          <w:rFonts w:ascii="Times New Roman"/>
          <w:spacing w:val="-1"/>
        </w:rPr>
        <w:t xml:space="preserve"> </w:t>
      </w:r>
      <w:r>
        <w:rPr>
          <w:rFonts w:ascii="Times New Roman"/>
        </w:rPr>
        <w:t>from</w:t>
      </w:r>
      <w:r>
        <w:rPr>
          <w:rFonts w:ascii="Times New Roman"/>
          <w:spacing w:val="-7"/>
        </w:rPr>
        <w:t xml:space="preserve"> </w:t>
      </w:r>
      <w:r>
        <w:rPr>
          <w:rFonts w:ascii="Times New Roman"/>
        </w:rPr>
        <w:t>duty</w:t>
      </w:r>
      <w:r>
        <w:rPr>
          <w:rFonts w:ascii="Times New Roman"/>
          <w:spacing w:val="-5"/>
        </w:rPr>
        <w:t xml:space="preserve"> </w:t>
      </w:r>
      <w:r>
        <w:rPr>
          <w:rFonts w:ascii="Times New Roman"/>
        </w:rPr>
        <w:t>or</w:t>
      </w:r>
      <w:r>
        <w:rPr>
          <w:rFonts w:ascii="Times New Roman"/>
          <w:spacing w:val="-3"/>
        </w:rPr>
        <w:t xml:space="preserve"> </w:t>
      </w:r>
      <w:r>
        <w:rPr>
          <w:rFonts w:ascii="Times New Roman"/>
        </w:rPr>
        <w:t>from</w:t>
      </w:r>
      <w:r>
        <w:rPr>
          <w:rFonts w:ascii="Times New Roman"/>
          <w:spacing w:val="-4"/>
        </w:rPr>
        <w:t xml:space="preserve"> </w:t>
      </w:r>
      <w:r>
        <w:rPr>
          <w:rFonts w:ascii="Times New Roman"/>
        </w:rPr>
        <w:t>Australia;</w:t>
      </w:r>
      <w:r>
        <w:rPr>
          <w:rFonts w:ascii="Times New Roman"/>
          <w:spacing w:val="-1"/>
        </w:rPr>
        <w:t xml:space="preserve"> </w:t>
      </w:r>
      <w:r>
        <w:rPr>
          <w:rFonts w:ascii="Times New Roman"/>
          <w:spacing w:val="-5"/>
        </w:rPr>
        <w:t>or</w:t>
      </w:r>
    </w:p>
    <w:p w14:paraId="3BF2DCBE" w14:textId="77777777" w:rsidR="00811887" w:rsidRDefault="00811887" w:rsidP="00FB2FE9">
      <w:pPr>
        <w:pStyle w:val="ListParagraph"/>
        <w:widowControl w:val="0"/>
        <w:numPr>
          <w:ilvl w:val="2"/>
          <w:numId w:val="77"/>
        </w:numPr>
        <w:tabs>
          <w:tab w:val="left" w:pos="3313"/>
        </w:tabs>
        <w:autoSpaceDE w:val="0"/>
        <w:autoSpaceDN w:val="0"/>
        <w:spacing w:before="42" w:after="0"/>
        <w:ind w:left="3313" w:hanging="368"/>
        <w:contextualSpacing w:val="0"/>
        <w:rPr>
          <w:rFonts w:ascii="Times New Roman"/>
        </w:rPr>
      </w:pPr>
      <w:r>
        <w:rPr>
          <w:rFonts w:ascii="Times New Roman"/>
        </w:rPr>
        <w:t>is,</w:t>
      </w:r>
      <w:r>
        <w:rPr>
          <w:rFonts w:ascii="Times New Roman"/>
          <w:spacing w:val="-2"/>
        </w:rPr>
        <w:t xml:space="preserve"> </w:t>
      </w:r>
      <w:r>
        <w:rPr>
          <w:rFonts w:ascii="Times New Roman"/>
        </w:rPr>
        <w:t>for</w:t>
      </w:r>
      <w:r>
        <w:rPr>
          <w:rFonts w:ascii="Times New Roman"/>
          <w:spacing w:val="-4"/>
        </w:rPr>
        <w:t xml:space="preserve"> </w:t>
      </w:r>
      <w:r>
        <w:rPr>
          <w:rFonts w:ascii="Times New Roman"/>
        </w:rPr>
        <w:t>any</w:t>
      </w:r>
      <w:r>
        <w:rPr>
          <w:rFonts w:ascii="Times New Roman"/>
          <w:spacing w:val="-3"/>
        </w:rPr>
        <w:t xml:space="preserve"> </w:t>
      </w:r>
      <w:r>
        <w:rPr>
          <w:rFonts w:ascii="Times New Roman"/>
        </w:rPr>
        <w:t>reason,</w:t>
      </w:r>
      <w:r>
        <w:rPr>
          <w:rFonts w:ascii="Times New Roman"/>
          <w:spacing w:val="-2"/>
        </w:rPr>
        <w:t xml:space="preserve"> </w:t>
      </w:r>
      <w:r>
        <w:rPr>
          <w:rFonts w:ascii="Times New Roman"/>
        </w:rPr>
        <w:t>unable</w:t>
      </w:r>
      <w:r>
        <w:rPr>
          <w:rFonts w:ascii="Times New Roman"/>
          <w:spacing w:val="-4"/>
        </w:rPr>
        <w:t xml:space="preserve"> </w:t>
      </w:r>
      <w:r>
        <w:rPr>
          <w:rFonts w:ascii="Times New Roman"/>
        </w:rPr>
        <w:t>to</w:t>
      </w:r>
      <w:r>
        <w:rPr>
          <w:rFonts w:ascii="Times New Roman"/>
          <w:spacing w:val="-4"/>
        </w:rPr>
        <w:t xml:space="preserve"> </w:t>
      </w:r>
      <w:r>
        <w:rPr>
          <w:rFonts w:ascii="Times New Roman"/>
        </w:rPr>
        <w:t>perform</w:t>
      </w:r>
      <w:r>
        <w:rPr>
          <w:rFonts w:ascii="Times New Roman"/>
          <w:spacing w:val="-6"/>
        </w:rPr>
        <w:t xml:space="preserve"> </w:t>
      </w:r>
      <w:r>
        <w:rPr>
          <w:rFonts w:ascii="Times New Roman"/>
        </w:rPr>
        <w:t>the</w:t>
      </w:r>
      <w:r>
        <w:rPr>
          <w:rFonts w:ascii="Times New Roman"/>
          <w:spacing w:val="-1"/>
        </w:rPr>
        <w:t xml:space="preserve"> </w:t>
      </w:r>
      <w:r>
        <w:rPr>
          <w:rFonts w:ascii="Times New Roman"/>
        </w:rPr>
        <w:t>duties</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spacing w:val="-2"/>
        </w:rPr>
        <w:t>office.</w:t>
      </w:r>
    </w:p>
    <w:p w14:paraId="6F0B4B99" w14:textId="77777777" w:rsidR="00811887" w:rsidRDefault="00811887" w:rsidP="00811887">
      <w:pPr>
        <w:spacing w:before="240"/>
        <w:ind w:left="2803"/>
        <w:rPr>
          <w:rFonts w:ascii="Times New Roman"/>
          <w:i/>
        </w:rPr>
      </w:pPr>
      <w:r>
        <w:rPr>
          <w:rFonts w:ascii="Times New Roman"/>
          <w:i/>
        </w:rPr>
        <w:t>Acting</w:t>
      </w:r>
      <w:r>
        <w:rPr>
          <w:rFonts w:ascii="Times New Roman"/>
          <w:i/>
          <w:spacing w:val="-6"/>
        </w:rPr>
        <w:t xml:space="preserve"> </w:t>
      </w:r>
      <w:r>
        <w:rPr>
          <w:rFonts w:ascii="Times New Roman"/>
          <w:i/>
        </w:rPr>
        <w:t>appointment</w:t>
      </w:r>
      <w:r>
        <w:rPr>
          <w:rFonts w:ascii="Times New Roman"/>
          <w:i/>
          <w:spacing w:val="-5"/>
        </w:rPr>
        <w:t xml:space="preserve"> </w:t>
      </w:r>
      <w:r>
        <w:rPr>
          <w:rFonts w:ascii="Times New Roman"/>
          <w:i/>
          <w:spacing w:val="-2"/>
        </w:rPr>
        <w:t>requirements</w:t>
      </w:r>
    </w:p>
    <w:p w14:paraId="1F601FF9"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2071"/>
        <w:contextualSpacing w:val="0"/>
        <w:rPr>
          <w:rFonts w:ascii="Times New Roman"/>
        </w:rPr>
      </w:pPr>
      <w:r>
        <w:rPr>
          <w:noProof/>
        </w:rPr>
        <mc:AlternateContent>
          <mc:Choice Requires="wps">
            <w:drawing>
              <wp:anchor distT="0" distB="0" distL="0" distR="0" simplePos="0" relativeHeight="251684864" behindDoc="0" locked="0" layoutInCell="1" allowOverlap="1" wp14:anchorId="4FB0A1DD" wp14:editId="463E7CB1">
                <wp:simplePos x="0" y="0"/>
                <wp:positionH relativeFrom="page">
                  <wp:posOffset>1512061</wp:posOffset>
                </wp:positionH>
                <wp:positionV relativeFrom="paragraph">
                  <wp:posOffset>960638</wp:posOffset>
                </wp:positionV>
                <wp:extent cx="4538345" cy="9525"/>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E0D60" id="Graphic 29" o:spid="_x0000_s1026" alt="&quot;&quot;" style="position:absolute;margin-left:119.05pt;margin-top:75.65pt;width:357.35pt;height:.75pt;z-index:25168486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" path="m4537837,l,,,9143r4537837,l4537837,xe" fillcolor="black" stroked="f">
                <v:path arrowok="t"/>
                <w10:wrap anchorx="page"/>
              </v:shape>
            </w:pict>
          </mc:Fallback>
        </mc:AlternateContent>
      </w:r>
      <w:r>
        <w:rPr>
          <w:rFonts w:ascii="Times New Roman"/>
        </w:rPr>
        <w:t>Subsections 11(2) and</w:t>
      </w:r>
      <w:r>
        <w:rPr>
          <w:rFonts w:ascii="Times New Roman"/>
          <w:spacing w:val="-1"/>
        </w:rPr>
        <w:t xml:space="preserve"> </w:t>
      </w:r>
      <w:r>
        <w:rPr>
          <w:rFonts w:ascii="Times New Roman"/>
        </w:rPr>
        <w:t>(3)</w:t>
      </w:r>
      <w:r>
        <w:rPr>
          <w:rFonts w:ascii="Times New Roman"/>
          <w:spacing w:val="-1"/>
        </w:rPr>
        <w:t xml:space="preserve"> </w:t>
      </w:r>
      <w:r>
        <w:rPr>
          <w:rFonts w:ascii="Times New Roman"/>
        </w:rPr>
        <w:t>(membership requirements) apply</w:t>
      </w:r>
      <w:r>
        <w:rPr>
          <w:rFonts w:ascii="Times New Roman"/>
          <w:spacing w:val="-2"/>
        </w:rPr>
        <w:t xml:space="preserve"> </w:t>
      </w:r>
      <w:r>
        <w:rPr>
          <w:rFonts w:ascii="Times New Roman"/>
        </w:rPr>
        <w:t>in relation</w:t>
      </w:r>
      <w:r>
        <w:rPr>
          <w:rFonts w:ascii="Times New Roman"/>
          <w:spacing w:val="-6"/>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appointment</w:t>
      </w:r>
      <w:r>
        <w:rPr>
          <w:rFonts w:ascii="Times New Roman"/>
          <w:spacing w:val="-5"/>
        </w:rPr>
        <w:t xml:space="preserve"> </w:t>
      </w:r>
      <w:r>
        <w:rPr>
          <w:rFonts w:ascii="Times New Roman"/>
        </w:rPr>
        <w:t>of</w:t>
      </w:r>
      <w:r>
        <w:rPr>
          <w:rFonts w:ascii="Times New Roman"/>
          <w:spacing w:val="-3"/>
        </w:rPr>
        <w:t xml:space="preserve"> </w:t>
      </w:r>
      <w:r>
        <w:rPr>
          <w:rFonts w:ascii="Times New Roman"/>
        </w:rPr>
        <w:t>a</w:t>
      </w:r>
      <w:r>
        <w:rPr>
          <w:rFonts w:ascii="Times New Roman"/>
          <w:spacing w:val="-3"/>
        </w:rPr>
        <w:t xml:space="preserve"> </w:t>
      </w:r>
      <w:r>
        <w:rPr>
          <w:rFonts w:ascii="Times New Roman"/>
        </w:rPr>
        <w:t>person</w:t>
      </w:r>
      <w:r>
        <w:rPr>
          <w:rFonts w:ascii="Times New Roman"/>
          <w:spacing w:val="-1"/>
        </w:rPr>
        <w:t xml:space="preserve"> </w:t>
      </w:r>
      <w:r>
        <w:rPr>
          <w:rFonts w:ascii="Times New Roman"/>
        </w:rPr>
        <w:t>under</w:t>
      </w:r>
      <w:r>
        <w:rPr>
          <w:rFonts w:ascii="Times New Roman"/>
          <w:spacing w:val="-5"/>
        </w:rPr>
        <w:t xml:space="preserve"> </w:t>
      </w:r>
      <w:r>
        <w:rPr>
          <w:rFonts w:ascii="Times New Roman"/>
        </w:rPr>
        <w:t>this</w:t>
      </w:r>
      <w:r>
        <w:rPr>
          <w:rFonts w:ascii="Times New Roman"/>
          <w:spacing w:val="-3"/>
        </w:rPr>
        <w:t xml:space="preserve"> </w:t>
      </w:r>
      <w:r>
        <w:rPr>
          <w:rFonts w:ascii="Times New Roman"/>
        </w:rPr>
        <w:t>section</w:t>
      </w:r>
      <w:r>
        <w:rPr>
          <w:rFonts w:ascii="Times New Roman"/>
          <w:spacing w:val="-3"/>
        </w:rPr>
        <w:t xml:space="preserve"> </w:t>
      </w:r>
      <w:r>
        <w:rPr>
          <w:rFonts w:ascii="Times New Roman"/>
        </w:rPr>
        <w:t>in</w:t>
      </w:r>
      <w:r>
        <w:rPr>
          <w:rFonts w:ascii="Times New Roman"/>
          <w:spacing w:val="-6"/>
        </w:rPr>
        <w:t xml:space="preserve"> </w:t>
      </w:r>
      <w:r>
        <w:rPr>
          <w:rFonts w:ascii="Times New Roman"/>
        </w:rPr>
        <w:t>the same way as they apply to the appointment of a person under subsection 11(1).</w:t>
      </w:r>
    </w:p>
    <w:p w14:paraId="45B762CE" w14:textId="77777777" w:rsidR="00811887" w:rsidRDefault="00811887" w:rsidP="00811887">
      <w:pPr>
        <w:tabs>
          <w:tab w:val="left" w:pos="3686"/>
          <w:tab w:val="right" w:pos="8757"/>
        </w:tabs>
        <w:spacing w:before="665"/>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10"/>
          <w:sz w:val="18"/>
        </w:rPr>
        <w:t>9</w:t>
      </w:r>
    </w:p>
    <w:p w14:paraId="27566063"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37BC90DB" w14:textId="77777777" w:rsidR="00811887" w:rsidRDefault="00811887" w:rsidP="00811887">
      <w:pPr>
        <w:pStyle w:val="BodyText"/>
        <w:spacing w:before="65"/>
        <w:ind w:left="1670"/>
        <w:rPr>
          <w:rFonts w:ascii="Times New Roman"/>
        </w:rPr>
      </w:pPr>
      <w:r>
        <w:rPr>
          <w:rFonts w:ascii="Times New Roman"/>
          <w:b/>
        </w:rPr>
        <w:lastRenderedPageBreak/>
        <w:t>Part</w:t>
      </w:r>
      <w:r>
        <w:rPr>
          <w:rFonts w:ascii="Times New Roman"/>
          <w:b/>
          <w:spacing w:val="-5"/>
        </w:rPr>
        <w:t xml:space="preserve"> </w:t>
      </w:r>
      <w:r>
        <w:rPr>
          <w:rFonts w:ascii="Times New Roman"/>
          <w:b/>
        </w:rPr>
        <w:t>2</w:t>
      </w:r>
      <w:r>
        <w:rPr>
          <w:rFonts w:ascii="Times New Roman"/>
          <w:b/>
          <w:spacing w:val="40"/>
        </w:rPr>
        <w:t xml:space="preserve"> </w:t>
      </w: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Advisory</w:t>
      </w:r>
      <w:r>
        <w:rPr>
          <w:rFonts w:ascii="Times New Roman"/>
          <w:spacing w:val="-8"/>
        </w:rPr>
        <w:t xml:space="preserve"> </w:t>
      </w:r>
      <w:r>
        <w:rPr>
          <w:rFonts w:ascii="Times New Roman"/>
          <w:spacing w:val="-2"/>
        </w:rPr>
        <w:t>Committee</w:t>
      </w:r>
    </w:p>
    <w:p w14:paraId="580DE1B2" w14:textId="77777777" w:rsidR="00811887" w:rsidRDefault="00811887" w:rsidP="00811887">
      <w:pPr>
        <w:spacing w:before="32"/>
        <w:ind w:left="1670"/>
        <w:rPr>
          <w:rFonts w:ascii="Times New Roman"/>
          <w:sz w:val="20"/>
        </w:rPr>
      </w:pPr>
      <w:r>
        <w:rPr>
          <w:rFonts w:ascii="Times New Roman"/>
          <w:b/>
          <w:sz w:val="20"/>
        </w:rPr>
        <w:t>Division</w:t>
      </w:r>
      <w:r>
        <w:rPr>
          <w:rFonts w:ascii="Times New Roman"/>
          <w:b/>
          <w:spacing w:val="-6"/>
          <w:sz w:val="20"/>
        </w:rPr>
        <w:t xml:space="preserve"> </w:t>
      </w:r>
      <w:r>
        <w:rPr>
          <w:rFonts w:ascii="Times New Roman"/>
          <w:b/>
          <w:sz w:val="20"/>
        </w:rPr>
        <w:t>3</w:t>
      </w:r>
      <w:r>
        <w:rPr>
          <w:rFonts w:ascii="Times New Roman"/>
          <w:b/>
          <w:spacing w:val="42"/>
          <w:sz w:val="20"/>
        </w:rPr>
        <w:t xml:space="preserve"> </w:t>
      </w:r>
      <w:r>
        <w:rPr>
          <w:rFonts w:ascii="Times New Roman"/>
          <w:sz w:val="20"/>
        </w:rPr>
        <w:t>Committee</w:t>
      </w:r>
      <w:r>
        <w:rPr>
          <w:rFonts w:ascii="Times New Roman"/>
          <w:spacing w:val="-3"/>
          <w:sz w:val="20"/>
        </w:rPr>
        <w:t xml:space="preserve"> </w:t>
      </w:r>
      <w:r>
        <w:rPr>
          <w:rFonts w:ascii="Times New Roman"/>
          <w:spacing w:val="-2"/>
          <w:sz w:val="20"/>
        </w:rPr>
        <w:t>members</w:t>
      </w:r>
    </w:p>
    <w:p w14:paraId="27985616" w14:textId="77777777" w:rsidR="00811887" w:rsidRDefault="00811887" w:rsidP="00811887">
      <w:pPr>
        <w:pStyle w:val="BodyText"/>
        <w:spacing w:before="45"/>
        <w:rPr>
          <w:rFonts w:ascii="Times New Roman"/>
        </w:rPr>
      </w:pPr>
    </w:p>
    <w:p w14:paraId="1A2B5D77"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12512" behindDoc="1" locked="0" layoutInCell="1" allowOverlap="1" wp14:anchorId="6642713C" wp14:editId="1DFEE9F5">
                <wp:simplePos x="0" y="0"/>
                <wp:positionH relativeFrom="page">
                  <wp:posOffset>1512061</wp:posOffset>
                </wp:positionH>
                <wp:positionV relativeFrom="paragraph">
                  <wp:posOffset>192823</wp:posOffset>
                </wp:positionV>
                <wp:extent cx="4538345" cy="9525"/>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77858D" id="Graphic 30" o:spid="_x0000_s1026" alt="&quot;&quot;" style="position:absolute;margin-left:119.05pt;margin-top:15.2pt;width:357.3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14</w:t>
      </w:r>
    </w:p>
    <w:p w14:paraId="0CAD5F0C" w14:textId="77777777" w:rsidR="00811887" w:rsidRDefault="00811887" w:rsidP="00811887">
      <w:pPr>
        <w:pStyle w:val="BodyText"/>
        <w:spacing w:before="80"/>
        <w:rPr>
          <w:rFonts w:ascii="Times New Roman"/>
          <w:sz w:val="18"/>
        </w:rPr>
      </w:pPr>
    </w:p>
    <w:p w14:paraId="72240767" w14:textId="77777777" w:rsidR="00811887" w:rsidRDefault="00811887" w:rsidP="00811887">
      <w:pPr>
        <w:tabs>
          <w:tab w:val="left" w:pos="3655"/>
        </w:tabs>
        <w:spacing w:before="1"/>
        <w:ind w:left="3655" w:right="1970" w:hanging="852"/>
        <w:rPr>
          <w:rFonts w:ascii="Times New Roman"/>
          <w:sz w:val="18"/>
        </w:rPr>
      </w:pPr>
      <w:r>
        <w:rPr>
          <w:rFonts w:ascii="Times New Roman"/>
          <w:spacing w:val="-2"/>
          <w:sz w:val="18"/>
        </w:rPr>
        <w:t>Note:</w:t>
      </w:r>
      <w:r>
        <w:rPr>
          <w:rFonts w:ascii="Times New Roman"/>
          <w:sz w:val="18"/>
        </w:rPr>
        <w:tab/>
        <w:t>For</w:t>
      </w:r>
      <w:r>
        <w:rPr>
          <w:rFonts w:ascii="Times New Roman"/>
          <w:spacing w:val="-4"/>
          <w:sz w:val="18"/>
        </w:rPr>
        <w:t xml:space="preserve"> </w:t>
      </w:r>
      <w:r>
        <w:rPr>
          <w:rFonts w:ascii="Times New Roman"/>
          <w:sz w:val="18"/>
        </w:rPr>
        <w:t>rules</w:t>
      </w:r>
      <w:r>
        <w:rPr>
          <w:rFonts w:ascii="Times New Roman"/>
          <w:spacing w:val="-5"/>
          <w:sz w:val="18"/>
        </w:rPr>
        <w:t xml:space="preserve"> </w:t>
      </w:r>
      <w:r>
        <w:rPr>
          <w:rFonts w:ascii="Times New Roman"/>
          <w:sz w:val="18"/>
        </w:rPr>
        <w:t>that</w:t>
      </w:r>
      <w:r>
        <w:rPr>
          <w:rFonts w:ascii="Times New Roman"/>
          <w:spacing w:val="-4"/>
          <w:sz w:val="18"/>
        </w:rPr>
        <w:t xml:space="preserve"> </w:t>
      </w:r>
      <w:r>
        <w:rPr>
          <w:rFonts w:ascii="Times New Roman"/>
          <w:sz w:val="18"/>
        </w:rPr>
        <w:t>apply</w:t>
      </w:r>
      <w:r>
        <w:rPr>
          <w:rFonts w:ascii="Times New Roman"/>
          <w:spacing w:val="-6"/>
          <w:sz w:val="18"/>
        </w:rPr>
        <w:t xml:space="preserve"> </w:t>
      </w:r>
      <w:r>
        <w:rPr>
          <w:rFonts w:ascii="Times New Roman"/>
          <w:sz w:val="18"/>
        </w:rPr>
        <w:t>to</w:t>
      </w:r>
      <w:r>
        <w:rPr>
          <w:rFonts w:ascii="Times New Roman"/>
          <w:spacing w:val="-3"/>
          <w:sz w:val="18"/>
        </w:rPr>
        <w:t xml:space="preserve"> </w:t>
      </w:r>
      <w:r>
        <w:rPr>
          <w:rFonts w:ascii="Times New Roman"/>
          <w:sz w:val="18"/>
        </w:rPr>
        <w:t>acting</w:t>
      </w:r>
      <w:r>
        <w:rPr>
          <w:rFonts w:ascii="Times New Roman"/>
          <w:spacing w:val="-5"/>
          <w:sz w:val="18"/>
        </w:rPr>
        <w:t xml:space="preserve"> </w:t>
      </w:r>
      <w:r>
        <w:rPr>
          <w:rFonts w:ascii="Times New Roman"/>
          <w:sz w:val="18"/>
        </w:rPr>
        <w:t>appointments,</w:t>
      </w:r>
      <w:r>
        <w:rPr>
          <w:rFonts w:ascii="Times New Roman"/>
          <w:spacing w:val="-4"/>
          <w:sz w:val="18"/>
        </w:rPr>
        <w:t xml:space="preserve"> </w:t>
      </w:r>
      <w:r>
        <w:rPr>
          <w:rFonts w:ascii="Times New Roman"/>
          <w:sz w:val="18"/>
        </w:rPr>
        <w:t>see</w:t>
      </w:r>
      <w:r>
        <w:rPr>
          <w:rFonts w:ascii="Times New Roman"/>
          <w:spacing w:val="-5"/>
          <w:sz w:val="18"/>
        </w:rPr>
        <w:t xml:space="preserve"> </w:t>
      </w:r>
      <w:r>
        <w:rPr>
          <w:rFonts w:ascii="Times New Roman"/>
          <w:sz w:val="18"/>
        </w:rPr>
        <w:t>sections 33AB</w:t>
      </w:r>
      <w:r>
        <w:rPr>
          <w:rFonts w:ascii="Times New Roman"/>
          <w:spacing w:val="-4"/>
          <w:sz w:val="18"/>
        </w:rPr>
        <w:t xml:space="preserve"> </w:t>
      </w:r>
      <w:r>
        <w:rPr>
          <w:rFonts w:ascii="Times New Roman"/>
          <w:sz w:val="18"/>
        </w:rPr>
        <w:t xml:space="preserve">and 33A of the </w:t>
      </w:r>
      <w:r>
        <w:rPr>
          <w:rFonts w:ascii="Times New Roman"/>
          <w:i/>
          <w:sz w:val="18"/>
        </w:rPr>
        <w:t>Acts Interpretation Act 1901</w:t>
      </w:r>
      <w:r>
        <w:rPr>
          <w:rFonts w:ascii="Times New Roman"/>
          <w:sz w:val="18"/>
        </w:rPr>
        <w:t>.</w:t>
      </w:r>
    </w:p>
    <w:p w14:paraId="6B3CF586" w14:textId="77777777" w:rsidR="00811887" w:rsidRDefault="00811887" w:rsidP="00811887">
      <w:pPr>
        <w:pStyle w:val="BodyText"/>
        <w:spacing w:before="76"/>
        <w:rPr>
          <w:rFonts w:ascii="Times New Roman"/>
          <w:sz w:val="18"/>
        </w:rPr>
      </w:pPr>
    </w:p>
    <w:p w14:paraId="1CA4004E" w14:textId="77777777" w:rsidR="00811887" w:rsidRDefault="00811887" w:rsidP="00FB2FE9">
      <w:pPr>
        <w:pStyle w:val="Heading7"/>
        <w:numPr>
          <w:ilvl w:val="0"/>
          <w:numId w:val="77"/>
        </w:numPr>
        <w:tabs>
          <w:tab w:val="left" w:pos="2030"/>
        </w:tabs>
        <w:ind w:left="2030" w:hanging="360"/>
      </w:pPr>
      <w:bookmarkStart w:id="92" w:name="_TOC_250016"/>
      <w:bookmarkEnd w:id="92"/>
      <w:r>
        <w:rPr>
          <w:spacing w:val="-2"/>
        </w:rPr>
        <w:t>Allowances</w:t>
      </w:r>
    </w:p>
    <w:p w14:paraId="5AAC7618" w14:textId="77777777" w:rsidR="00811887" w:rsidRDefault="00811887" w:rsidP="00FB2FE9">
      <w:pPr>
        <w:pStyle w:val="ListParagraph"/>
        <w:widowControl w:val="0"/>
        <w:numPr>
          <w:ilvl w:val="1"/>
          <w:numId w:val="77"/>
        </w:numPr>
        <w:tabs>
          <w:tab w:val="left" w:pos="2802"/>
        </w:tabs>
        <w:autoSpaceDE w:val="0"/>
        <w:autoSpaceDN w:val="0"/>
        <w:spacing w:before="175" w:after="0"/>
        <w:ind w:left="2802" w:hanging="369"/>
        <w:contextualSpacing w:val="0"/>
        <w:rPr>
          <w:rFonts w:ascii="Times New Roman"/>
        </w:rPr>
      </w:pPr>
      <w:r>
        <w:rPr>
          <w:rFonts w:ascii="Times New Roman"/>
        </w:rPr>
        <w:t>A</w:t>
      </w:r>
      <w:r>
        <w:rPr>
          <w:rFonts w:ascii="Times New Roman"/>
          <w:spacing w:val="-4"/>
        </w:rPr>
        <w:t xml:space="preserve"> </w:t>
      </w:r>
      <w:r>
        <w:rPr>
          <w:rFonts w:ascii="Times New Roman"/>
        </w:rPr>
        <w:t>member</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1"/>
        </w:rPr>
        <w:t xml:space="preserve"> </w:t>
      </w:r>
      <w:r>
        <w:rPr>
          <w:rFonts w:ascii="Times New Roman"/>
        </w:rPr>
        <w:t>Committee</w:t>
      </w:r>
      <w:r>
        <w:rPr>
          <w:rFonts w:ascii="Times New Roman"/>
          <w:spacing w:val="-2"/>
        </w:rPr>
        <w:t xml:space="preserve"> </w:t>
      </w:r>
      <w:r>
        <w:rPr>
          <w:rFonts w:ascii="Times New Roman"/>
        </w:rPr>
        <w:t>is</w:t>
      </w:r>
      <w:r>
        <w:rPr>
          <w:rFonts w:ascii="Times New Roman"/>
          <w:spacing w:val="-2"/>
        </w:rPr>
        <w:t xml:space="preserve"> </w:t>
      </w:r>
      <w:r>
        <w:rPr>
          <w:rFonts w:ascii="Times New Roman"/>
        </w:rPr>
        <w:t>not</w:t>
      </w:r>
      <w:r>
        <w:rPr>
          <w:rFonts w:ascii="Times New Roman"/>
          <w:spacing w:val="-4"/>
        </w:rPr>
        <w:t xml:space="preserve"> </w:t>
      </w:r>
      <w:r>
        <w:rPr>
          <w:rFonts w:ascii="Times New Roman"/>
        </w:rPr>
        <w:t>to</w:t>
      </w:r>
      <w:r>
        <w:rPr>
          <w:rFonts w:ascii="Times New Roman"/>
          <w:spacing w:val="-2"/>
        </w:rPr>
        <w:t xml:space="preserve"> </w:t>
      </w:r>
      <w:r>
        <w:rPr>
          <w:rFonts w:ascii="Times New Roman"/>
        </w:rPr>
        <w:t>be</w:t>
      </w:r>
      <w:r>
        <w:rPr>
          <w:rFonts w:ascii="Times New Roman"/>
          <w:spacing w:val="-2"/>
        </w:rPr>
        <w:t xml:space="preserve"> </w:t>
      </w:r>
      <w:r>
        <w:rPr>
          <w:rFonts w:ascii="Times New Roman"/>
        </w:rPr>
        <w:t>paid</w:t>
      </w:r>
      <w:r>
        <w:rPr>
          <w:rFonts w:ascii="Times New Roman"/>
          <w:spacing w:val="-2"/>
        </w:rPr>
        <w:t xml:space="preserve"> </w:t>
      </w:r>
      <w:r>
        <w:rPr>
          <w:rFonts w:ascii="Times New Roman"/>
        </w:rPr>
        <w:t>any</w:t>
      </w:r>
      <w:r>
        <w:rPr>
          <w:rFonts w:ascii="Times New Roman"/>
          <w:spacing w:val="-4"/>
        </w:rPr>
        <w:t xml:space="preserve"> </w:t>
      </w:r>
      <w:r>
        <w:rPr>
          <w:rFonts w:ascii="Times New Roman"/>
          <w:spacing w:val="-2"/>
        </w:rPr>
        <w:t>remuneration.</w:t>
      </w:r>
    </w:p>
    <w:p w14:paraId="253B54AE" w14:textId="77777777" w:rsidR="00811887" w:rsidRDefault="00811887" w:rsidP="00FB2FE9">
      <w:pPr>
        <w:pStyle w:val="ListParagraph"/>
        <w:widowControl w:val="0"/>
        <w:numPr>
          <w:ilvl w:val="1"/>
          <w:numId w:val="77"/>
        </w:numPr>
        <w:tabs>
          <w:tab w:val="left" w:pos="2801"/>
          <w:tab w:val="left" w:pos="2803"/>
        </w:tabs>
        <w:autoSpaceDE w:val="0"/>
        <w:autoSpaceDN w:val="0"/>
        <w:spacing w:before="181" w:after="0"/>
        <w:ind w:right="1773"/>
        <w:contextualSpacing w:val="0"/>
        <w:rPr>
          <w:rFonts w:ascii="Times New Roman"/>
        </w:rPr>
      </w:pPr>
      <w:r>
        <w:rPr>
          <w:rFonts w:ascii="Times New Roman"/>
        </w:rPr>
        <w:t>However,</w:t>
      </w:r>
      <w:r>
        <w:rPr>
          <w:rFonts w:ascii="Times New Roman"/>
          <w:spacing w:val="-2"/>
        </w:rPr>
        <w:t xml:space="preserve"> </w:t>
      </w:r>
      <w:r>
        <w:rPr>
          <w:rFonts w:ascii="Times New Roman"/>
        </w:rPr>
        <w:t>a</w:t>
      </w:r>
      <w:r>
        <w:rPr>
          <w:rFonts w:ascii="Times New Roman"/>
          <w:spacing w:val="-2"/>
        </w:rPr>
        <w:t xml:space="preserve"> </w:t>
      </w:r>
      <w:r>
        <w:rPr>
          <w:rFonts w:ascii="Times New Roman"/>
        </w:rPr>
        <w:t>member</w:t>
      </w:r>
      <w:r>
        <w:rPr>
          <w:rFonts w:ascii="Times New Roman"/>
          <w:spacing w:val="-2"/>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Committee</w:t>
      </w:r>
      <w:r>
        <w:rPr>
          <w:rFonts w:ascii="Times New Roman"/>
          <w:spacing w:val="-2"/>
        </w:rPr>
        <w:t xml:space="preserve"> </w:t>
      </w:r>
      <w:r>
        <w:rPr>
          <w:rFonts w:ascii="Times New Roman"/>
        </w:rPr>
        <w:t>is</w:t>
      </w:r>
      <w:r>
        <w:rPr>
          <w:rFonts w:ascii="Times New Roman"/>
          <w:spacing w:val="-2"/>
        </w:rPr>
        <w:t xml:space="preserve"> </w:t>
      </w:r>
      <w:r>
        <w:rPr>
          <w:rFonts w:ascii="Times New Roman"/>
        </w:rPr>
        <w:t>to</w:t>
      </w:r>
      <w:r>
        <w:rPr>
          <w:rFonts w:ascii="Times New Roman"/>
          <w:spacing w:val="-5"/>
        </w:rPr>
        <w:t xml:space="preserve"> </w:t>
      </w:r>
      <w:r>
        <w:rPr>
          <w:rFonts w:ascii="Times New Roman"/>
        </w:rPr>
        <w:t>be</w:t>
      </w:r>
      <w:r>
        <w:rPr>
          <w:rFonts w:ascii="Times New Roman"/>
          <w:spacing w:val="-2"/>
        </w:rPr>
        <w:t xml:space="preserve"> </w:t>
      </w:r>
      <w:r>
        <w:rPr>
          <w:rFonts w:ascii="Times New Roman"/>
        </w:rPr>
        <w:t>paid</w:t>
      </w:r>
      <w:r>
        <w:rPr>
          <w:rFonts w:ascii="Times New Roman"/>
          <w:spacing w:val="-5"/>
        </w:rPr>
        <w:t xml:space="preserve"> </w:t>
      </w:r>
      <w:r>
        <w:rPr>
          <w:rFonts w:ascii="Times New Roman"/>
        </w:rPr>
        <w:t>the</w:t>
      </w:r>
      <w:r>
        <w:rPr>
          <w:rFonts w:ascii="Times New Roman"/>
          <w:spacing w:val="-4"/>
        </w:rPr>
        <w:t xml:space="preserve"> </w:t>
      </w:r>
      <w:r>
        <w:rPr>
          <w:rFonts w:ascii="Times New Roman"/>
        </w:rPr>
        <w:t>allowances that are prescribed by the regulations.</w:t>
      </w:r>
    </w:p>
    <w:p w14:paraId="702C6881" w14:textId="77777777" w:rsidR="00811887" w:rsidRDefault="00811887" w:rsidP="00FB2FE9">
      <w:pPr>
        <w:pStyle w:val="ListParagraph"/>
        <w:widowControl w:val="0"/>
        <w:numPr>
          <w:ilvl w:val="1"/>
          <w:numId w:val="77"/>
        </w:numPr>
        <w:tabs>
          <w:tab w:val="left" w:pos="2800"/>
          <w:tab w:val="left" w:pos="2803"/>
        </w:tabs>
        <w:autoSpaceDE w:val="0"/>
        <w:autoSpaceDN w:val="0"/>
        <w:spacing w:before="179" w:after="0"/>
        <w:ind w:right="2102"/>
        <w:contextualSpacing w:val="0"/>
        <w:rPr>
          <w:rFonts w:ascii="Times New Roman"/>
        </w:rPr>
      </w:pPr>
      <w:r>
        <w:rPr>
          <w:rFonts w:ascii="Times New Roman"/>
        </w:rPr>
        <w:t>The</w:t>
      </w:r>
      <w:r>
        <w:rPr>
          <w:rFonts w:ascii="Times New Roman"/>
          <w:spacing w:val="-5"/>
        </w:rPr>
        <w:t xml:space="preserve"> </w:t>
      </w:r>
      <w:r>
        <w:rPr>
          <w:rFonts w:ascii="Times New Roman"/>
        </w:rPr>
        <w:t>office</w:t>
      </w:r>
      <w:r>
        <w:rPr>
          <w:rFonts w:ascii="Times New Roman"/>
          <w:spacing w:val="-3"/>
        </w:rPr>
        <w:t xml:space="preserve"> </w:t>
      </w:r>
      <w:r>
        <w:rPr>
          <w:rFonts w:ascii="Times New Roman"/>
        </w:rPr>
        <w:t>of</w:t>
      </w:r>
      <w:r>
        <w:rPr>
          <w:rFonts w:ascii="Times New Roman"/>
          <w:spacing w:val="-3"/>
        </w:rPr>
        <w:t xml:space="preserve"> </w:t>
      </w:r>
      <w:r>
        <w:rPr>
          <w:rFonts w:ascii="Times New Roman"/>
        </w:rPr>
        <w:t>a</w:t>
      </w:r>
      <w:r>
        <w:rPr>
          <w:rFonts w:ascii="Times New Roman"/>
          <w:spacing w:val="-3"/>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5"/>
        </w:rPr>
        <w:t xml:space="preserve"> </w:t>
      </w:r>
      <w:r>
        <w:rPr>
          <w:rFonts w:ascii="Times New Roman"/>
        </w:rPr>
        <w:t>is</w:t>
      </w:r>
      <w:r>
        <w:rPr>
          <w:rFonts w:ascii="Times New Roman"/>
          <w:spacing w:val="-3"/>
        </w:rPr>
        <w:t xml:space="preserve"> </w:t>
      </w:r>
      <w:r>
        <w:rPr>
          <w:rFonts w:ascii="Times New Roman"/>
        </w:rPr>
        <w:t>not</w:t>
      </w:r>
      <w:r>
        <w:rPr>
          <w:rFonts w:ascii="Times New Roman"/>
          <w:spacing w:val="-2"/>
        </w:rPr>
        <w:t xml:space="preserve"> </w:t>
      </w:r>
      <w:r>
        <w:rPr>
          <w:rFonts w:ascii="Times New Roman"/>
        </w:rPr>
        <w:t>a</w:t>
      </w:r>
      <w:r>
        <w:rPr>
          <w:rFonts w:ascii="Times New Roman"/>
          <w:spacing w:val="-5"/>
        </w:rPr>
        <w:t xml:space="preserve"> </w:t>
      </w:r>
      <w:r>
        <w:rPr>
          <w:rFonts w:ascii="Times New Roman"/>
        </w:rPr>
        <w:t>public</w:t>
      </w:r>
      <w:r>
        <w:rPr>
          <w:rFonts w:ascii="Times New Roman"/>
          <w:spacing w:val="-3"/>
        </w:rPr>
        <w:t xml:space="preserve"> </w:t>
      </w:r>
      <w:r>
        <w:rPr>
          <w:rFonts w:ascii="Times New Roman"/>
        </w:rPr>
        <w:t xml:space="preserve">office within the meaning of the </w:t>
      </w:r>
      <w:r>
        <w:rPr>
          <w:rFonts w:ascii="Times New Roman"/>
          <w:i/>
        </w:rPr>
        <w:t>Remuneration Tribunal Act 1973</w:t>
      </w:r>
      <w:r>
        <w:rPr>
          <w:rFonts w:ascii="Times New Roman"/>
        </w:rPr>
        <w:t>.</w:t>
      </w:r>
    </w:p>
    <w:p w14:paraId="72B22023" w14:textId="77777777" w:rsidR="00811887" w:rsidRDefault="00811887" w:rsidP="00811887">
      <w:pPr>
        <w:pStyle w:val="BodyText"/>
        <w:spacing w:before="31"/>
        <w:rPr>
          <w:rFonts w:ascii="Times New Roman"/>
          <w:sz w:val="22"/>
        </w:rPr>
      </w:pPr>
    </w:p>
    <w:p w14:paraId="3687C18C" w14:textId="77777777" w:rsidR="00811887" w:rsidRDefault="00811887" w:rsidP="00FB2FE9">
      <w:pPr>
        <w:pStyle w:val="Heading7"/>
        <w:numPr>
          <w:ilvl w:val="0"/>
          <w:numId w:val="77"/>
        </w:numPr>
        <w:tabs>
          <w:tab w:val="left" w:pos="2030"/>
        </w:tabs>
        <w:ind w:left="2030" w:hanging="360"/>
      </w:pPr>
      <w:bookmarkStart w:id="93" w:name="_TOC_250015"/>
      <w:r>
        <w:t>Leave</w:t>
      </w:r>
      <w:r>
        <w:rPr>
          <w:spacing w:val="-2"/>
        </w:rPr>
        <w:t xml:space="preserve"> </w:t>
      </w:r>
      <w:r>
        <w:t>of</w:t>
      </w:r>
      <w:r>
        <w:rPr>
          <w:spacing w:val="1"/>
        </w:rPr>
        <w:t xml:space="preserve"> </w:t>
      </w:r>
      <w:bookmarkEnd w:id="93"/>
      <w:r>
        <w:rPr>
          <w:spacing w:val="-2"/>
        </w:rPr>
        <w:t>absence</w:t>
      </w:r>
    </w:p>
    <w:p w14:paraId="1118E1D1" w14:textId="77777777" w:rsidR="00811887" w:rsidRDefault="00811887" w:rsidP="00811887">
      <w:pPr>
        <w:spacing w:before="237"/>
        <w:ind w:left="2803"/>
        <w:rPr>
          <w:rFonts w:ascii="Times New Roman"/>
          <w:i/>
        </w:rPr>
      </w:pPr>
      <w:r>
        <w:rPr>
          <w:rFonts w:ascii="Times New Roman"/>
          <w:i/>
          <w:spacing w:val="-2"/>
        </w:rPr>
        <w:t>Chair</w:t>
      </w:r>
    </w:p>
    <w:p w14:paraId="029BCD1F"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811"/>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2"/>
        </w:rPr>
        <w:t xml:space="preserve"> </w:t>
      </w:r>
      <w:r>
        <w:rPr>
          <w:rFonts w:ascii="Times New Roman"/>
        </w:rPr>
        <w:t>may</w:t>
      </w:r>
      <w:r>
        <w:rPr>
          <w:rFonts w:ascii="Times New Roman"/>
          <w:spacing w:val="-3"/>
        </w:rPr>
        <w:t xml:space="preserve"> </w:t>
      </w:r>
      <w:r>
        <w:rPr>
          <w:rFonts w:ascii="Times New Roman"/>
        </w:rPr>
        <w:t>grant</w:t>
      </w:r>
      <w:r>
        <w:rPr>
          <w:rFonts w:ascii="Times New Roman"/>
          <w:spacing w:val="-2"/>
        </w:rPr>
        <w:t xml:space="preserve"> </w:t>
      </w:r>
      <w:r>
        <w:rPr>
          <w:rFonts w:ascii="Times New Roman"/>
        </w:rPr>
        <w:t>leave</w:t>
      </w:r>
      <w:r>
        <w:rPr>
          <w:rFonts w:ascii="Times New Roman"/>
          <w:spacing w:val="-3"/>
        </w:rPr>
        <w:t xml:space="preserve"> </w:t>
      </w:r>
      <w:r>
        <w:rPr>
          <w:rFonts w:ascii="Times New Roman"/>
        </w:rPr>
        <w:t>of</w:t>
      </w:r>
      <w:r>
        <w:rPr>
          <w:rFonts w:ascii="Times New Roman"/>
          <w:spacing w:val="-2"/>
        </w:rPr>
        <w:t xml:space="preserve"> </w:t>
      </w:r>
      <w:r>
        <w:rPr>
          <w:rFonts w:ascii="Times New Roman"/>
        </w:rPr>
        <w:t>absence</w:t>
      </w:r>
      <w:r>
        <w:rPr>
          <w:rFonts w:ascii="Times New Roman"/>
          <w:spacing w:val="-5"/>
        </w:rPr>
        <w:t xml:space="preserve"> </w:t>
      </w:r>
      <w:r>
        <w:rPr>
          <w:rFonts w:ascii="Times New Roman"/>
        </w:rPr>
        <w:t>to</w:t>
      </w:r>
      <w:r>
        <w:rPr>
          <w:rFonts w:ascii="Times New Roman"/>
          <w:spacing w:val="-6"/>
        </w:rPr>
        <w:t xml:space="preserve"> </w:t>
      </w:r>
      <w:r>
        <w:rPr>
          <w:rFonts w:ascii="Times New Roman"/>
        </w:rPr>
        <w:t>the</w:t>
      </w:r>
      <w:r>
        <w:rPr>
          <w:rFonts w:ascii="Times New Roman"/>
          <w:spacing w:val="-1"/>
        </w:rPr>
        <w:t xml:space="preserve"> </w:t>
      </w:r>
      <w:r>
        <w:rPr>
          <w:rFonts w:ascii="Times New Roman"/>
        </w:rPr>
        <w:t>Chair</w:t>
      </w:r>
      <w:r>
        <w:rPr>
          <w:rFonts w:ascii="Times New Roman"/>
          <w:spacing w:val="-4"/>
        </w:rPr>
        <w:t xml:space="preserve"> </w:t>
      </w:r>
      <w:r>
        <w:rPr>
          <w:rFonts w:ascii="Times New Roman"/>
        </w:rPr>
        <w:t>on</w:t>
      </w:r>
      <w:r>
        <w:rPr>
          <w:rFonts w:ascii="Times New Roman"/>
          <w:spacing w:val="-3"/>
        </w:rPr>
        <w:t xml:space="preserve"> </w:t>
      </w:r>
      <w:r>
        <w:rPr>
          <w:rFonts w:ascii="Times New Roman"/>
        </w:rPr>
        <w:t>the</w:t>
      </w:r>
      <w:r>
        <w:rPr>
          <w:rFonts w:ascii="Times New Roman"/>
          <w:spacing w:val="-5"/>
        </w:rPr>
        <w:t xml:space="preserve"> </w:t>
      </w:r>
      <w:r>
        <w:rPr>
          <w:rFonts w:ascii="Times New Roman"/>
        </w:rPr>
        <w:t>terms and conditions that the Minister determines.</w:t>
      </w:r>
    </w:p>
    <w:p w14:paraId="2E18C899" w14:textId="77777777" w:rsidR="00811887" w:rsidRDefault="00811887" w:rsidP="00811887">
      <w:pPr>
        <w:spacing w:before="241"/>
        <w:ind w:left="2803"/>
        <w:rPr>
          <w:rFonts w:ascii="Times New Roman"/>
          <w:i/>
        </w:rPr>
      </w:pPr>
      <w:r>
        <w:rPr>
          <w:rFonts w:ascii="Times New Roman"/>
          <w:i/>
        </w:rPr>
        <w:t>Other</w:t>
      </w:r>
      <w:r>
        <w:rPr>
          <w:rFonts w:ascii="Times New Roman"/>
          <w:i/>
          <w:spacing w:val="-4"/>
        </w:rPr>
        <w:t xml:space="preserve"> </w:t>
      </w:r>
      <w:r>
        <w:rPr>
          <w:rFonts w:ascii="Times New Roman"/>
          <w:i/>
          <w:spacing w:val="-2"/>
        </w:rPr>
        <w:t>members</w:t>
      </w:r>
    </w:p>
    <w:p w14:paraId="07D4611E" w14:textId="77777777" w:rsidR="00811887" w:rsidRDefault="00811887" w:rsidP="00FB2FE9">
      <w:pPr>
        <w:pStyle w:val="ListParagraph"/>
        <w:widowControl w:val="0"/>
        <w:numPr>
          <w:ilvl w:val="1"/>
          <w:numId w:val="77"/>
        </w:numPr>
        <w:tabs>
          <w:tab w:val="left" w:pos="2800"/>
          <w:tab w:val="left" w:pos="2803"/>
        </w:tabs>
        <w:autoSpaceDE w:val="0"/>
        <w:autoSpaceDN w:val="0"/>
        <w:spacing w:before="181" w:after="0"/>
        <w:ind w:right="1842"/>
        <w:contextualSpacing w:val="0"/>
        <w:rPr>
          <w:rFonts w:ascii="Times New Roman"/>
        </w:rPr>
      </w:pPr>
      <w:r>
        <w:rPr>
          <w:rFonts w:ascii="Times New Roman"/>
        </w:rPr>
        <w:t>The Chair may grant leave of absence to another member of the Committee</w:t>
      </w:r>
      <w:r>
        <w:rPr>
          <w:rFonts w:ascii="Times New Roman"/>
          <w:spacing w:val="-2"/>
        </w:rPr>
        <w:t xml:space="preserve"> </w:t>
      </w:r>
      <w:r>
        <w:rPr>
          <w:rFonts w:ascii="Times New Roman"/>
        </w:rPr>
        <w:t>on</w:t>
      </w:r>
      <w:r>
        <w:rPr>
          <w:rFonts w:ascii="Times New Roman"/>
          <w:spacing w:val="-6"/>
        </w:rPr>
        <w:t xml:space="preserve"> </w:t>
      </w:r>
      <w:r>
        <w:rPr>
          <w:rFonts w:ascii="Times New Roman"/>
        </w:rPr>
        <w:t>the</w:t>
      </w:r>
      <w:r>
        <w:rPr>
          <w:rFonts w:ascii="Times New Roman"/>
          <w:spacing w:val="-5"/>
        </w:rPr>
        <w:t xml:space="preserve"> </w:t>
      </w:r>
      <w:r>
        <w:rPr>
          <w:rFonts w:ascii="Times New Roman"/>
        </w:rPr>
        <w:t>terms</w:t>
      </w:r>
      <w:r>
        <w:rPr>
          <w:rFonts w:ascii="Times New Roman"/>
          <w:spacing w:val="-3"/>
        </w:rPr>
        <w:t xml:space="preserve"> </w:t>
      </w:r>
      <w:r>
        <w:rPr>
          <w:rFonts w:ascii="Times New Roman"/>
        </w:rPr>
        <w:t>and</w:t>
      </w:r>
      <w:r>
        <w:rPr>
          <w:rFonts w:ascii="Times New Roman"/>
          <w:spacing w:val="-3"/>
        </w:rPr>
        <w:t xml:space="preserve"> </w:t>
      </w:r>
      <w:r>
        <w:rPr>
          <w:rFonts w:ascii="Times New Roman"/>
        </w:rPr>
        <w:t>conditions</w:t>
      </w:r>
      <w:r>
        <w:rPr>
          <w:rFonts w:ascii="Times New Roman"/>
          <w:spacing w:val="-5"/>
        </w:rPr>
        <w:t xml:space="preserve"> </w:t>
      </w:r>
      <w:r>
        <w:rPr>
          <w:rFonts w:ascii="Times New Roman"/>
        </w:rPr>
        <w:t>that</w:t>
      </w:r>
      <w:r>
        <w:rPr>
          <w:rFonts w:ascii="Times New Roman"/>
          <w:spacing w:val="-5"/>
        </w:rPr>
        <w:t xml:space="preserve"> </w:t>
      </w:r>
      <w:r>
        <w:rPr>
          <w:rFonts w:ascii="Times New Roman"/>
        </w:rPr>
        <w:t>the</w:t>
      </w:r>
      <w:r>
        <w:rPr>
          <w:rFonts w:ascii="Times New Roman"/>
          <w:spacing w:val="-1"/>
        </w:rPr>
        <w:t xml:space="preserve"> </w:t>
      </w:r>
      <w:r>
        <w:rPr>
          <w:rFonts w:ascii="Times New Roman"/>
        </w:rPr>
        <w:t>Chair</w:t>
      </w:r>
      <w:r>
        <w:rPr>
          <w:rFonts w:ascii="Times New Roman"/>
          <w:spacing w:val="-4"/>
        </w:rPr>
        <w:t xml:space="preserve"> </w:t>
      </w:r>
      <w:r>
        <w:rPr>
          <w:rFonts w:ascii="Times New Roman"/>
        </w:rPr>
        <w:t>determines.</w:t>
      </w:r>
    </w:p>
    <w:p w14:paraId="799E639B" w14:textId="77777777" w:rsidR="00811887" w:rsidRDefault="00811887" w:rsidP="00FB2FE9">
      <w:pPr>
        <w:pStyle w:val="ListParagraph"/>
        <w:widowControl w:val="0"/>
        <w:numPr>
          <w:ilvl w:val="1"/>
          <w:numId w:val="77"/>
        </w:numPr>
        <w:tabs>
          <w:tab w:val="left" w:pos="2800"/>
          <w:tab w:val="left" w:pos="2803"/>
        </w:tabs>
        <w:autoSpaceDE w:val="0"/>
        <w:autoSpaceDN w:val="0"/>
        <w:spacing w:before="179" w:after="0"/>
        <w:ind w:right="2199"/>
        <w:contextualSpacing w:val="0"/>
        <w:rPr>
          <w:rFonts w:ascii="Times New Roman"/>
        </w:rPr>
      </w:pPr>
      <w:r>
        <w:rPr>
          <w:rFonts w:ascii="Times New Roman"/>
        </w:rPr>
        <w:t>The</w:t>
      </w:r>
      <w:r>
        <w:rPr>
          <w:rFonts w:ascii="Times New Roman"/>
          <w:spacing w:val="-5"/>
        </w:rPr>
        <w:t xml:space="preserve"> </w:t>
      </w:r>
      <w:r>
        <w:rPr>
          <w:rFonts w:ascii="Times New Roman"/>
        </w:rPr>
        <w:t>Chair</w:t>
      </w:r>
      <w:r>
        <w:rPr>
          <w:rFonts w:ascii="Times New Roman"/>
          <w:spacing w:val="-2"/>
        </w:rPr>
        <w:t xml:space="preserve"> </w:t>
      </w:r>
      <w:r>
        <w:rPr>
          <w:rFonts w:ascii="Times New Roman"/>
        </w:rPr>
        <w:t>must</w:t>
      </w:r>
      <w:r>
        <w:rPr>
          <w:rFonts w:ascii="Times New Roman"/>
          <w:spacing w:val="-2"/>
        </w:rPr>
        <w:t xml:space="preserve"> </w:t>
      </w:r>
      <w:r>
        <w:rPr>
          <w:rFonts w:ascii="Times New Roman"/>
        </w:rPr>
        <w:t>notify</w:t>
      </w:r>
      <w:r>
        <w:rPr>
          <w:rFonts w:ascii="Times New Roman"/>
          <w:spacing w:val="-5"/>
        </w:rPr>
        <w:t xml:space="preserve"> </w:t>
      </w:r>
      <w:r>
        <w:rPr>
          <w:rFonts w:ascii="Times New Roman"/>
        </w:rPr>
        <w:t>the</w:t>
      </w:r>
      <w:r>
        <w:rPr>
          <w:rFonts w:ascii="Times New Roman"/>
          <w:spacing w:val="-4"/>
        </w:rPr>
        <w:t xml:space="preserve"> </w:t>
      </w:r>
      <w:r>
        <w:rPr>
          <w:rFonts w:ascii="Times New Roman"/>
        </w:rPr>
        <w:t>Minister</w:t>
      </w:r>
      <w:r>
        <w:rPr>
          <w:rFonts w:ascii="Times New Roman"/>
          <w:spacing w:val="-4"/>
        </w:rPr>
        <w:t xml:space="preserve"> </w:t>
      </w:r>
      <w:r>
        <w:rPr>
          <w:rFonts w:ascii="Times New Roman"/>
        </w:rPr>
        <w:t>if</w:t>
      </w:r>
      <w:r>
        <w:rPr>
          <w:rFonts w:ascii="Times New Roman"/>
          <w:spacing w:val="-5"/>
        </w:rPr>
        <w:t xml:space="preserve"> </w:t>
      </w:r>
      <w:r>
        <w:rPr>
          <w:rFonts w:ascii="Times New Roman"/>
        </w:rPr>
        <w:t>the</w:t>
      </w:r>
      <w:r>
        <w:rPr>
          <w:rFonts w:ascii="Times New Roman"/>
          <w:spacing w:val="-3"/>
        </w:rPr>
        <w:t xml:space="preserve"> </w:t>
      </w:r>
      <w:r>
        <w:rPr>
          <w:rFonts w:ascii="Times New Roman"/>
        </w:rPr>
        <w:t>Chair</w:t>
      </w:r>
      <w:r>
        <w:rPr>
          <w:rFonts w:ascii="Times New Roman"/>
          <w:spacing w:val="-2"/>
        </w:rPr>
        <w:t xml:space="preserve"> </w:t>
      </w:r>
      <w:r>
        <w:rPr>
          <w:rFonts w:ascii="Times New Roman"/>
        </w:rPr>
        <w:t>grants</w:t>
      </w:r>
      <w:r>
        <w:rPr>
          <w:rFonts w:ascii="Times New Roman"/>
          <w:spacing w:val="-5"/>
        </w:rPr>
        <w:t xml:space="preserve"> </w:t>
      </w:r>
      <w:r>
        <w:rPr>
          <w:rFonts w:ascii="Times New Roman"/>
        </w:rPr>
        <w:t>another member of the Committee leave of absence for a period that exceeds 3 months.</w:t>
      </w:r>
    </w:p>
    <w:p w14:paraId="4C603BDA" w14:textId="77777777" w:rsidR="00811887" w:rsidRDefault="00811887" w:rsidP="00811887">
      <w:pPr>
        <w:pStyle w:val="BodyText"/>
        <w:spacing w:before="32"/>
        <w:rPr>
          <w:rFonts w:ascii="Times New Roman"/>
          <w:sz w:val="22"/>
        </w:rPr>
      </w:pPr>
    </w:p>
    <w:p w14:paraId="22E4EE7E" w14:textId="77777777" w:rsidR="00811887" w:rsidRDefault="00811887" w:rsidP="00FB2FE9">
      <w:pPr>
        <w:pStyle w:val="Heading7"/>
        <w:numPr>
          <w:ilvl w:val="0"/>
          <w:numId w:val="77"/>
        </w:numPr>
        <w:tabs>
          <w:tab w:val="left" w:pos="2030"/>
        </w:tabs>
        <w:ind w:left="2030" w:hanging="360"/>
      </w:pPr>
      <w:bookmarkStart w:id="94" w:name="_TOC_250014"/>
      <w:r>
        <w:t>Disclosure</w:t>
      </w:r>
      <w:r>
        <w:rPr>
          <w:spacing w:val="-3"/>
        </w:rPr>
        <w:t xml:space="preserve"> </w:t>
      </w:r>
      <w:r>
        <w:t>of</w:t>
      </w:r>
      <w:r>
        <w:rPr>
          <w:spacing w:val="-1"/>
        </w:rPr>
        <w:t xml:space="preserve"> </w:t>
      </w:r>
      <w:r>
        <w:t>interests</w:t>
      </w:r>
      <w:r>
        <w:rPr>
          <w:spacing w:val="-1"/>
        </w:rPr>
        <w:t xml:space="preserve"> </w:t>
      </w:r>
      <w:r>
        <w:t>to</w:t>
      </w:r>
      <w:r>
        <w:rPr>
          <w:spacing w:val="-3"/>
        </w:rPr>
        <w:t xml:space="preserve"> </w:t>
      </w:r>
      <w:r>
        <w:t>Joint</w:t>
      </w:r>
      <w:r>
        <w:rPr>
          <w:spacing w:val="-1"/>
        </w:rPr>
        <w:t xml:space="preserve"> </w:t>
      </w:r>
      <w:bookmarkEnd w:id="94"/>
      <w:r>
        <w:rPr>
          <w:spacing w:val="-2"/>
        </w:rPr>
        <w:t>Ministers</w:t>
      </w:r>
    </w:p>
    <w:p w14:paraId="439E1883" w14:textId="77777777" w:rsidR="00811887" w:rsidRDefault="00811887" w:rsidP="00811887">
      <w:pPr>
        <w:spacing w:before="175"/>
        <w:ind w:left="2803" w:right="1757"/>
        <w:rPr>
          <w:rFonts w:ascii="Times New Roman" w:hAnsi="Times New Roman"/>
        </w:rPr>
      </w:pPr>
      <w:r>
        <w:rPr>
          <w:rFonts w:ascii="Times New Roman" w:hAnsi="Times New Roman"/>
        </w:rPr>
        <w:t>A member of the Committee must give written notice to the Joint Ministers</w:t>
      </w:r>
      <w:r>
        <w:rPr>
          <w:rFonts w:ascii="Times New Roman" w:hAnsi="Times New Roman"/>
          <w:spacing w:val="-3"/>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all</w:t>
      </w:r>
      <w:r>
        <w:rPr>
          <w:rFonts w:ascii="Times New Roman" w:hAnsi="Times New Roman"/>
          <w:spacing w:val="-3"/>
        </w:rPr>
        <w:t xml:space="preserve"> </w:t>
      </w:r>
      <w:r>
        <w:rPr>
          <w:rFonts w:ascii="Times New Roman" w:hAnsi="Times New Roman"/>
        </w:rPr>
        <w:t>interests,</w:t>
      </w:r>
      <w:r>
        <w:rPr>
          <w:rFonts w:ascii="Times New Roman" w:hAnsi="Times New Roman"/>
          <w:spacing w:val="-6"/>
        </w:rPr>
        <w:t xml:space="preserve"> </w:t>
      </w:r>
      <w:r>
        <w:rPr>
          <w:rFonts w:ascii="Times New Roman" w:hAnsi="Times New Roman"/>
        </w:rPr>
        <w:t>pecuniary</w:t>
      </w:r>
      <w:r>
        <w:rPr>
          <w:rFonts w:ascii="Times New Roman" w:hAnsi="Times New Roman"/>
          <w:spacing w:val="-7"/>
        </w:rPr>
        <w:t xml:space="preserve"> </w:t>
      </w:r>
      <w:r>
        <w:rPr>
          <w:rFonts w:ascii="Times New Roman" w:hAnsi="Times New Roman"/>
        </w:rPr>
        <w:t>or</w:t>
      </w:r>
      <w:r>
        <w:rPr>
          <w:rFonts w:ascii="Times New Roman" w:hAnsi="Times New Roman"/>
          <w:spacing w:val="-4"/>
        </w:rPr>
        <w:t xml:space="preserve"> </w:t>
      </w:r>
      <w:r>
        <w:rPr>
          <w:rFonts w:ascii="Times New Roman" w:hAnsi="Times New Roman"/>
        </w:rPr>
        <w:t>otherwise,</w:t>
      </w:r>
      <w:r>
        <w:rPr>
          <w:rFonts w:ascii="Times New Roman" w:hAnsi="Times New Roman"/>
          <w:spacing w:val="-4"/>
        </w:rPr>
        <w:t xml:space="preserve"> </w:t>
      </w:r>
      <w:r>
        <w:rPr>
          <w:rFonts w:ascii="Times New Roman" w:hAnsi="Times New Roman"/>
        </w:rPr>
        <w:t>that</w:t>
      </w:r>
      <w:r>
        <w:rPr>
          <w:rFonts w:ascii="Times New Roman" w:hAnsi="Times New Roman"/>
          <w:spacing w:val="-6"/>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member has or acquires and that conflict or could conflict with the proper performance of the member’s functions.</w:t>
      </w:r>
    </w:p>
    <w:p w14:paraId="231F3109" w14:textId="77777777" w:rsidR="00811887" w:rsidRDefault="00811887" w:rsidP="00811887">
      <w:pPr>
        <w:pStyle w:val="BodyText"/>
        <w:spacing w:before="32"/>
        <w:rPr>
          <w:rFonts w:ascii="Times New Roman"/>
          <w:sz w:val="22"/>
        </w:rPr>
      </w:pPr>
    </w:p>
    <w:p w14:paraId="7EA8D8C5" w14:textId="77777777" w:rsidR="00811887" w:rsidRDefault="00811887" w:rsidP="00FB2FE9">
      <w:pPr>
        <w:pStyle w:val="Heading7"/>
        <w:numPr>
          <w:ilvl w:val="0"/>
          <w:numId w:val="77"/>
        </w:numPr>
        <w:tabs>
          <w:tab w:val="left" w:pos="2030"/>
        </w:tabs>
        <w:ind w:left="2030" w:hanging="360"/>
      </w:pPr>
      <w:bookmarkStart w:id="95" w:name="_TOC_250013"/>
      <w:r>
        <w:t>Disclosure</w:t>
      </w:r>
      <w:r>
        <w:rPr>
          <w:spacing w:val="-4"/>
        </w:rPr>
        <w:t xml:space="preserve"> </w:t>
      </w:r>
      <w:r>
        <w:t>of</w:t>
      </w:r>
      <w:r>
        <w:rPr>
          <w:spacing w:val="-1"/>
        </w:rPr>
        <w:t xml:space="preserve"> </w:t>
      </w:r>
      <w:r>
        <w:t>interests</w:t>
      </w:r>
      <w:r>
        <w:rPr>
          <w:spacing w:val="-3"/>
        </w:rPr>
        <w:t xml:space="preserve"> </w:t>
      </w:r>
      <w:r>
        <w:t>to</w:t>
      </w:r>
      <w:bookmarkEnd w:id="95"/>
      <w:r>
        <w:rPr>
          <w:spacing w:val="-2"/>
        </w:rPr>
        <w:t xml:space="preserve"> Committee</w:t>
      </w:r>
    </w:p>
    <w:p w14:paraId="2E90E7BE" w14:textId="77777777" w:rsidR="00811887" w:rsidRDefault="00811887" w:rsidP="00FB2FE9">
      <w:pPr>
        <w:pStyle w:val="ListParagraph"/>
        <w:widowControl w:val="0"/>
        <w:numPr>
          <w:ilvl w:val="1"/>
          <w:numId w:val="77"/>
        </w:numPr>
        <w:tabs>
          <w:tab w:val="left" w:pos="2801"/>
          <w:tab w:val="left" w:pos="2803"/>
        </w:tabs>
        <w:autoSpaceDE w:val="0"/>
        <w:autoSpaceDN w:val="0"/>
        <w:spacing w:before="177" w:after="0"/>
        <w:ind w:right="1902"/>
        <w:contextualSpacing w:val="0"/>
        <w:rPr>
          <w:rFonts w:ascii="Times New Roman"/>
        </w:rPr>
      </w:pPr>
      <w:r>
        <w:rPr>
          <w:rFonts w:ascii="Times New Roman"/>
        </w:rPr>
        <w:t>A member of the Committee who has an interest, pecuniary or otherwise,</w:t>
      </w:r>
      <w:r>
        <w:rPr>
          <w:rFonts w:ascii="Times New Roman"/>
          <w:spacing w:val="-3"/>
        </w:rPr>
        <w:t xml:space="preserve"> </w:t>
      </w:r>
      <w:r>
        <w:rPr>
          <w:rFonts w:ascii="Times New Roman"/>
        </w:rPr>
        <w:t>in</w:t>
      </w:r>
      <w:r>
        <w:rPr>
          <w:rFonts w:ascii="Times New Roman"/>
          <w:spacing w:val="-6"/>
        </w:rPr>
        <w:t xml:space="preserve"> </w:t>
      </w:r>
      <w:r>
        <w:rPr>
          <w:rFonts w:ascii="Times New Roman"/>
        </w:rPr>
        <w:t>a</w:t>
      </w:r>
      <w:r>
        <w:rPr>
          <w:rFonts w:ascii="Times New Roman"/>
          <w:spacing w:val="-3"/>
        </w:rPr>
        <w:t xml:space="preserve"> </w:t>
      </w:r>
      <w:r>
        <w:rPr>
          <w:rFonts w:ascii="Times New Roman"/>
        </w:rPr>
        <w:t>matter</w:t>
      </w:r>
      <w:r>
        <w:rPr>
          <w:rFonts w:ascii="Times New Roman"/>
          <w:spacing w:val="-3"/>
        </w:rPr>
        <w:t xml:space="preserve"> </w:t>
      </w:r>
      <w:r>
        <w:rPr>
          <w:rFonts w:ascii="Times New Roman"/>
        </w:rPr>
        <w:t>being</w:t>
      </w:r>
      <w:r>
        <w:rPr>
          <w:rFonts w:ascii="Times New Roman"/>
          <w:spacing w:val="-6"/>
        </w:rPr>
        <w:t xml:space="preserve"> </w:t>
      </w:r>
      <w:r>
        <w:rPr>
          <w:rFonts w:ascii="Times New Roman"/>
        </w:rPr>
        <w:t>considered</w:t>
      </w:r>
      <w:r>
        <w:rPr>
          <w:rFonts w:ascii="Times New Roman"/>
          <w:spacing w:val="-3"/>
        </w:rPr>
        <w:t xml:space="preserve"> </w:t>
      </w:r>
      <w:r>
        <w:rPr>
          <w:rFonts w:ascii="Times New Roman"/>
        </w:rPr>
        <w:t>or</w:t>
      </w:r>
      <w:r>
        <w:rPr>
          <w:rFonts w:ascii="Times New Roman"/>
          <w:spacing w:val="-3"/>
        </w:rPr>
        <w:t xml:space="preserve"> </w:t>
      </w:r>
      <w:r>
        <w:rPr>
          <w:rFonts w:ascii="Times New Roman"/>
        </w:rPr>
        <w:t>about</w:t>
      </w:r>
      <w:r>
        <w:rPr>
          <w:rFonts w:ascii="Times New Roman"/>
          <w:spacing w:val="-5"/>
        </w:rPr>
        <w:t xml:space="preserve"> </w:t>
      </w:r>
      <w:r>
        <w:rPr>
          <w:rFonts w:ascii="Times New Roman"/>
        </w:rPr>
        <w:t>to</w:t>
      </w:r>
      <w:r>
        <w:rPr>
          <w:rFonts w:ascii="Times New Roman"/>
          <w:spacing w:val="-3"/>
        </w:rPr>
        <w:t xml:space="preserve"> </w:t>
      </w:r>
      <w:r>
        <w:rPr>
          <w:rFonts w:ascii="Times New Roman"/>
        </w:rPr>
        <w:t>be</w:t>
      </w:r>
      <w:r>
        <w:rPr>
          <w:rFonts w:ascii="Times New Roman"/>
          <w:spacing w:val="-5"/>
        </w:rPr>
        <w:t xml:space="preserve"> </w:t>
      </w:r>
      <w:r>
        <w:rPr>
          <w:rFonts w:ascii="Times New Roman"/>
        </w:rPr>
        <w:t>considered</w:t>
      </w:r>
    </w:p>
    <w:p w14:paraId="08172657" w14:textId="77777777" w:rsidR="00811887" w:rsidRDefault="00811887" w:rsidP="00811887">
      <w:pPr>
        <w:pStyle w:val="BodyText"/>
        <w:rPr>
          <w:rFonts w:ascii="Times New Roman"/>
        </w:rPr>
      </w:pPr>
    </w:p>
    <w:p w14:paraId="7B268190" w14:textId="77777777" w:rsidR="00811887" w:rsidRDefault="00811887" w:rsidP="00811887">
      <w:pPr>
        <w:pStyle w:val="BodyText"/>
        <w:spacing w:before="144"/>
        <w:rPr>
          <w:rFonts w:ascii="Times New Roman"/>
        </w:rPr>
      </w:pPr>
      <w:r>
        <w:rPr>
          <w:noProof/>
        </w:rPr>
        <mc:AlternateContent>
          <mc:Choice Requires="wps">
            <w:drawing>
              <wp:anchor distT="0" distB="0" distL="0" distR="0" simplePos="0" relativeHeight="251713536" behindDoc="1" locked="0" layoutInCell="1" allowOverlap="1" wp14:anchorId="576229B4" wp14:editId="6BE6C617">
                <wp:simplePos x="0" y="0"/>
                <wp:positionH relativeFrom="page">
                  <wp:posOffset>1512061</wp:posOffset>
                </wp:positionH>
                <wp:positionV relativeFrom="paragraph">
                  <wp:posOffset>253287</wp:posOffset>
                </wp:positionV>
                <wp:extent cx="4538345" cy="9525"/>
                <wp:effectExtent l="0" t="0" r="0" b="0"/>
                <wp:wrapTopAndBottom/>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C48A6" id="Graphic 31" o:spid="_x0000_s1026" alt="&quot;&quot;" style="position:absolute;margin-left:119.05pt;margin-top:19.95pt;width:357.35pt;height:.75pt;z-index:-25160294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" path="m4537837,l,,,9143r4537837,l4537837,xe" fillcolor="black" stroked="f">
                <v:path arrowok="t"/>
                <w10:wrap type="topAndBottom" anchorx="page"/>
              </v:shape>
            </w:pict>
          </mc:Fallback>
        </mc:AlternateContent>
      </w:r>
    </w:p>
    <w:p w14:paraId="0F4566BA" w14:textId="77777777" w:rsidR="00811887" w:rsidRDefault="00811887" w:rsidP="00811887">
      <w:pPr>
        <w:pStyle w:val="BodyText"/>
        <w:spacing w:before="121"/>
        <w:rPr>
          <w:rFonts w:ascii="Times New Roman"/>
          <w:sz w:val="18"/>
        </w:rPr>
      </w:pPr>
    </w:p>
    <w:p w14:paraId="7482B952" w14:textId="77777777" w:rsidR="00811887" w:rsidRDefault="00811887" w:rsidP="00811887">
      <w:pPr>
        <w:tabs>
          <w:tab w:val="left" w:pos="3084"/>
          <w:tab w:val="left" w:pos="7738"/>
        </w:tabs>
        <w:ind w:left="1670"/>
        <w:rPr>
          <w:rFonts w:ascii="Times New Roman"/>
          <w:i/>
          <w:sz w:val="18"/>
        </w:rPr>
      </w:pPr>
      <w:r>
        <w:rPr>
          <w:rFonts w:ascii="Times New Roman"/>
          <w:i/>
          <w:spacing w:val="-5"/>
          <w:sz w:val="18"/>
        </w:rPr>
        <w:t>10</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560C7121"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365CE005" w14:textId="77777777" w:rsidR="00811887" w:rsidRDefault="00811887" w:rsidP="00811887">
      <w:pPr>
        <w:pStyle w:val="BodyText"/>
        <w:spacing w:before="65"/>
        <w:ind w:right="1685"/>
        <w:jc w:val="right"/>
        <w:rPr>
          <w:rFonts w:ascii="Times New Roman"/>
          <w:b/>
        </w:rPr>
      </w:pPr>
      <w:r>
        <w:rPr>
          <w:rFonts w:ascii="Times New Roman"/>
        </w:rPr>
        <w:lastRenderedPageBreak/>
        <w:t>Economic</w:t>
      </w:r>
      <w:r>
        <w:rPr>
          <w:rFonts w:ascii="Times New Roman"/>
          <w:spacing w:val="-7"/>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4"/>
        </w:rPr>
        <w:t xml:space="preserve"> </w:t>
      </w:r>
      <w:r>
        <w:rPr>
          <w:rFonts w:ascii="Times New Roman"/>
        </w:rPr>
        <w:t>Committee</w:t>
      </w:r>
      <w:r>
        <w:rPr>
          <w:rFonts w:ascii="Times New Roman"/>
          <w:spacing w:val="37"/>
        </w:rPr>
        <w:t xml:space="preserve"> </w:t>
      </w:r>
      <w:r>
        <w:rPr>
          <w:rFonts w:ascii="Times New Roman"/>
          <w:b/>
        </w:rPr>
        <w:t>Part</w:t>
      </w:r>
      <w:r>
        <w:rPr>
          <w:rFonts w:ascii="Times New Roman"/>
          <w:b/>
          <w:spacing w:val="-5"/>
        </w:rPr>
        <w:t xml:space="preserve"> </w:t>
      </w:r>
      <w:r>
        <w:rPr>
          <w:rFonts w:ascii="Times New Roman"/>
          <w:b/>
          <w:spacing w:val="-10"/>
        </w:rPr>
        <w:t>2</w:t>
      </w:r>
    </w:p>
    <w:p w14:paraId="240B0246" w14:textId="77777777" w:rsidR="00811887" w:rsidRDefault="00811887" w:rsidP="00811887">
      <w:pPr>
        <w:spacing w:before="32"/>
        <w:ind w:right="1685"/>
        <w:jc w:val="right"/>
        <w:rPr>
          <w:rFonts w:ascii="Times New Roman"/>
          <w:b/>
          <w:sz w:val="20"/>
        </w:rPr>
      </w:pPr>
      <w:r>
        <w:rPr>
          <w:rFonts w:ascii="Times New Roman"/>
          <w:sz w:val="20"/>
        </w:rPr>
        <w:t>Committee</w:t>
      </w:r>
      <w:r>
        <w:rPr>
          <w:rFonts w:ascii="Times New Roman"/>
          <w:spacing w:val="-4"/>
          <w:sz w:val="20"/>
        </w:rPr>
        <w:t xml:space="preserve"> </w:t>
      </w:r>
      <w:r>
        <w:rPr>
          <w:rFonts w:ascii="Times New Roman"/>
          <w:sz w:val="20"/>
        </w:rPr>
        <w:t>members</w:t>
      </w:r>
      <w:r>
        <w:rPr>
          <w:rFonts w:ascii="Times New Roman"/>
          <w:spacing w:val="39"/>
          <w:sz w:val="20"/>
        </w:rPr>
        <w:t xml:space="preserve"> </w:t>
      </w:r>
      <w:r>
        <w:rPr>
          <w:rFonts w:ascii="Times New Roman"/>
          <w:b/>
          <w:sz w:val="20"/>
        </w:rPr>
        <w:t>Division</w:t>
      </w:r>
      <w:r>
        <w:rPr>
          <w:rFonts w:ascii="Times New Roman"/>
          <w:b/>
          <w:spacing w:val="-7"/>
          <w:sz w:val="20"/>
        </w:rPr>
        <w:t xml:space="preserve"> </w:t>
      </w:r>
      <w:r>
        <w:rPr>
          <w:rFonts w:ascii="Times New Roman"/>
          <w:b/>
          <w:spacing w:val="-10"/>
          <w:sz w:val="20"/>
        </w:rPr>
        <w:t>3</w:t>
      </w:r>
    </w:p>
    <w:p w14:paraId="556304D4" w14:textId="77777777" w:rsidR="00811887" w:rsidRDefault="00811887" w:rsidP="00811887">
      <w:pPr>
        <w:pStyle w:val="BodyText"/>
        <w:spacing w:before="45"/>
        <w:rPr>
          <w:rFonts w:ascii="Times New Roman"/>
          <w:b/>
        </w:rPr>
      </w:pPr>
    </w:p>
    <w:p w14:paraId="52BD2B35"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14560" behindDoc="1" locked="0" layoutInCell="1" allowOverlap="1" wp14:anchorId="0F4A492F" wp14:editId="2FE6480C">
                <wp:simplePos x="0" y="0"/>
                <wp:positionH relativeFrom="page">
                  <wp:posOffset>1512061</wp:posOffset>
                </wp:positionH>
                <wp:positionV relativeFrom="paragraph">
                  <wp:posOffset>192823</wp:posOffset>
                </wp:positionV>
                <wp:extent cx="4538345" cy="9525"/>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ABC9D" id="Graphic 32" o:spid="_x0000_s1026" alt="&quot;&quot;" style="position:absolute;margin-left:119.05pt;margin-top:15.2pt;width:357.35pt;height:.75pt;z-index:-25160192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18</w:t>
      </w:r>
    </w:p>
    <w:p w14:paraId="3E2F6333" w14:textId="77777777" w:rsidR="00811887" w:rsidRDefault="00811887" w:rsidP="00811887">
      <w:pPr>
        <w:pStyle w:val="BodyText"/>
        <w:spacing w:before="33"/>
        <w:rPr>
          <w:rFonts w:ascii="Times New Roman"/>
          <w:sz w:val="22"/>
        </w:rPr>
      </w:pPr>
    </w:p>
    <w:p w14:paraId="3AFD784A" w14:textId="77777777" w:rsidR="00811887" w:rsidRDefault="00811887" w:rsidP="00811887">
      <w:pPr>
        <w:ind w:left="2803" w:right="1757"/>
        <w:rPr>
          <w:rFonts w:ascii="Times New Roman"/>
        </w:rPr>
      </w:pPr>
      <w:r>
        <w:rPr>
          <w:rFonts w:ascii="Times New Roman"/>
        </w:rPr>
        <w:t>by</w:t>
      </w:r>
      <w:r>
        <w:rPr>
          <w:rFonts w:ascii="Times New Roman"/>
          <w:spacing w:val="-6"/>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2"/>
        </w:rPr>
        <w:t xml:space="preserve"> </w:t>
      </w:r>
      <w:r>
        <w:rPr>
          <w:rFonts w:ascii="Times New Roman"/>
        </w:rPr>
        <w:t>must</w:t>
      </w:r>
      <w:r>
        <w:rPr>
          <w:rFonts w:ascii="Times New Roman"/>
          <w:spacing w:val="-2"/>
        </w:rPr>
        <w:t xml:space="preserve"> </w:t>
      </w:r>
      <w:r>
        <w:rPr>
          <w:rFonts w:ascii="Times New Roman"/>
        </w:rPr>
        <w:t>disclose</w:t>
      </w:r>
      <w:r>
        <w:rPr>
          <w:rFonts w:ascii="Times New Roman"/>
          <w:spacing w:val="-3"/>
        </w:rPr>
        <w:t xml:space="preserve"> </w:t>
      </w:r>
      <w:r>
        <w:rPr>
          <w:rFonts w:ascii="Times New Roman"/>
        </w:rPr>
        <w:t>the</w:t>
      </w:r>
      <w:r>
        <w:rPr>
          <w:rFonts w:ascii="Times New Roman"/>
          <w:spacing w:val="-3"/>
        </w:rPr>
        <w:t xml:space="preserve"> </w:t>
      </w:r>
      <w:r>
        <w:rPr>
          <w:rFonts w:ascii="Times New Roman"/>
        </w:rPr>
        <w:t>nature</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rPr>
        <w:t>interest</w:t>
      </w:r>
      <w:r>
        <w:rPr>
          <w:rFonts w:ascii="Times New Roman"/>
          <w:spacing w:val="-5"/>
        </w:rPr>
        <w:t xml:space="preserve"> </w:t>
      </w:r>
      <w:r>
        <w:rPr>
          <w:rFonts w:ascii="Times New Roman"/>
        </w:rPr>
        <w:t>to</w:t>
      </w:r>
      <w:r>
        <w:rPr>
          <w:rFonts w:ascii="Times New Roman"/>
          <w:spacing w:val="-3"/>
        </w:rPr>
        <w:t xml:space="preserve"> </w:t>
      </w:r>
      <w:r>
        <w:rPr>
          <w:rFonts w:ascii="Times New Roman"/>
        </w:rPr>
        <w:t>a meeting of the Committee.</w:t>
      </w:r>
    </w:p>
    <w:p w14:paraId="28FC83C7" w14:textId="77777777" w:rsidR="00811887" w:rsidRDefault="00811887" w:rsidP="00FB2FE9">
      <w:pPr>
        <w:pStyle w:val="ListParagraph"/>
        <w:widowControl w:val="0"/>
        <w:numPr>
          <w:ilvl w:val="1"/>
          <w:numId w:val="77"/>
        </w:numPr>
        <w:tabs>
          <w:tab w:val="left" w:pos="2801"/>
          <w:tab w:val="left" w:pos="2803"/>
        </w:tabs>
        <w:autoSpaceDE w:val="0"/>
        <w:autoSpaceDN w:val="0"/>
        <w:spacing w:before="181" w:after="0"/>
        <w:ind w:right="1804"/>
        <w:contextualSpacing w:val="0"/>
        <w:rPr>
          <w:rFonts w:ascii="Times New Roman" w:hAnsi="Times New Roman"/>
        </w:rPr>
      </w:pPr>
      <w:r>
        <w:rPr>
          <w:rFonts w:ascii="Times New Roman" w:hAnsi="Times New Roman"/>
        </w:rPr>
        <w:t>The</w:t>
      </w:r>
      <w:r>
        <w:rPr>
          <w:rFonts w:ascii="Times New Roman" w:hAnsi="Times New Roman"/>
          <w:spacing w:val="-5"/>
        </w:rPr>
        <w:t xml:space="preserve"> </w:t>
      </w:r>
      <w:r>
        <w:rPr>
          <w:rFonts w:ascii="Times New Roman" w:hAnsi="Times New Roman"/>
        </w:rPr>
        <w:t>disclosure</w:t>
      </w:r>
      <w:r>
        <w:rPr>
          <w:rFonts w:ascii="Times New Roman" w:hAnsi="Times New Roman"/>
          <w:spacing w:val="-3"/>
        </w:rPr>
        <w:t xml:space="preserve"> </w:t>
      </w:r>
      <w:r>
        <w:rPr>
          <w:rFonts w:ascii="Times New Roman" w:hAnsi="Times New Roman"/>
        </w:rPr>
        <w:t>must</w:t>
      </w:r>
      <w:r>
        <w:rPr>
          <w:rFonts w:ascii="Times New Roman" w:hAnsi="Times New Roman"/>
          <w:spacing w:val="-2"/>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made</w:t>
      </w:r>
      <w:r>
        <w:rPr>
          <w:rFonts w:ascii="Times New Roman" w:hAnsi="Times New Roman"/>
          <w:spacing w:val="-3"/>
        </w:rPr>
        <w:t xml:space="preserve"> </w:t>
      </w:r>
      <w:r>
        <w:rPr>
          <w:rFonts w:ascii="Times New Roman" w:hAnsi="Times New Roman"/>
        </w:rPr>
        <w:t>as</w:t>
      </w:r>
      <w:r>
        <w:rPr>
          <w:rFonts w:ascii="Times New Roman" w:hAnsi="Times New Roman"/>
          <w:spacing w:val="-5"/>
        </w:rPr>
        <w:t xml:space="preserve"> </w:t>
      </w:r>
      <w:r>
        <w:rPr>
          <w:rFonts w:ascii="Times New Roman" w:hAnsi="Times New Roman"/>
        </w:rPr>
        <w:t>soon</w:t>
      </w:r>
      <w:r>
        <w:rPr>
          <w:rFonts w:ascii="Times New Roman" w:hAnsi="Times New Roman"/>
          <w:spacing w:val="-3"/>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possible</w:t>
      </w:r>
      <w:r>
        <w:rPr>
          <w:rFonts w:ascii="Times New Roman" w:hAnsi="Times New Roman"/>
          <w:spacing w:val="-5"/>
        </w:rPr>
        <w:t xml:space="preserve"> </w:t>
      </w:r>
      <w:r>
        <w:rPr>
          <w:rFonts w:ascii="Times New Roman" w:hAnsi="Times New Roman"/>
        </w:rPr>
        <w:t>after</w:t>
      </w:r>
      <w:r>
        <w:rPr>
          <w:rFonts w:ascii="Times New Roman" w:hAnsi="Times New Roman"/>
          <w:spacing w:val="-5"/>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relevant facts have come to the member’s knowledge.</w:t>
      </w:r>
    </w:p>
    <w:p w14:paraId="7A583B69" w14:textId="77777777" w:rsidR="00811887" w:rsidRDefault="00811887" w:rsidP="00FB2FE9">
      <w:pPr>
        <w:pStyle w:val="ListParagraph"/>
        <w:widowControl w:val="0"/>
        <w:numPr>
          <w:ilvl w:val="1"/>
          <w:numId w:val="77"/>
        </w:numPr>
        <w:tabs>
          <w:tab w:val="left" w:pos="2801"/>
        </w:tabs>
        <w:autoSpaceDE w:val="0"/>
        <w:autoSpaceDN w:val="0"/>
        <w:spacing w:before="180" w:after="0"/>
        <w:ind w:left="2801" w:hanging="368"/>
        <w:contextualSpacing w:val="0"/>
        <w:rPr>
          <w:rFonts w:ascii="Times New Roman"/>
        </w:rPr>
      </w:pPr>
      <w:r>
        <w:rPr>
          <w:rFonts w:ascii="Times New Roman"/>
        </w:rPr>
        <w:t>Unless</w:t>
      </w:r>
      <w:r>
        <w:rPr>
          <w:rFonts w:ascii="Times New Roman"/>
          <w:spacing w:val="-7"/>
        </w:rPr>
        <w:t xml:space="preserve"> </w:t>
      </w:r>
      <w:r>
        <w:rPr>
          <w:rFonts w:ascii="Times New Roman"/>
        </w:rPr>
        <w:t>the</w:t>
      </w:r>
      <w:r>
        <w:rPr>
          <w:rFonts w:ascii="Times New Roman"/>
          <w:spacing w:val="-4"/>
        </w:rPr>
        <w:t xml:space="preserve"> </w:t>
      </w:r>
      <w:r>
        <w:rPr>
          <w:rFonts w:ascii="Times New Roman"/>
        </w:rPr>
        <w:t>Committee</w:t>
      </w:r>
      <w:r>
        <w:rPr>
          <w:rFonts w:ascii="Times New Roman"/>
          <w:spacing w:val="-3"/>
        </w:rPr>
        <w:t xml:space="preserve"> </w:t>
      </w:r>
      <w:r>
        <w:rPr>
          <w:rFonts w:ascii="Times New Roman"/>
        </w:rPr>
        <w:t>otherwise</w:t>
      </w:r>
      <w:r>
        <w:rPr>
          <w:rFonts w:ascii="Times New Roman"/>
          <w:spacing w:val="-7"/>
        </w:rPr>
        <w:t xml:space="preserve"> </w:t>
      </w:r>
      <w:r>
        <w:rPr>
          <w:rFonts w:ascii="Times New Roman"/>
        </w:rPr>
        <w:t>determines,</w:t>
      </w:r>
      <w:r>
        <w:rPr>
          <w:rFonts w:ascii="Times New Roman"/>
          <w:spacing w:val="-7"/>
        </w:rPr>
        <w:t xml:space="preserve"> </w:t>
      </w:r>
      <w:r>
        <w:rPr>
          <w:rFonts w:ascii="Times New Roman"/>
        </w:rPr>
        <w:t>the</w:t>
      </w:r>
      <w:r>
        <w:rPr>
          <w:rFonts w:ascii="Times New Roman"/>
          <w:spacing w:val="-6"/>
        </w:rPr>
        <w:t xml:space="preserve"> </w:t>
      </w:r>
      <w:r>
        <w:rPr>
          <w:rFonts w:ascii="Times New Roman"/>
          <w:spacing w:val="-2"/>
        </w:rPr>
        <w:t>member:</w:t>
      </w:r>
    </w:p>
    <w:p w14:paraId="25EC2E59"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2701"/>
        <w:contextualSpacing w:val="0"/>
        <w:rPr>
          <w:rFonts w:ascii="Times New Roman"/>
        </w:rPr>
      </w:pPr>
      <w:r>
        <w:rPr>
          <w:rFonts w:ascii="Times New Roman"/>
        </w:rPr>
        <w:t>must</w:t>
      </w:r>
      <w:r>
        <w:rPr>
          <w:rFonts w:ascii="Times New Roman"/>
          <w:spacing w:val="-3"/>
        </w:rPr>
        <w:t xml:space="preserve"> </w:t>
      </w:r>
      <w:r>
        <w:rPr>
          <w:rFonts w:ascii="Times New Roman"/>
        </w:rPr>
        <w:t>not</w:t>
      </w:r>
      <w:r>
        <w:rPr>
          <w:rFonts w:ascii="Times New Roman"/>
          <w:spacing w:val="-3"/>
        </w:rPr>
        <w:t xml:space="preserve"> </w:t>
      </w:r>
      <w:r>
        <w:rPr>
          <w:rFonts w:ascii="Times New Roman"/>
        </w:rPr>
        <w:t>be</w:t>
      </w:r>
      <w:r>
        <w:rPr>
          <w:rFonts w:ascii="Times New Roman"/>
          <w:spacing w:val="-3"/>
        </w:rPr>
        <w:t xml:space="preserve"> </w:t>
      </w:r>
      <w:r>
        <w:rPr>
          <w:rFonts w:ascii="Times New Roman"/>
        </w:rPr>
        <w:t>present</w:t>
      </w:r>
      <w:r>
        <w:rPr>
          <w:rFonts w:ascii="Times New Roman"/>
          <w:spacing w:val="-3"/>
        </w:rPr>
        <w:t xml:space="preserve"> </w:t>
      </w:r>
      <w:r>
        <w:rPr>
          <w:rFonts w:ascii="Times New Roman"/>
        </w:rPr>
        <w:t>during</w:t>
      </w:r>
      <w:r>
        <w:rPr>
          <w:rFonts w:ascii="Times New Roman"/>
          <w:spacing w:val="-6"/>
        </w:rPr>
        <w:t xml:space="preserve"> </w:t>
      </w:r>
      <w:r>
        <w:rPr>
          <w:rFonts w:ascii="Times New Roman"/>
        </w:rPr>
        <w:t>any</w:t>
      </w:r>
      <w:r>
        <w:rPr>
          <w:rFonts w:ascii="Times New Roman"/>
          <w:spacing w:val="-5"/>
        </w:rPr>
        <w:t xml:space="preserve"> </w:t>
      </w:r>
      <w:r>
        <w:rPr>
          <w:rFonts w:ascii="Times New Roman"/>
        </w:rPr>
        <w:t>deliberation</w:t>
      </w:r>
      <w:r>
        <w:rPr>
          <w:rFonts w:ascii="Times New Roman"/>
          <w:spacing w:val="-3"/>
        </w:rPr>
        <w:t xml:space="preserve"> </w:t>
      </w:r>
      <w:r>
        <w:rPr>
          <w:rFonts w:ascii="Times New Roman"/>
        </w:rPr>
        <w:t>by</w:t>
      </w:r>
      <w:r>
        <w:rPr>
          <w:rFonts w:ascii="Times New Roman"/>
          <w:spacing w:val="-6"/>
        </w:rPr>
        <w:t xml:space="preserve"> </w:t>
      </w:r>
      <w:r>
        <w:rPr>
          <w:rFonts w:ascii="Times New Roman"/>
        </w:rPr>
        <w:t>the Committee on the matter; and</w:t>
      </w:r>
    </w:p>
    <w:p w14:paraId="70BAC1E7" w14:textId="77777777" w:rsidR="00811887" w:rsidRDefault="00811887" w:rsidP="00FB2FE9">
      <w:pPr>
        <w:pStyle w:val="ListParagraph"/>
        <w:widowControl w:val="0"/>
        <w:numPr>
          <w:ilvl w:val="2"/>
          <w:numId w:val="77"/>
        </w:numPr>
        <w:tabs>
          <w:tab w:val="left" w:pos="3312"/>
          <w:tab w:val="left" w:pos="3314"/>
        </w:tabs>
        <w:autoSpaceDE w:val="0"/>
        <w:autoSpaceDN w:val="0"/>
        <w:spacing w:before="42" w:after="0"/>
        <w:ind w:right="2115" w:hanging="370"/>
        <w:contextualSpacing w:val="0"/>
        <w:rPr>
          <w:rFonts w:ascii="Times New Roman"/>
        </w:rPr>
      </w:pPr>
      <w:r>
        <w:rPr>
          <w:rFonts w:ascii="Times New Roman"/>
        </w:rPr>
        <w:t>must</w:t>
      </w:r>
      <w:r>
        <w:rPr>
          <w:rFonts w:ascii="Times New Roman"/>
          <w:spacing w:val="-2"/>
        </w:rPr>
        <w:t xml:space="preserve"> </w:t>
      </w:r>
      <w:r>
        <w:rPr>
          <w:rFonts w:ascii="Times New Roman"/>
        </w:rPr>
        <w:t>not</w:t>
      </w:r>
      <w:r>
        <w:rPr>
          <w:rFonts w:ascii="Times New Roman"/>
          <w:spacing w:val="-2"/>
        </w:rPr>
        <w:t xml:space="preserve"> </w:t>
      </w:r>
      <w:r>
        <w:rPr>
          <w:rFonts w:ascii="Times New Roman"/>
        </w:rPr>
        <w:t>take</w:t>
      </w:r>
      <w:r>
        <w:rPr>
          <w:rFonts w:ascii="Times New Roman"/>
          <w:spacing w:val="-3"/>
        </w:rPr>
        <w:t xml:space="preserve"> </w:t>
      </w:r>
      <w:r>
        <w:rPr>
          <w:rFonts w:ascii="Times New Roman"/>
        </w:rPr>
        <w:t>part</w:t>
      </w:r>
      <w:r>
        <w:rPr>
          <w:rFonts w:ascii="Times New Roman"/>
          <w:spacing w:val="-2"/>
        </w:rPr>
        <w:t xml:space="preserve"> </w:t>
      </w:r>
      <w:r>
        <w:rPr>
          <w:rFonts w:ascii="Times New Roman"/>
        </w:rPr>
        <w:t>in</w:t>
      </w:r>
      <w:r>
        <w:rPr>
          <w:rFonts w:ascii="Times New Roman"/>
          <w:spacing w:val="-6"/>
        </w:rPr>
        <w:t xml:space="preserve"> </w:t>
      </w:r>
      <w:r>
        <w:rPr>
          <w:rFonts w:ascii="Times New Roman"/>
        </w:rPr>
        <w:t>any</w:t>
      </w:r>
      <w:r>
        <w:rPr>
          <w:rFonts w:ascii="Times New Roman"/>
          <w:spacing w:val="-5"/>
        </w:rPr>
        <w:t xml:space="preserve"> </w:t>
      </w:r>
      <w:r>
        <w:rPr>
          <w:rFonts w:ascii="Times New Roman"/>
        </w:rPr>
        <w:t>decision</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2"/>
        </w:rPr>
        <w:t xml:space="preserve"> </w:t>
      </w:r>
      <w:r>
        <w:rPr>
          <w:rFonts w:ascii="Times New Roman"/>
        </w:rPr>
        <w:t>with respect to the matter.</w:t>
      </w:r>
    </w:p>
    <w:p w14:paraId="47ADB640" w14:textId="77777777" w:rsidR="00811887" w:rsidRDefault="00811887" w:rsidP="00FB2FE9">
      <w:pPr>
        <w:pStyle w:val="ListParagraph"/>
        <w:widowControl w:val="0"/>
        <w:numPr>
          <w:ilvl w:val="1"/>
          <w:numId w:val="77"/>
        </w:numPr>
        <w:tabs>
          <w:tab w:val="left" w:pos="2800"/>
          <w:tab w:val="left" w:pos="2803"/>
        </w:tabs>
        <w:autoSpaceDE w:val="0"/>
        <w:autoSpaceDN w:val="0"/>
        <w:spacing w:before="178" w:after="0"/>
        <w:ind w:right="1880"/>
        <w:contextualSpacing w:val="0"/>
        <w:rPr>
          <w:rFonts w:ascii="Times New Roman"/>
        </w:rPr>
      </w:pPr>
      <w:r>
        <w:rPr>
          <w:rFonts w:ascii="Times New Roman"/>
        </w:rPr>
        <w:t>For</w:t>
      </w:r>
      <w:r>
        <w:rPr>
          <w:rFonts w:ascii="Times New Roman"/>
          <w:spacing w:val="-3"/>
        </w:rPr>
        <w:t xml:space="preserve"> </w:t>
      </w:r>
      <w:r>
        <w:rPr>
          <w:rFonts w:ascii="Times New Roman"/>
        </w:rPr>
        <w:t>the</w:t>
      </w:r>
      <w:r>
        <w:rPr>
          <w:rFonts w:ascii="Times New Roman"/>
          <w:spacing w:val="-3"/>
        </w:rPr>
        <w:t xml:space="preserve"> </w:t>
      </w:r>
      <w:r>
        <w:rPr>
          <w:rFonts w:ascii="Times New Roman"/>
        </w:rPr>
        <w:t>purposes</w:t>
      </w:r>
      <w:r>
        <w:rPr>
          <w:rFonts w:ascii="Times New Roman"/>
          <w:spacing w:val="-3"/>
        </w:rPr>
        <w:t xml:space="preserve"> </w:t>
      </w:r>
      <w:r>
        <w:rPr>
          <w:rFonts w:ascii="Times New Roman"/>
        </w:rPr>
        <w:t>of</w:t>
      </w:r>
      <w:r>
        <w:rPr>
          <w:rFonts w:ascii="Times New Roman"/>
          <w:spacing w:val="-3"/>
        </w:rPr>
        <w:t xml:space="preserve"> </w:t>
      </w:r>
      <w:r>
        <w:rPr>
          <w:rFonts w:ascii="Times New Roman"/>
        </w:rPr>
        <w:t>making</w:t>
      </w:r>
      <w:r>
        <w:rPr>
          <w:rFonts w:ascii="Times New Roman"/>
          <w:spacing w:val="-3"/>
        </w:rPr>
        <w:t xml:space="preserve"> </w:t>
      </w:r>
      <w:r>
        <w:rPr>
          <w:rFonts w:ascii="Times New Roman"/>
        </w:rPr>
        <w:t>a</w:t>
      </w:r>
      <w:r>
        <w:rPr>
          <w:rFonts w:ascii="Times New Roman"/>
          <w:spacing w:val="-3"/>
        </w:rPr>
        <w:t xml:space="preserve"> </w:t>
      </w:r>
      <w:r>
        <w:rPr>
          <w:rFonts w:ascii="Times New Roman"/>
        </w:rPr>
        <w:t>determination</w:t>
      </w:r>
      <w:r>
        <w:rPr>
          <w:rFonts w:ascii="Times New Roman"/>
          <w:spacing w:val="-6"/>
        </w:rPr>
        <w:t xml:space="preserve"> </w:t>
      </w:r>
      <w:r>
        <w:rPr>
          <w:rFonts w:ascii="Times New Roman"/>
        </w:rPr>
        <w:t>under subsection</w:t>
      </w:r>
      <w:r>
        <w:rPr>
          <w:rFonts w:ascii="Times New Roman"/>
          <w:spacing w:val="-5"/>
        </w:rPr>
        <w:t xml:space="preserve"> </w:t>
      </w:r>
      <w:r>
        <w:rPr>
          <w:rFonts w:ascii="Times New Roman"/>
        </w:rPr>
        <w:t>(3), the member:</w:t>
      </w:r>
    </w:p>
    <w:p w14:paraId="6E358E7D" w14:textId="77777777" w:rsidR="00811887" w:rsidRDefault="00811887" w:rsidP="00FB2FE9">
      <w:pPr>
        <w:pStyle w:val="ListParagraph"/>
        <w:widowControl w:val="0"/>
        <w:numPr>
          <w:ilvl w:val="2"/>
          <w:numId w:val="77"/>
        </w:numPr>
        <w:tabs>
          <w:tab w:val="left" w:pos="3312"/>
          <w:tab w:val="left" w:pos="3314"/>
        </w:tabs>
        <w:autoSpaceDE w:val="0"/>
        <w:autoSpaceDN w:val="0"/>
        <w:spacing w:before="41" w:after="0"/>
        <w:ind w:right="1705"/>
        <w:contextualSpacing w:val="0"/>
        <w:rPr>
          <w:rFonts w:ascii="Times New Roman"/>
        </w:rPr>
      </w:pPr>
      <w:r>
        <w:rPr>
          <w:rFonts w:ascii="Times New Roman"/>
        </w:rPr>
        <w:t>must</w:t>
      </w:r>
      <w:r>
        <w:rPr>
          <w:rFonts w:ascii="Times New Roman"/>
          <w:spacing w:val="-3"/>
        </w:rPr>
        <w:t xml:space="preserve"> </w:t>
      </w:r>
      <w:r>
        <w:rPr>
          <w:rFonts w:ascii="Times New Roman"/>
        </w:rPr>
        <w:t>not</w:t>
      </w:r>
      <w:r>
        <w:rPr>
          <w:rFonts w:ascii="Times New Roman"/>
          <w:spacing w:val="-3"/>
        </w:rPr>
        <w:t xml:space="preserve"> </w:t>
      </w:r>
      <w:r>
        <w:rPr>
          <w:rFonts w:ascii="Times New Roman"/>
        </w:rPr>
        <w:t>be</w:t>
      </w:r>
      <w:r>
        <w:rPr>
          <w:rFonts w:ascii="Times New Roman"/>
          <w:spacing w:val="-4"/>
        </w:rPr>
        <w:t xml:space="preserve"> </w:t>
      </w:r>
      <w:r>
        <w:rPr>
          <w:rFonts w:ascii="Times New Roman"/>
        </w:rPr>
        <w:t>present</w:t>
      </w:r>
      <w:r>
        <w:rPr>
          <w:rFonts w:ascii="Times New Roman"/>
          <w:spacing w:val="-3"/>
        </w:rPr>
        <w:t xml:space="preserve"> </w:t>
      </w:r>
      <w:r>
        <w:rPr>
          <w:rFonts w:ascii="Times New Roman"/>
        </w:rPr>
        <w:t>during</w:t>
      </w:r>
      <w:r>
        <w:rPr>
          <w:rFonts w:ascii="Times New Roman"/>
          <w:spacing w:val="-7"/>
        </w:rPr>
        <w:t xml:space="preserve"> </w:t>
      </w:r>
      <w:r>
        <w:rPr>
          <w:rFonts w:ascii="Times New Roman"/>
        </w:rPr>
        <w:t>any</w:t>
      </w:r>
      <w:r>
        <w:rPr>
          <w:rFonts w:ascii="Times New Roman"/>
          <w:spacing w:val="-6"/>
        </w:rPr>
        <w:t xml:space="preserve"> </w:t>
      </w:r>
      <w:r>
        <w:rPr>
          <w:rFonts w:ascii="Times New Roman"/>
        </w:rPr>
        <w:t>deliberation</w:t>
      </w:r>
      <w:r>
        <w:rPr>
          <w:rFonts w:ascii="Times New Roman"/>
          <w:spacing w:val="-4"/>
        </w:rPr>
        <w:t xml:space="preserve"> </w:t>
      </w:r>
      <w:r>
        <w:rPr>
          <w:rFonts w:ascii="Times New Roman"/>
        </w:rPr>
        <w:t>of</w:t>
      </w:r>
      <w:r>
        <w:rPr>
          <w:rFonts w:ascii="Times New Roman"/>
          <w:spacing w:val="-4"/>
        </w:rPr>
        <w:t xml:space="preserve"> </w:t>
      </w:r>
      <w:r>
        <w:rPr>
          <w:rFonts w:ascii="Times New Roman"/>
        </w:rPr>
        <w:t>the</w:t>
      </w:r>
      <w:r>
        <w:rPr>
          <w:rFonts w:ascii="Times New Roman"/>
          <w:spacing w:val="-1"/>
        </w:rPr>
        <w:t xml:space="preserve"> </w:t>
      </w:r>
      <w:r>
        <w:rPr>
          <w:rFonts w:ascii="Times New Roman"/>
        </w:rPr>
        <w:t>Committee for the purpose of making the determination; and</w:t>
      </w:r>
    </w:p>
    <w:p w14:paraId="17A83811" w14:textId="77777777" w:rsidR="00811887" w:rsidRDefault="00811887" w:rsidP="00FB2FE9">
      <w:pPr>
        <w:pStyle w:val="ListParagraph"/>
        <w:widowControl w:val="0"/>
        <w:numPr>
          <w:ilvl w:val="2"/>
          <w:numId w:val="77"/>
        </w:numPr>
        <w:tabs>
          <w:tab w:val="left" w:pos="3313"/>
        </w:tabs>
        <w:autoSpaceDE w:val="0"/>
        <w:autoSpaceDN w:val="0"/>
        <w:spacing w:before="39" w:after="0"/>
        <w:ind w:left="3313" w:hanging="368"/>
        <w:contextualSpacing w:val="0"/>
        <w:rPr>
          <w:rFonts w:ascii="Times New Roman"/>
        </w:rPr>
      </w:pPr>
      <w:r>
        <w:rPr>
          <w:rFonts w:ascii="Times New Roman"/>
        </w:rPr>
        <w:t>must</w:t>
      </w:r>
      <w:r>
        <w:rPr>
          <w:rFonts w:ascii="Times New Roman"/>
          <w:spacing w:val="-2"/>
        </w:rPr>
        <w:t xml:space="preserve"> </w:t>
      </w:r>
      <w:r>
        <w:rPr>
          <w:rFonts w:ascii="Times New Roman"/>
        </w:rPr>
        <w:t>not</w:t>
      </w:r>
      <w:r>
        <w:rPr>
          <w:rFonts w:ascii="Times New Roman"/>
          <w:spacing w:val="-1"/>
        </w:rPr>
        <w:t xml:space="preserve"> </w:t>
      </w:r>
      <w:r>
        <w:rPr>
          <w:rFonts w:ascii="Times New Roman"/>
        </w:rPr>
        <w:t>take</w:t>
      </w:r>
      <w:r>
        <w:rPr>
          <w:rFonts w:ascii="Times New Roman"/>
          <w:spacing w:val="-2"/>
        </w:rPr>
        <w:t xml:space="preserve"> </w:t>
      </w:r>
      <w:r>
        <w:rPr>
          <w:rFonts w:ascii="Times New Roman"/>
        </w:rPr>
        <w:t>part</w:t>
      </w:r>
      <w:r>
        <w:rPr>
          <w:rFonts w:ascii="Times New Roman"/>
          <w:spacing w:val="-1"/>
        </w:rPr>
        <w:t xml:space="preserve"> </w:t>
      </w:r>
      <w:r>
        <w:rPr>
          <w:rFonts w:ascii="Times New Roman"/>
        </w:rPr>
        <w:t>in</w:t>
      </w:r>
      <w:r>
        <w:rPr>
          <w:rFonts w:ascii="Times New Roman"/>
          <w:spacing w:val="-2"/>
        </w:rPr>
        <w:t xml:space="preserve"> </w:t>
      </w:r>
      <w:r>
        <w:rPr>
          <w:rFonts w:ascii="Times New Roman"/>
        </w:rPr>
        <w:t>making</w:t>
      </w:r>
      <w:r>
        <w:rPr>
          <w:rFonts w:ascii="Times New Roman"/>
          <w:spacing w:val="-5"/>
        </w:rPr>
        <w:t xml:space="preserve"> </w:t>
      </w:r>
      <w:r>
        <w:rPr>
          <w:rFonts w:ascii="Times New Roman"/>
        </w:rPr>
        <w:t>the</w:t>
      </w:r>
      <w:r>
        <w:rPr>
          <w:rFonts w:ascii="Times New Roman"/>
          <w:spacing w:val="-2"/>
        </w:rPr>
        <w:t xml:space="preserve"> determination.</w:t>
      </w:r>
    </w:p>
    <w:p w14:paraId="2B7B91F5" w14:textId="77777777" w:rsidR="00811887" w:rsidRDefault="00811887" w:rsidP="00811887">
      <w:pPr>
        <w:pStyle w:val="BodyText"/>
        <w:spacing w:before="30"/>
        <w:rPr>
          <w:rFonts w:ascii="Times New Roman"/>
          <w:sz w:val="22"/>
        </w:rPr>
      </w:pPr>
    </w:p>
    <w:p w14:paraId="3E9B3D2B" w14:textId="77777777" w:rsidR="00811887" w:rsidRDefault="00811887" w:rsidP="00FB2FE9">
      <w:pPr>
        <w:pStyle w:val="Heading7"/>
        <w:numPr>
          <w:ilvl w:val="0"/>
          <w:numId w:val="77"/>
        </w:numPr>
        <w:tabs>
          <w:tab w:val="left" w:pos="2030"/>
        </w:tabs>
        <w:ind w:left="2030" w:hanging="360"/>
      </w:pPr>
      <w:bookmarkStart w:id="96" w:name="_TOC_250012"/>
      <w:r>
        <w:t>Resignation</w:t>
      </w:r>
      <w:r>
        <w:rPr>
          <w:spacing w:val="-3"/>
        </w:rPr>
        <w:t xml:space="preserve"> </w:t>
      </w:r>
      <w:r>
        <w:t>of</w:t>
      </w:r>
      <w:r>
        <w:rPr>
          <w:spacing w:val="-3"/>
        </w:rPr>
        <w:t xml:space="preserve"> </w:t>
      </w:r>
      <w:bookmarkEnd w:id="96"/>
      <w:r>
        <w:rPr>
          <w:spacing w:val="-2"/>
        </w:rPr>
        <w:t>appointment</w:t>
      </w:r>
    </w:p>
    <w:p w14:paraId="64867A4D" w14:textId="77777777" w:rsidR="00811887" w:rsidRDefault="00811887" w:rsidP="00FB2FE9">
      <w:pPr>
        <w:pStyle w:val="ListParagraph"/>
        <w:widowControl w:val="0"/>
        <w:numPr>
          <w:ilvl w:val="1"/>
          <w:numId w:val="77"/>
        </w:numPr>
        <w:tabs>
          <w:tab w:val="left" w:pos="2801"/>
          <w:tab w:val="left" w:pos="2803"/>
        </w:tabs>
        <w:autoSpaceDE w:val="0"/>
        <w:autoSpaceDN w:val="0"/>
        <w:spacing w:before="177" w:after="0"/>
        <w:ind w:right="2031"/>
        <w:contextualSpacing w:val="0"/>
        <w:rPr>
          <w:rFonts w:ascii="Times New Roman" w:hAnsi="Times New Roman"/>
        </w:rPr>
      </w:pPr>
      <w:r>
        <w:rPr>
          <w:rFonts w:ascii="Times New Roman" w:hAnsi="Times New Roman"/>
        </w:rPr>
        <w:t>A member of the Committee may resign the member’s appointment</w:t>
      </w:r>
      <w:r>
        <w:rPr>
          <w:rFonts w:ascii="Times New Roman" w:hAnsi="Times New Roman"/>
          <w:spacing w:val="-2"/>
        </w:rPr>
        <w:t xml:space="preserve"> </w:t>
      </w:r>
      <w:r>
        <w:rPr>
          <w:rFonts w:ascii="Times New Roman" w:hAnsi="Times New Roman"/>
        </w:rPr>
        <w:t>by</w:t>
      </w:r>
      <w:r>
        <w:rPr>
          <w:rFonts w:ascii="Times New Roman" w:hAnsi="Times New Roman"/>
          <w:spacing w:val="-6"/>
        </w:rPr>
        <w:t xml:space="preserve"> </w:t>
      </w:r>
      <w:r>
        <w:rPr>
          <w:rFonts w:ascii="Times New Roman" w:hAnsi="Times New Roman"/>
        </w:rPr>
        <w:t>giving</w:t>
      </w:r>
      <w:r>
        <w:rPr>
          <w:rFonts w:ascii="Times New Roman" w:hAnsi="Times New Roman"/>
          <w:spacing w:val="-5"/>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Joint</w:t>
      </w:r>
      <w:r>
        <w:rPr>
          <w:rFonts w:ascii="Times New Roman" w:hAnsi="Times New Roman"/>
          <w:spacing w:val="-3"/>
        </w:rPr>
        <w:t xml:space="preserve"> </w:t>
      </w:r>
      <w:r>
        <w:rPr>
          <w:rFonts w:ascii="Times New Roman" w:hAnsi="Times New Roman"/>
        </w:rPr>
        <w:t>Ministers</w:t>
      </w:r>
      <w:r>
        <w:rPr>
          <w:rFonts w:ascii="Times New Roman" w:hAnsi="Times New Roman"/>
          <w:spacing w:val="-5"/>
        </w:rPr>
        <w:t xml:space="preserve"> </w:t>
      </w:r>
      <w:r>
        <w:rPr>
          <w:rFonts w:ascii="Times New Roman" w:hAnsi="Times New Roman"/>
        </w:rPr>
        <w:t>a</w:t>
      </w:r>
      <w:r>
        <w:rPr>
          <w:rFonts w:ascii="Times New Roman" w:hAnsi="Times New Roman"/>
          <w:spacing w:val="-3"/>
        </w:rPr>
        <w:t xml:space="preserve"> </w:t>
      </w:r>
      <w:r>
        <w:rPr>
          <w:rFonts w:ascii="Times New Roman" w:hAnsi="Times New Roman"/>
        </w:rPr>
        <w:t>written</w:t>
      </w:r>
      <w:r>
        <w:rPr>
          <w:rFonts w:ascii="Times New Roman" w:hAnsi="Times New Roman"/>
          <w:spacing w:val="-5"/>
        </w:rPr>
        <w:t xml:space="preserve"> </w:t>
      </w:r>
      <w:r>
        <w:rPr>
          <w:rFonts w:ascii="Times New Roman" w:hAnsi="Times New Roman"/>
        </w:rPr>
        <w:t>resignation.</w:t>
      </w:r>
    </w:p>
    <w:p w14:paraId="160EDA74" w14:textId="77777777" w:rsidR="00811887" w:rsidRDefault="00811887" w:rsidP="00FB2FE9">
      <w:pPr>
        <w:pStyle w:val="ListParagraph"/>
        <w:widowControl w:val="0"/>
        <w:numPr>
          <w:ilvl w:val="1"/>
          <w:numId w:val="77"/>
        </w:numPr>
        <w:tabs>
          <w:tab w:val="left" w:pos="2801"/>
          <w:tab w:val="left" w:pos="2803"/>
        </w:tabs>
        <w:autoSpaceDE w:val="0"/>
        <w:autoSpaceDN w:val="0"/>
        <w:spacing w:before="181" w:after="0"/>
        <w:ind w:right="1965"/>
        <w:contextualSpacing w:val="0"/>
        <w:jc w:val="both"/>
        <w:rPr>
          <w:rFonts w:ascii="Times New Roman"/>
        </w:rPr>
      </w:pPr>
      <w:r>
        <w:rPr>
          <w:rFonts w:ascii="Times New Roman"/>
        </w:rPr>
        <w:t>The</w:t>
      </w:r>
      <w:r>
        <w:rPr>
          <w:rFonts w:ascii="Times New Roman"/>
          <w:spacing w:val="-3"/>
        </w:rPr>
        <w:t xml:space="preserve"> </w:t>
      </w:r>
      <w:r>
        <w:rPr>
          <w:rFonts w:ascii="Times New Roman"/>
        </w:rPr>
        <w:t>resignation</w:t>
      </w:r>
      <w:r>
        <w:rPr>
          <w:rFonts w:ascii="Times New Roman"/>
          <w:spacing w:val="-4"/>
        </w:rPr>
        <w:t xml:space="preserve"> </w:t>
      </w:r>
      <w:r>
        <w:rPr>
          <w:rFonts w:ascii="Times New Roman"/>
        </w:rPr>
        <w:t>takes</w:t>
      </w:r>
      <w:r>
        <w:rPr>
          <w:rFonts w:ascii="Times New Roman"/>
          <w:spacing w:val="-1"/>
        </w:rPr>
        <w:t xml:space="preserve"> </w:t>
      </w:r>
      <w:r>
        <w:rPr>
          <w:rFonts w:ascii="Times New Roman"/>
        </w:rPr>
        <w:t>effect</w:t>
      </w:r>
      <w:r>
        <w:rPr>
          <w:rFonts w:ascii="Times New Roman"/>
          <w:spacing w:val="-3"/>
        </w:rPr>
        <w:t xml:space="preserve"> </w:t>
      </w:r>
      <w:r>
        <w:rPr>
          <w:rFonts w:ascii="Times New Roman"/>
        </w:rPr>
        <w:t>on</w:t>
      </w:r>
      <w:r>
        <w:rPr>
          <w:rFonts w:ascii="Times New Roman"/>
          <w:spacing w:val="-1"/>
        </w:rPr>
        <w:t xml:space="preserve"> </w:t>
      </w:r>
      <w:r>
        <w:rPr>
          <w:rFonts w:ascii="Times New Roman"/>
        </w:rPr>
        <w:t>the</w:t>
      </w:r>
      <w:r>
        <w:rPr>
          <w:rFonts w:ascii="Times New Roman"/>
          <w:spacing w:val="-3"/>
        </w:rPr>
        <w:t xml:space="preserve"> </w:t>
      </w:r>
      <w:r>
        <w:rPr>
          <w:rFonts w:ascii="Times New Roman"/>
        </w:rPr>
        <w:t>day</w:t>
      </w:r>
      <w:r>
        <w:rPr>
          <w:rFonts w:ascii="Times New Roman"/>
          <w:spacing w:val="-1"/>
        </w:rPr>
        <w:t xml:space="preserve"> </w:t>
      </w:r>
      <w:r>
        <w:rPr>
          <w:rFonts w:ascii="Times New Roman"/>
        </w:rPr>
        <w:t>it</w:t>
      </w:r>
      <w:r>
        <w:rPr>
          <w:rFonts w:ascii="Times New Roman"/>
          <w:spacing w:val="-3"/>
        </w:rPr>
        <w:t xml:space="preserve"> </w:t>
      </w:r>
      <w:r>
        <w:rPr>
          <w:rFonts w:ascii="Times New Roman"/>
        </w:rPr>
        <w:t>is</w:t>
      </w:r>
      <w:r>
        <w:rPr>
          <w:rFonts w:ascii="Times New Roman"/>
          <w:spacing w:val="-3"/>
        </w:rPr>
        <w:t xml:space="preserve"> </w:t>
      </w:r>
      <w:r>
        <w:rPr>
          <w:rFonts w:ascii="Times New Roman"/>
        </w:rPr>
        <w:t>received</w:t>
      </w:r>
      <w:r>
        <w:rPr>
          <w:rFonts w:ascii="Times New Roman"/>
          <w:spacing w:val="-1"/>
        </w:rPr>
        <w:t xml:space="preserve"> </w:t>
      </w:r>
      <w:r>
        <w:rPr>
          <w:rFonts w:ascii="Times New Roman"/>
        </w:rPr>
        <w:t>by</w:t>
      </w:r>
      <w:r>
        <w:rPr>
          <w:rFonts w:ascii="Times New Roman"/>
          <w:spacing w:val="-3"/>
        </w:rPr>
        <w:t xml:space="preserve"> </w:t>
      </w:r>
      <w:r>
        <w:rPr>
          <w:rFonts w:ascii="Times New Roman"/>
        </w:rPr>
        <w:t>the</w:t>
      </w:r>
      <w:r>
        <w:rPr>
          <w:rFonts w:ascii="Times New Roman"/>
          <w:spacing w:val="-2"/>
        </w:rPr>
        <w:t xml:space="preserve"> </w:t>
      </w:r>
      <w:r>
        <w:rPr>
          <w:rFonts w:ascii="Times New Roman"/>
        </w:rPr>
        <w:t>Joint Ministers or,</w:t>
      </w:r>
      <w:r>
        <w:rPr>
          <w:rFonts w:ascii="Times New Roman"/>
          <w:spacing w:val="-2"/>
        </w:rPr>
        <w:t xml:space="preserve"> </w:t>
      </w:r>
      <w:r>
        <w:rPr>
          <w:rFonts w:ascii="Times New Roman"/>
        </w:rPr>
        <w:t>if a</w:t>
      </w:r>
      <w:r>
        <w:rPr>
          <w:rFonts w:ascii="Times New Roman"/>
          <w:spacing w:val="-1"/>
        </w:rPr>
        <w:t xml:space="preserve"> </w:t>
      </w:r>
      <w:r>
        <w:rPr>
          <w:rFonts w:ascii="Times New Roman"/>
        </w:rPr>
        <w:t>later day</w:t>
      </w:r>
      <w:r>
        <w:rPr>
          <w:rFonts w:ascii="Times New Roman"/>
          <w:spacing w:val="-1"/>
        </w:rPr>
        <w:t xml:space="preserve"> </w:t>
      </w:r>
      <w:r>
        <w:rPr>
          <w:rFonts w:ascii="Times New Roman"/>
        </w:rPr>
        <w:t>is specified in</w:t>
      </w:r>
      <w:r>
        <w:rPr>
          <w:rFonts w:ascii="Times New Roman"/>
          <w:spacing w:val="-2"/>
        </w:rPr>
        <w:t xml:space="preserve"> </w:t>
      </w:r>
      <w:r>
        <w:rPr>
          <w:rFonts w:ascii="Times New Roman"/>
        </w:rPr>
        <w:t>the resignation, on that later day.</w:t>
      </w:r>
    </w:p>
    <w:p w14:paraId="52DF5EFE" w14:textId="77777777" w:rsidR="00811887" w:rsidRDefault="00811887" w:rsidP="00811887">
      <w:pPr>
        <w:pStyle w:val="BodyText"/>
        <w:spacing w:before="30"/>
        <w:rPr>
          <w:rFonts w:ascii="Times New Roman"/>
          <w:sz w:val="22"/>
        </w:rPr>
      </w:pPr>
    </w:p>
    <w:p w14:paraId="5E4C21B8" w14:textId="77777777" w:rsidR="00811887" w:rsidRDefault="00811887" w:rsidP="00FB2FE9">
      <w:pPr>
        <w:pStyle w:val="Heading7"/>
        <w:numPr>
          <w:ilvl w:val="0"/>
          <w:numId w:val="77"/>
        </w:numPr>
        <w:tabs>
          <w:tab w:val="left" w:pos="2030"/>
        </w:tabs>
        <w:ind w:left="2030" w:hanging="360"/>
      </w:pPr>
      <w:bookmarkStart w:id="97" w:name="_TOC_250011"/>
      <w:r>
        <w:t>Termination</w:t>
      </w:r>
      <w:r>
        <w:rPr>
          <w:spacing w:val="-4"/>
        </w:rPr>
        <w:t xml:space="preserve"> </w:t>
      </w:r>
      <w:r>
        <w:t>of</w:t>
      </w:r>
      <w:r>
        <w:rPr>
          <w:spacing w:val="-3"/>
        </w:rPr>
        <w:t xml:space="preserve"> </w:t>
      </w:r>
      <w:bookmarkEnd w:id="97"/>
      <w:r>
        <w:rPr>
          <w:spacing w:val="-2"/>
        </w:rPr>
        <w:t>appointment</w:t>
      </w:r>
    </w:p>
    <w:p w14:paraId="29B67BD1" w14:textId="77777777" w:rsidR="00811887" w:rsidRDefault="00811887" w:rsidP="00FB2FE9">
      <w:pPr>
        <w:pStyle w:val="ListParagraph"/>
        <w:widowControl w:val="0"/>
        <w:numPr>
          <w:ilvl w:val="1"/>
          <w:numId w:val="77"/>
        </w:numPr>
        <w:tabs>
          <w:tab w:val="left" w:pos="2801"/>
          <w:tab w:val="left" w:pos="2803"/>
        </w:tabs>
        <w:autoSpaceDE w:val="0"/>
        <w:autoSpaceDN w:val="0"/>
        <w:spacing w:before="177" w:after="0"/>
        <w:ind w:right="1967"/>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3"/>
        </w:rPr>
        <w:t xml:space="preserve"> </w:t>
      </w:r>
      <w:r>
        <w:rPr>
          <w:rFonts w:ascii="Times New Roman"/>
        </w:rPr>
        <w:t>may</w:t>
      </w:r>
      <w:r>
        <w:rPr>
          <w:rFonts w:ascii="Times New Roman"/>
          <w:spacing w:val="-5"/>
        </w:rPr>
        <w:t xml:space="preserve"> </w:t>
      </w:r>
      <w:r>
        <w:rPr>
          <w:rFonts w:ascii="Times New Roman"/>
        </w:rPr>
        <w:t>terminate</w:t>
      </w:r>
      <w:r>
        <w:rPr>
          <w:rFonts w:ascii="Times New Roman"/>
          <w:spacing w:val="-3"/>
        </w:rPr>
        <w:t xml:space="preserve"> </w:t>
      </w:r>
      <w:r>
        <w:rPr>
          <w:rFonts w:ascii="Times New Roman"/>
        </w:rPr>
        <w:t>the</w:t>
      </w:r>
      <w:r>
        <w:rPr>
          <w:rFonts w:ascii="Times New Roman"/>
          <w:spacing w:val="-5"/>
        </w:rPr>
        <w:t xml:space="preserve"> </w:t>
      </w:r>
      <w:r>
        <w:rPr>
          <w:rFonts w:ascii="Times New Roman"/>
        </w:rPr>
        <w:t>appointment</w:t>
      </w:r>
      <w:r>
        <w:rPr>
          <w:rFonts w:ascii="Times New Roman"/>
          <w:spacing w:val="-2"/>
        </w:rPr>
        <w:t xml:space="preserve"> </w:t>
      </w:r>
      <w:r>
        <w:rPr>
          <w:rFonts w:ascii="Times New Roman"/>
        </w:rPr>
        <w:t>of</w:t>
      </w:r>
      <w:r>
        <w:rPr>
          <w:rFonts w:ascii="Times New Roman"/>
          <w:spacing w:val="-3"/>
        </w:rPr>
        <w:t xml:space="preserve"> </w:t>
      </w:r>
      <w:r>
        <w:rPr>
          <w:rFonts w:ascii="Times New Roman"/>
        </w:rPr>
        <w:t>a</w:t>
      </w:r>
      <w:r>
        <w:rPr>
          <w:rFonts w:ascii="Times New Roman"/>
          <w:spacing w:val="-3"/>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 xml:space="preserve">the </w:t>
      </w:r>
      <w:r>
        <w:rPr>
          <w:rFonts w:ascii="Times New Roman"/>
          <w:spacing w:val="-2"/>
        </w:rPr>
        <w:t>Committee:</w:t>
      </w:r>
    </w:p>
    <w:p w14:paraId="58B8D0F3" w14:textId="77777777" w:rsidR="00811887" w:rsidRDefault="00811887" w:rsidP="00FB2FE9">
      <w:pPr>
        <w:pStyle w:val="ListParagraph"/>
        <w:widowControl w:val="0"/>
        <w:numPr>
          <w:ilvl w:val="2"/>
          <w:numId w:val="77"/>
        </w:numPr>
        <w:tabs>
          <w:tab w:val="left" w:pos="3313"/>
        </w:tabs>
        <w:autoSpaceDE w:val="0"/>
        <w:autoSpaceDN w:val="0"/>
        <w:spacing w:before="41" w:after="0"/>
        <w:ind w:left="3313" w:hanging="356"/>
        <w:contextualSpacing w:val="0"/>
        <w:rPr>
          <w:rFonts w:ascii="Times New Roman"/>
        </w:rPr>
      </w:pPr>
      <w:r>
        <w:rPr>
          <w:rFonts w:ascii="Times New Roman"/>
        </w:rPr>
        <w:t>for</w:t>
      </w:r>
      <w:r>
        <w:rPr>
          <w:rFonts w:ascii="Times New Roman"/>
          <w:spacing w:val="-6"/>
        </w:rPr>
        <w:t xml:space="preserve"> </w:t>
      </w:r>
      <w:r>
        <w:rPr>
          <w:rFonts w:ascii="Times New Roman"/>
        </w:rPr>
        <w:t>misbehaviour;</w:t>
      </w:r>
      <w:r>
        <w:rPr>
          <w:rFonts w:ascii="Times New Roman"/>
          <w:spacing w:val="-4"/>
        </w:rPr>
        <w:t xml:space="preserve"> </w:t>
      </w:r>
      <w:r>
        <w:rPr>
          <w:rFonts w:ascii="Times New Roman"/>
          <w:spacing w:val="-5"/>
        </w:rPr>
        <w:t>or</w:t>
      </w:r>
    </w:p>
    <w:p w14:paraId="4534D3D1"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1996" w:hanging="370"/>
        <w:contextualSpacing w:val="0"/>
        <w:rPr>
          <w:rFonts w:ascii="Times New Roman" w:hAnsi="Times New Roman"/>
        </w:rPr>
      </w:pPr>
      <w:r>
        <w:rPr>
          <w:rFonts w:ascii="Times New Roman" w:hAnsi="Times New Roman"/>
        </w:rPr>
        <w:t>if the member is unable to perform the duties of the member’s</w:t>
      </w:r>
      <w:r>
        <w:rPr>
          <w:rFonts w:ascii="Times New Roman" w:hAnsi="Times New Roman"/>
          <w:spacing w:val="-5"/>
        </w:rPr>
        <w:t xml:space="preserve"> </w:t>
      </w:r>
      <w:r>
        <w:rPr>
          <w:rFonts w:ascii="Times New Roman" w:hAnsi="Times New Roman"/>
        </w:rPr>
        <w:t>office</w:t>
      </w:r>
      <w:r>
        <w:rPr>
          <w:rFonts w:ascii="Times New Roman" w:hAnsi="Times New Roman"/>
          <w:spacing w:val="-5"/>
        </w:rPr>
        <w:t xml:space="preserve"> </w:t>
      </w:r>
      <w:r>
        <w:rPr>
          <w:rFonts w:ascii="Times New Roman" w:hAnsi="Times New Roman"/>
        </w:rPr>
        <w:t>because</w:t>
      </w:r>
      <w:r>
        <w:rPr>
          <w:rFonts w:ascii="Times New Roman" w:hAnsi="Times New Roman"/>
          <w:spacing w:val="-5"/>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physical</w:t>
      </w:r>
      <w:r>
        <w:rPr>
          <w:rFonts w:ascii="Times New Roman" w:hAnsi="Times New Roman"/>
          <w:spacing w:val="-4"/>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mental</w:t>
      </w:r>
      <w:r>
        <w:rPr>
          <w:rFonts w:ascii="Times New Roman" w:hAnsi="Times New Roman"/>
          <w:spacing w:val="-7"/>
        </w:rPr>
        <w:t xml:space="preserve"> </w:t>
      </w:r>
      <w:r>
        <w:rPr>
          <w:rFonts w:ascii="Times New Roman" w:hAnsi="Times New Roman"/>
        </w:rPr>
        <w:t>incapacity.</w:t>
      </w:r>
    </w:p>
    <w:p w14:paraId="16AED517"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967"/>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3"/>
        </w:rPr>
        <w:t xml:space="preserve"> </w:t>
      </w:r>
      <w:r>
        <w:rPr>
          <w:rFonts w:ascii="Times New Roman"/>
        </w:rPr>
        <w:t>may</w:t>
      </w:r>
      <w:r>
        <w:rPr>
          <w:rFonts w:ascii="Times New Roman"/>
          <w:spacing w:val="-5"/>
        </w:rPr>
        <w:t xml:space="preserve"> </w:t>
      </w:r>
      <w:r>
        <w:rPr>
          <w:rFonts w:ascii="Times New Roman"/>
        </w:rPr>
        <w:t>terminate</w:t>
      </w:r>
      <w:r>
        <w:rPr>
          <w:rFonts w:ascii="Times New Roman"/>
          <w:spacing w:val="-3"/>
        </w:rPr>
        <w:t xml:space="preserve"> </w:t>
      </w:r>
      <w:r>
        <w:rPr>
          <w:rFonts w:ascii="Times New Roman"/>
        </w:rPr>
        <w:t>the</w:t>
      </w:r>
      <w:r>
        <w:rPr>
          <w:rFonts w:ascii="Times New Roman"/>
          <w:spacing w:val="-5"/>
        </w:rPr>
        <w:t xml:space="preserve"> </w:t>
      </w:r>
      <w:r>
        <w:rPr>
          <w:rFonts w:ascii="Times New Roman"/>
        </w:rPr>
        <w:t>appointment</w:t>
      </w:r>
      <w:r>
        <w:rPr>
          <w:rFonts w:ascii="Times New Roman"/>
          <w:spacing w:val="-2"/>
        </w:rPr>
        <w:t xml:space="preserve"> </w:t>
      </w:r>
      <w:r>
        <w:rPr>
          <w:rFonts w:ascii="Times New Roman"/>
        </w:rPr>
        <w:t>of</w:t>
      </w:r>
      <w:r>
        <w:rPr>
          <w:rFonts w:ascii="Times New Roman"/>
          <w:spacing w:val="-3"/>
        </w:rPr>
        <w:t xml:space="preserve"> </w:t>
      </w:r>
      <w:r>
        <w:rPr>
          <w:rFonts w:ascii="Times New Roman"/>
        </w:rPr>
        <w:t>a</w:t>
      </w:r>
      <w:r>
        <w:rPr>
          <w:rFonts w:ascii="Times New Roman"/>
          <w:spacing w:val="-3"/>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the Committee if:</w:t>
      </w:r>
    </w:p>
    <w:p w14:paraId="4C3196DE" w14:textId="77777777" w:rsidR="00811887" w:rsidRDefault="00811887" w:rsidP="00FB2FE9">
      <w:pPr>
        <w:pStyle w:val="ListParagraph"/>
        <w:widowControl w:val="0"/>
        <w:numPr>
          <w:ilvl w:val="2"/>
          <w:numId w:val="77"/>
        </w:numPr>
        <w:tabs>
          <w:tab w:val="left" w:pos="3313"/>
        </w:tabs>
        <w:autoSpaceDE w:val="0"/>
        <w:autoSpaceDN w:val="0"/>
        <w:spacing w:before="41" w:after="0"/>
        <w:ind w:left="3313" w:hanging="356"/>
        <w:contextualSpacing w:val="0"/>
        <w:rPr>
          <w:rFonts w:ascii="Times New Roman"/>
        </w:rPr>
      </w:pPr>
      <w:r>
        <w:rPr>
          <w:rFonts w:ascii="Times New Roman"/>
        </w:rPr>
        <w:t>the</w:t>
      </w:r>
      <w:r>
        <w:rPr>
          <w:rFonts w:ascii="Times New Roman"/>
          <w:spacing w:val="-2"/>
        </w:rPr>
        <w:t xml:space="preserve"> member:</w:t>
      </w:r>
    </w:p>
    <w:p w14:paraId="25758F61" w14:textId="77777777" w:rsidR="00811887" w:rsidRDefault="00811887" w:rsidP="00FB2FE9">
      <w:pPr>
        <w:pStyle w:val="ListParagraph"/>
        <w:widowControl w:val="0"/>
        <w:numPr>
          <w:ilvl w:val="3"/>
          <w:numId w:val="77"/>
        </w:numPr>
        <w:tabs>
          <w:tab w:val="left" w:pos="3765"/>
        </w:tabs>
        <w:autoSpaceDE w:val="0"/>
        <w:autoSpaceDN w:val="0"/>
        <w:spacing w:before="40" w:after="0"/>
        <w:ind w:left="3765" w:hanging="319"/>
        <w:contextualSpacing w:val="0"/>
        <w:rPr>
          <w:rFonts w:ascii="Times New Roman"/>
        </w:rPr>
      </w:pPr>
      <w:r>
        <w:rPr>
          <w:rFonts w:ascii="Times New Roman"/>
        </w:rPr>
        <w:t>becomes</w:t>
      </w:r>
      <w:r>
        <w:rPr>
          <w:rFonts w:ascii="Times New Roman"/>
          <w:spacing w:val="-5"/>
        </w:rPr>
        <w:t xml:space="preserve"> </w:t>
      </w:r>
      <w:r>
        <w:rPr>
          <w:rFonts w:ascii="Times New Roman"/>
        </w:rPr>
        <w:t>bankrupt;</w:t>
      </w:r>
      <w:r>
        <w:rPr>
          <w:rFonts w:ascii="Times New Roman"/>
          <w:spacing w:val="-3"/>
        </w:rPr>
        <w:t xml:space="preserve"> </w:t>
      </w:r>
      <w:r>
        <w:rPr>
          <w:rFonts w:ascii="Times New Roman"/>
          <w:spacing w:val="-5"/>
        </w:rPr>
        <w:t>or</w:t>
      </w:r>
    </w:p>
    <w:p w14:paraId="2A0A2FB7" w14:textId="77777777" w:rsidR="00811887" w:rsidRDefault="00811887" w:rsidP="00811887">
      <w:pPr>
        <w:tabs>
          <w:tab w:val="left" w:pos="3686"/>
          <w:tab w:val="right" w:pos="8761"/>
        </w:tabs>
        <w:spacing w:before="814"/>
        <w:ind w:left="1670"/>
        <w:rPr>
          <w:rFonts w:ascii="Times New Roman"/>
          <w:i/>
          <w:sz w:val="18"/>
        </w:rPr>
      </w:pPr>
      <w:r>
        <w:rPr>
          <w:noProof/>
        </w:rPr>
        <mc:AlternateContent>
          <mc:Choice Requires="wps">
            <w:drawing>
              <wp:anchor distT="0" distB="0" distL="0" distR="0" simplePos="0" relativeHeight="251685888" behindDoc="0" locked="0" layoutInCell="1" allowOverlap="1" wp14:anchorId="3066C223" wp14:editId="71328105">
                <wp:simplePos x="0" y="0"/>
                <wp:positionH relativeFrom="page">
                  <wp:posOffset>1512061</wp:posOffset>
                </wp:positionH>
                <wp:positionV relativeFrom="paragraph">
                  <wp:posOffset>299030</wp:posOffset>
                </wp:positionV>
                <wp:extent cx="4538345" cy="9525"/>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CC6F8" id="Graphic 33" o:spid="_x0000_s1026" alt="&quot;&quot;" style="position:absolute;margin-left:119.05pt;margin-top:23.55pt;width:357.35pt;height:.75pt;z-index:25168588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" path="m4537837,l,,,9143r4537837,l4537837,xe" fillcolor="black" stroked="f">
                <v:path arrowok="t"/>
                <w10:wrap anchorx="page"/>
              </v:shape>
            </w:pict>
          </mc:Fallback>
        </mc:AlternateContent>
      </w: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5"/>
          <w:sz w:val="18"/>
        </w:rPr>
        <w:t>11</w:t>
      </w:r>
    </w:p>
    <w:p w14:paraId="63D55127"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09971E90" w14:textId="77777777" w:rsidR="00811887" w:rsidRDefault="00811887" w:rsidP="00811887">
      <w:pPr>
        <w:pStyle w:val="BodyText"/>
        <w:spacing w:before="65"/>
        <w:ind w:left="1670"/>
        <w:rPr>
          <w:rFonts w:ascii="Times New Roman"/>
        </w:rPr>
      </w:pPr>
      <w:r>
        <w:rPr>
          <w:rFonts w:ascii="Times New Roman"/>
          <w:b/>
        </w:rPr>
        <w:lastRenderedPageBreak/>
        <w:t>Part</w:t>
      </w:r>
      <w:r>
        <w:rPr>
          <w:rFonts w:ascii="Times New Roman"/>
          <w:b/>
          <w:spacing w:val="-5"/>
        </w:rPr>
        <w:t xml:space="preserve"> </w:t>
      </w:r>
      <w:r>
        <w:rPr>
          <w:rFonts w:ascii="Times New Roman"/>
          <w:b/>
        </w:rPr>
        <w:t>2</w:t>
      </w:r>
      <w:r>
        <w:rPr>
          <w:rFonts w:ascii="Times New Roman"/>
          <w:b/>
          <w:spacing w:val="40"/>
        </w:rPr>
        <w:t xml:space="preserve"> </w:t>
      </w: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Advisory</w:t>
      </w:r>
      <w:r>
        <w:rPr>
          <w:rFonts w:ascii="Times New Roman"/>
          <w:spacing w:val="-8"/>
        </w:rPr>
        <w:t xml:space="preserve"> </w:t>
      </w:r>
      <w:r>
        <w:rPr>
          <w:rFonts w:ascii="Times New Roman"/>
          <w:spacing w:val="-2"/>
        </w:rPr>
        <w:t>Committee</w:t>
      </w:r>
    </w:p>
    <w:p w14:paraId="057C222E" w14:textId="77777777" w:rsidR="00811887" w:rsidRDefault="00811887" w:rsidP="00811887">
      <w:pPr>
        <w:spacing w:before="32"/>
        <w:ind w:left="1670"/>
        <w:rPr>
          <w:rFonts w:ascii="Times New Roman"/>
          <w:sz w:val="20"/>
        </w:rPr>
      </w:pPr>
      <w:r>
        <w:rPr>
          <w:rFonts w:ascii="Times New Roman"/>
          <w:b/>
          <w:sz w:val="20"/>
        </w:rPr>
        <w:t>Division</w:t>
      </w:r>
      <w:r>
        <w:rPr>
          <w:rFonts w:ascii="Times New Roman"/>
          <w:b/>
          <w:spacing w:val="-6"/>
          <w:sz w:val="20"/>
        </w:rPr>
        <w:t xml:space="preserve"> </w:t>
      </w:r>
      <w:r>
        <w:rPr>
          <w:rFonts w:ascii="Times New Roman"/>
          <w:b/>
          <w:sz w:val="20"/>
        </w:rPr>
        <w:t>3</w:t>
      </w:r>
      <w:r>
        <w:rPr>
          <w:rFonts w:ascii="Times New Roman"/>
          <w:b/>
          <w:spacing w:val="42"/>
          <w:sz w:val="20"/>
        </w:rPr>
        <w:t xml:space="preserve"> </w:t>
      </w:r>
      <w:r>
        <w:rPr>
          <w:rFonts w:ascii="Times New Roman"/>
          <w:sz w:val="20"/>
        </w:rPr>
        <w:t>Committee</w:t>
      </w:r>
      <w:r>
        <w:rPr>
          <w:rFonts w:ascii="Times New Roman"/>
          <w:spacing w:val="-3"/>
          <w:sz w:val="20"/>
        </w:rPr>
        <w:t xml:space="preserve"> </w:t>
      </w:r>
      <w:r>
        <w:rPr>
          <w:rFonts w:ascii="Times New Roman"/>
          <w:spacing w:val="-2"/>
          <w:sz w:val="20"/>
        </w:rPr>
        <w:t>members</w:t>
      </w:r>
    </w:p>
    <w:p w14:paraId="0637E41B" w14:textId="77777777" w:rsidR="00811887" w:rsidRDefault="00811887" w:rsidP="00811887">
      <w:pPr>
        <w:pStyle w:val="BodyText"/>
        <w:spacing w:before="45"/>
        <w:rPr>
          <w:rFonts w:ascii="Times New Roman"/>
        </w:rPr>
      </w:pPr>
    </w:p>
    <w:p w14:paraId="2936856D"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15584" behindDoc="1" locked="0" layoutInCell="1" allowOverlap="1" wp14:anchorId="398C8185" wp14:editId="5E51A9F3">
                <wp:simplePos x="0" y="0"/>
                <wp:positionH relativeFrom="page">
                  <wp:posOffset>1512061</wp:posOffset>
                </wp:positionH>
                <wp:positionV relativeFrom="paragraph">
                  <wp:posOffset>192823</wp:posOffset>
                </wp:positionV>
                <wp:extent cx="4538345" cy="9525"/>
                <wp:effectExtent l="0" t="0" r="0" b="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39C1E" id="Graphic 34" o:spid="_x0000_s1026" alt="&quot;&quot;" style="position:absolute;margin-left:119.05pt;margin-top:15.2pt;width:357.35pt;height:.75pt;z-index:-25160089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20</w:t>
      </w:r>
    </w:p>
    <w:p w14:paraId="2BA9611E" w14:textId="77777777" w:rsidR="00811887" w:rsidRDefault="00811887" w:rsidP="00811887">
      <w:pPr>
        <w:pStyle w:val="BodyText"/>
        <w:spacing w:before="33"/>
        <w:rPr>
          <w:rFonts w:ascii="Times New Roman"/>
          <w:sz w:val="22"/>
        </w:rPr>
      </w:pPr>
    </w:p>
    <w:p w14:paraId="1BFF906C" w14:textId="77777777" w:rsidR="00811887" w:rsidRDefault="00811887" w:rsidP="00FB2FE9">
      <w:pPr>
        <w:pStyle w:val="ListParagraph"/>
        <w:widowControl w:val="0"/>
        <w:numPr>
          <w:ilvl w:val="3"/>
          <w:numId w:val="77"/>
        </w:numPr>
        <w:tabs>
          <w:tab w:val="left" w:pos="3764"/>
          <w:tab w:val="left" w:pos="3768"/>
        </w:tabs>
        <w:autoSpaceDE w:val="0"/>
        <w:autoSpaceDN w:val="0"/>
        <w:spacing w:after="0"/>
        <w:ind w:right="2038" w:hanging="382"/>
        <w:contextualSpacing w:val="0"/>
        <w:rPr>
          <w:rFonts w:ascii="Times New Roman"/>
        </w:rPr>
      </w:pPr>
      <w:r>
        <w:rPr>
          <w:rFonts w:ascii="Times New Roman"/>
        </w:rPr>
        <w:t>applies</w:t>
      </w:r>
      <w:r>
        <w:rPr>
          <w:rFonts w:ascii="Times New Roman"/>
          <w:spacing w:val="-4"/>
        </w:rPr>
        <w:t xml:space="preserve"> </w:t>
      </w:r>
      <w:r>
        <w:rPr>
          <w:rFonts w:ascii="Times New Roman"/>
        </w:rPr>
        <w:t>to</w:t>
      </w:r>
      <w:r>
        <w:rPr>
          <w:rFonts w:ascii="Times New Roman"/>
          <w:spacing w:val="-5"/>
        </w:rPr>
        <w:t xml:space="preserve"> </w:t>
      </w:r>
      <w:r>
        <w:rPr>
          <w:rFonts w:ascii="Times New Roman"/>
        </w:rPr>
        <w:t>take</w:t>
      </w:r>
      <w:r>
        <w:rPr>
          <w:rFonts w:ascii="Times New Roman"/>
          <w:spacing w:val="-2"/>
        </w:rPr>
        <w:t xml:space="preserve"> </w:t>
      </w:r>
      <w:r>
        <w:rPr>
          <w:rFonts w:ascii="Times New Roman"/>
        </w:rPr>
        <w:t>the</w:t>
      </w:r>
      <w:r>
        <w:rPr>
          <w:rFonts w:ascii="Times New Roman"/>
          <w:spacing w:val="-2"/>
        </w:rPr>
        <w:t xml:space="preserve"> </w:t>
      </w:r>
      <w:r>
        <w:rPr>
          <w:rFonts w:ascii="Times New Roman"/>
        </w:rPr>
        <w:t>benefit</w:t>
      </w:r>
      <w:r>
        <w:rPr>
          <w:rFonts w:ascii="Times New Roman"/>
          <w:spacing w:val="-1"/>
        </w:rPr>
        <w:t xml:space="preserve"> </w:t>
      </w:r>
      <w:r>
        <w:rPr>
          <w:rFonts w:ascii="Times New Roman"/>
        </w:rPr>
        <w:t>of</w:t>
      </w:r>
      <w:r>
        <w:rPr>
          <w:rFonts w:ascii="Times New Roman"/>
          <w:spacing w:val="-2"/>
        </w:rPr>
        <w:t xml:space="preserve"> </w:t>
      </w:r>
      <w:r>
        <w:rPr>
          <w:rFonts w:ascii="Times New Roman"/>
        </w:rPr>
        <w:t>any</w:t>
      </w:r>
      <w:r>
        <w:rPr>
          <w:rFonts w:ascii="Times New Roman"/>
          <w:spacing w:val="-4"/>
        </w:rPr>
        <w:t xml:space="preserve"> </w:t>
      </w:r>
      <w:r>
        <w:rPr>
          <w:rFonts w:ascii="Times New Roman"/>
        </w:rPr>
        <w:t>law</w:t>
      </w:r>
      <w:r>
        <w:rPr>
          <w:rFonts w:ascii="Times New Roman"/>
          <w:spacing w:val="-2"/>
        </w:rPr>
        <w:t xml:space="preserve"> </w:t>
      </w:r>
      <w:r>
        <w:rPr>
          <w:rFonts w:ascii="Times New Roman"/>
        </w:rPr>
        <w:t>for</w:t>
      </w:r>
      <w:r>
        <w:rPr>
          <w:rFonts w:ascii="Times New Roman"/>
          <w:spacing w:val="-4"/>
        </w:rPr>
        <w:t xml:space="preserve"> </w:t>
      </w:r>
      <w:r>
        <w:rPr>
          <w:rFonts w:ascii="Times New Roman"/>
        </w:rPr>
        <w:t>the</w:t>
      </w:r>
      <w:r>
        <w:rPr>
          <w:rFonts w:ascii="Times New Roman"/>
          <w:spacing w:val="-4"/>
        </w:rPr>
        <w:t xml:space="preserve"> </w:t>
      </w:r>
      <w:r>
        <w:rPr>
          <w:rFonts w:ascii="Times New Roman"/>
        </w:rPr>
        <w:t>relief</w:t>
      </w:r>
      <w:r>
        <w:rPr>
          <w:rFonts w:ascii="Times New Roman"/>
          <w:spacing w:val="-2"/>
        </w:rPr>
        <w:t xml:space="preserve"> </w:t>
      </w:r>
      <w:r>
        <w:rPr>
          <w:rFonts w:ascii="Times New Roman"/>
        </w:rPr>
        <w:t>of bankrupt or insolvent debtors; or</w:t>
      </w:r>
    </w:p>
    <w:p w14:paraId="36542E84" w14:textId="77777777" w:rsidR="00811887" w:rsidRDefault="00811887" w:rsidP="00FB2FE9">
      <w:pPr>
        <w:pStyle w:val="ListParagraph"/>
        <w:widowControl w:val="0"/>
        <w:numPr>
          <w:ilvl w:val="3"/>
          <w:numId w:val="77"/>
        </w:numPr>
        <w:tabs>
          <w:tab w:val="left" w:pos="3764"/>
        </w:tabs>
        <w:autoSpaceDE w:val="0"/>
        <w:autoSpaceDN w:val="0"/>
        <w:spacing w:before="42" w:after="0"/>
        <w:ind w:left="3764" w:hanging="438"/>
        <w:contextualSpacing w:val="0"/>
        <w:rPr>
          <w:rFonts w:ascii="Times New Roman" w:hAnsi="Times New Roman"/>
        </w:rPr>
      </w:pPr>
      <w:r>
        <w:rPr>
          <w:rFonts w:ascii="Times New Roman" w:hAnsi="Times New Roman"/>
        </w:rPr>
        <w:t>compounds</w:t>
      </w:r>
      <w:r>
        <w:rPr>
          <w:rFonts w:ascii="Times New Roman" w:hAnsi="Times New Roman"/>
          <w:spacing w:val="-7"/>
        </w:rPr>
        <w:t xml:space="preserve"> </w:t>
      </w:r>
      <w:r>
        <w:rPr>
          <w:rFonts w:ascii="Times New Roman" w:hAnsi="Times New Roman"/>
        </w:rPr>
        <w:t>with</w:t>
      </w:r>
      <w:r>
        <w:rPr>
          <w:rFonts w:ascii="Times New Roman" w:hAnsi="Times New Roman"/>
          <w:spacing w:val="-6"/>
        </w:rPr>
        <w:t xml:space="preserve"> </w:t>
      </w:r>
      <w:r>
        <w:rPr>
          <w:rFonts w:ascii="Times New Roman" w:hAnsi="Times New Roman"/>
        </w:rPr>
        <w:t>the</w:t>
      </w:r>
      <w:r>
        <w:rPr>
          <w:rFonts w:ascii="Times New Roman" w:hAnsi="Times New Roman"/>
          <w:spacing w:val="-6"/>
        </w:rPr>
        <w:t xml:space="preserve"> </w:t>
      </w:r>
      <w:r>
        <w:rPr>
          <w:rFonts w:ascii="Times New Roman" w:hAnsi="Times New Roman"/>
        </w:rPr>
        <w:t>member’s</w:t>
      </w:r>
      <w:r>
        <w:rPr>
          <w:rFonts w:ascii="Times New Roman" w:hAnsi="Times New Roman"/>
          <w:spacing w:val="-4"/>
        </w:rPr>
        <w:t xml:space="preserve"> </w:t>
      </w:r>
      <w:r>
        <w:rPr>
          <w:rFonts w:ascii="Times New Roman" w:hAnsi="Times New Roman"/>
        </w:rPr>
        <w:t>creditors;</w:t>
      </w:r>
      <w:r>
        <w:rPr>
          <w:rFonts w:ascii="Times New Roman" w:hAnsi="Times New Roman"/>
          <w:spacing w:val="-5"/>
        </w:rPr>
        <w:t xml:space="preserve"> or</w:t>
      </w:r>
    </w:p>
    <w:p w14:paraId="56894908" w14:textId="77777777" w:rsidR="00811887" w:rsidRDefault="00811887" w:rsidP="00FB2FE9">
      <w:pPr>
        <w:pStyle w:val="ListParagraph"/>
        <w:widowControl w:val="0"/>
        <w:numPr>
          <w:ilvl w:val="2"/>
          <w:numId w:val="77"/>
        </w:numPr>
        <w:tabs>
          <w:tab w:val="left" w:pos="3312"/>
          <w:tab w:val="left" w:pos="3314"/>
        </w:tabs>
        <w:autoSpaceDE w:val="0"/>
        <w:autoSpaceDN w:val="0"/>
        <w:spacing w:before="39" w:after="0"/>
        <w:ind w:right="2099" w:hanging="370"/>
        <w:contextualSpacing w:val="0"/>
        <w:rPr>
          <w:rFonts w:ascii="Times New Roman"/>
        </w:rPr>
      </w:pPr>
      <w:r>
        <w:rPr>
          <w:rFonts w:ascii="Times New Roman"/>
        </w:rPr>
        <w:t>the</w:t>
      </w:r>
      <w:r>
        <w:rPr>
          <w:rFonts w:ascii="Times New Roman"/>
          <w:spacing w:val="-4"/>
        </w:rPr>
        <w:t xml:space="preserve"> </w:t>
      </w:r>
      <w:r>
        <w:rPr>
          <w:rFonts w:ascii="Times New Roman"/>
        </w:rPr>
        <w:t>member</w:t>
      </w:r>
      <w:r>
        <w:rPr>
          <w:rFonts w:ascii="Times New Roman"/>
          <w:spacing w:val="-3"/>
        </w:rPr>
        <w:t xml:space="preserve"> </w:t>
      </w:r>
      <w:r>
        <w:rPr>
          <w:rFonts w:ascii="Times New Roman"/>
        </w:rPr>
        <w:t>is</w:t>
      </w:r>
      <w:r>
        <w:rPr>
          <w:rFonts w:ascii="Times New Roman"/>
          <w:spacing w:val="-4"/>
        </w:rPr>
        <w:t xml:space="preserve"> </w:t>
      </w:r>
      <w:r>
        <w:rPr>
          <w:rFonts w:ascii="Times New Roman"/>
        </w:rPr>
        <w:t>absent,</w:t>
      </w:r>
      <w:r>
        <w:rPr>
          <w:rFonts w:ascii="Times New Roman"/>
          <w:spacing w:val="-4"/>
        </w:rPr>
        <w:t xml:space="preserve"> </w:t>
      </w:r>
      <w:r>
        <w:rPr>
          <w:rFonts w:ascii="Times New Roman"/>
        </w:rPr>
        <w:t>except</w:t>
      </w:r>
      <w:r>
        <w:rPr>
          <w:rFonts w:ascii="Times New Roman"/>
          <w:spacing w:val="-3"/>
        </w:rPr>
        <w:t xml:space="preserve"> </w:t>
      </w:r>
      <w:r>
        <w:rPr>
          <w:rFonts w:ascii="Times New Roman"/>
        </w:rPr>
        <w:t>on</w:t>
      </w:r>
      <w:r>
        <w:rPr>
          <w:rFonts w:ascii="Times New Roman"/>
          <w:spacing w:val="-7"/>
        </w:rPr>
        <w:t xml:space="preserve"> </w:t>
      </w:r>
      <w:r>
        <w:rPr>
          <w:rFonts w:ascii="Times New Roman"/>
        </w:rPr>
        <w:t>leave</w:t>
      </w:r>
      <w:r>
        <w:rPr>
          <w:rFonts w:ascii="Times New Roman"/>
          <w:spacing w:val="-4"/>
        </w:rPr>
        <w:t xml:space="preserve"> </w:t>
      </w:r>
      <w:r>
        <w:rPr>
          <w:rFonts w:ascii="Times New Roman"/>
        </w:rPr>
        <w:t>of</w:t>
      </w:r>
      <w:r>
        <w:rPr>
          <w:rFonts w:ascii="Times New Roman"/>
          <w:spacing w:val="-4"/>
        </w:rPr>
        <w:t xml:space="preserve"> </w:t>
      </w:r>
      <w:r>
        <w:rPr>
          <w:rFonts w:ascii="Times New Roman"/>
        </w:rPr>
        <w:t>absence,</w:t>
      </w:r>
      <w:r>
        <w:rPr>
          <w:rFonts w:ascii="Times New Roman"/>
          <w:spacing w:val="-4"/>
        </w:rPr>
        <w:t xml:space="preserve"> </w:t>
      </w:r>
      <w:r>
        <w:rPr>
          <w:rFonts w:ascii="Times New Roman"/>
        </w:rPr>
        <w:t>from</w:t>
      </w:r>
      <w:r>
        <w:rPr>
          <w:rFonts w:ascii="Times New Roman"/>
          <w:spacing w:val="-7"/>
        </w:rPr>
        <w:t xml:space="preserve"> </w:t>
      </w:r>
      <w:r>
        <w:rPr>
          <w:rFonts w:ascii="Times New Roman"/>
        </w:rPr>
        <w:t>3 consecutive meetings of the Committee; or</w:t>
      </w:r>
    </w:p>
    <w:p w14:paraId="6BC391E5" w14:textId="77777777" w:rsidR="00811887" w:rsidRDefault="00811887" w:rsidP="00FB2FE9">
      <w:pPr>
        <w:pStyle w:val="ListParagraph"/>
        <w:widowControl w:val="0"/>
        <w:numPr>
          <w:ilvl w:val="2"/>
          <w:numId w:val="77"/>
        </w:numPr>
        <w:tabs>
          <w:tab w:val="left" w:pos="3312"/>
          <w:tab w:val="left" w:pos="3314"/>
        </w:tabs>
        <w:autoSpaceDE w:val="0"/>
        <w:autoSpaceDN w:val="0"/>
        <w:spacing w:before="39" w:after="0"/>
        <w:ind w:right="1777"/>
        <w:contextualSpacing w:val="0"/>
        <w:rPr>
          <w:rFonts w:ascii="Times New Roman"/>
        </w:rPr>
      </w:pPr>
      <w:r>
        <w:rPr>
          <w:rFonts w:ascii="Times New Roman"/>
        </w:rPr>
        <w:t>the</w:t>
      </w:r>
      <w:r>
        <w:rPr>
          <w:rFonts w:ascii="Times New Roman"/>
          <w:spacing w:val="-4"/>
        </w:rPr>
        <w:t xml:space="preserve"> </w:t>
      </w:r>
      <w:r>
        <w:rPr>
          <w:rFonts w:ascii="Times New Roman"/>
        </w:rPr>
        <w:t>member</w:t>
      </w:r>
      <w:r>
        <w:rPr>
          <w:rFonts w:ascii="Times New Roman"/>
          <w:spacing w:val="-3"/>
        </w:rPr>
        <w:t xml:space="preserve"> </w:t>
      </w:r>
      <w:r>
        <w:rPr>
          <w:rFonts w:ascii="Times New Roman"/>
        </w:rPr>
        <w:t>fails,</w:t>
      </w:r>
      <w:r>
        <w:rPr>
          <w:rFonts w:ascii="Times New Roman"/>
          <w:spacing w:val="-4"/>
        </w:rPr>
        <w:t xml:space="preserve"> </w:t>
      </w:r>
      <w:r>
        <w:rPr>
          <w:rFonts w:ascii="Times New Roman"/>
        </w:rPr>
        <w:t>without</w:t>
      </w:r>
      <w:r>
        <w:rPr>
          <w:rFonts w:ascii="Times New Roman"/>
          <w:spacing w:val="-6"/>
        </w:rPr>
        <w:t xml:space="preserve"> </w:t>
      </w:r>
      <w:r>
        <w:rPr>
          <w:rFonts w:ascii="Times New Roman"/>
        </w:rPr>
        <w:t>reasonable</w:t>
      </w:r>
      <w:r>
        <w:rPr>
          <w:rFonts w:ascii="Times New Roman"/>
          <w:spacing w:val="-4"/>
        </w:rPr>
        <w:t xml:space="preserve"> </w:t>
      </w:r>
      <w:r>
        <w:rPr>
          <w:rFonts w:ascii="Times New Roman"/>
        </w:rPr>
        <w:t>excuse,</w:t>
      </w:r>
      <w:r>
        <w:rPr>
          <w:rFonts w:ascii="Times New Roman"/>
          <w:spacing w:val="-7"/>
        </w:rPr>
        <w:t xml:space="preserve"> </w:t>
      </w:r>
      <w:r>
        <w:rPr>
          <w:rFonts w:ascii="Times New Roman"/>
        </w:rPr>
        <w:t>to</w:t>
      </w:r>
      <w:r>
        <w:rPr>
          <w:rFonts w:ascii="Times New Roman"/>
          <w:spacing w:val="-4"/>
        </w:rPr>
        <w:t xml:space="preserve"> </w:t>
      </w:r>
      <w:r>
        <w:rPr>
          <w:rFonts w:ascii="Times New Roman"/>
        </w:rPr>
        <w:t>comply</w:t>
      </w:r>
      <w:r>
        <w:rPr>
          <w:rFonts w:ascii="Times New Roman"/>
          <w:spacing w:val="-7"/>
        </w:rPr>
        <w:t xml:space="preserve"> </w:t>
      </w:r>
      <w:r>
        <w:rPr>
          <w:rFonts w:ascii="Times New Roman"/>
        </w:rPr>
        <w:t>with section 16 (disclosure of interests to Joint Ministers) or section 17 (disclosure of interests to Committee).</w:t>
      </w:r>
    </w:p>
    <w:p w14:paraId="48C0DDCD" w14:textId="77777777" w:rsidR="00811887" w:rsidRDefault="00811887" w:rsidP="00FB2FE9">
      <w:pPr>
        <w:pStyle w:val="ListParagraph"/>
        <w:widowControl w:val="0"/>
        <w:numPr>
          <w:ilvl w:val="1"/>
          <w:numId w:val="77"/>
        </w:numPr>
        <w:tabs>
          <w:tab w:val="left" w:pos="2801"/>
          <w:tab w:val="left" w:pos="2803"/>
        </w:tabs>
        <w:autoSpaceDE w:val="0"/>
        <w:autoSpaceDN w:val="0"/>
        <w:spacing w:before="180" w:after="0"/>
        <w:ind w:right="1860"/>
        <w:contextualSpacing w:val="0"/>
        <w:rPr>
          <w:rFonts w:ascii="Times New Roman" w:hAnsi="Times New Roman"/>
        </w:rPr>
      </w:pPr>
      <w:r>
        <w:rPr>
          <w:rFonts w:ascii="Times New Roman" w:hAnsi="Times New Roman"/>
        </w:rPr>
        <w:t>The Minister may terminate the appointment of a member of the Committee</w:t>
      </w:r>
      <w:r>
        <w:rPr>
          <w:rFonts w:ascii="Times New Roman" w:hAnsi="Times New Roman"/>
          <w:spacing w:val="-3"/>
        </w:rPr>
        <w:t xml:space="preserve"> </w:t>
      </w:r>
      <w:r>
        <w:rPr>
          <w:rFonts w:ascii="Times New Roman" w:hAnsi="Times New Roman"/>
        </w:rPr>
        <w:t>if</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Minister</w:t>
      </w:r>
      <w:r>
        <w:rPr>
          <w:rFonts w:ascii="Times New Roman" w:hAnsi="Times New Roman"/>
          <w:spacing w:val="-5"/>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satisfied</w:t>
      </w:r>
      <w:r>
        <w:rPr>
          <w:rFonts w:ascii="Times New Roman" w:hAnsi="Times New Roman"/>
          <w:spacing w:val="-5"/>
        </w:rPr>
        <w:t xml:space="preserve"> </w:t>
      </w:r>
      <w:r>
        <w:rPr>
          <w:rFonts w:ascii="Times New Roman" w:hAnsi="Times New Roman"/>
        </w:rPr>
        <w:t>that,</w:t>
      </w:r>
      <w:r>
        <w:rPr>
          <w:rFonts w:ascii="Times New Roman" w:hAnsi="Times New Roman"/>
          <w:spacing w:val="-3"/>
        </w:rPr>
        <w:t xml:space="preserve"> </w:t>
      </w:r>
      <w:r>
        <w:rPr>
          <w:rFonts w:ascii="Times New Roman" w:hAnsi="Times New Roman"/>
        </w:rPr>
        <w:t>because</w:t>
      </w:r>
      <w:r>
        <w:rPr>
          <w:rFonts w:ascii="Times New Roman" w:hAnsi="Times New Roman"/>
          <w:spacing w:val="-3"/>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a</w:t>
      </w:r>
      <w:r>
        <w:rPr>
          <w:rFonts w:ascii="Times New Roman" w:hAnsi="Times New Roman"/>
          <w:spacing w:val="-5"/>
        </w:rPr>
        <w:t xml:space="preserve"> </w:t>
      </w:r>
      <w:r>
        <w:rPr>
          <w:rFonts w:ascii="Times New Roman" w:hAnsi="Times New Roman"/>
        </w:rPr>
        <w:t>change</w:t>
      </w:r>
      <w:r>
        <w:rPr>
          <w:rFonts w:ascii="Times New Roman" w:hAnsi="Times New Roman"/>
          <w:spacing w:val="-3"/>
        </w:rPr>
        <w:t xml:space="preserve"> </w:t>
      </w:r>
      <w:r>
        <w:rPr>
          <w:rFonts w:ascii="Times New Roman" w:hAnsi="Times New Roman"/>
        </w:rPr>
        <w:t>of circumstances occurring after the member’s appointment, the member is no longer a representative of the kind covered by subsection 11(2).</w:t>
      </w:r>
    </w:p>
    <w:p w14:paraId="2A09D29F" w14:textId="77777777" w:rsidR="00811887" w:rsidRDefault="00811887" w:rsidP="00811887">
      <w:pPr>
        <w:pStyle w:val="BodyText"/>
        <w:spacing w:before="31"/>
        <w:rPr>
          <w:rFonts w:ascii="Times New Roman"/>
          <w:sz w:val="22"/>
        </w:rPr>
      </w:pPr>
    </w:p>
    <w:p w14:paraId="55E1ECBC" w14:textId="77777777" w:rsidR="00811887" w:rsidRDefault="00811887" w:rsidP="00FB2FE9">
      <w:pPr>
        <w:pStyle w:val="Heading7"/>
        <w:numPr>
          <w:ilvl w:val="0"/>
          <w:numId w:val="77"/>
        </w:numPr>
        <w:tabs>
          <w:tab w:val="left" w:pos="2030"/>
        </w:tabs>
        <w:ind w:left="2030" w:hanging="360"/>
      </w:pPr>
      <w:bookmarkStart w:id="98" w:name="_TOC_250010"/>
      <w:r>
        <w:t>Other</w:t>
      </w:r>
      <w:r>
        <w:rPr>
          <w:spacing w:val="-4"/>
        </w:rPr>
        <w:t xml:space="preserve"> </w:t>
      </w:r>
      <w:r>
        <w:t>terms</w:t>
      </w:r>
      <w:r>
        <w:rPr>
          <w:spacing w:val="-3"/>
        </w:rPr>
        <w:t xml:space="preserve"> </w:t>
      </w:r>
      <w:r>
        <w:t>and</w:t>
      </w:r>
      <w:bookmarkEnd w:id="98"/>
      <w:r>
        <w:rPr>
          <w:spacing w:val="-2"/>
        </w:rPr>
        <w:t xml:space="preserve"> conditions</w:t>
      </w:r>
    </w:p>
    <w:p w14:paraId="5743D35E" w14:textId="77777777" w:rsidR="00811887" w:rsidRDefault="00811887" w:rsidP="00811887">
      <w:pPr>
        <w:spacing w:before="177"/>
        <w:ind w:left="2803" w:right="1815"/>
        <w:rPr>
          <w:rFonts w:ascii="Times New Roman"/>
        </w:rPr>
      </w:pPr>
      <w:r>
        <w:rPr>
          <w:rFonts w:ascii="Times New Roman"/>
        </w:rPr>
        <w:t>A member of the Committee holds office on the terms and conditions</w:t>
      </w:r>
      <w:r>
        <w:rPr>
          <w:rFonts w:ascii="Times New Roman"/>
          <w:spacing w:val="-5"/>
        </w:rPr>
        <w:t xml:space="preserve"> </w:t>
      </w:r>
      <w:r>
        <w:rPr>
          <w:rFonts w:ascii="Times New Roman"/>
        </w:rPr>
        <w:t>(if</w:t>
      </w:r>
      <w:r>
        <w:rPr>
          <w:rFonts w:ascii="Times New Roman"/>
          <w:spacing w:val="-3"/>
        </w:rPr>
        <w:t xml:space="preserve"> </w:t>
      </w:r>
      <w:r>
        <w:rPr>
          <w:rFonts w:ascii="Times New Roman"/>
        </w:rPr>
        <w:t>any)</w:t>
      </w:r>
      <w:r>
        <w:rPr>
          <w:rFonts w:ascii="Times New Roman"/>
          <w:spacing w:val="-3"/>
        </w:rPr>
        <w:t xml:space="preserve"> </w:t>
      </w:r>
      <w:r>
        <w:rPr>
          <w:rFonts w:ascii="Times New Roman"/>
        </w:rPr>
        <w:t>in</w:t>
      </w:r>
      <w:r>
        <w:rPr>
          <w:rFonts w:ascii="Times New Roman"/>
          <w:spacing w:val="-3"/>
        </w:rPr>
        <w:t xml:space="preserve"> </w:t>
      </w:r>
      <w:r>
        <w:rPr>
          <w:rFonts w:ascii="Times New Roman"/>
        </w:rPr>
        <w:t>relation</w:t>
      </w:r>
      <w:r>
        <w:rPr>
          <w:rFonts w:ascii="Times New Roman"/>
          <w:spacing w:val="-3"/>
        </w:rPr>
        <w:t xml:space="preserve"> </w:t>
      </w:r>
      <w:r>
        <w:rPr>
          <w:rFonts w:ascii="Times New Roman"/>
        </w:rPr>
        <w:t>to</w:t>
      </w:r>
      <w:r>
        <w:rPr>
          <w:rFonts w:ascii="Times New Roman"/>
          <w:spacing w:val="-3"/>
        </w:rPr>
        <w:t xml:space="preserve"> </w:t>
      </w:r>
      <w:r>
        <w:rPr>
          <w:rFonts w:ascii="Times New Roman"/>
        </w:rPr>
        <w:t>matters</w:t>
      </w:r>
      <w:r>
        <w:rPr>
          <w:rFonts w:ascii="Times New Roman"/>
          <w:spacing w:val="-3"/>
        </w:rPr>
        <w:t xml:space="preserve"> </w:t>
      </w:r>
      <w:r>
        <w:rPr>
          <w:rFonts w:ascii="Times New Roman"/>
        </w:rPr>
        <w:t>not</w:t>
      </w:r>
      <w:r>
        <w:rPr>
          <w:rFonts w:ascii="Times New Roman"/>
          <w:spacing w:val="-5"/>
        </w:rPr>
        <w:t xml:space="preserve"> </w:t>
      </w:r>
      <w:r>
        <w:rPr>
          <w:rFonts w:ascii="Times New Roman"/>
        </w:rPr>
        <w:t>covered</w:t>
      </w:r>
      <w:r>
        <w:rPr>
          <w:rFonts w:ascii="Times New Roman"/>
          <w:spacing w:val="-5"/>
        </w:rPr>
        <w:t xml:space="preserve"> </w:t>
      </w:r>
      <w:r>
        <w:rPr>
          <w:rFonts w:ascii="Times New Roman"/>
        </w:rPr>
        <w:t>by</w:t>
      </w:r>
      <w:r>
        <w:rPr>
          <w:rFonts w:ascii="Times New Roman"/>
          <w:spacing w:val="-6"/>
        </w:rPr>
        <w:t xml:space="preserve"> </w:t>
      </w:r>
      <w:r>
        <w:rPr>
          <w:rFonts w:ascii="Times New Roman"/>
        </w:rPr>
        <w:t>this</w:t>
      </w:r>
      <w:r>
        <w:rPr>
          <w:rFonts w:ascii="Times New Roman"/>
          <w:spacing w:val="-3"/>
        </w:rPr>
        <w:t xml:space="preserve"> </w:t>
      </w:r>
      <w:r>
        <w:rPr>
          <w:rFonts w:ascii="Times New Roman"/>
        </w:rPr>
        <w:t>Act that are determined by the Minister.</w:t>
      </w:r>
    </w:p>
    <w:p w14:paraId="6010ACA4" w14:textId="77777777" w:rsidR="00811887" w:rsidRDefault="00811887" w:rsidP="00811887">
      <w:pPr>
        <w:pStyle w:val="BodyText"/>
        <w:rPr>
          <w:rFonts w:ascii="Times New Roman"/>
        </w:rPr>
      </w:pPr>
    </w:p>
    <w:p w14:paraId="7ABBF434" w14:textId="77777777" w:rsidR="00811887" w:rsidRDefault="00811887" w:rsidP="00811887">
      <w:pPr>
        <w:pStyle w:val="BodyText"/>
        <w:rPr>
          <w:rFonts w:ascii="Times New Roman"/>
        </w:rPr>
      </w:pPr>
    </w:p>
    <w:p w14:paraId="17946CEC" w14:textId="77777777" w:rsidR="00811887" w:rsidRDefault="00811887" w:rsidP="00811887">
      <w:pPr>
        <w:pStyle w:val="BodyText"/>
        <w:rPr>
          <w:rFonts w:ascii="Times New Roman"/>
        </w:rPr>
      </w:pPr>
    </w:p>
    <w:p w14:paraId="3423614B" w14:textId="77777777" w:rsidR="00811887" w:rsidRDefault="00811887" w:rsidP="00811887">
      <w:pPr>
        <w:pStyle w:val="BodyText"/>
        <w:rPr>
          <w:rFonts w:ascii="Times New Roman"/>
        </w:rPr>
      </w:pPr>
    </w:p>
    <w:p w14:paraId="4C583FA1" w14:textId="77777777" w:rsidR="00811887" w:rsidRDefault="00811887" w:rsidP="00811887">
      <w:pPr>
        <w:pStyle w:val="BodyText"/>
        <w:rPr>
          <w:rFonts w:ascii="Times New Roman"/>
        </w:rPr>
      </w:pPr>
    </w:p>
    <w:p w14:paraId="708DE4F8" w14:textId="77777777" w:rsidR="00811887" w:rsidRDefault="00811887" w:rsidP="00811887">
      <w:pPr>
        <w:pStyle w:val="BodyText"/>
        <w:rPr>
          <w:rFonts w:ascii="Times New Roman"/>
        </w:rPr>
      </w:pPr>
    </w:p>
    <w:p w14:paraId="0E95E400" w14:textId="77777777" w:rsidR="00811887" w:rsidRDefault="00811887" w:rsidP="00811887">
      <w:pPr>
        <w:pStyle w:val="BodyText"/>
        <w:rPr>
          <w:rFonts w:ascii="Times New Roman"/>
        </w:rPr>
      </w:pPr>
    </w:p>
    <w:p w14:paraId="275888AD" w14:textId="77777777" w:rsidR="00811887" w:rsidRDefault="00811887" w:rsidP="00811887">
      <w:pPr>
        <w:pStyle w:val="BodyText"/>
        <w:rPr>
          <w:rFonts w:ascii="Times New Roman"/>
        </w:rPr>
      </w:pPr>
    </w:p>
    <w:p w14:paraId="0A8022ED" w14:textId="77777777" w:rsidR="00811887" w:rsidRDefault="00811887" w:rsidP="00811887">
      <w:pPr>
        <w:pStyle w:val="BodyText"/>
        <w:rPr>
          <w:rFonts w:ascii="Times New Roman"/>
        </w:rPr>
      </w:pPr>
    </w:p>
    <w:p w14:paraId="70C89BE9" w14:textId="77777777" w:rsidR="00811887" w:rsidRDefault="00811887" w:rsidP="00811887">
      <w:pPr>
        <w:pStyle w:val="BodyText"/>
        <w:rPr>
          <w:rFonts w:ascii="Times New Roman"/>
        </w:rPr>
      </w:pPr>
    </w:p>
    <w:p w14:paraId="5B12343A" w14:textId="77777777" w:rsidR="00811887" w:rsidRDefault="00811887" w:rsidP="00811887">
      <w:pPr>
        <w:pStyle w:val="BodyText"/>
        <w:rPr>
          <w:rFonts w:ascii="Times New Roman"/>
        </w:rPr>
      </w:pPr>
    </w:p>
    <w:p w14:paraId="646A7534" w14:textId="77777777" w:rsidR="00811887" w:rsidRDefault="00811887" w:rsidP="00811887">
      <w:pPr>
        <w:pStyle w:val="BodyText"/>
        <w:rPr>
          <w:rFonts w:ascii="Times New Roman"/>
        </w:rPr>
      </w:pPr>
    </w:p>
    <w:p w14:paraId="631F2774" w14:textId="77777777" w:rsidR="00811887" w:rsidRDefault="00811887" w:rsidP="00811887">
      <w:pPr>
        <w:pStyle w:val="BodyText"/>
        <w:rPr>
          <w:rFonts w:ascii="Times New Roman"/>
        </w:rPr>
      </w:pPr>
    </w:p>
    <w:p w14:paraId="3D3965A2" w14:textId="77777777" w:rsidR="00811887" w:rsidRDefault="00811887" w:rsidP="00811887">
      <w:pPr>
        <w:pStyle w:val="BodyText"/>
        <w:rPr>
          <w:rFonts w:ascii="Times New Roman"/>
        </w:rPr>
      </w:pPr>
    </w:p>
    <w:p w14:paraId="5DFCBF2F" w14:textId="77777777" w:rsidR="00811887" w:rsidRDefault="00811887" w:rsidP="00811887">
      <w:pPr>
        <w:pStyle w:val="BodyText"/>
        <w:rPr>
          <w:rFonts w:ascii="Times New Roman"/>
        </w:rPr>
      </w:pPr>
    </w:p>
    <w:p w14:paraId="443F44EB" w14:textId="77777777" w:rsidR="00811887" w:rsidRDefault="00811887" w:rsidP="00811887">
      <w:pPr>
        <w:pStyle w:val="BodyText"/>
        <w:rPr>
          <w:rFonts w:ascii="Times New Roman"/>
        </w:rPr>
      </w:pPr>
    </w:p>
    <w:p w14:paraId="4A43B2DA" w14:textId="77777777" w:rsidR="00811887" w:rsidRDefault="00811887" w:rsidP="00811887">
      <w:pPr>
        <w:pStyle w:val="BodyText"/>
        <w:rPr>
          <w:rFonts w:ascii="Times New Roman"/>
        </w:rPr>
      </w:pPr>
    </w:p>
    <w:p w14:paraId="223139FA" w14:textId="77777777" w:rsidR="00811887" w:rsidRDefault="00811887" w:rsidP="00811887">
      <w:pPr>
        <w:pStyle w:val="BodyText"/>
        <w:rPr>
          <w:rFonts w:ascii="Times New Roman"/>
        </w:rPr>
      </w:pPr>
    </w:p>
    <w:p w14:paraId="5589EB0F" w14:textId="77777777" w:rsidR="00811887" w:rsidRDefault="00811887" w:rsidP="00811887">
      <w:pPr>
        <w:pStyle w:val="BodyText"/>
        <w:rPr>
          <w:rFonts w:ascii="Times New Roman"/>
        </w:rPr>
      </w:pPr>
    </w:p>
    <w:p w14:paraId="270B83FB" w14:textId="77777777" w:rsidR="00811887" w:rsidRDefault="00811887" w:rsidP="00811887">
      <w:pPr>
        <w:pStyle w:val="BodyText"/>
        <w:rPr>
          <w:rFonts w:ascii="Times New Roman"/>
        </w:rPr>
      </w:pPr>
    </w:p>
    <w:p w14:paraId="7FD2EC60" w14:textId="77777777" w:rsidR="00811887" w:rsidRDefault="00811887" w:rsidP="00811887">
      <w:pPr>
        <w:pStyle w:val="BodyText"/>
        <w:rPr>
          <w:rFonts w:ascii="Times New Roman"/>
        </w:rPr>
      </w:pPr>
    </w:p>
    <w:p w14:paraId="59C327EB" w14:textId="77777777" w:rsidR="00811887" w:rsidRDefault="00811887" w:rsidP="00811887">
      <w:pPr>
        <w:pStyle w:val="BodyText"/>
        <w:spacing w:before="81"/>
        <w:rPr>
          <w:rFonts w:ascii="Times New Roman"/>
        </w:rPr>
      </w:pPr>
      <w:r>
        <w:rPr>
          <w:noProof/>
        </w:rPr>
        <mc:AlternateContent>
          <mc:Choice Requires="wps">
            <w:drawing>
              <wp:anchor distT="0" distB="0" distL="0" distR="0" simplePos="0" relativeHeight="251716608" behindDoc="1" locked="0" layoutInCell="1" allowOverlap="1" wp14:anchorId="7DF1B8EC" wp14:editId="3D503A48">
                <wp:simplePos x="0" y="0"/>
                <wp:positionH relativeFrom="page">
                  <wp:posOffset>1512061</wp:posOffset>
                </wp:positionH>
                <wp:positionV relativeFrom="paragraph">
                  <wp:posOffset>212738</wp:posOffset>
                </wp:positionV>
                <wp:extent cx="4538345" cy="9525"/>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C4C8E" id="Graphic 35" o:spid="_x0000_s1026" alt="&quot;&quot;" style="position:absolute;margin-left:119.05pt;margin-top:16.75pt;width:357.35pt;height:.75pt;z-index:-25159987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" path="m4537837,l,,,9143r4537837,l4537837,xe" fillcolor="black" stroked="f">
                <v:path arrowok="t"/>
                <w10:wrap type="topAndBottom" anchorx="page"/>
              </v:shape>
            </w:pict>
          </mc:Fallback>
        </mc:AlternateContent>
      </w:r>
    </w:p>
    <w:p w14:paraId="2EDF44C1" w14:textId="77777777" w:rsidR="00811887" w:rsidRDefault="00811887" w:rsidP="00811887">
      <w:pPr>
        <w:pStyle w:val="BodyText"/>
        <w:spacing w:before="121"/>
        <w:rPr>
          <w:rFonts w:ascii="Times New Roman"/>
          <w:sz w:val="18"/>
        </w:rPr>
      </w:pPr>
    </w:p>
    <w:p w14:paraId="465D668C" w14:textId="77777777" w:rsidR="00811887" w:rsidRDefault="00811887" w:rsidP="00811887">
      <w:pPr>
        <w:tabs>
          <w:tab w:val="left" w:pos="3084"/>
          <w:tab w:val="left" w:pos="7738"/>
        </w:tabs>
        <w:ind w:left="1670"/>
        <w:rPr>
          <w:rFonts w:ascii="Times New Roman"/>
          <w:i/>
          <w:sz w:val="18"/>
        </w:rPr>
      </w:pPr>
      <w:r>
        <w:rPr>
          <w:rFonts w:ascii="Times New Roman"/>
          <w:i/>
          <w:spacing w:val="-5"/>
          <w:sz w:val="18"/>
        </w:rPr>
        <w:t>12</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0833D8D0"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48114FC5" w14:textId="77777777" w:rsidR="00811887" w:rsidRDefault="00811887" w:rsidP="00811887">
      <w:pPr>
        <w:pStyle w:val="BodyText"/>
        <w:spacing w:before="65"/>
        <w:ind w:right="1685"/>
        <w:jc w:val="right"/>
        <w:rPr>
          <w:rFonts w:ascii="Times New Roman"/>
          <w:b/>
        </w:rPr>
      </w:pPr>
      <w:r>
        <w:rPr>
          <w:rFonts w:ascii="Times New Roman"/>
        </w:rPr>
        <w:lastRenderedPageBreak/>
        <w:t>Economic</w:t>
      </w:r>
      <w:r>
        <w:rPr>
          <w:rFonts w:ascii="Times New Roman"/>
          <w:spacing w:val="-7"/>
        </w:rPr>
        <w:t xml:space="preserve"> </w:t>
      </w:r>
      <w:r>
        <w:rPr>
          <w:rFonts w:ascii="Times New Roman"/>
        </w:rPr>
        <w:t>Inclusion</w:t>
      </w:r>
      <w:r>
        <w:rPr>
          <w:rFonts w:ascii="Times New Roman"/>
          <w:spacing w:val="-6"/>
        </w:rPr>
        <w:t xml:space="preserve"> </w:t>
      </w:r>
      <w:r>
        <w:rPr>
          <w:rFonts w:ascii="Times New Roman"/>
        </w:rPr>
        <w:t>Advisory</w:t>
      </w:r>
      <w:r>
        <w:rPr>
          <w:rFonts w:ascii="Times New Roman"/>
          <w:spacing w:val="-7"/>
        </w:rPr>
        <w:t xml:space="preserve"> </w:t>
      </w:r>
      <w:r>
        <w:rPr>
          <w:rFonts w:ascii="Times New Roman"/>
        </w:rPr>
        <w:t>Committee</w:t>
      </w:r>
      <w:r>
        <w:rPr>
          <w:rFonts w:ascii="Times New Roman"/>
          <w:spacing w:val="41"/>
        </w:rPr>
        <w:t xml:space="preserve"> </w:t>
      </w:r>
      <w:r>
        <w:rPr>
          <w:rFonts w:ascii="Times New Roman"/>
          <w:b/>
        </w:rPr>
        <w:t>Part</w:t>
      </w:r>
      <w:r>
        <w:rPr>
          <w:rFonts w:ascii="Times New Roman"/>
          <w:b/>
          <w:spacing w:val="-5"/>
        </w:rPr>
        <w:t xml:space="preserve"> </w:t>
      </w:r>
      <w:r>
        <w:rPr>
          <w:rFonts w:ascii="Times New Roman"/>
          <w:b/>
          <w:spacing w:val="-10"/>
        </w:rPr>
        <w:t>2</w:t>
      </w:r>
    </w:p>
    <w:p w14:paraId="5B2E18D9" w14:textId="77777777" w:rsidR="00811887" w:rsidRDefault="00811887" w:rsidP="00811887">
      <w:pPr>
        <w:spacing w:before="32"/>
        <w:ind w:right="1685"/>
        <w:jc w:val="right"/>
        <w:rPr>
          <w:rFonts w:ascii="Times New Roman" w:hAnsi="Times New Roman"/>
          <w:b/>
          <w:sz w:val="20"/>
        </w:rPr>
      </w:pPr>
      <w:r>
        <w:rPr>
          <w:rFonts w:ascii="Times New Roman" w:hAnsi="Times New Roman"/>
          <w:sz w:val="20"/>
        </w:rPr>
        <w:t>Committee’s</w:t>
      </w:r>
      <w:r>
        <w:rPr>
          <w:rFonts w:ascii="Times New Roman" w:hAnsi="Times New Roman"/>
          <w:spacing w:val="-6"/>
          <w:sz w:val="20"/>
        </w:rPr>
        <w:t xml:space="preserve"> </w:t>
      </w:r>
      <w:r>
        <w:rPr>
          <w:rFonts w:ascii="Times New Roman" w:hAnsi="Times New Roman"/>
          <w:sz w:val="20"/>
        </w:rPr>
        <w:t>operation</w:t>
      </w:r>
      <w:r>
        <w:rPr>
          <w:rFonts w:ascii="Times New Roman" w:hAnsi="Times New Roman"/>
          <w:spacing w:val="41"/>
          <w:sz w:val="20"/>
        </w:rPr>
        <w:t xml:space="preserve"> </w:t>
      </w:r>
      <w:r>
        <w:rPr>
          <w:rFonts w:ascii="Times New Roman" w:hAnsi="Times New Roman"/>
          <w:b/>
          <w:sz w:val="20"/>
        </w:rPr>
        <w:t>Division</w:t>
      </w:r>
      <w:r>
        <w:rPr>
          <w:rFonts w:ascii="Times New Roman" w:hAnsi="Times New Roman"/>
          <w:b/>
          <w:spacing w:val="-5"/>
          <w:sz w:val="20"/>
        </w:rPr>
        <w:t xml:space="preserve"> </w:t>
      </w:r>
      <w:r>
        <w:rPr>
          <w:rFonts w:ascii="Times New Roman" w:hAnsi="Times New Roman"/>
          <w:b/>
          <w:spacing w:val="-10"/>
          <w:sz w:val="20"/>
        </w:rPr>
        <w:t>4</w:t>
      </w:r>
    </w:p>
    <w:p w14:paraId="127C2656" w14:textId="77777777" w:rsidR="00811887" w:rsidRDefault="00811887" w:rsidP="00811887">
      <w:pPr>
        <w:pStyle w:val="BodyText"/>
        <w:spacing w:before="45"/>
        <w:rPr>
          <w:rFonts w:ascii="Times New Roman"/>
          <w:b/>
        </w:rPr>
      </w:pPr>
    </w:p>
    <w:p w14:paraId="3FD75B21"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17632" behindDoc="1" locked="0" layoutInCell="1" allowOverlap="1" wp14:anchorId="49D8C26F" wp14:editId="1BA7F3D8">
                <wp:simplePos x="0" y="0"/>
                <wp:positionH relativeFrom="page">
                  <wp:posOffset>1512061</wp:posOffset>
                </wp:positionH>
                <wp:positionV relativeFrom="paragraph">
                  <wp:posOffset>192823</wp:posOffset>
                </wp:positionV>
                <wp:extent cx="4538345" cy="9525"/>
                <wp:effectExtent l="0" t="0" r="0" b="0"/>
                <wp:wrapTopAndBottom/>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7EFAD" id="Graphic 36" o:spid="_x0000_s1026" alt="&quot;&quot;" style="position:absolute;margin-left:119.05pt;margin-top:15.2pt;width:357.35pt;height:.75pt;z-index:-251598848;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21</w:t>
      </w:r>
    </w:p>
    <w:p w14:paraId="43CFC912" w14:textId="77777777" w:rsidR="00811887" w:rsidRDefault="00811887" w:rsidP="00811887">
      <w:pPr>
        <w:pStyle w:val="BodyText"/>
        <w:spacing w:before="208"/>
        <w:rPr>
          <w:rFonts w:ascii="Times New Roman"/>
          <w:sz w:val="28"/>
        </w:rPr>
      </w:pPr>
    </w:p>
    <w:p w14:paraId="15618757" w14:textId="77777777" w:rsidR="00811887" w:rsidRPr="00630A63" w:rsidRDefault="00811887" w:rsidP="00811887">
      <w:pPr>
        <w:pStyle w:val="Heading5"/>
        <w:rPr>
          <w:color w:val="465590" w:themeColor="text1" w:themeTint="A6"/>
        </w:rPr>
      </w:pPr>
      <w:bookmarkStart w:id="99" w:name="_TOC_250009"/>
      <w:r w:rsidRPr="00630A63">
        <w:rPr>
          <w:color w:val="465590" w:themeColor="text1" w:themeTint="A6"/>
        </w:rPr>
        <w:t>Division</w:t>
      </w:r>
      <w:r w:rsidRPr="00630A63">
        <w:rPr>
          <w:color w:val="465590" w:themeColor="text1" w:themeTint="A6"/>
          <w:spacing w:val="-15"/>
        </w:rPr>
        <w:t xml:space="preserve"> </w:t>
      </w:r>
      <w:r w:rsidRPr="00630A63">
        <w:rPr>
          <w:color w:val="465590" w:themeColor="text1" w:themeTint="A6"/>
        </w:rPr>
        <w:t>4—Committee’s</w:t>
      </w:r>
      <w:r w:rsidRPr="00630A63">
        <w:rPr>
          <w:color w:val="465590" w:themeColor="text1" w:themeTint="A6"/>
          <w:spacing w:val="-13"/>
        </w:rPr>
        <w:t xml:space="preserve"> </w:t>
      </w:r>
      <w:bookmarkEnd w:id="99"/>
      <w:r w:rsidRPr="00630A63">
        <w:rPr>
          <w:color w:val="465590" w:themeColor="text1" w:themeTint="A6"/>
          <w:spacing w:val="-2"/>
        </w:rPr>
        <w:t>operation</w:t>
      </w:r>
    </w:p>
    <w:p w14:paraId="5991D93D" w14:textId="77777777" w:rsidR="00811887" w:rsidRDefault="00811887" w:rsidP="00FB2FE9">
      <w:pPr>
        <w:pStyle w:val="Heading7"/>
        <w:numPr>
          <w:ilvl w:val="0"/>
          <w:numId w:val="77"/>
        </w:numPr>
        <w:tabs>
          <w:tab w:val="left" w:pos="2030"/>
        </w:tabs>
        <w:spacing w:before="280"/>
        <w:ind w:left="2030" w:hanging="360"/>
      </w:pPr>
      <w:bookmarkStart w:id="100" w:name="_TOC_250008"/>
      <w:r>
        <w:t>Holding</w:t>
      </w:r>
      <w:r>
        <w:rPr>
          <w:spacing w:val="1"/>
        </w:rPr>
        <w:t xml:space="preserve"> </w:t>
      </w:r>
      <w:bookmarkEnd w:id="100"/>
      <w:r>
        <w:rPr>
          <w:spacing w:val="-2"/>
        </w:rPr>
        <w:t>meetings</w:t>
      </w:r>
    </w:p>
    <w:p w14:paraId="4B47E1AF" w14:textId="77777777" w:rsidR="00811887" w:rsidRDefault="00811887" w:rsidP="00811887">
      <w:pPr>
        <w:spacing w:before="177"/>
        <w:ind w:left="2803" w:right="1757"/>
        <w:rPr>
          <w:rFonts w:ascii="Times New Roman"/>
        </w:rPr>
      </w:pPr>
      <w:r>
        <w:rPr>
          <w:rFonts w:ascii="Times New Roman"/>
        </w:rPr>
        <w:t>The</w:t>
      </w:r>
      <w:r>
        <w:rPr>
          <w:rFonts w:ascii="Times New Roman"/>
          <w:spacing w:val="-5"/>
        </w:rPr>
        <w:t xml:space="preserve"> </w:t>
      </w:r>
      <w:r>
        <w:rPr>
          <w:rFonts w:ascii="Times New Roman"/>
        </w:rPr>
        <w:t>Committee</w:t>
      </w:r>
      <w:r>
        <w:rPr>
          <w:rFonts w:ascii="Times New Roman"/>
          <w:spacing w:val="-2"/>
        </w:rPr>
        <w:t xml:space="preserve"> </w:t>
      </w:r>
      <w:r>
        <w:rPr>
          <w:rFonts w:ascii="Times New Roman"/>
        </w:rPr>
        <w:t>must</w:t>
      </w:r>
      <w:r>
        <w:rPr>
          <w:rFonts w:ascii="Times New Roman"/>
          <w:spacing w:val="-2"/>
        </w:rPr>
        <w:t xml:space="preserve"> </w:t>
      </w:r>
      <w:r>
        <w:rPr>
          <w:rFonts w:ascii="Times New Roman"/>
        </w:rPr>
        <w:t>hold</w:t>
      </w:r>
      <w:r>
        <w:rPr>
          <w:rFonts w:ascii="Times New Roman"/>
          <w:spacing w:val="-3"/>
        </w:rPr>
        <w:t xml:space="preserve"> </w:t>
      </w:r>
      <w:r>
        <w:rPr>
          <w:rFonts w:ascii="Times New Roman"/>
        </w:rPr>
        <w:t>such</w:t>
      </w:r>
      <w:r>
        <w:rPr>
          <w:rFonts w:ascii="Times New Roman"/>
          <w:spacing w:val="-3"/>
        </w:rPr>
        <w:t xml:space="preserve"> </w:t>
      </w:r>
      <w:r>
        <w:rPr>
          <w:rFonts w:ascii="Times New Roman"/>
        </w:rPr>
        <w:t>meetings</w:t>
      </w:r>
      <w:r>
        <w:rPr>
          <w:rFonts w:ascii="Times New Roman"/>
          <w:spacing w:val="-3"/>
        </w:rPr>
        <w:t xml:space="preserve"> </w:t>
      </w:r>
      <w:r>
        <w:rPr>
          <w:rFonts w:ascii="Times New Roman"/>
        </w:rPr>
        <w:t>as</w:t>
      </w:r>
      <w:r>
        <w:rPr>
          <w:rFonts w:ascii="Times New Roman"/>
          <w:spacing w:val="-5"/>
        </w:rPr>
        <w:t xml:space="preserve"> </w:t>
      </w:r>
      <w:r>
        <w:rPr>
          <w:rFonts w:ascii="Times New Roman"/>
        </w:rPr>
        <w:t>are</w:t>
      </w:r>
      <w:r>
        <w:rPr>
          <w:rFonts w:ascii="Times New Roman"/>
          <w:spacing w:val="-3"/>
        </w:rPr>
        <w:t xml:space="preserve"> </w:t>
      </w:r>
      <w:r>
        <w:rPr>
          <w:rFonts w:ascii="Times New Roman"/>
        </w:rPr>
        <w:t>necessary</w:t>
      </w:r>
      <w:r>
        <w:rPr>
          <w:rFonts w:ascii="Times New Roman"/>
          <w:spacing w:val="-6"/>
        </w:rPr>
        <w:t xml:space="preserve"> </w:t>
      </w:r>
      <w:r>
        <w:rPr>
          <w:rFonts w:ascii="Times New Roman"/>
        </w:rPr>
        <w:t>for</w:t>
      </w:r>
      <w:r>
        <w:rPr>
          <w:rFonts w:ascii="Times New Roman"/>
          <w:spacing w:val="-3"/>
        </w:rPr>
        <w:t xml:space="preserve"> </w:t>
      </w:r>
      <w:r>
        <w:rPr>
          <w:rFonts w:ascii="Times New Roman"/>
        </w:rPr>
        <w:t>the efficient performance of its function.</w:t>
      </w:r>
    </w:p>
    <w:p w14:paraId="1FA9DF54" w14:textId="77777777" w:rsidR="00811887" w:rsidRDefault="00811887" w:rsidP="00811887">
      <w:pPr>
        <w:pStyle w:val="BodyText"/>
        <w:spacing w:before="31"/>
        <w:rPr>
          <w:rFonts w:ascii="Times New Roman"/>
          <w:sz w:val="22"/>
        </w:rPr>
      </w:pPr>
    </w:p>
    <w:p w14:paraId="52E94A71" w14:textId="77777777" w:rsidR="00811887" w:rsidRDefault="00811887" w:rsidP="00FB2FE9">
      <w:pPr>
        <w:pStyle w:val="Heading7"/>
        <w:numPr>
          <w:ilvl w:val="0"/>
          <w:numId w:val="77"/>
        </w:numPr>
        <w:tabs>
          <w:tab w:val="left" w:pos="2030"/>
        </w:tabs>
        <w:ind w:left="2030" w:hanging="360"/>
      </w:pPr>
      <w:bookmarkStart w:id="101" w:name="_TOC_250007"/>
      <w:bookmarkEnd w:id="101"/>
      <w:r>
        <w:rPr>
          <w:spacing w:val="-2"/>
        </w:rPr>
        <w:t>Quorum</w:t>
      </w:r>
    </w:p>
    <w:p w14:paraId="5AD9C257" w14:textId="77777777" w:rsidR="00811887" w:rsidRDefault="00811887" w:rsidP="00FB2FE9">
      <w:pPr>
        <w:pStyle w:val="ListParagraph"/>
        <w:widowControl w:val="0"/>
        <w:numPr>
          <w:ilvl w:val="1"/>
          <w:numId w:val="77"/>
        </w:numPr>
        <w:tabs>
          <w:tab w:val="left" w:pos="2801"/>
          <w:tab w:val="left" w:pos="2803"/>
        </w:tabs>
        <w:autoSpaceDE w:val="0"/>
        <w:autoSpaceDN w:val="0"/>
        <w:spacing w:before="175" w:after="0"/>
        <w:ind w:right="2463"/>
        <w:contextualSpacing w:val="0"/>
        <w:rPr>
          <w:rFonts w:ascii="Times New Roman"/>
        </w:rPr>
      </w:pPr>
      <w:r>
        <w:rPr>
          <w:rFonts w:ascii="Times New Roman"/>
        </w:rPr>
        <w:t>At</w:t>
      </w:r>
      <w:r>
        <w:rPr>
          <w:rFonts w:ascii="Times New Roman"/>
          <w:spacing w:val="-2"/>
        </w:rPr>
        <w:t xml:space="preserve"> </w:t>
      </w:r>
      <w:r>
        <w:rPr>
          <w:rFonts w:ascii="Times New Roman"/>
        </w:rPr>
        <w:t>a</w:t>
      </w:r>
      <w:r>
        <w:rPr>
          <w:rFonts w:ascii="Times New Roman"/>
          <w:spacing w:val="-3"/>
        </w:rPr>
        <w:t xml:space="preserve"> </w:t>
      </w:r>
      <w:r>
        <w:rPr>
          <w:rFonts w:ascii="Times New Roman"/>
        </w:rPr>
        <w:t>meeting</w:t>
      </w:r>
      <w:r>
        <w:rPr>
          <w:rFonts w:ascii="Times New Roman"/>
          <w:spacing w:val="-6"/>
        </w:rPr>
        <w:t xml:space="preserve"> </w:t>
      </w:r>
      <w:r>
        <w:rPr>
          <w:rFonts w:ascii="Times New Roman"/>
        </w:rPr>
        <w:t>of</w:t>
      </w:r>
      <w:r>
        <w:rPr>
          <w:rFonts w:ascii="Times New Roman"/>
          <w:spacing w:val="-5"/>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3"/>
        </w:rPr>
        <w:t xml:space="preserve"> </w:t>
      </w:r>
      <w:r>
        <w:rPr>
          <w:rFonts w:ascii="Times New Roman"/>
        </w:rPr>
        <w:t>a</w:t>
      </w:r>
      <w:r>
        <w:rPr>
          <w:rFonts w:ascii="Times New Roman"/>
          <w:spacing w:val="-3"/>
        </w:rPr>
        <w:t xml:space="preserve"> </w:t>
      </w:r>
      <w:r>
        <w:rPr>
          <w:rFonts w:ascii="Times New Roman"/>
        </w:rPr>
        <w:t>quorum</w:t>
      </w:r>
      <w:r>
        <w:rPr>
          <w:rFonts w:ascii="Times New Roman"/>
          <w:spacing w:val="-7"/>
        </w:rPr>
        <w:t xml:space="preserve"> </w:t>
      </w:r>
      <w:r>
        <w:rPr>
          <w:rFonts w:ascii="Times New Roman"/>
        </w:rPr>
        <w:t>is</w:t>
      </w:r>
      <w:r>
        <w:rPr>
          <w:rFonts w:ascii="Times New Roman"/>
          <w:spacing w:val="-3"/>
        </w:rPr>
        <w:t xml:space="preserve"> </w:t>
      </w:r>
      <w:r>
        <w:rPr>
          <w:rFonts w:ascii="Times New Roman"/>
        </w:rPr>
        <w:t>constituted</w:t>
      </w:r>
      <w:r>
        <w:rPr>
          <w:rFonts w:ascii="Times New Roman"/>
          <w:spacing w:val="-3"/>
        </w:rPr>
        <w:t xml:space="preserve"> </w:t>
      </w:r>
      <w:r>
        <w:rPr>
          <w:rFonts w:ascii="Times New Roman"/>
        </w:rPr>
        <w:t>by 7 members.</w:t>
      </w:r>
    </w:p>
    <w:p w14:paraId="6F017605" w14:textId="77777777" w:rsidR="00811887" w:rsidRDefault="00811887" w:rsidP="00FB2FE9">
      <w:pPr>
        <w:pStyle w:val="ListParagraph"/>
        <w:widowControl w:val="0"/>
        <w:numPr>
          <w:ilvl w:val="1"/>
          <w:numId w:val="77"/>
        </w:numPr>
        <w:tabs>
          <w:tab w:val="left" w:pos="2802"/>
        </w:tabs>
        <w:autoSpaceDE w:val="0"/>
        <w:autoSpaceDN w:val="0"/>
        <w:spacing w:before="181" w:after="0"/>
        <w:ind w:left="2802" w:hanging="369"/>
        <w:contextualSpacing w:val="0"/>
        <w:rPr>
          <w:rFonts w:ascii="Times New Roman"/>
        </w:rPr>
      </w:pPr>
      <w:r>
        <w:rPr>
          <w:rFonts w:ascii="Times New Roman"/>
        </w:rPr>
        <w:t>However,</w:t>
      </w:r>
      <w:r>
        <w:rPr>
          <w:rFonts w:ascii="Times New Roman"/>
          <w:spacing w:val="-8"/>
        </w:rPr>
        <w:t xml:space="preserve"> </w:t>
      </w:r>
      <w:r>
        <w:rPr>
          <w:rFonts w:ascii="Times New Roman"/>
          <w:spacing w:val="-5"/>
        </w:rPr>
        <w:t>if:</w:t>
      </w:r>
    </w:p>
    <w:p w14:paraId="261985AB" w14:textId="77777777" w:rsidR="00811887" w:rsidRDefault="00811887" w:rsidP="00FB2FE9">
      <w:pPr>
        <w:pStyle w:val="ListParagraph"/>
        <w:widowControl w:val="0"/>
        <w:numPr>
          <w:ilvl w:val="2"/>
          <w:numId w:val="77"/>
        </w:numPr>
        <w:tabs>
          <w:tab w:val="left" w:pos="3312"/>
          <w:tab w:val="left" w:pos="3314"/>
        </w:tabs>
        <w:autoSpaceDE w:val="0"/>
        <w:autoSpaceDN w:val="0"/>
        <w:spacing w:before="42" w:after="0"/>
        <w:ind w:right="2243"/>
        <w:contextualSpacing w:val="0"/>
        <w:rPr>
          <w:rFonts w:ascii="Times New Roman"/>
        </w:rPr>
      </w:pPr>
      <w:r>
        <w:rPr>
          <w:rFonts w:ascii="Times New Roman"/>
        </w:rPr>
        <w:t>because</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operation</w:t>
      </w:r>
      <w:r>
        <w:rPr>
          <w:rFonts w:ascii="Times New Roman"/>
          <w:spacing w:val="-3"/>
        </w:rPr>
        <w:t xml:space="preserve"> </w:t>
      </w:r>
      <w:r>
        <w:rPr>
          <w:rFonts w:ascii="Times New Roman"/>
        </w:rPr>
        <w:t>of</w:t>
      </w:r>
      <w:r>
        <w:rPr>
          <w:rFonts w:ascii="Times New Roman"/>
          <w:spacing w:val="-3"/>
        </w:rPr>
        <w:t xml:space="preserve"> </w:t>
      </w:r>
      <w:r>
        <w:rPr>
          <w:rFonts w:ascii="Times New Roman"/>
        </w:rPr>
        <w:t>section</w:t>
      </w:r>
      <w:r>
        <w:rPr>
          <w:rFonts w:ascii="Times New Roman"/>
          <w:spacing w:val="-5"/>
        </w:rPr>
        <w:t xml:space="preserve"> </w:t>
      </w:r>
      <w:r>
        <w:rPr>
          <w:rFonts w:ascii="Times New Roman"/>
        </w:rPr>
        <w:t>17,</w:t>
      </w:r>
      <w:r>
        <w:rPr>
          <w:rFonts w:ascii="Times New Roman"/>
          <w:spacing w:val="-3"/>
        </w:rPr>
        <w:t xml:space="preserve"> </w:t>
      </w:r>
      <w:r>
        <w:rPr>
          <w:rFonts w:ascii="Times New Roman"/>
        </w:rPr>
        <w:t>a</w:t>
      </w:r>
      <w:r>
        <w:rPr>
          <w:rFonts w:ascii="Times New Roman"/>
          <w:spacing w:val="-3"/>
        </w:rPr>
        <w:t xml:space="preserve"> </w:t>
      </w:r>
      <w:r>
        <w:rPr>
          <w:rFonts w:ascii="Times New Roman"/>
        </w:rPr>
        <w:t>member</w:t>
      </w:r>
      <w:r>
        <w:rPr>
          <w:rFonts w:ascii="Times New Roman"/>
          <w:spacing w:val="-2"/>
        </w:rPr>
        <w:t xml:space="preserve"> </w:t>
      </w:r>
      <w:r>
        <w:rPr>
          <w:rFonts w:ascii="Times New Roman"/>
        </w:rPr>
        <w:t>of</w:t>
      </w:r>
      <w:r>
        <w:rPr>
          <w:rFonts w:ascii="Times New Roman"/>
          <w:spacing w:val="-3"/>
        </w:rPr>
        <w:t xml:space="preserve"> </w:t>
      </w:r>
      <w:r>
        <w:rPr>
          <w:rFonts w:ascii="Times New Roman"/>
        </w:rPr>
        <w:t>the Committee is not present during deliberation by the Committee on a matter; and</w:t>
      </w:r>
    </w:p>
    <w:p w14:paraId="3C29C1AB" w14:textId="77777777" w:rsidR="00811887" w:rsidRDefault="00811887" w:rsidP="00FB2FE9">
      <w:pPr>
        <w:pStyle w:val="ListParagraph"/>
        <w:widowControl w:val="0"/>
        <w:numPr>
          <w:ilvl w:val="2"/>
          <w:numId w:val="77"/>
        </w:numPr>
        <w:tabs>
          <w:tab w:val="left" w:pos="3312"/>
          <w:tab w:val="left" w:pos="3314"/>
        </w:tabs>
        <w:autoSpaceDE w:val="0"/>
        <w:autoSpaceDN w:val="0"/>
        <w:spacing w:before="38" w:after="0"/>
        <w:ind w:right="2260" w:hanging="370"/>
        <w:contextualSpacing w:val="0"/>
        <w:rPr>
          <w:rFonts w:ascii="Times New Roman"/>
        </w:rPr>
      </w:pPr>
      <w:r>
        <w:rPr>
          <w:rFonts w:ascii="Times New Roman"/>
        </w:rPr>
        <w:t>when</w:t>
      </w:r>
      <w:r>
        <w:rPr>
          <w:rFonts w:ascii="Times New Roman"/>
          <w:spacing w:val="-4"/>
        </w:rPr>
        <w:t xml:space="preserve"> </w:t>
      </w:r>
      <w:r>
        <w:rPr>
          <w:rFonts w:ascii="Times New Roman"/>
        </w:rPr>
        <w:t>the</w:t>
      </w:r>
      <w:r>
        <w:rPr>
          <w:rFonts w:ascii="Times New Roman"/>
          <w:spacing w:val="-4"/>
        </w:rPr>
        <w:t xml:space="preserve"> </w:t>
      </w:r>
      <w:r>
        <w:rPr>
          <w:rFonts w:ascii="Times New Roman"/>
        </w:rPr>
        <w:t>member</w:t>
      </w:r>
      <w:r>
        <w:rPr>
          <w:rFonts w:ascii="Times New Roman"/>
          <w:spacing w:val="-3"/>
        </w:rPr>
        <w:t xml:space="preserve"> </w:t>
      </w:r>
      <w:r>
        <w:rPr>
          <w:rFonts w:ascii="Times New Roman"/>
        </w:rPr>
        <w:t>of</w:t>
      </w:r>
      <w:r>
        <w:rPr>
          <w:rFonts w:ascii="Times New Roman"/>
          <w:spacing w:val="-6"/>
        </w:rPr>
        <w:t xml:space="preserve"> </w:t>
      </w:r>
      <w:r>
        <w:rPr>
          <w:rFonts w:ascii="Times New Roman"/>
        </w:rPr>
        <w:t>the</w:t>
      </w:r>
      <w:r>
        <w:rPr>
          <w:rFonts w:ascii="Times New Roman"/>
          <w:spacing w:val="-4"/>
        </w:rPr>
        <w:t xml:space="preserve"> </w:t>
      </w:r>
      <w:r>
        <w:rPr>
          <w:rFonts w:ascii="Times New Roman"/>
        </w:rPr>
        <w:t>Committee</w:t>
      </w:r>
      <w:r>
        <w:rPr>
          <w:rFonts w:ascii="Times New Roman"/>
          <w:spacing w:val="-4"/>
        </w:rPr>
        <w:t xml:space="preserve"> </w:t>
      </w:r>
      <w:r>
        <w:rPr>
          <w:rFonts w:ascii="Times New Roman"/>
        </w:rPr>
        <w:t>leaves</w:t>
      </w:r>
      <w:r>
        <w:rPr>
          <w:rFonts w:ascii="Times New Roman"/>
          <w:spacing w:val="-4"/>
        </w:rPr>
        <w:t xml:space="preserve"> </w:t>
      </w:r>
      <w:r>
        <w:rPr>
          <w:rFonts w:ascii="Times New Roman"/>
        </w:rPr>
        <w:t>the</w:t>
      </w:r>
      <w:r>
        <w:rPr>
          <w:rFonts w:ascii="Times New Roman"/>
          <w:spacing w:val="-1"/>
        </w:rPr>
        <w:t xml:space="preserve"> </w:t>
      </w:r>
      <w:r>
        <w:rPr>
          <w:rFonts w:ascii="Times New Roman"/>
        </w:rPr>
        <w:t>meeting concerned there is no longer a quorum present;</w:t>
      </w:r>
    </w:p>
    <w:p w14:paraId="28F7A114" w14:textId="77777777" w:rsidR="00811887" w:rsidRDefault="00811887" w:rsidP="00811887">
      <w:pPr>
        <w:spacing w:before="41"/>
        <w:ind w:left="2803" w:right="1757"/>
        <w:rPr>
          <w:rFonts w:ascii="Times New Roman"/>
        </w:rPr>
      </w:pPr>
      <w:r>
        <w:rPr>
          <w:rFonts w:ascii="Times New Roman"/>
        </w:rPr>
        <w:t>the</w:t>
      </w:r>
      <w:r>
        <w:rPr>
          <w:rFonts w:ascii="Times New Roman"/>
          <w:spacing w:val="-5"/>
        </w:rPr>
        <w:t xml:space="preserve"> </w:t>
      </w:r>
      <w:r>
        <w:rPr>
          <w:rFonts w:ascii="Times New Roman"/>
        </w:rPr>
        <w:t>remaining</w:t>
      </w:r>
      <w:r>
        <w:rPr>
          <w:rFonts w:ascii="Times New Roman"/>
          <w:spacing w:val="-6"/>
        </w:rPr>
        <w:t xml:space="preserve"> </w:t>
      </w:r>
      <w:r>
        <w:rPr>
          <w:rFonts w:ascii="Times New Roman"/>
        </w:rPr>
        <w:t>members</w:t>
      </w:r>
      <w:r>
        <w:rPr>
          <w:rFonts w:ascii="Times New Roman"/>
          <w:spacing w:val="-3"/>
        </w:rPr>
        <w:t xml:space="preserve"> </w:t>
      </w:r>
      <w:r>
        <w:rPr>
          <w:rFonts w:ascii="Times New Roman"/>
        </w:rPr>
        <w:t>of</w:t>
      </w:r>
      <w:r>
        <w:rPr>
          <w:rFonts w:ascii="Times New Roman"/>
          <w:spacing w:val="-5"/>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5"/>
        </w:rPr>
        <w:t xml:space="preserve"> </w:t>
      </w:r>
      <w:r>
        <w:rPr>
          <w:rFonts w:ascii="Times New Roman"/>
        </w:rPr>
        <w:t>at</w:t>
      </w:r>
      <w:r>
        <w:rPr>
          <w:rFonts w:ascii="Times New Roman"/>
          <w:spacing w:val="-5"/>
        </w:rPr>
        <w:t xml:space="preserve"> </w:t>
      </w:r>
      <w:r>
        <w:rPr>
          <w:rFonts w:ascii="Times New Roman"/>
        </w:rPr>
        <w:t>the</w:t>
      </w:r>
      <w:r>
        <w:rPr>
          <w:rFonts w:ascii="Times New Roman"/>
          <w:spacing w:val="-3"/>
        </w:rPr>
        <w:t xml:space="preserve"> </w:t>
      </w:r>
      <w:r>
        <w:rPr>
          <w:rFonts w:ascii="Times New Roman"/>
        </w:rPr>
        <w:t>meeting</w:t>
      </w:r>
      <w:r>
        <w:rPr>
          <w:rFonts w:ascii="Times New Roman"/>
          <w:spacing w:val="-6"/>
        </w:rPr>
        <w:t xml:space="preserve"> </w:t>
      </w:r>
      <w:r>
        <w:rPr>
          <w:rFonts w:ascii="Times New Roman"/>
        </w:rPr>
        <w:t>constitute a quorum for the purpose of deliberation or decision at that meeting with respect to that matter.</w:t>
      </w:r>
    </w:p>
    <w:p w14:paraId="3EEB3B95" w14:textId="77777777" w:rsidR="00811887" w:rsidRDefault="00811887" w:rsidP="00811887">
      <w:pPr>
        <w:pStyle w:val="BodyText"/>
        <w:spacing w:before="30"/>
        <w:rPr>
          <w:rFonts w:ascii="Times New Roman"/>
          <w:sz w:val="22"/>
        </w:rPr>
      </w:pPr>
    </w:p>
    <w:p w14:paraId="61598943" w14:textId="77777777" w:rsidR="00811887" w:rsidRDefault="00811887" w:rsidP="00FB2FE9">
      <w:pPr>
        <w:pStyle w:val="Heading7"/>
        <w:numPr>
          <w:ilvl w:val="0"/>
          <w:numId w:val="77"/>
        </w:numPr>
        <w:tabs>
          <w:tab w:val="left" w:pos="2030"/>
        </w:tabs>
        <w:spacing w:before="1"/>
        <w:ind w:left="2030" w:hanging="360"/>
      </w:pPr>
      <w:bookmarkStart w:id="102" w:name="_TOC_250006"/>
      <w:r>
        <w:t>Conduct</w:t>
      </w:r>
      <w:r>
        <w:rPr>
          <w:spacing w:val="-2"/>
        </w:rPr>
        <w:t xml:space="preserve"> </w:t>
      </w:r>
      <w:r>
        <w:t>of</w:t>
      </w:r>
      <w:r>
        <w:rPr>
          <w:spacing w:val="-1"/>
        </w:rPr>
        <w:t xml:space="preserve"> </w:t>
      </w:r>
      <w:bookmarkEnd w:id="102"/>
      <w:r>
        <w:rPr>
          <w:spacing w:val="-2"/>
        </w:rPr>
        <w:t>meetings</w:t>
      </w:r>
    </w:p>
    <w:p w14:paraId="42F3A9C7" w14:textId="77777777" w:rsidR="00811887" w:rsidRDefault="00811887" w:rsidP="00811887">
      <w:pPr>
        <w:spacing w:before="177"/>
        <w:ind w:left="2803" w:right="1669"/>
        <w:rPr>
          <w:rFonts w:ascii="Times New Roman"/>
        </w:rPr>
      </w:pPr>
      <w:r>
        <w:rPr>
          <w:rFonts w:ascii="Times New Roman"/>
        </w:rPr>
        <w:t>The</w:t>
      </w:r>
      <w:r>
        <w:rPr>
          <w:rFonts w:ascii="Times New Roman"/>
          <w:spacing w:val="-6"/>
        </w:rPr>
        <w:t xml:space="preserve"> </w:t>
      </w:r>
      <w:r>
        <w:rPr>
          <w:rFonts w:ascii="Times New Roman"/>
        </w:rPr>
        <w:t>Committee</w:t>
      </w:r>
      <w:r>
        <w:rPr>
          <w:rFonts w:ascii="Times New Roman"/>
          <w:spacing w:val="-4"/>
        </w:rPr>
        <w:t xml:space="preserve"> </w:t>
      </w:r>
      <w:r>
        <w:rPr>
          <w:rFonts w:ascii="Times New Roman"/>
        </w:rPr>
        <w:t>may,</w:t>
      </w:r>
      <w:r>
        <w:rPr>
          <w:rFonts w:ascii="Times New Roman"/>
          <w:spacing w:val="-4"/>
        </w:rPr>
        <w:t xml:space="preserve"> </w:t>
      </w:r>
      <w:r>
        <w:rPr>
          <w:rFonts w:ascii="Times New Roman"/>
        </w:rPr>
        <w:t>subject</w:t>
      </w:r>
      <w:r>
        <w:rPr>
          <w:rFonts w:ascii="Times New Roman"/>
          <w:spacing w:val="-3"/>
        </w:rPr>
        <w:t xml:space="preserve"> </w:t>
      </w:r>
      <w:r>
        <w:rPr>
          <w:rFonts w:ascii="Times New Roman"/>
        </w:rPr>
        <w:t>to</w:t>
      </w:r>
      <w:r>
        <w:rPr>
          <w:rFonts w:ascii="Times New Roman"/>
          <w:spacing w:val="-4"/>
        </w:rPr>
        <w:t xml:space="preserve"> </w:t>
      </w:r>
      <w:r>
        <w:rPr>
          <w:rFonts w:ascii="Times New Roman"/>
        </w:rPr>
        <w:t>this</w:t>
      </w:r>
      <w:r>
        <w:rPr>
          <w:rFonts w:ascii="Times New Roman"/>
          <w:spacing w:val="-4"/>
        </w:rPr>
        <w:t xml:space="preserve"> </w:t>
      </w:r>
      <w:r>
        <w:rPr>
          <w:rFonts w:ascii="Times New Roman"/>
        </w:rPr>
        <w:t>Division,</w:t>
      </w:r>
      <w:r>
        <w:rPr>
          <w:rFonts w:ascii="Times New Roman"/>
          <w:spacing w:val="-4"/>
        </w:rPr>
        <w:t xml:space="preserve"> </w:t>
      </w:r>
      <w:r>
        <w:rPr>
          <w:rFonts w:ascii="Times New Roman"/>
        </w:rPr>
        <w:t>regulate</w:t>
      </w:r>
      <w:r>
        <w:rPr>
          <w:rFonts w:ascii="Times New Roman"/>
          <w:spacing w:val="-9"/>
        </w:rPr>
        <w:t xml:space="preserve"> </w:t>
      </w:r>
      <w:r>
        <w:rPr>
          <w:rFonts w:ascii="Times New Roman"/>
        </w:rPr>
        <w:t>proceedings at its meetings as it considers appropriate.</w:t>
      </w:r>
    </w:p>
    <w:p w14:paraId="18C51A5A" w14:textId="77777777" w:rsidR="00811887" w:rsidRDefault="00811887" w:rsidP="00811887">
      <w:pPr>
        <w:tabs>
          <w:tab w:val="left" w:pos="3655"/>
        </w:tabs>
        <w:spacing w:before="122"/>
        <w:ind w:left="3655" w:right="2159" w:hanging="852"/>
        <w:rPr>
          <w:rFonts w:ascii="Times New Roman"/>
          <w:sz w:val="18"/>
        </w:rPr>
      </w:pPr>
      <w:r>
        <w:rPr>
          <w:rFonts w:ascii="Times New Roman"/>
          <w:spacing w:val="-2"/>
          <w:sz w:val="18"/>
        </w:rPr>
        <w:t>Note:</w:t>
      </w:r>
      <w:r>
        <w:rPr>
          <w:rFonts w:ascii="Times New Roman"/>
          <w:sz w:val="18"/>
        </w:rPr>
        <w:tab/>
        <w:t>Section</w:t>
      </w:r>
      <w:r>
        <w:rPr>
          <w:rFonts w:ascii="Times New Roman"/>
          <w:spacing w:val="-4"/>
          <w:sz w:val="18"/>
        </w:rPr>
        <w:t xml:space="preserve"> </w:t>
      </w:r>
      <w:r>
        <w:rPr>
          <w:rFonts w:ascii="Times New Roman"/>
          <w:sz w:val="18"/>
        </w:rPr>
        <w:t>33B</w:t>
      </w:r>
      <w:r>
        <w:rPr>
          <w:rFonts w:ascii="Times New Roman"/>
          <w:spacing w:val="-5"/>
          <w:sz w:val="18"/>
        </w:rPr>
        <w:t xml:space="preserve"> </w:t>
      </w:r>
      <w:r>
        <w:rPr>
          <w:rFonts w:ascii="Times New Roman"/>
          <w:sz w:val="18"/>
        </w:rPr>
        <w:t>of</w:t>
      </w:r>
      <w:r>
        <w:rPr>
          <w:rFonts w:ascii="Times New Roman"/>
          <w:spacing w:val="-5"/>
          <w:sz w:val="18"/>
        </w:rPr>
        <w:t xml:space="preserve"> </w:t>
      </w:r>
      <w:r>
        <w:rPr>
          <w:rFonts w:ascii="Times New Roman"/>
          <w:sz w:val="18"/>
        </w:rPr>
        <w:t>the</w:t>
      </w:r>
      <w:r>
        <w:rPr>
          <w:rFonts w:ascii="Times New Roman"/>
          <w:spacing w:val="-3"/>
          <w:sz w:val="18"/>
        </w:rPr>
        <w:t xml:space="preserve"> </w:t>
      </w:r>
      <w:r>
        <w:rPr>
          <w:rFonts w:ascii="Times New Roman"/>
          <w:i/>
          <w:sz w:val="18"/>
        </w:rPr>
        <w:t>Acts</w:t>
      </w:r>
      <w:r>
        <w:rPr>
          <w:rFonts w:ascii="Times New Roman"/>
          <w:i/>
          <w:spacing w:val="-4"/>
          <w:sz w:val="18"/>
        </w:rPr>
        <w:t xml:space="preserve"> </w:t>
      </w:r>
      <w:r>
        <w:rPr>
          <w:rFonts w:ascii="Times New Roman"/>
          <w:i/>
          <w:sz w:val="18"/>
        </w:rPr>
        <w:t>Interpretation</w:t>
      </w:r>
      <w:r>
        <w:rPr>
          <w:rFonts w:ascii="Times New Roman"/>
          <w:i/>
          <w:spacing w:val="-2"/>
          <w:sz w:val="18"/>
        </w:rPr>
        <w:t xml:space="preserve"> </w:t>
      </w:r>
      <w:r>
        <w:rPr>
          <w:rFonts w:ascii="Times New Roman"/>
          <w:i/>
          <w:sz w:val="18"/>
        </w:rPr>
        <w:t>Act</w:t>
      </w:r>
      <w:r>
        <w:rPr>
          <w:rFonts w:ascii="Times New Roman"/>
          <w:i/>
          <w:spacing w:val="-5"/>
          <w:sz w:val="18"/>
        </w:rPr>
        <w:t xml:space="preserve"> </w:t>
      </w:r>
      <w:r>
        <w:rPr>
          <w:rFonts w:ascii="Times New Roman"/>
          <w:i/>
          <w:sz w:val="18"/>
        </w:rPr>
        <w:t>1901</w:t>
      </w:r>
      <w:r>
        <w:rPr>
          <w:rFonts w:ascii="Times New Roman"/>
          <w:i/>
          <w:spacing w:val="-2"/>
          <w:sz w:val="18"/>
        </w:rPr>
        <w:t xml:space="preserve"> </w:t>
      </w:r>
      <w:r>
        <w:rPr>
          <w:rFonts w:ascii="Times New Roman"/>
          <w:sz w:val="18"/>
        </w:rPr>
        <w:t>contains</w:t>
      </w:r>
      <w:r>
        <w:rPr>
          <w:rFonts w:ascii="Times New Roman"/>
          <w:spacing w:val="-4"/>
          <w:sz w:val="18"/>
        </w:rPr>
        <w:t xml:space="preserve"> </w:t>
      </w:r>
      <w:r>
        <w:rPr>
          <w:rFonts w:ascii="Times New Roman"/>
          <w:sz w:val="18"/>
        </w:rPr>
        <w:t>further information about the ways in which Committee members may participate in meetings.</w:t>
      </w:r>
    </w:p>
    <w:p w14:paraId="5C90A71D" w14:textId="77777777" w:rsidR="00811887" w:rsidRDefault="00811887" w:rsidP="00811887">
      <w:pPr>
        <w:pStyle w:val="BodyText"/>
        <w:spacing w:before="75"/>
        <w:rPr>
          <w:rFonts w:ascii="Times New Roman"/>
          <w:sz w:val="18"/>
        </w:rPr>
      </w:pPr>
    </w:p>
    <w:p w14:paraId="3467FB1F" w14:textId="77777777" w:rsidR="00811887" w:rsidRDefault="00811887" w:rsidP="00FB2FE9">
      <w:pPr>
        <w:pStyle w:val="Heading7"/>
        <w:numPr>
          <w:ilvl w:val="0"/>
          <w:numId w:val="77"/>
        </w:numPr>
        <w:tabs>
          <w:tab w:val="left" w:pos="2029"/>
          <w:tab w:val="left" w:pos="2803"/>
        </w:tabs>
        <w:spacing w:before="1"/>
        <w:ind w:left="2803" w:right="2467" w:hanging="1134"/>
      </w:pPr>
      <w:bookmarkStart w:id="103" w:name="24__Departmental_Secretary_and_Treasury_"/>
      <w:bookmarkEnd w:id="103"/>
      <w:r>
        <w:t>Departmental</w:t>
      </w:r>
      <w:r>
        <w:rPr>
          <w:spacing w:val="-6"/>
        </w:rPr>
        <w:t xml:space="preserve"> </w:t>
      </w:r>
      <w:r>
        <w:t>Secretary</w:t>
      </w:r>
      <w:r>
        <w:rPr>
          <w:spacing w:val="-6"/>
        </w:rPr>
        <w:t xml:space="preserve"> </w:t>
      </w:r>
      <w:r>
        <w:t>and</w:t>
      </w:r>
      <w:r>
        <w:rPr>
          <w:spacing w:val="-6"/>
        </w:rPr>
        <w:t xml:space="preserve"> </w:t>
      </w:r>
      <w:r>
        <w:t>Treasury</w:t>
      </w:r>
      <w:r>
        <w:rPr>
          <w:spacing w:val="-6"/>
        </w:rPr>
        <w:t xml:space="preserve"> </w:t>
      </w:r>
      <w:r>
        <w:t>Secretary</w:t>
      </w:r>
      <w:r>
        <w:rPr>
          <w:spacing w:val="-4"/>
        </w:rPr>
        <w:t xml:space="preserve"> </w:t>
      </w:r>
      <w:r>
        <w:t>to</w:t>
      </w:r>
      <w:r>
        <w:rPr>
          <w:spacing w:val="-6"/>
        </w:rPr>
        <w:t xml:space="preserve"> </w:t>
      </w:r>
      <w:r>
        <w:t>attend meetings and provide advice or assistance</w:t>
      </w:r>
    </w:p>
    <w:p w14:paraId="1419AA35" w14:textId="77777777" w:rsidR="00811887" w:rsidRDefault="00811887" w:rsidP="00FB2FE9">
      <w:pPr>
        <w:pStyle w:val="ListParagraph"/>
        <w:widowControl w:val="0"/>
        <w:numPr>
          <w:ilvl w:val="1"/>
          <w:numId w:val="77"/>
        </w:numPr>
        <w:tabs>
          <w:tab w:val="left" w:pos="2801"/>
          <w:tab w:val="left" w:pos="2803"/>
        </w:tabs>
        <w:autoSpaceDE w:val="0"/>
        <w:autoSpaceDN w:val="0"/>
        <w:spacing w:before="177" w:after="0"/>
        <w:ind w:right="2733"/>
        <w:contextualSpacing w:val="0"/>
        <w:rPr>
          <w:rFonts w:ascii="Times New Roman"/>
        </w:rPr>
      </w:pPr>
      <w:r>
        <w:rPr>
          <w:rFonts w:ascii="Times New Roman"/>
        </w:rPr>
        <w:t>The</w:t>
      </w:r>
      <w:r>
        <w:rPr>
          <w:rFonts w:ascii="Times New Roman"/>
          <w:spacing w:val="-4"/>
        </w:rPr>
        <w:t xml:space="preserve"> </w:t>
      </w:r>
      <w:r>
        <w:rPr>
          <w:rFonts w:ascii="Times New Roman"/>
        </w:rPr>
        <w:t>following</w:t>
      </w:r>
      <w:r>
        <w:rPr>
          <w:rFonts w:ascii="Times New Roman"/>
          <w:spacing w:val="-5"/>
        </w:rPr>
        <w:t xml:space="preserve"> </w:t>
      </w:r>
      <w:r>
        <w:rPr>
          <w:rFonts w:ascii="Times New Roman"/>
        </w:rPr>
        <w:t>persons</w:t>
      </w:r>
      <w:r>
        <w:rPr>
          <w:rFonts w:ascii="Times New Roman"/>
          <w:spacing w:val="-1"/>
        </w:rPr>
        <w:t xml:space="preserve"> </w:t>
      </w:r>
      <w:r>
        <w:rPr>
          <w:rFonts w:ascii="Times New Roman"/>
        </w:rPr>
        <w:t>are</w:t>
      </w:r>
      <w:r>
        <w:rPr>
          <w:rFonts w:ascii="Times New Roman"/>
          <w:spacing w:val="-4"/>
        </w:rPr>
        <w:t xml:space="preserve"> </w:t>
      </w:r>
      <w:r>
        <w:rPr>
          <w:rFonts w:ascii="Times New Roman"/>
        </w:rPr>
        <w:t>to</w:t>
      </w:r>
      <w:r>
        <w:rPr>
          <w:rFonts w:ascii="Times New Roman"/>
          <w:spacing w:val="-2"/>
        </w:rPr>
        <w:t xml:space="preserve"> </w:t>
      </w:r>
      <w:r>
        <w:rPr>
          <w:rFonts w:ascii="Times New Roman"/>
        </w:rPr>
        <w:t>attend</w:t>
      </w:r>
      <w:r>
        <w:rPr>
          <w:rFonts w:ascii="Times New Roman"/>
          <w:spacing w:val="-4"/>
        </w:rPr>
        <w:t xml:space="preserve"> </w:t>
      </w:r>
      <w:r>
        <w:rPr>
          <w:rFonts w:ascii="Times New Roman"/>
        </w:rPr>
        <w:t>each</w:t>
      </w:r>
      <w:r>
        <w:rPr>
          <w:rFonts w:ascii="Times New Roman"/>
          <w:spacing w:val="-5"/>
        </w:rPr>
        <w:t xml:space="preserve"> </w:t>
      </w:r>
      <w:r>
        <w:rPr>
          <w:rFonts w:ascii="Times New Roman"/>
        </w:rPr>
        <w:t>meeting</w:t>
      </w:r>
      <w:r>
        <w:rPr>
          <w:rFonts w:ascii="Times New Roman"/>
          <w:spacing w:val="-5"/>
        </w:rPr>
        <w:t xml:space="preserve"> </w:t>
      </w:r>
      <w:r>
        <w:rPr>
          <w:rFonts w:ascii="Times New Roman"/>
        </w:rPr>
        <w:t>of</w:t>
      </w:r>
      <w:r>
        <w:rPr>
          <w:rFonts w:ascii="Times New Roman"/>
          <w:spacing w:val="-4"/>
        </w:rPr>
        <w:t xml:space="preserve"> </w:t>
      </w:r>
      <w:r>
        <w:rPr>
          <w:rFonts w:ascii="Times New Roman"/>
        </w:rPr>
        <w:t xml:space="preserve">the </w:t>
      </w:r>
      <w:r>
        <w:rPr>
          <w:rFonts w:ascii="Times New Roman"/>
          <w:spacing w:val="-2"/>
        </w:rPr>
        <w:t>Committee:</w:t>
      </w:r>
    </w:p>
    <w:p w14:paraId="37A373D8" w14:textId="77777777" w:rsidR="00811887" w:rsidRDefault="00811887" w:rsidP="00FB2FE9">
      <w:pPr>
        <w:pStyle w:val="ListParagraph"/>
        <w:widowControl w:val="0"/>
        <w:numPr>
          <w:ilvl w:val="2"/>
          <w:numId w:val="77"/>
        </w:numPr>
        <w:tabs>
          <w:tab w:val="left" w:pos="3312"/>
          <w:tab w:val="left" w:pos="3314"/>
        </w:tabs>
        <w:autoSpaceDE w:val="0"/>
        <w:autoSpaceDN w:val="0"/>
        <w:spacing w:before="39" w:after="0"/>
        <w:ind w:right="2526"/>
        <w:contextualSpacing w:val="0"/>
        <w:rPr>
          <w:rFonts w:ascii="Times New Roman"/>
        </w:rPr>
      </w:pPr>
      <w:r>
        <w:rPr>
          <w:rFonts w:ascii="Times New Roman"/>
        </w:rPr>
        <w:t>the</w:t>
      </w:r>
      <w:r>
        <w:rPr>
          <w:rFonts w:ascii="Times New Roman"/>
          <w:spacing w:val="-4"/>
        </w:rPr>
        <w:t xml:space="preserve"> </w:t>
      </w:r>
      <w:r>
        <w:rPr>
          <w:rFonts w:ascii="Times New Roman"/>
        </w:rPr>
        <w:t>Secretary</w:t>
      </w:r>
      <w:r>
        <w:rPr>
          <w:rFonts w:ascii="Times New Roman"/>
          <w:spacing w:val="-7"/>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Department</w:t>
      </w:r>
      <w:r>
        <w:rPr>
          <w:rFonts w:ascii="Times New Roman"/>
          <w:spacing w:val="-3"/>
        </w:rPr>
        <w:t xml:space="preserve"> </w:t>
      </w:r>
      <w:r>
        <w:rPr>
          <w:rFonts w:ascii="Times New Roman"/>
        </w:rPr>
        <w:t>administered</w:t>
      </w:r>
      <w:r>
        <w:rPr>
          <w:rFonts w:ascii="Times New Roman"/>
          <w:spacing w:val="-6"/>
        </w:rPr>
        <w:t xml:space="preserve"> </w:t>
      </w:r>
      <w:r>
        <w:rPr>
          <w:rFonts w:ascii="Times New Roman"/>
        </w:rPr>
        <w:t>by</w:t>
      </w:r>
      <w:r>
        <w:rPr>
          <w:rFonts w:ascii="Times New Roman"/>
          <w:spacing w:val="-7"/>
        </w:rPr>
        <w:t xml:space="preserve"> </w:t>
      </w:r>
      <w:r>
        <w:rPr>
          <w:rFonts w:ascii="Times New Roman"/>
        </w:rPr>
        <w:t xml:space="preserve">the </w:t>
      </w:r>
      <w:r>
        <w:rPr>
          <w:rFonts w:ascii="Times New Roman"/>
          <w:spacing w:val="-2"/>
        </w:rPr>
        <w:t>Minister;</w:t>
      </w:r>
    </w:p>
    <w:p w14:paraId="149FEEFA" w14:textId="77777777" w:rsidR="00811887" w:rsidRDefault="00811887" w:rsidP="00FB2FE9">
      <w:pPr>
        <w:pStyle w:val="ListParagraph"/>
        <w:widowControl w:val="0"/>
        <w:numPr>
          <w:ilvl w:val="2"/>
          <w:numId w:val="77"/>
        </w:numPr>
        <w:tabs>
          <w:tab w:val="left" w:pos="3313"/>
        </w:tabs>
        <w:autoSpaceDE w:val="0"/>
        <w:autoSpaceDN w:val="0"/>
        <w:spacing w:before="41" w:after="0"/>
        <w:ind w:left="3313" w:hanging="368"/>
        <w:contextualSpacing w:val="0"/>
        <w:rPr>
          <w:rFonts w:ascii="Times New Roman"/>
        </w:rPr>
      </w:pPr>
      <w:r>
        <w:rPr>
          <w:noProof/>
        </w:rPr>
        <mc:AlternateContent>
          <mc:Choice Requires="wps">
            <w:drawing>
              <wp:anchor distT="0" distB="0" distL="0" distR="0" simplePos="0" relativeHeight="251686912" behindDoc="0" locked="0" layoutInCell="1" allowOverlap="1" wp14:anchorId="15425EF1" wp14:editId="2E41033E">
                <wp:simplePos x="0" y="0"/>
                <wp:positionH relativeFrom="page">
                  <wp:posOffset>1512061</wp:posOffset>
                </wp:positionH>
                <wp:positionV relativeFrom="paragraph">
                  <wp:posOffset>365692</wp:posOffset>
                </wp:positionV>
                <wp:extent cx="4538345" cy="9525"/>
                <wp:effectExtent l="0" t="0" r="0" b="0"/>
                <wp:wrapNone/>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A8419" id="Graphic 37" o:spid="_x0000_s1026" alt="&quot;&quot;" style="position:absolute;margin-left:119.05pt;margin-top:28.8pt;width:357.35pt;height:.75pt;z-index:25168691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" path="m4537837,l,,,9143r4537837,l4537837,xe" fillcolor="black" stroked="f">
                <v:path arrowok="t"/>
                <w10:wrap anchorx="page"/>
              </v:shape>
            </w:pict>
          </mc:Fallback>
        </mc:AlternateContent>
      </w:r>
      <w:r>
        <w:rPr>
          <w:rFonts w:ascii="Times New Roman"/>
        </w:rPr>
        <w:t>the</w:t>
      </w:r>
      <w:r>
        <w:rPr>
          <w:rFonts w:ascii="Times New Roman"/>
          <w:spacing w:val="-3"/>
        </w:rPr>
        <w:t xml:space="preserve"> </w:t>
      </w:r>
      <w:r>
        <w:rPr>
          <w:rFonts w:ascii="Times New Roman"/>
        </w:rPr>
        <w:t>Secretary</w:t>
      </w:r>
      <w:r>
        <w:rPr>
          <w:rFonts w:ascii="Times New Roman"/>
          <w:spacing w:val="-4"/>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Department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7"/>
        </w:rPr>
        <w:t xml:space="preserve"> </w:t>
      </w:r>
      <w:r>
        <w:rPr>
          <w:rFonts w:ascii="Times New Roman"/>
          <w:spacing w:val="-2"/>
        </w:rPr>
        <w:t>Treasury.</w:t>
      </w:r>
    </w:p>
    <w:p w14:paraId="569FA790" w14:textId="77777777" w:rsidR="00811887" w:rsidRDefault="00811887" w:rsidP="00811887">
      <w:pPr>
        <w:tabs>
          <w:tab w:val="left" w:pos="3686"/>
          <w:tab w:val="right" w:pos="8761"/>
        </w:tabs>
        <w:spacing w:before="625"/>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5"/>
          <w:sz w:val="18"/>
        </w:rPr>
        <w:t>13</w:t>
      </w:r>
    </w:p>
    <w:p w14:paraId="45EC28BD"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0FE3A3F1" w14:textId="77777777" w:rsidR="00811887" w:rsidRDefault="00811887" w:rsidP="00811887">
      <w:pPr>
        <w:pStyle w:val="BodyText"/>
        <w:spacing w:before="65"/>
        <w:ind w:left="1670"/>
        <w:rPr>
          <w:rFonts w:ascii="Times New Roman"/>
        </w:rPr>
      </w:pPr>
      <w:r>
        <w:rPr>
          <w:rFonts w:ascii="Times New Roman"/>
          <w:b/>
        </w:rPr>
        <w:lastRenderedPageBreak/>
        <w:t>Part</w:t>
      </w:r>
      <w:r>
        <w:rPr>
          <w:rFonts w:ascii="Times New Roman"/>
          <w:b/>
          <w:spacing w:val="-5"/>
        </w:rPr>
        <w:t xml:space="preserve"> </w:t>
      </w:r>
      <w:r>
        <w:rPr>
          <w:rFonts w:ascii="Times New Roman"/>
          <w:b/>
        </w:rPr>
        <w:t>2</w:t>
      </w:r>
      <w:r>
        <w:rPr>
          <w:rFonts w:ascii="Times New Roman"/>
          <w:b/>
          <w:spacing w:val="40"/>
        </w:rPr>
        <w:t xml:space="preserve"> </w:t>
      </w:r>
      <w:r>
        <w:rPr>
          <w:rFonts w:ascii="Times New Roman"/>
        </w:rPr>
        <w:t>Economic</w:t>
      </w:r>
      <w:r>
        <w:rPr>
          <w:rFonts w:ascii="Times New Roman"/>
          <w:spacing w:val="-5"/>
        </w:rPr>
        <w:t xml:space="preserve"> </w:t>
      </w:r>
      <w:r>
        <w:rPr>
          <w:rFonts w:ascii="Times New Roman"/>
        </w:rPr>
        <w:t>Inclusion</w:t>
      </w:r>
      <w:r>
        <w:rPr>
          <w:rFonts w:ascii="Times New Roman"/>
          <w:spacing w:val="-5"/>
        </w:rPr>
        <w:t xml:space="preserve"> </w:t>
      </w:r>
      <w:r>
        <w:rPr>
          <w:rFonts w:ascii="Times New Roman"/>
        </w:rPr>
        <w:t>Advisory</w:t>
      </w:r>
      <w:r>
        <w:rPr>
          <w:rFonts w:ascii="Times New Roman"/>
          <w:spacing w:val="-8"/>
        </w:rPr>
        <w:t xml:space="preserve"> </w:t>
      </w:r>
      <w:r>
        <w:rPr>
          <w:rFonts w:ascii="Times New Roman"/>
          <w:spacing w:val="-2"/>
        </w:rPr>
        <w:t>Committee</w:t>
      </w:r>
    </w:p>
    <w:p w14:paraId="2B1520C1" w14:textId="77777777" w:rsidR="00811887" w:rsidRDefault="00811887" w:rsidP="00811887">
      <w:pPr>
        <w:spacing w:before="32"/>
        <w:ind w:left="1670"/>
        <w:rPr>
          <w:rFonts w:ascii="Times New Roman" w:hAnsi="Times New Roman"/>
          <w:sz w:val="20"/>
        </w:rPr>
      </w:pPr>
      <w:r>
        <w:rPr>
          <w:rFonts w:ascii="Times New Roman" w:hAnsi="Times New Roman"/>
          <w:b/>
          <w:sz w:val="20"/>
        </w:rPr>
        <w:t>Division</w:t>
      </w:r>
      <w:r>
        <w:rPr>
          <w:rFonts w:ascii="Times New Roman" w:hAnsi="Times New Roman"/>
          <w:b/>
          <w:spacing w:val="-7"/>
          <w:sz w:val="20"/>
        </w:rPr>
        <w:t xml:space="preserve"> </w:t>
      </w:r>
      <w:r>
        <w:rPr>
          <w:rFonts w:ascii="Times New Roman" w:hAnsi="Times New Roman"/>
          <w:b/>
          <w:sz w:val="20"/>
        </w:rPr>
        <w:t>4</w:t>
      </w:r>
      <w:r>
        <w:rPr>
          <w:rFonts w:ascii="Times New Roman" w:hAnsi="Times New Roman"/>
          <w:b/>
          <w:spacing w:val="41"/>
          <w:sz w:val="20"/>
        </w:rPr>
        <w:t xml:space="preserve"> </w:t>
      </w:r>
      <w:r>
        <w:rPr>
          <w:rFonts w:ascii="Times New Roman" w:hAnsi="Times New Roman"/>
          <w:sz w:val="20"/>
        </w:rPr>
        <w:t>Committee’s</w:t>
      </w:r>
      <w:r>
        <w:rPr>
          <w:rFonts w:ascii="Times New Roman" w:hAnsi="Times New Roman"/>
          <w:spacing w:val="-6"/>
          <w:sz w:val="20"/>
        </w:rPr>
        <w:t xml:space="preserve"> </w:t>
      </w:r>
      <w:r>
        <w:rPr>
          <w:rFonts w:ascii="Times New Roman" w:hAnsi="Times New Roman"/>
          <w:spacing w:val="-2"/>
          <w:sz w:val="20"/>
        </w:rPr>
        <w:t>operation</w:t>
      </w:r>
    </w:p>
    <w:p w14:paraId="64965B89" w14:textId="77777777" w:rsidR="00811887" w:rsidRDefault="00811887" w:rsidP="00811887">
      <w:pPr>
        <w:pStyle w:val="BodyText"/>
        <w:spacing w:before="45"/>
        <w:rPr>
          <w:rFonts w:ascii="Times New Roman"/>
        </w:rPr>
      </w:pPr>
    </w:p>
    <w:p w14:paraId="77428549" w14:textId="77777777" w:rsidR="00811887" w:rsidRDefault="00811887" w:rsidP="00811887">
      <w:pPr>
        <w:ind w:left="1670"/>
        <w:rPr>
          <w:rFonts w:ascii="Times New Roman"/>
          <w:sz w:val="24"/>
        </w:rPr>
      </w:pPr>
      <w:r>
        <w:rPr>
          <w:noProof/>
        </w:rPr>
        <mc:AlternateContent>
          <mc:Choice Requires="wps">
            <w:drawing>
              <wp:anchor distT="0" distB="0" distL="0" distR="0" simplePos="0" relativeHeight="251718656" behindDoc="1" locked="0" layoutInCell="1" allowOverlap="1" wp14:anchorId="0F262423" wp14:editId="4545188C">
                <wp:simplePos x="0" y="0"/>
                <wp:positionH relativeFrom="page">
                  <wp:posOffset>1512061</wp:posOffset>
                </wp:positionH>
                <wp:positionV relativeFrom="paragraph">
                  <wp:posOffset>192823</wp:posOffset>
                </wp:positionV>
                <wp:extent cx="4538345" cy="9525"/>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49A86" id="Graphic 38" o:spid="_x0000_s1026" alt="&quot;&quot;" style="position:absolute;margin-left:119.05pt;margin-top:15.2pt;width:357.35pt;height:.75pt;z-index:-25159782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24A</w:t>
      </w:r>
    </w:p>
    <w:p w14:paraId="4E003EA6" w14:textId="77777777" w:rsidR="00811887" w:rsidRDefault="00811887" w:rsidP="00811887">
      <w:pPr>
        <w:pStyle w:val="BodyText"/>
        <w:spacing w:before="33"/>
        <w:rPr>
          <w:rFonts w:ascii="Times New Roman"/>
          <w:sz w:val="22"/>
        </w:rPr>
      </w:pPr>
    </w:p>
    <w:p w14:paraId="7A704D54" w14:textId="77777777" w:rsidR="00811887" w:rsidRDefault="00811887" w:rsidP="00FB2FE9">
      <w:pPr>
        <w:pStyle w:val="ListParagraph"/>
        <w:widowControl w:val="0"/>
        <w:numPr>
          <w:ilvl w:val="1"/>
          <w:numId w:val="77"/>
        </w:numPr>
        <w:tabs>
          <w:tab w:val="left" w:pos="2801"/>
          <w:tab w:val="left" w:pos="2803"/>
        </w:tabs>
        <w:autoSpaceDE w:val="0"/>
        <w:autoSpaceDN w:val="0"/>
        <w:spacing w:after="0"/>
        <w:ind w:right="1694"/>
        <w:contextualSpacing w:val="0"/>
        <w:rPr>
          <w:rFonts w:ascii="Times New Roman"/>
        </w:rPr>
      </w:pPr>
      <w:r>
        <w:rPr>
          <w:rFonts w:ascii="Times New Roman"/>
        </w:rPr>
        <w:t>The Secretary of a Department mentioned in subsection (1) may nominate an SES employee, or an acting SES employee, in that Department</w:t>
      </w:r>
      <w:r>
        <w:rPr>
          <w:rFonts w:ascii="Times New Roman"/>
          <w:spacing w:val="-3"/>
        </w:rPr>
        <w:t xml:space="preserve"> </w:t>
      </w:r>
      <w:r>
        <w:rPr>
          <w:rFonts w:ascii="Times New Roman"/>
        </w:rPr>
        <w:t>to</w:t>
      </w:r>
      <w:r>
        <w:rPr>
          <w:rFonts w:ascii="Times New Roman"/>
          <w:spacing w:val="-4"/>
        </w:rPr>
        <w:t xml:space="preserve"> </w:t>
      </w:r>
      <w:r>
        <w:rPr>
          <w:rFonts w:ascii="Times New Roman"/>
        </w:rPr>
        <w:t>attend</w:t>
      </w:r>
      <w:r>
        <w:rPr>
          <w:rFonts w:ascii="Times New Roman"/>
          <w:spacing w:val="-6"/>
        </w:rPr>
        <w:t xml:space="preserve"> </w:t>
      </w:r>
      <w:r>
        <w:rPr>
          <w:rFonts w:ascii="Times New Roman"/>
        </w:rPr>
        <w:t>a</w:t>
      </w:r>
      <w:r>
        <w:rPr>
          <w:rFonts w:ascii="Times New Roman"/>
          <w:spacing w:val="-4"/>
        </w:rPr>
        <w:t xml:space="preserve"> </w:t>
      </w:r>
      <w:r>
        <w:rPr>
          <w:rFonts w:ascii="Times New Roman"/>
        </w:rPr>
        <w:t>particular</w:t>
      </w:r>
      <w:r>
        <w:rPr>
          <w:rFonts w:ascii="Times New Roman"/>
          <w:spacing w:val="-3"/>
        </w:rPr>
        <w:t xml:space="preserve"> </w:t>
      </w:r>
      <w:r>
        <w:rPr>
          <w:rFonts w:ascii="Times New Roman"/>
        </w:rPr>
        <w:t>meeting</w:t>
      </w:r>
      <w:r>
        <w:rPr>
          <w:rFonts w:ascii="Times New Roman"/>
          <w:spacing w:val="-6"/>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Committee</w:t>
      </w:r>
      <w:r>
        <w:rPr>
          <w:rFonts w:ascii="Times New Roman"/>
          <w:spacing w:val="-6"/>
        </w:rPr>
        <w:t xml:space="preserve"> </w:t>
      </w:r>
      <w:r>
        <w:rPr>
          <w:rFonts w:ascii="Times New Roman"/>
        </w:rPr>
        <w:t>instead of that Secretary.</w:t>
      </w:r>
    </w:p>
    <w:p w14:paraId="4153865A" w14:textId="77777777" w:rsidR="00811887" w:rsidRDefault="00811887" w:rsidP="00FB2FE9">
      <w:pPr>
        <w:pStyle w:val="ListParagraph"/>
        <w:widowControl w:val="0"/>
        <w:numPr>
          <w:ilvl w:val="1"/>
          <w:numId w:val="77"/>
        </w:numPr>
        <w:tabs>
          <w:tab w:val="left" w:pos="2800"/>
          <w:tab w:val="left" w:pos="2803"/>
        </w:tabs>
        <w:autoSpaceDE w:val="0"/>
        <w:autoSpaceDN w:val="0"/>
        <w:spacing w:before="181" w:after="0"/>
        <w:ind w:right="2027"/>
        <w:contextualSpacing w:val="0"/>
        <w:rPr>
          <w:rFonts w:ascii="Times New Roman"/>
        </w:rPr>
      </w:pPr>
      <w:r>
        <w:rPr>
          <w:rFonts w:ascii="Times New Roman"/>
        </w:rPr>
        <w:t>The</w:t>
      </w:r>
      <w:r>
        <w:rPr>
          <w:rFonts w:ascii="Times New Roman"/>
          <w:spacing w:val="-4"/>
        </w:rPr>
        <w:t xml:space="preserve"> </w:t>
      </w:r>
      <w:r>
        <w:rPr>
          <w:rFonts w:ascii="Times New Roman"/>
        </w:rPr>
        <w:t>Secretary</w:t>
      </w:r>
      <w:r>
        <w:rPr>
          <w:rFonts w:ascii="Times New Roman"/>
          <w:spacing w:val="-5"/>
        </w:rPr>
        <w:t xml:space="preserve"> </w:t>
      </w:r>
      <w:r>
        <w:rPr>
          <w:rFonts w:ascii="Times New Roman"/>
        </w:rPr>
        <w:t>of</w:t>
      </w:r>
      <w:r>
        <w:rPr>
          <w:rFonts w:ascii="Times New Roman"/>
          <w:spacing w:val="-4"/>
        </w:rPr>
        <w:t xml:space="preserve"> </w:t>
      </w:r>
      <w:r>
        <w:rPr>
          <w:rFonts w:ascii="Times New Roman"/>
        </w:rPr>
        <w:t>a</w:t>
      </w:r>
      <w:r>
        <w:rPr>
          <w:rFonts w:ascii="Times New Roman"/>
          <w:spacing w:val="-3"/>
        </w:rPr>
        <w:t xml:space="preserve"> </w:t>
      </w:r>
      <w:r>
        <w:rPr>
          <w:rFonts w:ascii="Times New Roman"/>
        </w:rPr>
        <w:t>Department</w:t>
      </w:r>
      <w:r>
        <w:rPr>
          <w:rFonts w:ascii="Times New Roman"/>
          <w:spacing w:val="-2"/>
        </w:rPr>
        <w:t xml:space="preserve"> </w:t>
      </w:r>
      <w:r>
        <w:rPr>
          <w:rFonts w:ascii="Times New Roman"/>
        </w:rPr>
        <w:t>mentioned</w:t>
      </w:r>
      <w:r>
        <w:rPr>
          <w:rFonts w:ascii="Times New Roman"/>
          <w:spacing w:val="-4"/>
        </w:rPr>
        <w:t xml:space="preserve"> </w:t>
      </w:r>
      <w:r>
        <w:rPr>
          <w:rFonts w:ascii="Times New Roman"/>
        </w:rPr>
        <w:t>in</w:t>
      </w:r>
      <w:r>
        <w:rPr>
          <w:rFonts w:ascii="Times New Roman"/>
          <w:spacing w:val="-1"/>
        </w:rPr>
        <w:t xml:space="preserve"> </w:t>
      </w:r>
      <w:r>
        <w:rPr>
          <w:rFonts w:ascii="Times New Roman"/>
        </w:rPr>
        <w:t>subsection</w:t>
      </w:r>
      <w:r>
        <w:rPr>
          <w:rFonts w:ascii="Times New Roman"/>
          <w:spacing w:val="-2"/>
        </w:rPr>
        <w:t xml:space="preserve"> </w:t>
      </w:r>
      <w:r>
        <w:rPr>
          <w:rFonts w:ascii="Times New Roman"/>
        </w:rPr>
        <w:t>(1)</w:t>
      </w:r>
      <w:r>
        <w:rPr>
          <w:rFonts w:ascii="Times New Roman"/>
          <w:spacing w:val="-4"/>
        </w:rPr>
        <w:t xml:space="preserve"> </w:t>
      </w:r>
      <w:r>
        <w:rPr>
          <w:rFonts w:ascii="Times New Roman"/>
        </w:rPr>
        <w:t>or</w:t>
      </w:r>
      <w:r>
        <w:rPr>
          <w:rFonts w:ascii="Times New Roman"/>
          <w:spacing w:val="-3"/>
        </w:rPr>
        <w:t xml:space="preserve"> </w:t>
      </w:r>
      <w:r>
        <w:rPr>
          <w:rFonts w:ascii="Times New Roman"/>
        </w:rPr>
        <w:t>a nominee under subsection (2):</w:t>
      </w:r>
    </w:p>
    <w:p w14:paraId="3C5607D5" w14:textId="77777777" w:rsidR="00811887" w:rsidRDefault="00811887" w:rsidP="00FB2FE9">
      <w:pPr>
        <w:pStyle w:val="ListParagraph"/>
        <w:widowControl w:val="0"/>
        <w:numPr>
          <w:ilvl w:val="2"/>
          <w:numId w:val="77"/>
        </w:numPr>
        <w:tabs>
          <w:tab w:val="left" w:pos="3312"/>
          <w:tab w:val="left" w:pos="3314"/>
        </w:tabs>
        <w:autoSpaceDE w:val="0"/>
        <w:autoSpaceDN w:val="0"/>
        <w:spacing w:before="41" w:after="0"/>
        <w:ind w:right="1953"/>
        <w:contextualSpacing w:val="0"/>
        <w:rPr>
          <w:rFonts w:ascii="Times New Roman"/>
        </w:rPr>
      </w:pPr>
      <w:r>
        <w:rPr>
          <w:rFonts w:ascii="Times New Roman"/>
        </w:rPr>
        <w:t>may</w:t>
      </w:r>
      <w:r>
        <w:rPr>
          <w:rFonts w:ascii="Times New Roman"/>
          <w:spacing w:val="-7"/>
        </w:rPr>
        <w:t xml:space="preserve"> </w:t>
      </w:r>
      <w:r>
        <w:rPr>
          <w:rFonts w:ascii="Times New Roman"/>
        </w:rPr>
        <w:t>provide</w:t>
      </w:r>
      <w:r>
        <w:rPr>
          <w:rFonts w:ascii="Times New Roman"/>
          <w:spacing w:val="-4"/>
        </w:rPr>
        <w:t xml:space="preserve"> </w:t>
      </w:r>
      <w:r>
        <w:rPr>
          <w:rFonts w:ascii="Times New Roman"/>
        </w:rPr>
        <w:t>any</w:t>
      </w:r>
      <w:r>
        <w:rPr>
          <w:rFonts w:ascii="Times New Roman"/>
          <w:spacing w:val="-7"/>
        </w:rPr>
        <w:t xml:space="preserve"> </w:t>
      </w:r>
      <w:r>
        <w:rPr>
          <w:rFonts w:ascii="Times New Roman"/>
        </w:rPr>
        <w:t>reasonable</w:t>
      </w:r>
      <w:r>
        <w:rPr>
          <w:rFonts w:ascii="Times New Roman"/>
          <w:spacing w:val="-4"/>
        </w:rPr>
        <w:t xml:space="preserve"> </w:t>
      </w:r>
      <w:r>
        <w:rPr>
          <w:rFonts w:ascii="Times New Roman"/>
        </w:rPr>
        <w:t>advice</w:t>
      </w:r>
      <w:r>
        <w:rPr>
          <w:rFonts w:ascii="Times New Roman"/>
          <w:spacing w:val="-4"/>
        </w:rPr>
        <w:t xml:space="preserve"> </w:t>
      </w:r>
      <w:r>
        <w:rPr>
          <w:rFonts w:ascii="Times New Roman"/>
        </w:rPr>
        <w:t>or</w:t>
      </w:r>
      <w:r>
        <w:rPr>
          <w:rFonts w:ascii="Times New Roman"/>
          <w:spacing w:val="-4"/>
        </w:rPr>
        <w:t xml:space="preserve"> </w:t>
      </w:r>
      <w:r>
        <w:rPr>
          <w:rFonts w:ascii="Times New Roman"/>
        </w:rPr>
        <w:t>assistance</w:t>
      </w:r>
      <w:r>
        <w:rPr>
          <w:rFonts w:ascii="Times New Roman"/>
          <w:spacing w:val="-6"/>
        </w:rPr>
        <w:t xml:space="preserve"> </w:t>
      </w:r>
      <w:r>
        <w:rPr>
          <w:rFonts w:ascii="Times New Roman"/>
        </w:rPr>
        <w:t>requested by the Chair for the purposes of the performance of the</w:t>
      </w:r>
    </w:p>
    <w:p w14:paraId="4B7747C0" w14:textId="77777777" w:rsidR="00811887" w:rsidRDefault="00811887" w:rsidP="00811887">
      <w:pPr>
        <w:spacing w:line="252" w:lineRule="exact"/>
        <w:ind w:left="3314"/>
        <w:rPr>
          <w:rFonts w:ascii="Times New Roman" w:hAnsi="Times New Roman"/>
        </w:rPr>
      </w:pPr>
      <w:r>
        <w:rPr>
          <w:rFonts w:ascii="Times New Roman" w:hAnsi="Times New Roman"/>
        </w:rPr>
        <w:t>Committee’s</w:t>
      </w:r>
      <w:r>
        <w:rPr>
          <w:rFonts w:ascii="Times New Roman" w:hAnsi="Times New Roman"/>
          <w:spacing w:val="-10"/>
        </w:rPr>
        <w:t xml:space="preserve"> </w:t>
      </w:r>
      <w:r>
        <w:rPr>
          <w:rFonts w:ascii="Times New Roman" w:hAnsi="Times New Roman"/>
        </w:rPr>
        <w:t>function;</w:t>
      </w:r>
      <w:r>
        <w:rPr>
          <w:rFonts w:ascii="Times New Roman" w:hAnsi="Times New Roman"/>
          <w:spacing w:val="-6"/>
        </w:rPr>
        <w:t xml:space="preserve"> </w:t>
      </w:r>
      <w:r>
        <w:rPr>
          <w:rFonts w:ascii="Times New Roman" w:hAnsi="Times New Roman"/>
          <w:spacing w:val="-5"/>
        </w:rPr>
        <w:t>but</w:t>
      </w:r>
    </w:p>
    <w:p w14:paraId="3A0874A1" w14:textId="77777777" w:rsidR="00811887" w:rsidRDefault="00811887" w:rsidP="00FB2FE9">
      <w:pPr>
        <w:pStyle w:val="ListParagraph"/>
        <w:widowControl w:val="0"/>
        <w:numPr>
          <w:ilvl w:val="2"/>
          <w:numId w:val="77"/>
        </w:numPr>
        <w:tabs>
          <w:tab w:val="left" w:pos="3312"/>
          <w:tab w:val="left" w:pos="3314"/>
        </w:tabs>
        <w:autoSpaceDE w:val="0"/>
        <w:autoSpaceDN w:val="0"/>
        <w:spacing w:before="40" w:after="0"/>
        <w:ind w:right="1718" w:hanging="370"/>
        <w:contextualSpacing w:val="0"/>
        <w:rPr>
          <w:rFonts w:ascii="Times New Roman"/>
        </w:rPr>
      </w:pPr>
      <w:r>
        <w:rPr>
          <w:rFonts w:ascii="Times New Roman"/>
        </w:rPr>
        <w:t>must not take part in any decision of the Committee about matters</w:t>
      </w:r>
      <w:r>
        <w:rPr>
          <w:rFonts w:ascii="Times New Roman"/>
          <w:spacing w:val="-3"/>
        </w:rPr>
        <w:t xml:space="preserve"> </w:t>
      </w:r>
      <w:r>
        <w:rPr>
          <w:rFonts w:ascii="Times New Roman"/>
        </w:rPr>
        <w:t>or</w:t>
      </w:r>
      <w:r>
        <w:rPr>
          <w:rFonts w:ascii="Times New Roman"/>
          <w:spacing w:val="-3"/>
        </w:rPr>
        <w:t xml:space="preserve"> </w:t>
      </w:r>
      <w:r>
        <w:rPr>
          <w:rFonts w:ascii="Times New Roman"/>
        </w:rPr>
        <w:t>advice</w:t>
      </w:r>
      <w:r>
        <w:rPr>
          <w:rFonts w:ascii="Times New Roman"/>
          <w:spacing w:val="-3"/>
        </w:rPr>
        <w:t xml:space="preserve"> </w:t>
      </w:r>
      <w:r>
        <w:rPr>
          <w:rFonts w:ascii="Times New Roman"/>
        </w:rPr>
        <w:t>to</w:t>
      </w:r>
      <w:r>
        <w:rPr>
          <w:rFonts w:ascii="Times New Roman"/>
          <w:spacing w:val="-3"/>
        </w:rPr>
        <w:t xml:space="preserve"> </w:t>
      </w:r>
      <w:r>
        <w:rPr>
          <w:rFonts w:ascii="Times New Roman"/>
        </w:rPr>
        <w:t>be</w:t>
      </w:r>
      <w:r>
        <w:rPr>
          <w:rFonts w:ascii="Times New Roman"/>
          <w:spacing w:val="-5"/>
        </w:rPr>
        <w:t xml:space="preserve"> </w:t>
      </w:r>
      <w:r>
        <w:rPr>
          <w:rFonts w:ascii="Times New Roman"/>
        </w:rPr>
        <w:t>included</w:t>
      </w:r>
      <w:r>
        <w:rPr>
          <w:rFonts w:ascii="Times New Roman"/>
          <w:spacing w:val="-3"/>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5"/>
        </w:rPr>
        <w:t xml:space="preserve"> </w:t>
      </w:r>
      <w:r>
        <w:rPr>
          <w:rFonts w:ascii="Times New Roman"/>
        </w:rPr>
        <w:t>in</w:t>
      </w:r>
      <w:r>
        <w:rPr>
          <w:rFonts w:ascii="Times New Roman"/>
          <w:spacing w:val="-1"/>
        </w:rPr>
        <w:t xml:space="preserve"> </w:t>
      </w:r>
      <w:r>
        <w:rPr>
          <w:rFonts w:ascii="Times New Roman"/>
        </w:rPr>
        <w:t>a</w:t>
      </w:r>
      <w:r>
        <w:rPr>
          <w:rFonts w:ascii="Times New Roman"/>
          <w:spacing w:val="-5"/>
        </w:rPr>
        <w:t xml:space="preserve"> </w:t>
      </w:r>
      <w:r>
        <w:rPr>
          <w:rFonts w:ascii="Times New Roman"/>
        </w:rPr>
        <w:t>report under section 8.</w:t>
      </w:r>
    </w:p>
    <w:p w14:paraId="716F2332" w14:textId="77777777" w:rsidR="00811887" w:rsidRDefault="00811887" w:rsidP="00811887">
      <w:pPr>
        <w:pStyle w:val="BodyText"/>
        <w:spacing w:before="30"/>
        <w:rPr>
          <w:rFonts w:ascii="Times New Roman"/>
          <w:sz w:val="22"/>
        </w:rPr>
      </w:pPr>
    </w:p>
    <w:p w14:paraId="4FA625C8" w14:textId="77777777" w:rsidR="00811887" w:rsidRDefault="00811887" w:rsidP="00811887">
      <w:pPr>
        <w:pStyle w:val="Heading7"/>
        <w:ind w:left="2803" w:right="1757" w:hanging="1134"/>
      </w:pPr>
      <w:bookmarkStart w:id="104" w:name="24A__Joint_Ministers_to_attend_meetings_"/>
      <w:bookmarkEnd w:id="104"/>
      <w:r>
        <w:t>24A</w:t>
      </w:r>
      <w:r>
        <w:rPr>
          <w:spacing w:val="40"/>
        </w:rPr>
        <w:t xml:space="preserve"> </w:t>
      </w:r>
      <w:r>
        <w:t>Joint</w:t>
      </w:r>
      <w:r>
        <w:rPr>
          <w:spacing w:val="-4"/>
        </w:rPr>
        <w:t xml:space="preserve"> </w:t>
      </w:r>
      <w:r>
        <w:t>Ministers</w:t>
      </w:r>
      <w:r>
        <w:rPr>
          <w:spacing w:val="-5"/>
        </w:rPr>
        <w:t xml:space="preserve"> </w:t>
      </w:r>
      <w:r>
        <w:t>to</w:t>
      </w:r>
      <w:r>
        <w:rPr>
          <w:spacing w:val="-3"/>
        </w:rPr>
        <w:t xml:space="preserve"> </w:t>
      </w:r>
      <w:r>
        <w:t>attend</w:t>
      </w:r>
      <w:r>
        <w:rPr>
          <w:spacing w:val="-2"/>
        </w:rPr>
        <w:t xml:space="preserve"> </w:t>
      </w:r>
      <w:r>
        <w:t>meetings</w:t>
      </w:r>
      <w:r>
        <w:rPr>
          <w:spacing w:val="-5"/>
        </w:rPr>
        <w:t xml:space="preserve"> </w:t>
      </w:r>
      <w:r>
        <w:t>and</w:t>
      </w:r>
      <w:r>
        <w:rPr>
          <w:spacing w:val="-4"/>
        </w:rPr>
        <w:t xml:space="preserve"> </w:t>
      </w:r>
      <w:r>
        <w:t>provide</w:t>
      </w:r>
      <w:r>
        <w:rPr>
          <w:spacing w:val="-5"/>
        </w:rPr>
        <w:t xml:space="preserve"> </w:t>
      </w:r>
      <w:r>
        <w:t>advice</w:t>
      </w:r>
      <w:r>
        <w:rPr>
          <w:spacing w:val="-6"/>
        </w:rPr>
        <w:t xml:space="preserve"> </w:t>
      </w:r>
      <w:r>
        <w:t xml:space="preserve">or </w:t>
      </w:r>
      <w:r>
        <w:rPr>
          <w:spacing w:val="-2"/>
        </w:rPr>
        <w:t>assistance</w:t>
      </w:r>
    </w:p>
    <w:p w14:paraId="340443CC" w14:textId="77777777" w:rsidR="00811887" w:rsidRDefault="00811887" w:rsidP="00FB2FE9">
      <w:pPr>
        <w:pStyle w:val="ListParagraph"/>
        <w:widowControl w:val="0"/>
        <w:numPr>
          <w:ilvl w:val="0"/>
          <w:numId w:val="74"/>
        </w:numPr>
        <w:tabs>
          <w:tab w:val="left" w:pos="2801"/>
          <w:tab w:val="left" w:pos="2803"/>
        </w:tabs>
        <w:autoSpaceDE w:val="0"/>
        <w:autoSpaceDN w:val="0"/>
        <w:spacing w:before="178" w:after="0"/>
        <w:ind w:right="2492"/>
        <w:contextualSpacing w:val="0"/>
        <w:rPr>
          <w:rFonts w:ascii="Times New Roman"/>
        </w:rPr>
      </w:pPr>
      <w:r>
        <w:rPr>
          <w:rFonts w:ascii="Times New Roman"/>
        </w:rPr>
        <w:t>The</w:t>
      </w:r>
      <w:r>
        <w:rPr>
          <w:rFonts w:ascii="Times New Roman"/>
          <w:spacing w:val="-4"/>
        </w:rPr>
        <w:t xml:space="preserve"> </w:t>
      </w:r>
      <w:r>
        <w:rPr>
          <w:rFonts w:ascii="Times New Roman"/>
        </w:rPr>
        <w:t>Minister</w:t>
      </w:r>
      <w:r>
        <w:rPr>
          <w:rFonts w:ascii="Times New Roman"/>
          <w:spacing w:val="-4"/>
        </w:rPr>
        <w:t xml:space="preserve"> </w:t>
      </w:r>
      <w:r>
        <w:rPr>
          <w:rFonts w:ascii="Times New Roman"/>
        </w:rPr>
        <w:t>is</w:t>
      </w:r>
      <w:r>
        <w:rPr>
          <w:rFonts w:ascii="Times New Roman"/>
          <w:spacing w:val="-2"/>
        </w:rPr>
        <w:t xml:space="preserve"> </w:t>
      </w:r>
      <w:r>
        <w:rPr>
          <w:rFonts w:ascii="Times New Roman"/>
        </w:rPr>
        <w:t>to</w:t>
      </w:r>
      <w:r>
        <w:rPr>
          <w:rFonts w:ascii="Times New Roman"/>
          <w:spacing w:val="-2"/>
        </w:rPr>
        <w:t xml:space="preserve"> </w:t>
      </w:r>
      <w:r>
        <w:rPr>
          <w:rFonts w:ascii="Times New Roman"/>
        </w:rPr>
        <w:t>attend</w:t>
      </w:r>
      <w:r>
        <w:rPr>
          <w:rFonts w:ascii="Times New Roman"/>
          <w:spacing w:val="-2"/>
        </w:rPr>
        <w:t xml:space="preserve"> </w:t>
      </w:r>
      <w:r>
        <w:rPr>
          <w:rFonts w:ascii="Times New Roman"/>
        </w:rPr>
        <w:t>1</w:t>
      </w:r>
      <w:r>
        <w:rPr>
          <w:rFonts w:ascii="Times New Roman"/>
          <w:spacing w:val="-5"/>
        </w:rPr>
        <w:t xml:space="preserve"> </w:t>
      </w:r>
      <w:r>
        <w:rPr>
          <w:rFonts w:ascii="Times New Roman"/>
        </w:rPr>
        <w:t>meeting</w:t>
      </w:r>
      <w:r>
        <w:rPr>
          <w:rFonts w:ascii="Times New Roman"/>
          <w:spacing w:val="-5"/>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4"/>
        </w:rPr>
        <w:t xml:space="preserve"> </w:t>
      </w:r>
      <w:r>
        <w:rPr>
          <w:rFonts w:ascii="Times New Roman"/>
        </w:rPr>
        <w:t>each financial year.</w:t>
      </w:r>
    </w:p>
    <w:p w14:paraId="22A9B04B" w14:textId="77777777" w:rsidR="00811887" w:rsidRDefault="00811887" w:rsidP="00FB2FE9">
      <w:pPr>
        <w:pStyle w:val="ListParagraph"/>
        <w:widowControl w:val="0"/>
        <w:numPr>
          <w:ilvl w:val="0"/>
          <w:numId w:val="74"/>
        </w:numPr>
        <w:tabs>
          <w:tab w:val="left" w:pos="2801"/>
          <w:tab w:val="left" w:pos="2803"/>
        </w:tabs>
        <w:autoSpaceDE w:val="0"/>
        <w:autoSpaceDN w:val="0"/>
        <w:spacing w:before="180" w:after="0"/>
        <w:ind w:right="2397"/>
        <w:contextualSpacing w:val="0"/>
        <w:rPr>
          <w:rFonts w:ascii="Times New Roman"/>
        </w:rPr>
      </w:pPr>
      <w:r>
        <w:rPr>
          <w:rFonts w:ascii="Times New Roman"/>
        </w:rPr>
        <w:t>The</w:t>
      </w:r>
      <w:r>
        <w:rPr>
          <w:rFonts w:ascii="Times New Roman"/>
          <w:spacing w:val="-7"/>
        </w:rPr>
        <w:t xml:space="preserve"> </w:t>
      </w:r>
      <w:r>
        <w:rPr>
          <w:rFonts w:ascii="Times New Roman"/>
        </w:rPr>
        <w:t>Treasurer</w:t>
      </w:r>
      <w:r>
        <w:rPr>
          <w:rFonts w:ascii="Times New Roman"/>
          <w:spacing w:val="-4"/>
        </w:rPr>
        <w:t xml:space="preserve"> </w:t>
      </w:r>
      <w:r>
        <w:rPr>
          <w:rFonts w:ascii="Times New Roman"/>
        </w:rPr>
        <w:t>is</w:t>
      </w:r>
      <w:r>
        <w:rPr>
          <w:rFonts w:ascii="Times New Roman"/>
          <w:spacing w:val="-4"/>
        </w:rPr>
        <w:t xml:space="preserve"> </w:t>
      </w:r>
      <w:r>
        <w:rPr>
          <w:rFonts w:ascii="Times New Roman"/>
        </w:rPr>
        <w:t>to</w:t>
      </w:r>
      <w:r>
        <w:rPr>
          <w:rFonts w:ascii="Times New Roman"/>
          <w:spacing w:val="-2"/>
        </w:rPr>
        <w:t xml:space="preserve"> </w:t>
      </w:r>
      <w:r>
        <w:rPr>
          <w:rFonts w:ascii="Times New Roman"/>
        </w:rPr>
        <w:t>attend</w:t>
      </w:r>
      <w:r>
        <w:rPr>
          <w:rFonts w:ascii="Times New Roman"/>
          <w:spacing w:val="-2"/>
        </w:rPr>
        <w:t xml:space="preserve"> </w:t>
      </w:r>
      <w:r>
        <w:rPr>
          <w:rFonts w:ascii="Times New Roman"/>
        </w:rPr>
        <w:t>1</w:t>
      </w:r>
      <w:r>
        <w:rPr>
          <w:rFonts w:ascii="Times New Roman"/>
          <w:spacing w:val="-4"/>
        </w:rPr>
        <w:t xml:space="preserve"> </w:t>
      </w:r>
      <w:r>
        <w:rPr>
          <w:rFonts w:ascii="Times New Roman"/>
        </w:rPr>
        <w:t>meeting</w:t>
      </w:r>
      <w:r>
        <w:rPr>
          <w:rFonts w:ascii="Times New Roman"/>
          <w:spacing w:val="-5"/>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4"/>
        </w:rPr>
        <w:t xml:space="preserve"> </w:t>
      </w:r>
      <w:r>
        <w:rPr>
          <w:rFonts w:ascii="Times New Roman"/>
        </w:rPr>
        <w:t>each financial year.</w:t>
      </w:r>
    </w:p>
    <w:p w14:paraId="62DCF626" w14:textId="77777777" w:rsidR="00811887" w:rsidRDefault="00811887" w:rsidP="00FB2FE9">
      <w:pPr>
        <w:pStyle w:val="ListParagraph"/>
        <w:widowControl w:val="0"/>
        <w:numPr>
          <w:ilvl w:val="0"/>
          <w:numId w:val="74"/>
        </w:numPr>
        <w:tabs>
          <w:tab w:val="left" w:pos="2802"/>
        </w:tabs>
        <w:autoSpaceDE w:val="0"/>
        <w:autoSpaceDN w:val="0"/>
        <w:spacing w:before="181" w:after="0"/>
        <w:ind w:left="2802" w:hanging="369"/>
        <w:contextualSpacing w:val="0"/>
        <w:rPr>
          <w:rFonts w:ascii="Times New Roman"/>
        </w:rPr>
      </w:pPr>
      <w:r>
        <w:rPr>
          <w:rFonts w:ascii="Times New Roman"/>
        </w:rPr>
        <w:t>The</w:t>
      </w:r>
      <w:r>
        <w:rPr>
          <w:rFonts w:ascii="Times New Roman"/>
          <w:spacing w:val="-5"/>
        </w:rPr>
        <w:t xml:space="preserve"> </w:t>
      </w:r>
      <w:r>
        <w:rPr>
          <w:rFonts w:ascii="Times New Roman"/>
        </w:rPr>
        <w:t>Joint</w:t>
      </w:r>
      <w:r>
        <w:rPr>
          <w:rFonts w:ascii="Times New Roman"/>
          <w:spacing w:val="-2"/>
        </w:rPr>
        <w:t xml:space="preserve"> Ministers:</w:t>
      </w:r>
    </w:p>
    <w:p w14:paraId="51DC05E4" w14:textId="77777777" w:rsidR="00811887" w:rsidRDefault="00811887" w:rsidP="00FB2FE9">
      <w:pPr>
        <w:pStyle w:val="ListParagraph"/>
        <w:widowControl w:val="0"/>
        <w:numPr>
          <w:ilvl w:val="1"/>
          <w:numId w:val="74"/>
        </w:numPr>
        <w:tabs>
          <w:tab w:val="left" w:pos="3312"/>
          <w:tab w:val="left" w:pos="3314"/>
        </w:tabs>
        <w:autoSpaceDE w:val="0"/>
        <w:autoSpaceDN w:val="0"/>
        <w:spacing w:before="40" w:after="0"/>
        <w:ind w:right="1953"/>
        <w:contextualSpacing w:val="0"/>
        <w:rPr>
          <w:rFonts w:ascii="Times New Roman"/>
        </w:rPr>
      </w:pPr>
      <w:r>
        <w:rPr>
          <w:rFonts w:ascii="Times New Roman"/>
        </w:rPr>
        <w:t>may</w:t>
      </w:r>
      <w:r>
        <w:rPr>
          <w:rFonts w:ascii="Times New Roman"/>
          <w:spacing w:val="-7"/>
        </w:rPr>
        <w:t xml:space="preserve"> </w:t>
      </w:r>
      <w:r>
        <w:rPr>
          <w:rFonts w:ascii="Times New Roman"/>
        </w:rPr>
        <w:t>provide</w:t>
      </w:r>
      <w:r>
        <w:rPr>
          <w:rFonts w:ascii="Times New Roman"/>
          <w:spacing w:val="-4"/>
        </w:rPr>
        <w:t xml:space="preserve"> </w:t>
      </w:r>
      <w:r>
        <w:rPr>
          <w:rFonts w:ascii="Times New Roman"/>
        </w:rPr>
        <w:t>any</w:t>
      </w:r>
      <w:r>
        <w:rPr>
          <w:rFonts w:ascii="Times New Roman"/>
          <w:spacing w:val="-7"/>
        </w:rPr>
        <w:t xml:space="preserve"> </w:t>
      </w:r>
      <w:r>
        <w:rPr>
          <w:rFonts w:ascii="Times New Roman"/>
        </w:rPr>
        <w:t>reasonable</w:t>
      </w:r>
      <w:r>
        <w:rPr>
          <w:rFonts w:ascii="Times New Roman"/>
          <w:spacing w:val="-4"/>
        </w:rPr>
        <w:t xml:space="preserve"> </w:t>
      </w:r>
      <w:r>
        <w:rPr>
          <w:rFonts w:ascii="Times New Roman"/>
        </w:rPr>
        <w:t>advice</w:t>
      </w:r>
      <w:r>
        <w:rPr>
          <w:rFonts w:ascii="Times New Roman"/>
          <w:spacing w:val="-4"/>
        </w:rPr>
        <w:t xml:space="preserve"> </w:t>
      </w:r>
      <w:r>
        <w:rPr>
          <w:rFonts w:ascii="Times New Roman"/>
        </w:rPr>
        <w:t>or</w:t>
      </w:r>
      <w:r>
        <w:rPr>
          <w:rFonts w:ascii="Times New Roman"/>
          <w:spacing w:val="-4"/>
        </w:rPr>
        <w:t xml:space="preserve"> </w:t>
      </w:r>
      <w:r>
        <w:rPr>
          <w:rFonts w:ascii="Times New Roman"/>
        </w:rPr>
        <w:t>assistance</w:t>
      </w:r>
      <w:r>
        <w:rPr>
          <w:rFonts w:ascii="Times New Roman"/>
          <w:spacing w:val="-6"/>
        </w:rPr>
        <w:t xml:space="preserve"> </w:t>
      </w:r>
      <w:r>
        <w:rPr>
          <w:rFonts w:ascii="Times New Roman"/>
        </w:rPr>
        <w:t>requested by the Chair for the purposes of the performance of the</w:t>
      </w:r>
    </w:p>
    <w:p w14:paraId="00DADFDD" w14:textId="77777777" w:rsidR="00811887" w:rsidRDefault="00811887" w:rsidP="00811887">
      <w:pPr>
        <w:spacing w:line="251" w:lineRule="exact"/>
        <w:ind w:left="3314"/>
        <w:rPr>
          <w:rFonts w:ascii="Times New Roman" w:hAnsi="Times New Roman"/>
        </w:rPr>
      </w:pPr>
      <w:r>
        <w:rPr>
          <w:rFonts w:ascii="Times New Roman" w:hAnsi="Times New Roman"/>
        </w:rPr>
        <w:t>Committee’s</w:t>
      </w:r>
      <w:r>
        <w:rPr>
          <w:rFonts w:ascii="Times New Roman" w:hAnsi="Times New Roman"/>
          <w:spacing w:val="-9"/>
        </w:rPr>
        <w:t xml:space="preserve"> </w:t>
      </w:r>
      <w:r>
        <w:rPr>
          <w:rFonts w:ascii="Times New Roman" w:hAnsi="Times New Roman"/>
        </w:rPr>
        <w:t>function;</w:t>
      </w:r>
      <w:r>
        <w:rPr>
          <w:rFonts w:ascii="Times New Roman" w:hAnsi="Times New Roman"/>
          <w:spacing w:val="-6"/>
        </w:rPr>
        <w:t xml:space="preserve"> </w:t>
      </w:r>
      <w:r>
        <w:rPr>
          <w:rFonts w:ascii="Times New Roman" w:hAnsi="Times New Roman"/>
          <w:spacing w:val="-5"/>
        </w:rPr>
        <w:t>but</w:t>
      </w:r>
    </w:p>
    <w:p w14:paraId="67CAC134" w14:textId="77777777" w:rsidR="00811887" w:rsidRDefault="00811887" w:rsidP="00FB2FE9">
      <w:pPr>
        <w:pStyle w:val="ListParagraph"/>
        <w:widowControl w:val="0"/>
        <w:numPr>
          <w:ilvl w:val="1"/>
          <w:numId w:val="74"/>
        </w:numPr>
        <w:tabs>
          <w:tab w:val="left" w:pos="3312"/>
          <w:tab w:val="left" w:pos="3314"/>
        </w:tabs>
        <w:autoSpaceDE w:val="0"/>
        <w:autoSpaceDN w:val="0"/>
        <w:spacing w:before="42" w:after="0"/>
        <w:ind w:right="1720" w:hanging="370"/>
        <w:contextualSpacing w:val="0"/>
        <w:rPr>
          <w:rFonts w:ascii="Times New Roman"/>
        </w:rPr>
      </w:pPr>
      <w:r>
        <w:rPr>
          <w:rFonts w:ascii="Times New Roman"/>
        </w:rPr>
        <w:t>must not take part in any decision of the Committee about matters</w:t>
      </w:r>
      <w:r>
        <w:rPr>
          <w:rFonts w:ascii="Times New Roman"/>
          <w:spacing w:val="-3"/>
        </w:rPr>
        <w:t xml:space="preserve"> </w:t>
      </w:r>
      <w:r>
        <w:rPr>
          <w:rFonts w:ascii="Times New Roman"/>
        </w:rPr>
        <w:t>or</w:t>
      </w:r>
      <w:r>
        <w:rPr>
          <w:rFonts w:ascii="Times New Roman"/>
          <w:spacing w:val="-3"/>
        </w:rPr>
        <w:t xml:space="preserve"> </w:t>
      </w:r>
      <w:r>
        <w:rPr>
          <w:rFonts w:ascii="Times New Roman"/>
        </w:rPr>
        <w:t>advice</w:t>
      </w:r>
      <w:r>
        <w:rPr>
          <w:rFonts w:ascii="Times New Roman"/>
          <w:spacing w:val="-3"/>
        </w:rPr>
        <w:t xml:space="preserve"> </w:t>
      </w:r>
      <w:r>
        <w:rPr>
          <w:rFonts w:ascii="Times New Roman"/>
        </w:rPr>
        <w:t>to</w:t>
      </w:r>
      <w:r>
        <w:rPr>
          <w:rFonts w:ascii="Times New Roman"/>
          <w:spacing w:val="-3"/>
        </w:rPr>
        <w:t xml:space="preserve"> </w:t>
      </w:r>
      <w:r>
        <w:rPr>
          <w:rFonts w:ascii="Times New Roman"/>
        </w:rPr>
        <w:t>be</w:t>
      </w:r>
      <w:r>
        <w:rPr>
          <w:rFonts w:ascii="Times New Roman"/>
          <w:spacing w:val="-5"/>
        </w:rPr>
        <w:t xml:space="preserve"> </w:t>
      </w:r>
      <w:r>
        <w:rPr>
          <w:rFonts w:ascii="Times New Roman"/>
        </w:rPr>
        <w:t>included</w:t>
      </w:r>
      <w:r>
        <w:rPr>
          <w:rFonts w:ascii="Times New Roman"/>
          <w:spacing w:val="-3"/>
        </w:rPr>
        <w:t xml:space="preserve"> </w:t>
      </w:r>
      <w:r>
        <w:rPr>
          <w:rFonts w:ascii="Times New Roman"/>
        </w:rPr>
        <w:t>by</w:t>
      </w:r>
      <w:r>
        <w:rPr>
          <w:rFonts w:ascii="Times New Roman"/>
          <w:spacing w:val="-5"/>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5"/>
        </w:rPr>
        <w:t xml:space="preserve"> </w:t>
      </w:r>
      <w:r>
        <w:rPr>
          <w:rFonts w:ascii="Times New Roman"/>
        </w:rPr>
        <w:t>in</w:t>
      </w:r>
      <w:r>
        <w:rPr>
          <w:rFonts w:ascii="Times New Roman"/>
          <w:spacing w:val="-3"/>
        </w:rPr>
        <w:t xml:space="preserve"> </w:t>
      </w:r>
      <w:r>
        <w:rPr>
          <w:rFonts w:ascii="Times New Roman"/>
        </w:rPr>
        <w:t>a</w:t>
      </w:r>
      <w:r>
        <w:rPr>
          <w:rFonts w:ascii="Times New Roman"/>
          <w:spacing w:val="-5"/>
        </w:rPr>
        <w:t xml:space="preserve"> </w:t>
      </w:r>
      <w:r>
        <w:rPr>
          <w:rFonts w:ascii="Times New Roman"/>
        </w:rPr>
        <w:t>report under section 8.</w:t>
      </w:r>
    </w:p>
    <w:p w14:paraId="6862D044" w14:textId="77777777" w:rsidR="00811887" w:rsidRDefault="00811887" w:rsidP="00811887">
      <w:pPr>
        <w:pStyle w:val="BodyText"/>
        <w:rPr>
          <w:rFonts w:ascii="Times New Roman"/>
        </w:rPr>
      </w:pPr>
    </w:p>
    <w:p w14:paraId="31DCA6FB" w14:textId="77777777" w:rsidR="00811887" w:rsidRDefault="00811887" w:rsidP="00811887">
      <w:pPr>
        <w:pStyle w:val="BodyText"/>
        <w:rPr>
          <w:rFonts w:ascii="Times New Roman"/>
        </w:rPr>
      </w:pPr>
    </w:p>
    <w:p w14:paraId="78FEC2B2" w14:textId="77777777" w:rsidR="00811887" w:rsidRDefault="00811887" w:rsidP="00811887">
      <w:pPr>
        <w:pStyle w:val="BodyText"/>
        <w:rPr>
          <w:rFonts w:ascii="Times New Roman"/>
        </w:rPr>
      </w:pPr>
    </w:p>
    <w:p w14:paraId="60802CDC" w14:textId="77777777" w:rsidR="00811887" w:rsidRDefault="00811887" w:rsidP="00811887">
      <w:pPr>
        <w:pStyle w:val="BodyText"/>
        <w:rPr>
          <w:rFonts w:ascii="Times New Roman"/>
        </w:rPr>
      </w:pPr>
    </w:p>
    <w:p w14:paraId="3045DA0D" w14:textId="77777777" w:rsidR="00811887" w:rsidRDefault="00811887" w:rsidP="00811887">
      <w:pPr>
        <w:pStyle w:val="BodyText"/>
        <w:rPr>
          <w:rFonts w:ascii="Times New Roman"/>
        </w:rPr>
      </w:pPr>
    </w:p>
    <w:p w14:paraId="02CAEE4E" w14:textId="77777777" w:rsidR="00811887" w:rsidRDefault="00811887" w:rsidP="00811887">
      <w:pPr>
        <w:pStyle w:val="BodyText"/>
        <w:rPr>
          <w:rFonts w:ascii="Times New Roman"/>
        </w:rPr>
      </w:pPr>
    </w:p>
    <w:p w14:paraId="3E24E80C" w14:textId="77777777" w:rsidR="00811887" w:rsidRDefault="00811887" w:rsidP="00811887">
      <w:pPr>
        <w:pStyle w:val="BodyText"/>
        <w:rPr>
          <w:rFonts w:ascii="Times New Roman"/>
        </w:rPr>
      </w:pPr>
    </w:p>
    <w:p w14:paraId="28E6F9AB" w14:textId="77777777" w:rsidR="00811887" w:rsidRDefault="00811887" w:rsidP="00811887">
      <w:pPr>
        <w:pStyle w:val="BodyText"/>
        <w:rPr>
          <w:rFonts w:ascii="Times New Roman"/>
        </w:rPr>
      </w:pPr>
    </w:p>
    <w:p w14:paraId="4004CF6A" w14:textId="77777777" w:rsidR="00811887" w:rsidRDefault="00811887" w:rsidP="00811887">
      <w:pPr>
        <w:pStyle w:val="BodyText"/>
        <w:rPr>
          <w:rFonts w:ascii="Times New Roman"/>
        </w:rPr>
      </w:pPr>
    </w:p>
    <w:p w14:paraId="1395FB7D" w14:textId="77777777" w:rsidR="00811887" w:rsidRDefault="00811887" w:rsidP="00811887">
      <w:pPr>
        <w:pStyle w:val="BodyText"/>
        <w:rPr>
          <w:rFonts w:ascii="Times New Roman"/>
        </w:rPr>
      </w:pPr>
    </w:p>
    <w:p w14:paraId="7BDDA60D" w14:textId="77777777" w:rsidR="00811887" w:rsidRDefault="00811887" w:rsidP="00811887">
      <w:pPr>
        <w:pStyle w:val="BodyText"/>
        <w:spacing w:before="162"/>
        <w:rPr>
          <w:rFonts w:ascii="Times New Roman"/>
        </w:rPr>
      </w:pPr>
      <w:r>
        <w:rPr>
          <w:noProof/>
        </w:rPr>
        <mc:AlternateContent>
          <mc:Choice Requires="wps">
            <w:drawing>
              <wp:anchor distT="0" distB="0" distL="0" distR="0" simplePos="0" relativeHeight="251719680" behindDoc="1" locked="0" layoutInCell="1" allowOverlap="1" wp14:anchorId="06CB97CB" wp14:editId="4B8AED8F">
                <wp:simplePos x="0" y="0"/>
                <wp:positionH relativeFrom="page">
                  <wp:posOffset>1512061</wp:posOffset>
                </wp:positionH>
                <wp:positionV relativeFrom="paragraph">
                  <wp:posOffset>264345</wp:posOffset>
                </wp:positionV>
                <wp:extent cx="4538345" cy="9525"/>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789D5" id="Graphic 39" o:spid="_x0000_s1026" alt="&quot;&quot;" style="position:absolute;margin-left:119.05pt;margin-top:20.8pt;width:357.35pt;height:.75pt;z-index:-251596800;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" path="m4537837,l,,,9143r4537837,l4537837,xe" fillcolor="black" stroked="f">
                <v:path arrowok="t"/>
                <w10:wrap type="topAndBottom" anchorx="page"/>
              </v:shape>
            </w:pict>
          </mc:Fallback>
        </mc:AlternateContent>
      </w:r>
    </w:p>
    <w:p w14:paraId="0138310B" w14:textId="77777777" w:rsidR="00811887" w:rsidRDefault="00811887" w:rsidP="00811887">
      <w:pPr>
        <w:pStyle w:val="BodyText"/>
        <w:spacing w:before="121"/>
        <w:rPr>
          <w:rFonts w:ascii="Times New Roman"/>
          <w:sz w:val="18"/>
        </w:rPr>
      </w:pPr>
    </w:p>
    <w:p w14:paraId="63BE3142" w14:textId="77777777" w:rsidR="00811887" w:rsidRDefault="00811887" w:rsidP="00811887">
      <w:pPr>
        <w:tabs>
          <w:tab w:val="left" w:pos="3084"/>
          <w:tab w:val="left" w:pos="7738"/>
        </w:tabs>
        <w:ind w:left="1670"/>
        <w:rPr>
          <w:rFonts w:ascii="Times New Roman"/>
          <w:i/>
          <w:sz w:val="18"/>
        </w:rPr>
      </w:pPr>
      <w:r>
        <w:rPr>
          <w:rFonts w:ascii="Times New Roman"/>
          <w:i/>
          <w:spacing w:val="-5"/>
          <w:sz w:val="18"/>
        </w:rPr>
        <w:t>14</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1274AF03"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216AB299" w14:textId="77777777" w:rsidR="00811887" w:rsidRDefault="00811887" w:rsidP="00811887">
      <w:pPr>
        <w:spacing w:before="65"/>
        <w:ind w:right="1682"/>
        <w:jc w:val="right"/>
        <w:rPr>
          <w:rFonts w:ascii="Times New Roman"/>
          <w:b/>
          <w:sz w:val="20"/>
        </w:rPr>
      </w:pPr>
      <w:r>
        <w:rPr>
          <w:rFonts w:ascii="Times New Roman"/>
          <w:sz w:val="20"/>
        </w:rPr>
        <w:lastRenderedPageBreak/>
        <w:t>Other</w:t>
      </w:r>
      <w:r>
        <w:rPr>
          <w:rFonts w:ascii="Times New Roman"/>
          <w:spacing w:val="-2"/>
          <w:sz w:val="20"/>
        </w:rPr>
        <w:t xml:space="preserve"> </w:t>
      </w:r>
      <w:r>
        <w:rPr>
          <w:rFonts w:ascii="Times New Roman"/>
          <w:sz w:val="20"/>
        </w:rPr>
        <w:t>matters</w:t>
      </w:r>
      <w:r>
        <w:rPr>
          <w:rFonts w:ascii="Times New Roman"/>
          <w:spacing w:val="43"/>
          <w:sz w:val="20"/>
        </w:rPr>
        <w:t xml:space="preserve"> </w:t>
      </w:r>
      <w:r>
        <w:rPr>
          <w:rFonts w:ascii="Times New Roman"/>
          <w:b/>
          <w:sz w:val="20"/>
        </w:rPr>
        <w:t>Part</w:t>
      </w:r>
      <w:r>
        <w:rPr>
          <w:rFonts w:ascii="Times New Roman"/>
          <w:b/>
          <w:spacing w:val="-4"/>
          <w:sz w:val="20"/>
        </w:rPr>
        <w:t xml:space="preserve"> </w:t>
      </w:r>
      <w:r>
        <w:rPr>
          <w:rFonts w:ascii="Times New Roman"/>
          <w:b/>
          <w:spacing w:val="-10"/>
          <w:sz w:val="20"/>
        </w:rPr>
        <w:t>3</w:t>
      </w:r>
    </w:p>
    <w:p w14:paraId="15526D61" w14:textId="77777777" w:rsidR="00811887" w:rsidRDefault="00811887" w:rsidP="00811887">
      <w:pPr>
        <w:pStyle w:val="BodyText"/>
        <w:rPr>
          <w:rFonts w:ascii="Times New Roman"/>
          <w:b/>
        </w:rPr>
      </w:pPr>
    </w:p>
    <w:p w14:paraId="163AD4E5" w14:textId="77777777" w:rsidR="00811887" w:rsidRDefault="00811887" w:rsidP="00811887">
      <w:pPr>
        <w:pStyle w:val="BodyText"/>
        <w:spacing w:before="77"/>
        <w:rPr>
          <w:rFonts w:ascii="Times New Roman"/>
          <w:b/>
        </w:rPr>
      </w:pPr>
    </w:p>
    <w:p w14:paraId="6A060093" w14:textId="77777777" w:rsidR="00811887" w:rsidRDefault="00811887" w:rsidP="00811887">
      <w:pPr>
        <w:ind w:right="1683"/>
        <w:jc w:val="right"/>
        <w:rPr>
          <w:rFonts w:ascii="Times New Roman"/>
          <w:sz w:val="24"/>
        </w:rPr>
      </w:pPr>
      <w:r>
        <w:rPr>
          <w:noProof/>
        </w:rPr>
        <mc:AlternateContent>
          <mc:Choice Requires="wps">
            <w:drawing>
              <wp:anchor distT="0" distB="0" distL="0" distR="0" simplePos="0" relativeHeight="251720704" behindDoc="1" locked="0" layoutInCell="1" allowOverlap="1" wp14:anchorId="2BC8643D" wp14:editId="41BA311B">
                <wp:simplePos x="0" y="0"/>
                <wp:positionH relativeFrom="page">
                  <wp:posOffset>1512061</wp:posOffset>
                </wp:positionH>
                <wp:positionV relativeFrom="paragraph">
                  <wp:posOffset>192823</wp:posOffset>
                </wp:positionV>
                <wp:extent cx="4538345" cy="9525"/>
                <wp:effectExtent l="0" t="0" r="0" b="0"/>
                <wp:wrapTopAndBottom/>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50EB0" id="Graphic 40" o:spid="_x0000_s1026" alt="&quot;&quot;" style="position:absolute;margin-left:119.05pt;margin-top:15.2pt;width:357.35pt;height:.75pt;z-index:-25159577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25</w:t>
      </w:r>
    </w:p>
    <w:p w14:paraId="0350E7C4" w14:textId="77777777" w:rsidR="00811887" w:rsidRDefault="00811887" w:rsidP="00811887">
      <w:pPr>
        <w:pStyle w:val="BodyText"/>
        <w:spacing w:before="202"/>
        <w:rPr>
          <w:rFonts w:ascii="Times New Roman"/>
          <w:sz w:val="32"/>
        </w:rPr>
      </w:pPr>
    </w:p>
    <w:p w14:paraId="51D7EDF1" w14:textId="77777777" w:rsidR="00811887" w:rsidRDefault="00811887" w:rsidP="00811887">
      <w:pPr>
        <w:pStyle w:val="Heading3"/>
      </w:pPr>
      <w:bookmarkStart w:id="105" w:name="_TOC_250005"/>
      <w:r>
        <w:t>Part</w:t>
      </w:r>
      <w:r>
        <w:rPr>
          <w:spacing w:val="-10"/>
        </w:rPr>
        <w:t xml:space="preserve"> </w:t>
      </w:r>
      <w:r>
        <w:t>3—Other</w:t>
      </w:r>
      <w:r>
        <w:rPr>
          <w:spacing w:val="-14"/>
        </w:rPr>
        <w:t xml:space="preserve"> </w:t>
      </w:r>
      <w:bookmarkEnd w:id="105"/>
      <w:r>
        <w:rPr>
          <w:spacing w:val="-2"/>
        </w:rPr>
        <w:t>matters</w:t>
      </w:r>
    </w:p>
    <w:p w14:paraId="63D0290B" w14:textId="77777777" w:rsidR="00811887" w:rsidRDefault="00811887" w:rsidP="00811887">
      <w:pPr>
        <w:pStyle w:val="BodyText"/>
        <w:spacing w:before="73"/>
        <w:rPr>
          <w:rFonts w:ascii="Times New Roman"/>
          <w:b/>
          <w:sz w:val="32"/>
        </w:rPr>
      </w:pPr>
    </w:p>
    <w:p w14:paraId="43C36A74" w14:textId="77777777" w:rsidR="00811887" w:rsidRDefault="00811887" w:rsidP="00FB2FE9">
      <w:pPr>
        <w:pStyle w:val="Heading7"/>
        <w:numPr>
          <w:ilvl w:val="0"/>
          <w:numId w:val="77"/>
        </w:numPr>
        <w:tabs>
          <w:tab w:val="left" w:pos="2030"/>
        </w:tabs>
        <w:spacing w:before="240"/>
        <w:ind w:left="2030" w:right="2268" w:hanging="357"/>
      </w:pPr>
      <w:bookmarkStart w:id="106" w:name="_TOC_250004"/>
      <w:r>
        <w:rPr>
          <w:noProof/>
        </w:rPr>
        <mc:AlternateContent>
          <mc:Choice Requires="wps">
            <w:drawing>
              <wp:anchor distT="0" distB="0" distL="114300" distR="114300" simplePos="0" relativeHeight="251785216" behindDoc="0" locked="0" layoutInCell="1" allowOverlap="1" wp14:anchorId="1EFAB473" wp14:editId="12E958E0">
                <wp:simplePos x="0" y="0"/>
                <wp:positionH relativeFrom="margin">
                  <wp:posOffset>1216397</wp:posOffset>
                </wp:positionH>
                <wp:positionV relativeFrom="paragraph">
                  <wp:posOffset>431734</wp:posOffset>
                </wp:positionV>
                <wp:extent cx="4085112" cy="688769"/>
                <wp:effectExtent l="0" t="0" r="10795" b="16510"/>
                <wp:wrapNone/>
                <wp:docPr id="118248217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85112" cy="688769"/>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427F9" id="Rectangle 3" o:spid="_x0000_s1026" alt="&quot;&quot;" style="position:absolute;margin-left:95.8pt;margin-top:34pt;width:321.65pt;height:54.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" filled="f" strokecolor="#301104 [484]" strokeweight=".5pt">
                <w10:wrap anchorx="margin"/>
              </v:rect>
            </w:pict>
          </mc:Fallback>
        </mc:AlternateContent>
      </w:r>
      <w:r>
        <w:t>Simplified</w:t>
      </w:r>
      <w:r>
        <w:rPr>
          <w:spacing w:val="-4"/>
        </w:rPr>
        <w:t xml:space="preserve"> </w:t>
      </w:r>
      <w:r>
        <w:t>outline</w:t>
      </w:r>
      <w:r>
        <w:rPr>
          <w:spacing w:val="-3"/>
        </w:rPr>
        <w:t xml:space="preserve"> </w:t>
      </w:r>
      <w:r>
        <w:t>of</w:t>
      </w:r>
      <w:r>
        <w:rPr>
          <w:spacing w:val="-3"/>
        </w:rPr>
        <w:t xml:space="preserve"> </w:t>
      </w:r>
      <w:r>
        <w:t>this</w:t>
      </w:r>
      <w:r>
        <w:rPr>
          <w:spacing w:val="-3"/>
        </w:rPr>
        <w:t xml:space="preserve"> </w:t>
      </w:r>
      <w:bookmarkEnd w:id="106"/>
      <w:r>
        <w:rPr>
          <w:spacing w:val="-4"/>
        </w:rPr>
        <w:t>Part</w:t>
      </w:r>
      <w:r>
        <w:rPr>
          <w:spacing w:val="-4"/>
        </w:rPr>
        <w:br/>
      </w:r>
      <w:r w:rsidRPr="00F45BC8">
        <w:rPr>
          <w:rFonts w:ascii="Times New Roman" w:hAnsi="Times New Roman" w:cs="Times New Roman"/>
          <w:spacing w:val="-4"/>
        </w:rPr>
        <w:br/>
      </w:r>
      <w:r w:rsidRPr="00F45BC8">
        <w:rPr>
          <w:rFonts w:ascii="Times New Roman" w:hAnsi="Times New Roman" w:cs="Times New Roman"/>
        </w:rPr>
        <w:t>This Part deals with the staff who are to assist the Committee, the decisions of the Minister that require consultation with the Treasurer, periodic reviews of this Act and the making of regulations.</w:t>
      </w:r>
    </w:p>
    <w:p w14:paraId="3AD7CDB7" w14:textId="77777777" w:rsidR="00811887" w:rsidRDefault="00811887" w:rsidP="00811887">
      <w:pPr>
        <w:pStyle w:val="BodyText"/>
        <w:spacing w:before="9"/>
        <w:rPr>
          <w:rFonts w:ascii="Times New Roman"/>
          <w:b/>
          <w:sz w:val="18"/>
        </w:rPr>
      </w:pPr>
    </w:p>
    <w:p w14:paraId="03FBBCB3" w14:textId="77777777" w:rsidR="00811887" w:rsidRDefault="00811887" w:rsidP="00811887">
      <w:pPr>
        <w:pStyle w:val="BodyText"/>
        <w:spacing w:before="8"/>
        <w:rPr>
          <w:rFonts w:ascii="Times New Roman"/>
          <w:b/>
          <w:sz w:val="24"/>
        </w:rPr>
      </w:pPr>
    </w:p>
    <w:p w14:paraId="6B82E2FC" w14:textId="77777777" w:rsidR="00811887" w:rsidRDefault="00811887" w:rsidP="00FB2FE9">
      <w:pPr>
        <w:pStyle w:val="Heading7"/>
        <w:numPr>
          <w:ilvl w:val="0"/>
          <w:numId w:val="77"/>
        </w:numPr>
        <w:tabs>
          <w:tab w:val="left" w:pos="2030"/>
        </w:tabs>
        <w:ind w:left="2030" w:hanging="360"/>
      </w:pPr>
      <w:bookmarkStart w:id="107" w:name="_TOC_250003"/>
      <w:bookmarkEnd w:id="107"/>
      <w:r>
        <w:rPr>
          <w:spacing w:val="-2"/>
        </w:rPr>
        <w:t>Staffing</w:t>
      </w:r>
    </w:p>
    <w:p w14:paraId="174AD416" w14:textId="77777777" w:rsidR="00811887" w:rsidRDefault="00811887" w:rsidP="00811887">
      <w:pPr>
        <w:spacing w:before="178"/>
        <w:ind w:left="2803" w:right="1815"/>
        <w:rPr>
          <w:rFonts w:ascii="Times New Roman"/>
        </w:rPr>
      </w:pPr>
      <w:r>
        <w:rPr>
          <w:rFonts w:ascii="Times New Roman"/>
        </w:rPr>
        <w:t>The</w:t>
      </w:r>
      <w:r>
        <w:rPr>
          <w:rFonts w:ascii="Times New Roman"/>
          <w:spacing w:val="-5"/>
        </w:rPr>
        <w:t xml:space="preserve"> </w:t>
      </w:r>
      <w:r>
        <w:rPr>
          <w:rFonts w:ascii="Times New Roman"/>
        </w:rPr>
        <w:t>staff</w:t>
      </w:r>
      <w:r>
        <w:rPr>
          <w:rFonts w:ascii="Times New Roman"/>
          <w:spacing w:val="-3"/>
        </w:rPr>
        <w:t xml:space="preserve"> </w:t>
      </w:r>
      <w:r>
        <w:rPr>
          <w:rFonts w:ascii="Times New Roman"/>
        </w:rPr>
        <w:t>required</w:t>
      </w:r>
      <w:r>
        <w:rPr>
          <w:rFonts w:ascii="Times New Roman"/>
          <w:spacing w:val="-5"/>
        </w:rPr>
        <w:t xml:space="preserve"> </w:t>
      </w:r>
      <w:r>
        <w:rPr>
          <w:rFonts w:ascii="Times New Roman"/>
        </w:rPr>
        <w:t>to</w:t>
      </w:r>
      <w:r>
        <w:rPr>
          <w:rFonts w:ascii="Times New Roman"/>
          <w:spacing w:val="-3"/>
        </w:rPr>
        <w:t xml:space="preserve"> </w:t>
      </w:r>
      <w:r>
        <w:rPr>
          <w:rFonts w:ascii="Times New Roman"/>
        </w:rPr>
        <w:t>assist</w:t>
      </w:r>
      <w:r>
        <w:rPr>
          <w:rFonts w:ascii="Times New Roman"/>
          <w:spacing w:val="-2"/>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5"/>
        </w:rPr>
        <w:t xml:space="preserve"> </w:t>
      </w:r>
      <w:r>
        <w:rPr>
          <w:rFonts w:ascii="Times New Roman"/>
        </w:rPr>
        <w:t>are</w:t>
      </w:r>
      <w:r>
        <w:rPr>
          <w:rFonts w:ascii="Times New Roman"/>
          <w:spacing w:val="-5"/>
        </w:rPr>
        <w:t xml:space="preserve"> </w:t>
      </w:r>
      <w:r>
        <w:rPr>
          <w:rFonts w:ascii="Times New Roman"/>
        </w:rPr>
        <w:t>to</w:t>
      </w:r>
      <w:r>
        <w:rPr>
          <w:rFonts w:ascii="Times New Roman"/>
          <w:spacing w:val="-3"/>
        </w:rPr>
        <w:t xml:space="preserve"> </w:t>
      </w:r>
      <w:r>
        <w:rPr>
          <w:rFonts w:ascii="Times New Roman"/>
        </w:rPr>
        <w:t>be</w:t>
      </w:r>
      <w:r>
        <w:rPr>
          <w:rFonts w:ascii="Times New Roman"/>
          <w:spacing w:val="-3"/>
        </w:rPr>
        <w:t xml:space="preserve"> </w:t>
      </w:r>
      <w:r>
        <w:rPr>
          <w:rFonts w:ascii="Times New Roman"/>
        </w:rPr>
        <w:t>APS employees made available for the purpose by:</w:t>
      </w:r>
    </w:p>
    <w:p w14:paraId="2CB71142" w14:textId="77777777" w:rsidR="00811887" w:rsidRDefault="00811887" w:rsidP="00FB2FE9">
      <w:pPr>
        <w:pStyle w:val="ListParagraph"/>
        <w:widowControl w:val="0"/>
        <w:numPr>
          <w:ilvl w:val="0"/>
          <w:numId w:val="73"/>
        </w:numPr>
        <w:tabs>
          <w:tab w:val="left" w:pos="3312"/>
          <w:tab w:val="left" w:pos="3314"/>
        </w:tabs>
        <w:autoSpaceDE w:val="0"/>
        <w:autoSpaceDN w:val="0"/>
        <w:spacing w:before="38" w:after="0"/>
        <w:ind w:right="2525"/>
        <w:contextualSpacing w:val="0"/>
        <w:rPr>
          <w:rFonts w:ascii="Times New Roman"/>
        </w:rPr>
      </w:pPr>
      <w:r>
        <w:rPr>
          <w:rFonts w:ascii="Times New Roman"/>
        </w:rPr>
        <w:t>the</w:t>
      </w:r>
      <w:r>
        <w:rPr>
          <w:rFonts w:ascii="Times New Roman"/>
          <w:spacing w:val="-4"/>
        </w:rPr>
        <w:t xml:space="preserve"> </w:t>
      </w:r>
      <w:r>
        <w:rPr>
          <w:rFonts w:ascii="Times New Roman"/>
        </w:rPr>
        <w:t>Secretary</w:t>
      </w:r>
      <w:r>
        <w:rPr>
          <w:rFonts w:ascii="Times New Roman"/>
          <w:spacing w:val="-6"/>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Department</w:t>
      </w:r>
      <w:r>
        <w:rPr>
          <w:rFonts w:ascii="Times New Roman"/>
          <w:spacing w:val="-3"/>
        </w:rPr>
        <w:t xml:space="preserve"> </w:t>
      </w:r>
      <w:r>
        <w:rPr>
          <w:rFonts w:ascii="Times New Roman"/>
        </w:rPr>
        <w:t>administered</w:t>
      </w:r>
      <w:r>
        <w:rPr>
          <w:rFonts w:ascii="Times New Roman"/>
          <w:spacing w:val="-6"/>
        </w:rPr>
        <w:t xml:space="preserve"> </w:t>
      </w:r>
      <w:r>
        <w:rPr>
          <w:rFonts w:ascii="Times New Roman"/>
        </w:rPr>
        <w:t>by</w:t>
      </w:r>
      <w:r>
        <w:rPr>
          <w:rFonts w:ascii="Times New Roman"/>
          <w:spacing w:val="-7"/>
        </w:rPr>
        <w:t xml:space="preserve"> </w:t>
      </w:r>
      <w:r>
        <w:rPr>
          <w:rFonts w:ascii="Times New Roman"/>
        </w:rPr>
        <w:t>the Minister; or</w:t>
      </w:r>
    </w:p>
    <w:p w14:paraId="061DCC79" w14:textId="77777777" w:rsidR="00811887" w:rsidRDefault="00811887" w:rsidP="00FB2FE9">
      <w:pPr>
        <w:pStyle w:val="ListParagraph"/>
        <w:widowControl w:val="0"/>
        <w:numPr>
          <w:ilvl w:val="0"/>
          <w:numId w:val="73"/>
        </w:numPr>
        <w:tabs>
          <w:tab w:val="left" w:pos="3313"/>
        </w:tabs>
        <w:autoSpaceDE w:val="0"/>
        <w:autoSpaceDN w:val="0"/>
        <w:spacing w:before="42" w:after="0"/>
        <w:ind w:left="3313" w:hanging="368"/>
        <w:contextualSpacing w:val="0"/>
        <w:rPr>
          <w:rFonts w:ascii="Times New Roman"/>
        </w:rPr>
      </w:pPr>
      <w:r>
        <w:rPr>
          <w:rFonts w:ascii="Times New Roman"/>
        </w:rPr>
        <w:t>the</w:t>
      </w:r>
      <w:r>
        <w:rPr>
          <w:rFonts w:ascii="Times New Roman"/>
          <w:spacing w:val="-3"/>
        </w:rPr>
        <w:t xml:space="preserve"> </w:t>
      </w:r>
      <w:r>
        <w:rPr>
          <w:rFonts w:ascii="Times New Roman"/>
        </w:rPr>
        <w:t>Secretary</w:t>
      </w:r>
      <w:r>
        <w:rPr>
          <w:rFonts w:ascii="Times New Roman"/>
          <w:spacing w:val="-5"/>
        </w:rPr>
        <w:t xml:space="preserve"> </w:t>
      </w:r>
      <w:r>
        <w:rPr>
          <w:rFonts w:ascii="Times New Roman"/>
        </w:rPr>
        <w:t>of</w:t>
      </w:r>
      <w:r>
        <w:rPr>
          <w:rFonts w:ascii="Times New Roman"/>
          <w:spacing w:val="-3"/>
        </w:rPr>
        <w:t xml:space="preserve"> </w:t>
      </w:r>
      <w:r>
        <w:rPr>
          <w:rFonts w:ascii="Times New Roman"/>
        </w:rPr>
        <w:t>the</w:t>
      </w:r>
      <w:r>
        <w:rPr>
          <w:rFonts w:ascii="Times New Roman"/>
          <w:spacing w:val="-2"/>
        </w:rPr>
        <w:t xml:space="preserve"> </w:t>
      </w:r>
      <w:r>
        <w:rPr>
          <w:rFonts w:ascii="Times New Roman"/>
        </w:rPr>
        <w:t>Department</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7"/>
        </w:rPr>
        <w:t xml:space="preserve"> </w:t>
      </w:r>
      <w:r>
        <w:rPr>
          <w:rFonts w:ascii="Times New Roman"/>
          <w:spacing w:val="-2"/>
        </w:rPr>
        <w:t>Treasury.</w:t>
      </w:r>
    </w:p>
    <w:p w14:paraId="4039F9FA" w14:textId="77777777" w:rsidR="00811887" w:rsidRDefault="00811887" w:rsidP="00811887">
      <w:pPr>
        <w:pStyle w:val="BodyText"/>
        <w:spacing w:before="29"/>
        <w:rPr>
          <w:rFonts w:ascii="Times New Roman"/>
          <w:sz w:val="22"/>
        </w:rPr>
      </w:pPr>
    </w:p>
    <w:p w14:paraId="0B37B242" w14:textId="77777777" w:rsidR="00811887" w:rsidRDefault="00811887" w:rsidP="00FB2FE9">
      <w:pPr>
        <w:pStyle w:val="Heading7"/>
        <w:numPr>
          <w:ilvl w:val="0"/>
          <w:numId w:val="77"/>
        </w:numPr>
        <w:tabs>
          <w:tab w:val="left" w:pos="2030"/>
        </w:tabs>
        <w:ind w:left="2030" w:hanging="360"/>
      </w:pPr>
      <w:bookmarkStart w:id="108" w:name="_TOC_250002"/>
      <w:r>
        <w:t>Minister</w:t>
      </w:r>
      <w:r>
        <w:rPr>
          <w:spacing w:val="-3"/>
        </w:rPr>
        <w:t xml:space="preserve"> </w:t>
      </w:r>
      <w:r>
        <w:t>to</w:t>
      </w:r>
      <w:r>
        <w:rPr>
          <w:spacing w:val="-1"/>
        </w:rPr>
        <w:t xml:space="preserve"> </w:t>
      </w:r>
      <w:r>
        <w:t>consult</w:t>
      </w:r>
      <w:r>
        <w:rPr>
          <w:spacing w:val="-1"/>
        </w:rPr>
        <w:t xml:space="preserve"> </w:t>
      </w:r>
      <w:r>
        <w:t>the</w:t>
      </w:r>
      <w:bookmarkEnd w:id="108"/>
      <w:r>
        <w:rPr>
          <w:spacing w:val="-2"/>
        </w:rPr>
        <w:t xml:space="preserve"> Treasurer</w:t>
      </w:r>
    </w:p>
    <w:p w14:paraId="72BE378F" w14:textId="77777777" w:rsidR="00811887" w:rsidRDefault="00811887" w:rsidP="00811887">
      <w:pPr>
        <w:spacing w:before="178"/>
        <w:ind w:left="2803" w:right="1757"/>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3"/>
        </w:rPr>
        <w:t xml:space="preserve"> </w:t>
      </w:r>
      <w:r>
        <w:rPr>
          <w:rFonts w:ascii="Times New Roman"/>
        </w:rPr>
        <w:t>must</w:t>
      </w:r>
      <w:r>
        <w:rPr>
          <w:rFonts w:ascii="Times New Roman"/>
          <w:spacing w:val="-2"/>
        </w:rPr>
        <w:t xml:space="preserve"> </w:t>
      </w:r>
      <w:r>
        <w:rPr>
          <w:rFonts w:ascii="Times New Roman"/>
        </w:rPr>
        <w:t>consult</w:t>
      </w:r>
      <w:r>
        <w:rPr>
          <w:rFonts w:ascii="Times New Roman"/>
          <w:spacing w:val="-5"/>
        </w:rPr>
        <w:t xml:space="preserve"> </w:t>
      </w:r>
      <w:r>
        <w:rPr>
          <w:rFonts w:ascii="Times New Roman"/>
        </w:rPr>
        <w:t>the</w:t>
      </w:r>
      <w:r>
        <w:rPr>
          <w:rFonts w:ascii="Times New Roman"/>
          <w:spacing w:val="-5"/>
        </w:rPr>
        <w:t xml:space="preserve"> </w:t>
      </w:r>
      <w:r>
        <w:rPr>
          <w:rFonts w:ascii="Times New Roman"/>
        </w:rPr>
        <w:t>Treasurer</w:t>
      </w:r>
      <w:r>
        <w:rPr>
          <w:rFonts w:ascii="Times New Roman"/>
          <w:spacing w:val="-5"/>
        </w:rPr>
        <w:t xml:space="preserve"> </w:t>
      </w:r>
      <w:r>
        <w:rPr>
          <w:rFonts w:ascii="Times New Roman"/>
        </w:rPr>
        <w:t>before</w:t>
      </w:r>
      <w:r>
        <w:rPr>
          <w:rFonts w:ascii="Times New Roman"/>
          <w:spacing w:val="-5"/>
        </w:rPr>
        <w:t xml:space="preserve"> </w:t>
      </w:r>
      <w:r>
        <w:rPr>
          <w:rFonts w:ascii="Times New Roman"/>
        </w:rPr>
        <w:t>the</w:t>
      </w:r>
      <w:r>
        <w:rPr>
          <w:rFonts w:ascii="Times New Roman"/>
          <w:spacing w:val="-5"/>
        </w:rPr>
        <w:t xml:space="preserve"> </w:t>
      </w:r>
      <w:r>
        <w:rPr>
          <w:rFonts w:ascii="Times New Roman"/>
        </w:rPr>
        <w:t>Minister</w:t>
      </w:r>
      <w:r>
        <w:rPr>
          <w:rFonts w:ascii="Times New Roman"/>
          <w:spacing w:val="-1"/>
        </w:rPr>
        <w:t xml:space="preserve"> </w:t>
      </w:r>
      <w:r>
        <w:rPr>
          <w:rFonts w:ascii="Times New Roman"/>
        </w:rPr>
        <w:t>does the following:</w:t>
      </w:r>
    </w:p>
    <w:p w14:paraId="066661E3" w14:textId="77777777" w:rsidR="00811887" w:rsidRDefault="00811887" w:rsidP="00FB2FE9">
      <w:pPr>
        <w:pStyle w:val="ListParagraph"/>
        <w:widowControl w:val="0"/>
        <w:numPr>
          <w:ilvl w:val="0"/>
          <w:numId w:val="72"/>
        </w:numPr>
        <w:tabs>
          <w:tab w:val="left" w:pos="3313"/>
        </w:tabs>
        <w:autoSpaceDE w:val="0"/>
        <w:autoSpaceDN w:val="0"/>
        <w:spacing w:before="39" w:after="0"/>
        <w:ind w:left="3313" w:hanging="356"/>
        <w:contextualSpacing w:val="0"/>
        <w:rPr>
          <w:rFonts w:ascii="Times New Roman"/>
        </w:rPr>
      </w:pPr>
      <w:r>
        <w:rPr>
          <w:rFonts w:ascii="Times New Roman"/>
        </w:rPr>
        <w:t>appoints</w:t>
      </w:r>
      <w:r>
        <w:rPr>
          <w:rFonts w:ascii="Times New Roman"/>
          <w:spacing w:val="-6"/>
        </w:rPr>
        <w:t xml:space="preserve"> </w:t>
      </w:r>
      <w:r>
        <w:rPr>
          <w:rFonts w:ascii="Times New Roman"/>
        </w:rPr>
        <w:t>a</w:t>
      </w:r>
      <w:r>
        <w:rPr>
          <w:rFonts w:ascii="Times New Roman"/>
          <w:spacing w:val="-3"/>
        </w:rPr>
        <w:t xml:space="preserve"> </w:t>
      </w:r>
      <w:r>
        <w:rPr>
          <w:rFonts w:ascii="Times New Roman"/>
        </w:rPr>
        <w:t>member</w:t>
      </w:r>
      <w:r>
        <w:rPr>
          <w:rFonts w:ascii="Times New Roman"/>
          <w:spacing w:val="-3"/>
        </w:rPr>
        <w:t xml:space="preserve"> </w:t>
      </w:r>
      <w:r>
        <w:rPr>
          <w:rFonts w:ascii="Times New Roman"/>
        </w:rPr>
        <w:t>of</w:t>
      </w:r>
      <w:r>
        <w:rPr>
          <w:rFonts w:ascii="Times New Roman"/>
          <w:spacing w:val="-3"/>
        </w:rPr>
        <w:t xml:space="preserve"> </w:t>
      </w:r>
      <w:r>
        <w:rPr>
          <w:rFonts w:ascii="Times New Roman"/>
        </w:rPr>
        <w:t>the</w:t>
      </w:r>
      <w:r>
        <w:rPr>
          <w:rFonts w:ascii="Times New Roman"/>
          <w:spacing w:val="-3"/>
        </w:rPr>
        <w:t xml:space="preserve"> </w:t>
      </w:r>
      <w:r>
        <w:rPr>
          <w:rFonts w:ascii="Times New Roman"/>
        </w:rPr>
        <w:t>Committee</w:t>
      </w:r>
      <w:r>
        <w:rPr>
          <w:rFonts w:ascii="Times New Roman"/>
          <w:spacing w:val="-4"/>
        </w:rPr>
        <w:t xml:space="preserve"> </w:t>
      </w:r>
      <w:r>
        <w:rPr>
          <w:rFonts w:ascii="Times New Roman"/>
        </w:rPr>
        <w:t>under</w:t>
      </w:r>
      <w:r>
        <w:rPr>
          <w:rFonts w:ascii="Times New Roman"/>
          <w:spacing w:val="-3"/>
        </w:rPr>
        <w:t xml:space="preserve"> </w:t>
      </w:r>
      <w:r>
        <w:rPr>
          <w:rFonts w:ascii="Times New Roman"/>
        </w:rPr>
        <w:t>section</w:t>
      </w:r>
      <w:r>
        <w:rPr>
          <w:rFonts w:ascii="Times New Roman"/>
          <w:spacing w:val="-2"/>
        </w:rPr>
        <w:t xml:space="preserve"> </w:t>
      </w:r>
      <w:r>
        <w:rPr>
          <w:rFonts w:ascii="Times New Roman"/>
          <w:spacing w:val="-5"/>
        </w:rPr>
        <w:t>11;</w:t>
      </w:r>
    </w:p>
    <w:p w14:paraId="20C5FB89" w14:textId="77777777" w:rsidR="00811887" w:rsidRDefault="00811887" w:rsidP="00FB2FE9">
      <w:pPr>
        <w:pStyle w:val="ListParagraph"/>
        <w:widowControl w:val="0"/>
        <w:numPr>
          <w:ilvl w:val="0"/>
          <w:numId w:val="72"/>
        </w:numPr>
        <w:tabs>
          <w:tab w:val="left" w:pos="3312"/>
          <w:tab w:val="left" w:pos="3314"/>
        </w:tabs>
        <w:autoSpaceDE w:val="0"/>
        <w:autoSpaceDN w:val="0"/>
        <w:spacing w:before="40" w:after="0"/>
        <w:ind w:right="1732" w:hanging="370"/>
        <w:contextualSpacing w:val="0"/>
        <w:rPr>
          <w:rFonts w:ascii="Times New Roman"/>
        </w:rPr>
      </w:pPr>
      <w:r>
        <w:rPr>
          <w:rFonts w:ascii="Times New Roman"/>
        </w:rPr>
        <w:t>appoints</w:t>
      </w:r>
      <w:r>
        <w:rPr>
          <w:rFonts w:ascii="Times New Roman"/>
          <w:spacing w:val="-4"/>
        </w:rPr>
        <w:t xml:space="preserve"> </w:t>
      </w:r>
      <w:r>
        <w:rPr>
          <w:rFonts w:ascii="Times New Roman"/>
        </w:rPr>
        <w:t>a</w:t>
      </w:r>
      <w:r>
        <w:rPr>
          <w:rFonts w:ascii="Times New Roman"/>
          <w:spacing w:val="-2"/>
        </w:rPr>
        <w:t xml:space="preserve"> </w:t>
      </w:r>
      <w:r>
        <w:rPr>
          <w:rFonts w:ascii="Times New Roman"/>
        </w:rPr>
        <w:t>person</w:t>
      </w:r>
      <w:r>
        <w:rPr>
          <w:rFonts w:ascii="Times New Roman"/>
          <w:spacing w:val="-4"/>
        </w:rPr>
        <w:t xml:space="preserve"> </w:t>
      </w:r>
      <w:r>
        <w:rPr>
          <w:rFonts w:ascii="Times New Roman"/>
        </w:rPr>
        <w:t>to</w:t>
      </w:r>
      <w:r>
        <w:rPr>
          <w:rFonts w:ascii="Times New Roman"/>
          <w:spacing w:val="-5"/>
        </w:rPr>
        <w:t xml:space="preserve"> </w:t>
      </w:r>
      <w:r>
        <w:rPr>
          <w:rFonts w:ascii="Times New Roman"/>
        </w:rPr>
        <w:t>act</w:t>
      </w:r>
      <w:r>
        <w:rPr>
          <w:rFonts w:ascii="Times New Roman"/>
          <w:spacing w:val="-4"/>
        </w:rPr>
        <w:t xml:space="preserve"> </w:t>
      </w:r>
      <w:r>
        <w:rPr>
          <w:rFonts w:ascii="Times New Roman"/>
        </w:rPr>
        <w:t>as</w:t>
      </w:r>
      <w:r>
        <w:rPr>
          <w:rFonts w:ascii="Times New Roman"/>
          <w:spacing w:val="-4"/>
        </w:rPr>
        <w:t xml:space="preserve"> </w:t>
      </w:r>
      <w:r>
        <w:rPr>
          <w:rFonts w:ascii="Times New Roman"/>
        </w:rPr>
        <w:t>a</w:t>
      </w:r>
      <w:r>
        <w:rPr>
          <w:rFonts w:ascii="Times New Roman"/>
          <w:spacing w:val="-2"/>
        </w:rPr>
        <w:t xml:space="preserve"> </w:t>
      </w:r>
      <w:r>
        <w:rPr>
          <w:rFonts w:ascii="Times New Roman"/>
        </w:rPr>
        <w:t>member</w:t>
      </w:r>
      <w:r>
        <w:rPr>
          <w:rFonts w:ascii="Times New Roman"/>
          <w:spacing w:val="-1"/>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Committee</w:t>
      </w:r>
      <w:r>
        <w:rPr>
          <w:rFonts w:ascii="Times New Roman"/>
          <w:spacing w:val="-2"/>
        </w:rPr>
        <w:t xml:space="preserve"> </w:t>
      </w:r>
      <w:r>
        <w:rPr>
          <w:rFonts w:ascii="Times New Roman"/>
        </w:rPr>
        <w:t>under section 13;</w:t>
      </w:r>
    </w:p>
    <w:p w14:paraId="664F87D7" w14:textId="77777777" w:rsidR="00811887" w:rsidRDefault="00811887" w:rsidP="00FB2FE9">
      <w:pPr>
        <w:pStyle w:val="ListParagraph"/>
        <w:widowControl w:val="0"/>
        <w:numPr>
          <w:ilvl w:val="0"/>
          <w:numId w:val="72"/>
        </w:numPr>
        <w:tabs>
          <w:tab w:val="left" w:pos="3312"/>
          <w:tab w:val="left" w:pos="3314"/>
        </w:tabs>
        <w:autoSpaceDE w:val="0"/>
        <w:autoSpaceDN w:val="0"/>
        <w:spacing w:before="41" w:after="0"/>
        <w:ind w:right="1970"/>
        <w:contextualSpacing w:val="0"/>
        <w:rPr>
          <w:rFonts w:ascii="Times New Roman"/>
        </w:rPr>
      </w:pPr>
      <w:r>
        <w:rPr>
          <w:rFonts w:ascii="Times New Roman"/>
        </w:rPr>
        <w:t>terminates</w:t>
      </w:r>
      <w:r>
        <w:rPr>
          <w:rFonts w:ascii="Times New Roman"/>
          <w:spacing w:val="-6"/>
        </w:rPr>
        <w:t xml:space="preserve"> </w:t>
      </w:r>
      <w:r>
        <w:rPr>
          <w:rFonts w:ascii="Times New Roman"/>
        </w:rPr>
        <w:t>the</w:t>
      </w:r>
      <w:r>
        <w:rPr>
          <w:rFonts w:ascii="Times New Roman"/>
          <w:spacing w:val="-6"/>
        </w:rPr>
        <w:t xml:space="preserve"> </w:t>
      </w:r>
      <w:r>
        <w:rPr>
          <w:rFonts w:ascii="Times New Roman"/>
        </w:rPr>
        <w:t>appointment</w:t>
      </w:r>
      <w:r>
        <w:rPr>
          <w:rFonts w:ascii="Times New Roman"/>
          <w:spacing w:val="-6"/>
        </w:rPr>
        <w:t xml:space="preserve"> </w:t>
      </w:r>
      <w:r>
        <w:rPr>
          <w:rFonts w:ascii="Times New Roman"/>
        </w:rPr>
        <w:t>of</w:t>
      </w:r>
      <w:r>
        <w:rPr>
          <w:rFonts w:ascii="Times New Roman"/>
          <w:spacing w:val="-4"/>
        </w:rPr>
        <w:t xml:space="preserve"> </w:t>
      </w:r>
      <w:r>
        <w:rPr>
          <w:rFonts w:ascii="Times New Roman"/>
        </w:rPr>
        <w:t>a</w:t>
      </w:r>
      <w:r>
        <w:rPr>
          <w:rFonts w:ascii="Times New Roman"/>
          <w:spacing w:val="-4"/>
        </w:rPr>
        <w:t xml:space="preserve"> </w:t>
      </w:r>
      <w:r>
        <w:rPr>
          <w:rFonts w:ascii="Times New Roman"/>
        </w:rPr>
        <w:t>member</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4"/>
        </w:rPr>
        <w:t xml:space="preserve"> </w:t>
      </w:r>
      <w:r>
        <w:rPr>
          <w:rFonts w:ascii="Times New Roman"/>
        </w:rPr>
        <w:t>Committee under section 19;</w:t>
      </w:r>
    </w:p>
    <w:p w14:paraId="141B317A" w14:textId="77777777" w:rsidR="00811887" w:rsidRDefault="00811887" w:rsidP="00FB2FE9">
      <w:pPr>
        <w:pStyle w:val="ListParagraph"/>
        <w:widowControl w:val="0"/>
        <w:numPr>
          <w:ilvl w:val="0"/>
          <w:numId w:val="72"/>
        </w:numPr>
        <w:tabs>
          <w:tab w:val="left" w:pos="3312"/>
          <w:tab w:val="left" w:pos="3314"/>
        </w:tabs>
        <w:autoSpaceDE w:val="0"/>
        <w:autoSpaceDN w:val="0"/>
        <w:spacing w:before="39" w:after="0"/>
        <w:ind w:right="2019" w:hanging="370"/>
        <w:contextualSpacing w:val="0"/>
        <w:rPr>
          <w:rFonts w:ascii="Times New Roman"/>
        </w:rPr>
      </w:pPr>
      <w:r>
        <w:rPr>
          <w:rFonts w:ascii="Times New Roman"/>
        </w:rPr>
        <w:t>agrees</w:t>
      </w:r>
      <w:r>
        <w:rPr>
          <w:rFonts w:ascii="Times New Roman"/>
          <w:spacing w:val="-5"/>
        </w:rPr>
        <w:t xml:space="preserve"> </w:t>
      </w:r>
      <w:r>
        <w:rPr>
          <w:rFonts w:ascii="Times New Roman"/>
        </w:rPr>
        <w:t>to</w:t>
      </w:r>
      <w:r>
        <w:rPr>
          <w:rFonts w:ascii="Times New Roman"/>
          <w:spacing w:val="-3"/>
        </w:rPr>
        <w:t xml:space="preserve"> </w:t>
      </w:r>
      <w:r>
        <w:rPr>
          <w:rFonts w:ascii="Times New Roman"/>
        </w:rPr>
        <w:t>the</w:t>
      </w:r>
      <w:r>
        <w:rPr>
          <w:rFonts w:ascii="Times New Roman"/>
          <w:spacing w:val="-3"/>
        </w:rPr>
        <w:t xml:space="preserve"> </w:t>
      </w:r>
      <w:r>
        <w:rPr>
          <w:rFonts w:ascii="Times New Roman"/>
        </w:rPr>
        <w:t>persons</w:t>
      </w:r>
      <w:r>
        <w:rPr>
          <w:rFonts w:ascii="Times New Roman"/>
          <w:spacing w:val="-1"/>
        </w:rPr>
        <w:t xml:space="preserve"> </w:t>
      </w:r>
      <w:r>
        <w:rPr>
          <w:rFonts w:ascii="Times New Roman"/>
        </w:rPr>
        <w:t>who</w:t>
      </w:r>
      <w:r>
        <w:rPr>
          <w:rFonts w:ascii="Times New Roman"/>
          <w:spacing w:val="-3"/>
        </w:rPr>
        <w:t xml:space="preserve"> </w:t>
      </w:r>
      <w:r>
        <w:rPr>
          <w:rFonts w:ascii="Times New Roman"/>
        </w:rPr>
        <w:t>are</w:t>
      </w:r>
      <w:r>
        <w:rPr>
          <w:rFonts w:ascii="Times New Roman"/>
          <w:spacing w:val="-3"/>
        </w:rPr>
        <w:t xml:space="preserve"> </w:t>
      </w:r>
      <w:r>
        <w:rPr>
          <w:rFonts w:ascii="Times New Roman"/>
        </w:rPr>
        <w:t>to</w:t>
      </w:r>
      <w:r>
        <w:rPr>
          <w:rFonts w:ascii="Times New Roman"/>
          <w:spacing w:val="-3"/>
        </w:rPr>
        <w:t xml:space="preserve"> </w:t>
      </w:r>
      <w:r>
        <w:rPr>
          <w:rFonts w:ascii="Times New Roman"/>
        </w:rPr>
        <w:t>undertake</w:t>
      </w:r>
      <w:r>
        <w:rPr>
          <w:rFonts w:ascii="Times New Roman"/>
          <w:spacing w:val="-3"/>
        </w:rPr>
        <w:t xml:space="preserve"> </w:t>
      </w:r>
      <w:r>
        <w:rPr>
          <w:rFonts w:ascii="Times New Roman"/>
        </w:rPr>
        <w:t>a</w:t>
      </w:r>
      <w:r>
        <w:rPr>
          <w:rFonts w:ascii="Times New Roman"/>
          <w:spacing w:val="-3"/>
        </w:rPr>
        <w:t xml:space="preserve"> </w:t>
      </w:r>
      <w:r>
        <w:rPr>
          <w:rFonts w:ascii="Times New Roman"/>
        </w:rPr>
        <w:t>review</w:t>
      </w:r>
      <w:r>
        <w:rPr>
          <w:rFonts w:ascii="Times New Roman"/>
          <w:spacing w:val="-6"/>
        </w:rPr>
        <w:t xml:space="preserve"> </w:t>
      </w:r>
      <w:r>
        <w:rPr>
          <w:rFonts w:ascii="Times New Roman"/>
        </w:rPr>
        <w:t>under section 28.</w:t>
      </w:r>
    </w:p>
    <w:p w14:paraId="7245DE26" w14:textId="77777777" w:rsidR="00811887" w:rsidRDefault="00811887" w:rsidP="00811887">
      <w:pPr>
        <w:pStyle w:val="BodyText"/>
        <w:spacing w:before="31"/>
        <w:rPr>
          <w:rFonts w:ascii="Times New Roman"/>
          <w:sz w:val="22"/>
        </w:rPr>
      </w:pPr>
    </w:p>
    <w:p w14:paraId="7D6846EC" w14:textId="77777777" w:rsidR="00811887" w:rsidRDefault="00811887" w:rsidP="00FB2FE9">
      <w:pPr>
        <w:pStyle w:val="Heading7"/>
        <w:numPr>
          <w:ilvl w:val="0"/>
          <w:numId w:val="77"/>
        </w:numPr>
        <w:tabs>
          <w:tab w:val="left" w:pos="2030"/>
        </w:tabs>
        <w:ind w:left="2030" w:hanging="360"/>
      </w:pPr>
      <w:bookmarkStart w:id="109" w:name="_TOC_250001"/>
      <w:r>
        <w:t>Periodic</w:t>
      </w:r>
      <w:r>
        <w:rPr>
          <w:spacing w:val="-3"/>
        </w:rPr>
        <w:t xml:space="preserve"> </w:t>
      </w:r>
      <w:r>
        <w:t>reviews</w:t>
      </w:r>
      <w:r>
        <w:rPr>
          <w:spacing w:val="-3"/>
        </w:rPr>
        <w:t xml:space="preserve"> </w:t>
      </w:r>
      <w:r>
        <w:t>of</w:t>
      </w:r>
      <w:r>
        <w:rPr>
          <w:spacing w:val="-1"/>
        </w:rPr>
        <w:t xml:space="preserve"> </w:t>
      </w:r>
      <w:r>
        <w:t>the</w:t>
      </w:r>
      <w:r>
        <w:rPr>
          <w:spacing w:val="-3"/>
        </w:rPr>
        <w:t xml:space="preserve"> </w:t>
      </w:r>
      <w:r>
        <w:t>operation</w:t>
      </w:r>
      <w:r>
        <w:rPr>
          <w:spacing w:val="-2"/>
        </w:rPr>
        <w:t xml:space="preserve"> </w:t>
      </w:r>
      <w:r>
        <w:t>of</w:t>
      </w:r>
      <w:r>
        <w:rPr>
          <w:spacing w:val="-1"/>
        </w:rPr>
        <w:t xml:space="preserve"> </w:t>
      </w:r>
      <w:r>
        <w:t>this</w:t>
      </w:r>
      <w:r>
        <w:rPr>
          <w:spacing w:val="-3"/>
        </w:rPr>
        <w:t xml:space="preserve"> </w:t>
      </w:r>
      <w:bookmarkEnd w:id="109"/>
      <w:r>
        <w:rPr>
          <w:spacing w:val="-5"/>
        </w:rPr>
        <w:t>Act</w:t>
      </w:r>
    </w:p>
    <w:p w14:paraId="2475B3F6" w14:textId="77777777" w:rsidR="00811887" w:rsidRDefault="00811887" w:rsidP="00FB2FE9">
      <w:pPr>
        <w:pStyle w:val="ListParagraph"/>
        <w:widowControl w:val="0"/>
        <w:numPr>
          <w:ilvl w:val="1"/>
          <w:numId w:val="77"/>
        </w:numPr>
        <w:tabs>
          <w:tab w:val="left" w:pos="2801"/>
          <w:tab w:val="left" w:pos="2803"/>
        </w:tabs>
        <w:autoSpaceDE w:val="0"/>
        <w:autoSpaceDN w:val="0"/>
        <w:spacing w:before="178" w:after="0"/>
        <w:ind w:right="1915"/>
        <w:contextualSpacing w:val="0"/>
        <w:rPr>
          <w:rFonts w:ascii="Times New Roman"/>
        </w:rPr>
      </w:pPr>
      <w:r>
        <w:rPr>
          <w:rFonts w:ascii="Times New Roman"/>
        </w:rPr>
        <w:t>The</w:t>
      </w:r>
      <w:r>
        <w:rPr>
          <w:rFonts w:ascii="Times New Roman"/>
          <w:spacing w:val="-5"/>
        </w:rPr>
        <w:t xml:space="preserve"> </w:t>
      </w:r>
      <w:r>
        <w:rPr>
          <w:rFonts w:ascii="Times New Roman"/>
        </w:rPr>
        <w:t>Minister</w:t>
      </w:r>
      <w:r>
        <w:rPr>
          <w:rFonts w:ascii="Times New Roman"/>
          <w:spacing w:val="-3"/>
        </w:rPr>
        <w:t xml:space="preserve"> </w:t>
      </w:r>
      <w:r>
        <w:rPr>
          <w:rFonts w:ascii="Times New Roman"/>
        </w:rPr>
        <w:t>must</w:t>
      </w:r>
      <w:r>
        <w:rPr>
          <w:rFonts w:ascii="Times New Roman"/>
          <w:spacing w:val="-2"/>
        </w:rPr>
        <w:t xml:space="preserve"> </w:t>
      </w:r>
      <w:r>
        <w:rPr>
          <w:rFonts w:ascii="Times New Roman"/>
        </w:rPr>
        <w:t>cause</w:t>
      </w:r>
      <w:r>
        <w:rPr>
          <w:rFonts w:ascii="Times New Roman"/>
          <w:spacing w:val="-5"/>
        </w:rPr>
        <w:t xml:space="preserve"> </w:t>
      </w:r>
      <w:r>
        <w:rPr>
          <w:rFonts w:ascii="Times New Roman"/>
        </w:rPr>
        <w:t>independent</w:t>
      </w:r>
      <w:r>
        <w:rPr>
          <w:rFonts w:ascii="Times New Roman"/>
          <w:spacing w:val="-5"/>
        </w:rPr>
        <w:t xml:space="preserve"> </w:t>
      </w:r>
      <w:r>
        <w:rPr>
          <w:rFonts w:ascii="Times New Roman"/>
        </w:rPr>
        <w:t>reviews</w:t>
      </w:r>
      <w:r>
        <w:rPr>
          <w:rFonts w:ascii="Times New Roman"/>
          <w:spacing w:val="-6"/>
        </w:rPr>
        <w:t xml:space="preserve"> </w:t>
      </w:r>
      <w:r>
        <w:rPr>
          <w:rFonts w:ascii="Times New Roman"/>
        </w:rPr>
        <w:t>to</w:t>
      </w:r>
      <w:r>
        <w:rPr>
          <w:rFonts w:ascii="Times New Roman"/>
          <w:spacing w:val="-3"/>
        </w:rPr>
        <w:t xml:space="preserve"> </w:t>
      </w:r>
      <w:r>
        <w:rPr>
          <w:rFonts w:ascii="Times New Roman"/>
        </w:rPr>
        <w:t>be</w:t>
      </w:r>
      <w:r>
        <w:rPr>
          <w:rFonts w:ascii="Times New Roman"/>
          <w:spacing w:val="-3"/>
        </w:rPr>
        <w:t xml:space="preserve"> </w:t>
      </w:r>
      <w:r>
        <w:rPr>
          <w:rFonts w:ascii="Times New Roman"/>
        </w:rPr>
        <w:t>conducted</w:t>
      </w:r>
      <w:r>
        <w:rPr>
          <w:rFonts w:ascii="Times New Roman"/>
          <w:spacing w:val="-3"/>
        </w:rPr>
        <w:t xml:space="preserve"> </w:t>
      </w:r>
      <w:r>
        <w:rPr>
          <w:rFonts w:ascii="Times New Roman"/>
        </w:rPr>
        <w:t>of the operation of this Act.</w:t>
      </w:r>
    </w:p>
    <w:p w14:paraId="5285B151" w14:textId="77777777" w:rsidR="00811887" w:rsidRDefault="00811887" w:rsidP="00FB2FE9">
      <w:pPr>
        <w:pStyle w:val="ListParagraph"/>
        <w:widowControl w:val="0"/>
        <w:numPr>
          <w:ilvl w:val="1"/>
          <w:numId w:val="77"/>
        </w:numPr>
        <w:tabs>
          <w:tab w:val="left" w:pos="2801"/>
          <w:tab w:val="left" w:pos="2803"/>
        </w:tabs>
        <w:autoSpaceDE w:val="0"/>
        <w:autoSpaceDN w:val="0"/>
        <w:spacing w:before="178" w:after="0"/>
        <w:ind w:right="2469"/>
        <w:contextualSpacing w:val="0"/>
        <w:rPr>
          <w:rFonts w:ascii="Times New Roman"/>
        </w:rPr>
      </w:pPr>
      <w:r>
        <w:rPr>
          <w:noProof/>
        </w:rPr>
        <mc:AlternateContent>
          <mc:Choice Requires="wps">
            <w:drawing>
              <wp:anchor distT="0" distB="0" distL="0" distR="0" simplePos="0" relativeHeight="251687936" behindDoc="0" locked="0" layoutInCell="1" allowOverlap="1" wp14:anchorId="1D034C97" wp14:editId="229DEDB6">
                <wp:simplePos x="0" y="0"/>
                <wp:positionH relativeFrom="page">
                  <wp:posOffset>1512061</wp:posOffset>
                </wp:positionH>
                <wp:positionV relativeFrom="paragraph">
                  <wp:posOffset>574091</wp:posOffset>
                </wp:positionV>
                <wp:extent cx="4538345" cy="9525"/>
                <wp:effectExtent l="0" t="0" r="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D6298" id="Graphic 42" o:spid="_x0000_s1026" alt="&quot;&quot;" style="position:absolute;margin-left:119.05pt;margin-top:45.2pt;width:357.35pt;height:.75pt;z-index:251687936;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" path="m4537837,l,,,9143r4537837,l4537837,xe" fillcolor="black" stroked="f">
                <v:path arrowok="t"/>
                <w10:wrap anchorx="page"/>
              </v:shape>
            </w:pict>
          </mc:Fallback>
        </mc:AlternateContent>
      </w:r>
      <w:r>
        <w:rPr>
          <w:rFonts w:ascii="Times New Roman"/>
        </w:rPr>
        <w:t>The</w:t>
      </w:r>
      <w:r>
        <w:rPr>
          <w:rFonts w:ascii="Times New Roman"/>
          <w:spacing w:val="-5"/>
        </w:rPr>
        <w:t xml:space="preserve"> </w:t>
      </w:r>
      <w:r>
        <w:rPr>
          <w:rFonts w:ascii="Times New Roman"/>
        </w:rPr>
        <w:t>persons</w:t>
      </w:r>
      <w:r>
        <w:rPr>
          <w:rFonts w:ascii="Times New Roman"/>
          <w:spacing w:val="-5"/>
        </w:rPr>
        <w:t xml:space="preserve"> </w:t>
      </w:r>
      <w:r>
        <w:rPr>
          <w:rFonts w:ascii="Times New Roman"/>
        </w:rPr>
        <w:t>who</w:t>
      </w:r>
      <w:r>
        <w:rPr>
          <w:rFonts w:ascii="Times New Roman"/>
          <w:spacing w:val="-3"/>
        </w:rPr>
        <w:t xml:space="preserve"> </w:t>
      </w:r>
      <w:r>
        <w:rPr>
          <w:rFonts w:ascii="Times New Roman"/>
        </w:rPr>
        <w:t>are</w:t>
      </w:r>
      <w:r>
        <w:rPr>
          <w:rFonts w:ascii="Times New Roman"/>
          <w:spacing w:val="-3"/>
        </w:rPr>
        <w:t xml:space="preserve"> </w:t>
      </w:r>
      <w:r>
        <w:rPr>
          <w:rFonts w:ascii="Times New Roman"/>
        </w:rPr>
        <w:t>to</w:t>
      </w:r>
      <w:r>
        <w:rPr>
          <w:rFonts w:ascii="Times New Roman"/>
          <w:spacing w:val="-3"/>
        </w:rPr>
        <w:t xml:space="preserve"> </w:t>
      </w:r>
      <w:r>
        <w:rPr>
          <w:rFonts w:ascii="Times New Roman"/>
        </w:rPr>
        <w:t>undertake</w:t>
      </w:r>
      <w:r>
        <w:rPr>
          <w:rFonts w:ascii="Times New Roman"/>
          <w:spacing w:val="-2"/>
        </w:rPr>
        <w:t xml:space="preserve"> </w:t>
      </w:r>
      <w:r>
        <w:rPr>
          <w:rFonts w:ascii="Times New Roman"/>
        </w:rPr>
        <w:t>a</w:t>
      </w:r>
      <w:r>
        <w:rPr>
          <w:rFonts w:ascii="Times New Roman"/>
          <w:spacing w:val="-3"/>
        </w:rPr>
        <w:t xml:space="preserve"> </w:t>
      </w:r>
      <w:r>
        <w:rPr>
          <w:rFonts w:ascii="Times New Roman"/>
        </w:rPr>
        <w:t>review</w:t>
      </w:r>
      <w:r>
        <w:rPr>
          <w:rFonts w:ascii="Times New Roman"/>
          <w:spacing w:val="-3"/>
        </w:rPr>
        <w:t xml:space="preserve"> </w:t>
      </w:r>
      <w:r>
        <w:rPr>
          <w:rFonts w:ascii="Times New Roman"/>
        </w:rPr>
        <w:t>must</w:t>
      </w:r>
      <w:r>
        <w:rPr>
          <w:rFonts w:ascii="Times New Roman"/>
          <w:spacing w:val="-2"/>
        </w:rPr>
        <w:t xml:space="preserve"> </w:t>
      </w:r>
      <w:r>
        <w:rPr>
          <w:rFonts w:ascii="Times New Roman"/>
        </w:rPr>
        <w:t>be</w:t>
      </w:r>
      <w:r>
        <w:rPr>
          <w:rFonts w:ascii="Times New Roman"/>
          <w:spacing w:val="-3"/>
        </w:rPr>
        <w:t xml:space="preserve"> </w:t>
      </w:r>
      <w:r>
        <w:rPr>
          <w:rFonts w:ascii="Times New Roman"/>
        </w:rPr>
        <w:t>agreed between the Minister and the Chair.</w:t>
      </w:r>
    </w:p>
    <w:p w14:paraId="6DF05F2B" w14:textId="77777777" w:rsidR="00811887" w:rsidRDefault="00811887" w:rsidP="00811887">
      <w:pPr>
        <w:tabs>
          <w:tab w:val="left" w:pos="3686"/>
          <w:tab w:val="right" w:pos="8761"/>
        </w:tabs>
        <w:spacing w:before="563"/>
        <w:ind w:left="1670"/>
        <w:rPr>
          <w:rFonts w:ascii="Times New Roman"/>
          <w:i/>
          <w:sz w:val="18"/>
        </w:rPr>
      </w:pPr>
      <w:r>
        <w:rPr>
          <w:rFonts w:ascii="Times New Roman"/>
          <w:i/>
          <w:sz w:val="18"/>
        </w:rPr>
        <w:t>No.</w:t>
      </w:r>
      <w:r>
        <w:rPr>
          <w:rFonts w:ascii="Times New Roman"/>
          <w:i/>
          <w:spacing w:val="-4"/>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r>
      <w:r>
        <w:rPr>
          <w:rFonts w:ascii="Times New Roman"/>
          <w:i/>
          <w:spacing w:val="-5"/>
          <w:sz w:val="18"/>
        </w:rPr>
        <w:t>15</w:t>
      </w:r>
    </w:p>
    <w:p w14:paraId="397FE04B"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79CC77D5" w14:textId="77777777" w:rsidR="00811887" w:rsidRDefault="00811887" w:rsidP="00811887">
      <w:pPr>
        <w:spacing w:before="65"/>
        <w:ind w:left="1670"/>
        <w:rPr>
          <w:rFonts w:ascii="Times New Roman"/>
          <w:sz w:val="20"/>
        </w:rPr>
      </w:pPr>
      <w:r>
        <w:rPr>
          <w:rFonts w:ascii="Times New Roman"/>
          <w:b/>
          <w:sz w:val="20"/>
        </w:rPr>
        <w:lastRenderedPageBreak/>
        <w:t>Part</w:t>
      </w:r>
      <w:r>
        <w:rPr>
          <w:rFonts w:ascii="Times New Roman"/>
          <w:b/>
          <w:spacing w:val="-2"/>
          <w:sz w:val="20"/>
        </w:rPr>
        <w:t xml:space="preserve"> </w:t>
      </w:r>
      <w:r>
        <w:rPr>
          <w:rFonts w:ascii="Times New Roman"/>
          <w:b/>
          <w:sz w:val="20"/>
        </w:rPr>
        <w:t>3</w:t>
      </w:r>
      <w:r>
        <w:rPr>
          <w:rFonts w:ascii="Times New Roman"/>
          <w:b/>
          <w:spacing w:val="45"/>
          <w:sz w:val="20"/>
        </w:rPr>
        <w:t xml:space="preserve"> </w:t>
      </w:r>
      <w:r>
        <w:rPr>
          <w:rFonts w:ascii="Times New Roman"/>
          <w:sz w:val="20"/>
        </w:rPr>
        <w:t xml:space="preserve">Other </w:t>
      </w:r>
      <w:r>
        <w:rPr>
          <w:rFonts w:ascii="Times New Roman"/>
          <w:spacing w:val="-2"/>
          <w:sz w:val="20"/>
        </w:rPr>
        <w:t>matters</w:t>
      </w:r>
    </w:p>
    <w:p w14:paraId="341E175F" w14:textId="77777777" w:rsidR="00811887" w:rsidRDefault="00811887" w:rsidP="00811887">
      <w:pPr>
        <w:spacing w:before="537"/>
        <w:ind w:left="1670"/>
        <w:rPr>
          <w:rFonts w:ascii="Times New Roman"/>
          <w:sz w:val="24"/>
        </w:rPr>
      </w:pPr>
      <w:r>
        <w:rPr>
          <w:noProof/>
        </w:rPr>
        <mc:AlternateContent>
          <mc:Choice Requires="wps">
            <w:drawing>
              <wp:anchor distT="0" distB="0" distL="0" distR="0" simplePos="0" relativeHeight="251721728" behindDoc="1" locked="0" layoutInCell="1" allowOverlap="1" wp14:anchorId="1FB52314" wp14:editId="030F8671">
                <wp:simplePos x="0" y="0"/>
                <wp:positionH relativeFrom="page">
                  <wp:posOffset>1512061</wp:posOffset>
                </wp:positionH>
                <wp:positionV relativeFrom="paragraph">
                  <wp:posOffset>533793</wp:posOffset>
                </wp:positionV>
                <wp:extent cx="4538345" cy="9525"/>
                <wp:effectExtent l="0" t="0" r="0" b="0"/>
                <wp:wrapTopAndBottom/>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4"/>
                              </a:lnTo>
                              <a:lnTo>
                                <a:pt x="4537837" y="9144"/>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69653" id="Graphic 43" o:spid="_x0000_s1026" alt="&quot;&quot;" style="position:absolute;margin-left:119.05pt;margin-top:42.05pt;width:357.35pt;height:.75pt;z-index:-251594752;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Pq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" path="m4537837,l,,,9144r4537837,l4537837,xe" fillcolor="black" stroked="f">
                <v:path arrowok="t"/>
                <w10:wrap type="topAndBottom" anchorx="page"/>
              </v:shape>
            </w:pict>
          </mc:Fallback>
        </mc:AlternateContent>
      </w:r>
      <w:r>
        <w:rPr>
          <w:rFonts w:ascii="Times New Roman"/>
          <w:sz w:val="24"/>
        </w:rPr>
        <w:t>Section</w:t>
      </w:r>
      <w:r>
        <w:rPr>
          <w:rFonts w:ascii="Times New Roman"/>
          <w:spacing w:val="-2"/>
          <w:sz w:val="24"/>
        </w:rPr>
        <w:t xml:space="preserve"> </w:t>
      </w:r>
      <w:r>
        <w:rPr>
          <w:rFonts w:ascii="Times New Roman"/>
          <w:spacing w:val="-5"/>
          <w:sz w:val="24"/>
        </w:rPr>
        <w:t>29</w:t>
      </w:r>
    </w:p>
    <w:p w14:paraId="01736E0F" w14:textId="77777777" w:rsidR="00811887" w:rsidRDefault="00811887" w:rsidP="00811887">
      <w:pPr>
        <w:pStyle w:val="BodyText"/>
        <w:spacing w:before="33"/>
        <w:rPr>
          <w:rFonts w:ascii="Times New Roman"/>
          <w:sz w:val="22"/>
        </w:rPr>
      </w:pPr>
    </w:p>
    <w:p w14:paraId="4451E10F" w14:textId="77777777" w:rsidR="00811887" w:rsidRDefault="00811887" w:rsidP="00FB2FE9">
      <w:pPr>
        <w:pStyle w:val="ListParagraph"/>
        <w:widowControl w:val="0"/>
        <w:numPr>
          <w:ilvl w:val="1"/>
          <w:numId w:val="77"/>
        </w:numPr>
        <w:tabs>
          <w:tab w:val="left" w:pos="2800"/>
          <w:tab w:val="left" w:pos="2803"/>
        </w:tabs>
        <w:autoSpaceDE w:val="0"/>
        <w:autoSpaceDN w:val="0"/>
        <w:spacing w:after="0"/>
        <w:ind w:right="1960"/>
        <w:contextualSpacing w:val="0"/>
        <w:rPr>
          <w:rFonts w:ascii="Times New Roman"/>
        </w:rPr>
      </w:pPr>
      <w:r>
        <w:rPr>
          <w:rFonts w:ascii="Times New Roman"/>
        </w:rPr>
        <w:t>Without</w:t>
      </w:r>
      <w:r>
        <w:rPr>
          <w:rFonts w:ascii="Times New Roman"/>
          <w:spacing w:val="-3"/>
        </w:rPr>
        <w:t xml:space="preserve"> </w:t>
      </w:r>
      <w:r>
        <w:rPr>
          <w:rFonts w:ascii="Times New Roman"/>
        </w:rPr>
        <w:t>limiting</w:t>
      </w:r>
      <w:r>
        <w:rPr>
          <w:rFonts w:ascii="Times New Roman"/>
          <w:spacing w:val="-6"/>
        </w:rPr>
        <w:t xml:space="preserve"> </w:t>
      </w:r>
      <w:r>
        <w:rPr>
          <w:rFonts w:ascii="Times New Roman"/>
        </w:rPr>
        <w:t>subsection</w:t>
      </w:r>
      <w:r>
        <w:rPr>
          <w:rFonts w:ascii="Times New Roman"/>
          <w:spacing w:val="-3"/>
        </w:rPr>
        <w:t xml:space="preserve"> </w:t>
      </w:r>
      <w:r>
        <w:rPr>
          <w:rFonts w:ascii="Times New Roman"/>
        </w:rPr>
        <w:t>(1),</w:t>
      </w:r>
      <w:r>
        <w:rPr>
          <w:rFonts w:ascii="Times New Roman"/>
          <w:spacing w:val="-6"/>
        </w:rPr>
        <w:t xml:space="preserve"> </w:t>
      </w:r>
      <w:r>
        <w:rPr>
          <w:rFonts w:ascii="Times New Roman"/>
        </w:rPr>
        <w:t>a</w:t>
      </w:r>
      <w:r>
        <w:rPr>
          <w:rFonts w:ascii="Times New Roman"/>
          <w:spacing w:val="-4"/>
        </w:rPr>
        <w:t xml:space="preserve"> </w:t>
      </w:r>
      <w:r>
        <w:rPr>
          <w:rFonts w:ascii="Times New Roman"/>
        </w:rPr>
        <w:t>review</w:t>
      </w:r>
      <w:r>
        <w:rPr>
          <w:rFonts w:ascii="Times New Roman"/>
          <w:spacing w:val="-4"/>
        </w:rPr>
        <w:t xml:space="preserve"> </w:t>
      </w:r>
      <w:r>
        <w:rPr>
          <w:rFonts w:ascii="Times New Roman"/>
        </w:rPr>
        <w:t>must</w:t>
      </w:r>
      <w:r>
        <w:rPr>
          <w:rFonts w:ascii="Times New Roman"/>
          <w:spacing w:val="-3"/>
        </w:rPr>
        <w:t xml:space="preserve"> </w:t>
      </w:r>
      <w:r>
        <w:rPr>
          <w:rFonts w:ascii="Times New Roman"/>
        </w:rPr>
        <w:t>consider</w:t>
      </w:r>
      <w:r>
        <w:rPr>
          <w:rFonts w:ascii="Times New Roman"/>
          <w:spacing w:val="-2"/>
        </w:rPr>
        <w:t xml:space="preserve"> </w:t>
      </w:r>
      <w:r>
        <w:rPr>
          <w:rFonts w:ascii="Times New Roman"/>
        </w:rPr>
        <w:t>whether the Committee is carrying out its function effectively.</w:t>
      </w:r>
    </w:p>
    <w:p w14:paraId="1433CB5A" w14:textId="77777777" w:rsidR="00811887" w:rsidRDefault="00811887" w:rsidP="00811887">
      <w:pPr>
        <w:spacing w:before="241"/>
        <w:ind w:left="2803"/>
        <w:rPr>
          <w:rFonts w:ascii="Times New Roman"/>
          <w:i/>
        </w:rPr>
      </w:pPr>
      <w:r>
        <w:rPr>
          <w:rFonts w:ascii="Times New Roman"/>
          <w:i/>
        </w:rPr>
        <w:t>First</w:t>
      </w:r>
      <w:r>
        <w:rPr>
          <w:rFonts w:ascii="Times New Roman"/>
          <w:i/>
          <w:spacing w:val="-6"/>
        </w:rPr>
        <w:t xml:space="preserve"> </w:t>
      </w:r>
      <w:r>
        <w:rPr>
          <w:rFonts w:ascii="Times New Roman"/>
          <w:i/>
          <w:spacing w:val="-2"/>
        </w:rPr>
        <w:t>review</w:t>
      </w:r>
    </w:p>
    <w:p w14:paraId="220D04E7" w14:textId="77777777" w:rsidR="00811887" w:rsidRDefault="00811887" w:rsidP="00FB2FE9">
      <w:pPr>
        <w:pStyle w:val="ListParagraph"/>
        <w:widowControl w:val="0"/>
        <w:numPr>
          <w:ilvl w:val="1"/>
          <w:numId w:val="77"/>
        </w:numPr>
        <w:tabs>
          <w:tab w:val="left" w:pos="2801"/>
          <w:tab w:val="left" w:pos="2803"/>
        </w:tabs>
        <w:autoSpaceDE w:val="0"/>
        <w:autoSpaceDN w:val="0"/>
        <w:spacing w:before="179" w:after="0"/>
        <w:ind w:right="1880"/>
        <w:contextualSpacing w:val="0"/>
        <w:rPr>
          <w:rFonts w:ascii="Times New Roman"/>
        </w:rPr>
      </w:pPr>
      <w:r>
        <w:rPr>
          <w:rFonts w:ascii="Times New Roman"/>
        </w:rPr>
        <w:t>The</w:t>
      </w:r>
      <w:r>
        <w:rPr>
          <w:rFonts w:ascii="Times New Roman"/>
          <w:spacing w:val="-5"/>
        </w:rPr>
        <w:t xml:space="preserve"> </w:t>
      </w:r>
      <w:r>
        <w:rPr>
          <w:rFonts w:ascii="Times New Roman"/>
        </w:rPr>
        <w:t>first</w:t>
      </w:r>
      <w:r>
        <w:rPr>
          <w:rFonts w:ascii="Times New Roman"/>
          <w:spacing w:val="-2"/>
        </w:rPr>
        <w:t xml:space="preserve"> </w:t>
      </w:r>
      <w:r>
        <w:rPr>
          <w:rFonts w:ascii="Times New Roman"/>
        </w:rPr>
        <w:t>review</w:t>
      </w:r>
      <w:r>
        <w:rPr>
          <w:rFonts w:ascii="Times New Roman"/>
          <w:spacing w:val="-3"/>
        </w:rPr>
        <w:t xml:space="preserve"> </w:t>
      </w:r>
      <w:r>
        <w:rPr>
          <w:rFonts w:ascii="Times New Roman"/>
        </w:rPr>
        <w:t>under</w:t>
      </w:r>
      <w:r>
        <w:rPr>
          <w:rFonts w:ascii="Times New Roman"/>
          <w:spacing w:val="-3"/>
        </w:rPr>
        <w:t xml:space="preserve"> </w:t>
      </w:r>
      <w:r>
        <w:rPr>
          <w:rFonts w:ascii="Times New Roman"/>
        </w:rPr>
        <w:t>subsection</w:t>
      </w:r>
      <w:r>
        <w:rPr>
          <w:rFonts w:ascii="Times New Roman"/>
          <w:spacing w:val="-4"/>
        </w:rPr>
        <w:t xml:space="preserve"> </w:t>
      </w:r>
      <w:r>
        <w:rPr>
          <w:rFonts w:ascii="Times New Roman"/>
        </w:rPr>
        <w:t>(1)</w:t>
      </w:r>
      <w:r>
        <w:rPr>
          <w:rFonts w:ascii="Times New Roman"/>
          <w:spacing w:val="-3"/>
        </w:rPr>
        <w:t xml:space="preserve"> </w:t>
      </w:r>
      <w:r>
        <w:rPr>
          <w:rFonts w:ascii="Times New Roman"/>
        </w:rPr>
        <w:t>must</w:t>
      </w:r>
      <w:r>
        <w:rPr>
          <w:rFonts w:ascii="Times New Roman"/>
          <w:spacing w:val="-2"/>
        </w:rPr>
        <w:t xml:space="preserve"> </w:t>
      </w:r>
      <w:r>
        <w:rPr>
          <w:rFonts w:ascii="Times New Roman"/>
        </w:rPr>
        <w:t>be</w:t>
      </w:r>
      <w:r>
        <w:rPr>
          <w:rFonts w:ascii="Times New Roman"/>
          <w:spacing w:val="-3"/>
        </w:rPr>
        <w:t xml:space="preserve"> </w:t>
      </w:r>
      <w:r>
        <w:rPr>
          <w:rFonts w:ascii="Times New Roman"/>
        </w:rPr>
        <w:t>completed</w:t>
      </w:r>
      <w:r>
        <w:rPr>
          <w:rFonts w:ascii="Times New Roman"/>
          <w:spacing w:val="-3"/>
        </w:rPr>
        <w:t xml:space="preserve"> </w:t>
      </w:r>
      <w:r>
        <w:rPr>
          <w:rFonts w:ascii="Times New Roman"/>
        </w:rPr>
        <w:t>within</w:t>
      </w:r>
      <w:r>
        <w:rPr>
          <w:rFonts w:ascii="Times New Roman"/>
          <w:spacing w:val="-2"/>
        </w:rPr>
        <w:t xml:space="preserve"> </w:t>
      </w:r>
      <w:r>
        <w:rPr>
          <w:rFonts w:ascii="Times New Roman"/>
        </w:rPr>
        <w:t>3 years after the commencement of this section.</w:t>
      </w:r>
    </w:p>
    <w:p w14:paraId="6881D726" w14:textId="77777777" w:rsidR="00811887" w:rsidRDefault="00811887" w:rsidP="00811887">
      <w:pPr>
        <w:spacing w:before="240"/>
        <w:ind w:left="2803"/>
        <w:rPr>
          <w:rFonts w:ascii="Times New Roman"/>
          <w:i/>
        </w:rPr>
      </w:pPr>
      <w:r>
        <w:rPr>
          <w:rFonts w:ascii="Times New Roman"/>
          <w:i/>
        </w:rPr>
        <w:t>Later</w:t>
      </w:r>
      <w:r>
        <w:rPr>
          <w:rFonts w:ascii="Times New Roman"/>
          <w:i/>
          <w:spacing w:val="-4"/>
        </w:rPr>
        <w:t xml:space="preserve"> </w:t>
      </w:r>
      <w:r>
        <w:rPr>
          <w:rFonts w:ascii="Times New Roman"/>
          <w:i/>
          <w:spacing w:val="-2"/>
        </w:rPr>
        <w:t>reviews</w:t>
      </w:r>
    </w:p>
    <w:p w14:paraId="5827C6B6" w14:textId="77777777" w:rsidR="00811887" w:rsidRDefault="00811887" w:rsidP="00FB2FE9">
      <w:pPr>
        <w:pStyle w:val="ListParagraph"/>
        <w:widowControl w:val="0"/>
        <w:numPr>
          <w:ilvl w:val="1"/>
          <w:numId w:val="77"/>
        </w:numPr>
        <w:tabs>
          <w:tab w:val="left" w:pos="2801"/>
          <w:tab w:val="left" w:pos="2803"/>
        </w:tabs>
        <w:autoSpaceDE w:val="0"/>
        <w:autoSpaceDN w:val="0"/>
        <w:spacing w:before="182" w:after="0"/>
        <w:ind w:right="1748"/>
        <w:contextualSpacing w:val="0"/>
        <w:rPr>
          <w:rFonts w:ascii="Times New Roman"/>
        </w:rPr>
      </w:pPr>
      <w:r>
        <w:rPr>
          <w:rFonts w:ascii="Times New Roman"/>
        </w:rPr>
        <w:t>Each</w:t>
      </w:r>
      <w:r>
        <w:rPr>
          <w:rFonts w:ascii="Times New Roman"/>
          <w:spacing w:val="-3"/>
        </w:rPr>
        <w:t xml:space="preserve"> </w:t>
      </w:r>
      <w:r>
        <w:rPr>
          <w:rFonts w:ascii="Times New Roman"/>
        </w:rPr>
        <w:t>later</w:t>
      </w:r>
      <w:r>
        <w:rPr>
          <w:rFonts w:ascii="Times New Roman"/>
          <w:spacing w:val="-5"/>
        </w:rPr>
        <w:t xml:space="preserve"> </w:t>
      </w:r>
      <w:r>
        <w:rPr>
          <w:rFonts w:ascii="Times New Roman"/>
        </w:rPr>
        <w:t>review</w:t>
      </w:r>
      <w:r>
        <w:rPr>
          <w:rFonts w:ascii="Times New Roman"/>
          <w:spacing w:val="-3"/>
        </w:rPr>
        <w:t xml:space="preserve"> </w:t>
      </w:r>
      <w:r>
        <w:rPr>
          <w:rFonts w:ascii="Times New Roman"/>
        </w:rPr>
        <w:t>under</w:t>
      </w:r>
      <w:r>
        <w:rPr>
          <w:rFonts w:ascii="Times New Roman"/>
          <w:spacing w:val="-2"/>
        </w:rPr>
        <w:t xml:space="preserve"> </w:t>
      </w:r>
      <w:r>
        <w:rPr>
          <w:rFonts w:ascii="Times New Roman"/>
        </w:rPr>
        <w:t>subsection</w:t>
      </w:r>
      <w:r>
        <w:rPr>
          <w:rFonts w:ascii="Times New Roman"/>
          <w:spacing w:val="-4"/>
        </w:rPr>
        <w:t xml:space="preserve"> </w:t>
      </w:r>
      <w:r>
        <w:rPr>
          <w:rFonts w:ascii="Times New Roman"/>
        </w:rPr>
        <w:t>(1)</w:t>
      </w:r>
      <w:r>
        <w:rPr>
          <w:rFonts w:ascii="Times New Roman"/>
          <w:spacing w:val="-3"/>
        </w:rPr>
        <w:t xml:space="preserve"> </w:t>
      </w:r>
      <w:r>
        <w:rPr>
          <w:rFonts w:ascii="Times New Roman"/>
        </w:rPr>
        <w:t>must</w:t>
      </w:r>
      <w:r>
        <w:rPr>
          <w:rFonts w:ascii="Times New Roman"/>
          <w:spacing w:val="-2"/>
        </w:rPr>
        <w:t xml:space="preserve"> </w:t>
      </w:r>
      <w:r>
        <w:rPr>
          <w:rFonts w:ascii="Times New Roman"/>
        </w:rPr>
        <w:t>be</w:t>
      </w:r>
      <w:r>
        <w:rPr>
          <w:rFonts w:ascii="Times New Roman"/>
          <w:spacing w:val="-3"/>
        </w:rPr>
        <w:t xml:space="preserve"> </w:t>
      </w:r>
      <w:r>
        <w:rPr>
          <w:rFonts w:ascii="Times New Roman"/>
        </w:rPr>
        <w:t>completed</w:t>
      </w:r>
      <w:r>
        <w:rPr>
          <w:rFonts w:ascii="Times New Roman"/>
          <w:spacing w:val="-3"/>
        </w:rPr>
        <w:t xml:space="preserve"> </w:t>
      </w:r>
      <w:r>
        <w:rPr>
          <w:rFonts w:ascii="Times New Roman"/>
        </w:rPr>
        <w:t>within</w:t>
      </w:r>
      <w:r>
        <w:rPr>
          <w:rFonts w:ascii="Times New Roman"/>
          <w:spacing w:val="-4"/>
        </w:rPr>
        <w:t xml:space="preserve"> </w:t>
      </w:r>
      <w:r>
        <w:rPr>
          <w:rFonts w:ascii="Times New Roman"/>
        </w:rPr>
        <w:t>5 years after the completion of the previous review.</w:t>
      </w:r>
    </w:p>
    <w:p w14:paraId="08FF2244" w14:textId="77777777" w:rsidR="00811887" w:rsidRDefault="00811887" w:rsidP="00811887">
      <w:pPr>
        <w:spacing w:before="238"/>
        <w:ind w:left="2803"/>
        <w:rPr>
          <w:rFonts w:ascii="Times New Roman"/>
          <w:i/>
        </w:rPr>
      </w:pPr>
      <w:r>
        <w:rPr>
          <w:rFonts w:ascii="Times New Roman"/>
          <w:i/>
        </w:rPr>
        <w:t>Report</w:t>
      </w:r>
      <w:r>
        <w:rPr>
          <w:rFonts w:ascii="Times New Roman"/>
          <w:i/>
          <w:spacing w:val="-1"/>
        </w:rPr>
        <w:t xml:space="preserve"> </w:t>
      </w:r>
      <w:r>
        <w:rPr>
          <w:rFonts w:ascii="Times New Roman"/>
          <w:i/>
        </w:rPr>
        <w:t>of</w:t>
      </w:r>
      <w:r>
        <w:rPr>
          <w:rFonts w:ascii="Times New Roman"/>
          <w:i/>
          <w:spacing w:val="-2"/>
        </w:rPr>
        <w:t xml:space="preserve"> </w:t>
      </w:r>
      <w:r>
        <w:rPr>
          <w:rFonts w:ascii="Times New Roman"/>
          <w:i/>
        </w:rPr>
        <w:t xml:space="preserve">a </w:t>
      </w:r>
      <w:r>
        <w:rPr>
          <w:rFonts w:ascii="Times New Roman"/>
          <w:i/>
          <w:spacing w:val="-2"/>
        </w:rPr>
        <w:t>review</w:t>
      </w:r>
    </w:p>
    <w:p w14:paraId="3ED23EA1" w14:textId="77777777" w:rsidR="00811887" w:rsidRDefault="00811887" w:rsidP="00FB2FE9">
      <w:pPr>
        <w:pStyle w:val="ListParagraph"/>
        <w:widowControl w:val="0"/>
        <w:numPr>
          <w:ilvl w:val="1"/>
          <w:numId w:val="77"/>
        </w:numPr>
        <w:tabs>
          <w:tab w:val="left" w:pos="2800"/>
          <w:tab w:val="left" w:pos="2803"/>
        </w:tabs>
        <w:autoSpaceDE w:val="0"/>
        <w:autoSpaceDN w:val="0"/>
        <w:spacing w:before="182" w:after="0"/>
        <w:ind w:right="1784"/>
        <w:contextualSpacing w:val="0"/>
        <w:rPr>
          <w:rFonts w:ascii="Times New Roman"/>
        </w:rPr>
      </w:pPr>
      <w:r>
        <w:rPr>
          <w:rFonts w:ascii="Times New Roman"/>
        </w:rPr>
        <w:t>The</w:t>
      </w:r>
      <w:r>
        <w:rPr>
          <w:rFonts w:ascii="Times New Roman"/>
          <w:spacing w:val="-5"/>
        </w:rPr>
        <w:t xml:space="preserve"> </w:t>
      </w:r>
      <w:r>
        <w:rPr>
          <w:rFonts w:ascii="Times New Roman"/>
        </w:rPr>
        <w:t>persons</w:t>
      </w:r>
      <w:r>
        <w:rPr>
          <w:rFonts w:ascii="Times New Roman"/>
          <w:spacing w:val="-5"/>
        </w:rPr>
        <w:t xml:space="preserve"> </w:t>
      </w:r>
      <w:r>
        <w:rPr>
          <w:rFonts w:ascii="Times New Roman"/>
        </w:rPr>
        <w:t>undertaking</w:t>
      </w:r>
      <w:r>
        <w:rPr>
          <w:rFonts w:ascii="Times New Roman"/>
          <w:spacing w:val="-5"/>
        </w:rPr>
        <w:t xml:space="preserve"> </w:t>
      </w:r>
      <w:r>
        <w:rPr>
          <w:rFonts w:ascii="Times New Roman"/>
        </w:rPr>
        <w:t>a</w:t>
      </w:r>
      <w:r>
        <w:rPr>
          <w:rFonts w:ascii="Times New Roman"/>
          <w:spacing w:val="-2"/>
        </w:rPr>
        <w:t xml:space="preserve"> </w:t>
      </w:r>
      <w:r>
        <w:rPr>
          <w:rFonts w:ascii="Times New Roman"/>
        </w:rPr>
        <w:t>review</w:t>
      </w:r>
      <w:r>
        <w:rPr>
          <w:rFonts w:ascii="Times New Roman"/>
          <w:spacing w:val="-3"/>
        </w:rPr>
        <w:t xml:space="preserve"> </w:t>
      </w:r>
      <w:r>
        <w:rPr>
          <w:rFonts w:ascii="Times New Roman"/>
        </w:rPr>
        <w:t>must</w:t>
      </w:r>
      <w:r>
        <w:rPr>
          <w:rFonts w:ascii="Times New Roman"/>
          <w:spacing w:val="-2"/>
        </w:rPr>
        <w:t xml:space="preserve"> </w:t>
      </w:r>
      <w:r>
        <w:rPr>
          <w:rFonts w:ascii="Times New Roman"/>
        </w:rPr>
        <w:t>give</w:t>
      </w:r>
      <w:r>
        <w:rPr>
          <w:rFonts w:ascii="Times New Roman"/>
          <w:spacing w:val="-3"/>
        </w:rPr>
        <w:t xml:space="preserve"> </w:t>
      </w:r>
      <w:r>
        <w:rPr>
          <w:rFonts w:ascii="Times New Roman"/>
        </w:rPr>
        <w:t>the</w:t>
      </w:r>
      <w:r>
        <w:rPr>
          <w:rFonts w:ascii="Times New Roman"/>
          <w:spacing w:val="-2"/>
        </w:rPr>
        <w:t xml:space="preserve"> </w:t>
      </w:r>
      <w:r>
        <w:rPr>
          <w:rFonts w:ascii="Times New Roman"/>
        </w:rPr>
        <w:t>Minister</w:t>
      </w:r>
      <w:r>
        <w:rPr>
          <w:rFonts w:ascii="Times New Roman"/>
          <w:spacing w:val="-1"/>
        </w:rPr>
        <w:t xml:space="preserve"> </w:t>
      </w:r>
      <w:r>
        <w:rPr>
          <w:rFonts w:ascii="Times New Roman"/>
        </w:rPr>
        <w:t>a</w:t>
      </w:r>
      <w:r>
        <w:rPr>
          <w:rFonts w:ascii="Times New Roman"/>
          <w:spacing w:val="-3"/>
        </w:rPr>
        <w:t xml:space="preserve"> </w:t>
      </w:r>
      <w:r>
        <w:rPr>
          <w:rFonts w:ascii="Times New Roman"/>
        </w:rPr>
        <w:t>written report of the review no later than 6 months after the review starts.</w:t>
      </w:r>
    </w:p>
    <w:p w14:paraId="22B97B9C" w14:textId="77777777" w:rsidR="00811887" w:rsidRDefault="00811887" w:rsidP="00FB2FE9">
      <w:pPr>
        <w:pStyle w:val="ListParagraph"/>
        <w:widowControl w:val="0"/>
        <w:numPr>
          <w:ilvl w:val="1"/>
          <w:numId w:val="77"/>
        </w:numPr>
        <w:tabs>
          <w:tab w:val="left" w:pos="2800"/>
          <w:tab w:val="left" w:pos="2803"/>
        </w:tabs>
        <w:autoSpaceDE w:val="0"/>
        <w:autoSpaceDN w:val="0"/>
        <w:spacing w:before="180" w:after="0"/>
        <w:ind w:right="1758"/>
        <w:contextualSpacing w:val="0"/>
        <w:rPr>
          <w:rFonts w:ascii="Times New Roman"/>
        </w:rPr>
      </w:pPr>
      <w:r>
        <w:rPr>
          <w:rFonts w:ascii="Times New Roman"/>
        </w:rPr>
        <w:t>The</w:t>
      </w:r>
      <w:r>
        <w:rPr>
          <w:rFonts w:ascii="Times New Roman"/>
          <w:spacing w:val="-4"/>
        </w:rPr>
        <w:t xml:space="preserve"> </w:t>
      </w:r>
      <w:r>
        <w:rPr>
          <w:rFonts w:ascii="Times New Roman"/>
        </w:rPr>
        <w:t>Minister</w:t>
      </w:r>
      <w:r>
        <w:rPr>
          <w:rFonts w:ascii="Times New Roman"/>
          <w:spacing w:val="-2"/>
        </w:rPr>
        <w:t xml:space="preserve"> </w:t>
      </w:r>
      <w:r>
        <w:rPr>
          <w:rFonts w:ascii="Times New Roman"/>
        </w:rPr>
        <w:t>must</w:t>
      </w:r>
      <w:r>
        <w:rPr>
          <w:rFonts w:ascii="Times New Roman"/>
          <w:spacing w:val="-1"/>
        </w:rPr>
        <w:t xml:space="preserve"> </w:t>
      </w:r>
      <w:r>
        <w:rPr>
          <w:rFonts w:ascii="Times New Roman"/>
        </w:rPr>
        <w:t>give</w:t>
      </w:r>
      <w:r>
        <w:rPr>
          <w:rFonts w:ascii="Times New Roman"/>
          <w:spacing w:val="-2"/>
        </w:rPr>
        <w:t xml:space="preserve"> </w:t>
      </w:r>
      <w:r>
        <w:rPr>
          <w:rFonts w:ascii="Times New Roman"/>
        </w:rPr>
        <w:t>a</w:t>
      </w:r>
      <w:r>
        <w:rPr>
          <w:rFonts w:ascii="Times New Roman"/>
          <w:spacing w:val="-2"/>
        </w:rPr>
        <w:t xml:space="preserve"> </w:t>
      </w:r>
      <w:r>
        <w:rPr>
          <w:rFonts w:ascii="Times New Roman"/>
        </w:rPr>
        <w:t>copy</w:t>
      </w:r>
      <w:r>
        <w:rPr>
          <w:rFonts w:ascii="Times New Roman"/>
          <w:spacing w:val="-5"/>
        </w:rPr>
        <w:t xml:space="preserve"> </w:t>
      </w:r>
      <w:r>
        <w:rPr>
          <w:rFonts w:ascii="Times New Roman"/>
        </w:rPr>
        <w:t>of</w:t>
      </w:r>
      <w:r>
        <w:rPr>
          <w:rFonts w:ascii="Times New Roman"/>
          <w:spacing w:val="-2"/>
        </w:rPr>
        <w:t xml:space="preserve"> </w:t>
      </w:r>
      <w:r>
        <w:rPr>
          <w:rFonts w:ascii="Times New Roman"/>
        </w:rPr>
        <w:t>the</w:t>
      </w:r>
      <w:r>
        <w:rPr>
          <w:rFonts w:ascii="Times New Roman"/>
          <w:spacing w:val="-4"/>
        </w:rPr>
        <w:t xml:space="preserve"> </w:t>
      </w:r>
      <w:r>
        <w:rPr>
          <w:rFonts w:ascii="Times New Roman"/>
        </w:rPr>
        <w:t>report</w:t>
      </w:r>
      <w:r>
        <w:rPr>
          <w:rFonts w:ascii="Times New Roman"/>
          <w:spacing w:val="-4"/>
        </w:rPr>
        <w:t xml:space="preserve"> </w:t>
      </w:r>
      <w:r>
        <w:rPr>
          <w:rFonts w:ascii="Times New Roman"/>
        </w:rPr>
        <w:t>to</w:t>
      </w:r>
      <w:r>
        <w:rPr>
          <w:rFonts w:ascii="Times New Roman"/>
          <w:spacing w:val="-5"/>
        </w:rPr>
        <w:t xml:space="preserve"> </w:t>
      </w:r>
      <w:r>
        <w:rPr>
          <w:rFonts w:ascii="Times New Roman"/>
        </w:rPr>
        <w:t>the Chair</w:t>
      </w:r>
      <w:r>
        <w:rPr>
          <w:rFonts w:ascii="Times New Roman"/>
          <w:spacing w:val="-1"/>
        </w:rPr>
        <w:t xml:space="preserve"> </w:t>
      </w:r>
      <w:r>
        <w:rPr>
          <w:rFonts w:ascii="Times New Roman"/>
        </w:rPr>
        <w:t>as</w:t>
      </w:r>
      <w:r>
        <w:rPr>
          <w:rFonts w:ascii="Times New Roman"/>
          <w:spacing w:val="-2"/>
        </w:rPr>
        <w:t xml:space="preserve"> </w:t>
      </w:r>
      <w:r>
        <w:rPr>
          <w:rFonts w:ascii="Times New Roman"/>
        </w:rPr>
        <w:t>soon</w:t>
      </w:r>
      <w:r>
        <w:rPr>
          <w:rFonts w:ascii="Times New Roman"/>
          <w:spacing w:val="-2"/>
        </w:rPr>
        <w:t xml:space="preserve"> </w:t>
      </w:r>
      <w:r>
        <w:rPr>
          <w:rFonts w:ascii="Times New Roman"/>
        </w:rPr>
        <w:t>as practicable after receiving the report.</w:t>
      </w:r>
    </w:p>
    <w:p w14:paraId="40C7D056" w14:textId="77777777" w:rsidR="00811887" w:rsidRDefault="00811887" w:rsidP="00FB2FE9">
      <w:pPr>
        <w:pStyle w:val="ListParagraph"/>
        <w:widowControl w:val="0"/>
        <w:numPr>
          <w:ilvl w:val="1"/>
          <w:numId w:val="77"/>
        </w:numPr>
        <w:tabs>
          <w:tab w:val="left" w:pos="2800"/>
          <w:tab w:val="left" w:pos="2803"/>
        </w:tabs>
        <w:autoSpaceDE w:val="0"/>
        <w:autoSpaceDN w:val="0"/>
        <w:spacing w:before="178" w:after="0"/>
        <w:ind w:right="1852"/>
        <w:contextualSpacing w:val="0"/>
        <w:rPr>
          <w:rFonts w:ascii="Times New Roman"/>
        </w:rPr>
      </w:pPr>
      <w:r>
        <w:rPr>
          <w:rFonts w:ascii="Times New Roman"/>
        </w:rPr>
        <w:t>The Minister must cause a copy of the report to be tabled in each House</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rPr>
        <w:t>Parliament</w:t>
      </w:r>
      <w:r>
        <w:rPr>
          <w:rFonts w:ascii="Times New Roman"/>
          <w:spacing w:val="-2"/>
        </w:rPr>
        <w:t xml:space="preserve"> </w:t>
      </w:r>
      <w:r>
        <w:rPr>
          <w:rFonts w:ascii="Times New Roman"/>
        </w:rPr>
        <w:t>within</w:t>
      </w:r>
      <w:r>
        <w:rPr>
          <w:rFonts w:ascii="Times New Roman"/>
          <w:spacing w:val="-5"/>
        </w:rPr>
        <w:t xml:space="preserve"> </w:t>
      </w:r>
      <w:r>
        <w:rPr>
          <w:rFonts w:ascii="Times New Roman"/>
        </w:rPr>
        <w:t>15</w:t>
      </w:r>
      <w:r>
        <w:rPr>
          <w:rFonts w:ascii="Times New Roman"/>
          <w:spacing w:val="-3"/>
        </w:rPr>
        <w:t xml:space="preserve"> </w:t>
      </w:r>
      <w:r>
        <w:rPr>
          <w:rFonts w:ascii="Times New Roman"/>
        </w:rPr>
        <w:t>sitting</w:t>
      </w:r>
      <w:r>
        <w:rPr>
          <w:rFonts w:ascii="Times New Roman"/>
          <w:spacing w:val="-5"/>
        </w:rPr>
        <w:t xml:space="preserve"> </w:t>
      </w:r>
      <w:r>
        <w:rPr>
          <w:rFonts w:ascii="Times New Roman"/>
        </w:rPr>
        <w:t>days</w:t>
      </w:r>
      <w:r>
        <w:rPr>
          <w:rFonts w:ascii="Times New Roman"/>
          <w:spacing w:val="-3"/>
        </w:rPr>
        <w:t xml:space="preserve"> </w:t>
      </w:r>
      <w:r>
        <w:rPr>
          <w:rFonts w:ascii="Times New Roman"/>
        </w:rPr>
        <w:t>of</w:t>
      </w:r>
      <w:r>
        <w:rPr>
          <w:rFonts w:ascii="Times New Roman"/>
          <w:spacing w:val="-4"/>
        </w:rPr>
        <w:t xml:space="preserve"> </w:t>
      </w:r>
      <w:r>
        <w:rPr>
          <w:rFonts w:ascii="Times New Roman"/>
        </w:rPr>
        <w:t>that</w:t>
      </w:r>
      <w:r>
        <w:rPr>
          <w:rFonts w:ascii="Times New Roman"/>
          <w:spacing w:val="-4"/>
        </w:rPr>
        <w:t xml:space="preserve"> </w:t>
      </w:r>
      <w:r>
        <w:rPr>
          <w:rFonts w:ascii="Times New Roman"/>
        </w:rPr>
        <w:t>House</w:t>
      </w:r>
      <w:r>
        <w:rPr>
          <w:rFonts w:ascii="Times New Roman"/>
          <w:spacing w:val="-3"/>
        </w:rPr>
        <w:t xml:space="preserve"> </w:t>
      </w:r>
      <w:r>
        <w:rPr>
          <w:rFonts w:ascii="Times New Roman"/>
        </w:rPr>
        <w:t>after the day on which the report is given to the Minister.</w:t>
      </w:r>
    </w:p>
    <w:p w14:paraId="4C9043B7" w14:textId="77777777" w:rsidR="00811887" w:rsidRDefault="00811887" w:rsidP="00811887">
      <w:pPr>
        <w:pStyle w:val="BodyText"/>
        <w:spacing w:before="33"/>
        <w:rPr>
          <w:rFonts w:ascii="Times New Roman"/>
          <w:sz w:val="22"/>
        </w:rPr>
      </w:pPr>
    </w:p>
    <w:p w14:paraId="5582A077" w14:textId="77777777" w:rsidR="00811887" w:rsidRDefault="00811887" w:rsidP="00FB2FE9">
      <w:pPr>
        <w:pStyle w:val="Heading7"/>
        <w:numPr>
          <w:ilvl w:val="0"/>
          <w:numId w:val="77"/>
        </w:numPr>
        <w:tabs>
          <w:tab w:val="left" w:pos="2030"/>
        </w:tabs>
        <w:ind w:left="2030" w:hanging="360"/>
      </w:pPr>
      <w:bookmarkStart w:id="110" w:name="_TOC_250000"/>
      <w:bookmarkEnd w:id="110"/>
      <w:r>
        <w:rPr>
          <w:spacing w:val="-2"/>
        </w:rPr>
        <w:t>Regulations</w:t>
      </w:r>
    </w:p>
    <w:p w14:paraId="0F52DF08" w14:textId="77777777" w:rsidR="00811887" w:rsidRDefault="00811887" w:rsidP="00811887">
      <w:pPr>
        <w:spacing w:before="175"/>
        <w:ind w:left="2803"/>
        <w:rPr>
          <w:rFonts w:ascii="Times New Roman"/>
        </w:rPr>
      </w:pPr>
      <w:r>
        <w:rPr>
          <w:rFonts w:ascii="Times New Roman"/>
        </w:rPr>
        <w:t>The</w:t>
      </w:r>
      <w:r>
        <w:rPr>
          <w:rFonts w:ascii="Times New Roman"/>
          <w:spacing w:val="-8"/>
        </w:rPr>
        <w:t xml:space="preserve"> </w:t>
      </w:r>
      <w:r>
        <w:rPr>
          <w:rFonts w:ascii="Times New Roman"/>
        </w:rPr>
        <w:t>Governor-General</w:t>
      </w:r>
      <w:r>
        <w:rPr>
          <w:rFonts w:ascii="Times New Roman"/>
          <w:spacing w:val="-5"/>
        </w:rPr>
        <w:t xml:space="preserve"> </w:t>
      </w:r>
      <w:r>
        <w:rPr>
          <w:rFonts w:ascii="Times New Roman"/>
        </w:rPr>
        <w:t>may</w:t>
      </w:r>
      <w:r>
        <w:rPr>
          <w:rFonts w:ascii="Times New Roman"/>
          <w:spacing w:val="-5"/>
        </w:rPr>
        <w:t xml:space="preserve"> </w:t>
      </w:r>
      <w:r>
        <w:rPr>
          <w:rFonts w:ascii="Times New Roman"/>
        </w:rPr>
        <w:t>make</w:t>
      </w:r>
      <w:r>
        <w:rPr>
          <w:rFonts w:ascii="Times New Roman"/>
          <w:spacing w:val="-6"/>
        </w:rPr>
        <w:t xml:space="preserve"> </w:t>
      </w:r>
      <w:r>
        <w:rPr>
          <w:rFonts w:ascii="Times New Roman"/>
        </w:rPr>
        <w:t>regulations</w:t>
      </w:r>
      <w:r>
        <w:rPr>
          <w:rFonts w:ascii="Times New Roman"/>
          <w:spacing w:val="-7"/>
        </w:rPr>
        <w:t xml:space="preserve"> </w:t>
      </w:r>
      <w:r>
        <w:rPr>
          <w:rFonts w:ascii="Times New Roman"/>
        </w:rPr>
        <w:t>prescribing</w:t>
      </w:r>
      <w:r>
        <w:rPr>
          <w:rFonts w:ascii="Times New Roman"/>
          <w:spacing w:val="-6"/>
        </w:rPr>
        <w:t xml:space="preserve"> </w:t>
      </w:r>
      <w:r>
        <w:rPr>
          <w:rFonts w:ascii="Times New Roman"/>
          <w:spacing w:val="-2"/>
        </w:rPr>
        <w:t>matters:</w:t>
      </w:r>
    </w:p>
    <w:p w14:paraId="7942FBA9" w14:textId="77777777" w:rsidR="00811887" w:rsidRDefault="00811887" w:rsidP="00FB2FE9">
      <w:pPr>
        <w:pStyle w:val="ListParagraph"/>
        <w:widowControl w:val="0"/>
        <w:numPr>
          <w:ilvl w:val="0"/>
          <w:numId w:val="71"/>
        </w:numPr>
        <w:tabs>
          <w:tab w:val="left" w:pos="3313"/>
        </w:tabs>
        <w:autoSpaceDE w:val="0"/>
        <w:autoSpaceDN w:val="0"/>
        <w:spacing w:before="42" w:after="0"/>
        <w:ind w:left="3313" w:hanging="356"/>
        <w:contextualSpacing w:val="0"/>
        <w:rPr>
          <w:rFonts w:ascii="Times New Roman"/>
        </w:rPr>
      </w:pPr>
      <w:r>
        <w:rPr>
          <w:rFonts w:ascii="Times New Roman"/>
        </w:rPr>
        <w:t>required</w:t>
      </w:r>
      <w:r>
        <w:rPr>
          <w:rFonts w:ascii="Times New Roman"/>
          <w:spacing w:val="-3"/>
        </w:rPr>
        <w:t xml:space="preserve"> </w:t>
      </w:r>
      <w:r>
        <w:rPr>
          <w:rFonts w:ascii="Times New Roman"/>
        </w:rPr>
        <w:t>or</w:t>
      </w:r>
      <w:r>
        <w:rPr>
          <w:rFonts w:ascii="Times New Roman"/>
          <w:spacing w:val="-4"/>
        </w:rPr>
        <w:t xml:space="preserve"> </w:t>
      </w:r>
      <w:r>
        <w:rPr>
          <w:rFonts w:ascii="Times New Roman"/>
        </w:rPr>
        <w:t>permitted</w:t>
      </w:r>
      <w:r>
        <w:rPr>
          <w:rFonts w:ascii="Times New Roman"/>
          <w:spacing w:val="-2"/>
        </w:rPr>
        <w:t xml:space="preserve"> </w:t>
      </w:r>
      <w:r>
        <w:rPr>
          <w:rFonts w:ascii="Times New Roman"/>
        </w:rPr>
        <w:t>by</w:t>
      </w:r>
      <w:r>
        <w:rPr>
          <w:rFonts w:ascii="Times New Roman"/>
          <w:spacing w:val="-5"/>
        </w:rPr>
        <w:t xml:space="preserve"> </w:t>
      </w:r>
      <w:r>
        <w:rPr>
          <w:rFonts w:ascii="Times New Roman"/>
        </w:rPr>
        <w:t>this</w:t>
      </w:r>
      <w:r>
        <w:rPr>
          <w:rFonts w:ascii="Times New Roman"/>
          <w:spacing w:val="-2"/>
        </w:rPr>
        <w:t xml:space="preserve"> </w:t>
      </w:r>
      <w:r>
        <w:rPr>
          <w:rFonts w:ascii="Times New Roman"/>
        </w:rPr>
        <w:t>Act</w:t>
      </w:r>
      <w:r>
        <w:rPr>
          <w:rFonts w:ascii="Times New Roman"/>
          <w:spacing w:val="-2"/>
        </w:rPr>
        <w:t xml:space="preserve"> </w:t>
      </w:r>
      <w:r>
        <w:rPr>
          <w:rFonts w:ascii="Times New Roman"/>
        </w:rPr>
        <w:t>to</w:t>
      </w:r>
      <w:r>
        <w:rPr>
          <w:rFonts w:ascii="Times New Roman"/>
          <w:spacing w:val="-3"/>
        </w:rPr>
        <w:t xml:space="preserve"> </w:t>
      </w:r>
      <w:r>
        <w:rPr>
          <w:rFonts w:ascii="Times New Roman"/>
        </w:rPr>
        <w:t>be</w:t>
      </w:r>
      <w:r>
        <w:rPr>
          <w:rFonts w:ascii="Times New Roman"/>
          <w:spacing w:val="-4"/>
        </w:rPr>
        <w:t xml:space="preserve"> </w:t>
      </w:r>
      <w:r>
        <w:rPr>
          <w:rFonts w:ascii="Times New Roman"/>
        </w:rPr>
        <w:t>prescribed;</w:t>
      </w:r>
      <w:r>
        <w:rPr>
          <w:rFonts w:ascii="Times New Roman"/>
          <w:spacing w:val="-1"/>
        </w:rPr>
        <w:t xml:space="preserve"> </w:t>
      </w:r>
      <w:r>
        <w:rPr>
          <w:rFonts w:ascii="Times New Roman"/>
          <w:spacing w:val="-5"/>
        </w:rPr>
        <w:t>or</w:t>
      </w:r>
    </w:p>
    <w:p w14:paraId="19BD86B8" w14:textId="77777777" w:rsidR="00811887" w:rsidRDefault="00811887" w:rsidP="00FB2FE9">
      <w:pPr>
        <w:pStyle w:val="ListParagraph"/>
        <w:widowControl w:val="0"/>
        <w:numPr>
          <w:ilvl w:val="0"/>
          <w:numId w:val="71"/>
        </w:numPr>
        <w:tabs>
          <w:tab w:val="left" w:pos="3312"/>
          <w:tab w:val="left" w:pos="3314"/>
        </w:tabs>
        <w:autoSpaceDE w:val="0"/>
        <w:autoSpaceDN w:val="0"/>
        <w:spacing w:before="40" w:after="0"/>
        <w:ind w:right="1879" w:hanging="370"/>
        <w:contextualSpacing w:val="0"/>
        <w:rPr>
          <w:rFonts w:ascii="Times New Roman"/>
        </w:rPr>
      </w:pPr>
      <w:r>
        <w:rPr>
          <w:rFonts w:ascii="Times New Roman"/>
        </w:rPr>
        <w:t>necessary</w:t>
      </w:r>
      <w:r>
        <w:rPr>
          <w:rFonts w:ascii="Times New Roman"/>
          <w:spacing w:val="-6"/>
        </w:rPr>
        <w:t xml:space="preserve"> </w:t>
      </w:r>
      <w:r>
        <w:rPr>
          <w:rFonts w:ascii="Times New Roman"/>
        </w:rPr>
        <w:t>or</w:t>
      </w:r>
      <w:r>
        <w:rPr>
          <w:rFonts w:ascii="Times New Roman"/>
          <w:spacing w:val="-3"/>
        </w:rPr>
        <w:t xml:space="preserve"> </w:t>
      </w:r>
      <w:r>
        <w:rPr>
          <w:rFonts w:ascii="Times New Roman"/>
        </w:rPr>
        <w:t>convenient</w:t>
      </w:r>
      <w:r>
        <w:rPr>
          <w:rFonts w:ascii="Times New Roman"/>
          <w:spacing w:val="-5"/>
        </w:rPr>
        <w:t xml:space="preserve"> </w:t>
      </w:r>
      <w:r>
        <w:rPr>
          <w:rFonts w:ascii="Times New Roman"/>
        </w:rPr>
        <w:t>to</w:t>
      </w:r>
      <w:r>
        <w:rPr>
          <w:rFonts w:ascii="Times New Roman"/>
          <w:spacing w:val="-6"/>
        </w:rPr>
        <w:t xml:space="preserve"> </w:t>
      </w:r>
      <w:r>
        <w:rPr>
          <w:rFonts w:ascii="Times New Roman"/>
        </w:rPr>
        <w:t>be</w:t>
      </w:r>
      <w:r>
        <w:rPr>
          <w:rFonts w:ascii="Times New Roman"/>
          <w:spacing w:val="-3"/>
        </w:rPr>
        <w:t xml:space="preserve"> </w:t>
      </w:r>
      <w:r>
        <w:rPr>
          <w:rFonts w:ascii="Times New Roman"/>
        </w:rPr>
        <w:t>prescribed</w:t>
      </w:r>
      <w:r>
        <w:rPr>
          <w:rFonts w:ascii="Times New Roman"/>
          <w:spacing w:val="-3"/>
        </w:rPr>
        <w:t xml:space="preserve"> </w:t>
      </w:r>
      <w:r>
        <w:rPr>
          <w:rFonts w:ascii="Times New Roman"/>
        </w:rPr>
        <w:t>for</w:t>
      </w:r>
      <w:r>
        <w:rPr>
          <w:rFonts w:ascii="Times New Roman"/>
          <w:spacing w:val="-3"/>
        </w:rPr>
        <w:t xml:space="preserve"> </w:t>
      </w:r>
      <w:r>
        <w:rPr>
          <w:rFonts w:ascii="Times New Roman"/>
        </w:rPr>
        <w:t>carrying</w:t>
      </w:r>
      <w:r>
        <w:rPr>
          <w:rFonts w:ascii="Times New Roman"/>
          <w:spacing w:val="-6"/>
        </w:rPr>
        <w:t xml:space="preserve"> </w:t>
      </w:r>
      <w:r>
        <w:rPr>
          <w:rFonts w:ascii="Times New Roman"/>
        </w:rPr>
        <w:t>out</w:t>
      </w:r>
      <w:r>
        <w:rPr>
          <w:rFonts w:ascii="Times New Roman"/>
          <w:spacing w:val="-2"/>
        </w:rPr>
        <w:t xml:space="preserve"> </w:t>
      </w:r>
      <w:r>
        <w:rPr>
          <w:rFonts w:ascii="Times New Roman"/>
        </w:rPr>
        <w:t>or giving effect to this Act.</w:t>
      </w:r>
    </w:p>
    <w:p w14:paraId="16E6124B" w14:textId="77777777" w:rsidR="00811887" w:rsidRDefault="00811887" w:rsidP="00811887">
      <w:pPr>
        <w:pStyle w:val="BodyText"/>
        <w:rPr>
          <w:rFonts w:ascii="Times New Roman"/>
        </w:rPr>
      </w:pPr>
    </w:p>
    <w:p w14:paraId="13588BBC" w14:textId="77777777" w:rsidR="00811887" w:rsidRDefault="00811887" w:rsidP="00811887">
      <w:pPr>
        <w:pStyle w:val="BodyText"/>
        <w:rPr>
          <w:rFonts w:ascii="Times New Roman"/>
        </w:rPr>
      </w:pPr>
    </w:p>
    <w:p w14:paraId="46F55F86" w14:textId="77777777" w:rsidR="00811887" w:rsidRDefault="00811887" w:rsidP="00811887">
      <w:pPr>
        <w:pStyle w:val="BodyText"/>
        <w:spacing w:before="10"/>
        <w:rPr>
          <w:rFonts w:ascii="Times New Roman"/>
        </w:rPr>
      </w:pPr>
      <w:r>
        <w:rPr>
          <w:noProof/>
        </w:rPr>
        <mc:AlternateContent>
          <mc:Choice Requires="wps">
            <w:drawing>
              <wp:anchor distT="0" distB="0" distL="0" distR="0" simplePos="0" relativeHeight="251722752" behindDoc="1" locked="0" layoutInCell="1" allowOverlap="1" wp14:anchorId="05A55E2B" wp14:editId="341A452E">
                <wp:simplePos x="0" y="0"/>
                <wp:positionH relativeFrom="page">
                  <wp:posOffset>1512061</wp:posOffset>
                </wp:positionH>
                <wp:positionV relativeFrom="paragraph">
                  <wp:posOffset>167979</wp:posOffset>
                </wp:positionV>
                <wp:extent cx="4538345" cy="3175"/>
                <wp:effectExtent l="0" t="0" r="0" b="0"/>
                <wp:wrapTopAndBottom/>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3175"/>
                        </a:xfrm>
                        <a:custGeom>
                          <a:avLst/>
                          <a:gdLst/>
                          <a:ahLst/>
                          <a:cxnLst/>
                          <a:rect l="l" t="t" r="r" b="b"/>
                          <a:pathLst>
                            <a:path w="4538345" h="3175">
                              <a:moveTo>
                                <a:pt x="4537837" y="0"/>
                              </a:moveTo>
                              <a:lnTo>
                                <a:pt x="0" y="0"/>
                              </a:lnTo>
                              <a:lnTo>
                                <a:pt x="0" y="3047"/>
                              </a:lnTo>
                              <a:lnTo>
                                <a:pt x="4537837" y="3047"/>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C4D9C0" id="Graphic 44" o:spid="_x0000_s1026" alt="&quot;&quot;" style="position:absolute;margin-left:119.05pt;margin-top:13.25pt;width:357.35pt;height:.25pt;z-index:-251593728;visibility:visible;mso-wrap-style:square;mso-wrap-distance-left:0;mso-wrap-distance-top:0;mso-wrap-distance-right:0;mso-wrap-distance-bottom:0;mso-position-horizontal:absolute;mso-position-horizontal-relative:page;mso-position-vertical:absolute;mso-position-vertical-relative:text;v-text-anchor:top" coordsize="45383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" path="m4537837,l,,,3047r4537837,l4537837,xe" fillcolor="black" stroked="f">
                <v:path arrowok="t"/>
                <w10:wrap type="topAndBottom" anchorx="page"/>
              </v:shape>
            </w:pict>
          </mc:Fallback>
        </mc:AlternateContent>
      </w:r>
    </w:p>
    <w:p w14:paraId="4E5E624F" w14:textId="77777777" w:rsidR="00811887" w:rsidRDefault="00811887" w:rsidP="00811887">
      <w:pPr>
        <w:pStyle w:val="BodyText"/>
        <w:spacing w:before="44"/>
        <w:rPr>
          <w:rFonts w:ascii="Times New Roman"/>
        </w:rPr>
      </w:pPr>
    </w:p>
    <w:p w14:paraId="15EE473F" w14:textId="77777777" w:rsidR="00811887" w:rsidRDefault="00811887" w:rsidP="00811887">
      <w:pPr>
        <w:spacing w:line="271" w:lineRule="auto"/>
        <w:ind w:left="1670" w:right="5085"/>
        <w:jc w:val="both"/>
        <w:rPr>
          <w:rFonts w:ascii="Times New Roman" w:hAnsi="Times New Roman"/>
          <w:sz w:val="20"/>
        </w:rPr>
      </w:pPr>
      <w:r>
        <w:rPr>
          <w:rFonts w:ascii="Times New Roman" w:hAnsi="Times New Roman"/>
          <w:sz w:val="20"/>
        </w:rPr>
        <w:t>[</w:t>
      </w:r>
      <w:r>
        <w:rPr>
          <w:rFonts w:ascii="Times New Roman" w:hAnsi="Times New Roman"/>
          <w:i/>
          <w:sz w:val="20"/>
        </w:rPr>
        <w:t>Minister’s second reading speech made in— House</w:t>
      </w:r>
      <w:r>
        <w:rPr>
          <w:rFonts w:ascii="Times New Roman" w:hAnsi="Times New Roman"/>
          <w:i/>
          <w:spacing w:val="-6"/>
          <w:sz w:val="20"/>
        </w:rPr>
        <w:t xml:space="preserve"> </w:t>
      </w:r>
      <w:r>
        <w:rPr>
          <w:rFonts w:ascii="Times New Roman" w:hAnsi="Times New Roman"/>
          <w:i/>
          <w:sz w:val="20"/>
        </w:rPr>
        <w:t>of</w:t>
      </w:r>
      <w:r>
        <w:rPr>
          <w:rFonts w:ascii="Times New Roman" w:hAnsi="Times New Roman"/>
          <w:i/>
          <w:spacing w:val="-7"/>
          <w:sz w:val="20"/>
        </w:rPr>
        <w:t xml:space="preserve"> </w:t>
      </w:r>
      <w:r>
        <w:rPr>
          <w:rFonts w:ascii="Times New Roman" w:hAnsi="Times New Roman"/>
          <w:i/>
          <w:sz w:val="20"/>
        </w:rPr>
        <w:t>Representatives</w:t>
      </w:r>
      <w:r>
        <w:rPr>
          <w:rFonts w:ascii="Times New Roman" w:hAnsi="Times New Roman"/>
          <w:i/>
          <w:spacing w:val="-7"/>
          <w:sz w:val="20"/>
        </w:rPr>
        <w:t xml:space="preserve"> </w:t>
      </w:r>
      <w:r>
        <w:rPr>
          <w:rFonts w:ascii="Times New Roman" w:hAnsi="Times New Roman"/>
          <w:i/>
          <w:sz w:val="20"/>
        </w:rPr>
        <w:t>on</w:t>
      </w:r>
      <w:r>
        <w:rPr>
          <w:rFonts w:ascii="Times New Roman" w:hAnsi="Times New Roman"/>
          <w:i/>
          <w:spacing w:val="-5"/>
          <w:sz w:val="20"/>
        </w:rPr>
        <w:t xml:space="preserve"> </w:t>
      </w:r>
      <w:r>
        <w:rPr>
          <w:rFonts w:ascii="Times New Roman" w:hAnsi="Times New Roman"/>
          <w:i/>
          <w:sz w:val="20"/>
        </w:rPr>
        <w:t>19</w:t>
      </w:r>
      <w:r>
        <w:rPr>
          <w:rFonts w:ascii="Times New Roman" w:hAnsi="Times New Roman"/>
          <w:i/>
          <w:spacing w:val="-5"/>
          <w:sz w:val="20"/>
        </w:rPr>
        <w:t xml:space="preserve"> </w:t>
      </w:r>
      <w:r>
        <w:rPr>
          <w:rFonts w:ascii="Times New Roman" w:hAnsi="Times New Roman"/>
          <w:i/>
          <w:sz w:val="20"/>
        </w:rPr>
        <w:t>October</w:t>
      </w:r>
      <w:r>
        <w:rPr>
          <w:rFonts w:ascii="Times New Roman" w:hAnsi="Times New Roman"/>
          <w:i/>
          <w:spacing w:val="-7"/>
          <w:sz w:val="20"/>
        </w:rPr>
        <w:t xml:space="preserve"> </w:t>
      </w:r>
      <w:r>
        <w:rPr>
          <w:rFonts w:ascii="Times New Roman" w:hAnsi="Times New Roman"/>
          <w:i/>
          <w:sz w:val="20"/>
        </w:rPr>
        <w:t>2023 Senate on 4 December 2023</w:t>
      </w:r>
      <w:r>
        <w:rPr>
          <w:rFonts w:ascii="Times New Roman" w:hAnsi="Times New Roman"/>
          <w:sz w:val="20"/>
        </w:rPr>
        <w:t>]</w:t>
      </w:r>
    </w:p>
    <w:p w14:paraId="712FE77E" w14:textId="77777777" w:rsidR="00811887" w:rsidRDefault="00811887" w:rsidP="00811887">
      <w:pPr>
        <w:pStyle w:val="BodyText"/>
        <w:spacing w:before="33"/>
        <w:rPr>
          <w:rFonts w:ascii="Times New Roman"/>
        </w:rPr>
      </w:pPr>
    </w:p>
    <w:p w14:paraId="55D0C209" w14:textId="77777777" w:rsidR="00811887" w:rsidRDefault="00811887" w:rsidP="00811887">
      <w:pPr>
        <w:ind w:left="1770"/>
        <w:rPr>
          <w:rFonts w:ascii="Times New Roman"/>
        </w:rPr>
      </w:pPr>
      <w:r>
        <w:rPr>
          <w:rFonts w:ascii="Times New Roman"/>
          <w:spacing w:val="-2"/>
        </w:rPr>
        <w:t>(127/23)</w:t>
      </w:r>
    </w:p>
    <w:p w14:paraId="44B0B773" w14:textId="77777777" w:rsidR="00811887" w:rsidRDefault="00811887" w:rsidP="00811887">
      <w:pPr>
        <w:pStyle w:val="BodyText"/>
        <w:spacing w:before="197"/>
        <w:rPr>
          <w:rFonts w:ascii="Times New Roman"/>
        </w:rPr>
      </w:pPr>
      <w:r>
        <w:rPr>
          <w:noProof/>
        </w:rPr>
        <mc:AlternateContent>
          <mc:Choice Requires="wps">
            <w:drawing>
              <wp:anchor distT="0" distB="0" distL="0" distR="0" simplePos="0" relativeHeight="251723776" behindDoc="1" locked="0" layoutInCell="1" allowOverlap="1" wp14:anchorId="6EDCD0F6" wp14:editId="28496777">
                <wp:simplePos x="0" y="0"/>
                <wp:positionH relativeFrom="page">
                  <wp:posOffset>1512061</wp:posOffset>
                </wp:positionH>
                <wp:positionV relativeFrom="paragraph">
                  <wp:posOffset>286910</wp:posOffset>
                </wp:positionV>
                <wp:extent cx="4538345" cy="9525"/>
                <wp:effectExtent l="0" t="0" r="0" b="0"/>
                <wp:wrapTopAndBottom/>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8345" cy="9525"/>
                        </a:xfrm>
                        <a:custGeom>
                          <a:avLst/>
                          <a:gdLst/>
                          <a:ahLst/>
                          <a:cxnLst/>
                          <a:rect l="l" t="t" r="r" b="b"/>
                          <a:pathLst>
                            <a:path w="4538345" h="9525">
                              <a:moveTo>
                                <a:pt x="4537837" y="0"/>
                              </a:moveTo>
                              <a:lnTo>
                                <a:pt x="0" y="0"/>
                              </a:lnTo>
                              <a:lnTo>
                                <a:pt x="0" y="9143"/>
                              </a:lnTo>
                              <a:lnTo>
                                <a:pt x="4537837" y="9143"/>
                              </a:lnTo>
                              <a:lnTo>
                                <a:pt x="45378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A7CD6" id="Graphic 45" o:spid="_x0000_s1026" alt="&quot;&quot;" style="position:absolute;margin-left:119.05pt;margin-top:22.6pt;width:357.35pt;height:.75pt;z-index:-251592704;visibility:visible;mso-wrap-style:square;mso-wrap-distance-left:0;mso-wrap-distance-top:0;mso-wrap-distance-right:0;mso-wrap-distance-bottom:0;mso-position-horizontal:absolute;mso-position-horizontal-relative:page;mso-position-vertical:absolute;mso-position-vertical-relative:text;v-text-anchor:top" coordsize="45383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" path="m4537837,l,,,9143r4537837,l4537837,xe" fillcolor="black" stroked="f">
                <v:path arrowok="t"/>
                <w10:wrap type="topAndBottom" anchorx="page"/>
              </v:shape>
            </w:pict>
          </mc:Fallback>
        </mc:AlternateContent>
      </w:r>
    </w:p>
    <w:p w14:paraId="4A7A8AFF" w14:textId="77777777" w:rsidR="00811887" w:rsidRDefault="00811887" w:rsidP="00811887">
      <w:pPr>
        <w:pStyle w:val="BodyText"/>
        <w:spacing w:before="121"/>
        <w:rPr>
          <w:rFonts w:ascii="Times New Roman"/>
          <w:sz w:val="18"/>
        </w:rPr>
      </w:pPr>
    </w:p>
    <w:p w14:paraId="5A3338C5" w14:textId="77777777" w:rsidR="00811887" w:rsidRDefault="00811887" w:rsidP="00811887">
      <w:pPr>
        <w:tabs>
          <w:tab w:val="left" w:pos="3084"/>
          <w:tab w:val="left" w:pos="7738"/>
        </w:tabs>
        <w:ind w:left="1670"/>
        <w:rPr>
          <w:rFonts w:ascii="Times New Roman"/>
          <w:i/>
          <w:sz w:val="18"/>
        </w:rPr>
      </w:pPr>
      <w:r>
        <w:rPr>
          <w:rFonts w:ascii="Times New Roman"/>
          <w:i/>
          <w:spacing w:val="-5"/>
          <w:sz w:val="18"/>
        </w:rPr>
        <w:t>16</w:t>
      </w:r>
      <w:r>
        <w:rPr>
          <w:rFonts w:ascii="Times New Roman"/>
          <w:i/>
          <w:sz w:val="18"/>
        </w:rPr>
        <w:tab/>
        <w:t>Economic</w:t>
      </w:r>
      <w:r>
        <w:rPr>
          <w:rFonts w:ascii="Times New Roman"/>
          <w:i/>
          <w:spacing w:val="-3"/>
          <w:sz w:val="18"/>
        </w:rPr>
        <w:t xml:space="preserve"> </w:t>
      </w:r>
      <w:r>
        <w:rPr>
          <w:rFonts w:ascii="Times New Roman"/>
          <w:i/>
          <w:sz w:val="18"/>
        </w:rPr>
        <w:t>Inclusion</w:t>
      </w:r>
      <w:r>
        <w:rPr>
          <w:rFonts w:ascii="Times New Roman"/>
          <w:i/>
          <w:spacing w:val="-3"/>
          <w:sz w:val="18"/>
        </w:rPr>
        <w:t xml:space="preserve"> </w:t>
      </w:r>
      <w:r>
        <w:rPr>
          <w:rFonts w:ascii="Times New Roman"/>
          <w:i/>
          <w:sz w:val="18"/>
        </w:rPr>
        <w:t>Advisory</w:t>
      </w:r>
      <w:r>
        <w:rPr>
          <w:rFonts w:ascii="Times New Roman"/>
          <w:i/>
          <w:spacing w:val="-3"/>
          <w:sz w:val="18"/>
        </w:rPr>
        <w:t xml:space="preserve"> </w:t>
      </w:r>
      <w:r>
        <w:rPr>
          <w:rFonts w:ascii="Times New Roman"/>
          <w:i/>
          <w:sz w:val="18"/>
        </w:rPr>
        <w:t>Committee</w:t>
      </w:r>
      <w:r>
        <w:rPr>
          <w:rFonts w:ascii="Times New Roman"/>
          <w:i/>
          <w:spacing w:val="-3"/>
          <w:sz w:val="18"/>
        </w:rPr>
        <w:t xml:space="preserve"> </w:t>
      </w:r>
      <w:r>
        <w:rPr>
          <w:rFonts w:ascii="Times New Roman"/>
          <w:i/>
          <w:sz w:val="18"/>
        </w:rPr>
        <w:t>Act</w:t>
      </w:r>
      <w:r>
        <w:rPr>
          <w:rFonts w:ascii="Times New Roman"/>
          <w:i/>
          <w:spacing w:val="-1"/>
          <w:sz w:val="18"/>
        </w:rPr>
        <w:t xml:space="preserve"> </w:t>
      </w:r>
      <w:r>
        <w:rPr>
          <w:rFonts w:ascii="Times New Roman"/>
          <w:i/>
          <w:spacing w:val="-4"/>
          <w:sz w:val="18"/>
        </w:rPr>
        <w:t>2023</w:t>
      </w:r>
      <w:r>
        <w:rPr>
          <w:rFonts w:ascii="Times New Roman"/>
          <w:i/>
          <w:sz w:val="18"/>
        </w:rPr>
        <w:tab/>
        <w:t>No.</w:t>
      </w:r>
      <w:r>
        <w:rPr>
          <w:rFonts w:ascii="Times New Roman"/>
          <w:i/>
          <w:spacing w:val="-2"/>
          <w:sz w:val="18"/>
        </w:rPr>
        <w:t xml:space="preserve"> </w:t>
      </w:r>
      <w:r>
        <w:rPr>
          <w:rFonts w:ascii="Times New Roman"/>
          <w:i/>
          <w:sz w:val="18"/>
        </w:rPr>
        <w:t>112,</w:t>
      </w:r>
      <w:r>
        <w:rPr>
          <w:rFonts w:ascii="Times New Roman"/>
          <w:i/>
          <w:spacing w:val="-1"/>
          <w:sz w:val="18"/>
        </w:rPr>
        <w:t xml:space="preserve"> </w:t>
      </w:r>
      <w:r>
        <w:rPr>
          <w:rFonts w:ascii="Times New Roman"/>
          <w:i/>
          <w:spacing w:val="-4"/>
          <w:sz w:val="18"/>
        </w:rPr>
        <w:t>2023</w:t>
      </w:r>
    </w:p>
    <w:p w14:paraId="7A15B920" w14:textId="77777777" w:rsidR="00811887" w:rsidRDefault="00811887" w:rsidP="00811887">
      <w:pPr>
        <w:rPr>
          <w:rFonts w:ascii="Times New Roman"/>
          <w:sz w:val="18"/>
        </w:rPr>
        <w:sectPr w:rsidR="00811887" w:rsidSect="00811887">
          <w:pgSz w:w="11910" w:h="16840"/>
          <w:pgMar w:top="920" w:right="722" w:bottom="560" w:left="740" w:header="0" w:footer="377" w:gutter="0"/>
          <w:cols w:space="720"/>
        </w:sectPr>
      </w:pPr>
    </w:p>
    <w:p w14:paraId="2E6BFF7B" w14:textId="77777777" w:rsidR="00811887" w:rsidRDefault="00811887" w:rsidP="00811887">
      <w:pPr>
        <w:spacing w:before="79"/>
        <w:ind w:left="165"/>
        <w:rPr>
          <w:b/>
        </w:rPr>
      </w:pPr>
      <w:r>
        <w:rPr>
          <w:b/>
        </w:rPr>
        <w:lastRenderedPageBreak/>
        <w:t>Chart</w:t>
      </w:r>
      <w:r>
        <w:rPr>
          <w:b/>
          <w:spacing w:val="-5"/>
        </w:rPr>
        <w:t xml:space="preserve"> </w:t>
      </w:r>
      <w:r>
        <w:rPr>
          <w:b/>
        </w:rPr>
        <w:t>1.</w:t>
      </w:r>
      <w:r>
        <w:rPr>
          <w:b/>
          <w:spacing w:val="-5"/>
        </w:rPr>
        <w:t xml:space="preserve"> </w:t>
      </w:r>
      <w:r>
        <w:rPr>
          <w:b/>
        </w:rPr>
        <w:t>Headline</w:t>
      </w:r>
      <w:r>
        <w:rPr>
          <w:b/>
          <w:spacing w:val="-3"/>
        </w:rPr>
        <w:t xml:space="preserve"> </w:t>
      </w:r>
      <w:r>
        <w:rPr>
          <w:b/>
        </w:rPr>
        <w:t>poverty</w:t>
      </w:r>
      <w:r>
        <w:rPr>
          <w:b/>
          <w:spacing w:val="-7"/>
        </w:rPr>
        <w:t xml:space="preserve"> </w:t>
      </w:r>
      <w:r>
        <w:rPr>
          <w:b/>
        </w:rPr>
        <w:t>measures</w:t>
      </w:r>
      <w:r>
        <w:rPr>
          <w:b/>
          <w:spacing w:val="-3"/>
        </w:rPr>
        <w:t xml:space="preserve"> </w:t>
      </w:r>
      <w:r>
        <w:rPr>
          <w:b/>
        </w:rPr>
        <w:t>timeline</w:t>
      </w:r>
      <w:r>
        <w:rPr>
          <w:b/>
          <w:spacing w:val="-8"/>
        </w:rPr>
        <w:t xml:space="preserve"> </w:t>
      </w:r>
      <w:r>
        <w:rPr>
          <w:b/>
        </w:rPr>
        <w:t>2000-</w:t>
      </w:r>
      <w:r>
        <w:rPr>
          <w:b/>
          <w:spacing w:val="-4"/>
        </w:rPr>
        <w:t>2023</w:t>
      </w:r>
    </w:p>
    <w:p w14:paraId="0034D918" w14:textId="77777777" w:rsidR="00811887" w:rsidRDefault="00811887" w:rsidP="00811887">
      <w:pPr>
        <w:pStyle w:val="BodyText"/>
        <w:rPr>
          <w:rFonts w:ascii="Arial"/>
          <w:b/>
        </w:rPr>
      </w:pPr>
    </w:p>
    <w:p w14:paraId="0679252B" w14:textId="77777777" w:rsidR="00811887" w:rsidRDefault="00811887" w:rsidP="00811887">
      <w:pPr>
        <w:sectPr w:rsidR="00811887" w:rsidSect="00811887">
          <w:footerReference w:type="default" r:id="rId56"/>
          <w:pgSz w:w="11910" w:h="16840"/>
          <w:pgMar w:top="880" w:right="721" w:bottom="1200" w:left="740" w:header="0" w:footer="1005" w:gutter="0"/>
          <w:pgNumType w:start="2"/>
          <w:cols w:space="720"/>
        </w:sectPr>
      </w:pPr>
    </w:p>
    <w:p w14:paraId="7093A5FB" w14:textId="77777777" w:rsidR="00811887" w:rsidRDefault="00811887" w:rsidP="00811887">
      <w:pPr>
        <w:pStyle w:val="BodyText"/>
        <w:rPr>
          <w:rFonts w:ascii="Arial"/>
          <w:b/>
        </w:rPr>
      </w:pP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1971"/>
        <w:gridCol w:w="1971"/>
        <w:gridCol w:w="1976"/>
        <w:gridCol w:w="1970"/>
      </w:tblGrid>
      <w:tr w:rsidR="00811887" w14:paraId="19C71E79" w14:textId="77777777" w:rsidTr="00486E22">
        <w:trPr>
          <w:trHeight w:val="655"/>
        </w:trPr>
        <w:tc>
          <w:tcPr>
            <w:tcW w:w="1131" w:type="dxa"/>
            <w:shd w:val="clear" w:color="auto" w:fill="234060"/>
          </w:tcPr>
          <w:p w14:paraId="6B5381B5" w14:textId="77777777" w:rsidR="00811887" w:rsidRDefault="00811887" w:rsidP="00486E22">
            <w:pPr>
              <w:pStyle w:val="TableParagraph"/>
              <w:spacing w:before="129" w:line="240" w:lineRule="auto"/>
              <w:ind w:left="110"/>
              <w:rPr>
                <w:b/>
                <w:sz w:val="20"/>
              </w:rPr>
            </w:pPr>
            <w:r>
              <w:rPr>
                <w:b/>
                <w:color w:val="FFFFFF"/>
                <w:spacing w:val="-4"/>
                <w:sz w:val="20"/>
              </w:rPr>
              <w:t>Date</w:t>
            </w:r>
          </w:p>
        </w:tc>
        <w:tc>
          <w:tcPr>
            <w:tcW w:w="1971" w:type="dxa"/>
            <w:shd w:val="clear" w:color="auto" w:fill="234060"/>
          </w:tcPr>
          <w:p w14:paraId="7DA3E99F" w14:textId="77777777" w:rsidR="00811887" w:rsidRDefault="00811887" w:rsidP="00486E22">
            <w:pPr>
              <w:pStyle w:val="TableParagraph"/>
              <w:ind w:left="109"/>
              <w:rPr>
                <w:b/>
                <w:sz w:val="20"/>
              </w:rPr>
            </w:pPr>
            <w:r>
              <w:rPr>
                <w:b/>
                <w:color w:val="FFFFFF"/>
                <w:sz w:val="20"/>
              </w:rPr>
              <w:t>ABS</w:t>
            </w:r>
            <w:r>
              <w:rPr>
                <w:b/>
                <w:color w:val="FFFFFF"/>
                <w:spacing w:val="-3"/>
                <w:sz w:val="20"/>
              </w:rPr>
              <w:t xml:space="preserve"> </w:t>
            </w:r>
            <w:r>
              <w:rPr>
                <w:b/>
                <w:color w:val="FFFFFF"/>
                <w:sz w:val="20"/>
              </w:rPr>
              <w:t>50%</w:t>
            </w:r>
            <w:r>
              <w:rPr>
                <w:b/>
                <w:color w:val="FFFFFF"/>
                <w:spacing w:val="-3"/>
                <w:sz w:val="20"/>
              </w:rPr>
              <w:t xml:space="preserve"> </w:t>
            </w:r>
            <w:r>
              <w:rPr>
                <w:b/>
                <w:color w:val="FFFFFF"/>
                <w:sz w:val="20"/>
              </w:rPr>
              <w:t>EDHI</w:t>
            </w:r>
            <w:r>
              <w:rPr>
                <w:b/>
                <w:color w:val="FFFFFF"/>
                <w:spacing w:val="-1"/>
                <w:sz w:val="20"/>
              </w:rPr>
              <w:t xml:space="preserve"> </w:t>
            </w:r>
            <w:r>
              <w:rPr>
                <w:b/>
                <w:color w:val="FFFFFF"/>
                <w:sz w:val="20"/>
              </w:rPr>
              <w:t>($</w:t>
            </w:r>
            <w:r>
              <w:rPr>
                <w:b/>
                <w:color w:val="FFFFFF"/>
                <w:spacing w:val="-4"/>
                <w:sz w:val="20"/>
              </w:rPr>
              <w:t xml:space="preserve"> </w:t>
            </w:r>
            <w:r>
              <w:rPr>
                <w:b/>
                <w:color w:val="FFFFFF"/>
                <w:spacing w:val="-5"/>
                <w:sz w:val="20"/>
              </w:rPr>
              <w:t>per</w:t>
            </w:r>
          </w:p>
          <w:p w14:paraId="1446761F" w14:textId="77777777" w:rsidR="00811887" w:rsidRDefault="00811887" w:rsidP="00486E22">
            <w:pPr>
              <w:pStyle w:val="TableParagraph"/>
              <w:spacing w:before="21" w:line="240" w:lineRule="auto"/>
              <w:ind w:left="109"/>
              <w:rPr>
                <w:b/>
                <w:sz w:val="20"/>
              </w:rPr>
            </w:pPr>
            <w:r>
              <w:rPr>
                <w:b/>
                <w:color w:val="FFFFFF"/>
                <w:spacing w:val="-2"/>
                <w:sz w:val="20"/>
              </w:rPr>
              <w:t>fortnight)</w:t>
            </w:r>
          </w:p>
        </w:tc>
        <w:tc>
          <w:tcPr>
            <w:tcW w:w="1971" w:type="dxa"/>
            <w:shd w:val="clear" w:color="auto" w:fill="234060"/>
          </w:tcPr>
          <w:p w14:paraId="6E2E3264" w14:textId="77777777" w:rsidR="00811887" w:rsidRDefault="00811887" w:rsidP="00486E22">
            <w:pPr>
              <w:pStyle w:val="TableParagraph"/>
              <w:ind w:left="109"/>
              <w:rPr>
                <w:b/>
                <w:sz w:val="20"/>
              </w:rPr>
            </w:pPr>
            <w:r>
              <w:rPr>
                <w:b/>
                <w:color w:val="FFFFFF"/>
                <w:sz w:val="20"/>
              </w:rPr>
              <w:t>HILDA</w:t>
            </w:r>
            <w:r>
              <w:rPr>
                <w:b/>
                <w:color w:val="FFFFFF"/>
                <w:spacing w:val="-5"/>
                <w:sz w:val="20"/>
              </w:rPr>
              <w:t xml:space="preserve"> </w:t>
            </w:r>
            <w:r>
              <w:rPr>
                <w:b/>
                <w:color w:val="FFFFFF"/>
                <w:sz w:val="20"/>
              </w:rPr>
              <w:t>50%</w:t>
            </w:r>
            <w:r>
              <w:rPr>
                <w:b/>
                <w:color w:val="FFFFFF"/>
                <w:spacing w:val="-4"/>
                <w:sz w:val="20"/>
              </w:rPr>
              <w:t xml:space="preserve"> </w:t>
            </w:r>
            <w:r>
              <w:rPr>
                <w:b/>
                <w:color w:val="FFFFFF"/>
                <w:sz w:val="20"/>
              </w:rPr>
              <w:t>EDHI</w:t>
            </w:r>
            <w:r>
              <w:rPr>
                <w:b/>
                <w:color w:val="FFFFFF"/>
                <w:spacing w:val="-2"/>
                <w:sz w:val="20"/>
              </w:rPr>
              <w:t xml:space="preserve"> </w:t>
            </w:r>
            <w:r>
              <w:rPr>
                <w:b/>
                <w:color w:val="FFFFFF"/>
                <w:spacing w:val="-5"/>
                <w:sz w:val="20"/>
              </w:rPr>
              <w:t>($</w:t>
            </w:r>
          </w:p>
          <w:p w14:paraId="7D5009D4" w14:textId="77777777" w:rsidR="00811887" w:rsidRDefault="00811887" w:rsidP="00486E22">
            <w:pPr>
              <w:pStyle w:val="TableParagraph"/>
              <w:spacing w:before="21" w:line="240" w:lineRule="auto"/>
              <w:ind w:left="109"/>
              <w:rPr>
                <w:b/>
                <w:sz w:val="20"/>
              </w:rPr>
            </w:pPr>
            <w:r>
              <w:rPr>
                <w:b/>
                <w:color w:val="FFFFFF"/>
                <w:sz w:val="20"/>
              </w:rPr>
              <w:t>per</w:t>
            </w:r>
            <w:r>
              <w:rPr>
                <w:b/>
                <w:color w:val="FFFFFF"/>
                <w:spacing w:val="-3"/>
                <w:sz w:val="20"/>
              </w:rPr>
              <w:t xml:space="preserve"> </w:t>
            </w:r>
            <w:r>
              <w:rPr>
                <w:b/>
                <w:color w:val="FFFFFF"/>
                <w:spacing w:val="-2"/>
                <w:sz w:val="20"/>
              </w:rPr>
              <w:t>fortnight)</w:t>
            </w:r>
          </w:p>
        </w:tc>
        <w:tc>
          <w:tcPr>
            <w:tcW w:w="1976" w:type="dxa"/>
            <w:shd w:val="clear" w:color="auto" w:fill="234060"/>
          </w:tcPr>
          <w:p w14:paraId="0296129D" w14:textId="77777777" w:rsidR="00811887" w:rsidRDefault="00811887" w:rsidP="00486E22">
            <w:pPr>
              <w:pStyle w:val="TableParagraph"/>
              <w:spacing w:line="261" w:lineRule="auto"/>
              <w:ind w:left="109"/>
              <w:rPr>
                <w:b/>
                <w:sz w:val="20"/>
              </w:rPr>
            </w:pPr>
            <w:r>
              <w:rPr>
                <w:b/>
                <w:color w:val="FFFFFF"/>
                <w:sz w:val="20"/>
              </w:rPr>
              <w:t>Budget</w:t>
            </w:r>
            <w:r>
              <w:rPr>
                <w:b/>
                <w:color w:val="FFFFFF"/>
                <w:spacing w:val="-12"/>
                <w:sz w:val="20"/>
              </w:rPr>
              <w:t xml:space="preserve"> </w:t>
            </w:r>
            <w:r>
              <w:rPr>
                <w:b/>
                <w:color w:val="FFFFFF"/>
                <w:sz w:val="20"/>
              </w:rPr>
              <w:t>Standards</w:t>
            </w:r>
            <w:r>
              <w:rPr>
                <w:b/>
                <w:color w:val="FFFFFF"/>
                <w:spacing w:val="-11"/>
                <w:sz w:val="20"/>
              </w:rPr>
              <w:t xml:space="preserve"> </w:t>
            </w:r>
            <w:r>
              <w:rPr>
                <w:b/>
                <w:color w:val="FFFFFF"/>
                <w:sz w:val="20"/>
              </w:rPr>
              <w:t>($ per fortnight)</w:t>
            </w:r>
          </w:p>
        </w:tc>
        <w:tc>
          <w:tcPr>
            <w:tcW w:w="1970" w:type="dxa"/>
            <w:shd w:val="clear" w:color="auto" w:fill="234060"/>
          </w:tcPr>
          <w:p w14:paraId="5254C99B" w14:textId="77777777" w:rsidR="00811887" w:rsidRDefault="00811887" w:rsidP="00486E22">
            <w:pPr>
              <w:pStyle w:val="TableParagraph"/>
              <w:spacing w:line="261" w:lineRule="auto"/>
              <w:ind w:left="109"/>
              <w:rPr>
                <w:b/>
                <w:sz w:val="20"/>
              </w:rPr>
            </w:pPr>
            <w:r>
              <w:rPr>
                <w:b/>
                <w:color w:val="FFFFFF"/>
                <w:sz w:val="20"/>
              </w:rPr>
              <w:t>Henderson</w:t>
            </w:r>
            <w:r>
              <w:rPr>
                <w:b/>
                <w:color w:val="FFFFFF"/>
                <w:spacing w:val="-12"/>
                <w:sz w:val="20"/>
              </w:rPr>
              <w:t xml:space="preserve"> </w:t>
            </w:r>
            <w:r>
              <w:rPr>
                <w:b/>
                <w:color w:val="FFFFFF"/>
                <w:sz w:val="20"/>
              </w:rPr>
              <w:t>($</w:t>
            </w:r>
            <w:r>
              <w:rPr>
                <w:b/>
                <w:color w:val="FFFFFF"/>
                <w:spacing w:val="-11"/>
                <w:sz w:val="20"/>
              </w:rPr>
              <w:t xml:space="preserve"> </w:t>
            </w:r>
            <w:r>
              <w:rPr>
                <w:b/>
                <w:color w:val="FFFFFF"/>
                <w:sz w:val="20"/>
              </w:rPr>
              <w:t xml:space="preserve">per </w:t>
            </w:r>
            <w:r>
              <w:rPr>
                <w:b/>
                <w:color w:val="FFFFFF"/>
                <w:spacing w:val="-2"/>
                <w:sz w:val="20"/>
              </w:rPr>
              <w:t>fortnight)</w:t>
            </w:r>
          </w:p>
        </w:tc>
      </w:tr>
      <w:tr w:rsidR="00811887" w14:paraId="42D4E433" w14:textId="77777777" w:rsidTr="00486E22">
        <w:trPr>
          <w:trHeight w:val="390"/>
        </w:trPr>
        <w:tc>
          <w:tcPr>
            <w:tcW w:w="1131" w:type="dxa"/>
            <w:shd w:val="clear" w:color="auto" w:fill="234060"/>
          </w:tcPr>
          <w:p w14:paraId="06E8C64D" w14:textId="77777777" w:rsidR="00811887" w:rsidRDefault="00811887" w:rsidP="00486E22">
            <w:pPr>
              <w:pStyle w:val="TableParagraph"/>
              <w:ind w:left="110"/>
              <w:rPr>
                <w:b/>
                <w:sz w:val="20"/>
              </w:rPr>
            </w:pPr>
            <w:r>
              <w:rPr>
                <w:b/>
                <w:color w:val="FFFFFF"/>
                <w:spacing w:val="-2"/>
                <w:sz w:val="20"/>
              </w:rPr>
              <w:t>1/01/2000</w:t>
            </w:r>
          </w:p>
        </w:tc>
        <w:tc>
          <w:tcPr>
            <w:tcW w:w="1971" w:type="dxa"/>
          </w:tcPr>
          <w:p w14:paraId="2B0C303F" w14:textId="77777777" w:rsidR="00811887" w:rsidRDefault="00811887" w:rsidP="00486E22">
            <w:pPr>
              <w:pStyle w:val="TableParagraph"/>
              <w:ind w:left="10"/>
              <w:jc w:val="center"/>
              <w:rPr>
                <w:sz w:val="20"/>
              </w:rPr>
            </w:pPr>
            <w:r>
              <w:rPr>
                <w:spacing w:val="-2"/>
                <w:sz w:val="20"/>
              </w:rPr>
              <w:t>740.00</w:t>
            </w:r>
          </w:p>
        </w:tc>
        <w:tc>
          <w:tcPr>
            <w:tcW w:w="1971" w:type="dxa"/>
          </w:tcPr>
          <w:p w14:paraId="0DA3A42D" w14:textId="77777777" w:rsidR="00811887" w:rsidRDefault="00811887" w:rsidP="00486E22">
            <w:pPr>
              <w:pStyle w:val="TableParagraph"/>
              <w:ind w:left="10"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6" w:type="dxa"/>
          </w:tcPr>
          <w:p w14:paraId="59DE0A2B" w14:textId="77777777" w:rsidR="00811887" w:rsidRDefault="00811887" w:rsidP="00486E22">
            <w:pPr>
              <w:pStyle w:val="TableParagraph"/>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3638F9D3" w14:textId="77777777" w:rsidR="00811887" w:rsidRDefault="00811887" w:rsidP="00486E22">
            <w:pPr>
              <w:pStyle w:val="TableParagraph"/>
              <w:ind w:left="9"/>
              <w:jc w:val="center"/>
              <w:rPr>
                <w:sz w:val="20"/>
              </w:rPr>
            </w:pPr>
            <w:r>
              <w:rPr>
                <w:spacing w:val="-2"/>
                <w:sz w:val="20"/>
              </w:rPr>
              <w:t>822.40</w:t>
            </w:r>
          </w:p>
        </w:tc>
      </w:tr>
      <w:tr w:rsidR="00811887" w14:paraId="6349D699" w14:textId="77777777" w:rsidTr="00486E22">
        <w:trPr>
          <w:trHeight w:val="385"/>
        </w:trPr>
        <w:tc>
          <w:tcPr>
            <w:tcW w:w="1131" w:type="dxa"/>
            <w:shd w:val="clear" w:color="auto" w:fill="234060"/>
          </w:tcPr>
          <w:p w14:paraId="7C435C7A" w14:textId="77777777" w:rsidR="00811887" w:rsidRDefault="00811887" w:rsidP="00486E22">
            <w:pPr>
              <w:pStyle w:val="TableParagraph"/>
              <w:ind w:left="110"/>
              <w:rPr>
                <w:b/>
                <w:sz w:val="20"/>
              </w:rPr>
            </w:pPr>
            <w:r>
              <w:rPr>
                <w:b/>
                <w:color w:val="FFFFFF"/>
                <w:spacing w:val="-2"/>
                <w:sz w:val="20"/>
              </w:rPr>
              <w:t>1/01/2002</w:t>
            </w:r>
          </w:p>
        </w:tc>
        <w:tc>
          <w:tcPr>
            <w:tcW w:w="1971" w:type="dxa"/>
          </w:tcPr>
          <w:p w14:paraId="3F3FC05D" w14:textId="77777777" w:rsidR="00811887" w:rsidRDefault="00811887" w:rsidP="00486E22">
            <w:pPr>
              <w:pStyle w:val="TableParagraph"/>
              <w:ind w:left="10"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1" w:type="dxa"/>
          </w:tcPr>
          <w:p w14:paraId="0BC375FF" w14:textId="77777777" w:rsidR="00811887" w:rsidRDefault="00811887" w:rsidP="00486E22">
            <w:pPr>
              <w:pStyle w:val="TableParagraph"/>
              <w:ind w:left="10" w:right="1"/>
              <w:jc w:val="center"/>
              <w:rPr>
                <w:sz w:val="20"/>
              </w:rPr>
            </w:pPr>
            <w:r>
              <w:rPr>
                <w:spacing w:val="-2"/>
                <w:sz w:val="20"/>
              </w:rPr>
              <w:t>881.90</w:t>
            </w:r>
          </w:p>
        </w:tc>
        <w:tc>
          <w:tcPr>
            <w:tcW w:w="1976" w:type="dxa"/>
          </w:tcPr>
          <w:p w14:paraId="649272AE" w14:textId="77777777" w:rsidR="00811887" w:rsidRDefault="00811887" w:rsidP="00486E22">
            <w:pPr>
              <w:pStyle w:val="TableParagraph"/>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61465C25" w14:textId="77777777" w:rsidR="00811887" w:rsidRDefault="00811887" w:rsidP="00486E22">
            <w:pPr>
              <w:pStyle w:val="TableParagraph"/>
              <w:ind w:left="9"/>
              <w:jc w:val="center"/>
              <w:rPr>
                <w:sz w:val="20"/>
              </w:rPr>
            </w:pPr>
            <w:r>
              <w:rPr>
                <w:spacing w:val="-2"/>
                <w:sz w:val="20"/>
              </w:rPr>
              <w:t>851.20</w:t>
            </w:r>
          </w:p>
        </w:tc>
      </w:tr>
      <w:tr w:rsidR="00811887" w14:paraId="0382AD23" w14:textId="77777777" w:rsidTr="00486E22">
        <w:trPr>
          <w:trHeight w:val="390"/>
        </w:trPr>
        <w:tc>
          <w:tcPr>
            <w:tcW w:w="1131" w:type="dxa"/>
            <w:shd w:val="clear" w:color="auto" w:fill="234060"/>
          </w:tcPr>
          <w:p w14:paraId="22BA9FA6" w14:textId="77777777" w:rsidR="00811887" w:rsidRDefault="00811887" w:rsidP="00486E22">
            <w:pPr>
              <w:pStyle w:val="TableParagraph"/>
              <w:spacing w:line="240" w:lineRule="auto"/>
              <w:ind w:left="110"/>
              <w:rPr>
                <w:b/>
                <w:sz w:val="20"/>
              </w:rPr>
            </w:pPr>
            <w:r>
              <w:rPr>
                <w:b/>
                <w:color w:val="FFFFFF"/>
                <w:spacing w:val="-2"/>
                <w:sz w:val="20"/>
              </w:rPr>
              <w:t>1/01/2004</w:t>
            </w:r>
          </w:p>
        </w:tc>
        <w:tc>
          <w:tcPr>
            <w:tcW w:w="1971" w:type="dxa"/>
          </w:tcPr>
          <w:p w14:paraId="6C8B64A4" w14:textId="77777777" w:rsidR="00811887" w:rsidRDefault="00811887" w:rsidP="00486E22">
            <w:pPr>
              <w:pStyle w:val="TableParagraph"/>
              <w:spacing w:line="240" w:lineRule="auto"/>
              <w:ind w:left="10" w:right="1"/>
              <w:jc w:val="center"/>
              <w:rPr>
                <w:sz w:val="20"/>
              </w:rPr>
            </w:pPr>
            <w:r>
              <w:rPr>
                <w:spacing w:val="-2"/>
                <w:sz w:val="20"/>
              </w:rPr>
              <w:t>845.90</w:t>
            </w:r>
          </w:p>
        </w:tc>
        <w:tc>
          <w:tcPr>
            <w:tcW w:w="1971" w:type="dxa"/>
          </w:tcPr>
          <w:p w14:paraId="3AA0D067" w14:textId="77777777" w:rsidR="00811887" w:rsidRDefault="00811887" w:rsidP="00486E22">
            <w:pPr>
              <w:pStyle w:val="TableParagraph"/>
              <w:spacing w:line="240" w:lineRule="auto"/>
              <w:ind w:left="10" w:right="1"/>
              <w:jc w:val="center"/>
              <w:rPr>
                <w:sz w:val="20"/>
              </w:rPr>
            </w:pPr>
            <w:r>
              <w:rPr>
                <w:spacing w:val="-2"/>
                <w:sz w:val="20"/>
              </w:rPr>
              <w:t>924.00</w:t>
            </w:r>
          </w:p>
        </w:tc>
        <w:tc>
          <w:tcPr>
            <w:tcW w:w="1976" w:type="dxa"/>
          </w:tcPr>
          <w:p w14:paraId="4667DDC1" w14:textId="77777777" w:rsidR="00811887" w:rsidRDefault="00811887" w:rsidP="00486E22">
            <w:pPr>
              <w:pStyle w:val="TableParagraph"/>
              <w:spacing w:line="240" w:lineRule="auto"/>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19B302E4" w14:textId="77777777" w:rsidR="00811887" w:rsidRDefault="00811887" w:rsidP="00486E22">
            <w:pPr>
              <w:pStyle w:val="TableParagraph"/>
              <w:spacing w:line="240" w:lineRule="auto"/>
              <w:ind w:left="9"/>
              <w:jc w:val="center"/>
              <w:rPr>
                <w:sz w:val="20"/>
              </w:rPr>
            </w:pPr>
            <w:r>
              <w:rPr>
                <w:spacing w:val="-2"/>
                <w:sz w:val="20"/>
              </w:rPr>
              <w:t>837.40</w:t>
            </w:r>
          </w:p>
        </w:tc>
      </w:tr>
      <w:tr w:rsidR="00811887" w14:paraId="1061F2CE" w14:textId="77777777" w:rsidTr="00486E22">
        <w:trPr>
          <w:trHeight w:val="390"/>
        </w:trPr>
        <w:tc>
          <w:tcPr>
            <w:tcW w:w="1131" w:type="dxa"/>
            <w:shd w:val="clear" w:color="auto" w:fill="234060"/>
          </w:tcPr>
          <w:p w14:paraId="4738D60E" w14:textId="77777777" w:rsidR="00811887" w:rsidRDefault="00811887" w:rsidP="00486E22">
            <w:pPr>
              <w:pStyle w:val="TableParagraph"/>
              <w:ind w:left="110"/>
              <w:rPr>
                <w:b/>
                <w:sz w:val="20"/>
              </w:rPr>
            </w:pPr>
            <w:r>
              <w:rPr>
                <w:b/>
                <w:color w:val="FFFFFF"/>
                <w:spacing w:val="-2"/>
                <w:sz w:val="20"/>
              </w:rPr>
              <w:t>1/01/2006</w:t>
            </w:r>
          </w:p>
        </w:tc>
        <w:tc>
          <w:tcPr>
            <w:tcW w:w="1971" w:type="dxa"/>
          </w:tcPr>
          <w:p w14:paraId="6A78B5B8" w14:textId="77777777" w:rsidR="00811887" w:rsidRDefault="00811887" w:rsidP="00486E22">
            <w:pPr>
              <w:pStyle w:val="TableParagraph"/>
              <w:ind w:left="10" w:right="1"/>
              <w:jc w:val="center"/>
              <w:rPr>
                <w:sz w:val="20"/>
              </w:rPr>
            </w:pPr>
            <w:r>
              <w:rPr>
                <w:spacing w:val="-2"/>
                <w:sz w:val="20"/>
              </w:rPr>
              <w:t>918.40</w:t>
            </w:r>
          </w:p>
        </w:tc>
        <w:tc>
          <w:tcPr>
            <w:tcW w:w="1971" w:type="dxa"/>
          </w:tcPr>
          <w:p w14:paraId="33E03D7E" w14:textId="77777777" w:rsidR="00811887" w:rsidRDefault="00811887" w:rsidP="00486E22">
            <w:pPr>
              <w:pStyle w:val="TableParagraph"/>
              <w:ind w:left="10" w:right="1"/>
              <w:jc w:val="center"/>
              <w:rPr>
                <w:sz w:val="20"/>
              </w:rPr>
            </w:pPr>
            <w:r>
              <w:rPr>
                <w:spacing w:val="-2"/>
                <w:sz w:val="20"/>
              </w:rPr>
              <w:t>983.20</w:t>
            </w:r>
          </w:p>
        </w:tc>
        <w:tc>
          <w:tcPr>
            <w:tcW w:w="1976" w:type="dxa"/>
          </w:tcPr>
          <w:p w14:paraId="3CA3E8F5" w14:textId="77777777" w:rsidR="00811887" w:rsidRDefault="00811887" w:rsidP="00486E22">
            <w:pPr>
              <w:pStyle w:val="TableParagraph"/>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772CE534" w14:textId="77777777" w:rsidR="00811887" w:rsidRDefault="00811887" w:rsidP="00486E22">
            <w:pPr>
              <w:pStyle w:val="TableParagraph"/>
              <w:ind w:left="9"/>
              <w:jc w:val="center"/>
              <w:rPr>
                <w:sz w:val="20"/>
              </w:rPr>
            </w:pPr>
            <w:r>
              <w:rPr>
                <w:spacing w:val="-2"/>
                <w:sz w:val="20"/>
              </w:rPr>
              <w:t>864.00</w:t>
            </w:r>
          </w:p>
        </w:tc>
      </w:tr>
      <w:tr w:rsidR="00811887" w14:paraId="25095658" w14:textId="77777777" w:rsidTr="00486E22">
        <w:trPr>
          <w:trHeight w:val="385"/>
        </w:trPr>
        <w:tc>
          <w:tcPr>
            <w:tcW w:w="1131" w:type="dxa"/>
            <w:shd w:val="clear" w:color="auto" w:fill="234060"/>
          </w:tcPr>
          <w:p w14:paraId="18AC8681" w14:textId="77777777" w:rsidR="00811887" w:rsidRDefault="00811887" w:rsidP="00486E22">
            <w:pPr>
              <w:pStyle w:val="TableParagraph"/>
              <w:ind w:left="110"/>
              <w:rPr>
                <w:b/>
                <w:sz w:val="20"/>
              </w:rPr>
            </w:pPr>
            <w:r>
              <w:rPr>
                <w:b/>
                <w:color w:val="FFFFFF"/>
                <w:spacing w:val="-2"/>
                <w:sz w:val="20"/>
              </w:rPr>
              <w:t>1/01/2008</w:t>
            </w:r>
          </w:p>
        </w:tc>
        <w:tc>
          <w:tcPr>
            <w:tcW w:w="1971" w:type="dxa"/>
          </w:tcPr>
          <w:p w14:paraId="2DB0C926" w14:textId="77777777" w:rsidR="00811887" w:rsidRDefault="00811887" w:rsidP="00486E22">
            <w:pPr>
              <w:pStyle w:val="TableParagraph"/>
              <w:ind w:left="10" w:right="6"/>
              <w:jc w:val="center"/>
              <w:rPr>
                <w:sz w:val="20"/>
              </w:rPr>
            </w:pPr>
            <w:r>
              <w:rPr>
                <w:spacing w:val="-2"/>
                <w:sz w:val="20"/>
              </w:rPr>
              <w:t>1,054.10</w:t>
            </w:r>
          </w:p>
        </w:tc>
        <w:tc>
          <w:tcPr>
            <w:tcW w:w="1971" w:type="dxa"/>
          </w:tcPr>
          <w:p w14:paraId="722178D0" w14:textId="77777777" w:rsidR="00811887" w:rsidRDefault="00811887" w:rsidP="00486E22">
            <w:pPr>
              <w:pStyle w:val="TableParagraph"/>
              <w:ind w:left="10" w:right="6"/>
              <w:jc w:val="center"/>
              <w:rPr>
                <w:sz w:val="20"/>
              </w:rPr>
            </w:pPr>
            <w:r>
              <w:rPr>
                <w:spacing w:val="-2"/>
                <w:sz w:val="20"/>
              </w:rPr>
              <w:t>1,054.40</w:t>
            </w:r>
          </w:p>
        </w:tc>
        <w:tc>
          <w:tcPr>
            <w:tcW w:w="1976" w:type="dxa"/>
          </w:tcPr>
          <w:p w14:paraId="0924C4BE" w14:textId="77777777" w:rsidR="00811887" w:rsidRDefault="00811887" w:rsidP="00486E22">
            <w:pPr>
              <w:pStyle w:val="TableParagraph"/>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629C6631" w14:textId="77777777" w:rsidR="00811887" w:rsidRDefault="00811887" w:rsidP="00486E22">
            <w:pPr>
              <w:pStyle w:val="TableParagraph"/>
              <w:ind w:left="9"/>
              <w:jc w:val="center"/>
              <w:rPr>
                <w:sz w:val="20"/>
              </w:rPr>
            </w:pPr>
            <w:r>
              <w:rPr>
                <w:spacing w:val="-2"/>
                <w:sz w:val="20"/>
              </w:rPr>
              <w:t>924.10</w:t>
            </w:r>
          </w:p>
        </w:tc>
      </w:tr>
      <w:tr w:rsidR="00811887" w14:paraId="297957F4" w14:textId="77777777" w:rsidTr="00486E22">
        <w:trPr>
          <w:trHeight w:val="390"/>
        </w:trPr>
        <w:tc>
          <w:tcPr>
            <w:tcW w:w="1131" w:type="dxa"/>
            <w:shd w:val="clear" w:color="auto" w:fill="234060"/>
          </w:tcPr>
          <w:p w14:paraId="72424110" w14:textId="77777777" w:rsidR="00811887" w:rsidRDefault="00811887" w:rsidP="00486E22">
            <w:pPr>
              <w:pStyle w:val="TableParagraph"/>
              <w:ind w:left="110"/>
              <w:rPr>
                <w:b/>
                <w:sz w:val="20"/>
              </w:rPr>
            </w:pPr>
            <w:r>
              <w:rPr>
                <w:b/>
                <w:color w:val="FFFFFF"/>
                <w:spacing w:val="-2"/>
                <w:sz w:val="20"/>
              </w:rPr>
              <w:t>1/01/2010</w:t>
            </w:r>
          </w:p>
        </w:tc>
        <w:tc>
          <w:tcPr>
            <w:tcW w:w="1971" w:type="dxa"/>
          </w:tcPr>
          <w:p w14:paraId="72C6ED82" w14:textId="77777777" w:rsidR="00811887" w:rsidRDefault="00811887" w:rsidP="00486E22">
            <w:pPr>
              <w:pStyle w:val="TableParagraph"/>
              <w:ind w:left="10" w:right="6"/>
              <w:jc w:val="center"/>
              <w:rPr>
                <w:sz w:val="20"/>
              </w:rPr>
            </w:pPr>
            <w:r>
              <w:rPr>
                <w:spacing w:val="-2"/>
                <w:sz w:val="20"/>
              </w:rPr>
              <w:t>1,037.40</w:t>
            </w:r>
          </w:p>
        </w:tc>
        <w:tc>
          <w:tcPr>
            <w:tcW w:w="1971" w:type="dxa"/>
          </w:tcPr>
          <w:p w14:paraId="5492873E" w14:textId="77777777" w:rsidR="00811887" w:rsidRDefault="00811887" w:rsidP="00486E22">
            <w:pPr>
              <w:pStyle w:val="TableParagraph"/>
              <w:ind w:left="10" w:right="6"/>
              <w:jc w:val="center"/>
              <w:rPr>
                <w:sz w:val="20"/>
              </w:rPr>
            </w:pPr>
            <w:r>
              <w:rPr>
                <w:spacing w:val="-2"/>
                <w:sz w:val="20"/>
              </w:rPr>
              <w:t>1,092.00</w:t>
            </w:r>
          </w:p>
        </w:tc>
        <w:tc>
          <w:tcPr>
            <w:tcW w:w="1976" w:type="dxa"/>
          </w:tcPr>
          <w:p w14:paraId="145B2879" w14:textId="77777777" w:rsidR="00811887" w:rsidRDefault="00811887" w:rsidP="00486E22">
            <w:pPr>
              <w:pStyle w:val="TableParagraph"/>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082C605C" w14:textId="77777777" w:rsidR="00811887" w:rsidRDefault="00811887" w:rsidP="00486E22">
            <w:pPr>
              <w:pStyle w:val="TableParagraph"/>
              <w:ind w:left="9"/>
              <w:jc w:val="center"/>
              <w:rPr>
                <w:sz w:val="20"/>
              </w:rPr>
            </w:pPr>
            <w:r>
              <w:rPr>
                <w:spacing w:val="-2"/>
                <w:sz w:val="20"/>
              </w:rPr>
              <w:t>930.80</w:t>
            </w:r>
          </w:p>
        </w:tc>
      </w:tr>
      <w:tr w:rsidR="00811887" w14:paraId="244F5063" w14:textId="77777777" w:rsidTr="00486E22">
        <w:trPr>
          <w:trHeight w:val="390"/>
        </w:trPr>
        <w:tc>
          <w:tcPr>
            <w:tcW w:w="1131" w:type="dxa"/>
            <w:shd w:val="clear" w:color="auto" w:fill="234060"/>
          </w:tcPr>
          <w:p w14:paraId="2F2FFDC3" w14:textId="77777777" w:rsidR="00811887" w:rsidRDefault="00811887" w:rsidP="00486E22">
            <w:pPr>
              <w:pStyle w:val="TableParagraph"/>
              <w:spacing w:line="240" w:lineRule="auto"/>
              <w:ind w:left="110"/>
              <w:rPr>
                <w:b/>
                <w:sz w:val="20"/>
              </w:rPr>
            </w:pPr>
            <w:r>
              <w:rPr>
                <w:b/>
                <w:color w:val="FFFFFF"/>
                <w:spacing w:val="-2"/>
                <w:sz w:val="20"/>
              </w:rPr>
              <w:t>1/01/2012</w:t>
            </w:r>
          </w:p>
        </w:tc>
        <w:tc>
          <w:tcPr>
            <w:tcW w:w="1971" w:type="dxa"/>
          </w:tcPr>
          <w:p w14:paraId="5F26FEAD" w14:textId="77777777" w:rsidR="00811887" w:rsidRDefault="00811887" w:rsidP="00486E22">
            <w:pPr>
              <w:pStyle w:val="TableParagraph"/>
              <w:spacing w:line="240" w:lineRule="auto"/>
              <w:ind w:left="10" w:right="6"/>
              <w:jc w:val="center"/>
              <w:rPr>
                <w:sz w:val="20"/>
              </w:rPr>
            </w:pPr>
            <w:r>
              <w:rPr>
                <w:spacing w:val="-2"/>
                <w:sz w:val="20"/>
              </w:rPr>
              <w:t>1,088.60</w:t>
            </w:r>
          </w:p>
        </w:tc>
        <w:tc>
          <w:tcPr>
            <w:tcW w:w="1971" w:type="dxa"/>
          </w:tcPr>
          <w:p w14:paraId="76050EB5" w14:textId="77777777" w:rsidR="00811887" w:rsidRDefault="00811887" w:rsidP="00486E22">
            <w:pPr>
              <w:pStyle w:val="TableParagraph"/>
              <w:spacing w:line="240" w:lineRule="auto"/>
              <w:ind w:left="10" w:right="6"/>
              <w:jc w:val="center"/>
              <w:rPr>
                <w:sz w:val="20"/>
              </w:rPr>
            </w:pPr>
            <w:r>
              <w:rPr>
                <w:spacing w:val="-2"/>
                <w:sz w:val="20"/>
              </w:rPr>
              <w:t>1,117.60</w:t>
            </w:r>
          </w:p>
        </w:tc>
        <w:tc>
          <w:tcPr>
            <w:tcW w:w="1976" w:type="dxa"/>
          </w:tcPr>
          <w:p w14:paraId="3B122A1E" w14:textId="77777777" w:rsidR="00811887" w:rsidRDefault="00811887" w:rsidP="00486E22">
            <w:pPr>
              <w:pStyle w:val="TableParagraph"/>
              <w:spacing w:line="240" w:lineRule="auto"/>
              <w:ind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0" w:type="dxa"/>
          </w:tcPr>
          <w:p w14:paraId="42E69E2F" w14:textId="77777777" w:rsidR="00811887" w:rsidRDefault="00811887" w:rsidP="00486E22">
            <w:pPr>
              <w:pStyle w:val="TableParagraph"/>
              <w:spacing w:line="240" w:lineRule="auto"/>
              <w:ind w:left="9" w:right="5"/>
              <w:jc w:val="center"/>
              <w:rPr>
                <w:sz w:val="20"/>
              </w:rPr>
            </w:pPr>
            <w:r>
              <w:rPr>
                <w:spacing w:val="-2"/>
                <w:sz w:val="20"/>
              </w:rPr>
              <w:t>1039.20</w:t>
            </w:r>
          </w:p>
        </w:tc>
      </w:tr>
      <w:tr w:rsidR="00811887" w14:paraId="20EC4460" w14:textId="77777777" w:rsidTr="00486E22">
        <w:trPr>
          <w:trHeight w:val="390"/>
        </w:trPr>
        <w:tc>
          <w:tcPr>
            <w:tcW w:w="1131" w:type="dxa"/>
            <w:shd w:val="clear" w:color="auto" w:fill="234060"/>
          </w:tcPr>
          <w:p w14:paraId="11CB9B3E" w14:textId="77777777" w:rsidR="00811887" w:rsidRDefault="00811887" w:rsidP="00486E22">
            <w:pPr>
              <w:pStyle w:val="TableParagraph"/>
              <w:ind w:left="110"/>
              <w:rPr>
                <w:b/>
                <w:sz w:val="20"/>
              </w:rPr>
            </w:pPr>
            <w:r>
              <w:rPr>
                <w:b/>
                <w:color w:val="FFFFFF"/>
                <w:spacing w:val="-2"/>
                <w:sz w:val="20"/>
              </w:rPr>
              <w:t>1/01/2014</w:t>
            </w:r>
          </w:p>
        </w:tc>
        <w:tc>
          <w:tcPr>
            <w:tcW w:w="1971" w:type="dxa"/>
          </w:tcPr>
          <w:p w14:paraId="4B0F529E" w14:textId="77777777" w:rsidR="00811887" w:rsidRDefault="00811887" w:rsidP="00486E22">
            <w:pPr>
              <w:pStyle w:val="TableParagraph"/>
              <w:ind w:left="10" w:right="6"/>
              <w:jc w:val="center"/>
              <w:rPr>
                <w:sz w:val="20"/>
              </w:rPr>
            </w:pPr>
            <w:r>
              <w:rPr>
                <w:spacing w:val="-2"/>
                <w:sz w:val="20"/>
              </w:rPr>
              <w:t>1,106.40</w:t>
            </w:r>
          </w:p>
        </w:tc>
        <w:tc>
          <w:tcPr>
            <w:tcW w:w="1971" w:type="dxa"/>
          </w:tcPr>
          <w:p w14:paraId="25E160F9" w14:textId="77777777" w:rsidR="00811887" w:rsidRDefault="00811887" w:rsidP="00486E22">
            <w:pPr>
              <w:pStyle w:val="TableParagraph"/>
              <w:ind w:left="10" w:right="6"/>
              <w:jc w:val="center"/>
              <w:rPr>
                <w:sz w:val="20"/>
              </w:rPr>
            </w:pPr>
            <w:r>
              <w:rPr>
                <w:spacing w:val="-2"/>
                <w:sz w:val="20"/>
              </w:rPr>
              <w:t>1,118.20</w:t>
            </w:r>
          </w:p>
        </w:tc>
        <w:tc>
          <w:tcPr>
            <w:tcW w:w="1976" w:type="dxa"/>
          </w:tcPr>
          <w:p w14:paraId="525207AC" w14:textId="77777777" w:rsidR="00811887" w:rsidRDefault="00811887" w:rsidP="00486E22">
            <w:pPr>
              <w:pStyle w:val="TableParagraph"/>
              <w:ind w:left="1" w:right="1"/>
              <w:jc w:val="center"/>
              <w:rPr>
                <w:sz w:val="20"/>
              </w:rPr>
            </w:pPr>
            <w:r>
              <w:rPr>
                <w:spacing w:val="-2"/>
                <w:sz w:val="20"/>
              </w:rPr>
              <w:t>1100.20</w:t>
            </w:r>
          </w:p>
        </w:tc>
        <w:tc>
          <w:tcPr>
            <w:tcW w:w="1970" w:type="dxa"/>
          </w:tcPr>
          <w:p w14:paraId="2FFD3BCF" w14:textId="77777777" w:rsidR="00811887" w:rsidRDefault="00811887" w:rsidP="00486E22">
            <w:pPr>
              <w:pStyle w:val="TableParagraph"/>
              <w:ind w:left="9" w:right="5"/>
              <w:jc w:val="center"/>
              <w:rPr>
                <w:sz w:val="20"/>
              </w:rPr>
            </w:pPr>
            <w:r>
              <w:rPr>
                <w:spacing w:val="-2"/>
                <w:sz w:val="20"/>
              </w:rPr>
              <w:t>1064.90</w:t>
            </w:r>
          </w:p>
        </w:tc>
      </w:tr>
      <w:tr w:rsidR="00811887" w14:paraId="4E525D56" w14:textId="77777777" w:rsidTr="00486E22">
        <w:trPr>
          <w:trHeight w:val="384"/>
        </w:trPr>
        <w:tc>
          <w:tcPr>
            <w:tcW w:w="1131" w:type="dxa"/>
            <w:shd w:val="clear" w:color="auto" w:fill="234060"/>
          </w:tcPr>
          <w:p w14:paraId="2307D7FD" w14:textId="77777777" w:rsidR="00811887" w:rsidRDefault="00811887" w:rsidP="00486E22">
            <w:pPr>
              <w:pStyle w:val="TableParagraph"/>
              <w:ind w:left="110"/>
              <w:rPr>
                <w:b/>
                <w:sz w:val="20"/>
              </w:rPr>
            </w:pPr>
            <w:r>
              <w:rPr>
                <w:b/>
                <w:color w:val="FFFFFF"/>
                <w:spacing w:val="-2"/>
                <w:sz w:val="20"/>
              </w:rPr>
              <w:t>1/01/2016</w:t>
            </w:r>
          </w:p>
        </w:tc>
        <w:tc>
          <w:tcPr>
            <w:tcW w:w="1971" w:type="dxa"/>
          </w:tcPr>
          <w:p w14:paraId="7EF5D8D4" w14:textId="77777777" w:rsidR="00811887" w:rsidRDefault="00811887" w:rsidP="00486E22">
            <w:pPr>
              <w:pStyle w:val="TableParagraph"/>
              <w:ind w:left="10" w:right="6"/>
              <w:jc w:val="center"/>
              <w:rPr>
                <w:sz w:val="20"/>
              </w:rPr>
            </w:pPr>
            <w:r>
              <w:rPr>
                <w:spacing w:val="-2"/>
                <w:sz w:val="20"/>
              </w:rPr>
              <w:t>1,085.00</w:t>
            </w:r>
          </w:p>
        </w:tc>
        <w:tc>
          <w:tcPr>
            <w:tcW w:w="1971" w:type="dxa"/>
          </w:tcPr>
          <w:p w14:paraId="388C27A4" w14:textId="77777777" w:rsidR="00811887" w:rsidRDefault="00811887" w:rsidP="00486E22">
            <w:pPr>
              <w:pStyle w:val="TableParagraph"/>
              <w:ind w:left="10" w:right="6"/>
              <w:jc w:val="center"/>
              <w:rPr>
                <w:sz w:val="20"/>
              </w:rPr>
            </w:pPr>
            <w:r>
              <w:rPr>
                <w:spacing w:val="-2"/>
                <w:sz w:val="20"/>
              </w:rPr>
              <w:t>1,122.40</w:t>
            </w:r>
          </w:p>
        </w:tc>
        <w:tc>
          <w:tcPr>
            <w:tcW w:w="1976" w:type="dxa"/>
          </w:tcPr>
          <w:p w14:paraId="73D98455" w14:textId="77777777" w:rsidR="00811887" w:rsidRDefault="00811887" w:rsidP="00486E22">
            <w:pPr>
              <w:pStyle w:val="TableParagraph"/>
              <w:ind w:left="1" w:right="1"/>
              <w:jc w:val="center"/>
              <w:rPr>
                <w:sz w:val="20"/>
              </w:rPr>
            </w:pPr>
            <w:r>
              <w:rPr>
                <w:spacing w:val="-2"/>
                <w:sz w:val="20"/>
              </w:rPr>
              <w:t>1098.90</w:t>
            </w:r>
          </w:p>
        </w:tc>
        <w:tc>
          <w:tcPr>
            <w:tcW w:w="1970" w:type="dxa"/>
          </w:tcPr>
          <w:p w14:paraId="7AB6B533" w14:textId="77777777" w:rsidR="00811887" w:rsidRDefault="00811887" w:rsidP="00486E22">
            <w:pPr>
              <w:pStyle w:val="TableParagraph"/>
              <w:ind w:left="9" w:right="5"/>
              <w:jc w:val="center"/>
              <w:rPr>
                <w:sz w:val="20"/>
              </w:rPr>
            </w:pPr>
            <w:r>
              <w:rPr>
                <w:spacing w:val="-2"/>
                <w:sz w:val="20"/>
              </w:rPr>
              <w:t>1070.70</w:t>
            </w:r>
          </w:p>
        </w:tc>
      </w:tr>
      <w:tr w:rsidR="00811887" w14:paraId="00468302" w14:textId="77777777" w:rsidTr="00486E22">
        <w:trPr>
          <w:trHeight w:val="390"/>
        </w:trPr>
        <w:tc>
          <w:tcPr>
            <w:tcW w:w="1131" w:type="dxa"/>
            <w:shd w:val="clear" w:color="auto" w:fill="234060"/>
          </w:tcPr>
          <w:p w14:paraId="48D3972A" w14:textId="77777777" w:rsidR="00811887" w:rsidRDefault="00811887" w:rsidP="00486E22">
            <w:pPr>
              <w:pStyle w:val="TableParagraph"/>
              <w:ind w:left="110"/>
              <w:rPr>
                <w:b/>
                <w:sz w:val="20"/>
              </w:rPr>
            </w:pPr>
            <w:r>
              <w:rPr>
                <w:b/>
                <w:color w:val="FFFFFF"/>
                <w:spacing w:val="-2"/>
                <w:sz w:val="20"/>
              </w:rPr>
              <w:t>1/01/2018</w:t>
            </w:r>
          </w:p>
        </w:tc>
        <w:tc>
          <w:tcPr>
            <w:tcW w:w="1971" w:type="dxa"/>
          </w:tcPr>
          <w:p w14:paraId="785B07D0" w14:textId="77777777" w:rsidR="00811887" w:rsidRDefault="00811887" w:rsidP="00486E22">
            <w:pPr>
              <w:pStyle w:val="TableParagraph"/>
              <w:ind w:left="10" w:right="6"/>
              <w:jc w:val="center"/>
              <w:rPr>
                <w:sz w:val="20"/>
              </w:rPr>
            </w:pPr>
            <w:r>
              <w:rPr>
                <w:spacing w:val="-2"/>
                <w:sz w:val="20"/>
              </w:rPr>
              <w:t>1,101.60</w:t>
            </w:r>
          </w:p>
        </w:tc>
        <w:tc>
          <w:tcPr>
            <w:tcW w:w="1971" w:type="dxa"/>
          </w:tcPr>
          <w:p w14:paraId="5747A36F" w14:textId="77777777" w:rsidR="00811887" w:rsidRDefault="00811887" w:rsidP="00486E22">
            <w:pPr>
              <w:pStyle w:val="TableParagraph"/>
              <w:ind w:left="10" w:right="6"/>
              <w:jc w:val="center"/>
              <w:rPr>
                <w:sz w:val="20"/>
              </w:rPr>
            </w:pPr>
            <w:r>
              <w:rPr>
                <w:spacing w:val="-2"/>
                <w:sz w:val="20"/>
              </w:rPr>
              <w:t>1,139.90</w:t>
            </w:r>
          </w:p>
        </w:tc>
        <w:tc>
          <w:tcPr>
            <w:tcW w:w="1976" w:type="dxa"/>
          </w:tcPr>
          <w:p w14:paraId="7255B050" w14:textId="77777777" w:rsidR="00811887" w:rsidRDefault="00811887" w:rsidP="00486E22">
            <w:pPr>
              <w:pStyle w:val="TableParagraph"/>
              <w:ind w:left="1" w:right="1"/>
              <w:jc w:val="center"/>
              <w:rPr>
                <w:sz w:val="20"/>
              </w:rPr>
            </w:pPr>
            <w:r>
              <w:rPr>
                <w:spacing w:val="-2"/>
                <w:sz w:val="20"/>
              </w:rPr>
              <w:t>1099.40</w:t>
            </w:r>
          </w:p>
        </w:tc>
        <w:tc>
          <w:tcPr>
            <w:tcW w:w="1970" w:type="dxa"/>
          </w:tcPr>
          <w:p w14:paraId="5C59E8D8" w14:textId="77777777" w:rsidR="00811887" w:rsidRDefault="00811887" w:rsidP="00486E22">
            <w:pPr>
              <w:pStyle w:val="TableParagraph"/>
              <w:ind w:left="9" w:right="5"/>
              <w:jc w:val="center"/>
              <w:rPr>
                <w:sz w:val="20"/>
              </w:rPr>
            </w:pPr>
            <w:r>
              <w:rPr>
                <w:spacing w:val="-2"/>
                <w:sz w:val="20"/>
              </w:rPr>
              <w:t>1016.60</w:t>
            </w:r>
          </w:p>
        </w:tc>
      </w:tr>
      <w:tr w:rsidR="00811887" w14:paraId="6027EC73" w14:textId="77777777" w:rsidTr="00486E22">
        <w:trPr>
          <w:trHeight w:val="390"/>
        </w:trPr>
        <w:tc>
          <w:tcPr>
            <w:tcW w:w="1131" w:type="dxa"/>
            <w:shd w:val="clear" w:color="auto" w:fill="234060"/>
          </w:tcPr>
          <w:p w14:paraId="2C1CA3B8" w14:textId="77777777" w:rsidR="00811887" w:rsidRDefault="00811887" w:rsidP="00486E22">
            <w:pPr>
              <w:pStyle w:val="TableParagraph"/>
              <w:ind w:left="110"/>
              <w:rPr>
                <w:b/>
                <w:sz w:val="20"/>
              </w:rPr>
            </w:pPr>
            <w:r>
              <w:rPr>
                <w:b/>
                <w:color w:val="FFFFFF"/>
                <w:spacing w:val="-2"/>
                <w:sz w:val="20"/>
              </w:rPr>
              <w:t>1/01/2020</w:t>
            </w:r>
          </w:p>
        </w:tc>
        <w:tc>
          <w:tcPr>
            <w:tcW w:w="1971" w:type="dxa"/>
          </w:tcPr>
          <w:p w14:paraId="61C181F7" w14:textId="77777777" w:rsidR="00811887" w:rsidRDefault="00811887" w:rsidP="00486E22">
            <w:pPr>
              <w:pStyle w:val="TableParagraph"/>
              <w:ind w:left="10" w:right="6"/>
              <w:jc w:val="center"/>
              <w:rPr>
                <w:sz w:val="20"/>
              </w:rPr>
            </w:pPr>
            <w:r>
              <w:rPr>
                <w:spacing w:val="-2"/>
                <w:sz w:val="20"/>
              </w:rPr>
              <w:t>1,140.90</w:t>
            </w:r>
          </w:p>
        </w:tc>
        <w:tc>
          <w:tcPr>
            <w:tcW w:w="1971" w:type="dxa"/>
          </w:tcPr>
          <w:p w14:paraId="57A3CAD4" w14:textId="77777777" w:rsidR="00811887" w:rsidRDefault="00811887" w:rsidP="00486E22">
            <w:pPr>
              <w:pStyle w:val="TableParagraph"/>
              <w:ind w:left="10" w:right="6"/>
              <w:jc w:val="center"/>
              <w:rPr>
                <w:sz w:val="20"/>
              </w:rPr>
            </w:pPr>
            <w:r>
              <w:rPr>
                <w:spacing w:val="-2"/>
                <w:sz w:val="20"/>
              </w:rPr>
              <w:t>1,206.90</w:t>
            </w:r>
          </w:p>
        </w:tc>
        <w:tc>
          <w:tcPr>
            <w:tcW w:w="1976" w:type="dxa"/>
          </w:tcPr>
          <w:p w14:paraId="41A908A6" w14:textId="77777777" w:rsidR="00811887" w:rsidRDefault="00811887" w:rsidP="00486E22">
            <w:pPr>
              <w:pStyle w:val="TableParagraph"/>
              <w:ind w:left="1" w:right="1"/>
              <w:jc w:val="center"/>
              <w:rPr>
                <w:sz w:val="20"/>
              </w:rPr>
            </w:pPr>
            <w:r>
              <w:rPr>
                <w:spacing w:val="-2"/>
                <w:sz w:val="20"/>
              </w:rPr>
              <w:t>1085.70</w:t>
            </w:r>
          </w:p>
        </w:tc>
        <w:tc>
          <w:tcPr>
            <w:tcW w:w="1970" w:type="dxa"/>
          </w:tcPr>
          <w:p w14:paraId="0CBD95C9" w14:textId="77777777" w:rsidR="00811887" w:rsidRDefault="00811887" w:rsidP="00486E22">
            <w:pPr>
              <w:pStyle w:val="TableParagraph"/>
              <w:ind w:left="9" w:right="5"/>
              <w:jc w:val="center"/>
              <w:rPr>
                <w:sz w:val="20"/>
              </w:rPr>
            </w:pPr>
            <w:r>
              <w:rPr>
                <w:spacing w:val="-2"/>
                <w:sz w:val="20"/>
              </w:rPr>
              <w:t>1039.80</w:t>
            </w:r>
          </w:p>
        </w:tc>
      </w:tr>
      <w:tr w:rsidR="00811887" w14:paraId="7A802B38" w14:textId="77777777" w:rsidTr="00486E22">
        <w:trPr>
          <w:trHeight w:val="385"/>
        </w:trPr>
        <w:tc>
          <w:tcPr>
            <w:tcW w:w="1131" w:type="dxa"/>
            <w:shd w:val="clear" w:color="auto" w:fill="234060"/>
          </w:tcPr>
          <w:p w14:paraId="76A6ECF6" w14:textId="77777777" w:rsidR="00811887" w:rsidRDefault="00811887" w:rsidP="00486E22">
            <w:pPr>
              <w:pStyle w:val="TableParagraph"/>
              <w:ind w:left="110"/>
              <w:rPr>
                <w:b/>
                <w:sz w:val="20"/>
              </w:rPr>
            </w:pPr>
            <w:r>
              <w:rPr>
                <w:b/>
                <w:color w:val="FFFFFF"/>
                <w:spacing w:val="-2"/>
                <w:sz w:val="20"/>
              </w:rPr>
              <w:t>1/01/2022</w:t>
            </w:r>
          </w:p>
        </w:tc>
        <w:tc>
          <w:tcPr>
            <w:tcW w:w="1971" w:type="dxa"/>
          </w:tcPr>
          <w:p w14:paraId="7CDD9CDD" w14:textId="77777777" w:rsidR="00811887" w:rsidRDefault="00811887" w:rsidP="00486E22">
            <w:pPr>
              <w:pStyle w:val="TableParagraph"/>
              <w:ind w:left="10"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1" w:type="dxa"/>
          </w:tcPr>
          <w:p w14:paraId="5CD7C218" w14:textId="77777777" w:rsidR="00811887" w:rsidRDefault="00811887" w:rsidP="00486E22">
            <w:pPr>
              <w:pStyle w:val="TableParagraph"/>
              <w:ind w:left="10"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76" w:type="dxa"/>
          </w:tcPr>
          <w:p w14:paraId="5C3DFDA4" w14:textId="77777777" w:rsidR="00811887" w:rsidRDefault="00811887" w:rsidP="00486E22">
            <w:pPr>
              <w:pStyle w:val="TableParagraph"/>
              <w:ind w:left="1" w:right="1"/>
              <w:jc w:val="center"/>
              <w:rPr>
                <w:sz w:val="20"/>
              </w:rPr>
            </w:pPr>
            <w:r>
              <w:rPr>
                <w:spacing w:val="-2"/>
                <w:sz w:val="20"/>
              </w:rPr>
              <w:t>1089.10</w:t>
            </w:r>
          </w:p>
        </w:tc>
        <w:tc>
          <w:tcPr>
            <w:tcW w:w="1970" w:type="dxa"/>
          </w:tcPr>
          <w:p w14:paraId="51385E22" w14:textId="77777777" w:rsidR="00811887" w:rsidRDefault="00811887" w:rsidP="00486E22">
            <w:pPr>
              <w:pStyle w:val="TableParagraph"/>
              <w:ind w:left="9" w:right="5"/>
              <w:jc w:val="center"/>
              <w:rPr>
                <w:sz w:val="20"/>
              </w:rPr>
            </w:pPr>
            <w:r>
              <w:rPr>
                <w:spacing w:val="-2"/>
                <w:sz w:val="20"/>
              </w:rPr>
              <w:t>1088.90</w:t>
            </w:r>
          </w:p>
        </w:tc>
      </w:tr>
      <w:tr w:rsidR="00811887" w14:paraId="757B54A2" w14:textId="77777777" w:rsidTr="00486E22">
        <w:trPr>
          <w:trHeight w:val="660"/>
        </w:trPr>
        <w:tc>
          <w:tcPr>
            <w:tcW w:w="1131" w:type="dxa"/>
            <w:shd w:val="clear" w:color="auto" w:fill="234060"/>
          </w:tcPr>
          <w:p w14:paraId="220700A0" w14:textId="77777777" w:rsidR="00811887" w:rsidRDefault="00811887" w:rsidP="00486E22">
            <w:pPr>
              <w:pStyle w:val="TableParagraph"/>
              <w:spacing w:line="266" w:lineRule="auto"/>
              <w:ind w:left="110" w:right="288"/>
              <w:rPr>
                <w:b/>
                <w:sz w:val="20"/>
              </w:rPr>
            </w:pPr>
            <w:r>
              <w:rPr>
                <w:b/>
                <w:color w:val="FFFFFF"/>
                <w:spacing w:val="-2"/>
                <w:sz w:val="20"/>
              </w:rPr>
              <w:t>Current/ Latest</w:t>
            </w:r>
          </w:p>
        </w:tc>
        <w:tc>
          <w:tcPr>
            <w:tcW w:w="1971" w:type="dxa"/>
          </w:tcPr>
          <w:p w14:paraId="01AFC894" w14:textId="77777777" w:rsidR="00811887" w:rsidRDefault="00811887" w:rsidP="00486E22">
            <w:pPr>
              <w:pStyle w:val="TableParagraph"/>
              <w:spacing w:line="266" w:lineRule="auto"/>
              <w:ind w:left="574" w:hanging="185"/>
              <w:rPr>
                <w:sz w:val="20"/>
              </w:rPr>
            </w:pPr>
            <w:r>
              <w:rPr>
                <w:sz w:val="20"/>
              </w:rPr>
              <w:t>1,140.90</w:t>
            </w:r>
            <w:r>
              <w:rPr>
                <w:spacing w:val="-12"/>
                <w:sz w:val="20"/>
              </w:rPr>
              <w:t xml:space="preserve"> </w:t>
            </w:r>
            <w:r>
              <w:rPr>
                <w:sz w:val="20"/>
              </w:rPr>
              <w:t>(as</w:t>
            </w:r>
            <w:r>
              <w:rPr>
                <w:spacing w:val="-11"/>
                <w:sz w:val="20"/>
              </w:rPr>
              <w:t xml:space="preserve"> </w:t>
            </w:r>
            <w:r>
              <w:rPr>
                <w:sz w:val="20"/>
              </w:rPr>
              <w:t xml:space="preserve">at </w:t>
            </w:r>
            <w:r>
              <w:rPr>
                <w:spacing w:val="-2"/>
                <w:sz w:val="20"/>
              </w:rPr>
              <w:t>1/6/2020)</w:t>
            </w:r>
          </w:p>
        </w:tc>
        <w:tc>
          <w:tcPr>
            <w:tcW w:w="1971" w:type="dxa"/>
          </w:tcPr>
          <w:p w14:paraId="4FAE900F" w14:textId="77777777" w:rsidR="00811887" w:rsidRDefault="00811887" w:rsidP="00486E22">
            <w:pPr>
              <w:pStyle w:val="TableParagraph"/>
              <w:spacing w:line="266" w:lineRule="auto"/>
              <w:ind w:left="524" w:hanging="135"/>
              <w:rPr>
                <w:sz w:val="20"/>
              </w:rPr>
            </w:pPr>
            <w:r>
              <w:rPr>
                <w:sz w:val="20"/>
              </w:rPr>
              <w:t>1,250.70</w:t>
            </w:r>
            <w:r>
              <w:rPr>
                <w:spacing w:val="-12"/>
                <w:sz w:val="20"/>
              </w:rPr>
              <w:t xml:space="preserve"> </w:t>
            </w:r>
            <w:r>
              <w:rPr>
                <w:sz w:val="20"/>
              </w:rPr>
              <w:t>(as</w:t>
            </w:r>
            <w:r>
              <w:rPr>
                <w:spacing w:val="-11"/>
                <w:sz w:val="20"/>
              </w:rPr>
              <w:t xml:space="preserve"> </w:t>
            </w:r>
            <w:r>
              <w:rPr>
                <w:sz w:val="20"/>
              </w:rPr>
              <w:t xml:space="preserve">at </w:t>
            </w:r>
            <w:r>
              <w:rPr>
                <w:spacing w:val="-2"/>
                <w:sz w:val="20"/>
              </w:rPr>
              <w:t>1/12/2021)</w:t>
            </w:r>
          </w:p>
        </w:tc>
        <w:tc>
          <w:tcPr>
            <w:tcW w:w="1976" w:type="dxa"/>
          </w:tcPr>
          <w:p w14:paraId="76D9756D" w14:textId="77777777" w:rsidR="00811887" w:rsidRDefault="00811887" w:rsidP="00486E22">
            <w:pPr>
              <w:pStyle w:val="TableParagraph"/>
              <w:spacing w:line="266" w:lineRule="auto"/>
              <w:ind w:left="524" w:hanging="111"/>
              <w:rPr>
                <w:sz w:val="20"/>
              </w:rPr>
            </w:pPr>
            <w:r>
              <w:rPr>
                <w:sz w:val="20"/>
              </w:rPr>
              <w:t>1104.70</w:t>
            </w:r>
            <w:r>
              <w:rPr>
                <w:spacing w:val="-12"/>
                <w:sz w:val="20"/>
              </w:rPr>
              <w:t xml:space="preserve"> </w:t>
            </w:r>
            <w:r>
              <w:rPr>
                <w:sz w:val="20"/>
              </w:rPr>
              <w:t>(as</w:t>
            </w:r>
            <w:r>
              <w:rPr>
                <w:spacing w:val="-11"/>
                <w:sz w:val="20"/>
              </w:rPr>
              <w:t xml:space="preserve"> </w:t>
            </w:r>
            <w:r>
              <w:rPr>
                <w:sz w:val="20"/>
              </w:rPr>
              <w:t xml:space="preserve">at </w:t>
            </w:r>
            <w:r>
              <w:rPr>
                <w:spacing w:val="-2"/>
                <w:sz w:val="20"/>
              </w:rPr>
              <w:t>1/12/2023)</w:t>
            </w:r>
          </w:p>
        </w:tc>
        <w:tc>
          <w:tcPr>
            <w:tcW w:w="1970" w:type="dxa"/>
          </w:tcPr>
          <w:p w14:paraId="0F7ACF9C" w14:textId="77777777" w:rsidR="00811887" w:rsidRDefault="00811887" w:rsidP="00486E22">
            <w:pPr>
              <w:pStyle w:val="TableParagraph"/>
              <w:spacing w:line="266" w:lineRule="auto"/>
              <w:ind w:left="573" w:hanging="110"/>
              <w:rPr>
                <w:sz w:val="20"/>
              </w:rPr>
            </w:pPr>
            <w:r>
              <w:rPr>
                <w:sz w:val="20"/>
              </w:rPr>
              <w:t>974.40</w:t>
            </w:r>
            <w:r>
              <w:rPr>
                <w:spacing w:val="-12"/>
                <w:sz w:val="20"/>
              </w:rPr>
              <w:t xml:space="preserve"> </w:t>
            </w:r>
            <w:r>
              <w:rPr>
                <w:sz w:val="20"/>
              </w:rPr>
              <w:t>(as</w:t>
            </w:r>
            <w:r>
              <w:rPr>
                <w:spacing w:val="-11"/>
                <w:sz w:val="20"/>
              </w:rPr>
              <w:t xml:space="preserve"> </w:t>
            </w:r>
            <w:r>
              <w:rPr>
                <w:sz w:val="20"/>
              </w:rPr>
              <w:t xml:space="preserve">at </w:t>
            </w:r>
            <w:r>
              <w:rPr>
                <w:spacing w:val="-2"/>
                <w:sz w:val="20"/>
              </w:rPr>
              <w:t>1/9/2023)</w:t>
            </w:r>
          </w:p>
        </w:tc>
      </w:tr>
    </w:tbl>
    <w:p w14:paraId="176AB733" w14:textId="77777777" w:rsidR="00811887" w:rsidRDefault="00811887" w:rsidP="00811887">
      <w:pPr>
        <w:pStyle w:val="BodyText"/>
        <w:rPr>
          <w:rFonts w:ascii="Arial"/>
          <w:b/>
        </w:rPr>
      </w:pPr>
    </w:p>
    <w:p w14:paraId="7402EC2D" w14:textId="77777777" w:rsidR="00811887" w:rsidRDefault="00811887" w:rsidP="00811887">
      <w:pPr>
        <w:spacing w:before="59" w:line="264" w:lineRule="auto"/>
        <w:ind w:right="202"/>
        <w:rPr>
          <w:i/>
          <w:sz w:val="20"/>
        </w:rPr>
      </w:pPr>
      <w:r>
        <w:rPr>
          <w:i/>
          <w:sz w:val="20"/>
        </w:rPr>
        <w:t xml:space="preserve">    Figures</w:t>
      </w:r>
      <w:r>
        <w:rPr>
          <w:i/>
          <w:spacing w:val="-12"/>
          <w:sz w:val="20"/>
        </w:rPr>
        <w:t xml:space="preserve"> </w:t>
      </w:r>
      <w:r>
        <w:rPr>
          <w:i/>
          <w:sz w:val="20"/>
        </w:rPr>
        <w:t xml:space="preserve">as </w:t>
      </w:r>
      <w:r>
        <w:rPr>
          <w:i/>
          <w:spacing w:val="-6"/>
          <w:sz w:val="20"/>
        </w:rPr>
        <w:t>at</w:t>
      </w:r>
      <w:r>
        <w:rPr>
          <w:i/>
          <w:spacing w:val="-2"/>
          <w:sz w:val="20"/>
        </w:rPr>
        <w:t xml:space="preserve"> December </w:t>
      </w:r>
      <w:r>
        <w:rPr>
          <w:i/>
          <w:spacing w:val="-4"/>
          <w:sz w:val="20"/>
        </w:rPr>
        <w:t>2023</w:t>
      </w:r>
    </w:p>
    <w:p w14:paraId="2F2B7395" w14:textId="77777777" w:rsidR="00811887" w:rsidRDefault="00811887" w:rsidP="00811887">
      <w:pPr>
        <w:spacing w:before="1" w:line="264" w:lineRule="auto"/>
        <w:ind w:left="165" w:right="202"/>
        <w:rPr>
          <w:i/>
          <w:sz w:val="20"/>
        </w:rPr>
      </w:pPr>
      <w:r>
        <w:rPr>
          <w:i/>
          <w:spacing w:val="-2"/>
          <w:sz w:val="20"/>
        </w:rPr>
        <w:t>prices, rounded</w:t>
      </w:r>
      <w:r>
        <w:rPr>
          <w:i/>
          <w:spacing w:val="40"/>
          <w:sz w:val="20"/>
        </w:rPr>
        <w:t xml:space="preserve"> </w:t>
      </w:r>
      <w:r>
        <w:rPr>
          <w:i/>
          <w:sz w:val="20"/>
        </w:rPr>
        <w:t>to the nearest</w:t>
      </w:r>
      <w:r>
        <w:rPr>
          <w:i/>
          <w:spacing w:val="-12"/>
          <w:sz w:val="20"/>
        </w:rPr>
        <w:t xml:space="preserve"> </w:t>
      </w:r>
      <w:r>
        <w:rPr>
          <w:i/>
          <w:sz w:val="20"/>
        </w:rPr>
        <w:t xml:space="preserve">10 </w:t>
      </w:r>
      <w:r>
        <w:rPr>
          <w:i/>
          <w:spacing w:val="-2"/>
          <w:sz w:val="20"/>
        </w:rPr>
        <w:t>cents.</w:t>
      </w:r>
    </w:p>
    <w:p w14:paraId="30FDF113" w14:textId="77777777" w:rsidR="00811887" w:rsidRPr="006D43ED" w:rsidRDefault="00811887" w:rsidP="00811887">
      <w:pPr>
        <w:spacing w:before="123" w:line="264" w:lineRule="auto"/>
        <w:ind w:left="165" w:right="214"/>
        <w:rPr>
          <w:i/>
          <w:sz w:val="20"/>
        </w:rPr>
      </w:pPr>
      <w:r>
        <w:rPr>
          <w:i/>
          <w:sz w:val="20"/>
        </w:rPr>
        <w:t>The ABS 50 per cent EDHI is</w:t>
      </w:r>
      <w:r>
        <w:rPr>
          <w:i/>
          <w:spacing w:val="-12"/>
          <w:sz w:val="20"/>
        </w:rPr>
        <w:t xml:space="preserve"> </w:t>
      </w:r>
      <w:r>
        <w:rPr>
          <w:i/>
          <w:sz w:val="20"/>
        </w:rPr>
        <w:t xml:space="preserve">updated </w:t>
      </w:r>
      <w:r>
        <w:rPr>
          <w:i/>
          <w:spacing w:val="-4"/>
          <w:sz w:val="20"/>
        </w:rPr>
        <w:t xml:space="preserve">each </w:t>
      </w:r>
      <w:r>
        <w:rPr>
          <w:i/>
          <w:spacing w:val="-2"/>
          <w:sz w:val="20"/>
        </w:rPr>
        <w:t xml:space="preserve">financial </w:t>
      </w:r>
      <w:r>
        <w:rPr>
          <w:i/>
          <w:sz w:val="20"/>
        </w:rPr>
        <w:t>year</w:t>
      </w:r>
      <w:r>
        <w:rPr>
          <w:i/>
          <w:spacing w:val="-12"/>
          <w:sz w:val="20"/>
        </w:rPr>
        <w:t xml:space="preserve"> </w:t>
      </w:r>
      <w:r>
        <w:rPr>
          <w:i/>
          <w:sz w:val="20"/>
        </w:rPr>
        <w:t xml:space="preserve">while HILDA 50 per cent EDHI is </w:t>
      </w:r>
      <w:r>
        <w:rPr>
          <w:i/>
          <w:spacing w:val="-2"/>
          <w:sz w:val="20"/>
        </w:rPr>
        <w:t xml:space="preserve">updated </w:t>
      </w:r>
      <w:r>
        <w:rPr>
          <w:i/>
          <w:spacing w:val="-4"/>
          <w:sz w:val="20"/>
        </w:rPr>
        <w:t xml:space="preserve">each </w:t>
      </w:r>
      <w:r>
        <w:rPr>
          <w:i/>
          <w:spacing w:val="-2"/>
          <w:sz w:val="20"/>
        </w:rPr>
        <w:t>calendar y</w:t>
      </w:r>
      <w:r>
        <w:rPr>
          <w:i/>
          <w:spacing w:val="-2"/>
        </w:rPr>
        <w:t>ear.</w:t>
      </w:r>
    </w:p>
    <w:p w14:paraId="1916267E" w14:textId="77777777" w:rsidR="00811887" w:rsidRDefault="00811887" w:rsidP="00811887">
      <w:pPr>
        <w:spacing w:before="1"/>
        <w:ind w:left="165"/>
        <w:rPr>
          <w:i/>
          <w:sz w:val="20"/>
        </w:rPr>
      </w:pPr>
      <w:r>
        <w:rPr>
          <w:i/>
          <w:sz w:val="20"/>
        </w:rPr>
        <w:t>Where</w:t>
      </w:r>
      <w:r>
        <w:rPr>
          <w:i/>
          <w:spacing w:val="-4"/>
          <w:sz w:val="20"/>
        </w:rPr>
        <w:t xml:space="preserve"> </w:t>
      </w:r>
      <w:r>
        <w:rPr>
          <w:i/>
          <w:sz w:val="20"/>
        </w:rPr>
        <w:t>data</w:t>
      </w:r>
      <w:r>
        <w:rPr>
          <w:i/>
          <w:spacing w:val="-1"/>
          <w:sz w:val="20"/>
        </w:rPr>
        <w:t xml:space="preserve"> </w:t>
      </w:r>
      <w:r>
        <w:rPr>
          <w:i/>
          <w:sz w:val="20"/>
        </w:rPr>
        <w:t>for</w:t>
      </w:r>
      <w:r>
        <w:rPr>
          <w:i/>
          <w:spacing w:val="-1"/>
          <w:sz w:val="20"/>
        </w:rPr>
        <w:t xml:space="preserve"> </w:t>
      </w:r>
      <w:r>
        <w:rPr>
          <w:i/>
          <w:sz w:val="20"/>
        </w:rPr>
        <w:t>these</w:t>
      </w:r>
      <w:r>
        <w:rPr>
          <w:i/>
          <w:spacing w:val="-3"/>
          <w:sz w:val="20"/>
        </w:rPr>
        <w:t xml:space="preserve"> </w:t>
      </w:r>
      <w:r>
        <w:rPr>
          <w:i/>
          <w:sz w:val="20"/>
        </w:rPr>
        <w:t>measures</w:t>
      </w:r>
      <w:r>
        <w:rPr>
          <w:i/>
          <w:spacing w:val="-1"/>
          <w:sz w:val="20"/>
        </w:rPr>
        <w:t xml:space="preserve"> </w:t>
      </w:r>
      <w:r>
        <w:rPr>
          <w:i/>
          <w:sz w:val="20"/>
        </w:rPr>
        <w:t>are</w:t>
      </w:r>
      <w:r>
        <w:rPr>
          <w:i/>
          <w:spacing w:val="-8"/>
          <w:sz w:val="20"/>
        </w:rPr>
        <w:t xml:space="preserve"> </w:t>
      </w:r>
      <w:r>
        <w:rPr>
          <w:i/>
          <w:sz w:val="20"/>
        </w:rPr>
        <w:t>missing, the</w:t>
      </w:r>
      <w:r>
        <w:rPr>
          <w:i/>
          <w:spacing w:val="-3"/>
          <w:sz w:val="20"/>
        </w:rPr>
        <w:t xml:space="preserve"> </w:t>
      </w:r>
      <w:r>
        <w:rPr>
          <w:i/>
          <w:sz w:val="20"/>
        </w:rPr>
        <w:t>latest</w:t>
      </w:r>
      <w:r>
        <w:rPr>
          <w:i/>
          <w:spacing w:val="-4"/>
          <w:sz w:val="20"/>
        </w:rPr>
        <w:t xml:space="preserve"> </w:t>
      </w:r>
      <w:r>
        <w:rPr>
          <w:i/>
          <w:sz w:val="20"/>
        </w:rPr>
        <w:t>available</w:t>
      </w:r>
      <w:r>
        <w:rPr>
          <w:i/>
          <w:spacing w:val="-3"/>
          <w:sz w:val="20"/>
        </w:rPr>
        <w:t xml:space="preserve"> </w:t>
      </w:r>
      <w:r>
        <w:rPr>
          <w:i/>
          <w:sz w:val="20"/>
        </w:rPr>
        <w:t>measure</w:t>
      </w:r>
      <w:r>
        <w:rPr>
          <w:i/>
          <w:spacing w:val="-3"/>
          <w:sz w:val="20"/>
        </w:rPr>
        <w:t xml:space="preserve"> </w:t>
      </w:r>
      <w:r>
        <w:rPr>
          <w:i/>
          <w:sz w:val="20"/>
        </w:rPr>
        <w:t>has</w:t>
      </w:r>
      <w:r>
        <w:rPr>
          <w:i/>
          <w:spacing w:val="-1"/>
          <w:sz w:val="20"/>
        </w:rPr>
        <w:t xml:space="preserve"> </w:t>
      </w:r>
      <w:r>
        <w:rPr>
          <w:i/>
          <w:sz w:val="20"/>
        </w:rPr>
        <w:t>been</w:t>
      </w:r>
      <w:r>
        <w:rPr>
          <w:i/>
          <w:spacing w:val="-6"/>
          <w:sz w:val="20"/>
        </w:rPr>
        <w:t xml:space="preserve"> </w:t>
      </w:r>
      <w:r>
        <w:rPr>
          <w:i/>
          <w:spacing w:val="-2"/>
          <w:sz w:val="20"/>
        </w:rPr>
        <w:t>used.</w:t>
      </w:r>
    </w:p>
    <w:p w14:paraId="01CF7948" w14:textId="77777777" w:rsidR="00811887" w:rsidRDefault="00811887" w:rsidP="00811887">
      <w:pPr>
        <w:spacing w:before="59" w:line="264" w:lineRule="auto"/>
        <w:ind w:left="165" w:right="202"/>
        <w:rPr>
          <w:i/>
          <w:spacing w:val="-2"/>
          <w:sz w:val="20"/>
        </w:rPr>
      </w:pPr>
      <w:r>
        <w:br w:type="column"/>
      </w:r>
      <w:r>
        <w:rPr>
          <w:i/>
          <w:spacing w:val="-2"/>
          <w:sz w:val="20"/>
        </w:rPr>
        <w:t xml:space="preserve"> </w:t>
      </w:r>
    </w:p>
    <w:p w14:paraId="0F6C79E7" w14:textId="77777777" w:rsidR="00811887" w:rsidRDefault="00811887" w:rsidP="00811887">
      <w:pPr>
        <w:spacing w:line="264" w:lineRule="auto"/>
        <w:rPr>
          <w:sz w:val="20"/>
        </w:rPr>
        <w:sectPr w:rsidR="00811887" w:rsidSect="00811887">
          <w:type w:val="continuous"/>
          <w:pgSz w:w="11910" w:h="16840"/>
          <w:pgMar w:top="1440" w:right="721" w:bottom="560" w:left="740" w:header="0" w:footer="1005" w:gutter="0"/>
          <w:cols w:num="2" w:space="720" w:equalWidth="0">
            <w:col w:w="9142" w:space="72"/>
            <w:col w:w="1235"/>
          </w:cols>
        </w:sectPr>
      </w:pPr>
    </w:p>
    <w:p w14:paraId="4F8D55FB" w14:textId="77777777" w:rsidR="00811887" w:rsidRDefault="00811887" w:rsidP="00811887">
      <w:pPr>
        <w:spacing w:before="79"/>
        <w:ind w:left="165"/>
        <w:rPr>
          <w:b/>
          <w:spacing w:val="-2"/>
        </w:rPr>
      </w:pPr>
      <w:r>
        <w:rPr>
          <w:b/>
        </w:rPr>
        <w:lastRenderedPageBreak/>
        <w:t>Chart</w:t>
      </w:r>
      <w:r>
        <w:rPr>
          <w:b/>
          <w:spacing w:val="-4"/>
        </w:rPr>
        <w:t xml:space="preserve"> </w:t>
      </w:r>
      <w:r>
        <w:rPr>
          <w:b/>
        </w:rPr>
        <w:t>2.</w:t>
      </w:r>
      <w:r>
        <w:rPr>
          <w:b/>
          <w:spacing w:val="-4"/>
        </w:rPr>
        <w:t xml:space="preserve"> </w:t>
      </w:r>
      <w:r>
        <w:rPr>
          <w:b/>
        </w:rPr>
        <w:t>JobSeeker</w:t>
      </w:r>
      <w:r>
        <w:rPr>
          <w:b/>
          <w:spacing w:val="-4"/>
        </w:rPr>
        <w:t xml:space="preserve"> </w:t>
      </w:r>
      <w:r>
        <w:rPr>
          <w:b/>
        </w:rPr>
        <w:t>Payment as</w:t>
      </w:r>
      <w:r>
        <w:rPr>
          <w:b/>
          <w:spacing w:val="-1"/>
        </w:rPr>
        <w:t xml:space="preserve"> </w:t>
      </w:r>
      <w:r>
        <w:rPr>
          <w:b/>
        </w:rPr>
        <w:t>a</w:t>
      </w:r>
      <w:r>
        <w:rPr>
          <w:b/>
          <w:spacing w:val="-2"/>
        </w:rPr>
        <w:t xml:space="preserve"> </w:t>
      </w:r>
      <w:r>
        <w:rPr>
          <w:b/>
        </w:rPr>
        <w:t>percentage</w:t>
      </w:r>
      <w:r>
        <w:rPr>
          <w:b/>
          <w:spacing w:val="-1"/>
        </w:rPr>
        <w:t xml:space="preserve"> </w:t>
      </w:r>
      <w:r>
        <w:rPr>
          <w:b/>
        </w:rPr>
        <w:t>of</w:t>
      </w:r>
      <w:r>
        <w:rPr>
          <w:b/>
          <w:spacing w:val="-6"/>
        </w:rPr>
        <w:t xml:space="preserve"> </w:t>
      </w:r>
      <w:r>
        <w:rPr>
          <w:b/>
        </w:rPr>
        <w:t>poverty</w:t>
      </w:r>
      <w:r>
        <w:rPr>
          <w:b/>
          <w:spacing w:val="-7"/>
        </w:rPr>
        <w:t xml:space="preserve"> </w:t>
      </w:r>
      <w:r>
        <w:rPr>
          <w:b/>
          <w:spacing w:val="-2"/>
        </w:rPr>
        <w:t>measures</w:t>
      </w:r>
    </w:p>
    <w:p w14:paraId="7C285E77" w14:textId="77777777" w:rsidR="00811887" w:rsidRDefault="00811887" w:rsidP="00811887">
      <w:pPr>
        <w:spacing w:before="79"/>
        <w:ind w:left="165"/>
        <w:rPr>
          <w:b/>
        </w:rPr>
      </w:pPr>
      <w:r>
        <w:rPr>
          <w:i/>
          <w:sz w:val="20"/>
        </w:rPr>
        <w:t>Ex</w:t>
      </w:r>
      <w:r w:rsidRPr="006D43ED">
        <w:rPr>
          <w:i/>
          <w:sz w:val="20"/>
        </w:rPr>
        <w:t>cluding Commonwealth Rent Assistance</w:t>
      </w:r>
      <w:r>
        <w:rPr>
          <w:i/>
          <w:sz w:val="20"/>
        </w:rPr>
        <w:t>, Including Housing Costs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1"/>
        <w:gridCol w:w="1666"/>
        <w:gridCol w:w="1666"/>
        <w:gridCol w:w="1905"/>
        <w:gridCol w:w="1901"/>
        <w:gridCol w:w="1586"/>
      </w:tblGrid>
      <w:tr w:rsidR="00811887" w14:paraId="017A164F" w14:textId="77777777" w:rsidTr="00486E22">
        <w:trPr>
          <w:trHeight w:val="855"/>
        </w:trPr>
        <w:tc>
          <w:tcPr>
            <w:tcW w:w="1261" w:type="dxa"/>
            <w:shd w:val="clear" w:color="auto" w:fill="234060"/>
          </w:tcPr>
          <w:p w14:paraId="33BCE4BB" w14:textId="77777777" w:rsidR="00811887" w:rsidRDefault="00811887" w:rsidP="00486E22">
            <w:pPr>
              <w:pStyle w:val="TableParagraph"/>
              <w:ind w:left="110"/>
              <w:rPr>
                <w:b/>
                <w:color w:val="FFFFFF"/>
                <w:spacing w:val="-4"/>
                <w:sz w:val="20"/>
              </w:rPr>
            </w:pPr>
          </w:p>
          <w:p w14:paraId="709FAA2E" w14:textId="77777777" w:rsidR="00811887" w:rsidRDefault="00811887" w:rsidP="00486E22">
            <w:pPr>
              <w:pStyle w:val="TableParagraph"/>
              <w:ind w:left="110"/>
              <w:rPr>
                <w:b/>
                <w:sz w:val="20"/>
              </w:rPr>
            </w:pPr>
            <w:r>
              <w:rPr>
                <w:b/>
                <w:color w:val="FFFFFF"/>
                <w:spacing w:val="-4"/>
                <w:sz w:val="20"/>
              </w:rPr>
              <w:t>Date</w:t>
            </w:r>
          </w:p>
        </w:tc>
        <w:tc>
          <w:tcPr>
            <w:tcW w:w="1666" w:type="dxa"/>
            <w:shd w:val="clear" w:color="auto" w:fill="234060"/>
          </w:tcPr>
          <w:p w14:paraId="38509528" w14:textId="77777777" w:rsidR="00811887" w:rsidRDefault="00811887" w:rsidP="00486E22">
            <w:pPr>
              <w:pStyle w:val="TableParagraph"/>
              <w:spacing w:line="240" w:lineRule="auto"/>
              <w:ind w:left="164" w:right="123" w:hanging="25"/>
              <w:rPr>
                <w:b/>
                <w:sz w:val="20"/>
              </w:rPr>
            </w:pPr>
            <w:r>
              <w:rPr>
                <w:b/>
                <w:color w:val="FFFFFF"/>
                <w:sz w:val="20"/>
              </w:rPr>
              <w:t>JobSeeker</w:t>
            </w:r>
            <w:r>
              <w:rPr>
                <w:b/>
                <w:color w:val="FFFFFF"/>
                <w:spacing w:val="-12"/>
                <w:sz w:val="20"/>
              </w:rPr>
              <w:t xml:space="preserve"> </w:t>
            </w:r>
            <w:r>
              <w:rPr>
                <w:b/>
                <w:color w:val="FFFFFF"/>
                <w:sz w:val="20"/>
              </w:rPr>
              <w:t>Single ($</w:t>
            </w:r>
            <w:r>
              <w:rPr>
                <w:b/>
                <w:color w:val="FFFFFF"/>
                <w:spacing w:val="-1"/>
                <w:sz w:val="20"/>
              </w:rPr>
              <w:t xml:space="preserve"> </w:t>
            </w:r>
            <w:r>
              <w:rPr>
                <w:b/>
                <w:color w:val="FFFFFF"/>
                <w:sz w:val="20"/>
              </w:rPr>
              <w:t xml:space="preserve">per </w:t>
            </w:r>
            <w:r>
              <w:rPr>
                <w:b/>
                <w:color w:val="FFFFFF"/>
                <w:spacing w:val="-2"/>
                <w:sz w:val="20"/>
              </w:rPr>
              <w:t>fortnight)</w:t>
            </w:r>
          </w:p>
        </w:tc>
        <w:tc>
          <w:tcPr>
            <w:tcW w:w="1666" w:type="dxa"/>
            <w:shd w:val="clear" w:color="auto" w:fill="234060"/>
          </w:tcPr>
          <w:p w14:paraId="0676EF7C" w14:textId="77777777" w:rsidR="00811887" w:rsidRDefault="00811887" w:rsidP="00486E22">
            <w:pPr>
              <w:pStyle w:val="TableParagraph"/>
              <w:spacing w:line="240" w:lineRule="auto"/>
              <w:ind w:left="249" w:right="123" w:firstLine="20"/>
              <w:rPr>
                <w:b/>
                <w:sz w:val="20"/>
              </w:rPr>
            </w:pPr>
            <w:r>
              <w:rPr>
                <w:b/>
                <w:color w:val="FFFFFF"/>
                <w:sz w:val="20"/>
              </w:rPr>
              <w:t>Proportion</w:t>
            </w:r>
            <w:r>
              <w:rPr>
                <w:b/>
                <w:color w:val="FFFFFF"/>
                <w:spacing w:val="-12"/>
                <w:sz w:val="20"/>
              </w:rPr>
              <w:t xml:space="preserve"> </w:t>
            </w:r>
            <w:r>
              <w:rPr>
                <w:b/>
                <w:color w:val="FFFFFF"/>
                <w:sz w:val="20"/>
              </w:rPr>
              <w:t>of ABS</w:t>
            </w:r>
            <w:r>
              <w:rPr>
                <w:b/>
                <w:color w:val="FFFFFF"/>
                <w:spacing w:val="-7"/>
                <w:sz w:val="20"/>
              </w:rPr>
              <w:t xml:space="preserve"> </w:t>
            </w:r>
            <w:r>
              <w:rPr>
                <w:b/>
                <w:color w:val="FFFFFF"/>
                <w:sz w:val="20"/>
              </w:rPr>
              <w:t>50%</w:t>
            </w:r>
            <w:r>
              <w:rPr>
                <w:b/>
                <w:color w:val="FFFFFF"/>
                <w:spacing w:val="-6"/>
                <w:sz w:val="20"/>
              </w:rPr>
              <w:t xml:space="preserve"> </w:t>
            </w:r>
            <w:r>
              <w:rPr>
                <w:b/>
                <w:color w:val="FFFFFF"/>
                <w:spacing w:val="-4"/>
                <w:sz w:val="20"/>
              </w:rPr>
              <w:t>EDHI</w:t>
            </w:r>
          </w:p>
          <w:p w14:paraId="1BCE1442" w14:textId="77777777" w:rsidR="00811887" w:rsidRDefault="00811887" w:rsidP="00486E22">
            <w:pPr>
              <w:pStyle w:val="TableParagraph"/>
              <w:spacing w:line="241" w:lineRule="exact"/>
              <w:ind w:left="314"/>
              <w:rPr>
                <w:b/>
                <w:sz w:val="20"/>
              </w:rPr>
            </w:pPr>
            <w:r>
              <w:rPr>
                <w:b/>
                <w:color w:val="FFFFFF"/>
                <w:sz w:val="20"/>
              </w:rPr>
              <w:t>measure</w:t>
            </w:r>
            <w:r>
              <w:rPr>
                <w:b/>
                <w:color w:val="FFFFFF"/>
                <w:spacing w:val="1"/>
                <w:sz w:val="20"/>
              </w:rPr>
              <w:t xml:space="preserve"> </w:t>
            </w:r>
            <w:r>
              <w:rPr>
                <w:b/>
                <w:color w:val="FFFFFF"/>
                <w:spacing w:val="-5"/>
                <w:sz w:val="20"/>
              </w:rPr>
              <w:t>(%)</w:t>
            </w:r>
          </w:p>
        </w:tc>
        <w:tc>
          <w:tcPr>
            <w:tcW w:w="1905" w:type="dxa"/>
            <w:shd w:val="clear" w:color="auto" w:fill="234060"/>
          </w:tcPr>
          <w:p w14:paraId="4BEBE1E5" w14:textId="77777777" w:rsidR="00811887" w:rsidRDefault="00811887" w:rsidP="00486E22">
            <w:pPr>
              <w:pStyle w:val="TableParagraph"/>
              <w:spacing w:before="1" w:line="237" w:lineRule="auto"/>
              <w:ind w:left="59" w:right="54"/>
              <w:jc w:val="center"/>
              <w:rPr>
                <w:b/>
                <w:sz w:val="20"/>
              </w:rPr>
            </w:pPr>
            <w:r>
              <w:rPr>
                <w:b/>
                <w:color w:val="FFFFFF"/>
                <w:sz w:val="20"/>
              </w:rPr>
              <w:t>Proportion</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 xml:space="preserve">HILDA 50% EDHI measure </w:t>
            </w:r>
            <w:r>
              <w:rPr>
                <w:b/>
                <w:color w:val="FFFFFF"/>
                <w:spacing w:val="-4"/>
                <w:sz w:val="20"/>
              </w:rPr>
              <w:t>(%)</w:t>
            </w:r>
          </w:p>
        </w:tc>
        <w:tc>
          <w:tcPr>
            <w:tcW w:w="1901" w:type="dxa"/>
            <w:shd w:val="clear" w:color="auto" w:fill="234060"/>
          </w:tcPr>
          <w:p w14:paraId="3345F7B1" w14:textId="77777777" w:rsidR="00811887" w:rsidRDefault="00811887" w:rsidP="00486E22">
            <w:pPr>
              <w:pStyle w:val="TableParagraph"/>
              <w:spacing w:before="1" w:line="237" w:lineRule="auto"/>
              <w:ind w:left="215" w:right="200" w:hanging="2"/>
              <w:jc w:val="center"/>
              <w:rPr>
                <w:b/>
                <w:sz w:val="20"/>
              </w:rPr>
            </w:pPr>
            <w:r>
              <w:rPr>
                <w:b/>
                <w:color w:val="FFFFFF"/>
                <w:sz w:val="20"/>
              </w:rPr>
              <w:t>Proportion</w:t>
            </w:r>
            <w:r>
              <w:rPr>
                <w:b/>
                <w:color w:val="FFFFFF"/>
                <w:spacing w:val="-1"/>
                <w:sz w:val="20"/>
              </w:rPr>
              <w:t xml:space="preserve"> </w:t>
            </w:r>
            <w:r>
              <w:rPr>
                <w:b/>
                <w:color w:val="FFFFFF"/>
                <w:sz w:val="20"/>
              </w:rPr>
              <w:t>of Budget</w:t>
            </w:r>
            <w:r>
              <w:rPr>
                <w:b/>
                <w:color w:val="FFFFFF"/>
                <w:spacing w:val="-12"/>
                <w:sz w:val="20"/>
              </w:rPr>
              <w:t xml:space="preserve"> </w:t>
            </w:r>
            <w:r>
              <w:rPr>
                <w:b/>
                <w:color w:val="FFFFFF"/>
                <w:sz w:val="20"/>
              </w:rPr>
              <w:t xml:space="preserve">Standards </w:t>
            </w:r>
            <w:r>
              <w:rPr>
                <w:b/>
                <w:color w:val="FFFFFF"/>
                <w:spacing w:val="-4"/>
                <w:sz w:val="20"/>
              </w:rPr>
              <w:t>(%)</w:t>
            </w:r>
          </w:p>
        </w:tc>
        <w:tc>
          <w:tcPr>
            <w:tcW w:w="1586" w:type="dxa"/>
            <w:shd w:val="clear" w:color="auto" w:fill="234060"/>
          </w:tcPr>
          <w:p w14:paraId="1E3C118D" w14:textId="77777777" w:rsidR="00811887" w:rsidRDefault="00811887" w:rsidP="00486E22">
            <w:pPr>
              <w:pStyle w:val="TableParagraph"/>
              <w:spacing w:before="1" w:line="237" w:lineRule="auto"/>
              <w:ind w:left="119" w:right="106" w:hanging="6"/>
              <w:jc w:val="center"/>
              <w:rPr>
                <w:b/>
                <w:sz w:val="20"/>
              </w:rPr>
            </w:pPr>
            <w:r>
              <w:rPr>
                <w:b/>
                <w:color w:val="FFFFFF"/>
                <w:sz w:val="20"/>
              </w:rPr>
              <w:t>Proportion</w:t>
            </w:r>
            <w:r>
              <w:rPr>
                <w:b/>
                <w:color w:val="FFFFFF"/>
                <w:spacing w:val="-1"/>
                <w:sz w:val="20"/>
              </w:rPr>
              <w:t xml:space="preserve"> </w:t>
            </w:r>
            <w:r>
              <w:rPr>
                <w:b/>
                <w:color w:val="FFFFFF"/>
                <w:sz w:val="20"/>
              </w:rPr>
              <w:t xml:space="preserve">of </w:t>
            </w:r>
            <w:r>
              <w:rPr>
                <w:b/>
                <w:color w:val="FFFFFF"/>
                <w:spacing w:val="-2"/>
                <w:sz w:val="20"/>
              </w:rPr>
              <w:t xml:space="preserve">Henderson </w:t>
            </w:r>
            <w:r>
              <w:rPr>
                <w:b/>
                <w:color w:val="FFFFFF"/>
                <w:sz w:val="20"/>
              </w:rPr>
              <w:t>Poverty</w:t>
            </w:r>
            <w:r>
              <w:rPr>
                <w:b/>
                <w:color w:val="FFFFFF"/>
                <w:spacing w:val="-12"/>
                <w:sz w:val="20"/>
              </w:rPr>
              <w:t xml:space="preserve"> </w:t>
            </w:r>
            <w:r>
              <w:rPr>
                <w:b/>
                <w:color w:val="FFFFFF"/>
                <w:sz w:val="20"/>
              </w:rPr>
              <w:t>Line</w:t>
            </w:r>
            <w:r>
              <w:rPr>
                <w:b/>
                <w:color w:val="FFFFFF"/>
                <w:spacing w:val="-11"/>
                <w:sz w:val="20"/>
              </w:rPr>
              <w:t xml:space="preserve"> </w:t>
            </w:r>
            <w:r>
              <w:rPr>
                <w:b/>
                <w:color w:val="FFFFFF"/>
                <w:sz w:val="20"/>
              </w:rPr>
              <w:t>(%)</w:t>
            </w:r>
          </w:p>
        </w:tc>
      </w:tr>
      <w:tr w:rsidR="00811887" w14:paraId="3BF00766" w14:textId="77777777" w:rsidTr="00486E22">
        <w:trPr>
          <w:trHeight w:val="390"/>
        </w:trPr>
        <w:tc>
          <w:tcPr>
            <w:tcW w:w="1261" w:type="dxa"/>
            <w:shd w:val="clear" w:color="auto" w:fill="234060"/>
          </w:tcPr>
          <w:p w14:paraId="43B67E22" w14:textId="77777777" w:rsidR="00811887" w:rsidRDefault="00811887" w:rsidP="00486E22">
            <w:pPr>
              <w:pStyle w:val="TableParagraph"/>
              <w:ind w:left="110"/>
              <w:rPr>
                <w:b/>
                <w:sz w:val="20"/>
              </w:rPr>
            </w:pPr>
            <w:r>
              <w:rPr>
                <w:b/>
                <w:color w:val="FFFFFF"/>
                <w:spacing w:val="-2"/>
                <w:sz w:val="20"/>
              </w:rPr>
              <w:t>1/01/2000</w:t>
            </w:r>
          </w:p>
        </w:tc>
        <w:tc>
          <w:tcPr>
            <w:tcW w:w="1666" w:type="dxa"/>
          </w:tcPr>
          <w:p w14:paraId="4B11C95A" w14:textId="77777777" w:rsidR="00811887" w:rsidRDefault="00811887" w:rsidP="00486E22">
            <w:pPr>
              <w:pStyle w:val="TableParagraph"/>
              <w:ind w:left="4"/>
              <w:jc w:val="center"/>
              <w:rPr>
                <w:sz w:val="20"/>
              </w:rPr>
            </w:pPr>
            <w:r>
              <w:rPr>
                <w:spacing w:val="-2"/>
                <w:sz w:val="20"/>
              </w:rPr>
              <w:t>637.90</w:t>
            </w:r>
          </w:p>
        </w:tc>
        <w:tc>
          <w:tcPr>
            <w:tcW w:w="1666" w:type="dxa"/>
          </w:tcPr>
          <w:p w14:paraId="04664F53" w14:textId="77777777" w:rsidR="00811887" w:rsidRDefault="00811887" w:rsidP="00486E22">
            <w:pPr>
              <w:pStyle w:val="TableParagraph"/>
              <w:ind w:left="4"/>
              <w:jc w:val="center"/>
              <w:rPr>
                <w:sz w:val="20"/>
              </w:rPr>
            </w:pPr>
            <w:r>
              <w:rPr>
                <w:spacing w:val="-4"/>
                <w:sz w:val="20"/>
              </w:rPr>
              <w:t>86.2</w:t>
            </w:r>
          </w:p>
        </w:tc>
        <w:tc>
          <w:tcPr>
            <w:tcW w:w="1905" w:type="dxa"/>
          </w:tcPr>
          <w:p w14:paraId="63FDDD85" w14:textId="77777777" w:rsidR="00811887" w:rsidRDefault="00811887" w:rsidP="00486E22">
            <w:pPr>
              <w:pStyle w:val="TableParagraph"/>
              <w:ind w:left="61" w:right="54"/>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01" w:type="dxa"/>
          </w:tcPr>
          <w:p w14:paraId="1D282444"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2803FC3A" w14:textId="77777777" w:rsidR="00811887" w:rsidRDefault="00811887" w:rsidP="00486E22">
            <w:pPr>
              <w:pStyle w:val="TableParagraph"/>
              <w:ind w:left="15" w:right="11"/>
              <w:jc w:val="center"/>
              <w:rPr>
                <w:sz w:val="20"/>
              </w:rPr>
            </w:pPr>
            <w:r>
              <w:rPr>
                <w:spacing w:val="-4"/>
                <w:sz w:val="20"/>
              </w:rPr>
              <w:t>77.6</w:t>
            </w:r>
          </w:p>
        </w:tc>
      </w:tr>
      <w:tr w:rsidR="00811887" w14:paraId="6411106D" w14:textId="77777777" w:rsidTr="00486E22">
        <w:trPr>
          <w:trHeight w:val="655"/>
        </w:trPr>
        <w:tc>
          <w:tcPr>
            <w:tcW w:w="1261" w:type="dxa"/>
            <w:shd w:val="clear" w:color="auto" w:fill="234060"/>
          </w:tcPr>
          <w:p w14:paraId="0258B517" w14:textId="77777777" w:rsidR="00811887" w:rsidRDefault="00811887" w:rsidP="00486E22">
            <w:pPr>
              <w:pStyle w:val="TableParagraph"/>
              <w:ind w:left="110"/>
              <w:rPr>
                <w:b/>
                <w:sz w:val="20"/>
              </w:rPr>
            </w:pPr>
            <w:r>
              <w:rPr>
                <w:b/>
                <w:color w:val="FFFFFF"/>
                <w:spacing w:val="-2"/>
                <w:sz w:val="20"/>
              </w:rPr>
              <w:t>1/01/2002</w:t>
            </w:r>
          </w:p>
        </w:tc>
        <w:tc>
          <w:tcPr>
            <w:tcW w:w="1666" w:type="dxa"/>
          </w:tcPr>
          <w:p w14:paraId="2027EF73" w14:textId="77777777" w:rsidR="00811887" w:rsidRDefault="00811887" w:rsidP="00486E22">
            <w:pPr>
              <w:pStyle w:val="TableParagraph"/>
              <w:ind w:left="4"/>
              <w:jc w:val="center"/>
              <w:rPr>
                <w:sz w:val="20"/>
              </w:rPr>
            </w:pPr>
            <w:r>
              <w:rPr>
                <w:spacing w:val="-2"/>
                <w:sz w:val="20"/>
              </w:rPr>
              <w:t>652.10</w:t>
            </w:r>
          </w:p>
        </w:tc>
        <w:tc>
          <w:tcPr>
            <w:tcW w:w="1666" w:type="dxa"/>
          </w:tcPr>
          <w:p w14:paraId="3719DC2E" w14:textId="77777777" w:rsidR="00811887" w:rsidRDefault="00811887" w:rsidP="00486E22">
            <w:pPr>
              <w:pStyle w:val="TableParagraph"/>
              <w:spacing w:line="261" w:lineRule="auto"/>
              <w:ind w:left="474" w:right="459" w:firstLine="10"/>
              <w:rPr>
                <w:sz w:val="20"/>
              </w:rPr>
            </w:pPr>
            <w:r>
              <w:rPr>
                <w:sz w:val="20"/>
              </w:rPr>
              <w:t>Data</w:t>
            </w:r>
            <w:r>
              <w:rPr>
                <w:spacing w:val="-12"/>
                <w:sz w:val="20"/>
              </w:rPr>
              <w:t xml:space="preserve"> </w:t>
            </w:r>
            <w:r>
              <w:rPr>
                <w:sz w:val="20"/>
              </w:rPr>
              <w:t xml:space="preserve">not </w:t>
            </w:r>
            <w:r>
              <w:rPr>
                <w:spacing w:val="-2"/>
                <w:sz w:val="20"/>
              </w:rPr>
              <w:t>available</w:t>
            </w:r>
          </w:p>
        </w:tc>
        <w:tc>
          <w:tcPr>
            <w:tcW w:w="1905" w:type="dxa"/>
          </w:tcPr>
          <w:p w14:paraId="7620B38A" w14:textId="77777777" w:rsidR="00811887" w:rsidRDefault="00811887" w:rsidP="00486E22">
            <w:pPr>
              <w:pStyle w:val="TableParagraph"/>
              <w:ind w:left="59" w:right="54"/>
              <w:jc w:val="center"/>
              <w:rPr>
                <w:sz w:val="20"/>
              </w:rPr>
            </w:pPr>
            <w:r>
              <w:rPr>
                <w:spacing w:val="-4"/>
                <w:sz w:val="20"/>
              </w:rPr>
              <w:t>73.9</w:t>
            </w:r>
          </w:p>
        </w:tc>
        <w:tc>
          <w:tcPr>
            <w:tcW w:w="1901" w:type="dxa"/>
          </w:tcPr>
          <w:p w14:paraId="5F94A560"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6499319C" w14:textId="77777777" w:rsidR="00811887" w:rsidRDefault="00811887" w:rsidP="00486E22">
            <w:pPr>
              <w:pStyle w:val="TableParagraph"/>
              <w:ind w:left="15" w:right="11"/>
              <w:jc w:val="center"/>
              <w:rPr>
                <w:sz w:val="20"/>
              </w:rPr>
            </w:pPr>
            <w:r>
              <w:rPr>
                <w:spacing w:val="-4"/>
                <w:sz w:val="20"/>
              </w:rPr>
              <w:t>76.6</w:t>
            </w:r>
          </w:p>
        </w:tc>
      </w:tr>
      <w:tr w:rsidR="00811887" w14:paraId="4DFD6DC8" w14:textId="77777777" w:rsidTr="00486E22">
        <w:trPr>
          <w:trHeight w:val="390"/>
        </w:trPr>
        <w:tc>
          <w:tcPr>
            <w:tcW w:w="1261" w:type="dxa"/>
            <w:shd w:val="clear" w:color="auto" w:fill="234060"/>
          </w:tcPr>
          <w:p w14:paraId="7DB00EDE" w14:textId="77777777" w:rsidR="00811887" w:rsidRDefault="00811887" w:rsidP="00486E22">
            <w:pPr>
              <w:pStyle w:val="TableParagraph"/>
              <w:ind w:left="110"/>
              <w:rPr>
                <w:b/>
                <w:sz w:val="20"/>
              </w:rPr>
            </w:pPr>
            <w:r>
              <w:rPr>
                <w:b/>
                <w:color w:val="FFFFFF"/>
                <w:spacing w:val="-2"/>
                <w:sz w:val="20"/>
              </w:rPr>
              <w:t>1/01/2004</w:t>
            </w:r>
          </w:p>
        </w:tc>
        <w:tc>
          <w:tcPr>
            <w:tcW w:w="1666" w:type="dxa"/>
          </w:tcPr>
          <w:p w14:paraId="663762B7" w14:textId="77777777" w:rsidR="00811887" w:rsidRDefault="00811887" w:rsidP="00486E22">
            <w:pPr>
              <w:pStyle w:val="TableParagraph"/>
              <w:ind w:left="4"/>
              <w:jc w:val="center"/>
              <w:rPr>
                <w:sz w:val="20"/>
              </w:rPr>
            </w:pPr>
            <w:r>
              <w:rPr>
                <w:spacing w:val="-2"/>
                <w:sz w:val="20"/>
              </w:rPr>
              <w:t>653.30</w:t>
            </w:r>
          </w:p>
        </w:tc>
        <w:tc>
          <w:tcPr>
            <w:tcW w:w="1666" w:type="dxa"/>
          </w:tcPr>
          <w:p w14:paraId="75D30149" w14:textId="77777777" w:rsidR="00811887" w:rsidRDefault="00811887" w:rsidP="00486E22">
            <w:pPr>
              <w:pStyle w:val="TableParagraph"/>
              <w:ind w:left="4"/>
              <w:jc w:val="center"/>
              <w:rPr>
                <w:sz w:val="20"/>
              </w:rPr>
            </w:pPr>
            <w:r>
              <w:rPr>
                <w:spacing w:val="-4"/>
                <w:sz w:val="20"/>
              </w:rPr>
              <w:t>77.2</w:t>
            </w:r>
          </w:p>
        </w:tc>
        <w:tc>
          <w:tcPr>
            <w:tcW w:w="1905" w:type="dxa"/>
          </w:tcPr>
          <w:p w14:paraId="3AE5428F" w14:textId="77777777" w:rsidR="00811887" w:rsidRDefault="00811887" w:rsidP="00486E22">
            <w:pPr>
              <w:pStyle w:val="TableParagraph"/>
              <w:ind w:left="59" w:right="54"/>
              <w:jc w:val="center"/>
              <w:rPr>
                <w:sz w:val="20"/>
              </w:rPr>
            </w:pPr>
            <w:r>
              <w:rPr>
                <w:spacing w:val="-4"/>
                <w:sz w:val="20"/>
              </w:rPr>
              <w:t>70.7</w:t>
            </w:r>
          </w:p>
        </w:tc>
        <w:tc>
          <w:tcPr>
            <w:tcW w:w="1901" w:type="dxa"/>
          </w:tcPr>
          <w:p w14:paraId="0837374D"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49514629" w14:textId="77777777" w:rsidR="00811887" w:rsidRDefault="00811887" w:rsidP="00486E22">
            <w:pPr>
              <w:pStyle w:val="TableParagraph"/>
              <w:ind w:left="15" w:right="12"/>
              <w:jc w:val="center"/>
              <w:rPr>
                <w:sz w:val="20"/>
              </w:rPr>
            </w:pPr>
            <w:r>
              <w:rPr>
                <w:spacing w:val="-5"/>
                <w:sz w:val="20"/>
              </w:rPr>
              <w:t>78</w:t>
            </w:r>
          </w:p>
        </w:tc>
      </w:tr>
      <w:tr w:rsidR="00811887" w14:paraId="7E029C0B" w14:textId="77777777" w:rsidTr="00486E22">
        <w:trPr>
          <w:trHeight w:val="390"/>
        </w:trPr>
        <w:tc>
          <w:tcPr>
            <w:tcW w:w="1261" w:type="dxa"/>
            <w:shd w:val="clear" w:color="auto" w:fill="234060"/>
          </w:tcPr>
          <w:p w14:paraId="0E697829" w14:textId="77777777" w:rsidR="00811887" w:rsidRDefault="00811887" w:rsidP="00486E22">
            <w:pPr>
              <w:pStyle w:val="TableParagraph"/>
              <w:ind w:left="110"/>
              <w:rPr>
                <w:b/>
                <w:sz w:val="20"/>
              </w:rPr>
            </w:pPr>
            <w:r>
              <w:rPr>
                <w:b/>
                <w:color w:val="FFFFFF"/>
                <w:spacing w:val="-2"/>
                <w:sz w:val="20"/>
              </w:rPr>
              <w:t>1/01/2006</w:t>
            </w:r>
          </w:p>
        </w:tc>
        <w:tc>
          <w:tcPr>
            <w:tcW w:w="1666" w:type="dxa"/>
          </w:tcPr>
          <w:p w14:paraId="7F3382F3" w14:textId="77777777" w:rsidR="00811887" w:rsidRDefault="00811887" w:rsidP="00486E22">
            <w:pPr>
              <w:pStyle w:val="TableParagraph"/>
              <w:ind w:left="4"/>
              <w:jc w:val="center"/>
              <w:rPr>
                <w:sz w:val="20"/>
              </w:rPr>
            </w:pPr>
            <w:r>
              <w:rPr>
                <w:spacing w:val="-2"/>
                <w:sz w:val="20"/>
              </w:rPr>
              <w:t>651.50</w:t>
            </w:r>
          </w:p>
        </w:tc>
        <w:tc>
          <w:tcPr>
            <w:tcW w:w="1666" w:type="dxa"/>
          </w:tcPr>
          <w:p w14:paraId="76339E1C" w14:textId="77777777" w:rsidR="00811887" w:rsidRDefault="00811887" w:rsidP="00486E22">
            <w:pPr>
              <w:pStyle w:val="TableParagraph"/>
              <w:ind w:left="4"/>
              <w:jc w:val="center"/>
              <w:rPr>
                <w:sz w:val="20"/>
              </w:rPr>
            </w:pPr>
            <w:r>
              <w:rPr>
                <w:spacing w:val="-4"/>
                <w:sz w:val="20"/>
              </w:rPr>
              <w:t>70.9</w:t>
            </w:r>
          </w:p>
        </w:tc>
        <w:tc>
          <w:tcPr>
            <w:tcW w:w="1905" w:type="dxa"/>
          </w:tcPr>
          <w:p w14:paraId="35457F80" w14:textId="77777777" w:rsidR="00811887" w:rsidRDefault="00811887" w:rsidP="00486E22">
            <w:pPr>
              <w:pStyle w:val="TableParagraph"/>
              <w:ind w:left="59" w:right="54"/>
              <w:jc w:val="center"/>
              <w:rPr>
                <w:sz w:val="20"/>
              </w:rPr>
            </w:pPr>
            <w:r>
              <w:rPr>
                <w:spacing w:val="-4"/>
                <w:sz w:val="20"/>
              </w:rPr>
              <w:t>66.3</w:t>
            </w:r>
          </w:p>
        </w:tc>
        <w:tc>
          <w:tcPr>
            <w:tcW w:w="1901" w:type="dxa"/>
          </w:tcPr>
          <w:p w14:paraId="4639178F"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17499C6C" w14:textId="77777777" w:rsidR="00811887" w:rsidRDefault="00811887" w:rsidP="00486E22">
            <w:pPr>
              <w:pStyle w:val="TableParagraph"/>
              <w:ind w:left="15" w:right="11"/>
              <w:jc w:val="center"/>
              <w:rPr>
                <w:sz w:val="20"/>
              </w:rPr>
            </w:pPr>
            <w:r>
              <w:rPr>
                <w:spacing w:val="-4"/>
                <w:sz w:val="20"/>
              </w:rPr>
              <w:t>75.4</w:t>
            </w:r>
          </w:p>
        </w:tc>
      </w:tr>
      <w:tr w:rsidR="00811887" w14:paraId="2C1648B9" w14:textId="77777777" w:rsidTr="00486E22">
        <w:trPr>
          <w:trHeight w:val="385"/>
        </w:trPr>
        <w:tc>
          <w:tcPr>
            <w:tcW w:w="1261" w:type="dxa"/>
            <w:shd w:val="clear" w:color="auto" w:fill="234060"/>
          </w:tcPr>
          <w:p w14:paraId="452956C5" w14:textId="77777777" w:rsidR="00811887" w:rsidRDefault="00811887" w:rsidP="00486E22">
            <w:pPr>
              <w:pStyle w:val="TableParagraph"/>
              <w:spacing w:line="239" w:lineRule="exact"/>
              <w:ind w:left="110"/>
              <w:rPr>
                <w:b/>
                <w:sz w:val="20"/>
              </w:rPr>
            </w:pPr>
            <w:r>
              <w:rPr>
                <w:b/>
                <w:color w:val="FFFFFF"/>
                <w:spacing w:val="-2"/>
                <w:sz w:val="20"/>
              </w:rPr>
              <w:t>1/01/2008</w:t>
            </w:r>
          </w:p>
        </w:tc>
        <w:tc>
          <w:tcPr>
            <w:tcW w:w="1666" w:type="dxa"/>
          </w:tcPr>
          <w:p w14:paraId="5DF2984F" w14:textId="77777777" w:rsidR="00811887" w:rsidRDefault="00811887" w:rsidP="00486E22">
            <w:pPr>
              <w:pStyle w:val="TableParagraph"/>
              <w:ind w:left="4"/>
              <w:jc w:val="center"/>
              <w:rPr>
                <w:sz w:val="20"/>
              </w:rPr>
            </w:pPr>
            <w:r>
              <w:rPr>
                <w:spacing w:val="-2"/>
                <w:sz w:val="20"/>
              </w:rPr>
              <w:t>647.80</w:t>
            </w:r>
          </w:p>
        </w:tc>
        <w:tc>
          <w:tcPr>
            <w:tcW w:w="1666" w:type="dxa"/>
          </w:tcPr>
          <w:p w14:paraId="3EC9F93F" w14:textId="77777777" w:rsidR="00811887" w:rsidRDefault="00811887" w:rsidP="00486E22">
            <w:pPr>
              <w:pStyle w:val="TableParagraph"/>
              <w:ind w:left="4"/>
              <w:jc w:val="center"/>
              <w:rPr>
                <w:sz w:val="20"/>
              </w:rPr>
            </w:pPr>
            <w:r>
              <w:rPr>
                <w:spacing w:val="-4"/>
                <w:sz w:val="20"/>
              </w:rPr>
              <w:t>61.5</w:t>
            </w:r>
          </w:p>
        </w:tc>
        <w:tc>
          <w:tcPr>
            <w:tcW w:w="1905" w:type="dxa"/>
          </w:tcPr>
          <w:p w14:paraId="656BCAF7" w14:textId="77777777" w:rsidR="00811887" w:rsidRDefault="00811887" w:rsidP="00486E22">
            <w:pPr>
              <w:pStyle w:val="TableParagraph"/>
              <w:ind w:left="59" w:right="54"/>
              <w:jc w:val="center"/>
              <w:rPr>
                <w:sz w:val="20"/>
              </w:rPr>
            </w:pPr>
            <w:r>
              <w:rPr>
                <w:spacing w:val="-4"/>
                <w:sz w:val="20"/>
              </w:rPr>
              <w:t>61.4</w:t>
            </w:r>
          </w:p>
        </w:tc>
        <w:tc>
          <w:tcPr>
            <w:tcW w:w="1901" w:type="dxa"/>
          </w:tcPr>
          <w:p w14:paraId="735640D7"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4F027383" w14:textId="77777777" w:rsidR="00811887" w:rsidRDefault="00811887" w:rsidP="00486E22">
            <w:pPr>
              <w:pStyle w:val="TableParagraph"/>
              <w:ind w:left="15" w:right="11"/>
              <w:jc w:val="center"/>
              <w:rPr>
                <w:sz w:val="20"/>
              </w:rPr>
            </w:pPr>
            <w:r>
              <w:rPr>
                <w:spacing w:val="-4"/>
                <w:sz w:val="20"/>
              </w:rPr>
              <w:t>70.1</w:t>
            </w:r>
          </w:p>
        </w:tc>
      </w:tr>
      <w:tr w:rsidR="00811887" w14:paraId="53092757" w14:textId="77777777" w:rsidTr="00486E22">
        <w:trPr>
          <w:trHeight w:val="390"/>
        </w:trPr>
        <w:tc>
          <w:tcPr>
            <w:tcW w:w="1261" w:type="dxa"/>
            <w:shd w:val="clear" w:color="auto" w:fill="234060"/>
          </w:tcPr>
          <w:p w14:paraId="6DF0BCC4" w14:textId="77777777" w:rsidR="00811887" w:rsidRDefault="00811887" w:rsidP="00486E22">
            <w:pPr>
              <w:pStyle w:val="TableParagraph"/>
              <w:spacing w:line="240" w:lineRule="auto"/>
              <w:ind w:left="110"/>
              <w:rPr>
                <w:b/>
                <w:sz w:val="20"/>
              </w:rPr>
            </w:pPr>
            <w:r>
              <w:rPr>
                <w:b/>
                <w:color w:val="FFFFFF"/>
                <w:spacing w:val="-2"/>
                <w:sz w:val="20"/>
              </w:rPr>
              <w:t>1/01/2010</w:t>
            </w:r>
          </w:p>
        </w:tc>
        <w:tc>
          <w:tcPr>
            <w:tcW w:w="1666" w:type="dxa"/>
          </w:tcPr>
          <w:p w14:paraId="4786AA0E" w14:textId="77777777" w:rsidR="00811887" w:rsidRDefault="00811887" w:rsidP="00486E22">
            <w:pPr>
              <w:pStyle w:val="TableParagraph"/>
              <w:spacing w:line="240" w:lineRule="auto"/>
              <w:ind w:left="4"/>
              <w:jc w:val="center"/>
              <w:rPr>
                <w:sz w:val="20"/>
              </w:rPr>
            </w:pPr>
            <w:r>
              <w:rPr>
                <w:spacing w:val="-2"/>
                <w:sz w:val="20"/>
              </w:rPr>
              <w:t>651.90</w:t>
            </w:r>
          </w:p>
        </w:tc>
        <w:tc>
          <w:tcPr>
            <w:tcW w:w="1666" w:type="dxa"/>
          </w:tcPr>
          <w:p w14:paraId="1436C8DC" w14:textId="77777777" w:rsidR="00811887" w:rsidRDefault="00811887" w:rsidP="00486E22">
            <w:pPr>
              <w:pStyle w:val="TableParagraph"/>
              <w:spacing w:line="240" w:lineRule="auto"/>
              <w:ind w:left="4"/>
              <w:jc w:val="center"/>
              <w:rPr>
                <w:sz w:val="20"/>
              </w:rPr>
            </w:pPr>
            <w:r>
              <w:rPr>
                <w:spacing w:val="-4"/>
                <w:sz w:val="20"/>
              </w:rPr>
              <w:t>62.8</w:t>
            </w:r>
          </w:p>
        </w:tc>
        <w:tc>
          <w:tcPr>
            <w:tcW w:w="1905" w:type="dxa"/>
          </w:tcPr>
          <w:p w14:paraId="14C4575F" w14:textId="77777777" w:rsidR="00811887" w:rsidRDefault="00811887" w:rsidP="00486E22">
            <w:pPr>
              <w:pStyle w:val="TableParagraph"/>
              <w:spacing w:line="240" w:lineRule="auto"/>
              <w:ind w:left="59" w:right="54"/>
              <w:jc w:val="center"/>
              <w:rPr>
                <w:sz w:val="20"/>
              </w:rPr>
            </w:pPr>
            <w:r>
              <w:rPr>
                <w:spacing w:val="-4"/>
                <w:sz w:val="20"/>
              </w:rPr>
              <w:t>59.7</w:t>
            </w:r>
          </w:p>
        </w:tc>
        <w:tc>
          <w:tcPr>
            <w:tcW w:w="1901" w:type="dxa"/>
          </w:tcPr>
          <w:p w14:paraId="4B589ADF" w14:textId="77777777" w:rsidR="00811887" w:rsidRDefault="00811887" w:rsidP="00486E22">
            <w:pPr>
              <w:pStyle w:val="TableParagraph"/>
              <w:spacing w:line="240" w:lineRule="auto"/>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213A422B" w14:textId="77777777" w:rsidR="00811887" w:rsidRDefault="00811887" w:rsidP="00486E22">
            <w:pPr>
              <w:pStyle w:val="TableParagraph"/>
              <w:spacing w:line="240" w:lineRule="auto"/>
              <w:ind w:left="15" w:right="12"/>
              <w:jc w:val="center"/>
              <w:rPr>
                <w:sz w:val="20"/>
              </w:rPr>
            </w:pPr>
            <w:r>
              <w:rPr>
                <w:spacing w:val="-5"/>
                <w:sz w:val="20"/>
              </w:rPr>
              <w:t>70</w:t>
            </w:r>
          </w:p>
        </w:tc>
      </w:tr>
      <w:tr w:rsidR="00811887" w14:paraId="4884BEFF" w14:textId="77777777" w:rsidTr="00486E22">
        <w:trPr>
          <w:trHeight w:val="389"/>
        </w:trPr>
        <w:tc>
          <w:tcPr>
            <w:tcW w:w="1261" w:type="dxa"/>
            <w:shd w:val="clear" w:color="auto" w:fill="234060"/>
          </w:tcPr>
          <w:p w14:paraId="21370588" w14:textId="77777777" w:rsidR="00811887" w:rsidRDefault="00811887" w:rsidP="00486E22">
            <w:pPr>
              <w:pStyle w:val="TableParagraph"/>
              <w:ind w:left="110"/>
              <w:rPr>
                <w:b/>
                <w:sz w:val="20"/>
              </w:rPr>
            </w:pPr>
            <w:r>
              <w:rPr>
                <w:b/>
                <w:color w:val="FFFFFF"/>
                <w:spacing w:val="-2"/>
                <w:sz w:val="20"/>
              </w:rPr>
              <w:t>1/01/2012</w:t>
            </w:r>
          </w:p>
        </w:tc>
        <w:tc>
          <w:tcPr>
            <w:tcW w:w="1666" w:type="dxa"/>
          </w:tcPr>
          <w:p w14:paraId="56DBEC7A" w14:textId="77777777" w:rsidR="00811887" w:rsidRDefault="00811887" w:rsidP="00486E22">
            <w:pPr>
              <w:pStyle w:val="TableParagraph"/>
              <w:ind w:left="4"/>
              <w:jc w:val="center"/>
              <w:rPr>
                <w:sz w:val="20"/>
              </w:rPr>
            </w:pPr>
            <w:r>
              <w:rPr>
                <w:spacing w:val="-2"/>
                <w:sz w:val="20"/>
              </w:rPr>
              <w:t>663.20</w:t>
            </w:r>
          </w:p>
        </w:tc>
        <w:tc>
          <w:tcPr>
            <w:tcW w:w="1666" w:type="dxa"/>
          </w:tcPr>
          <w:p w14:paraId="4E0BD564" w14:textId="77777777" w:rsidR="00811887" w:rsidRDefault="00811887" w:rsidP="00486E22">
            <w:pPr>
              <w:pStyle w:val="TableParagraph"/>
              <w:ind w:left="4"/>
              <w:jc w:val="center"/>
              <w:rPr>
                <w:sz w:val="20"/>
              </w:rPr>
            </w:pPr>
            <w:r>
              <w:rPr>
                <w:spacing w:val="-4"/>
                <w:sz w:val="20"/>
              </w:rPr>
              <w:t>60.9</w:t>
            </w:r>
          </w:p>
        </w:tc>
        <w:tc>
          <w:tcPr>
            <w:tcW w:w="1905" w:type="dxa"/>
          </w:tcPr>
          <w:p w14:paraId="37064BB3" w14:textId="77777777" w:rsidR="00811887" w:rsidRDefault="00811887" w:rsidP="00486E22">
            <w:pPr>
              <w:pStyle w:val="TableParagraph"/>
              <w:ind w:left="59" w:right="54"/>
              <w:jc w:val="center"/>
              <w:rPr>
                <w:sz w:val="20"/>
              </w:rPr>
            </w:pPr>
            <w:r>
              <w:rPr>
                <w:spacing w:val="-4"/>
                <w:sz w:val="20"/>
              </w:rPr>
              <w:t>59.3</w:t>
            </w:r>
          </w:p>
        </w:tc>
        <w:tc>
          <w:tcPr>
            <w:tcW w:w="1901" w:type="dxa"/>
          </w:tcPr>
          <w:p w14:paraId="0792DADD" w14:textId="77777777" w:rsidR="00811887" w:rsidRDefault="00811887" w:rsidP="00486E22">
            <w:pPr>
              <w:pStyle w:val="TableParagraph"/>
              <w:ind w:left="11"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586" w:type="dxa"/>
          </w:tcPr>
          <w:p w14:paraId="27E2F2AE" w14:textId="77777777" w:rsidR="00811887" w:rsidRDefault="00811887" w:rsidP="00486E22">
            <w:pPr>
              <w:pStyle w:val="TableParagraph"/>
              <w:ind w:left="15" w:right="11"/>
              <w:jc w:val="center"/>
              <w:rPr>
                <w:sz w:val="20"/>
              </w:rPr>
            </w:pPr>
            <w:r>
              <w:rPr>
                <w:spacing w:val="-4"/>
                <w:sz w:val="20"/>
              </w:rPr>
              <w:t>63.8</w:t>
            </w:r>
          </w:p>
        </w:tc>
      </w:tr>
      <w:tr w:rsidR="00811887" w14:paraId="480B0028" w14:textId="77777777" w:rsidTr="00486E22">
        <w:trPr>
          <w:trHeight w:val="385"/>
        </w:trPr>
        <w:tc>
          <w:tcPr>
            <w:tcW w:w="1261" w:type="dxa"/>
            <w:shd w:val="clear" w:color="auto" w:fill="234060"/>
          </w:tcPr>
          <w:p w14:paraId="27A028E9" w14:textId="77777777" w:rsidR="00811887" w:rsidRDefault="00811887" w:rsidP="00486E22">
            <w:pPr>
              <w:pStyle w:val="TableParagraph"/>
              <w:ind w:left="110"/>
              <w:rPr>
                <w:b/>
                <w:sz w:val="20"/>
              </w:rPr>
            </w:pPr>
            <w:r>
              <w:rPr>
                <w:b/>
                <w:color w:val="FFFFFF"/>
                <w:spacing w:val="-2"/>
                <w:sz w:val="20"/>
              </w:rPr>
              <w:t>1/01/2014</w:t>
            </w:r>
          </w:p>
        </w:tc>
        <w:tc>
          <w:tcPr>
            <w:tcW w:w="1666" w:type="dxa"/>
          </w:tcPr>
          <w:p w14:paraId="464E382E" w14:textId="77777777" w:rsidR="00811887" w:rsidRDefault="00811887" w:rsidP="00486E22">
            <w:pPr>
              <w:pStyle w:val="TableParagraph"/>
              <w:ind w:left="4"/>
              <w:jc w:val="center"/>
              <w:rPr>
                <w:sz w:val="20"/>
              </w:rPr>
            </w:pPr>
            <w:r>
              <w:rPr>
                <w:spacing w:val="-2"/>
                <w:sz w:val="20"/>
              </w:rPr>
              <w:t>663.00</w:t>
            </w:r>
          </w:p>
        </w:tc>
        <w:tc>
          <w:tcPr>
            <w:tcW w:w="1666" w:type="dxa"/>
          </w:tcPr>
          <w:p w14:paraId="41CE05C4" w14:textId="77777777" w:rsidR="00811887" w:rsidRDefault="00811887" w:rsidP="00486E22">
            <w:pPr>
              <w:pStyle w:val="TableParagraph"/>
              <w:ind w:left="4"/>
              <w:jc w:val="center"/>
              <w:rPr>
                <w:sz w:val="20"/>
              </w:rPr>
            </w:pPr>
            <w:r>
              <w:rPr>
                <w:spacing w:val="-4"/>
                <w:sz w:val="20"/>
              </w:rPr>
              <w:t>59.9</w:t>
            </w:r>
          </w:p>
        </w:tc>
        <w:tc>
          <w:tcPr>
            <w:tcW w:w="1905" w:type="dxa"/>
          </w:tcPr>
          <w:p w14:paraId="17C00DDE" w14:textId="77777777" w:rsidR="00811887" w:rsidRDefault="00811887" w:rsidP="00486E22">
            <w:pPr>
              <w:pStyle w:val="TableParagraph"/>
              <w:ind w:left="59" w:right="54"/>
              <w:jc w:val="center"/>
              <w:rPr>
                <w:sz w:val="20"/>
              </w:rPr>
            </w:pPr>
            <w:r>
              <w:rPr>
                <w:spacing w:val="-4"/>
                <w:sz w:val="20"/>
              </w:rPr>
              <w:t>59.3</w:t>
            </w:r>
          </w:p>
        </w:tc>
        <w:tc>
          <w:tcPr>
            <w:tcW w:w="1901" w:type="dxa"/>
          </w:tcPr>
          <w:p w14:paraId="3DE0B313" w14:textId="77777777" w:rsidR="00811887" w:rsidRDefault="00811887" w:rsidP="00486E22">
            <w:pPr>
              <w:pStyle w:val="TableParagraph"/>
              <w:ind w:left="11"/>
              <w:jc w:val="center"/>
              <w:rPr>
                <w:sz w:val="20"/>
              </w:rPr>
            </w:pPr>
            <w:r>
              <w:rPr>
                <w:spacing w:val="-4"/>
                <w:sz w:val="20"/>
              </w:rPr>
              <w:t>60.3</w:t>
            </w:r>
          </w:p>
        </w:tc>
        <w:tc>
          <w:tcPr>
            <w:tcW w:w="1586" w:type="dxa"/>
          </w:tcPr>
          <w:p w14:paraId="7042A6EF" w14:textId="77777777" w:rsidR="00811887" w:rsidRDefault="00811887" w:rsidP="00486E22">
            <w:pPr>
              <w:pStyle w:val="TableParagraph"/>
              <w:ind w:left="15" w:right="11"/>
              <w:jc w:val="center"/>
              <w:rPr>
                <w:sz w:val="20"/>
              </w:rPr>
            </w:pPr>
            <w:r>
              <w:rPr>
                <w:spacing w:val="-4"/>
                <w:sz w:val="20"/>
              </w:rPr>
              <w:t>62.3</w:t>
            </w:r>
          </w:p>
        </w:tc>
      </w:tr>
      <w:tr w:rsidR="00811887" w14:paraId="735A0FE8" w14:textId="77777777" w:rsidTr="00486E22">
        <w:trPr>
          <w:trHeight w:val="390"/>
        </w:trPr>
        <w:tc>
          <w:tcPr>
            <w:tcW w:w="1261" w:type="dxa"/>
            <w:shd w:val="clear" w:color="auto" w:fill="234060"/>
          </w:tcPr>
          <w:p w14:paraId="6911D692" w14:textId="77777777" w:rsidR="00811887" w:rsidRDefault="00811887" w:rsidP="00486E22">
            <w:pPr>
              <w:pStyle w:val="TableParagraph"/>
              <w:ind w:left="110"/>
              <w:rPr>
                <w:b/>
                <w:sz w:val="20"/>
              </w:rPr>
            </w:pPr>
            <w:r>
              <w:rPr>
                <w:b/>
                <w:color w:val="FFFFFF"/>
                <w:spacing w:val="-2"/>
                <w:sz w:val="20"/>
              </w:rPr>
              <w:t>1/01/2016</w:t>
            </w:r>
          </w:p>
        </w:tc>
        <w:tc>
          <w:tcPr>
            <w:tcW w:w="1666" w:type="dxa"/>
          </w:tcPr>
          <w:p w14:paraId="6C618949" w14:textId="77777777" w:rsidR="00811887" w:rsidRDefault="00811887" w:rsidP="00486E22">
            <w:pPr>
              <w:pStyle w:val="TableParagraph"/>
              <w:ind w:left="4"/>
              <w:jc w:val="center"/>
              <w:rPr>
                <w:sz w:val="20"/>
              </w:rPr>
            </w:pPr>
            <w:r>
              <w:rPr>
                <w:spacing w:val="-2"/>
                <w:sz w:val="20"/>
              </w:rPr>
              <w:t>674.80</w:t>
            </w:r>
          </w:p>
        </w:tc>
        <w:tc>
          <w:tcPr>
            <w:tcW w:w="1666" w:type="dxa"/>
          </w:tcPr>
          <w:p w14:paraId="74DCA516" w14:textId="77777777" w:rsidR="00811887" w:rsidRDefault="00811887" w:rsidP="00486E22">
            <w:pPr>
              <w:pStyle w:val="TableParagraph"/>
              <w:ind w:left="4"/>
              <w:jc w:val="center"/>
              <w:rPr>
                <w:sz w:val="20"/>
              </w:rPr>
            </w:pPr>
            <w:r>
              <w:rPr>
                <w:spacing w:val="-4"/>
                <w:sz w:val="20"/>
              </w:rPr>
              <w:t>62.2</w:t>
            </w:r>
          </w:p>
        </w:tc>
        <w:tc>
          <w:tcPr>
            <w:tcW w:w="1905" w:type="dxa"/>
          </w:tcPr>
          <w:p w14:paraId="4FB628AA" w14:textId="77777777" w:rsidR="00811887" w:rsidRDefault="00811887" w:rsidP="00486E22">
            <w:pPr>
              <w:pStyle w:val="TableParagraph"/>
              <w:ind w:left="59" w:right="54"/>
              <w:jc w:val="center"/>
              <w:rPr>
                <w:sz w:val="20"/>
              </w:rPr>
            </w:pPr>
            <w:r>
              <w:rPr>
                <w:spacing w:val="-4"/>
                <w:sz w:val="20"/>
              </w:rPr>
              <w:t>60.1</w:t>
            </w:r>
          </w:p>
        </w:tc>
        <w:tc>
          <w:tcPr>
            <w:tcW w:w="1901" w:type="dxa"/>
          </w:tcPr>
          <w:p w14:paraId="1A42DC59" w14:textId="77777777" w:rsidR="00811887" w:rsidRDefault="00811887" w:rsidP="00486E22">
            <w:pPr>
              <w:pStyle w:val="TableParagraph"/>
              <w:ind w:left="11"/>
              <w:jc w:val="center"/>
              <w:rPr>
                <w:sz w:val="20"/>
              </w:rPr>
            </w:pPr>
            <w:r>
              <w:rPr>
                <w:spacing w:val="-4"/>
                <w:sz w:val="20"/>
              </w:rPr>
              <w:t>61.4</w:t>
            </w:r>
          </w:p>
        </w:tc>
        <w:tc>
          <w:tcPr>
            <w:tcW w:w="1586" w:type="dxa"/>
          </w:tcPr>
          <w:p w14:paraId="120C0CF7" w14:textId="77777777" w:rsidR="00811887" w:rsidRDefault="00811887" w:rsidP="00486E22">
            <w:pPr>
              <w:pStyle w:val="TableParagraph"/>
              <w:ind w:left="15" w:right="12"/>
              <w:jc w:val="center"/>
              <w:rPr>
                <w:sz w:val="20"/>
              </w:rPr>
            </w:pPr>
            <w:r>
              <w:rPr>
                <w:spacing w:val="-5"/>
                <w:sz w:val="20"/>
              </w:rPr>
              <w:t>63</w:t>
            </w:r>
          </w:p>
        </w:tc>
      </w:tr>
      <w:tr w:rsidR="00811887" w14:paraId="5DDBE8F3" w14:textId="77777777" w:rsidTr="00486E22">
        <w:trPr>
          <w:trHeight w:val="390"/>
        </w:trPr>
        <w:tc>
          <w:tcPr>
            <w:tcW w:w="1261" w:type="dxa"/>
            <w:shd w:val="clear" w:color="auto" w:fill="234060"/>
          </w:tcPr>
          <w:p w14:paraId="61212F9D" w14:textId="77777777" w:rsidR="00811887" w:rsidRDefault="00811887" w:rsidP="00486E22">
            <w:pPr>
              <w:pStyle w:val="TableParagraph"/>
              <w:ind w:left="110"/>
              <w:rPr>
                <w:b/>
                <w:sz w:val="20"/>
              </w:rPr>
            </w:pPr>
            <w:r>
              <w:rPr>
                <w:b/>
                <w:color w:val="FFFFFF"/>
                <w:spacing w:val="-2"/>
                <w:sz w:val="20"/>
              </w:rPr>
              <w:t>1/01/2018</w:t>
            </w:r>
          </w:p>
        </w:tc>
        <w:tc>
          <w:tcPr>
            <w:tcW w:w="1666" w:type="dxa"/>
          </w:tcPr>
          <w:p w14:paraId="512C8F72" w14:textId="77777777" w:rsidR="00811887" w:rsidRDefault="00811887" w:rsidP="00486E22">
            <w:pPr>
              <w:pStyle w:val="TableParagraph"/>
              <w:ind w:left="4"/>
              <w:jc w:val="center"/>
              <w:rPr>
                <w:sz w:val="20"/>
              </w:rPr>
            </w:pPr>
            <w:r>
              <w:rPr>
                <w:spacing w:val="-2"/>
                <w:sz w:val="20"/>
              </w:rPr>
              <w:t>661.90</w:t>
            </w:r>
          </w:p>
        </w:tc>
        <w:tc>
          <w:tcPr>
            <w:tcW w:w="1666" w:type="dxa"/>
          </w:tcPr>
          <w:p w14:paraId="3587FA75" w14:textId="77777777" w:rsidR="00811887" w:rsidRDefault="00811887" w:rsidP="00486E22">
            <w:pPr>
              <w:pStyle w:val="TableParagraph"/>
              <w:ind w:left="4"/>
              <w:jc w:val="center"/>
              <w:rPr>
                <w:sz w:val="20"/>
              </w:rPr>
            </w:pPr>
            <w:r>
              <w:rPr>
                <w:spacing w:val="-4"/>
                <w:sz w:val="20"/>
              </w:rPr>
              <w:t>60.1</w:t>
            </w:r>
          </w:p>
        </w:tc>
        <w:tc>
          <w:tcPr>
            <w:tcW w:w="1905" w:type="dxa"/>
          </w:tcPr>
          <w:p w14:paraId="3CA01F83" w14:textId="77777777" w:rsidR="00811887" w:rsidRDefault="00811887" w:rsidP="00486E22">
            <w:pPr>
              <w:pStyle w:val="TableParagraph"/>
              <w:ind w:left="59" w:right="54"/>
              <w:jc w:val="center"/>
              <w:rPr>
                <w:sz w:val="20"/>
              </w:rPr>
            </w:pPr>
            <w:r>
              <w:rPr>
                <w:spacing w:val="-4"/>
                <w:sz w:val="20"/>
              </w:rPr>
              <w:t>58.1</w:t>
            </w:r>
          </w:p>
        </w:tc>
        <w:tc>
          <w:tcPr>
            <w:tcW w:w="1901" w:type="dxa"/>
          </w:tcPr>
          <w:p w14:paraId="65E5C997" w14:textId="77777777" w:rsidR="00811887" w:rsidRDefault="00811887" w:rsidP="00486E22">
            <w:pPr>
              <w:pStyle w:val="TableParagraph"/>
              <w:ind w:left="11"/>
              <w:jc w:val="center"/>
              <w:rPr>
                <w:sz w:val="20"/>
              </w:rPr>
            </w:pPr>
            <w:r>
              <w:rPr>
                <w:spacing w:val="-4"/>
                <w:sz w:val="20"/>
              </w:rPr>
              <w:t>60.2</w:t>
            </w:r>
          </w:p>
        </w:tc>
        <w:tc>
          <w:tcPr>
            <w:tcW w:w="1586" w:type="dxa"/>
          </w:tcPr>
          <w:p w14:paraId="3B73A05D" w14:textId="77777777" w:rsidR="00811887" w:rsidRDefault="00811887" w:rsidP="00486E22">
            <w:pPr>
              <w:pStyle w:val="TableParagraph"/>
              <w:ind w:left="15" w:right="11"/>
              <w:jc w:val="center"/>
              <w:rPr>
                <w:sz w:val="20"/>
              </w:rPr>
            </w:pPr>
            <w:r>
              <w:rPr>
                <w:spacing w:val="-4"/>
                <w:sz w:val="20"/>
              </w:rPr>
              <w:t>65.1</w:t>
            </w:r>
          </w:p>
        </w:tc>
      </w:tr>
      <w:tr w:rsidR="00811887" w14:paraId="28185D51" w14:textId="77777777" w:rsidTr="00486E22">
        <w:trPr>
          <w:trHeight w:val="390"/>
        </w:trPr>
        <w:tc>
          <w:tcPr>
            <w:tcW w:w="1261" w:type="dxa"/>
            <w:shd w:val="clear" w:color="auto" w:fill="234060"/>
          </w:tcPr>
          <w:p w14:paraId="588491F6" w14:textId="77777777" w:rsidR="00811887" w:rsidRDefault="00811887" w:rsidP="00486E22">
            <w:pPr>
              <w:pStyle w:val="TableParagraph"/>
              <w:ind w:left="110"/>
              <w:rPr>
                <w:b/>
                <w:sz w:val="20"/>
              </w:rPr>
            </w:pPr>
            <w:r>
              <w:rPr>
                <w:b/>
                <w:color w:val="FFFFFF"/>
                <w:spacing w:val="-2"/>
                <w:sz w:val="20"/>
              </w:rPr>
              <w:t>1/01/2020</w:t>
            </w:r>
          </w:p>
        </w:tc>
        <w:tc>
          <w:tcPr>
            <w:tcW w:w="1666" w:type="dxa"/>
          </w:tcPr>
          <w:p w14:paraId="70E0627B" w14:textId="77777777" w:rsidR="00811887" w:rsidRDefault="00811887" w:rsidP="00486E22">
            <w:pPr>
              <w:pStyle w:val="TableParagraph"/>
              <w:ind w:left="4"/>
              <w:jc w:val="center"/>
              <w:rPr>
                <w:sz w:val="20"/>
              </w:rPr>
            </w:pPr>
            <w:r>
              <w:rPr>
                <w:spacing w:val="-2"/>
                <w:sz w:val="20"/>
              </w:rPr>
              <w:t>662.80</w:t>
            </w:r>
          </w:p>
        </w:tc>
        <w:tc>
          <w:tcPr>
            <w:tcW w:w="1666" w:type="dxa"/>
          </w:tcPr>
          <w:p w14:paraId="6B2EF9E6" w14:textId="77777777" w:rsidR="00811887" w:rsidRDefault="00811887" w:rsidP="00486E22">
            <w:pPr>
              <w:pStyle w:val="TableParagraph"/>
              <w:ind w:left="4"/>
              <w:jc w:val="center"/>
              <w:rPr>
                <w:sz w:val="20"/>
              </w:rPr>
            </w:pPr>
            <w:r>
              <w:rPr>
                <w:spacing w:val="-4"/>
                <w:sz w:val="20"/>
              </w:rPr>
              <w:t>58.1</w:t>
            </w:r>
          </w:p>
        </w:tc>
        <w:tc>
          <w:tcPr>
            <w:tcW w:w="1905" w:type="dxa"/>
          </w:tcPr>
          <w:p w14:paraId="0435D815" w14:textId="77777777" w:rsidR="00811887" w:rsidRDefault="00811887" w:rsidP="00486E22">
            <w:pPr>
              <w:pStyle w:val="TableParagraph"/>
              <w:ind w:left="59" w:right="54"/>
              <w:jc w:val="center"/>
              <w:rPr>
                <w:sz w:val="20"/>
              </w:rPr>
            </w:pPr>
            <w:r>
              <w:rPr>
                <w:spacing w:val="-4"/>
                <w:sz w:val="20"/>
              </w:rPr>
              <w:t>54.9</w:t>
            </w:r>
          </w:p>
        </w:tc>
        <w:tc>
          <w:tcPr>
            <w:tcW w:w="1901" w:type="dxa"/>
          </w:tcPr>
          <w:p w14:paraId="20AF43EB" w14:textId="77777777" w:rsidR="00811887" w:rsidRDefault="00811887" w:rsidP="00486E22">
            <w:pPr>
              <w:pStyle w:val="TableParagraph"/>
              <w:ind w:left="11" w:right="1"/>
              <w:jc w:val="center"/>
              <w:rPr>
                <w:sz w:val="20"/>
              </w:rPr>
            </w:pPr>
            <w:r>
              <w:rPr>
                <w:spacing w:val="-4"/>
                <w:sz w:val="20"/>
              </w:rPr>
              <w:t>61.0</w:t>
            </w:r>
          </w:p>
        </w:tc>
        <w:tc>
          <w:tcPr>
            <w:tcW w:w="1586" w:type="dxa"/>
          </w:tcPr>
          <w:p w14:paraId="7ECD613D" w14:textId="77777777" w:rsidR="00811887" w:rsidRDefault="00811887" w:rsidP="00486E22">
            <w:pPr>
              <w:pStyle w:val="TableParagraph"/>
              <w:ind w:left="15" w:right="11"/>
              <w:jc w:val="center"/>
              <w:rPr>
                <w:sz w:val="20"/>
              </w:rPr>
            </w:pPr>
            <w:r>
              <w:rPr>
                <w:spacing w:val="-4"/>
                <w:sz w:val="20"/>
              </w:rPr>
              <w:t>63.7</w:t>
            </w:r>
          </w:p>
        </w:tc>
      </w:tr>
      <w:tr w:rsidR="00811887" w14:paraId="39C6880F" w14:textId="77777777" w:rsidTr="00486E22">
        <w:trPr>
          <w:trHeight w:val="485"/>
        </w:trPr>
        <w:tc>
          <w:tcPr>
            <w:tcW w:w="1261" w:type="dxa"/>
            <w:shd w:val="clear" w:color="auto" w:fill="234060"/>
          </w:tcPr>
          <w:p w14:paraId="49C0C584" w14:textId="77777777" w:rsidR="00811887" w:rsidRDefault="00811887" w:rsidP="00486E22">
            <w:pPr>
              <w:pStyle w:val="TableParagraph"/>
              <w:spacing w:line="239" w:lineRule="exact"/>
              <w:ind w:left="110"/>
              <w:rPr>
                <w:b/>
                <w:sz w:val="20"/>
              </w:rPr>
            </w:pPr>
            <w:r>
              <w:rPr>
                <w:b/>
                <w:color w:val="FFFFFF"/>
                <w:spacing w:val="-2"/>
                <w:sz w:val="20"/>
              </w:rPr>
              <w:t>1/01/2022</w:t>
            </w:r>
          </w:p>
        </w:tc>
        <w:tc>
          <w:tcPr>
            <w:tcW w:w="1666" w:type="dxa"/>
          </w:tcPr>
          <w:p w14:paraId="036631AC" w14:textId="77777777" w:rsidR="00811887" w:rsidRDefault="00811887" w:rsidP="00486E22">
            <w:pPr>
              <w:pStyle w:val="TableParagraph"/>
              <w:spacing w:line="239" w:lineRule="exact"/>
              <w:ind w:left="4"/>
              <w:jc w:val="center"/>
              <w:rPr>
                <w:sz w:val="20"/>
              </w:rPr>
            </w:pPr>
            <w:r>
              <w:rPr>
                <w:spacing w:val="-2"/>
                <w:sz w:val="20"/>
              </w:rPr>
              <w:t>701.20</w:t>
            </w:r>
          </w:p>
        </w:tc>
        <w:tc>
          <w:tcPr>
            <w:tcW w:w="1666" w:type="dxa"/>
          </w:tcPr>
          <w:p w14:paraId="028C495D" w14:textId="77777777" w:rsidR="00811887" w:rsidRDefault="00811887" w:rsidP="00486E22">
            <w:pPr>
              <w:pStyle w:val="TableParagraph"/>
              <w:spacing w:line="239" w:lineRule="exact"/>
              <w:ind w:left="484"/>
              <w:rPr>
                <w:sz w:val="20"/>
              </w:rPr>
            </w:pPr>
            <w:r>
              <w:rPr>
                <w:sz w:val="20"/>
              </w:rPr>
              <w:t>Data</w:t>
            </w:r>
            <w:r>
              <w:rPr>
                <w:spacing w:val="-5"/>
                <w:sz w:val="20"/>
              </w:rPr>
              <w:t xml:space="preserve"> not</w:t>
            </w:r>
          </w:p>
          <w:p w14:paraId="5AE718E6" w14:textId="77777777" w:rsidR="00811887" w:rsidRDefault="00811887" w:rsidP="00486E22">
            <w:pPr>
              <w:pStyle w:val="TableParagraph"/>
              <w:spacing w:before="1" w:line="225" w:lineRule="exact"/>
              <w:ind w:left="474"/>
              <w:rPr>
                <w:sz w:val="20"/>
              </w:rPr>
            </w:pPr>
            <w:r>
              <w:rPr>
                <w:spacing w:val="-2"/>
                <w:sz w:val="20"/>
              </w:rPr>
              <w:t>available</w:t>
            </w:r>
          </w:p>
        </w:tc>
        <w:tc>
          <w:tcPr>
            <w:tcW w:w="1905" w:type="dxa"/>
          </w:tcPr>
          <w:p w14:paraId="6EB31E86" w14:textId="77777777" w:rsidR="00811887" w:rsidRDefault="00811887" w:rsidP="00486E22">
            <w:pPr>
              <w:pStyle w:val="TableParagraph"/>
              <w:spacing w:line="239" w:lineRule="exact"/>
              <w:ind w:left="59" w:right="59"/>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01" w:type="dxa"/>
          </w:tcPr>
          <w:p w14:paraId="68A6EBE5" w14:textId="77777777" w:rsidR="00811887" w:rsidRDefault="00811887" w:rsidP="00486E22">
            <w:pPr>
              <w:pStyle w:val="TableParagraph"/>
              <w:spacing w:line="239" w:lineRule="exact"/>
              <w:ind w:left="11"/>
              <w:jc w:val="center"/>
              <w:rPr>
                <w:sz w:val="20"/>
              </w:rPr>
            </w:pPr>
            <w:r>
              <w:rPr>
                <w:spacing w:val="-4"/>
                <w:sz w:val="20"/>
              </w:rPr>
              <w:t>64.4</w:t>
            </w:r>
          </w:p>
        </w:tc>
        <w:tc>
          <w:tcPr>
            <w:tcW w:w="1586" w:type="dxa"/>
          </w:tcPr>
          <w:p w14:paraId="66B49BB6" w14:textId="77777777" w:rsidR="00811887" w:rsidRDefault="00811887" w:rsidP="00486E22">
            <w:pPr>
              <w:pStyle w:val="TableParagraph"/>
              <w:spacing w:line="239" w:lineRule="exact"/>
              <w:ind w:left="15" w:right="11"/>
              <w:jc w:val="center"/>
              <w:rPr>
                <w:sz w:val="20"/>
              </w:rPr>
            </w:pPr>
            <w:r>
              <w:rPr>
                <w:spacing w:val="-4"/>
                <w:sz w:val="20"/>
              </w:rPr>
              <w:t>64.4</w:t>
            </w:r>
          </w:p>
        </w:tc>
      </w:tr>
      <w:tr w:rsidR="00811887" w14:paraId="64498773" w14:textId="77777777" w:rsidTr="00486E22">
        <w:trPr>
          <w:trHeight w:val="490"/>
        </w:trPr>
        <w:tc>
          <w:tcPr>
            <w:tcW w:w="1261" w:type="dxa"/>
            <w:shd w:val="clear" w:color="auto" w:fill="234060"/>
          </w:tcPr>
          <w:p w14:paraId="105E735B" w14:textId="77777777" w:rsidR="00811887" w:rsidRDefault="00811887" w:rsidP="00486E22">
            <w:pPr>
              <w:pStyle w:val="TableParagraph"/>
              <w:ind w:left="110"/>
              <w:rPr>
                <w:b/>
                <w:sz w:val="20"/>
              </w:rPr>
            </w:pPr>
            <w:r>
              <w:rPr>
                <w:b/>
                <w:color w:val="FFFFFF"/>
                <w:spacing w:val="-2"/>
                <w:sz w:val="20"/>
              </w:rPr>
              <w:t>Current/</w:t>
            </w:r>
          </w:p>
          <w:p w14:paraId="127C1D9D" w14:textId="77777777" w:rsidR="00811887" w:rsidRDefault="00811887" w:rsidP="00486E22">
            <w:pPr>
              <w:pStyle w:val="TableParagraph"/>
              <w:spacing w:before="1" w:line="225" w:lineRule="exact"/>
              <w:ind w:left="110"/>
              <w:rPr>
                <w:b/>
                <w:sz w:val="20"/>
              </w:rPr>
            </w:pPr>
            <w:r>
              <w:rPr>
                <w:b/>
                <w:color w:val="FFFFFF"/>
                <w:spacing w:val="-2"/>
                <w:sz w:val="20"/>
              </w:rPr>
              <w:t>Latest</w:t>
            </w:r>
          </w:p>
        </w:tc>
        <w:tc>
          <w:tcPr>
            <w:tcW w:w="1666" w:type="dxa"/>
          </w:tcPr>
          <w:p w14:paraId="3E88C250" w14:textId="77777777" w:rsidR="00811887" w:rsidRDefault="00811887" w:rsidP="00486E22">
            <w:pPr>
              <w:pStyle w:val="TableParagraph"/>
              <w:ind w:left="334"/>
              <w:rPr>
                <w:sz w:val="20"/>
              </w:rPr>
            </w:pPr>
            <w:r>
              <w:rPr>
                <w:sz w:val="20"/>
              </w:rPr>
              <w:t>758.00</w:t>
            </w:r>
            <w:r>
              <w:rPr>
                <w:spacing w:val="-5"/>
                <w:sz w:val="20"/>
              </w:rPr>
              <w:t xml:space="preserve"> </w:t>
            </w:r>
            <w:r>
              <w:rPr>
                <w:sz w:val="20"/>
              </w:rPr>
              <w:t>(as</w:t>
            </w:r>
            <w:r>
              <w:rPr>
                <w:spacing w:val="-1"/>
                <w:sz w:val="20"/>
              </w:rPr>
              <w:t xml:space="preserve"> </w:t>
            </w:r>
            <w:r>
              <w:rPr>
                <w:spacing w:val="-5"/>
                <w:sz w:val="20"/>
              </w:rPr>
              <w:t>at</w:t>
            </w:r>
          </w:p>
          <w:p w14:paraId="1F934C55" w14:textId="77777777" w:rsidR="00811887" w:rsidRDefault="00811887" w:rsidP="00486E22">
            <w:pPr>
              <w:pStyle w:val="TableParagraph"/>
              <w:spacing w:before="1" w:line="225" w:lineRule="exact"/>
              <w:ind w:left="369"/>
              <w:rPr>
                <w:sz w:val="20"/>
              </w:rPr>
            </w:pPr>
            <w:r>
              <w:rPr>
                <w:spacing w:val="-2"/>
                <w:sz w:val="20"/>
              </w:rPr>
              <w:t>1/12/2023)</w:t>
            </w:r>
          </w:p>
        </w:tc>
        <w:tc>
          <w:tcPr>
            <w:tcW w:w="1666" w:type="dxa"/>
          </w:tcPr>
          <w:p w14:paraId="70E4277A" w14:textId="77777777" w:rsidR="00811887" w:rsidRDefault="00811887" w:rsidP="00486E22">
            <w:pPr>
              <w:pStyle w:val="TableParagraph"/>
              <w:ind w:left="434"/>
              <w:rPr>
                <w:sz w:val="20"/>
              </w:rPr>
            </w:pPr>
            <w:r>
              <w:rPr>
                <w:sz w:val="20"/>
              </w:rPr>
              <w:t>59.9</w:t>
            </w:r>
            <w:r>
              <w:rPr>
                <w:spacing w:val="-5"/>
                <w:sz w:val="20"/>
              </w:rPr>
              <w:t xml:space="preserve"> </w:t>
            </w:r>
            <w:r>
              <w:rPr>
                <w:sz w:val="20"/>
              </w:rPr>
              <w:t>(as</w:t>
            </w:r>
            <w:r>
              <w:rPr>
                <w:spacing w:val="-2"/>
                <w:sz w:val="20"/>
              </w:rPr>
              <w:t xml:space="preserve"> </w:t>
            </w:r>
            <w:r>
              <w:rPr>
                <w:spacing w:val="-5"/>
                <w:sz w:val="20"/>
              </w:rPr>
              <w:t>at</w:t>
            </w:r>
          </w:p>
          <w:p w14:paraId="7BCB61E9" w14:textId="77777777" w:rsidR="00811887" w:rsidRDefault="00811887" w:rsidP="00486E22">
            <w:pPr>
              <w:pStyle w:val="TableParagraph"/>
              <w:spacing w:before="1" w:line="225" w:lineRule="exact"/>
              <w:ind w:left="419"/>
              <w:rPr>
                <w:sz w:val="20"/>
              </w:rPr>
            </w:pPr>
            <w:r>
              <w:rPr>
                <w:spacing w:val="-2"/>
                <w:sz w:val="20"/>
              </w:rPr>
              <w:t>1/6/2020)</w:t>
            </w:r>
          </w:p>
        </w:tc>
        <w:tc>
          <w:tcPr>
            <w:tcW w:w="1905" w:type="dxa"/>
          </w:tcPr>
          <w:p w14:paraId="44782BBE" w14:textId="77777777" w:rsidR="00811887" w:rsidRDefault="00811887" w:rsidP="00486E22">
            <w:pPr>
              <w:pStyle w:val="TableParagraph"/>
              <w:ind w:left="554"/>
              <w:rPr>
                <w:sz w:val="20"/>
              </w:rPr>
            </w:pPr>
            <w:r>
              <w:rPr>
                <w:sz w:val="20"/>
              </w:rPr>
              <w:t>57.3</w:t>
            </w:r>
            <w:r>
              <w:rPr>
                <w:spacing w:val="-5"/>
                <w:sz w:val="20"/>
              </w:rPr>
              <w:t xml:space="preserve"> </w:t>
            </w:r>
            <w:r>
              <w:rPr>
                <w:sz w:val="20"/>
              </w:rPr>
              <w:t>(as</w:t>
            </w:r>
            <w:r>
              <w:rPr>
                <w:spacing w:val="-2"/>
                <w:sz w:val="20"/>
              </w:rPr>
              <w:t xml:space="preserve"> </w:t>
            </w:r>
            <w:r>
              <w:rPr>
                <w:spacing w:val="-5"/>
                <w:sz w:val="20"/>
              </w:rPr>
              <w:t>at</w:t>
            </w:r>
          </w:p>
          <w:p w14:paraId="5132FADA" w14:textId="77777777" w:rsidR="00811887" w:rsidRDefault="00811887" w:rsidP="00486E22">
            <w:pPr>
              <w:pStyle w:val="TableParagraph"/>
              <w:spacing w:before="1" w:line="225" w:lineRule="exact"/>
              <w:ind w:left="489"/>
              <w:rPr>
                <w:sz w:val="20"/>
              </w:rPr>
            </w:pPr>
            <w:r>
              <w:rPr>
                <w:spacing w:val="-2"/>
                <w:sz w:val="20"/>
              </w:rPr>
              <w:t>1/12/2021)</w:t>
            </w:r>
          </w:p>
        </w:tc>
        <w:tc>
          <w:tcPr>
            <w:tcW w:w="1901" w:type="dxa"/>
          </w:tcPr>
          <w:p w14:paraId="2BCE6D70" w14:textId="77777777" w:rsidR="00811887" w:rsidRDefault="00811887" w:rsidP="00486E22">
            <w:pPr>
              <w:pStyle w:val="TableParagraph"/>
              <w:ind w:left="530"/>
              <w:rPr>
                <w:sz w:val="20"/>
              </w:rPr>
            </w:pPr>
            <w:r>
              <w:rPr>
                <w:sz w:val="20"/>
              </w:rPr>
              <w:t>68.6</w:t>
            </w:r>
            <w:r>
              <w:rPr>
                <w:spacing w:val="-6"/>
                <w:sz w:val="20"/>
              </w:rPr>
              <w:t xml:space="preserve"> </w:t>
            </w:r>
            <w:r>
              <w:rPr>
                <w:sz w:val="20"/>
              </w:rPr>
              <w:t>(as</w:t>
            </w:r>
            <w:r>
              <w:rPr>
                <w:spacing w:val="-2"/>
                <w:sz w:val="20"/>
              </w:rPr>
              <w:t xml:space="preserve"> </w:t>
            </w:r>
            <w:r>
              <w:rPr>
                <w:spacing w:val="-5"/>
                <w:sz w:val="20"/>
              </w:rPr>
              <w:t>at</w:t>
            </w:r>
          </w:p>
          <w:p w14:paraId="29493F46" w14:textId="77777777" w:rsidR="00811887" w:rsidRDefault="00811887" w:rsidP="00486E22">
            <w:pPr>
              <w:pStyle w:val="TableParagraph"/>
              <w:spacing w:before="1" w:line="225" w:lineRule="exact"/>
              <w:ind w:left="489"/>
              <w:rPr>
                <w:sz w:val="20"/>
              </w:rPr>
            </w:pPr>
            <w:r>
              <w:rPr>
                <w:spacing w:val="-2"/>
                <w:sz w:val="20"/>
              </w:rPr>
              <w:t>1/12/2023)</w:t>
            </w:r>
          </w:p>
        </w:tc>
        <w:tc>
          <w:tcPr>
            <w:tcW w:w="1586" w:type="dxa"/>
          </w:tcPr>
          <w:p w14:paraId="7A0D353F" w14:textId="77777777" w:rsidR="00811887" w:rsidRDefault="00811887" w:rsidP="00486E22">
            <w:pPr>
              <w:pStyle w:val="TableParagraph"/>
              <w:ind w:left="374"/>
              <w:rPr>
                <w:sz w:val="20"/>
              </w:rPr>
            </w:pPr>
            <w:r>
              <w:rPr>
                <w:sz w:val="20"/>
              </w:rPr>
              <w:t>72.5</w:t>
            </w:r>
            <w:r>
              <w:rPr>
                <w:spacing w:val="-5"/>
                <w:sz w:val="20"/>
              </w:rPr>
              <w:t xml:space="preserve"> </w:t>
            </w:r>
            <w:r>
              <w:rPr>
                <w:sz w:val="20"/>
              </w:rPr>
              <w:t>(as</w:t>
            </w:r>
            <w:r>
              <w:rPr>
                <w:spacing w:val="-2"/>
                <w:sz w:val="20"/>
              </w:rPr>
              <w:t xml:space="preserve"> </w:t>
            </w:r>
            <w:r>
              <w:rPr>
                <w:spacing w:val="-5"/>
                <w:sz w:val="20"/>
              </w:rPr>
              <w:t>at</w:t>
            </w:r>
          </w:p>
          <w:p w14:paraId="67C0A367" w14:textId="77777777" w:rsidR="00811887" w:rsidRDefault="00811887" w:rsidP="00486E22">
            <w:pPr>
              <w:pStyle w:val="TableParagraph"/>
              <w:spacing w:before="1" w:line="225" w:lineRule="exact"/>
              <w:ind w:left="379"/>
              <w:rPr>
                <w:sz w:val="20"/>
              </w:rPr>
            </w:pPr>
            <w:r>
              <w:rPr>
                <w:spacing w:val="-2"/>
                <w:sz w:val="20"/>
              </w:rPr>
              <w:t>1/9/2023)</w:t>
            </w:r>
          </w:p>
        </w:tc>
      </w:tr>
    </w:tbl>
    <w:p w14:paraId="73DE293B" w14:textId="77777777" w:rsidR="00811887" w:rsidRDefault="00811887" w:rsidP="00811887">
      <w:pPr>
        <w:ind w:left="165"/>
        <w:rPr>
          <w:i/>
          <w:sz w:val="20"/>
        </w:rPr>
      </w:pPr>
      <w:r>
        <w:rPr>
          <w:i/>
          <w:sz w:val="20"/>
        </w:rPr>
        <w:t>Figures</w:t>
      </w:r>
      <w:r>
        <w:rPr>
          <w:i/>
          <w:spacing w:val="-4"/>
          <w:sz w:val="20"/>
        </w:rPr>
        <w:t xml:space="preserve"> </w:t>
      </w:r>
      <w:r>
        <w:rPr>
          <w:i/>
          <w:sz w:val="20"/>
        </w:rPr>
        <w:t>as</w:t>
      </w:r>
      <w:r>
        <w:rPr>
          <w:i/>
          <w:spacing w:val="-1"/>
          <w:sz w:val="20"/>
        </w:rPr>
        <w:t xml:space="preserve"> </w:t>
      </w:r>
      <w:r>
        <w:rPr>
          <w:i/>
          <w:sz w:val="20"/>
        </w:rPr>
        <w:t>at</w:t>
      </w:r>
      <w:r>
        <w:rPr>
          <w:i/>
          <w:spacing w:val="-3"/>
          <w:sz w:val="20"/>
        </w:rPr>
        <w:t xml:space="preserve"> </w:t>
      </w:r>
      <w:r>
        <w:rPr>
          <w:i/>
          <w:sz w:val="20"/>
        </w:rPr>
        <w:t>December</w:t>
      </w:r>
      <w:r>
        <w:rPr>
          <w:i/>
          <w:spacing w:val="-2"/>
          <w:sz w:val="20"/>
        </w:rPr>
        <w:t xml:space="preserve"> </w:t>
      </w:r>
      <w:r>
        <w:rPr>
          <w:i/>
          <w:sz w:val="20"/>
        </w:rPr>
        <w:t>2023</w:t>
      </w:r>
      <w:r>
        <w:rPr>
          <w:i/>
          <w:spacing w:val="-5"/>
          <w:sz w:val="20"/>
        </w:rPr>
        <w:t xml:space="preserve"> </w:t>
      </w:r>
      <w:r>
        <w:rPr>
          <w:i/>
          <w:sz w:val="20"/>
        </w:rPr>
        <w:t>prices,</w:t>
      </w:r>
      <w:r>
        <w:rPr>
          <w:i/>
          <w:spacing w:val="-7"/>
          <w:sz w:val="20"/>
        </w:rPr>
        <w:t xml:space="preserve"> </w:t>
      </w:r>
      <w:r>
        <w:rPr>
          <w:i/>
          <w:sz w:val="20"/>
        </w:rPr>
        <w:t>rounded</w:t>
      </w:r>
      <w:r>
        <w:rPr>
          <w:i/>
          <w:spacing w:val="-2"/>
          <w:sz w:val="20"/>
        </w:rPr>
        <w:t xml:space="preserve"> </w:t>
      </w:r>
      <w:r>
        <w:rPr>
          <w:i/>
          <w:sz w:val="20"/>
        </w:rPr>
        <w:t>to the</w:t>
      </w:r>
      <w:r>
        <w:rPr>
          <w:i/>
          <w:spacing w:val="-3"/>
          <w:sz w:val="20"/>
        </w:rPr>
        <w:t xml:space="preserve"> </w:t>
      </w:r>
      <w:r>
        <w:rPr>
          <w:i/>
          <w:sz w:val="20"/>
        </w:rPr>
        <w:t>nearest</w:t>
      </w:r>
      <w:r>
        <w:rPr>
          <w:i/>
          <w:spacing w:val="-4"/>
          <w:sz w:val="20"/>
        </w:rPr>
        <w:t xml:space="preserve"> </w:t>
      </w:r>
      <w:r>
        <w:rPr>
          <w:i/>
          <w:sz w:val="20"/>
        </w:rPr>
        <w:t>10</w:t>
      </w:r>
      <w:r>
        <w:rPr>
          <w:i/>
          <w:spacing w:val="-4"/>
          <w:sz w:val="20"/>
        </w:rPr>
        <w:t xml:space="preserve"> </w:t>
      </w:r>
      <w:r>
        <w:rPr>
          <w:i/>
          <w:spacing w:val="-2"/>
          <w:sz w:val="20"/>
        </w:rPr>
        <w:t>cents.</w:t>
      </w:r>
    </w:p>
    <w:p w14:paraId="2CE0B033" w14:textId="77777777" w:rsidR="00811887" w:rsidRDefault="00811887" w:rsidP="00811887">
      <w:pPr>
        <w:spacing w:line="225" w:lineRule="exact"/>
        <w:rPr>
          <w:sz w:val="20"/>
        </w:rPr>
        <w:sectPr w:rsidR="00811887" w:rsidSect="00811887">
          <w:pgSz w:w="11910" w:h="16840"/>
          <w:pgMar w:top="880" w:right="721" w:bottom="1200" w:left="740" w:header="0" w:footer="1005" w:gutter="0"/>
          <w:cols w:space="720"/>
        </w:sectPr>
      </w:pPr>
    </w:p>
    <w:p w14:paraId="42D4606E" w14:textId="77777777" w:rsidR="00811887" w:rsidRDefault="00811887" w:rsidP="00811887">
      <w:pPr>
        <w:spacing w:before="79"/>
        <w:ind w:left="165"/>
        <w:rPr>
          <w:b/>
          <w:spacing w:val="-2"/>
        </w:rPr>
      </w:pPr>
      <w:r>
        <w:rPr>
          <w:b/>
        </w:rPr>
        <w:lastRenderedPageBreak/>
        <w:t>Chart</w:t>
      </w:r>
      <w:r>
        <w:rPr>
          <w:b/>
          <w:spacing w:val="-4"/>
        </w:rPr>
        <w:t xml:space="preserve"> </w:t>
      </w:r>
      <w:r>
        <w:rPr>
          <w:b/>
        </w:rPr>
        <w:t>3.</w:t>
      </w:r>
      <w:r>
        <w:rPr>
          <w:b/>
          <w:spacing w:val="-3"/>
        </w:rPr>
        <w:t xml:space="preserve"> </w:t>
      </w:r>
      <w:r>
        <w:rPr>
          <w:b/>
        </w:rPr>
        <w:t>Austudy</w:t>
      </w:r>
      <w:r>
        <w:rPr>
          <w:b/>
          <w:spacing w:val="-5"/>
        </w:rPr>
        <w:t xml:space="preserve"> </w:t>
      </w:r>
      <w:r>
        <w:rPr>
          <w:b/>
        </w:rPr>
        <w:t>as</w:t>
      </w:r>
      <w:r>
        <w:rPr>
          <w:b/>
          <w:spacing w:val="-2"/>
        </w:rPr>
        <w:t xml:space="preserve"> </w:t>
      </w:r>
      <w:r>
        <w:rPr>
          <w:b/>
        </w:rPr>
        <w:t>a</w:t>
      </w:r>
      <w:r>
        <w:rPr>
          <w:b/>
          <w:spacing w:val="-1"/>
        </w:rPr>
        <w:t xml:space="preserve"> </w:t>
      </w:r>
      <w:r>
        <w:rPr>
          <w:b/>
        </w:rPr>
        <w:t>percentage</w:t>
      </w:r>
      <w:r>
        <w:rPr>
          <w:b/>
          <w:spacing w:val="-1"/>
        </w:rPr>
        <w:t xml:space="preserve"> </w:t>
      </w:r>
      <w:r>
        <w:rPr>
          <w:b/>
        </w:rPr>
        <w:t>of</w:t>
      </w:r>
      <w:r>
        <w:rPr>
          <w:b/>
          <w:spacing w:val="-2"/>
        </w:rPr>
        <w:t xml:space="preserve"> </w:t>
      </w:r>
      <w:r>
        <w:rPr>
          <w:b/>
        </w:rPr>
        <w:t>poverty</w:t>
      </w:r>
      <w:r>
        <w:rPr>
          <w:b/>
          <w:spacing w:val="-6"/>
        </w:rPr>
        <w:t xml:space="preserve"> </w:t>
      </w:r>
      <w:r>
        <w:rPr>
          <w:b/>
          <w:spacing w:val="-2"/>
        </w:rPr>
        <w:t>measures</w:t>
      </w:r>
    </w:p>
    <w:p w14:paraId="688435DF" w14:textId="77777777" w:rsidR="00811887" w:rsidRDefault="00811887" w:rsidP="00811887">
      <w:pPr>
        <w:spacing w:before="79"/>
        <w:ind w:left="165"/>
        <w:rPr>
          <w:b/>
        </w:rPr>
      </w:pPr>
      <w:r>
        <w:rPr>
          <w:i/>
          <w:sz w:val="20"/>
        </w:rPr>
        <w:t>Ex</w:t>
      </w:r>
      <w:r w:rsidRPr="006D43ED">
        <w:rPr>
          <w:i/>
          <w:sz w:val="20"/>
        </w:rPr>
        <w:t>cluding Commonwealth Rent Assistance</w:t>
      </w:r>
      <w:r>
        <w:rPr>
          <w:i/>
          <w:sz w:val="20"/>
        </w:rPr>
        <w:t>, Including Housing Costs</w:t>
      </w:r>
    </w:p>
    <w:p w14:paraId="3313AB04" w14:textId="77777777" w:rsidR="00811887" w:rsidRDefault="00811887" w:rsidP="00811887">
      <w:pPr>
        <w:pStyle w:val="BodyText"/>
        <w:spacing w:before="122" w:after="1"/>
        <w:rPr>
          <w:i/>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1586"/>
        <w:gridCol w:w="1586"/>
        <w:gridCol w:w="1905"/>
        <w:gridCol w:w="1986"/>
        <w:gridCol w:w="1756"/>
      </w:tblGrid>
      <w:tr w:rsidR="00811887" w14:paraId="29091E40" w14:textId="77777777" w:rsidTr="00486E22">
        <w:trPr>
          <w:trHeight w:val="855"/>
        </w:trPr>
        <w:tc>
          <w:tcPr>
            <w:tcW w:w="1266" w:type="dxa"/>
            <w:shd w:val="clear" w:color="auto" w:fill="234060"/>
          </w:tcPr>
          <w:p w14:paraId="14948DB9" w14:textId="77777777" w:rsidR="00811887" w:rsidRDefault="00811887" w:rsidP="00486E22">
            <w:pPr>
              <w:pStyle w:val="TableParagraph"/>
              <w:ind w:left="110"/>
              <w:rPr>
                <w:b/>
                <w:sz w:val="20"/>
              </w:rPr>
            </w:pPr>
            <w:r>
              <w:rPr>
                <w:b/>
                <w:color w:val="FFFFFF"/>
                <w:spacing w:val="-4"/>
                <w:sz w:val="20"/>
              </w:rPr>
              <w:t>Date</w:t>
            </w:r>
          </w:p>
        </w:tc>
        <w:tc>
          <w:tcPr>
            <w:tcW w:w="1586" w:type="dxa"/>
            <w:shd w:val="clear" w:color="auto" w:fill="234060"/>
          </w:tcPr>
          <w:p w14:paraId="220DC0CF" w14:textId="77777777" w:rsidR="00811887" w:rsidRDefault="00811887" w:rsidP="00486E22">
            <w:pPr>
              <w:pStyle w:val="TableParagraph"/>
              <w:spacing w:line="240" w:lineRule="auto"/>
              <w:ind w:left="124" w:firstLine="10"/>
              <w:rPr>
                <w:b/>
                <w:sz w:val="20"/>
              </w:rPr>
            </w:pPr>
            <w:r>
              <w:rPr>
                <w:b/>
                <w:color w:val="FFFFFF"/>
                <w:sz w:val="20"/>
              </w:rPr>
              <w:t>Austudy</w:t>
            </w:r>
            <w:r>
              <w:rPr>
                <w:b/>
                <w:color w:val="FFFFFF"/>
                <w:spacing w:val="-12"/>
                <w:sz w:val="20"/>
              </w:rPr>
              <w:t xml:space="preserve"> </w:t>
            </w:r>
            <w:r>
              <w:rPr>
                <w:b/>
                <w:color w:val="FFFFFF"/>
                <w:sz w:val="20"/>
              </w:rPr>
              <w:t>Typical ($</w:t>
            </w:r>
            <w:r>
              <w:rPr>
                <w:b/>
                <w:color w:val="FFFFFF"/>
                <w:spacing w:val="-1"/>
                <w:sz w:val="20"/>
              </w:rPr>
              <w:t xml:space="preserve"> </w:t>
            </w:r>
            <w:r>
              <w:rPr>
                <w:b/>
                <w:color w:val="FFFFFF"/>
                <w:sz w:val="20"/>
              </w:rPr>
              <w:t xml:space="preserve">per </w:t>
            </w:r>
            <w:r>
              <w:rPr>
                <w:b/>
                <w:color w:val="FFFFFF"/>
                <w:spacing w:val="-2"/>
                <w:sz w:val="20"/>
              </w:rPr>
              <w:t>fortnight)</w:t>
            </w:r>
          </w:p>
        </w:tc>
        <w:tc>
          <w:tcPr>
            <w:tcW w:w="1586" w:type="dxa"/>
            <w:shd w:val="clear" w:color="auto" w:fill="234060"/>
          </w:tcPr>
          <w:p w14:paraId="04AA8D6F" w14:textId="77777777" w:rsidR="00811887" w:rsidRDefault="00811887" w:rsidP="00486E22">
            <w:pPr>
              <w:pStyle w:val="TableParagraph"/>
              <w:spacing w:line="240" w:lineRule="auto"/>
              <w:ind w:left="209" w:firstLine="20"/>
              <w:rPr>
                <w:b/>
                <w:sz w:val="20"/>
              </w:rPr>
            </w:pPr>
            <w:r>
              <w:rPr>
                <w:b/>
                <w:color w:val="FFFFFF"/>
                <w:sz w:val="20"/>
              </w:rPr>
              <w:t>Proportion</w:t>
            </w:r>
            <w:r>
              <w:rPr>
                <w:b/>
                <w:color w:val="FFFFFF"/>
                <w:spacing w:val="-12"/>
                <w:sz w:val="20"/>
              </w:rPr>
              <w:t xml:space="preserve"> </w:t>
            </w:r>
            <w:r>
              <w:rPr>
                <w:b/>
                <w:color w:val="FFFFFF"/>
                <w:sz w:val="20"/>
              </w:rPr>
              <w:t>of ABS</w:t>
            </w:r>
            <w:r>
              <w:rPr>
                <w:b/>
                <w:color w:val="FFFFFF"/>
                <w:spacing w:val="-7"/>
                <w:sz w:val="20"/>
              </w:rPr>
              <w:t xml:space="preserve"> </w:t>
            </w:r>
            <w:r>
              <w:rPr>
                <w:b/>
                <w:color w:val="FFFFFF"/>
                <w:sz w:val="20"/>
              </w:rPr>
              <w:t>50%</w:t>
            </w:r>
            <w:r>
              <w:rPr>
                <w:b/>
                <w:color w:val="FFFFFF"/>
                <w:spacing w:val="-6"/>
                <w:sz w:val="20"/>
              </w:rPr>
              <w:t xml:space="preserve"> </w:t>
            </w:r>
            <w:r>
              <w:rPr>
                <w:b/>
                <w:color w:val="FFFFFF"/>
                <w:spacing w:val="-4"/>
                <w:sz w:val="20"/>
              </w:rPr>
              <w:t>EDHI</w:t>
            </w:r>
          </w:p>
          <w:p w14:paraId="1E0092B3" w14:textId="77777777" w:rsidR="00811887" w:rsidRDefault="00811887" w:rsidP="00486E22">
            <w:pPr>
              <w:pStyle w:val="TableParagraph"/>
              <w:spacing w:before="1" w:line="240" w:lineRule="auto"/>
              <w:ind w:left="274"/>
              <w:rPr>
                <w:b/>
                <w:sz w:val="20"/>
              </w:rPr>
            </w:pPr>
            <w:r>
              <w:rPr>
                <w:b/>
                <w:color w:val="FFFFFF"/>
                <w:sz w:val="20"/>
              </w:rPr>
              <w:t>measure</w:t>
            </w:r>
            <w:r>
              <w:rPr>
                <w:b/>
                <w:color w:val="FFFFFF"/>
                <w:spacing w:val="1"/>
                <w:sz w:val="20"/>
              </w:rPr>
              <w:t xml:space="preserve"> </w:t>
            </w:r>
            <w:r>
              <w:rPr>
                <w:b/>
                <w:color w:val="FFFFFF"/>
                <w:spacing w:val="-5"/>
                <w:sz w:val="20"/>
              </w:rPr>
              <w:t>(%)</w:t>
            </w:r>
          </w:p>
        </w:tc>
        <w:tc>
          <w:tcPr>
            <w:tcW w:w="1905" w:type="dxa"/>
            <w:shd w:val="clear" w:color="auto" w:fill="234060"/>
          </w:tcPr>
          <w:p w14:paraId="1708996C" w14:textId="77777777" w:rsidR="00811887" w:rsidRDefault="00811887" w:rsidP="00486E22">
            <w:pPr>
              <w:pStyle w:val="TableParagraph"/>
              <w:spacing w:line="240" w:lineRule="auto"/>
              <w:ind w:left="59" w:right="54"/>
              <w:jc w:val="center"/>
              <w:rPr>
                <w:b/>
                <w:sz w:val="20"/>
              </w:rPr>
            </w:pPr>
            <w:r>
              <w:rPr>
                <w:b/>
                <w:color w:val="FFFFFF"/>
                <w:sz w:val="20"/>
              </w:rPr>
              <w:t>Proportion</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 xml:space="preserve">HILDA 50% EDHI measure </w:t>
            </w:r>
            <w:r>
              <w:rPr>
                <w:b/>
                <w:color w:val="FFFFFF"/>
                <w:spacing w:val="-4"/>
                <w:sz w:val="20"/>
              </w:rPr>
              <w:t>(%)</w:t>
            </w:r>
          </w:p>
        </w:tc>
        <w:tc>
          <w:tcPr>
            <w:tcW w:w="1986" w:type="dxa"/>
            <w:shd w:val="clear" w:color="auto" w:fill="234060"/>
          </w:tcPr>
          <w:p w14:paraId="3FF28725" w14:textId="77777777" w:rsidR="00811887" w:rsidRDefault="00811887" w:rsidP="00486E22">
            <w:pPr>
              <w:pStyle w:val="TableParagraph"/>
              <w:spacing w:line="240" w:lineRule="auto"/>
              <w:ind w:left="419" w:hanging="306"/>
              <w:rPr>
                <w:b/>
                <w:sz w:val="20"/>
              </w:rPr>
            </w:pPr>
            <w:r>
              <w:rPr>
                <w:b/>
                <w:color w:val="FFFFFF"/>
                <w:sz w:val="20"/>
              </w:rPr>
              <w:t>Proportion</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Budget Standards</w:t>
            </w:r>
            <w:r>
              <w:rPr>
                <w:b/>
                <w:color w:val="FFFFFF"/>
                <w:spacing w:val="-5"/>
                <w:sz w:val="20"/>
              </w:rPr>
              <w:t xml:space="preserve"> </w:t>
            </w:r>
            <w:r>
              <w:rPr>
                <w:b/>
                <w:color w:val="FFFFFF"/>
                <w:sz w:val="20"/>
              </w:rPr>
              <w:t>(%)</w:t>
            </w:r>
          </w:p>
        </w:tc>
        <w:tc>
          <w:tcPr>
            <w:tcW w:w="1756" w:type="dxa"/>
            <w:shd w:val="clear" w:color="auto" w:fill="234060"/>
          </w:tcPr>
          <w:p w14:paraId="56377826" w14:textId="77777777" w:rsidR="00811887" w:rsidRDefault="00811887" w:rsidP="00486E22">
            <w:pPr>
              <w:pStyle w:val="TableParagraph"/>
              <w:spacing w:line="240" w:lineRule="auto"/>
              <w:ind w:left="204" w:right="193" w:hanging="5"/>
              <w:jc w:val="center"/>
              <w:rPr>
                <w:b/>
                <w:sz w:val="20"/>
              </w:rPr>
            </w:pPr>
            <w:r>
              <w:rPr>
                <w:b/>
                <w:color w:val="FFFFFF"/>
                <w:sz w:val="20"/>
              </w:rPr>
              <w:t>Proportion</w:t>
            </w:r>
            <w:r>
              <w:rPr>
                <w:b/>
                <w:color w:val="FFFFFF"/>
                <w:spacing w:val="-1"/>
                <w:sz w:val="20"/>
              </w:rPr>
              <w:t xml:space="preserve"> </w:t>
            </w:r>
            <w:r>
              <w:rPr>
                <w:b/>
                <w:color w:val="FFFFFF"/>
                <w:sz w:val="20"/>
              </w:rPr>
              <w:t xml:space="preserve">of </w:t>
            </w:r>
            <w:r>
              <w:rPr>
                <w:b/>
                <w:color w:val="FFFFFF"/>
                <w:spacing w:val="-2"/>
                <w:sz w:val="20"/>
              </w:rPr>
              <w:t xml:space="preserve">Henderson </w:t>
            </w:r>
            <w:r>
              <w:rPr>
                <w:b/>
                <w:color w:val="FFFFFF"/>
                <w:sz w:val="20"/>
              </w:rPr>
              <w:t>Poverty</w:t>
            </w:r>
            <w:r>
              <w:rPr>
                <w:b/>
                <w:color w:val="FFFFFF"/>
                <w:spacing w:val="-12"/>
                <w:sz w:val="20"/>
              </w:rPr>
              <w:t xml:space="preserve"> </w:t>
            </w:r>
            <w:r>
              <w:rPr>
                <w:b/>
                <w:color w:val="FFFFFF"/>
                <w:sz w:val="20"/>
              </w:rPr>
              <w:t>Line</w:t>
            </w:r>
            <w:r>
              <w:rPr>
                <w:b/>
                <w:color w:val="FFFFFF"/>
                <w:spacing w:val="-11"/>
                <w:sz w:val="20"/>
              </w:rPr>
              <w:t xml:space="preserve"> </w:t>
            </w:r>
            <w:r>
              <w:rPr>
                <w:b/>
                <w:color w:val="FFFFFF"/>
                <w:sz w:val="20"/>
              </w:rPr>
              <w:t>(%)</w:t>
            </w:r>
          </w:p>
        </w:tc>
      </w:tr>
      <w:tr w:rsidR="00811887" w14:paraId="1B0DCC5F" w14:textId="77777777" w:rsidTr="00486E22">
        <w:trPr>
          <w:trHeight w:val="390"/>
        </w:trPr>
        <w:tc>
          <w:tcPr>
            <w:tcW w:w="1266" w:type="dxa"/>
            <w:shd w:val="clear" w:color="auto" w:fill="234060"/>
          </w:tcPr>
          <w:p w14:paraId="5DDA4BEC" w14:textId="77777777" w:rsidR="00811887" w:rsidRDefault="00811887" w:rsidP="00486E22">
            <w:pPr>
              <w:pStyle w:val="TableParagraph"/>
              <w:ind w:left="110"/>
              <w:rPr>
                <w:b/>
                <w:sz w:val="20"/>
              </w:rPr>
            </w:pPr>
            <w:r>
              <w:rPr>
                <w:b/>
                <w:color w:val="FFFFFF"/>
                <w:spacing w:val="-2"/>
                <w:sz w:val="20"/>
              </w:rPr>
              <w:t>1/01/2000</w:t>
            </w:r>
          </w:p>
        </w:tc>
        <w:tc>
          <w:tcPr>
            <w:tcW w:w="1586" w:type="dxa"/>
          </w:tcPr>
          <w:p w14:paraId="1A9F924D" w14:textId="77777777" w:rsidR="00811887" w:rsidRDefault="00811887" w:rsidP="00486E22">
            <w:pPr>
              <w:pStyle w:val="TableParagraph"/>
              <w:ind w:left="15" w:right="11"/>
              <w:jc w:val="center"/>
              <w:rPr>
                <w:sz w:val="20"/>
              </w:rPr>
            </w:pPr>
            <w:r>
              <w:rPr>
                <w:spacing w:val="-2"/>
                <w:sz w:val="20"/>
              </w:rPr>
              <w:t>527.60</w:t>
            </w:r>
          </w:p>
        </w:tc>
        <w:tc>
          <w:tcPr>
            <w:tcW w:w="1586" w:type="dxa"/>
          </w:tcPr>
          <w:p w14:paraId="76BC4738" w14:textId="77777777" w:rsidR="00811887" w:rsidRDefault="00811887" w:rsidP="00486E22">
            <w:pPr>
              <w:pStyle w:val="TableParagraph"/>
              <w:ind w:left="15" w:right="11"/>
              <w:jc w:val="center"/>
              <w:rPr>
                <w:sz w:val="20"/>
              </w:rPr>
            </w:pPr>
            <w:r>
              <w:rPr>
                <w:spacing w:val="-4"/>
                <w:sz w:val="20"/>
              </w:rPr>
              <w:t>71.3</w:t>
            </w:r>
          </w:p>
        </w:tc>
        <w:tc>
          <w:tcPr>
            <w:tcW w:w="1905" w:type="dxa"/>
          </w:tcPr>
          <w:p w14:paraId="300538D7" w14:textId="77777777" w:rsidR="00811887" w:rsidRDefault="00811887" w:rsidP="00486E22">
            <w:pPr>
              <w:pStyle w:val="TableParagraph"/>
              <w:ind w:left="61" w:right="54"/>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86" w:type="dxa"/>
          </w:tcPr>
          <w:p w14:paraId="53624F92"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7D93681B" w14:textId="77777777" w:rsidR="00811887" w:rsidRDefault="00811887" w:rsidP="00486E22">
            <w:pPr>
              <w:pStyle w:val="TableParagraph"/>
              <w:ind w:left="4"/>
              <w:jc w:val="center"/>
              <w:rPr>
                <w:sz w:val="20"/>
              </w:rPr>
            </w:pPr>
            <w:r>
              <w:rPr>
                <w:spacing w:val="-4"/>
                <w:sz w:val="20"/>
              </w:rPr>
              <w:t>64.2</w:t>
            </w:r>
          </w:p>
        </w:tc>
      </w:tr>
      <w:tr w:rsidR="00811887" w14:paraId="65D83885" w14:textId="77777777" w:rsidTr="00486E22">
        <w:trPr>
          <w:trHeight w:val="660"/>
        </w:trPr>
        <w:tc>
          <w:tcPr>
            <w:tcW w:w="1266" w:type="dxa"/>
            <w:shd w:val="clear" w:color="auto" w:fill="234060"/>
          </w:tcPr>
          <w:p w14:paraId="7B661606" w14:textId="77777777" w:rsidR="00811887" w:rsidRDefault="00811887" w:rsidP="00486E22">
            <w:pPr>
              <w:pStyle w:val="TableParagraph"/>
              <w:ind w:left="110"/>
              <w:rPr>
                <w:b/>
                <w:sz w:val="20"/>
              </w:rPr>
            </w:pPr>
            <w:r>
              <w:rPr>
                <w:b/>
                <w:color w:val="FFFFFF"/>
                <w:spacing w:val="-2"/>
                <w:sz w:val="20"/>
              </w:rPr>
              <w:t>1/01/2002</w:t>
            </w:r>
          </w:p>
        </w:tc>
        <w:tc>
          <w:tcPr>
            <w:tcW w:w="1586" w:type="dxa"/>
          </w:tcPr>
          <w:p w14:paraId="1667E941" w14:textId="77777777" w:rsidR="00811887" w:rsidRDefault="00811887" w:rsidP="00486E22">
            <w:pPr>
              <w:pStyle w:val="TableParagraph"/>
              <w:ind w:left="15" w:right="11"/>
              <w:jc w:val="center"/>
              <w:rPr>
                <w:sz w:val="20"/>
              </w:rPr>
            </w:pPr>
            <w:r>
              <w:rPr>
                <w:spacing w:val="-2"/>
                <w:sz w:val="20"/>
              </w:rPr>
              <w:t>539.60</w:t>
            </w:r>
          </w:p>
        </w:tc>
        <w:tc>
          <w:tcPr>
            <w:tcW w:w="1586" w:type="dxa"/>
          </w:tcPr>
          <w:p w14:paraId="2B6C2CDE" w14:textId="77777777" w:rsidR="00811887" w:rsidRDefault="00811887" w:rsidP="00486E22">
            <w:pPr>
              <w:pStyle w:val="TableParagraph"/>
              <w:spacing w:line="266" w:lineRule="auto"/>
              <w:ind w:left="434" w:right="419" w:firstLine="10"/>
              <w:rPr>
                <w:sz w:val="20"/>
              </w:rPr>
            </w:pPr>
            <w:r>
              <w:rPr>
                <w:sz w:val="20"/>
              </w:rPr>
              <w:t>Data</w:t>
            </w:r>
            <w:r>
              <w:rPr>
                <w:spacing w:val="-12"/>
                <w:sz w:val="20"/>
              </w:rPr>
              <w:t xml:space="preserve"> </w:t>
            </w:r>
            <w:r>
              <w:rPr>
                <w:sz w:val="20"/>
              </w:rPr>
              <w:t xml:space="preserve">not </w:t>
            </w:r>
            <w:r>
              <w:rPr>
                <w:spacing w:val="-2"/>
                <w:sz w:val="20"/>
              </w:rPr>
              <w:t>available</w:t>
            </w:r>
          </w:p>
        </w:tc>
        <w:tc>
          <w:tcPr>
            <w:tcW w:w="1905" w:type="dxa"/>
          </w:tcPr>
          <w:p w14:paraId="70021AB6" w14:textId="77777777" w:rsidR="00811887" w:rsidRDefault="00811887" w:rsidP="00486E22">
            <w:pPr>
              <w:pStyle w:val="TableParagraph"/>
              <w:ind w:left="59" w:right="54"/>
              <w:jc w:val="center"/>
              <w:rPr>
                <w:sz w:val="20"/>
              </w:rPr>
            </w:pPr>
            <w:r>
              <w:rPr>
                <w:spacing w:val="-4"/>
                <w:sz w:val="20"/>
              </w:rPr>
              <w:t>61.2</w:t>
            </w:r>
          </w:p>
        </w:tc>
        <w:tc>
          <w:tcPr>
            <w:tcW w:w="1986" w:type="dxa"/>
          </w:tcPr>
          <w:p w14:paraId="1BC79EB2"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541FDFC4" w14:textId="77777777" w:rsidR="00811887" w:rsidRDefault="00811887" w:rsidP="00486E22">
            <w:pPr>
              <w:pStyle w:val="TableParagraph"/>
              <w:ind w:left="4"/>
              <w:jc w:val="center"/>
              <w:rPr>
                <w:sz w:val="20"/>
              </w:rPr>
            </w:pPr>
            <w:r>
              <w:rPr>
                <w:spacing w:val="-4"/>
                <w:sz w:val="20"/>
              </w:rPr>
              <w:t>63.4</w:t>
            </w:r>
          </w:p>
        </w:tc>
      </w:tr>
      <w:tr w:rsidR="00811887" w14:paraId="6FD3BFEB" w14:textId="77777777" w:rsidTr="00486E22">
        <w:trPr>
          <w:trHeight w:val="385"/>
        </w:trPr>
        <w:tc>
          <w:tcPr>
            <w:tcW w:w="1266" w:type="dxa"/>
            <w:shd w:val="clear" w:color="auto" w:fill="234060"/>
          </w:tcPr>
          <w:p w14:paraId="32FD29BF" w14:textId="77777777" w:rsidR="00811887" w:rsidRDefault="00811887" w:rsidP="00486E22">
            <w:pPr>
              <w:pStyle w:val="TableParagraph"/>
              <w:spacing w:line="239" w:lineRule="exact"/>
              <w:ind w:left="110"/>
              <w:rPr>
                <w:b/>
                <w:sz w:val="20"/>
              </w:rPr>
            </w:pPr>
            <w:r>
              <w:rPr>
                <w:b/>
                <w:color w:val="FFFFFF"/>
                <w:spacing w:val="-2"/>
                <w:sz w:val="20"/>
              </w:rPr>
              <w:t>1/01/2004</w:t>
            </w:r>
          </w:p>
        </w:tc>
        <w:tc>
          <w:tcPr>
            <w:tcW w:w="1586" w:type="dxa"/>
          </w:tcPr>
          <w:p w14:paraId="35375FA6" w14:textId="77777777" w:rsidR="00811887" w:rsidRDefault="00811887" w:rsidP="00486E22">
            <w:pPr>
              <w:pStyle w:val="TableParagraph"/>
              <w:ind w:left="15" w:right="11"/>
              <w:jc w:val="center"/>
              <w:rPr>
                <w:sz w:val="20"/>
              </w:rPr>
            </w:pPr>
            <w:r>
              <w:rPr>
                <w:spacing w:val="-2"/>
                <w:sz w:val="20"/>
              </w:rPr>
              <w:t>540.50</w:t>
            </w:r>
          </w:p>
        </w:tc>
        <w:tc>
          <w:tcPr>
            <w:tcW w:w="1586" w:type="dxa"/>
          </w:tcPr>
          <w:p w14:paraId="285D4649" w14:textId="77777777" w:rsidR="00811887" w:rsidRDefault="00811887" w:rsidP="00486E22">
            <w:pPr>
              <w:pStyle w:val="TableParagraph"/>
              <w:ind w:left="15" w:right="11"/>
              <w:jc w:val="center"/>
              <w:rPr>
                <w:sz w:val="20"/>
              </w:rPr>
            </w:pPr>
            <w:r>
              <w:rPr>
                <w:spacing w:val="-4"/>
                <w:sz w:val="20"/>
              </w:rPr>
              <w:t>63.9</w:t>
            </w:r>
          </w:p>
        </w:tc>
        <w:tc>
          <w:tcPr>
            <w:tcW w:w="1905" w:type="dxa"/>
          </w:tcPr>
          <w:p w14:paraId="1D5E3657" w14:textId="77777777" w:rsidR="00811887" w:rsidRDefault="00811887" w:rsidP="00486E22">
            <w:pPr>
              <w:pStyle w:val="TableParagraph"/>
              <w:ind w:left="59" w:right="54"/>
              <w:jc w:val="center"/>
              <w:rPr>
                <w:sz w:val="20"/>
              </w:rPr>
            </w:pPr>
            <w:r>
              <w:rPr>
                <w:spacing w:val="-4"/>
                <w:sz w:val="20"/>
              </w:rPr>
              <w:t>58.5</w:t>
            </w:r>
          </w:p>
        </w:tc>
        <w:tc>
          <w:tcPr>
            <w:tcW w:w="1986" w:type="dxa"/>
          </w:tcPr>
          <w:p w14:paraId="42575696"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2BA18E10" w14:textId="77777777" w:rsidR="00811887" w:rsidRDefault="00811887" w:rsidP="00486E22">
            <w:pPr>
              <w:pStyle w:val="TableParagraph"/>
              <w:ind w:left="4"/>
              <w:jc w:val="center"/>
              <w:rPr>
                <w:sz w:val="20"/>
              </w:rPr>
            </w:pPr>
            <w:r>
              <w:rPr>
                <w:spacing w:val="-4"/>
                <w:sz w:val="20"/>
              </w:rPr>
              <w:t>64.5</w:t>
            </w:r>
          </w:p>
        </w:tc>
      </w:tr>
      <w:tr w:rsidR="00811887" w14:paraId="6FFD5967" w14:textId="77777777" w:rsidTr="00486E22">
        <w:trPr>
          <w:trHeight w:val="390"/>
        </w:trPr>
        <w:tc>
          <w:tcPr>
            <w:tcW w:w="1266" w:type="dxa"/>
            <w:shd w:val="clear" w:color="auto" w:fill="234060"/>
          </w:tcPr>
          <w:p w14:paraId="29769ED9" w14:textId="77777777" w:rsidR="00811887" w:rsidRDefault="00811887" w:rsidP="00486E22">
            <w:pPr>
              <w:pStyle w:val="TableParagraph"/>
              <w:ind w:left="110"/>
              <w:rPr>
                <w:b/>
                <w:sz w:val="20"/>
              </w:rPr>
            </w:pPr>
            <w:r>
              <w:rPr>
                <w:b/>
                <w:color w:val="FFFFFF"/>
                <w:spacing w:val="-2"/>
                <w:sz w:val="20"/>
              </w:rPr>
              <w:t>1/01/2006</w:t>
            </w:r>
          </w:p>
        </w:tc>
        <w:tc>
          <w:tcPr>
            <w:tcW w:w="1586" w:type="dxa"/>
          </w:tcPr>
          <w:p w14:paraId="46B8A3B4" w14:textId="77777777" w:rsidR="00811887" w:rsidRDefault="00811887" w:rsidP="00486E22">
            <w:pPr>
              <w:pStyle w:val="TableParagraph"/>
              <w:ind w:left="15" w:right="11"/>
              <w:jc w:val="center"/>
              <w:rPr>
                <w:sz w:val="20"/>
              </w:rPr>
            </w:pPr>
            <w:r>
              <w:rPr>
                <w:spacing w:val="-2"/>
                <w:sz w:val="20"/>
              </w:rPr>
              <w:t>539.10</w:t>
            </w:r>
          </w:p>
        </w:tc>
        <w:tc>
          <w:tcPr>
            <w:tcW w:w="1586" w:type="dxa"/>
          </w:tcPr>
          <w:p w14:paraId="346D0510" w14:textId="77777777" w:rsidR="00811887" w:rsidRDefault="00811887" w:rsidP="00486E22">
            <w:pPr>
              <w:pStyle w:val="TableParagraph"/>
              <w:ind w:left="15" w:right="11"/>
              <w:jc w:val="center"/>
              <w:rPr>
                <w:sz w:val="20"/>
              </w:rPr>
            </w:pPr>
            <w:r>
              <w:rPr>
                <w:spacing w:val="-4"/>
                <w:sz w:val="20"/>
              </w:rPr>
              <w:t>58.7</w:t>
            </w:r>
          </w:p>
        </w:tc>
        <w:tc>
          <w:tcPr>
            <w:tcW w:w="1905" w:type="dxa"/>
          </w:tcPr>
          <w:p w14:paraId="5567F407" w14:textId="77777777" w:rsidR="00811887" w:rsidRDefault="00811887" w:rsidP="00486E22">
            <w:pPr>
              <w:pStyle w:val="TableParagraph"/>
              <w:ind w:left="59" w:right="54"/>
              <w:jc w:val="center"/>
              <w:rPr>
                <w:sz w:val="20"/>
              </w:rPr>
            </w:pPr>
            <w:r>
              <w:rPr>
                <w:spacing w:val="-4"/>
                <w:sz w:val="20"/>
              </w:rPr>
              <w:t>54.8</w:t>
            </w:r>
          </w:p>
        </w:tc>
        <w:tc>
          <w:tcPr>
            <w:tcW w:w="1986" w:type="dxa"/>
          </w:tcPr>
          <w:p w14:paraId="100999BF"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5B5BE8C3" w14:textId="77777777" w:rsidR="00811887" w:rsidRDefault="00811887" w:rsidP="00486E22">
            <w:pPr>
              <w:pStyle w:val="TableParagraph"/>
              <w:ind w:left="4"/>
              <w:jc w:val="center"/>
              <w:rPr>
                <w:sz w:val="20"/>
              </w:rPr>
            </w:pPr>
            <w:r>
              <w:rPr>
                <w:spacing w:val="-4"/>
                <w:sz w:val="20"/>
              </w:rPr>
              <w:t>62.4</w:t>
            </w:r>
          </w:p>
        </w:tc>
      </w:tr>
      <w:tr w:rsidR="00811887" w14:paraId="3A15D6A3" w14:textId="77777777" w:rsidTr="00486E22">
        <w:trPr>
          <w:trHeight w:val="390"/>
        </w:trPr>
        <w:tc>
          <w:tcPr>
            <w:tcW w:w="1266" w:type="dxa"/>
            <w:shd w:val="clear" w:color="auto" w:fill="234060"/>
          </w:tcPr>
          <w:p w14:paraId="655BB914" w14:textId="77777777" w:rsidR="00811887" w:rsidRDefault="00811887" w:rsidP="00486E22">
            <w:pPr>
              <w:pStyle w:val="TableParagraph"/>
              <w:ind w:left="110"/>
              <w:rPr>
                <w:b/>
                <w:sz w:val="20"/>
              </w:rPr>
            </w:pPr>
            <w:r>
              <w:rPr>
                <w:b/>
                <w:color w:val="FFFFFF"/>
                <w:spacing w:val="-2"/>
                <w:sz w:val="20"/>
              </w:rPr>
              <w:t>1/01/2008</w:t>
            </w:r>
          </w:p>
        </w:tc>
        <w:tc>
          <w:tcPr>
            <w:tcW w:w="1586" w:type="dxa"/>
          </w:tcPr>
          <w:p w14:paraId="0AD82D6E" w14:textId="77777777" w:rsidR="00811887" w:rsidRDefault="00811887" w:rsidP="00486E22">
            <w:pPr>
              <w:pStyle w:val="TableParagraph"/>
              <w:ind w:left="15" w:right="11"/>
              <w:jc w:val="center"/>
              <w:rPr>
                <w:sz w:val="20"/>
              </w:rPr>
            </w:pPr>
            <w:r>
              <w:rPr>
                <w:spacing w:val="-2"/>
                <w:sz w:val="20"/>
              </w:rPr>
              <w:t>535.70</w:t>
            </w:r>
          </w:p>
        </w:tc>
        <w:tc>
          <w:tcPr>
            <w:tcW w:w="1586" w:type="dxa"/>
          </w:tcPr>
          <w:p w14:paraId="22537D6D" w14:textId="77777777" w:rsidR="00811887" w:rsidRDefault="00811887" w:rsidP="00486E22">
            <w:pPr>
              <w:pStyle w:val="TableParagraph"/>
              <w:ind w:left="15" w:right="11"/>
              <w:jc w:val="center"/>
              <w:rPr>
                <w:sz w:val="20"/>
              </w:rPr>
            </w:pPr>
            <w:r>
              <w:rPr>
                <w:spacing w:val="-4"/>
                <w:sz w:val="20"/>
              </w:rPr>
              <w:t>50.8</w:t>
            </w:r>
          </w:p>
        </w:tc>
        <w:tc>
          <w:tcPr>
            <w:tcW w:w="1905" w:type="dxa"/>
          </w:tcPr>
          <w:p w14:paraId="77FF755E" w14:textId="77777777" w:rsidR="00811887" w:rsidRDefault="00811887" w:rsidP="00486E22">
            <w:pPr>
              <w:pStyle w:val="TableParagraph"/>
              <w:ind w:left="59" w:right="54"/>
              <w:jc w:val="center"/>
              <w:rPr>
                <w:sz w:val="20"/>
              </w:rPr>
            </w:pPr>
            <w:r>
              <w:rPr>
                <w:spacing w:val="-4"/>
                <w:sz w:val="20"/>
              </w:rPr>
              <w:t>50.8</w:t>
            </w:r>
          </w:p>
        </w:tc>
        <w:tc>
          <w:tcPr>
            <w:tcW w:w="1986" w:type="dxa"/>
          </w:tcPr>
          <w:p w14:paraId="1E468EE3"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13E45822" w14:textId="77777777" w:rsidR="00811887" w:rsidRDefault="00811887" w:rsidP="00486E22">
            <w:pPr>
              <w:pStyle w:val="TableParagraph"/>
              <w:ind w:left="4"/>
              <w:jc w:val="center"/>
              <w:rPr>
                <w:sz w:val="20"/>
              </w:rPr>
            </w:pPr>
            <w:r>
              <w:rPr>
                <w:spacing w:val="-5"/>
                <w:sz w:val="20"/>
              </w:rPr>
              <w:t>58</w:t>
            </w:r>
          </w:p>
        </w:tc>
      </w:tr>
      <w:tr w:rsidR="00811887" w14:paraId="4B86357F" w14:textId="77777777" w:rsidTr="00486E22">
        <w:trPr>
          <w:trHeight w:val="385"/>
        </w:trPr>
        <w:tc>
          <w:tcPr>
            <w:tcW w:w="1266" w:type="dxa"/>
            <w:shd w:val="clear" w:color="auto" w:fill="234060"/>
          </w:tcPr>
          <w:p w14:paraId="72D7ED39" w14:textId="77777777" w:rsidR="00811887" w:rsidRDefault="00811887" w:rsidP="00486E22">
            <w:pPr>
              <w:pStyle w:val="TableParagraph"/>
              <w:spacing w:line="239" w:lineRule="exact"/>
              <w:ind w:left="110"/>
              <w:rPr>
                <w:b/>
                <w:sz w:val="20"/>
              </w:rPr>
            </w:pPr>
            <w:r>
              <w:rPr>
                <w:b/>
                <w:color w:val="FFFFFF"/>
                <w:spacing w:val="-2"/>
                <w:sz w:val="20"/>
              </w:rPr>
              <w:t>1/01/2010</w:t>
            </w:r>
          </w:p>
        </w:tc>
        <w:tc>
          <w:tcPr>
            <w:tcW w:w="1586" w:type="dxa"/>
          </w:tcPr>
          <w:p w14:paraId="60B4A4E2" w14:textId="77777777" w:rsidR="00811887" w:rsidRDefault="00811887" w:rsidP="00486E22">
            <w:pPr>
              <w:pStyle w:val="TableParagraph"/>
              <w:spacing w:line="240" w:lineRule="auto"/>
              <w:ind w:left="15" w:right="11"/>
              <w:jc w:val="center"/>
              <w:rPr>
                <w:sz w:val="20"/>
              </w:rPr>
            </w:pPr>
            <w:r>
              <w:rPr>
                <w:spacing w:val="-2"/>
                <w:sz w:val="20"/>
              </w:rPr>
              <w:t>539.00</w:t>
            </w:r>
          </w:p>
        </w:tc>
        <w:tc>
          <w:tcPr>
            <w:tcW w:w="1586" w:type="dxa"/>
          </w:tcPr>
          <w:p w14:paraId="0D2651A3" w14:textId="77777777" w:rsidR="00811887" w:rsidRDefault="00811887" w:rsidP="00486E22">
            <w:pPr>
              <w:pStyle w:val="TableParagraph"/>
              <w:spacing w:line="240" w:lineRule="auto"/>
              <w:ind w:left="15" w:right="11"/>
              <w:jc w:val="center"/>
              <w:rPr>
                <w:sz w:val="20"/>
              </w:rPr>
            </w:pPr>
            <w:r>
              <w:rPr>
                <w:spacing w:val="-4"/>
                <w:sz w:val="20"/>
              </w:rPr>
              <w:t>52.0</w:t>
            </w:r>
          </w:p>
        </w:tc>
        <w:tc>
          <w:tcPr>
            <w:tcW w:w="1905" w:type="dxa"/>
          </w:tcPr>
          <w:p w14:paraId="1216A466" w14:textId="77777777" w:rsidR="00811887" w:rsidRDefault="00811887" w:rsidP="00486E22">
            <w:pPr>
              <w:pStyle w:val="TableParagraph"/>
              <w:spacing w:line="240" w:lineRule="auto"/>
              <w:ind w:left="59" w:right="54"/>
              <w:jc w:val="center"/>
              <w:rPr>
                <w:sz w:val="20"/>
              </w:rPr>
            </w:pPr>
            <w:r>
              <w:rPr>
                <w:spacing w:val="-4"/>
                <w:sz w:val="20"/>
              </w:rPr>
              <w:t>49.4</w:t>
            </w:r>
          </w:p>
        </w:tc>
        <w:tc>
          <w:tcPr>
            <w:tcW w:w="1986" w:type="dxa"/>
          </w:tcPr>
          <w:p w14:paraId="09AD89CA" w14:textId="77777777" w:rsidR="00811887" w:rsidRDefault="00811887" w:rsidP="00486E22">
            <w:pPr>
              <w:pStyle w:val="TableParagraph"/>
              <w:spacing w:line="240" w:lineRule="auto"/>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618BCEB7" w14:textId="77777777" w:rsidR="00811887" w:rsidRDefault="00811887" w:rsidP="00486E22">
            <w:pPr>
              <w:pStyle w:val="TableParagraph"/>
              <w:spacing w:line="240" w:lineRule="auto"/>
              <w:ind w:left="4"/>
              <w:jc w:val="center"/>
              <w:rPr>
                <w:sz w:val="20"/>
              </w:rPr>
            </w:pPr>
            <w:r>
              <w:rPr>
                <w:spacing w:val="-4"/>
                <w:sz w:val="20"/>
              </w:rPr>
              <w:t>57.9</w:t>
            </w:r>
          </w:p>
        </w:tc>
      </w:tr>
      <w:tr w:rsidR="00811887" w14:paraId="44E19BAA" w14:textId="77777777" w:rsidTr="00486E22">
        <w:trPr>
          <w:trHeight w:val="389"/>
        </w:trPr>
        <w:tc>
          <w:tcPr>
            <w:tcW w:w="1266" w:type="dxa"/>
            <w:shd w:val="clear" w:color="auto" w:fill="234060"/>
          </w:tcPr>
          <w:p w14:paraId="76BF1C01" w14:textId="77777777" w:rsidR="00811887" w:rsidRDefault="00811887" w:rsidP="00486E22">
            <w:pPr>
              <w:pStyle w:val="TableParagraph"/>
              <w:ind w:left="110"/>
              <w:rPr>
                <w:b/>
                <w:sz w:val="20"/>
              </w:rPr>
            </w:pPr>
            <w:r>
              <w:rPr>
                <w:b/>
                <w:color w:val="FFFFFF"/>
                <w:spacing w:val="-2"/>
                <w:sz w:val="20"/>
              </w:rPr>
              <w:t>1/01/2012</w:t>
            </w:r>
          </w:p>
        </w:tc>
        <w:tc>
          <w:tcPr>
            <w:tcW w:w="1586" w:type="dxa"/>
          </w:tcPr>
          <w:p w14:paraId="1CA24E86" w14:textId="77777777" w:rsidR="00811887" w:rsidRDefault="00811887" w:rsidP="00486E22">
            <w:pPr>
              <w:pStyle w:val="TableParagraph"/>
              <w:ind w:left="15" w:right="11"/>
              <w:jc w:val="center"/>
              <w:rPr>
                <w:sz w:val="20"/>
              </w:rPr>
            </w:pPr>
            <w:r>
              <w:rPr>
                <w:spacing w:val="-2"/>
                <w:sz w:val="20"/>
              </w:rPr>
              <w:t>548.60</w:t>
            </w:r>
          </w:p>
        </w:tc>
        <w:tc>
          <w:tcPr>
            <w:tcW w:w="1586" w:type="dxa"/>
          </w:tcPr>
          <w:p w14:paraId="19AB1D69" w14:textId="77777777" w:rsidR="00811887" w:rsidRDefault="00811887" w:rsidP="00486E22">
            <w:pPr>
              <w:pStyle w:val="TableParagraph"/>
              <w:ind w:left="15" w:right="11"/>
              <w:jc w:val="center"/>
              <w:rPr>
                <w:sz w:val="20"/>
              </w:rPr>
            </w:pPr>
            <w:r>
              <w:rPr>
                <w:spacing w:val="-4"/>
                <w:sz w:val="20"/>
              </w:rPr>
              <w:t>50.4</w:t>
            </w:r>
          </w:p>
        </w:tc>
        <w:tc>
          <w:tcPr>
            <w:tcW w:w="1905" w:type="dxa"/>
          </w:tcPr>
          <w:p w14:paraId="5493F77F" w14:textId="77777777" w:rsidR="00811887" w:rsidRDefault="00811887" w:rsidP="00486E22">
            <w:pPr>
              <w:pStyle w:val="TableParagraph"/>
              <w:ind w:left="59" w:right="54"/>
              <w:jc w:val="center"/>
              <w:rPr>
                <w:sz w:val="20"/>
              </w:rPr>
            </w:pPr>
            <w:r>
              <w:rPr>
                <w:spacing w:val="-4"/>
                <w:sz w:val="20"/>
              </w:rPr>
              <w:t>49.1</w:t>
            </w:r>
          </w:p>
        </w:tc>
        <w:tc>
          <w:tcPr>
            <w:tcW w:w="1986" w:type="dxa"/>
          </w:tcPr>
          <w:p w14:paraId="4B8A9F60" w14:textId="77777777" w:rsidR="00811887" w:rsidRDefault="00811887" w:rsidP="00486E22">
            <w:pPr>
              <w:pStyle w:val="TableParagraph"/>
              <w:ind w:left="8" w:right="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56" w:type="dxa"/>
          </w:tcPr>
          <w:p w14:paraId="2010F05B" w14:textId="77777777" w:rsidR="00811887" w:rsidRDefault="00811887" w:rsidP="00486E22">
            <w:pPr>
              <w:pStyle w:val="TableParagraph"/>
              <w:ind w:left="4"/>
              <w:jc w:val="center"/>
              <w:rPr>
                <w:sz w:val="20"/>
              </w:rPr>
            </w:pPr>
            <w:r>
              <w:rPr>
                <w:spacing w:val="-4"/>
                <w:sz w:val="20"/>
              </w:rPr>
              <w:t>52.8</w:t>
            </w:r>
          </w:p>
        </w:tc>
      </w:tr>
      <w:tr w:rsidR="00811887" w14:paraId="04519A5E" w14:textId="77777777" w:rsidTr="00486E22">
        <w:trPr>
          <w:trHeight w:val="390"/>
        </w:trPr>
        <w:tc>
          <w:tcPr>
            <w:tcW w:w="1266" w:type="dxa"/>
            <w:shd w:val="clear" w:color="auto" w:fill="234060"/>
          </w:tcPr>
          <w:p w14:paraId="1E1DA2F9" w14:textId="77777777" w:rsidR="00811887" w:rsidRDefault="00811887" w:rsidP="00486E22">
            <w:pPr>
              <w:pStyle w:val="TableParagraph"/>
              <w:ind w:left="110"/>
              <w:rPr>
                <w:b/>
                <w:sz w:val="20"/>
              </w:rPr>
            </w:pPr>
            <w:r>
              <w:rPr>
                <w:b/>
                <w:color w:val="FFFFFF"/>
                <w:spacing w:val="-2"/>
                <w:sz w:val="20"/>
              </w:rPr>
              <w:t>1/01/2014</w:t>
            </w:r>
          </w:p>
        </w:tc>
        <w:tc>
          <w:tcPr>
            <w:tcW w:w="1586" w:type="dxa"/>
          </w:tcPr>
          <w:p w14:paraId="7201F89B" w14:textId="77777777" w:rsidR="00811887" w:rsidRDefault="00811887" w:rsidP="00486E22">
            <w:pPr>
              <w:pStyle w:val="TableParagraph"/>
              <w:ind w:left="15" w:right="11"/>
              <w:jc w:val="center"/>
              <w:rPr>
                <w:sz w:val="20"/>
              </w:rPr>
            </w:pPr>
            <w:r>
              <w:rPr>
                <w:spacing w:val="-2"/>
                <w:sz w:val="20"/>
              </w:rPr>
              <w:t>549.40</w:t>
            </w:r>
          </w:p>
        </w:tc>
        <w:tc>
          <w:tcPr>
            <w:tcW w:w="1586" w:type="dxa"/>
          </w:tcPr>
          <w:p w14:paraId="50AB3D75" w14:textId="77777777" w:rsidR="00811887" w:rsidRDefault="00811887" w:rsidP="00486E22">
            <w:pPr>
              <w:pStyle w:val="TableParagraph"/>
              <w:ind w:left="15" w:right="11"/>
              <w:jc w:val="center"/>
              <w:rPr>
                <w:sz w:val="20"/>
              </w:rPr>
            </w:pPr>
            <w:r>
              <w:rPr>
                <w:spacing w:val="-4"/>
                <w:sz w:val="20"/>
              </w:rPr>
              <w:t>49.7</w:t>
            </w:r>
          </w:p>
        </w:tc>
        <w:tc>
          <w:tcPr>
            <w:tcW w:w="1905" w:type="dxa"/>
          </w:tcPr>
          <w:p w14:paraId="546181C0" w14:textId="77777777" w:rsidR="00811887" w:rsidRDefault="00811887" w:rsidP="00486E22">
            <w:pPr>
              <w:pStyle w:val="TableParagraph"/>
              <w:ind w:left="59" w:right="54"/>
              <w:jc w:val="center"/>
              <w:rPr>
                <w:sz w:val="20"/>
              </w:rPr>
            </w:pPr>
            <w:r>
              <w:rPr>
                <w:spacing w:val="-4"/>
                <w:sz w:val="20"/>
              </w:rPr>
              <w:t>49.1</w:t>
            </w:r>
          </w:p>
        </w:tc>
        <w:tc>
          <w:tcPr>
            <w:tcW w:w="1986" w:type="dxa"/>
          </w:tcPr>
          <w:p w14:paraId="3BBB9132" w14:textId="77777777" w:rsidR="00811887" w:rsidRDefault="00811887" w:rsidP="00486E22">
            <w:pPr>
              <w:pStyle w:val="TableParagraph"/>
              <w:ind w:left="7" w:right="1"/>
              <w:jc w:val="center"/>
              <w:rPr>
                <w:sz w:val="20"/>
              </w:rPr>
            </w:pPr>
            <w:r>
              <w:rPr>
                <w:spacing w:val="-4"/>
                <w:sz w:val="20"/>
              </w:rPr>
              <w:t>49.9</w:t>
            </w:r>
          </w:p>
        </w:tc>
        <w:tc>
          <w:tcPr>
            <w:tcW w:w="1756" w:type="dxa"/>
          </w:tcPr>
          <w:p w14:paraId="25BDFAF7" w14:textId="77777777" w:rsidR="00811887" w:rsidRDefault="00811887" w:rsidP="00486E22">
            <w:pPr>
              <w:pStyle w:val="TableParagraph"/>
              <w:ind w:left="4"/>
              <w:jc w:val="center"/>
              <w:rPr>
                <w:sz w:val="20"/>
              </w:rPr>
            </w:pPr>
            <w:r>
              <w:rPr>
                <w:spacing w:val="-4"/>
                <w:sz w:val="20"/>
              </w:rPr>
              <w:t>51.6</w:t>
            </w:r>
          </w:p>
        </w:tc>
      </w:tr>
      <w:tr w:rsidR="00811887" w14:paraId="1DC9C959" w14:textId="77777777" w:rsidTr="00486E22">
        <w:trPr>
          <w:trHeight w:val="390"/>
        </w:trPr>
        <w:tc>
          <w:tcPr>
            <w:tcW w:w="1266" w:type="dxa"/>
            <w:shd w:val="clear" w:color="auto" w:fill="234060"/>
          </w:tcPr>
          <w:p w14:paraId="499BCA4F" w14:textId="77777777" w:rsidR="00811887" w:rsidRDefault="00811887" w:rsidP="00486E22">
            <w:pPr>
              <w:pStyle w:val="TableParagraph"/>
              <w:ind w:left="110"/>
              <w:rPr>
                <w:b/>
                <w:sz w:val="20"/>
              </w:rPr>
            </w:pPr>
            <w:r>
              <w:rPr>
                <w:b/>
                <w:color w:val="FFFFFF"/>
                <w:spacing w:val="-2"/>
                <w:sz w:val="20"/>
              </w:rPr>
              <w:t>1/01/2016</w:t>
            </w:r>
          </w:p>
        </w:tc>
        <w:tc>
          <w:tcPr>
            <w:tcW w:w="1586" w:type="dxa"/>
          </w:tcPr>
          <w:p w14:paraId="78AD2172" w14:textId="77777777" w:rsidR="00811887" w:rsidRDefault="00811887" w:rsidP="00486E22">
            <w:pPr>
              <w:pStyle w:val="TableParagraph"/>
              <w:ind w:left="15" w:right="11"/>
              <w:jc w:val="center"/>
              <w:rPr>
                <w:sz w:val="20"/>
              </w:rPr>
            </w:pPr>
            <w:r>
              <w:rPr>
                <w:spacing w:val="-2"/>
                <w:sz w:val="20"/>
              </w:rPr>
              <w:t>559.10</w:t>
            </w:r>
          </w:p>
        </w:tc>
        <w:tc>
          <w:tcPr>
            <w:tcW w:w="1586" w:type="dxa"/>
          </w:tcPr>
          <w:p w14:paraId="24E91012" w14:textId="77777777" w:rsidR="00811887" w:rsidRDefault="00811887" w:rsidP="00486E22">
            <w:pPr>
              <w:pStyle w:val="TableParagraph"/>
              <w:ind w:left="15" w:right="11"/>
              <w:jc w:val="center"/>
              <w:rPr>
                <w:sz w:val="20"/>
              </w:rPr>
            </w:pPr>
            <w:r>
              <w:rPr>
                <w:spacing w:val="-4"/>
                <w:sz w:val="20"/>
              </w:rPr>
              <w:t>51.5</w:t>
            </w:r>
          </w:p>
        </w:tc>
        <w:tc>
          <w:tcPr>
            <w:tcW w:w="1905" w:type="dxa"/>
          </w:tcPr>
          <w:p w14:paraId="1C1A4D8B" w14:textId="77777777" w:rsidR="00811887" w:rsidRDefault="00811887" w:rsidP="00486E22">
            <w:pPr>
              <w:pStyle w:val="TableParagraph"/>
              <w:ind w:left="59" w:right="54"/>
              <w:jc w:val="center"/>
              <w:rPr>
                <w:sz w:val="20"/>
              </w:rPr>
            </w:pPr>
            <w:r>
              <w:rPr>
                <w:spacing w:val="-4"/>
                <w:sz w:val="20"/>
              </w:rPr>
              <w:t>49.8</w:t>
            </w:r>
          </w:p>
        </w:tc>
        <w:tc>
          <w:tcPr>
            <w:tcW w:w="1986" w:type="dxa"/>
          </w:tcPr>
          <w:p w14:paraId="381DA084" w14:textId="77777777" w:rsidR="00811887" w:rsidRDefault="00811887" w:rsidP="00486E22">
            <w:pPr>
              <w:pStyle w:val="TableParagraph"/>
              <w:ind w:left="7" w:right="1"/>
              <w:jc w:val="center"/>
              <w:rPr>
                <w:sz w:val="20"/>
              </w:rPr>
            </w:pPr>
            <w:r>
              <w:rPr>
                <w:spacing w:val="-4"/>
                <w:sz w:val="20"/>
              </w:rPr>
              <w:t>50.9</w:t>
            </w:r>
          </w:p>
        </w:tc>
        <w:tc>
          <w:tcPr>
            <w:tcW w:w="1756" w:type="dxa"/>
          </w:tcPr>
          <w:p w14:paraId="63A3CBAE" w14:textId="77777777" w:rsidR="00811887" w:rsidRDefault="00811887" w:rsidP="00486E22">
            <w:pPr>
              <w:pStyle w:val="TableParagraph"/>
              <w:ind w:left="4"/>
              <w:jc w:val="center"/>
              <w:rPr>
                <w:sz w:val="20"/>
              </w:rPr>
            </w:pPr>
            <w:r>
              <w:rPr>
                <w:spacing w:val="-4"/>
                <w:sz w:val="20"/>
              </w:rPr>
              <w:t>52.2</w:t>
            </w:r>
          </w:p>
        </w:tc>
      </w:tr>
      <w:tr w:rsidR="00811887" w14:paraId="24941E0F" w14:textId="77777777" w:rsidTr="00486E22">
        <w:trPr>
          <w:trHeight w:val="385"/>
        </w:trPr>
        <w:tc>
          <w:tcPr>
            <w:tcW w:w="1266" w:type="dxa"/>
            <w:shd w:val="clear" w:color="auto" w:fill="234060"/>
          </w:tcPr>
          <w:p w14:paraId="613E2DD4" w14:textId="77777777" w:rsidR="00811887" w:rsidRDefault="00811887" w:rsidP="00486E22">
            <w:pPr>
              <w:pStyle w:val="TableParagraph"/>
              <w:spacing w:line="239" w:lineRule="exact"/>
              <w:ind w:left="110"/>
              <w:rPr>
                <w:b/>
                <w:sz w:val="20"/>
              </w:rPr>
            </w:pPr>
            <w:r>
              <w:rPr>
                <w:b/>
                <w:color w:val="FFFFFF"/>
                <w:spacing w:val="-2"/>
                <w:sz w:val="20"/>
              </w:rPr>
              <w:t>1/01/2018</w:t>
            </w:r>
          </w:p>
        </w:tc>
        <w:tc>
          <w:tcPr>
            <w:tcW w:w="1586" w:type="dxa"/>
          </w:tcPr>
          <w:p w14:paraId="2970F755" w14:textId="77777777" w:rsidR="00811887" w:rsidRDefault="00811887" w:rsidP="00486E22">
            <w:pPr>
              <w:pStyle w:val="TableParagraph"/>
              <w:ind w:left="15" w:right="11"/>
              <w:jc w:val="center"/>
              <w:rPr>
                <w:sz w:val="20"/>
              </w:rPr>
            </w:pPr>
            <w:r>
              <w:rPr>
                <w:spacing w:val="-2"/>
                <w:sz w:val="20"/>
              </w:rPr>
              <w:t>547.30</w:t>
            </w:r>
          </w:p>
        </w:tc>
        <w:tc>
          <w:tcPr>
            <w:tcW w:w="1586" w:type="dxa"/>
          </w:tcPr>
          <w:p w14:paraId="6DCD3F22" w14:textId="77777777" w:rsidR="00811887" w:rsidRDefault="00811887" w:rsidP="00486E22">
            <w:pPr>
              <w:pStyle w:val="TableParagraph"/>
              <w:ind w:left="15" w:right="11"/>
              <w:jc w:val="center"/>
              <w:rPr>
                <w:sz w:val="20"/>
              </w:rPr>
            </w:pPr>
            <w:r>
              <w:rPr>
                <w:spacing w:val="-4"/>
                <w:sz w:val="20"/>
              </w:rPr>
              <w:t>49.7</w:t>
            </w:r>
          </w:p>
        </w:tc>
        <w:tc>
          <w:tcPr>
            <w:tcW w:w="1905" w:type="dxa"/>
          </w:tcPr>
          <w:p w14:paraId="75FBF196" w14:textId="77777777" w:rsidR="00811887" w:rsidRDefault="00811887" w:rsidP="00486E22">
            <w:pPr>
              <w:pStyle w:val="TableParagraph"/>
              <w:ind w:left="59" w:right="55"/>
              <w:jc w:val="center"/>
              <w:rPr>
                <w:sz w:val="20"/>
              </w:rPr>
            </w:pPr>
            <w:r>
              <w:rPr>
                <w:spacing w:val="-4"/>
                <w:sz w:val="20"/>
              </w:rPr>
              <w:t>48.0</w:t>
            </w:r>
          </w:p>
        </w:tc>
        <w:tc>
          <w:tcPr>
            <w:tcW w:w="1986" w:type="dxa"/>
          </w:tcPr>
          <w:p w14:paraId="5D6FF99B" w14:textId="77777777" w:rsidR="00811887" w:rsidRDefault="00811887" w:rsidP="00486E22">
            <w:pPr>
              <w:pStyle w:val="TableParagraph"/>
              <w:ind w:left="7" w:right="1"/>
              <w:jc w:val="center"/>
              <w:rPr>
                <w:sz w:val="20"/>
              </w:rPr>
            </w:pPr>
            <w:r>
              <w:rPr>
                <w:spacing w:val="-4"/>
                <w:sz w:val="20"/>
              </w:rPr>
              <w:t>49.8</w:t>
            </w:r>
          </w:p>
        </w:tc>
        <w:tc>
          <w:tcPr>
            <w:tcW w:w="1756" w:type="dxa"/>
          </w:tcPr>
          <w:p w14:paraId="2BC7A1BA" w14:textId="77777777" w:rsidR="00811887" w:rsidRDefault="00811887" w:rsidP="00486E22">
            <w:pPr>
              <w:pStyle w:val="TableParagraph"/>
              <w:ind w:left="4"/>
              <w:jc w:val="center"/>
              <w:rPr>
                <w:sz w:val="20"/>
              </w:rPr>
            </w:pPr>
            <w:r>
              <w:rPr>
                <w:spacing w:val="-4"/>
                <w:sz w:val="20"/>
              </w:rPr>
              <w:t>53.8</w:t>
            </w:r>
          </w:p>
        </w:tc>
      </w:tr>
      <w:tr w:rsidR="00811887" w14:paraId="2E0956CB" w14:textId="77777777" w:rsidTr="00486E22">
        <w:trPr>
          <w:trHeight w:val="390"/>
        </w:trPr>
        <w:tc>
          <w:tcPr>
            <w:tcW w:w="1266" w:type="dxa"/>
            <w:shd w:val="clear" w:color="auto" w:fill="234060"/>
          </w:tcPr>
          <w:p w14:paraId="6151F5D8" w14:textId="77777777" w:rsidR="00811887" w:rsidRDefault="00811887" w:rsidP="00486E22">
            <w:pPr>
              <w:pStyle w:val="TableParagraph"/>
              <w:ind w:left="110"/>
              <w:rPr>
                <w:b/>
                <w:sz w:val="20"/>
              </w:rPr>
            </w:pPr>
            <w:r>
              <w:rPr>
                <w:b/>
                <w:color w:val="FFFFFF"/>
                <w:spacing w:val="-2"/>
                <w:sz w:val="20"/>
              </w:rPr>
              <w:t>1/01/2020</w:t>
            </w:r>
          </w:p>
        </w:tc>
        <w:tc>
          <w:tcPr>
            <w:tcW w:w="1586" w:type="dxa"/>
          </w:tcPr>
          <w:p w14:paraId="20515BDA" w14:textId="77777777" w:rsidR="00811887" w:rsidRDefault="00811887" w:rsidP="00486E22">
            <w:pPr>
              <w:pStyle w:val="TableParagraph"/>
              <w:ind w:left="15" w:right="11"/>
              <w:jc w:val="center"/>
              <w:rPr>
                <w:sz w:val="20"/>
              </w:rPr>
            </w:pPr>
            <w:r>
              <w:rPr>
                <w:spacing w:val="-2"/>
                <w:sz w:val="20"/>
              </w:rPr>
              <w:t>548.00</w:t>
            </w:r>
          </w:p>
        </w:tc>
        <w:tc>
          <w:tcPr>
            <w:tcW w:w="1586" w:type="dxa"/>
          </w:tcPr>
          <w:p w14:paraId="6C3D81C0" w14:textId="77777777" w:rsidR="00811887" w:rsidRDefault="00811887" w:rsidP="00486E22">
            <w:pPr>
              <w:pStyle w:val="TableParagraph"/>
              <w:ind w:left="15" w:right="11"/>
              <w:jc w:val="center"/>
              <w:rPr>
                <w:sz w:val="20"/>
              </w:rPr>
            </w:pPr>
            <w:r>
              <w:rPr>
                <w:spacing w:val="-4"/>
                <w:sz w:val="20"/>
              </w:rPr>
              <w:t>48.0</w:t>
            </w:r>
          </w:p>
        </w:tc>
        <w:tc>
          <w:tcPr>
            <w:tcW w:w="1905" w:type="dxa"/>
          </w:tcPr>
          <w:p w14:paraId="0EA78E80" w14:textId="77777777" w:rsidR="00811887" w:rsidRDefault="00811887" w:rsidP="00486E22">
            <w:pPr>
              <w:pStyle w:val="TableParagraph"/>
              <w:ind w:left="59" w:right="54"/>
              <w:jc w:val="center"/>
              <w:rPr>
                <w:sz w:val="20"/>
              </w:rPr>
            </w:pPr>
            <w:r>
              <w:rPr>
                <w:spacing w:val="-4"/>
                <w:sz w:val="20"/>
              </w:rPr>
              <w:t>45.4</w:t>
            </w:r>
          </w:p>
        </w:tc>
        <w:tc>
          <w:tcPr>
            <w:tcW w:w="1986" w:type="dxa"/>
          </w:tcPr>
          <w:p w14:paraId="4D127FC5" w14:textId="77777777" w:rsidR="00811887" w:rsidRDefault="00811887" w:rsidP="00486E22">
            <w:pPr>
              <w:pStyle w:val="TableParagraph"/>
              <w:ind w:left="7" w:right="1"/>
              <w:jc w:val="center"/>
              <w:rPr>
                <w:sz w:val="20"/>
              </w:rPr>
            </w:pPr>
            <w:r>
              <w:rPr>
                <w:spacing w:val="-4"/>
                <w:sz w:val="20"/>
              </w:rPr>
              <w:t>50.5</w:t>
            </w:r>
          </w:p>
        </w:tc>
        <w:tc>
          <w:tcPr>
            <w:tcW w:w="1756" w:type="dxa"/>
          </w:tcPr>
          <w:p w14:paraId="59BC760B" w14:textId="77777777" w:rsidR="00811887" w:rsidRDefault="00811887" w:rsidP="00486E22">
            <w:pPr>
              <w:pStyle w:val="TableParagraph"/>
              <w:ind w:left="4"/>
              <w:jc w:val="center"/>
              <w:rPr>
                <w:sz w:val="20"/>
              </w:rPr>
            </w:pPr>
            <w:r>
              <w:rPr>
                <w:spacing w:val="-4"/>
                <w:sz w:val="20"/>
              </w:rPr>
              <w:t>52.7</w:t>
            </w:r>
          </w:p>
        </w:tc>
      </w:tr>
      <w:tr w:rsidR="00811887" w14:paraId="6064F703" w14:textId="77777777" w:rsidTr="00486E22">
        <w:trPr>
          <w:trHeight w:val="490"/>
        </w:trPr>
        <w:tc>
          <w:tcPr>
            <w:tcW w:w="1266" w:type="dxa"/>
            <w:shd w:val="clear" w:color="auto" w:fill="234060"/>
          </w:tcPr>
          <w:p w14:paraId="37537892" w14:textId="77777777" w:rsidR="00811887" w:rsidRDefault="00811887" w:rsidP="00486E22">
            <w:pPr>
              <w:pStyle w:val="TableParagraph"/>
              <w:ind w:left="110"/>
              <w:rPr>
                <w:b/>
                <w:sz w:val="20"/>
              </w:rPr>
            </w:pPr>
            <w:r>
              <w:rPr>
                <w:b/>
                <w:color w:val="FFFFFF"/>
                <w:spacing w:val="-2"/>
                <w:sz w:val="20"/>
              </w:rPr>
              <w:t>1/01/2022</w:t>
            </w:r>
          </w:p>
        </w:tc>
        <w:tc>
          <w:tcPr>
            <w:tcW w:w="1586" w:type="dxa"/>
          </w:tcPr>
          <w:p w14:paraId="1845562D" w14:textId="77777777" w:rsidR="00811887" w:rsidRDefault="00811887" w:rsidP="00486E22">
            <w:pPr>
              <w:pStyle w:val="TableParagraph"/>
              <w:ind w:left="15" w:right="11"/>
              <w:jc w:val="center"/>
              <w:rPr>
                <w:sz w:val="20"/>
              </w:rPr>
            </w:pPr>
            <w:r>
              <w:rPr>
                <w:spacing w:val="-2"/>
                <w:sz w:val="20"/>
              </w:rPr>
              <w:t>590.30</w:t>
            </w:r>
          </w:p>
        </w:tc>
        <w:tc>
          <w:tcPr>
            <w:tcW w:w="1586" w:type="dxa"/>
          </w:tcPr>
          <w:p w14:paraId="3707CDB8" w14:textId="77777777" w:rsidR="00811887" w:rsidRDefault="00811887" w:rsidP="00486E22">
            <w:pPr>
              <w:pStyle w:val="TableParagraph"/>
              <w:ind w:left="444"/>
              <w:rPr>
                <w:sz w:val="20"/>
              </w:rPr>
            </w:pPr>
            <w:r>
              <w:rPr>
                <w:sz w:val="20"/>
              </w:rPr>
              <w:t>Data</w:t>
            </w:r>
            <w:r>
              <w:rPr>
                <w:spacing w:val="-5"/>
                <w:sz w:val="20"/>
              </w:rPr>
              <w:t xml:space="preserve"> not</w:t>
            </w:r>
          </w:p>
          <w:p w14:paraId="416BEFB9" w14:textId="77777777" w:rsidR="00811887" w:rsidRDefault="00811887" w:rsidP="00486E22">
            <w:pPr>
              <w:pStyle w:val="TableParagraph"/>
              <w:spacing w:before="1" w:line="225" w:lineRule="exact"/>
              <w:ind w:left="434"/>
              <w:rPr>
                <w:sz w:val="20"/>
              </w:rPr>
            </w:pPr>
            <w:r>
              <w:rPr>
                <w:spacing w:val="-2"/>
                <w:sz w:val="20"/>
              </w:rPr>
              <w:t>available</w:t>
            </w:r>
          </w:p>
        </w:tc>
        <w:tc>
          <w:tcPr>
            <w:tcW w:w="1905" w:type="dxa"/>
          </w:tcPr>
          <w:p w14:paraId="64D86AEA" w14:textId="77777777" w:rsidR="00811887" w:rsidRDefault="00811887" w:rsidP="00486E22">
            <w:pPr>
              <w:pStyle w:val="TableParagraph"/>
              <w:ind w:left="59" w:right="59"/>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86" w:type="dxa"/>
          </w:tcPr>
          <w:p w14:paraId="5D8A83A0" w14:textId="77777777" w:rsidR="00811887" w:rsidRDefault="00811887" w:rsidP="00486E22">
            <w:pPr>
              <w:pStyle w:val="TableParagraph"/>
              <w:ind w:left="7" w:right="1"/>
              <w:jc w:val="center"/>
              <w:rPr>
                <w:sz w:val="20"/>
              </w:rPr>
            </w:pPr>
            <w:r>
              <w:rPr>
                <w:spacing w:val="-4"/>
                <w:sz w:val="20"/>
              </w:rPr>
              <w:t>54.2</w:t>
            </w:r>
          </w:p>
        </w:tc>
        <w:tc>
          <w:tcPr>
            <w:tcW w:w="1756" w:type="dxa"/>
          </w:tcPr>
          <w:p w14:paraId="25E86B31" w14:textId="77777777" w:rsidR="00811887" w:rsidRDefault="00811887" w:rsidP="00486E22">
            <w:pPr>
              <w:pStyle w:val="TableParagraph"/>
              <w:ind w:left="4"/>
              <w:jc w:val="center"/>
              <w:rPr>
                <w:sz w:val="20"/>
              </w:rPr>
            </w:pPr>
            <w:r>
              <w:rPr>
                <w:spacing w:val="-4"/>
                <w:sz w:val="20"/>
              </w:rPr>
              <w:t>54.2</w:t>
            </w:r>
          </w:p>
        </w:tc>
      </w:tr>
      <w:tr w:rsidR="00811887" w14:paraId="08B032A9" w14:textId="77777777" w:rsidTr="00486E22">
        <w:trPr>
          <w:trHeight w:val="485"/>
        </w:trPr>
        <w:tc>
          <w:tcPr>
            <w:tcW w:w="1266" w:type="dxa"/>
            <w:shd w:val="clear" w:color="auto" w:fill="234060"/>
          </w:tcPr>
          <w:p w14:paraId="1C65217B" w14:textId="77777777" w:rsidR="00811887" w:rsidRDefault="00811887" w:rsidP="00486E22">
            <w:pPr>
              <w:pStyle w:val="TableParagraph"/>
              <w:spacing w:line="239" w:lineRule="exact"/>
              <w:ind w:left="110"/>
              <w:rPr>
                <w:b/>
                <w:sz w:val="20"/>
              </w:rPr>
            </w:pPr>
            <w:r>
              <w:rPr>
                <w:b/>
                <w:color w:val="FFFFFF"/>
                <w:spacing w:val="-2"/>
                <w:sz w:val="20"/>
              </w:rPr>
              <w:t>Current/</w:t>
            </w:r>
          </w:p>
          <w:p w14:paraId="6EC23B08" w14:textId="77777777" w:rsidR="00811887" w:rsidRDefault="00811887" w:rsidP="00486E22">
            <w:pPr>
              <w:pStyle w:val="TableParagraph"/>
              <w:spacing w:before="1" w:line="225" w:lineRule="exact"/>
              <w:ind w:left="110"/>
              <w:rPr>
                <w:b/>
                <w:sz w:val="20"/>
              </w:rPr>
            </w:pPr>
            <w:r>
              <w:rPr>
                <w:b/>
                <w:color w:val="FFFFFF"/>
                <w:spacing w:val="-2"/>
                <w:sz w:val="20"/>
              </w:rPr>
              <w:t>Latest</w:t>
            </w:r>
          </w:p>
        </w:tc>
        <w:tc>
          <w:tcPr>
            <w:tcW w:w="1586" w:type="dxa"/>
          </w:tcPr>
          <w:p w14:paraId="2C5F8975" w14:textId="77777777" w:rsidR="00811887" w:rsidRDefault="00811887" w:rsidP="00486E22">
            <w:pPr>
              <w:pStyle w:val="TableParagraph"/>
              <w:spacing w:line="239" w:lineRule="exact"/>
              <w:ind w:left="274"/>
              <w:rPr>
                <w:sz w:val="20"/>
              </w:rPr>
            </w:pPr>
            <w:r>
              <w:rPr>
                <w:sz w:val="20"/>
              </w:rPr>
              <w:t>609.80</w:t>
            </w:r>
            <w:r>
              <w:rPr>
                <w:spacing w:val="-5"/>
                <w:sz w:val="20"/>
              </w:rPr>
              <w:t xml:space="preserve"> </w:t>
            </w:r>
            <w:r>
              <w:rPr>
                <w:sz w:val="20"/>
              </w:rPr>
              <w:t>(as</w:t>
            </w:r>
            <w:r>
              <w:rPr>
                <w:spacing w:val="-3"/>
                <w:sz w:val="20"/>
              </w:rPr>
              <w:t xml:space="preserve"> </w:t>
            </w:r>
            <w:r>
              <w:rPr>
                <w:spacing w:val="-5"/>
                <w:sz w:val="20"/>
              </w:rPr>
              <w:t>at</w:t>
            </w:r>
          </w:p>
          <w:p w14:paraId="6829288A" w14:textId="77777777" w:rsidR="00811887" w:rsidRDefault="00811887" w:rsidP="00486E22">
            <w:pPr>
              <w:pStyle w:val="TableParagraph"/>
              <w:spacing w:before="1" w:line="225" w:lineRule="exact"/>
              <w:ind w:left="329"/>
              <w:rPr>
                <w:sz w:val="20"/>
              </w:rPr>
            </w:pPr>
            <w:r>
              <w:rPr>
                <w:spacing w:val="-2"/>
                <w:sz w:val="20"/>
              </w:rPr>
              <w:t>1/12/2023)</w:t>
            </w:r>
          </w:p>
        </w:tc>
        <w:tc>
          <w:tcPr>
            <w:tcW w:w="1586" w:type="dxa"/>
          </w:tcPr>
          <w:p w14:paraId="0E052A93" w14:textId="77777777" w:rsidR="00811887" w:rsidRDefault="00811887" w:rsidP="00486E22">
            <w:pPr>
              <w:pStyle w:val="TableParagraph"/>
              <w:spacing w:line="239" w:lineRule="exact"/>
              <w:ind w:left="374"/>
              <w:rPr>
                <w:sz w:val="20"/>
              </w:rPr>
            </w:pPr>
            <w:r>
              <w:rPr>
                <w:sz w:val="20"/>
              </w:rPr>
              <w:t>49.0</w:t>
            </w:r>
            <w:r>
              <w:rPr>
                <w:spacing w:val="-5"/>
                <w:sz w:val="20"/>
              </w:rPr>
              <w:t xml:space="preserve"> </w:t>
            </w:r>
            <w:r>
              <w:rPr>
                <w:sz w:val="20"/>
              </w:rPr>
              <w:t>(as</w:t>
            </w:r>
            <w:r>
              <w:rPr>
                <w:spacing w:val="-2"/>
                <w:sz w:val="20"/>
              </w:rPr>
              <w:t xml:space="preserve"> </w:t>
            </w:r>
            <w:r>
              <w:rPr>
                <w:spacing w:val="-5"/>
                <w:sz w:val="20"/>
              </w:rPr>
              <w:t>at</w:t>
            </w:r>
          </w:p>
          <w:p w14:paraId="773F0737" w14:textId="77777777" w:rsidR="00811887" w:rsidRDefault="00811887" w:rsidP="00486E22">
            <w:pPr>
              <w:pStyle w:val="TableParagraph"/>
              <w:spacing w:before="1" w:line="225" w:lineRule="exact"/>
              <w:ind w:left="379"/>
              <w:rPr>
                <w:sz w:val="20"/>
              </w:rPr>
            </w:pPr>
            <w:r>
              <w:rPr>
                <w:spacing w:val="-2"/>
                <w:sz w:val="20"/>
              </w:rPr>
              <w:t>1/6/2020)</w:t>
            </w:r>
          </w:p>
        </w:tc>
        <w:tc>
          <w:tcPr>
            <w:tcW w:w="1905" w:type="dxa"/>
          </w:tcPr>
          <w:p w14:paraId="4804C390" w14:textId="77777777" w:rsidR="00811887" w:rsidRDefault="00811887" w:rsidP="00486E22">
            <w:pPr>
              <w:pStyle w:val="TableParagraph"/>
              <w:spacing w:line="239" w:lineRule="exact"/>
              <w:ind w:left="529"/>
              <w:rPr>
                <w:sz w:val="20"/>
              </w:rPr>
            </w:pPr>
            <w:r>
              <w:rPr>
                <w:sz w:val="20"/>
              </w:rPr>
              <w:t>46.6</w:t>
            </w:r>
            <w:r>
              <w:rPr>
                <w:spacing w:val="-5"/>
                <w:sz w:val="20"/>
              </w:rPr>
              <w:t xml:space="preserve"> </w:t>
            </w:r>
            <w:r>
              <w:rPr>
                <w:sz w:val="20"/>
              </w:rPr>
              <w:t>(as</w:t>
            </w:r>
            <w:r>
              <w:rPr>
                <w:spacing w:val="-2"/>
                <w:sz w:val="20"/>
              </w:rPr>
              <w:t xml:space="preserve"> </w:t>
            </w:r>
            <w:r>
              <w:rPr>
                <w:spacing w:val="-5"/>
                <w:sz w:val="20"/>
              </w:rPr>
              <w:t>at</w:t>
            </w:r>
          </w:p>
          <w:p w14:paraId="79CF4B71" w14:textId="77777777" w:rsidR="00811887" w:rsidRDefault="00811887" w:rsidP="00486E22">
            <w:pPr>
              <w:pStyle w:val="TableParagraph"/>
              <w:spacing w:before="1" w:line="225" w:lineRule="exact"/>
              <w:ind w:left="489"/>
              <w:rPr>
                <w:sz w:val="20"/>
              </w:rPr>
            </w:pPr>
            <w:r>
              <w:rPr>
                <w:spacing w:val="-2"/>
                <w:sz w:val="20"/>
              </w:rPr>
              <w:t>1/12/2021)</w:t>
            </w:r>
          </w:p>
        </w:tc>
        <w:tc>
          <w:tcPr>
            <w:tcW w:w="1986" w:type="dxa"/>
          </w:tcPr>
          <w:p w14:paraId="208E2FFB" w14:textId="77777777" w:rsidR="00811887" w:rsidRDefault="00811887" w:rsidP="00486E22">
            <w:pPr>
              <w:pStyle w:val="TableParagraph"/>
              <w:spacing w:line="239" w:lineRule="exact"/>
              <w:ind w:left="574"/>
              <w:rPr>
                <w:sz w:val="20"/>
              </w:rPr>
            </w:pPr>
            <w:r>
              <w:rPr>
                <w:sz w:val="20"/>
              </w:rPr>
              <w:t>55.2</w:t>
            </w:r>
            <w:r>
              <w:rPr>
                <w:spacing w:val="-6"/>
                <w:sz w:val="20"/>
              </w:rPr>
              <w:t xml:space="preserve"> </w:t>
            </w:r>
            <w:r>
              <w:rPr>
                <w:sz w:val="20"/>
              </w:rPr>
              <w:t>(as</w:t>
            </w:r>
            <w:r>
              <w:rPr>
                <w:spacing w:val="-2"/>
                <w:sz w:val="20"/>
              </w:rPr>
              <w:t xml:space="preserve"> </w:t>
            </w:r>
            <w:r>
              <w:rPr>
                <w:spacing w:val="-5"/>
                <w:sz w:val="20"/>
              </w:rPr>
              <w:t>at</w:t>
            </w:r>
          </w:p>
          <w:p w14:paraId="09D36277" w14:textId="77777777" w:rsidR="00811887" w:rsidRDefault="00811887" w:rsidP="00486E22">
            <w:pPr>
              <w:pStyle w:val="TableParagraph"/>
              <w:spacing w:before="1" w:line="225" w:lineRule="exact"/>
              <w:ind w:left="529"/>
              <w:rPr>
                <w:sz w:val="20"/>
              </w:rPr>
            </w:pPr>
            <w:r>
              <w:rPr>
                <w:spacing w:val="-2"/>
                <w:sz w:val="20"/>
              </w:rPr>
              <w:t>1/12/2023)</w:t>
            </w:r>
          </w:p>
        </w:tc>
        <w:tc>
          <w:tcPr>
            <w:tcW w:w="1756" w:type="dxa"/>
          </w:tcPr>
          <w:p w14:paraId="0D751E24" w14:textId="77777777" w:rsidR="00811887" w:rsidRDefault="00811887" w:rsidP="00486E22">
            <w:pPr>
              <w:pStyle w:val="TableParagraph"/>
              <w:spacing w:line="239" w:lineRule="exact"/>
              <w:ind w:left="459"/>
              <w:rPr>
                <w:sz w:val="20"/>
              </w:rPr>
            </w:pPr>
            <w:r>
              <w:rPr>
                <w:sz w:val="20"/>
              </w:rPr>
              <w:t>58.8</w:t>
            </w:r>
            <w:r>
              <w:rPr>
                <w:spacing w:val="-5"/>
                <w:sz w:val="20"/>
              </w:rPr>
              <w:t xml:space="preserve"> </w:t>
            </w:r>
            <w:r>
              <w:rPr>
                <w:sz w:val="20"/>
              </w:rPr>
              <w:t>(as</w:t>
            </w:r>
            <w:r>
              <w:rPr>
                <w:spacing w:val="-2"/>
                <w:sz w:val="20"/>
              </w:rPr>
              <w:t xml:space="preserve"> </w:t>
            </w:r>
            <w:r>
              <w:rPr>
                <w:spacing w:val="-5"/>
                <w:sz w:val="20"/>
              </w:rPr>
              <w:t>at</w:t>
            </w:r>
          </w:p>
          <w:p w14:paraId="6111F350" w14:textId="77777777" w:rsidR="00811887" w:rsidRDefault="00811887" w:rsidP="00486E22">
            <w:pPr>
              <w:pStyle w:val="TableParagraph"/>
              <w:spacing w:before="1" w:line="225" w:lineRule="exact"/>
              <w:ind w:left="464"/>
              <w:rPr>
                <w:sz w:val="20"/>
              </w:rPr>
            </w:pPr>
            <w:r>
              <w:rPr>
                <w:spacing w:val="-2"/>
                <w:sz w:val="20"/>
              </w:rPr>
              <w:t>1/9/2023)</w:t>
            </w:r>
          </w:p>
        </w:tc>
      </w:tr>
    </w:tbl>
    <w:p w14:paraId="6A9434C4" w14:textId="77777777" w:rsidR="00811887" w:rsidRDefault="00811887" w:rsidP="00811887">
      <w:pPr>
        <w:spacing w:before="198"/>
        <w:ind w:left="165"/>
        <w:rPr>
          <w:i/>
          <w:sz w:val="20"/>
        </w:rPr>
      </w:pPr>
      <w:r>
        <w:rPr>
          <w:i/>
          <w:sz w:val="20"/>
        </w:rPr>
        <w:t>Figures</w:t>
      </w:r>
      <w:r>
        <w:rPr>
          <w:i/>
          <w:spacing w:val="-4"/>
          <w:sz w:val="20"/>
        </w:rPr>
        <w:t xml:space="preserve"> </w:t>
      </w:r>
      <w:r>
        <w:rPr>
          <w:i/>
          <w:sz w:val="20"/>
        </w:rPr>
        <w:t>as</w:t>
      </w:r>
      <w:r>
        <w:rPr>
          <w:i/>
          <w:spacing w:val="-1"/>
          <w:sz w:val="20"/>
        </w:rPr>
        <w:t xml:space="preserve"> </w:t>
      </w:r>
      <w:r>
        <w:rPr>
          <w:i/>
          <w:sz w:val="20"/>
        </w:rPr>
        <w:t>at</w:t>
      </w:r>
      <w:r>
        <w:rPr>
          <w:i/>
          <w:spacing w:val="-3"/>
          <w:sz w:val="20"/>
        </w:rPr>
        <w:t xml:space="preserve"> </w:t>
      </w:r>
      <w:r>
        <w:rPr>
          <w:i/>
          <w:sz w:val="20"/>
        </w:rPr>
        <w:t>December</w:t>
      </w:r>
      <w:r>
        <w:rPr>
          <w:i/>
          <w:spacing w:val="-1"/>
          <w:sz w:val="20"/>
        </w:rPr>
        <w:t xml:space="preserve"> </w:t>
      </w:r>
      <w:r>
        <w:rPr>
          <w:i/>
          <w:sz w:val="20"/>
        </w:rPr>
        <w:t>2023</w:t>
      </w:r>
      <w:r>
        <w:rPr>
          <w:i/>
          <w:spacing w:val="-5"/>
          <w:sz w:val="20"/>
        </w:rPr>
        <w:t xml:space="preserve"> </w:t>
      </w:r>
      <w:r>
        <w:rPr>
          <w:i/>
          <w:sz w:val="20"/>
        </w:rPr>
        <w:t>prices,</w:t>
      </w:r>
      <w:r>
        <w:rPr>
          <w:i/>
          <w:spacing w:val="-8"/>
          <w:sz w:val="20"/>
        </w:rPr>
        <w:t xml:space="preserve"> </w:t>
      </w:r>
      <w:r>
        <w:rPr>
          <w:i/>
          <w:sz w:val="20"/>
        </w:rPr>
        <w:t>rounded</w:t>
      </w:r>
      <w:r>
        <w:rPr>
          <w:i/>
          <w:spacing w:val="-1"/>
          <w:sz w:val="20"/>
        </w:rPr>
        <w:t xml:space="preserve"> </w:t>
      </w:r>
      <w:r>
        <w:rPr>
          <w:i/>
          <w:sz w:val="20"/>
        </w:rPr>
        <w:t>to the</w:t>
      </w:r>
      <w:r>
        <w:rPr>
          <w:i/>
          <w:spacing w:val="-3"/>
          <w:sz w:val="20"/>
        </w:rPr>
        <w:t xml:space="preserve"> </w:t>
      </w:r>
      <w:r>
        <w:rPr>
          <w:i/>
          <w:sz w:val="20"/>
        </w:rPr>
        <w:t>nearest</w:t>
      </w:r>
      <w:r>
        <w:rPr>
          <w:i/>
          <w:spacing w:val="-4"/>
          <w:sz w:val="20"/>
        </w:rPr>
        <w:t xml:space="preserve"> </w:t>
      </w:r>
      <w:r>
        <w:rPr>
          <w:i/>
          <w:sz w:val="20"/>
        </w:rPr>
        <w:t>10</w:t>
      </w:r>
      <w:r>
        <w:rPr>
          <w:i/>
          <w:spacing w:val="-4"/>
          <w:sz w:val="20"/>
        </w:rPr>
        <w:t xml:space="preserve"> </w:t>
      </w:r>
      <w:r>
        <w:rPr>
          <w:i/>
          <w:spacing w:val="-2"/>
          <w:sz w:val="20"/>
        </w:rPr>
        <w:t>cents.</w:t>
      </w:r>
    </w:p>
    <w:p w14:paraId="52B925F5" w14:textId="77777777" w:rsidR="00811887" w:rsidRDefault="00811887" w:rsidP="00811887">
      <w:pPr>
        <w:rPr>
          <w:sz w:val="20"/>
        </w:rPr>
      </w:pPr>
    </w:p>
    <w:p w14:paraId="23F21148" w14:textId="77777777" w:rsidR="00811887" w:rsidRDefault="00811887" w:rsidP="00811887">
      <w:pPr>
        <w:rPr>
          <w:sz w:val="20"/>
        </w:rPr>
      </w:pPr>
    </w:p>
    <w:p w14:paraId="188DB281" w14:textId="77777777" w:rsidR="00811887" w:rsidRPr="00BA4793" w:rsidRDefault="00811887" w:rsidP="00811887">
      <w:pPr>
        <w:rPr>
          <w:sz w:val="20"/>
        </w:rPr>
        <w:sectPr w:rsidR="00811887" w:rsidRPr="00BA4793" w:rsidSect="00811887">
          <w:pgSz w:w="11910" w:h="16840"/>
          <w:pgMar w:top="880" w:right="721" w:bottom="1200" w:left="740" w:header="0" w:footer="1005" w:gutter="0"/>
          <w:cols w:space="720"/>
        </w:sectPr>
      </w:pPr>
    </w:p>
    <w:p w14:paraId="0F05ACF3" w14:textId="77777777" w:rsidR="00811887" w:rsidRDefault="00811887" w:rsidP="00811887">
      <w:pPr>
        <w:spacing w:before="79"/>
        <w:ind w:left="165"/>
        <w:rPr>
          <w:b/>
          <w:spacing w:val="-2"/>
        </w:rPr>
      </w:pPr>
      <w:r>
        <w:rPr>
          <w:b/>
        </w:rPr>
        <w:lastRenderedPageBreak/>
        <w:t>Chart</w:t>
      </w:r>
      <w:r>
        <w:rPr>
          <w:b/>
          <w:spacing w:val="-3"/>
        </w:rPr>
        <w:t xml:space="preserve"> </w:t>
      </w:r>
      <w:r>
        <w:rPr>
          <w:b/>
        </w:rPr>
        <w:t>4.</w:t>
      </w:r>
      <w:r>
        <w:rPr>
          <w:b/>
          <w:spacing w:val="-2"/>
        </w:rPr>
        <w:t xml:space="preserve"> </w:t>
      </w:r>
      <w:r>
        <w:rPr>
          <w:b/>
        </w:rPr>
        <w:t>Age Pension</w:t>
      </w:r>
      <w:r>
        <w:rPr>
          <w:b/>
          <w:spacing w:val="-5"/>
        </w:rPr>
        <w:t xml:space="preserve"> </w:t>
      </w:r>
      <w:r>
        <w:rPr>
          <w:b/>
        </w:rPr>
        <w:t>as</w:t>
      </w:r>
      <w:r>
        <w:rPr>
          <w:b/>
          <w:spacing w:val="-5"/>
        </w:rPr>
        <w:t xml:space="preserve"> </w:t>
      </w:r>
      <w:r>
        <w:rPr>
          <w:b/>
        </w:rPr>
        <w:t>a percentage</w:t>
      </w:r>
      <w:r>
        <w:rPr>
          <w:b/>
          <w:spacing w:val="-1"/>
        </w:rPr>
        <w:t xml:space="preserve"> </w:t>
      </w:r>
      <w:r>
        <w:rPr>
          <w:b/>
        </w:rPr>
        <w:t>of poverty</w:t>
      </w:r>
      <w:r>
        <w:rPr>
          <w:b/>
          <w:spacing w:val="-10"/>
        </w:rPr>
        <w:t xml:space="preserve"> </w:t>
      </w:r>
      <w:r>
        <w:rPr>
          <w:b/>
          <w:spacing w:val="-2"/>
        </w:rPr>
        <w:t>measures</w:t>
      </w:r>
    </w:p>
    <w:p w14:paraId="67C88E96" w14:textId="77777777" w:rsidR="00811887" w:rsidRPr="00BA4793" w:rsidRDefault="00811887" w:rsidP="00811887">
      <w:pPr>
        <w:spacing w:before="79"/>
        <w:ind w:left="165"/>
        <w:rPr>
          <w:b/>
        </w:rPr>
      </w:pPr>
      <w:r>
        <w:rPr>
          <w:i/>
          <w:sz w:val="20"/>
        </w:rPr>
        <w:t>Ex</w:t>
      </w:r>
      <w:r w:rsidRPr="006D43ED">
        <w:rPr>
          <w:i/>
          <w:sz w:val="20"/>
        </w:rPr>
        <w:t>cluding Commonwealth Rent Assistance</w:t>
      </w:r>
      <w:r>
        <w:rPr>
          <w:i/>
          <w:sz w:val="20"/>
        </w:rPr>
        <w:t>, Including Housing Costs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1586"/>
        <w:gridCol w:w="1586"/>
        <w:gridCol w:w="1900"/>
        <w:gridCol w:w="1986"/>
        <w:gridCol w:w="1761"/>
      </w:tblGrid>
      <w:tr w:rsidR="00811887" w14:paraId="208E2F56" w14:textId="77777777" w:rsidTr="00486E22">
        <w:trPr>
          <w:trHeight w:val="855"/>
        </w:trPr>
        <w:tc>
          <w:tcPr>
            <w:tcW w:w="1266" w:type="dxa"/>
            <w:shd w:val="clear" w:color="auto" w:fill="234060"/>
          </w:tcPr>
          <w:p w14:paraId="1413060F" w14:textId="77777777" w:rsidR="00811887" w:rsidRDefault="00811887" w:rsidP="00486E22">
            <w:pPr>
              <w:pStyle w:val="TableParagraph"/>
              <w:ind w:left="110"/>
              <w:rPr>
                <w:b/>
                <w:sz w:val="20"/>
              </w:rPr>
            </w:pPr>
            <w:r>
              <w:rPr>
                <w:b/>
                <w:color w:val="FFFFFF"/>
                <w:spacing w:val="-4"/>
                <w:sz w:val="20"/>
              </w:rPr>
              <w:t>Date</w:t>
            </w:r>
          </w:p>
        </w:tc>
        <w:tc>
          <w:tcPr>
            <w:tcW w:w="1586" w:type="dxa"/>
            <w:shd w:val="clear" w:color="auto" w:fill="234060"/>
          </w:tcPr>
          <w:p w14:paraId="38DC20B3" w14:textId="77777777" w:rsidR="00811887" w:rsidRDefault="00811887" w:rsidP="00486E22">
            <w:pPr>
              <w:pStyle w:val="TableParagraph"/>
              <w:spacing w:before="3" w:line="235" w:lineRule="auto"/>
              <w:ind w:left="124" w:right="44" w:firstLine="65"/>
              <w:rPr>
                <w:b/>
                <w:sz w:val="20"/>
              </w:rPr>
            </w:pPr>
            <w:r>
              <w:rPr>
                <w:b/>
                <w:color w:val="FFFFFF"/>
                <w:sz w:val="20"/>
              </w:rPr>
              <w:t>Pension Single ($</w:t>
            </w:r>
            <w:r>
              <w:rPr>
                <w:b/>
                <w:color w:val="FFFFFF"/>
                <w:spacing w:val="-1"/>
                <w:sz w:val="20"/>
              </w:rPr>
              <w:t xml:space="preserve"> </w:t>
            </w:r>
            <w:r>
              <w:rPr>
                <w:b/>
                <w:color w:val="FFFFFF"/>
                <w:sz w:val="20"/>
              </w:rPr>
              <w:t>per</w:t>
            </w:r>
            <w:r>
              <w:rPr>
                <w:b/>
                <w:color w:val="FFFFFF"/>
                <w:spacing w:val="1"/>
                <w:sz w:val="20"/>
              </w:rPr>
              <w:t xml:space="preserve"> </w:t>
            </w:r>
            <w:r>
              <w:rPr>
                <w:b/>
                <w:color w:val="FFFFFF"/>
                <w:spacing w:val="-2"/>
                <w:sz w:val="20"/>
              </w:rPr>
              <w:t>fortnight)</w:t>
            </w:r>
          </w:p>
        </w:tc>
        <w:tc>
          <w:tcPr>
            <w:tcW w:w="1586" w:type="dxa"/>
            <w:shd w:val="clear" w:color="auto" w:fill="234060"/>
          </w:tcPr>
          <w:p w14:paraId="6FDF5628" w14:textId="77777777" w:rsidR="00811887" w:rsidRDefault="00811887" w:rsidP="00486E22">
            <w:pPr>
              <w:pStyle w:val="TableParagraph"/>
              <w:spacing w:before="3" w:line="235" w:lineRule="auto"/>
              <w:ind w:left="209" w:firstLine="20"/>
              <w:rPr>
                <w:b/>
                <w:sz w:val="20"/>
              </w:rPr>
            </w:pPr>
            <w:r>
              <w:rPr>
                <w:b/>
                <w:color w:val="FFFFFF"/>
                <w:sz w:val="20"/>
              </w:rPr>
              <w:t>Proportion</w:t>
            </w:r>
            <w:r>
              <w:rPr>
                <w:b/>
                <w:color w:val="FFFFFF"/>
                <w:spacing w:val="-12"/>
                <w:sz w:val="20"/>
              </w:rPr>
              <w:t xml:space="preserve"> </w:t>
            </w:r>
            <w:r>
              <w:rPr>
                <w:b/>
                <w:color w:val="FFFFFF"/>
                <w:sz w:val="20"/>
              </w:rPr>
              <w:t>of ABS</w:t>
            </w:r>
            <w:r>
              <w:rPr>
                <w:b/>
                <w:color w:val="FFFFFF"/>
                <w:spacing w:val="-7"/>
                <w:sz w:val="20"/>
              </w:rPr>
              <w:t xml:space="preserve"> </w:t>
            </w:r>
            <w:r>
              <w:rPr>
                <w:b/>
                <w:color w:val="FFFFFF"/>
                <w:sz w:val="20"/>
              </w:rPr>
              <w:t>50%</w:t>
            </w:r>
            <w:r>
              <w:rPr>
                <w:b/>
                <w:color w:val="FFFFFF"/>
                <w:spacing w:val="-6"/>
                <w:sz w:val="20"/>
              </w:rPr>
              <w:t xml:space="preserve"> </w:t>
            </w:r>
            <w:r>
              <w:rPr>
                <w:b/>
                <w:color w:val="FFFFFF"/>
                <w:spacing w:val="-4"/>
                <w:sz w:val="20"/>
              </w:rPr>
              <w:t>EDHI</w:t>
            </w:r>
          </w:p>
          <w:p w14:paraId="65F92248" w14:textId="77777777" w:rsidR="00811887" w:rsidRDefault="00811887" w:rsidP="00486E22">
            <w:pPr>
              <w:pStyle w:val="TableParagraph"/>
              <w:spacing w:before="3" w:line="240" w:lineRule="auto"/>
              <w:ind w:left="274"/>
              <w:rPr>
                <w:b/>
                <w:sz w:val="20"/>
              </w:rPr>
            </w:pPr>
            <w:r>
              <w:rPr>
                <w:b/>
                <w:color w:val="FFFFFF"/>
                <w:sz w:val="20"/>
              </w:rPr>
              <w:t>measure</w:t>
            </w:r>
            <w:r>
              <w:rPr>
                <w:b/>
                <w:color w:val="FFFFFF"/>
                <w:spacing w:val="1"/>
                <w:sz w:val="20"/>
              </w:rPr>
              <w:t xml:space="preserve"> </w:t>
            </w:r>
            <w:r>
              <w:rPr>
                <w:b/>
                <w:color w:val="FFFFFF"/>
                <w:spacing w:val="-5"/>
                <w:sz w:val="20"/>
              </w:rPr>
              <w:t>(%)</w:t>
            </w:r>
          </w:p>
        </w:tc>
        <w:tc>
          <w:tcPr>
            <w:tcW w:w="1900" w:type="dxa"/>
            <w:shd w:val="clear" w:color="auto" w:fill="234060"/>
          </w:tcPr>
          <w:p w14:paraId="21A517C6" w14:textId="77777777" w:rsidR="00811887" w:rsidRDefault="00811887" w:rsidP="00486E22">
            <w:pPr>
              <w:pStyle w:val="TableParagraph"/>
              <w:spacing w:before="1" w:line="237" w:lineRule="auto"/>
              <w:ind w:left="59" w:right="49"/>
              <w:jc w:val="center"/>
              <w:rPr>
                <w:b/>
                <w:sz w:val="20"/>
              </w:rPr>
            </w:pPr>
            <w:r>
              <w:rPr>
                <w:b/>
                <w:color w:val="FFFFFF"/>
                <w:sz w:val="20"/>
              </w:rPr>
              <w:t>Proportion</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 xml:space="preserve">HILDA 50% EDHI measure </w:t>
            </w:r>
            <w:r>
              <w:rPr>
                <w:b/>
                <w:color w:val="FFFFFF"/>
                <w:spacing w:val="-4"/>
                <w:sz w:val="20"/>
              </w:rPr>
              <w:t>(%)</w:t>
            </w:r>
          </w:p>
        </w:tc>
        <w:tc>
          <w:tcPr>
            <w:tcW w:w="1986" w:type="dxa"/>
            <w:shd w:val="clear" w:color="auto" w:fill="234060"/>
          </w:tcPr>
          <w:p w14:paraId="558DC4D2" w14:textId="77777777" w:rsidR="00811887" w:rsidRDefault="00811887" w:rsidP="00486E22">
            <w:pPr>
              <w:pStyle w:val="TableParagraph"/>
              <w:spacing w:before="3" w:line="235" w:lineRule="auto"/>
              <w:ind w:left="415" w:hanging="306"/>
              <w:rPr>
                <w:b/>
                <w:sz w:val="20"/>
              </w:rPr>
            </w:pPr>
            <w:r>
              <w:rPr>
                <w:b/>
                <w:color w:val="FFFFFF"/>
                <w:sz w:val="20"/>
              </w:rPr>
              <w:t>Proportion</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Budget Standards</w:t>
            </w:r>
            <w:r>
              <w:rPr>
                <w:b/>
                <w:color w:val="FFFFFF"/>
                <w:spacing w:val="-5"/>
                <w:sz w:val="20"/>
              </w:rPr>
              <w:t xml:space="preserve"> </w:t>
            </w:r>
            <w:r>
              <w:rPr>
                <w:b/>
                <w:color w:val="FFFFFF"/>
                <w:sz w:val="20"/>
              </w:rPr>
              <w:t>(%)</w:t>
            </w:r>
          </w:p>
        </w:tc>
        <w:tc>
          <w:tcPr>
            <w:tcW w:w="1761" w:type="dxa"/>
            <w:shd w:val="clear" w:color="auto" w:fill="234060"/>
          </w:tcPr>
          <w:p w14:paraId="3AC4877A" w14:textId="77777777" w:rsidR="00811887" w:rsidRDefault="00811887" w:rsidP="00486E22">
            <w:pPr>
              <w:pStyle w:val="TableParagraph"/>
              <w:spacing w:before="1" w:line="237" w:lineRule="auto"/>
              <w:ind w:left="209" w:right="193" w:hanging="5"/>
              <w:jc w:val="center"/>
              <w:rPr>
                <w:b/>
                <w:sz w:val="20"/>
              </w:rPr>
            </w:pPr>
            <w:r>
              <w:rPr>
                <w:b/>
                <w:color w:val="FFFFFF"/>
                <w:sz w:val="20"/>
              </w:rPr>
              <w:t>Proportion</w:t>
            </w:r>
            <w:r>
              <w:rPr>
                <w:b/>
                <w:color w:val="FFFFFF"/>
                <w:spacing w:val="-1"/>
                <w:sz w:val="20"/>
              </w:rPr>
              <w:t xml:space="preserve"> </w:t>
            </w:r>
            <w:r>
              <w:rPr>
                <w:b/>
                <w:color w:val="FFFFFF"/>
                <w:sz w:val="20"/>
              </w:rPr>
              <w:t xml:space="preserve">of </w:t>
            </w:r>
            <w:r>
              <w:rPr>
                <w:b/>
                <w:color w:val="FFFFFF"/>
                <w:spacing w:val="-2"/>
                <w:sz w:val="20"/>
              </w:rPr>
              <w:t xml:space="preserve">Henderson </w:t>
            </w:r>
            <w:r>
              <w:rPr>
                <w:b/>
                <w:color w:val="FFFFFF"/>
                <w:sz w:val="20"/>
              </w:rPr>
              <w:t>Poverty</w:t>
            </w:r>
            <w:r>
              <w:rPr>
                <w:b/>
                <w:color w:val="FFFFFF"/>
                <w:spacing w:val="-12"/>
                <w:sz w:val="20"/>
              </w:rPr>
              <w:t xml:space="preserve"> </w:t>
            </w:r>
            <w:r>
              <w:rPr>
                <w:b/>
                <w:color w:val="FFFFFF"/>
                <w:sz w:val="20"/>
              </w:rPr>
              <w:t>Line</w:t>
            </w:r>
            <w:r>
              <w:rPr>
                <w:b/>
                <w:color w:val="FFFFFF"/>
                <w:spacing w:val="-11"/>
                <w:sz w:val="20"/>
              </w:rPr>
              <w:t xml:space="preserve"> </w:t>
            </w:r>
            <w:r>
              <w:rPr>
                <w:b/>
                <w:color w:val="FFFFFF"/>
                <w:sz w:val="20"/>
              </w:rPr>
              <w:t>(%)</w:t>
            </w:r>
          </w:p>
        </w:tc>
      </w:tr>
      <w:tr w:rsidR="00811887" w14:paraId="0BD01F8B" w14:textId="77777777" w:rsidTr="00486E22">
        <w:trPr>
          <w:trHeight w:val="315"/>
        </w:trPr>
        <w:tc>
          <w:tcPr>
            <w:tcW w:w="1266" w:type="dxa"/>
            <w:shd w:val="clear" w:color="auto" w:fill="234060"/>
          </w:tcPr>
          <w:p w14:paraId="09BAABD2" w14:textId="77777777" w:rsidR="00811887" w:rsidRDefault="00811887" w:rsidP="00486E22">
            <w:pPr>
              <w:pStyle w:val="TableParagraph"/>
              <w:ind w:left="110"/>
              <w:rPr>
                <w:b/>
                <w:sz w:val="20"/>
              </w:rPr>
            </w:pPr>
            <w:r>
              <w:rPr>
                <w:b/>
                <w:color w:val="FFFFFF"/>
                <w:spacing w:val="-2"/>
                <w:sz w:val="20"/>
              </w:rPr>
              <w:t>1/01/2000</w:t>
            </w:r>
          </w:p>
        </w:tc>
        <w:tc>
          <w:tcPr>
            <w:tcW w:w="1586" w:type="dxa"/>
          </w:tcPr>
          <w:p w14:paraId="595E45E5" w14:textId="77777777" w:rsidR="00811887" w:rsidRDefault="00811887" w:rsidP="00486E22">
            <w:pPr>
              <w:pStyle w:val="TableParagraph"/>
              <w:spacing w:before="34" w:line="240" w:lineRule="auto"/>
              <w:ind w:left="15" w:right="11"/>
              <w:jc w:val="center"/>
              <w:rPr>
                <w:sz w:val="20"/>
              </w:rPr>
            </w:pPr>
            <w:r>
              <w:rPr>
                <w:spacing w:val="-2"/>
                <w:sz w:val="20"/>
              </w:rPr>
              <w:t>726.20</w:t>
            </w:r>
          </w:p>
        </w:tc>
        <w:tc>
          <w:tcPr>
            <w:tcW w:w="1586" w:type="dxa"/>
          </w:tcPr>
          <w:p w14:paraId="10AC3B49" w14:textId="77777777" w:rsidR="00811887" w:rsidRDefault="00811887" w:rsidP="00486E22">
            <w:pPr>
              <w:pStyle w:val="TableParagraph"/>
              <w:ind w:left="15" w:right="11"/>
              <w:jc w:val="center"/>
              <w:rPr>
                <w:sz w:val="20"/>
              </w:rPr>
            </w:pPr>
            <w:r>
              <w:rPr>
                <w:spacing w:val="-4"/>
                <w:sz w:val="20"/>
              </w:rPr>
              <w:t>98.1</w:t>
            </w:r>
          </w:p>
        </w:tc>
        <w:tc>
          <w:tcPr>
            <w:tcW w:w="1900" w:type="dxa"/>
          </w:tcPr>
          <w:p w14:paraId="3A6B11DF" w14:textId="77777777" w:rsidR="00811887" w:rsidRDefault="00811887" w:rsidP="00486E22">
            <w:pPr>
              <w:pStyle w:val="TableParagraph"/>
              <w:ind w:left="61" w:right="49"/>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86" w:type="dxa"/>
          </w:tcPr>
          <w:p w14:paraId="38997440"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720D85BA" w14:textId="77777777" w:rsidR="00811887" w:rsidRDefault="00811887" w:rsidP="00486E22">
            <w:pPr>
              <w:pStyle w:val="TableParagraph"/>
              <w:ind w:left="9"/>
              <w:jc w:val="center"/>
              <w:rPr>
                <w:sz w:val="20"/>
              </w:rPr>
            </w:pPr>
            <w:r>
              <w:rPr>
                <w:spacing w:val="-4"/>
                <w:sz w:val="20"/>
              </w:rPr>
              <w:t>88.3</w:t>
            </w:r>
          </w:p>
        </w:tc>
      </w:tr>
      <w:tr w:rsidR="00811887" w14:paraId="62308FBD" w14:textId="77777777" w:rsidTr="00486E22">
        <w:trPr>
          <w:trHeight w:val="485"/>
        </w:trPr>
        <w:tc>
          <w:tcPr>
            <w:tcW w:w="1266" w:type="dxa"/>
            <w:shd w:val="clear" w:color="auto" w:fill="234060"/>
          </w:tcPr>
          <w:p w14:paraId="4A56CB6C" w14:textId="77777777" w:rsidR="00811887" w:rsidRDefault="00811887" w:rsidP="00486E22">
            <w:pPr>
              <w:pStyle w:val="TableParagraph"/>
              <w:ind w:left="110"/>
              <w:rPr>
                <w:b/>
                <w:sz w:val="20"/>
              </w:rPr>
            </w:pPr>
            <w:r>
              <w:rPr>
                <w:b/>
                <w:color w:val="FFFFFF"/>
                <w:spacing w:val="-2"/>
                <w:sz w:val="20"/>
              </w:rPr>
              <w:t>1/01/2002</w:t>
            </w:r>
          </w:p>
        </w:tc>
        <w:tc>
          <w:tcPr>
            <w:tcW w:w="1586" w:type="dxa"/>
          </w:tcPr>
          <w:p w14:paraId="7EC6C359" w14:textId="77777777" w:rsidR="00811887" w:rsidRDefault="00811887" w:rsidP="00486E22">
            <w:pPr>
              <w:pStyle w:val="TableParagraph"/>
              <w:spacing w:before="49" w:line="240" w:lineRule="auto"/>
              <w:ind w:left="15" w:right="11"/>
              <w:jc w:val="center"/>
              <w:rPr>
                <w:sz w:val="20"/>
              </w:rPr>
            </w:pPr>
            <w:r>
              <w:rPr>
                <w:spacing w:val="-2"/>
                <w:sz w:val="20"/>
              </w:rPr>
              <w:t>744.50</w:t>
            </w:r>
          </w:p>
        </w:tc>
        <w:tc>
          <w:tcPr>
            <w:tcW w:w="1586" w:type="dxa"/>
          </w:tcPr>
          <w:p w14:paraId="2A413AB9" w14:textId="77777777" w:rsidR="00811887" w:rsidRDefault="00811887" w:rsidP="00486E22">
            <w:pPr>
              <w:pStyle w:val="TableParagraph"/>
              <w:spacing w:line="242" w:lineRule="exact"/>
              <w:ind w:left="444"/>
              <w:rPr>
                <w:sz w:val="20"/>
              </w:rPr>
            </w:pPr>
            <w:r>
              <w:rPr>
                <w:sz w:val="20"/>
              </w:rPr>
              <w:t>Data</w:t>
            </w:r>
            <w:r>
              <w:rPr>
                <w:spacing w:val="-5"/>
                <w:sz w:val="20"/>
              </w:rPr>
              <w:t xml:space="preserve"> not</w:t>
            </w:r>
          </w:p>
          <w:p w14:paraId="23769BC2" w14:textId="77777777" w:rsidR="00811887" w:rsidRDefault="00811887" w:rsidP="00486E22">
            <w:pPr>
              <w:pStyle w:val="TableParagraph"/>
              <w:spacing w:line="224" w:lineRule="exact"/>
              <w:ind w:left="434"/>
              <w:rPr>
                <w:sz w:val="20"/>
              </w:rPr>
            </w:pPr>
            <w:r>
              <w:rPr>
                <w:spacing w:val="-2"/>
                <w:sz w:val="20"/>
              </w:rPr>
              <w:t>available</w:t>
            </w:r>
          </w:p>
        </w:tc>
        <w:tc>
          <w:tcPr>
            <w:tcW w:w="1900" w:type="dxa"/>
          </w:tcPr>
          <w:p w14:paraId="18421F12" w14:textId="77777777" w:rsidR="00811887" w:rsidRDefault="00811887" w:rsidP="00486E22">
            <w:pPr>
              <w:pStyle w:val="TableParagraph"/>
              <w:spacing w:before="119" w:line="240" w:lineRule="auto"/>
              <w:ind w:left="59" w:right="49"/>
              <w:jc w:val="center"/>
              <w:rPr>
                <w:sz w:val="20"/>
              </w:rPr>
            </w:pPr>
            <w:r>
              <w:rPr>
                <w:spacing w:val="-4"/>
                <w:sz w:val="20"/>
              </w:rPr>
              <w:t>84.4</w:t>
            </w:r>
          </w:p>
        </w:tc>
        <w:tc>
          <w:tcPr>
            <w:tcW w:w="1986" w:type="dxa"/>
          </w:tcPr>
          <w:p w14:paraId="3BAEB4DB"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385CFBB1" w14:textId="77777777" w:rsidR="00811887" w:rsidRDefault="00811887" w:rsidP="00486E22">
            <w:pPr>
              <w:pStyle w:val="TableParagraph"/>
              <w:ind w:left="9"/>
              <w:jc w:val="center"/>
              <w:rPr>
                <w:sz w:val="20"/>
              </w:rPr>
            </w:pPr>
            <w:r>
              <w:rPr>
                <w:spacing w:val="-4"/>
                <w:sz w:val="20"/>
              </w:rPr>
              <w:t>87.5</w:t>
            </w:r>
          </w:p>
        </w:tc>
      </w:tr>
      <w:tr w:rsidR="00811887" w14:paraId="1936461E" w14:textId="77777777" w:rsidTr="00486E22">
        <w:trPr>
          <w:trHeight w:val="390"/>
        </w:trPr>
        <w:tc>
          <w:tcPr>
            <w:tcW w:w="1266" w:type="dxa"/>
            <w:shd w:val="clear" w:color="auto" w:fill="234060"/>
          </w:tcPr>
          <w:p w14:paraId="7C0728B6" w14:textId="77777777" w:rsidR="00811887" w:rsidRDefault="00811887" w:rsidP="00486E22">
            <w:pPr>
              <w:pStyle w:val="TableParagraph"/>
              <w:ind w:left="110"/>
              <w:rPr>
                <w:b/>
                <w:sz w:val="20"/>
              </w:rPr>
            </w:pPr>
            <w:r>
              <w:rPr>
                <w:b/>
                <w:color w:val="FFFFFF"/>
                <w:spacing w:val="-2"/>
                <w:sz w:val="20"/>
              </w:rPr>
              <w:t>1/01/2004</w:t>
            </w:r>
          </w:p>
        </w:tc>
        <w:tc>
          <w:tcPr>
            <w:tcW w:w="1586" w:type="dxa"/>
          </w:tcPr>
          <w:p w14:paraId="39B1D344" w14:textId="77777777" w:rsidR="00811887" w:rsidRDefault="00811887" w:rsidP="00486E22">
            <w:pPr>
              <w:pStyle w:val="TableParagraph"/>
              <w:ind w:left="15" w:right="11"/>
              <w:jc w:val="center"/>
              <w:rPr>
                <w:sz w:val="20"/>
              </w:rPr>
            </w:pPr>
            <w:r>
              <w:rPr>
                <w:spacing w:val="-2"/>
                <w:sz w:val="20"/>
              </w:rPr>
              <w:t>778.20</w:t>
            </w:r>
          </w:p>
        </w:tc>
        <w:tc>
          <w:tcPr>
            <w:tcW w:w="1586" w:type="dxa"/>
          </w:tcPr>
          <w:p w14:paraId="7602A8FF" w14:textId="77777777" w:rsidR="00811887" w:rsidRDefault="00811887" w:rsidP="00486E22">
            <w:pPr>
              <w:pStyle w:val="TableParagraph"/>
              <w:ind w:left="15" w:right="12"/>
              <w:jc w:val="center"/>
              <w:rPr>
                <w:sz w:val="20"/>
              </w:rPr>
            </w:pPr>
            <w:r>
              <w:rPr>
                <w:spacing w:val="-5"/>
                <w:sz w:val="20"/>
              </w:rPr>
              <w:t>92.</w:t>
            </w:r>
          </w:p>
        </w:tc>
        <w:tc>
          <w:tcPr>
            <w:tcW w:w="1900" w:type="dxa"/>
          </w:tcPr>
          <w:p w14:paraId="5F1A41E9" w14:textId="77777777" w:rsidR="00811887" w:rsidRDefault="00811887" w:rsidP="00486E22">
            <w:pPr>
              <w:pStyle w:val="TableParagraph"/>
              <w:ind w:left="59" w:right="49"/>
              <w:jc w:val="center"/>
              <w:rPr>
                <w:sz w:val="20"/>
              </w:rPr>
            </w:pPr>
            <w:r>
              <w:rPr>
                <w:spacing w:val="-4"/>
                <w:sz w:val="20"/>
              </w:rPr>
              <w:t>84.2</w:t>
            </w:r>
          </w:p>
        </w:tc>
        <w:tc>
          <w:tcPr>
            <w:tcW w:w="1986" w:type="dxa"/>
          </w:tcPr>
          <w:p w14:paraId="0D5F6A7A"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20849434" w14:textId="77777777" w:rsidR="00811887" w:rsidRDefault="00811887" w:rsidP="00486E22">
            <w:pPr>
              <w:pStyle w:val="TableParagraph"/>
              <w:ind w:left="9"/>
              <w:jc w:val="center"/>
              <w:rPr>
                <w:sz w:val="20"/>
              </w:rPr>
            </w:pPr>
            <w:r>
              <w:rPr>
                <w:spacing w:val="-4"/>
                <w:sz w:val="20"/>
              </w:rPr>
              <w:t>92.9</w:t>
            </w:r>
          </w:p>
        </w:tc>
      </w:tr>
      <w:tr w:rsidR="00811887" w14:paraId="7E34D129" w14:textId="77777777" w:rsidTr="00486E22">
        <w:trPr>
          <w:trHeight w:val="390"/>
        </w:trPr>
        <w:tc>
          <w:tcPr>
            <w:tcW w:w="1266" w:type="dxa"/>
            <w:shd w:val="clear" w:color="auto" w:fill="234060"/>
          </w:tcPr>
          <w:p w14:paraId="522C9B5A" w14:textId="77777777" w:rsidR="00811887" w:rsidRDefault="00811887" w:rsidP="00486E22">
            <w:pPr>
              <w:pStyle w:val="TableParagraph"/>
              <w:ind w:left="110"/>
              <w:rPr>
                <w:b/>
                <w:sz w:val="20"/>
              </w:rPr>
            </w:pPr>
            <w:r>
              <w:rPr>
                <w:b/>
                <w:color w:val="FFFFFF"/>
                <w:spacing w:val="-2"/>
                <w:sz w:val="20"/>
              </w:rPr>
              <w:t>1/01/2006</w:t>
            </w:r>
          </w:p>
        </w:tc>
        <w:tc>
          <w:tcPr>
            <w:tcW w:w="1586" w:type="dxa"/>
          </w:tcPr>
          <w:p w14:paraId="1450BD37" w14:textId="77777777" w:rsidR="00811887" w:rsidRDefault="00811887" w:rsidP="00486E22">
            <w:pPr>
              <w:pStyle w:val="TableParagraph"/>
              <w:ind w:left="15" w:right="11"/>
              <w:jc w:val="center"/>
              <w:rPr>
                <w:sz w:val="20"/>
              </w:rPr>
            </w:pPr>
            <w:r>
              <w:rPr>
                <w:spacing w:val="-2"/>
                <w:sz w:val="20"/>
              </w:rPr>
              <w:t>803.10</w:t>
            </w:r>
          </w:p>
        </w:tc>
        <w:tc>
          <w:tcPr>
            <w:tcW w:w="1586" w:type="dxa"/>
          </w:tcPr>
          <w:p w14:paraId="7877A192" w14:textId="77777777" w:rsidR="00811887" w:rsidRDefault="00811887" w:rsidP="00486E22">
            <w:pPr>
              <w:pStyle w:val="TableParagraph"/>
              <w:ind w:left="15" w:right="11"/>
              <w:jc w:val="center"/>
              <w:rPr>
                <w:sz w:val="20"/>
              </w:rPr>
            </w:pPr>
            <w:r>
              <w:rPr>
                <w:spacing w:val="-4"/>
                <w:sz w:val="20"/>
              </w:rPr>
              <w:t>87.4</w:t>
            </w:r>
          </w:p>
        </w:tc>
        <w:tc>
          <w:tcPr>
            <w:tcW w:w="1900" w:type="dxa"/>
          </w:tcPr>
          <w:p w14:paraId="207E5FE4" w14:textId="77777777" w:rsidR="00811887" w:rsidRDefault="00811887" w:rsidP="00486E22">
            <w:pPr>
              <w:pStyle w:val="TableParagraph"/>
              <w:ind w:left="59" w:right="49"/>
              <w:jc w:val="center"/>
              <w:rPr>
                <w:sz w:val="20"/>
              </w:rPr>
            </w:pPr>
            <w:r>
              <w:rPr>
                <w:spacing w:val="-4"/>
                <w:sz w:val="20"/>
              </w:rPr>
              <w:t>81.7</w:t>
            </w:r>
          </w:p>
        </w:tc>
        <w:tc>
          <w:tcPr>
            <w:tcW w:w="1986" w:type="dxa"/>
          </w:tcPr>
          <w:p w14:paraId="2B317F6D"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24F24B05" w14:textId="77777777" w:rsidR="00811887" w:rsidRDefault="00811887" w:rsidP="00486E22">
            <w:pPr>
              <w:pStyle w:val="TableParagraph"/>
              <w:ind w:left="9"/>
              <w:jc w:val="center"/>
              <w:rPr>
                <w:sz w:val="20"/>
              </w:rPr>
            </w:pPr>
            <w:r>
              <w:rPr>
                <w:spacing w:val="-4"/>
                <w:sz w:val="20"/>
              </w:rPr>
              <w:t>92.9</w:t>
            </w:r>
          </w:p>
        </w:tc>
      </w:tr>
      <w:tr w:rsidR="00811887" w14:paraId="7DCEC4B0" w14:textId="77777777" w:rsidTr="00486E22">
        <w:trPr>
          <w:trHeight w:val="390"/>
        </w:trPr>
        <w:tc>
          <w:tcPr>
            <w:tcW w:w="1266" w:type="dxa"/>
            <w:shd w:val="clear" w:color="auto" w:fill="234060"/>
          </w:tcPr>
          <w:p w14:paraId="4B4903A3" w14:textId="77777777" w:rsidR="00811887" w:rsidRDefault="00811887" w:rsidP="00486E22">
            <w:pPr>
              <w:pStyle w:val="TableParagraph"/>
              <w:ind w:left="110"/>
              <w:rPr>
                <w:b/>
                <w:sz w:val="20"/>
              </w:rPr>
            </w:pPr>
            <w:r>
              <w:rPr>
                <w:b/>
                <w:color w:val="FFFFFF"/>
                <w:spacing w:val="-2"/>
                <w:sz w:val="20"/>
              </w:rPr>
              <w:t>1/01/2008</w:t>
            </w:r>
          </w:p>
        </w:tc>
        <w:tc>
          <w:tcPr>
            <w:tcW w:w="1586" w:type="dxa"/>
          </w:tcPr>
          <w:p w14:paraId="4B1D53DD" w14:textId="77777777" w:rsidR="00811887" w:rsidRDefault="00811887" w:rsidP="00486E22">
            <w:pPr>
              <w:pStyle w:val="TableParagraph"/>
              <w:ind w:left="15" w:right="11"/>
              <w:jc w:val="center"/>
              <w:rPr>
                <w:sz w:val="20"/>
              </w:rPr>
            </w:pPr>
            <w:r>
              <w:rPr>
                <w:spacing w:val="-2"/>
                <w:sz w:val="20"/>
              </w:rPr>
              <w:t>825.40</w:t>
            </w:r>
          </w:p>
        </w:tc>
        <w:tc>
          <w:tcPr>
            <w:tcW w:w="1586" w:type="dxa"/>
          </w:tcPr>
          <w:p w14:paraId="3F272259" w14:textId="77777777" w:rsidR="00811887" w:rsidRDefault="00811887" w:rsidP="00486E22">
            <w:pPr>
              <w:pStyle w:val="TableParagraph"/>
              <w:ind w:left="15" w:right="11"/>
              <w:jc w:val="center"/>
              <w:rPr>
                <w:sz w:val="20"/>
              </w:rPr>
            </w:pPr>
            <w:r>
              <w:rPr>
                <w:spacing w:val="-4"/>
                <w:sz w:val="20"/>
              </w:rPr>
              <w:t>78.3</w:t>
            </w:r>
          </w:p>
        </w:tc>
        <w:tc>
          <w:tcPr>
            <w:tcW w:w="1900" w:type="dxa"/>
          </w:tcPr>
          <w:p w14:paraId="5B5D7ABC" w14:textId="77777777" w:rsidR="00811887" w:rsidRDefault="00811887" w:rsidP="00486E22">
            <w:pPr>
              <w:pStyle w:val="TableParagraph"/>
              <w:ind w:left="59" w:right="49"/>
              <w:jc w:val="center"/>
              <w:rPr>
                <w:sz w:val="20"/>
              </w:rPr>
            </w:pPr>
            <w:r>
              <w:rPr>
                <w:spacing w:val="-4"/>
                <w:sz w:val="20"/>
              </w:rPr>
              <w:t>78.3</w:t>
            </w:r>
          </w:p>
        </w:tc>
        <w:tc>
          <w:tcPr>
            <w:tcW w:w="1986" w:type="dxa"/>
          </w:tcPr>
          <w:p w14:paraId="2C3A664D"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57734FF1" w14:textId="77777777" w:rsidR="00811887" w:rsidRDefault="00811887" w:rsidP="00486E22">
            <w:pPr>
              <w:pStyle w:val="TableParagraph"/>
              <w:ind w:left="9"/>
              <w:jc w:val="center"/>
              <w:rPr>
                <w:sz w:val="20"/>
              </w:rPr>
            </w:pPr>
            <w:r>
              <w:rPr>
                <w:spacing w:val="-4"/>
                <w:sz w:val="20"/>
              </w:rPr>
              <w:t>89.3</w:t>
            </w:r>
          </w:p>
        </w:tc>
      </w:tr>
      <w:tr w:rsidR="00811887" w14:paraId="54998574" w14:textId="77777777" w:rsidTr="00486E22">
        <w:trPr>
          <w:trHeight w:val="385"/>
        </w:trPr>
        <w:tc>
          <w:tcPr>
            <w:tcW w:w="1266" w:type="dxa"/>
            <w:shd w:val="clear" w:color="auto" w:fill="234060"/>
          </w:tcPr>
          <w:p w14:paraId="005C829C" w14:textId="77777777" w:rsidR="00811887" w:rsidRDefault="00811887" w:rsidP="00486E22">
            <w:pPr>
              <w:pStyle w:val="TableParagraph"/>
              <w:spacing w:line="239" w:lineRule="exact"/>
              <w:ind w:left="110"/>
              <w:rPr>
                <w:b/>
                <w:sz w:val="20"/>
              </w:rPr>
            </w:pPr>
            <w:r>
              <w:rPr>
                <w:b/>
                <w:color w:val="FFFFFF"/>
                <w:spacing w:val="-2"/>
                <w:sz w:val="20"/>
              </w:rPr>
              <w:t>1/01/2010</w:t>
            </w:r>
          </w:p>
        </w:tc>
        <w:tc>
          <w:tcPr>
            <w:tcW w:w="1586" w:type="dxa"/>
          </w:tcPr>
          <w:p w14:paraId="780B5916" w14:textId="77777777" w:rsidR="00811887" w:rsidRDefault="00811887" w:rsidP="00486E22">
            <w:pPr>
              <w:pStyle w:val="TableParagraph"/>
              <w:ind w:left="15" w:right="11"/>
              <w:jc w:val="center"/>
              <w:rPr>
                <w:sz w:val="20"/>
              </w:rPr>
            </w:pPr>
            <w:r>
              <w:rPr>
                <w:spacing w:val="-2"/>
                <w:sz w:val="20"/>
              </w:rPr>
              <w:t>960.60</w:t>
            </w:r>
          </w:p>
        </w:tc>
        <w:tc>
          <w:tcPr>
            <w:tcW w:w="1586" w:type="dxa"/>
          </w:tcPr>
          <w:p w14:paraId="66658698" w14:textId="77777777" w:rsidR="00811887" w:rsidRDefault="00811887" w:rsidP="00486E22">
            <w:pPr>
              <w:pStyle w:val="TableParagraph"/>
              <w:ind w:left="15" w:right="11"/>
              <w:jc w:val="center"/>
              <w:rPr>
                <w:sz w:val="20"/>
              </w:rPr>
            </w:pPr>
            <w:r>
              <w:rPr>
                <w:spacing w:val="-4"/>
                <w:sz w:val="20"/>
              </w:rPr>
              <w:t>92.6</w:t>
            </w:r>
          </w:p>
        </w:tc>
        <w:tc>
          <w:tcPr>
            <w:tcW w:w="1900" w:type="dxa"/>
          </w:tcPr>
          <w:p w14:paraId="5FE96922" w14:textId="77777777" w:rsidR="00811887" w:rsidRDefault="00811887" w:rsidP="00486E22">
            <w:pPr>
              <w:pStyle w:val="TableParagraph"/>
              <w:ind w:left="59" w:right="50"/>
              <w:jc w:val="center"/>
              <w:rPr>
                <w:sz w:val="20"/>
              </w:rPr>
            </w:pPr>
            <w:r>
              <w:rPr>
                <w:spacing w:val="-4"/>
                <w:sz w:val="20"/>
              </w:rPr>
              <w:t>88.0</w:t>
            </w:r>
          </w:p>
        </w:tc>
        <w:tc>
          <w:tcPr>
            <w:tcW w:w="1986" w:type="dxa"/>
          </w:tcPr>
          <w:p w14:paraId="1873171E" w14:textId="77777777" w:rsidR="00811887" w:rsidRDefault="00811887" w:rsidP="00486E22">
            <w:pPr>
              <w:pStyle w:val="TableParagraph"/>
              <w:ind w:left="7" w:right="8"/>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124AA49B" w14:textId="77777777" w:rsidR="00811887" w:rsidRDefault="00811887" w:rsidP="00486E22">
            <w:pPr>
              <w:pStyle w:val="TableParagraph"/>
              <w:ind w:left="9"/>
              <w:jc w:val="center"/>
              <w:rPr>
                <w:sz w:val="20"/>
              </w:rPr>
            </w:pPr>
            <w:r>
              <w:rPr>
                <w:spacing w:val="-2"/>
                <w:sz w:val="20"/>
              </w:rPr>
              <w:t>103.2</w:t>
            </w:r>
          </w:p>
        </w:tc>
      </w:tr>
      <w:tr w:rsidR="00811887" w14:paraId="0EA7AD39" w14:textId="77777777" w:rsidTr="00486E22">
        <w:trPr>
          <w:trHeight w:val="390"/>
        </w:trPr>
        <w:tc>
          <w:tcPr>
            <w:tcW w:w="1266" w:type="dxa"/>
            <w:shd w:val="clear" w:color="auto" w:fill="234060"/>
          </w:tcPr>
          <w:p w14:paraId="20A1A75B" w14:textId="77777777" w:rsidR="00811887" w:rsidRDefault="00811887" w:rsidP="00486E22">
            <w:pPr>
              <w:pStyle w:val="TableParagraph"/>
              <w:ind w:left="110"/>
              <w:rPr>
                <w:b/>
                <w:sz w:val="20"/>
              </w:rPr>
            </w:pPr>
            <w:r>
              <w:rPr>
                <w:b/>
                <w:color w:val="FFFFFF"/>
                <w:spacing w:val="-2"/>
                <w:sz w:val="20"/>
              </w:rPr>
              <w:t>1/01/2012</w:t>
            </w:r>
          </w:p>
        </w:tc>
        <w:tc>
          <w:tcPr>
            <w:tcW w:w="1586" w:type="dxa"/>
          </w:tcPr>
          <w:p w14:paraId="749E1D54" w14:textId="77777777" w:rsidR="00811887" w:rsidRDefault="00811887" w:rsidP="00486E22">
            <w:pPr>
              <w:pStyle w:val="TableParagraph"/>
              <w:ind w:left="15" w:right="6"/>
              <w:jc w:val="center"/>
              <w:rPr>
                <w:sz w:val="20"/>
              </w:rPr>
            </w:pPr>
            <w:r>
              <w:rPr>
                <w:spacing w:val="-2"/>
                <w:sz w:val="20"/>
              </w:rPr>
              <w:t>1,020.10</w:t>
            </w:r>
          </w:p>
        </w:tc>
        <w:tc>
          <w:tcPr>
            <w:tcW w:w="1586" w:type="dxa"/>
          </w:tcPr>
          <w:p w14:paraId="70D82675" w14:textId="77777777" w:rsidR="00811887" w:rsidRDefault="00811887" w:rsidP="00486E22">
            <w:pPr>
              <w:pStyle w:val="TableParagraph"/>
              <w:ind w:left="15" w:right="11"/>
              <w:jc w:val="center"/>
              <w:rPr>
                <w:sz w:val="20"/>
              </w:rPr>
            </w:pPr>
            <w:r>
              <w:rPr>
                <w:spacing w:val="-4"/>
                <w:sz w:val="20"/>
              </w:rPr>
              <w:t>93.7</w:t>
            </w:r>
          </w:p>
        </w:tc>
        <w:tc>
          <w:tcPr>
            <w:tcW w:w="1900" w:type="dxa"/>
          </w:tcPr>
          <w:p w14:paraId="2F485BF4" w14:textId="77777777" w:rsidR="00811887" w:rsidRDefault="00811887" w:rsidP="00486E22">
            <w:pPr>
              <w:pStyle w:val="TableParagraph"/>
              <w:ind w:left="59" w:right="49"/>
              <w:jc w:val="center"/>
              <w:rPr>
                <w:sz w:val="20"/>
              </w:rPr>
            </w:pPr>
            <w:r>
              <w:rPr>
                <w:spacing w:val="-4"/>
                <w:sz w:val="20"/>
              </w:rPr>
              <w:t>91.3</w:t>
            </w:r>
          </w:p>
        </w:tc>
        <w:tc>
          <w:tcPr>
            <w:tcW w:w="1986" w:type="dxa"/>
          </w:tcPr>
          <w:p w14:paraId="05FC6674" w14:textId="77777777" w:rsidR="00811887" w:rsidRDefault="00811887" w:rsidP="00486E22">
            <w:pPr>
              <w:pStyle w:val="TableParagraph"/>
              <w:ind w:left="7" w:right="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761" w:type="dxa"/>
          </w:tcPr>
          <w:p w14:paraId="3EF31634" w14:textId="77777777" w:rsidR="00811887" w:rsidRDefault="00811887" w:rsidP="00486E22">
            <w:pPr>
              <w:pStyle w:val="TableParagraph"/>
              <w:ind w:left="9"/>
              <w:jc w:val="center"/>
              <w:rPr>
                <w:sz w:val="20"/>
              </w:rPr>
            </w:pPr>
            <w:r>
              <w:rPr>
                <w:spacing w:val="-4"/>
                <w:sz w:val="20"/>
              </w:rPr>
              <w:t>98.2</w:t>
            </w:r>
          </w:p>
        </w:tc>
      </w:tr>
      <w:tr w:rsidR="00811887" w14:paraId="25FACCFB" w14:textId="77777777" w:rsidTr="00486E22">
        <w:trPr>
          <w:trHeight w:val="389"/>
        </w:trPr>
        <w:tc>
          <w:tcPr>
            <w:tcW w:w="1266" w:type="dxa"/>
            <w:shd w:val="clear" w:color="auto" w:fill="234060"/>
          </w:tcPr>
          <w:p w14:paraId="51AD1F80" w14:textId="77777777" w:rsidR="00811887" w:rsidRDefault="00811887" w:rsidP="00486E22">
            <w:pPr>
              <w:pStyle w:val="TableParagraph"/>
              <w:ind w:left="110"/>
              <w:rPr>
                <w:b/>
                <w:sz w:val="20"/>
              </w:rPr>
            </w:pPr>
            <w:r>
              <w:rPr>
                <w:b/>
                <w:color w:val="FFFFFF"/>
                <w:spacing w:val="-2"/>
                <w:sz w:val="20"/>
              </w:rPr>
              <w:t>1/01/2014</w:t>
            </w:r>
          </w:p>
        </w:tc>
        <w:tc>
          <w:tcPr>
            <w:tcW w:w="1586" w:type="dxa"/>
          </w:tcPr>
          <w:p w14:paraId="799E4963" w14:textId="77777777" w:rsidR="00811887" w:rsidRDefault="00811887" w:rsidP="00486E22">
            <w:pPr>
              <w:pStyle w:val="TableParagraph"/>
              <w:ind w:left="15" w:right="6"/>
              <w:jc w:val="center"/>
              <w:rPr>
                <w:sz w:val="20"/>
              </w:rPr>
            </w:pPr>
            <w:r>
              <w:rPr>
                <w:spacing w:val="-2"/>
                <w:sz w:val="20"/>
              </w:rPr>
              <w:t>1,068.00</w:t>
            </w:r>
          </w:p>
        </w:tc>
        <w:tc>
          <w:tcPr>
            <w:tcW w:w="1586" w:type="dxa"/>
          </w:tcPr>
          <w:p w14:paraId="48725DA4" w14:textId="77777777" w:rsidR="00811887" w:rsidRDefault="00811887" w:rsidP="00486E22">
            <w:pPr>
              <w:pStyle w:val="TableParagraph"/>
              <w:ind w:left="15" w:right="11"/>
              <w:jc w:val="center"/>
              <w:rPr>
                <w:sz w:val="20"/>
              </w:rPr>
            </w:pPr>
            <w:r>
              <w:rPr>
                <w:spacing w:val="-4"/>
                <w:sz w:val="20"/>
              </w:rPr>
              <w:t>96.5</w:t>
            </w:r>
          </w:p>
        </w:tc>
        <w:tc>
          <w:tcPr>
            <w:tcW w:w="1900" w:type="dxa"/>
          </w:tcPr>
          <w:p w14:paraId="667F2E06" w14:textId="77777777" w:rsidR="00811887" w:rsidRDefault="00811887" w:rsidP="00486E22">
            <w:pPr>
              <w:pStyle w:val="TableParagraph"/>
              <w:ind w:left="59" w:right="49"/>
              <w:jc w:val="center"/>
              <w:rPr>
                <w:sz w:val="20"/>
              </w:rPr>
            </w:pPr>
            <w:r>
              <w:rPr>
                <w:spacing w:val="-4"/>
                <w:sz w:val="20"/>
              </w:rPr>
              <w:t>95.5</w:t>
            </w:r>
          </w:p>
        </w:tc>
        <w:tc>
          <w:tcPr>
            <w:tcW w:w="1986" w:type="dxa"/>
          </w:tcPr>
          <w:p w14:paraId="38158707" w14:textId="77777777" w:rsidR="00811887" w:rsidRDefault="00811887" w:rsidP="00486E22">
            <w:pPr>
              <w:pStyle w:val="TableParagraph"/>
              <w:ind w:left="7" w:right="2"/>
              <w:jc w:val="center"/>
              <w:rPr>
                <w:sz w:val="20"/>
              </w:rPr>
            </w:pPr>
            <w:r>
              <w:rPr>
                <w:spacing w:val="-4"/>
                <w:sz w:val="20"/>
              </w:rPr>
              <w:t>97.1</w:t>
            </w:r>
          </w:p>
        </w:tc>
        <w:tc>
          <w:tcPr>
            <w:tcW w:w="1761" w:type="dxa"/>
          </w:tcPr>
          <w:p w14:paraId="2CE9F222" w14:textId="77777777" w:rsidR="00811887" w:rsidRDefault="00811887" w:rsidP="00486E22">
            <w:pPr>
              <w:pStyle w:val="TableParagraph"/>
              <w:ind w:left="9"/>
              <w:jc w:val="center"/>
              <w:rPr>
                <w:sz w:val="20"/>
              </w:rPr>
            </w:pPr>
            <w:r>
              <w:rPr>
                <w:spacing w:val="-2"/>
                <w:sz w:val="20"/>
              </w:rPr>
              <w:t>100.3</w:t>
            </w:r>
          </w:p>
        </w:tc>
      </w:tr>
      <w:tr w:rsidR="00811887" w14:paraId="4D893D2F" w14:textId="77777777" w:rsidTr="00486E22">
        <w:trPr>
          <w:trHeight w:val="385"/>
        </w:trPr>
        <w:tc>
          <w:tcPr>
            <w:tcW w:w="1266" w:type="dxa"/>
            <w:shd w:val="clear" w:color="auto" w:fill="234060"/>
          </w:tcPr>
          <w:p w14:paraId="21968FBA" w14:textId="77777777" w:rsidR="00811887" w:rsidRDefault="00811887" w:rsidP="00486E22">
            <w:pPr>
              <w:pStyle w:val="TableParagraph"/>
              <w:ind w:left="110"/>
              <w:rPr>
                <w:b/>
                <w:sz w:val="20"/>
              </w:rPr>
            </w:pPr>
            <w:r>
              <w:rPr>
                <w:b/>
                <w:color w:val="FFFFFF"/>
                <w:spacing w:val="-2"/>
                <w:sz w:val="20"/>
              </w:rPr>
              <w:t>1/01/2016</w:t>
            </w:r>
          </w:p>
        </w:tc>
        <w:tc>
          <w:tcPr>
            <w:tcW w:w="1586" w:type="dxa"/>
          </w:tcPr>
          <w:p w14:paraId="2814A48B" w14:textId="77777777" w:rsidR="00811887" w:rsidRDefault="00811887" w:rsidP="00486E22">
            <w:pPr>
              <w:pStyle w:val="TableParagraph"/>
              <w:ind w:left="15" w:right="6"/>
              <w:jc w:val="center"/>
              <w:rPr>
                <w:sz w:val="20"/>
              </w:rPr>
            </w:pPr>
            <w:r>
              <w:rPr>
                <w:spacing w:val="-2"/>
                <w:sz w:val="20"/>
              </w:rPr>
              <w:t>1,090.60</w:t>
            </w:r>
          </w:p>
        </w:tc>
        <w:tc>
          <w:tcPr>
            <w:tcW w:w="1586" w:type="dxa"/>
          </w:tcPr>
          <w:p w14:paraId="3AF93765" w14:textId="77777777" w:rsidR="00811887" w:rsidRDefault="00811887" w:rsidP="00486E22">
            <w:pPr>
              <w:pStyle w:val="TableParagraph"/>
              <w:ind w:left="15" w:right="11"/>
              <w:jc w:val="center"/>
              <w:rPr>
                <w:sz w:val="20"/>
              </w:rPr>
            </w:pPr>
            <w:r>
              <w:rPr>
                <w:spacing w:val="-2"/>
                <w:sz w:val="20"/>
              </w:rPr>
              <w:t>100.5</w:t>
            </w:r>
          </w:p>
        </w:tc>
        <w:tc>
          <w:tcPr>
            <w:tcW w:w="1900" w:type="dxa"/>
          </w:tcPr>
          <w:p w14:paraId="05CF01CD" w14:textId="77777777" w:rsidR="00811887" w:rsidRDefault="00811887" w:rsidP="00486E22">
            <w:pPr>
              <w:pStyle w:val="TableParagraph"/>
              <w:ind w:left="59" w:right="49"/>
              <w:jc w:val="center"/>
              <w:rPr>
                <w:sz w:val="20"/>
              </w:rPr>
            </w:pPr>
            <w:r>
              <w:rPr>
                <w:spacing w:val="-4"/>
                <w:sz w:val="20"/>
              </w:rPr>
              <w:t>97.2</w:t>
            </w:r>
          </w:p>
        </w:tc>
        <w:tc>
          <w:tcPr>
            <w:tcW w:w="1986" w:type="dxa"/>
          </w:tcPr>
          <w:p w14:paraId="7184BC5C" w14:textId="77777777" w:rsidR="00811887" w:rsidRDefault="00811887" w:rsidP="00486E22">
            <w:pPr>
              <w:pStyle w:val="TableParagraph"/>
              <w:ind w:left="7" w:right="2"/>
              <w:jc w:val="center"/>
              <w:rPr>
                <w:sz w:val="20"/>
              </w:rPr>
            </w:pPr>
            <w:r>
              <w:rPr>
                <w:spacing w:val="-4"/>
                <w:sz w:val="20"/>
              </w:rPr>
              <w:t>99.2</w:t>
            </w:r>
          </w:p>
        </w:tc>
        <w:tc>
          <w:tcPr>
            <w:tcW w:w="1761" w:type="dxa"/>
          </w:tcPr>
          <w:p w14:paraId="0C3AF9AE" w14:textId="77777777" w:rsidR="00811887" w:rsidRDefault="00811887" w:rsidP="00486E22">
            <w:pPr>
              <w:pStyle w:val="TableParagraph"/>
              <w:ind w:left="9"/>
              <w:jc w:val="center"/>
              <w:rPr>
                <w:sz w:val="20"/>
              </w:rPr>
            </w:pPr>
            <w:r>
              <w:rPr>
                <w:spacing w:val="-2"/>
                <w:sz w:val="20"/>
              </w:rPr>
              <w:t>101.9</w:t>
            </w:r>
          </w:p>
        </w:tc>
      </w:tr>
      <w:tr w:rsidR="00811887" w14:paraId="74DCA50B" w14:textId="77777777" w:rsidTr="00486E22">
        <w:trPr>
          <w:trHeight w:val="390"/>
        </w:trPr>
        <w:tc>
          <w:tcPr>
            <w:tcW w:w="1266" w:type="dxa"/>
            <w:shd w:val="clear" w:color="auto" w:fill="234060"/>
          </w:tcPr>
          <w:p w14:paraId="24FD1E06" w14:textId="77777777" w:rsidR="00811887" w:rsidRDefault="00811887" w:rsidP="00486E22">
            <w:pPr>
              <w:pStyle w:val="TableParagraph"/>
              <w:ind w:left="110"/>
              <w:rPr>
                <w:b/>
                <w:sz w:val="20"/>
              </w:rPr>
            </w:pPr>
            <w:r>
              <w:rPr>
                <w:b/>
                <w:color w:val="FFFFFF"/>
                <w:spacing w:val="-2"/>
                <w:sz w:val="20"/>
              </w:rPr>
              <w:t>1/01/2018</w:t>
            </w:r>
          </w:p>
        </w:tc>
        <w:tc>
          <w:tcPr>
            <w:tcW w:w="1586" w:type="dxa"/>
          </w:tcPr>
          <w:p w14:paraId="1D759FE1" w14:textId="77777777" w:rsidR="00811887" w:rsidRDefault="00811887" w:rsidP="00486E22">
            <w:pPr>
              <w:pStyle w:val="TableParagraph"/>
              <w:ind w:left="15" w:right="6"/>
              <w:jc w:val="center"/>
              <w:rPr>
                <w:sz w:val="20"/>
              </w:rPr>
            </w:pPr>
            <w:r>
              <w:rPr>
                <w:spacing w:val="-2"/>
                <w:sz w:val="20"/>
              </w:rPr>
              <w:t>1,081.10</w:t>
            </w:r>
          </w:p>
        </w:tc>
        <w:tc>
          <w:tcPr>
            <w:tcW w:w="1586" w:type="dxa"/>
          </w:tcPr>
          <w:p w14:paraId="44832A18" w14:textId="77777777" w:rsidR="00811887" w:rsidRDefault="00811887" w:rsidP="00486E22">
            <w:pPr>
              <w:pStyle w:val="TableParagraph"/>
              <w:ind w:left="15" w:right="11"/>
              <w:jc w:val="center"/>
              <w:rPr>
                <w:sz w:val="20"/>
              </w:rPr>
            </w:pPr>
            <w:r>
              <w:rPr>
                <w:spacing w:val="-4"/>
                <w:sz w:val="20"/>
              </w:rPr>
              <w:t>98.1</w:t>
            </w:r>
          </w:p>
        </w:tc>
        <w:tc>
          <w:tcPr>
            <w:tcW w:w="1900" w:type="dxa"/>
          </w:tcPr>
          <w:p w14:paraId="76F2ACC3" w14:textId="77777777" w:rsidR="00811887" w:rsidRDefault="00811887" w:rsidP="00486E22">
            <w:pPr>
              <w:pStyle w:val="TableParagraph"/>
              <w:ind w:left="59" w:right="49"/>
              <w:jc w:val="center"/>
              <w:rPr>
                <w:sz w:val="20"/>
              </w:rPr>
            </w:pPr>
            <w:r>
              <w:rPr>
                <w:spacing w:val="-4"/>
                <w:sz w:val="20"/>
              </w:rPr>
              <w:t>94.8</w:t>
            </w:r>
          </w:p>
        </w:tc>
        <w:tc>
          <w:tcPr>
            <w:tcW w:w="1986" w:type="dxa"/>
          </w:tcPr>
          <w:p w14:paraId="56DAB112" w14:textId="77777777" w:rsidR="00811887" w:rsidRDefault="00811887" w:rsidP="00486E22">
            <w:pPr>
              <w:pStyle w:val="TableParagraph"/>
              <w:ind w:left="7" w:right="2"/>
              <w:jc w:val="center"/>
              <w:rPr>
                <w:sz w:val="20"/>
              </w:rPr>
            </w:pPr>
            <w:r>
              <w:rPr>
                <w:spacing w:val="-4"/>
                <w:sz w:val="20"/>
              </w:rPr>
              <w:t>98.3</w:t>
            </w:r>
          </w:p>
        </w:tc>
        <w:tc>
          <w:tcPr>
            <w:tcW w:w="1761" w:type="dxa"/>
          </w:tcPr>
          <w:p w14:paraId="1EC7DFAD" w14:textId="77777777" w:rsidR="00811887" w:rsidRDefault="00811887" w:rsidP="00486E22">
            <w:pPr>
              <w:pStyle w:val="TableParagraph"/>
              <w:ind w:left="9"/>
              <w:jc w:val="center"/>
              <w:rPr>
                <w:sz w:val="20"/>
              </w:rPr>
            </w:pPr>
            <w:r>
              <w:rPr>
                <w:spacing w:val="-2"/>
                <w:sz w:val="20"/>
              </w:rPr>
              <w:t>106.3</w:t>
            </w:r>
          </w:p>
        </w:tc>
      </w:tr>
      <w:tr w:rsidR="00811887" w14:paraId="01BEFC5B" w14:textId="77777777" w:rsidTr="00486E22">
        <w:trPr>
          <w:trHeight w:val="390"/>
        </w:trPr>
        <w:tc>
          <w:tcPr>
            <w:tcW w:w="1266" w:type="dxa"/>
            <w:shd w:val="clear" w:color="auto" w:fill="234060"/>
          </w:tcPr>
          <w:p w14:paraId="4FB495D9" w14:textId="77777777" w:rsidR="00811887" w:rsidRDefault="00811887" w:rsidP="00486E22">
            <w:pPr>
              <w:pStyle w:val="TableParagraph"/>
              <w:spacing w:line="240" w:lineRule="auto"/>
              <w:ind w:left="110"/>
              <w:rPr>
                <w:b/>
                <w:sz w:val="20"/>
              </w:rPr>
            </w:pPr>
            <w:r>
              <w:rPr>
                <w:b/>
                <w:color w:val="FFFFFF"/>
                <w:spacing w:val="-2"/>
                <w:sz w:val="20"/>
              </w:rPr>
              <w:t>1/01/2020</w:t>
            </w:r>
          </w:p>
        </w:tc>
        <w:tc>
          <w:tcPr>
            <w:tcW w:w="1586" w:type="dxa"/>
          </w:tcPr>
          <w:p w14:paraId="5DE5939A" w14:textId="77777777" w:rsidR="00811887" w:rsidRDefault="00811887" w:rsidP="00486E22">
            <w:pPr>
              <w:pStyle w:val="TableParagraph"/>
              <w:spacing w:line="240" w:lineRule="auto"/>
              <w:ind w:left="15" w:right="6"/>
              <w:jc w:val="center"/>
              <w:rPr>
                <w:sz w:val="20"/>
              </w:rPr>
            </w:pPr>
            <w:r>
              <w:rPr>
                <w:spacing w:val="-2"/>
                <w:sz w:val="20"/>
              </w:rPr>
              <w:t>1,089.50</w:t>
            </w:r>
          </w:p>
        </w:tc>
        <w:tc>
          <w:tcPr>
            <w:tcW w:w="1586" w:type="dxa"/>
          </w:tcPr>
          <w:p w14:paraId="4B5C58C1" w14:textId="77777777" w:rsidR="00811887" w:rsidRDefault="00811887" w:rsidP="00486E22">
            <w:pPr>
              <w:pStyle w:val="TableParagraph"/>
              <w:spacing w:line="240" w:lineRule="auto"/>
              <w:ind w:left="15" w:right="11"/>
              <w:jc w:val="center"/>
              <w:rPr>
                <w:sz w:val="20"/>
              </w:rPr>
            </w:pPr>
            <w:r>
              <w:rPr>
                <w:spacing w:val="-4"/>
                <w:sz w:val="20"/>
              </w:rPr>
              <w:t>95.5</w:t>
            </w:r>
          </w:p>
        </w:tc>
        <w:tc>
          <w:tcPr>
            <w:tcW w:w="1900" w:type="dxa"/>
          </w:tcPr>
          <w:p w14:paraId="30C5CDD7" w14:textId="77777777" w:rsidR="00811887" w:rsidRDefault="00811887" w:rsidP="00486E22">
            <w:pPr>
              <w:pStyle w:val="TableParagraph"/>
              <w:spacing w:line="240" w:lineRule="auto"/>
              <w:ind w:left="59" w:right="49"/>
              <w:jc w:val="center"/>
              <w:rPr>
                <w:sz w:val="20"/>
              </w:rPr>
            </w:pPr>
            <w:r>
              <w:rPr>
                <w:spacing w:val="-4"/>
                <w:sz w:val="20"/>
              </w:rPr>
              <w:t>90.3</w:t>
            </w:r>
          </w:p>
        </w:tc>
        <w:tc>
          <w:tcPr>
            <w:tcW w:w="1986" w:type="dxa"/>
          </w:tcPr>
          <w:p w14:paraId="2F766FE6" w14:textId="77777777" w:rsidR="00811887" w:rsidRDefault="00811887" w:rsidP="00486E22">
            <w:pPr>
              <w:pStyle w:val="TableParagraph"/>
              <w:spacing w:line="240" w:lineRule="auto"/>
              <w:ind w:left="7" w:right="2"/>
              <w:jc w:val="center"/>
              <w:rPr>
                <w:sz w:val="20"/>
              </w:rPr>
            </w:pPr>
            <w:r>
              <w:rPr>
                <w:spacing w:val="-2"/>
                <w:sz w:val="20"/>
              </w:rPr>
              <w:t>100.4</w:t>
            </w:r>
          </w:p>
        </w:tc>
        <w:tc>
          <w:tcPr>
            <w:tcW w:w="1761" w:type="dxa"/>
          </w:tcPr>
          <w:p w14:paraId="6DAF8645" w14:textId="77777777" w:rsidR="00811887" w:rsidRDefault="00811887" w:rsidP="00486E22">
            <w:pPr>
              <w:pStyle w:val="TableParagraph"/>
              <w:spacing w:line="240" w:lineRule="auto"/>
              <w:ind w:left="9"/>
              <w:jc w:val="center"/>
              <w:rPr>
                <w:sz w:val="20"/>
              </w:rPr>
            </w:pPr>
            <w:r>
              <w:rPr>
                <w:spacing w:val="-2"/>
                <w:sz w:val="20"/>
              </w:rPr>
              <w:t>104.8</w:t>
            </w:r>
          </w:p>
        </w:tc>
      </w:tr>
      <w:tr w:rsidR="00811887" w14:paraId="63129707" w14:textId="77777777" w:rsidTr="00486E22">
        <w:trPr>
          <w:trHeight w:val="490"/>
        </w:trPr>
        <w:tc>
          <w:tcPr>
            <w:tcW w:w="1266" w:type="dxa"/>
            <w:shd w:val="clear" w:color="auto" w:fill="234060"/>
          </w:tcPr>
          <w:p w14:paraId="16E3E921" w14:textId="77777777" w:rsidR="00811887" w:rsidRDefault="00811887" w:rsidP="00486E22">
            <w:pPr>
              <w:pStyle w:val="TableParagraph"/>
              <w:ind w:left="110"/>
              <w:rPr>
                <w:b/>
                <w:sz w:val="20"/>
              </w:rPr>
            </w:pPr>
            <w:r>
              <w:rPr>
                <w:b/>
                <w:color w:val="FFFFFF"/>
                <w:spacing w:val="-2"/>
                <w:sz w:val="20"/>
              </w:rPr>
              <w:t>1/01/2022</w:t>
            </w:r>
          </w:p>
        </w:tc>
        <w:tc>
          <w:tcPr>
            <w:tcW w:w="1586" w:type="dxa"/>
          </w:tcPr>
          <w:p w14:paraId="40736810" w14:textId="77777777" w:rsidR="00811887" w:rsidRDefault="00811887" w:rsidP="00486E22">
            <w:pPr>
              <w:pStyle w:val="TableParagraph"/>
              <w:ind w:left="15" w:right="6"/>
              <w:jc w:val="center"/>
              <w:rPr>
                <w:sz w:val="20"/>
              </w:rPr>
            </w:pPr>
            <w:r>
              <w:rPr>
                <w:spacing w:val="-2"/>
                <w:sz w:val="20"/>
              </w:rPr>
              <w:t>1,062.80</w:t>
            </w:r>
          </w:p>
        </w:tc>
        <w:tc>
          <w:tcPr>
            <w:tcW w:w="1586" w:type="dxa"/>
          </w:tcPr>
          <w:p w14:paraId="266C0CD3" w14:textId="77777777" w:rsidR="00811887" w:rsidRDefault="00811887" w:rsidP="00486E22">
            <w:pPr>
              <w:pStyle w:val="TableParagraph"/>
              <w:ind w:left="444"/>
              <w:rPr>
                <w:sz w:val="20"/>
              </w:rPr>
            </w:pPr>
            <w:r>
              <w:rPr>
                <w:sz w:val="20"/>
              </w:rPr>
              <w:t>Data</w:t>
            </w:r>
            <w:r>
              <w:rPr>
                <w:spacing w:val="-5"/>
                <w:sz w:val="20"/>
              </w:rPr>
              <w:t xml:space="preserve"> not</w:t>
            </w:r>
          </w:p>
          <w:p w14:paraId="1A34BA6B" w14:textId="77777777" w:rsidR="00811887" w:rsidRDefault="00811887" w:rsidP="00486E22">
            <w:pPr>
              <w:pStyle w:val="TableParagraph"/>
              <w:spacing w:before="1" w:line="225" w:lineRule="exact"/>
              <w:ind w:left="434"/>
              <w:rPr>
                <w:sz w:val="20"/>
              </w:rPr>
            </w:pPr>
            <w:r>
              <w:rPr>
                <w:spacing w:val="-2"/>
                <w:sz w:val="20"/>
              </w:rPr>
              <w:t>available</w:t>
            </w:r>
          </w:p>
        </w:tc>
        <w:tc>
          <w:tcPr>
            <w:tcW w:w="1900" w:type="dxa"/>
          </w:tcPr>
          <w:p w14:paraId="73E06473" w14:textId="77777777" w:rsidR="00811887" w:rsidRDefault="00811887" w:rsidP="00486E22">
            <w:pPr>
              <w:pStyle w:val="TableParagraph"/>
              <w:ind w:left="59" w:right="5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c>
          <w:tcPr>
            <w:tcW w:w="1986" w:type="dxa"/>
          </w:tcPr>
          <w:p w14:paraId="027A77DB" w14:textId="77777777" w:rsidR="00811887" w:rsidRDefault="00811887" w:rsidP="00486E22">
            <w:pPr>
              <w:pStyle w:val="TableParagraph"/>
              <w:ind w:left="7" w:right="2"/>
              <w:jc w:val="center"/>
              <w:rPr>
                <w:sz w:val="20"/>
              </w:rPr>
            </w:pPr>
            <w:r>
              <w:rPr>
                <w:spacing w:val="-4"/>
                <w:sz w:val="20"/>
              </w:rPr>
              <w:t>97.6</w:t>
            </w:r>
          </w:p>
        </w:tc>
        <w:tc>
          <w:tcPr>
            <w:tcW w:w="1761" w:type="dxa"/>
          </w:tcPr>
          <w:p w14:paraId="2F54CB93" w14:textId="77777777" w:rsidR="00811887" w:rsidRDefault="00811887" w:rsidP="00486E22">
            <w:pPr>
              <w:pStyle w:val="TableParagraph"/>
              <w:ind w:left="9"/>
              <w:jc w:val="center"/>
              <w:rPr>
                <w:sz w:val="20"/>
              </w:rPr>
            </w:pPr>
            <w:r>
              <w:rPr>
                <w:spacing w:val="-4"/>
                <w:sz w:val="20"/>
              </w:rPr>
              <w:t>97.6</w:t>
            </w:r>
          </w:p>
        </w:tc>
      </w:tr>
      <w:tr w:rsidR="00811887" w14:paraId="04D87187" w14:textId="77777777" w:rsidTr="00486E22">
        <w:trPr>
          <w:trHeight w:val="485"/>
        </w:trPr>
        <w:tc>
          <w:tcPr>
            <w:tcW w:w="1266" w:type="dxa"/>
            <w:shd w:val="clear" w:color="auto" w:fill="234060"/>
          </w:tcPr>
          <w:p w14:paraId="5B38C31B" w14:textId="77777777" w:rsidR="00811887" w:rsidRDefault="00811887" w:rsidP="00486E22">
            <w:pPr>
              <w:pStyle w:val="TableParagraph"/>
              <w:spacing w:line="239" w:lineRule="exact"/>
              <w:ind w:left="110"/>
              <w:rPr>
                <w:b/>
                <w:sz w:val="20"/>
              </w:rPr>
            </w:pPr>
            <w:r>
              <w:rPr>
                <w:b/>
                <w:color w:val="FFFFFF"/>
                <w:spacing w:val="-2"/>
                <w:sz w:val="20"/>
              </w:rPr>
              <w:t>Current/</w:t>
            </w:r>
          </w:p>
          <w:p w14:paraId="2BA1BB4D" w14:textId="77777777" w:rsidR="00811887" w:rsidRDefault="00811887" w:rsidP="00486E22">
            <w:pPr>
              <w:pStyle w:val="TableParagraph"/>
              <w:spacing w:before="1" w:line="225" w:lineRule="exact"/>
              <w:ind w:left="110"/>
              <w:rPr>
                <w:b/>
                <w:sz w:val="20"/>
              </w:rPr>
            </w:pPr>
            <w:r>
              <w:rPr>
                <w:b/>
                <w:color w:val="FFFFFF"/>
                <w:spacing w:val="-2"/>
                <w:sz w:val="20"/>
              </w:rPr>
              <w:t>Latest</w:t>
            </w:r>
          </w:p>
        </w:tc>
        <w:tc>
          <w:tcPr>
            <w:tcW w:w="1586" w:type="dxa"/>
          </w:tcPr>
          <w:p w14:paraId="769B404D" w14:textId="77777777" w:rsidR="00811887" w:rsidRDefault="00811887" w:rsidP="00486E22">
            <w:pPr>
              <w:pStyle w:val="TableParagraph"/>
              <w:spacing w:line="239" w:lineRule="exact"/>
              <w:ind w:left="15"/>
              <w:jc w:val="center"/>
              <w:rPr>
                <w:sz w:val="20"/>
              </w:rPr>
            </w:pPr>
            <w:r>
              <w:rPr>
                <w:sz w:val="20"/>
              </w:rPr>
              <w:t>1,096.70</w:t>
            </w:r>
            <w:r>
              <w:rPr>
                <w:spacing w:val="-8"/>
                <w:sz w:val="20"/>
              </w:rPr>
              <w:t xml:space="preserve"> </w:t>
            </w:r>
            <w:r>
              <w:rPr>
                <w:sz w:val="20"/>
              </w:rPr>
              <w:t>(as</w:t>
            </w:r>
            <w:r>
              <w:rPr>
                <w:spacing w:val="-2"/>
                <w:sz w:val="20"/>
              </w:rPr>
              <w:t xml:space="preserve"> </w:t>
            </w:r>
            <w:r>
              <w:rPr>
                <w:spacing w:val="-5"/>
                <w:sz w:val="20"/>
              </w:rPr>
              <w:t>at</w:t>
            </w:r>
          </w:p>
          <w:p w14:paraId="3CFEC72E" w14:textId="77777777" w:rsidR="00811887" w:rsidRDefault="00811887" w:rsidP="00486E22">
            <w:pPr>
              <w:pStyle w:val="TableParagraph"/>
              <w:spacing w:before="1" w:line="225" w:lineRule="exact"/>
              <w:ind w:left="15" w:right="12"/>
              <w:jc w:val="center"/>
              <w:rPr>
                <w:sz w:val="20"/>
              </w:rPr>
            </w:pPr>
            <w:r>
              <w:rPr>
                <w:spacing w:val="-2"/>
                <w:sz w:val="20"/>
              </w:rPr>
              <w:t>1/12/2023)</w:t>
            </w:r>
          </w:p>
        </w:tc>
        <w:tc>
          <w:tcPr>
            <w:tcW w:w="1586" w:type="dxa"/>
          </w:tcPr>
          <w:p w14:paraId="152BF745" w14:textId="77777777" w:rsidR="00811887" w:rsidRDefault="00811887" w:rsidP="00486E22">
            <w:pPr>
              <w:pStyle w:val="TableParagraph"/>
              <w:spacing w:line="239" w:lineRule="exact"/>
              <w:ind w:left="374"/>
              <w:rPr>
                <w:sz w:val="20"/>
              </w:rPr>
            </w:pPr>
            <w:r>
              <w:rPr>
                <w:sz w:val="20"/>
              </w:rPr>
              <w:t>98.5</w:t>
            </w:r>
            <w:r>
              <w:rPr>
                <w:spacing w:val="-5"/>
                <w:sz w:val="20"/>
              </w:rPr>
              <w:t xml:space="preserve"> </w:t>
            </w:r>
            <w:r>
              <w:rPr>
                <w:sz w:val="20"/>
              </w:rPr>
              <w:t>(as</w:t>
            </w:r>
            <w:r>
              <w:rPr>
                <w:spacing w:val="-2"/>
                <w:sz w:val="20"/>
              </w:rPr>
              <w:t xml:space="preserve"> </w:t>
            </w:r>
            <w:r>
              <w:rPr>
                <w:spacing w:val="-5"/>
                <w:sz w:val="20"/>
              </w:rPr>
              <w:t>at</w:t>
            </w:r>
          </w:p>
          <w:p w14:paraId="52B9D773" w14:textId="77777777" w:rsidR="00811887" w:rsidRDefault="00811887" w:rsidP="00486E22">
            <w:pPr>
              <w:pStyle w:val="TableParagraph"/>
              <w:spacing w:before="1" w:line="225" w:lineRule="exact"/>
              <w:ind w:left="379"/>
              <w:rPr>
                <w:sz w:val="20"/>
              </w:rPr>
            </w:pPr>
            <w:r>
              <w:rPr>
                <w:spacing w:val="-2"/>
                <w:sz w:val="20"/>
              </w:rPr>
              <w:t>1/6/2020)</w:t>
            </w:r>
          </w:p>
        </w:tc>
        <w:tc>
          <w:tcPr>
            <w:tcW w:w="1900" w:type="dxa"/>
          </w:tcPr>
          <w:p w14:paraId="3E8B3842" w14:textId="77777777" w:rsidR="00811887" w:rsidRDefault="00811887" w:rsidP="00486E22">
            <w:pPr>
              <w:pStyle w:val="TableParagraph"/>
              <w:spacing w:line="239" w:lineRule="exact"/>
              <w:ind w:left="529"/>
              <w:rPr>
                <w:sz w:val="20"/>
              </w:rPr>
            </w:pPr>
            <w:r>
              <w:rPr>
                <w:sz w:val="20"/>
              </w:rPr>
              <w:t>86.8</w:t>
            </w:r>
            <w:r>
              <w:rPr>
                <w:spacing w:val="-6"/>
                <w:sz w:val="20"/>
              </w:rPr>
              <w:t xml:space="preserve"> </w:t>
            </w:r>
            <w:r>
              <w:rPr>
                <w:sz w:val="20"/>
              </w:rPr>
              <w:t>(as</w:t>
            </w:r>
            <w:r>
              <w:rPr>
                <w:spacing w:val="-2"/>
                <w:sz w:val="20"/>
              </w:rPr>
              <w:t xml:space="preserve"> </w:t>
            </w:r>
            <w:r>
              <w:rPr>
                <w:spacing w:val="-5"/>
                <w:sz w:val="20"/>
              </w:rPr>
              <w:t>at</w:t>
            </w:r>
          </w:p>
          <w:p w14:paraId="7DFA21E0" w14:textId="77777777" w:rsidR="00811887" w:rsidRDefault="00811887" w:rsidP="00486E22">
            <w:pPr>
              <w:pStyle w:val="TableParagraph"/>
              <w:spacing w:before="1" w:line="225" w:lineRule="exact"/>
              <w:ind w:left="489"/>
              <w:rPr>
                <w:sz w:val="20"/>
              </w:rPr>
            </w:pPr>
            <w:r>
              <w:rPr>
                <w:spacing w:val="-2"/>
                <w:sz w:val="20"/>
              </w:rPr>
              <w:t>1/12/2021)</w:t>
            </w:r>
          </w:p>
        </w:tc>
        <w:tc>
          <w:tcPr>
            <w:tcW w:w="1986" w:type="dxa"/>
          </w:tcPr>
          <w:p w14:paraId="7FF28FC6" w14:textId="77777777" w:rsidR="00811887" w:rsidRDefault="00811887" w:rsidP="00486E22">
            <w:pPr>
              <w:pStyle w:val="TableParagraph"/>
              <w:spacing w:line="239" w:lineRule="exact"/>
              <w:ind w:left="569"/>
              <w:rPr>
                <w:sz w:val="20"/>
              </w:rPr>
            </w:pPr>
            <w:r>
              <w:rPr>
                <w:sz w:val="20"/>
              </w:rPr>
              <w:t>99.3</w:t>
            </w:r>
            <w:r>
              <w:rPr>
                <w:spacing w:val="-6"/>
                <w:sz w:val="20"/>
              </w:rPr>
              <w:t xml:space="preserve"> </w:t>
            </w:r>
            <w:r>
              <w:rPr>
                <w:sz w:val="20"/>
              </w:rPr>
              <w:t>(as</w:t>
            </w:r>
            <w:r>
              <w:rPr>
                <w:spacing w:val="-2"/>
                <w:sz w:val="20"/>
              </w:rPr>
              <w:t xml:space="preserve"> </w:t>
            </w:r>
            <w:r>
              <w:rPr>
                <w:spacing w:val="-5"/>
                <w:sz w:val="20"/>
              </w:rPr>
              <w:t>at</w:t>
            </w:r>
          </w:p>
          <w:p w14:paraId="17829372" w14:textId="77777777" w:rsidR="00811887" w:rsidRDefault="00811887" w:rsidP="00486E22">
            <w:pPr>
              <w:pStyle w:val="TableParagraph"/>
              <w:spacing w:before="1" w:line="225" w:lineRule="exact"/>
              <w:ind w:left="530"/>
              <w:rPr>
                <w:sz w:val="20"/>
              </w:rPr>
            </w:pPr>
            <w:r>
              <w:rPr>
                <w:spacing w:val="-2"/>
                <w:sz w:val="20"/>
              </w:rPr>
              <w:t>1/12/2023)</w:t>
            </w:r>
          </w:p>
        </w:tc>
        <w:tc>
          <w:tcPr>
            <w:tcW w:w="1761" w:type="dxa"/>
          </w:tcPr>
          <w:p w14:paraId="075F4147" w14:textId="77777777" w:rsidR="00811887" w:rsidRDefault="00811887" w:rsidP="00486E22">
            <w:pPr>
              <w:pStyle w:val="TableParagraph"/>
              <w:spacing w:line="239" w:lineRule="exact"/>
              <w:ind w:left="409"/>
              <w:rPr>
                <w:sz w:val="20"/>
              </w:rPr>
            </w:pPr>
            <w:r>
              <w:rPr>
                <w:sz w:val="20"/>
              </w:rPr>
              <w:t>109.8</w:t>
            </w:r>
            <w:r>
              <w:rPr>
                <w:spacing w:val="-4"/>
                <w:sz w:val="20"/>
              </w:rPr>
              <w:t xml:space="preserve"> </w:t>
            </w:r>
            <w:r>
              <w:rPr>
                <w:sz w:val="20"/>
              </w:rPr>
              <w:t xml:space="preserve">(as </w:t>
            </w:r>
            <w:r>
              <w:rPr>
                <w:spacing w:val="-5"/>
                <w:sz w:val="20"/>
              </w:rPr>
              <w:t>at</w:t>
            </w:r>
          </w:p>
          <w:p w14:paraId="6C57F17E" w14:textId="77777777" w:rsidR="00811887" w:rsidRDefault="00811887" w:rsidP="00486E22">
            <w:pPr>
              <w:pStyle w:val="TableParagraph"/>
              <w:spacing w:before="1" w:line="225" w:lineRule="exact"/>
              <w:ind w:left="469"/>
              <w:rPr>
                <w:sz w:val="20"/>
              </w:rPr>
            </w:pPr>
            <w:r>
              <w:rPr>
                <w:spacing w:val="-2"/>
                <w:sz w:val="20"/>
              </w:rPr>
              <w:t>1/9/2023)</w:t>
            </w:r>
          </w:p>
        </w:tc>
      </w:tr>
    </w:tbl>
    <w:p w14:paraId="7E87FA2B" w14:textId="77777777" w:rsidR="00811887" w:rsidRDefault="00811887" w:rsidP="00811887">
      <w:pPr>
        <w:spacing w:before="237"/>
        <w:rPr>
          <w:i/>
          <w:sz w:val="20"/>
        </w:rPr>
      </w:pPr>
      <w:r>
        <w:rPr>
          <w:i/>
          <w:sz w:val="20"/>
        </w:rPr>
        <w:t xml:space="preserve">  Figures</w:t>
      </w:r>
      <w:r>
        <w:rPr>
          <w:i/>
          <w:spacing w:val="-4"/>
          <w:sz w:val="20"/>
        </w:rPr>
        <w:t xml:space="preserve"> </w:t>
      </w:r>
      <w:r>
        <w:rPr>
          <w:i/>
          <w:sz w:val="20"/>
        </w:rPr>
        <w:t>as</w:t>
      </w:r>
      <w:r>
        <w:rPr>
          <w:i/>
          <w:spacing w:val="-1"/>
          <w:sz w:val="20"/>
        </w:rPr>
        <w:t xml:space="preserve"> </w:t>
      </w:r>
      <w:r>
        <w:rPr>
          <w:i/>
          <w:sz w:val="20"/>
        </w:rPr>
        <w:t>at</w:t>
      </w:r>
      <w:r>
        <w:rPr>
          <w:i/>
          <w:spacing w:val="-3"/>
          <w:sz w:val="20"/>
        </w:rPr>
        <w:t xml:space="preserve"> </w:t>
      </w:r>
      <w:r>
        <w:rPr>
          <w:i/>
          <w:sz w:val="20"/>
        </w:rPr>
        <w:t>December</w:t>
      </w:r>
      <w:r>
        <w:rPr>
          <w:i/>
          <w:spacing w:val="-1"/>
          <w:sz w:val="20"/>
        </w:rPr>
        <w:t xml:space="preserve"> </w:t>
      </w:r>
      <w:r>
        <w:rPr>
          <w:i/>
          <w:sz w:val="20"/>
        </w:rPr>
        <w:t>2023</w:t>
      </w:r>
      <w:r>
        <w:rPr>
          <w:i/>
          <w:spacing w:val="-5"/>
          <w:sz w:val="20"/>
        </w:rPr>
        <w:t xml:space="preserve"> </w:t>
      </w:r>
      <w:r>
        <w:rPr>
          <w:i/>
          <w:sz w:val="20"/>
        </w:rPr>
        <w:t>prices,</w:t>
      </w:r>
      <w:r>
        <w:rPr>
          <w:i/>
          <w:spacing w:val="-8"/>
          <w:sz w:val="20"/>
        </w:rPr>
        <w:t xml:space="preserve"> </w:t>
      </w:r>
      <w:r>
        <w:rPr>
          <w:i/>
          <w:sz w:val="20"/>
        </w:rPr>
        <w:t>rounded</w:t>
      </w:r>
      <w:r>
        <w:rPr>
          <w:i/>
          <w:spacing w:val="-1"/>
          <w:sz w:val="20"/>
        </w:rPr>
        <w:t xml:space="preserve"> </w:t>
      </w:r>
      <w:r>
        <w:rPr>
          <w:i/>
          <w:sz w:val="20"/>
        </w:rPr>
        <w:t>to the</w:t>
      </w:r>
      <w:r>
        <w:rPr>
          <w:i/>
          <w:spacing w:val="-3"/>
          <w:sz w:val="20"/>
        </w:rPr>
        <w:t xml:space="preserve"> </w:t>
      </w:r>
      <w:r>
        <w:rPr>
          <w:i/>
          <w:sz w:val="20"/>
        </w:rPr>
        <w:t>nearest</w:t>
      </w:r>
      <w:r>
        <w:rPr>
          <w:i/>
          <w:spacing w:val="-4"/>
          <w:sz w:val="20"/>
        </w:rPr>
        <w:t xml:space="preserve"> </w:t>
      </w:r>
      <w:r>
        <w:rPr>
          <w:i/>
          <w:sz w:val="20"/>
        </w:rPr>
        <w:t>10</w:t>
      </w:r>
      <w:r>
        <w:rPr>
          <w:i/>
          <w:spacing w:val="-4"/>
          <w:sz w:val="20"/>
        </w:rPr>
        <w:t xml:space="preserve"> </w:t>
      </w:r>
      <w:r>
        <w:rPr>
          <w:i/>
          <w:spacing w:val="-2"/>
          <w:sz w:val="20"/>
        </w:rPr>
        <w:t>cents.</w:t>
      </w:r>
    </w:p>
    <w:p w14:paraId="41953151" w14:textId="77777777" w:rsidR="00811887" w:rsidRDefault="00811887" w:rsidP="00811887">
      <w:pPr>
        <w:spacing w:before="4" w:line="266" w:lineRule="auto"/>
        <w:ind w:left="165"/>
        <w:rPr>
          <w:sz w:val="24"/>
        </w:rPr>
      </w:pPr>
    </w:p>
    <w:p w14:paraId="1391C745" w14:textId="77777777" w:rsidR="00811887" w:rsidRDefault="00811887" w:rsidP="00811887">
      <w:pPr>
        <w:spacing w:before="4" w:line="266" w:lineRule="auto"/>
        <w:ind w:left="165"/>
        <w:rPr>
          <w:sz w:val="24"/>
        </w:rPr>
      </w:pPr>
      <w:r>
        <w:rPr>
          <w:sz w:val="24"/>
        </w:rPr>
        <w:t>Note</w:t>
      </w:r>
      <w:r>
        <w:rPr>
          <w:spacing w:val="-3"/>
          <w:sz w:val="24"/>
        </w:rPr>
        <w:t xml:space="preserve"> </w:t>
      </w:r>
      <w:r>
        <w:rPr>
          <w:sz w:val="24"/>
        </w:rPr>
        <w:t>for</w:t>
      </w:r>
      <w:r>
        <w:rPr>
          <w:spacing w:val="-2"/>
          <w:sz w:val="24"/>
        </w:rPr>
        <w:t xml:space="preserve"> </w:t>
      </w:r>
      <w:r>
        <w:rPr>
          <w:sz w:val="24"/>
        </w:rPr>
        <w:t>Tables</w:t>
      </w:r>
      <w:r>
        <w:rPr>
          <w:spacing w:val="-3"/>
          <w:sz w:val="24"/>
        </w:rPr>
        <w:t xml:space="preserve"> </w:t>
      </w:r>
      <w:r>
        <w:rPr>
          <w:sz w:val="24"/>
        </w:rPr>
        <w:t>2-4,</w:t>
      </w:r>
      <w:r>
        <w:rPr>
          <w:spacing w:val="-3"/>
          <w:sz w:val="24"/>
        </w:rPr>
        <w:t xml:space="preserve"> </w:t>
      </w:r>
      <w:r>
        <w:rPr>
          <w:sz w:val="24"/>
        </w:rPr>
        <w:t>poverty</w:t>
      </w:r>
      <w:r>
        <w:rPr>
          <w:spacing w:val="-2"/>
          <w:sz w:val="24"/>
        </w:rPr>
        <w:t xml:space="preserve"> </w:t>
      </w:r>
      <w:r>
        <w:rPr>
          <w:sz w:val="24"/>
        </w:rPr>
        <w:t>measures</w:t>
      </w:r>
      <w:r>
        <w:rPr>
          <w:spacing w:val="-2"/>
          <w:sz w:val="24"/>
        </w:rPr>
        <w:t xml:space="preserve"> </w:t>
      </w:r>
      <w:r>
        <w:rPr>
          <w:sz w:val="24"/>
        </w:rPr>
        <w:t>are</w:t>
      </w:r>
      <w:r>
        <w:rPr>
          <w:spacing w:val="-7"/>
          <w:sz w:val="24"/>
        </w:rPr>
        <w:t xml:space="preserve"> </w:t>
      </w:r>
      <w:r>
        <w:rPr>
          <w:sz w:val="24"/>
        </w:rPr>
        <w:t>expressed</w:t>
      </w:r>
      <w:r>
        <w:rPr>
          <w:spacing w:val="-4"/>
          <w:sz w:val="24"/>
        </w:rPr>
        <w:t xml:space="preserve"> </w:t>
      </w:r>
      <w:r>
        <w:rPr>
          <w:sz w:val="24"/>
        </w:rPr>
        <w:t>relative</w:t>
      </w:r>
      <w:r>
        <w:rPr>
          <w:spacing w:val="-2"/>
          <w:sz w:val="24"/>
        </w:rPr>
        <w:t xml:space="preserve"> </w:t>
      </w:r>
      <w:r>
        <w:rPr>
          <w:sz w:val="24"/>
        </w:rPr>
        <w:t>to</w:t>
      </w:r>
      <w:r>
        <w:rPr>
          <w:spacing w:val="-5"/>
          <w:sz w:val="24"/>
        </w:rPr>
        <w:t xml:space="preserve"> </w:t>
      </w:r>
      <w:r>
        <w:rPr>
          <w:sz w:val="24"/>
        </w:rPr>
        <w:t>the</w:t>
      </w:r>
      <w:r>
        <w:rPr>
          <w:spacing w:val="-2"/>
          <w:sz w:val="24"/>
        </w:rPr>
        <w:t xml:space="preserve"> </w:t>
      </w:r>
      <w:r>
        <w:rPr>
          <w:sz w:val="24"/>
        </w:rPr>
        <w:t>working</w:t>
      </w:r>
      <w:r>
        <w:rPr>
          <w:spacing w:val="-1"/>
          <w:sz w:val="24"/>
        </w:rPr>
        <w:t xml:space="preserve"> </w:t>
      </w:r>
      <w:r>
        <w:rPr>
          <w:sz w:val="24"/>
        </w:rPr>
        <w:t>age</w:t>
      </w:r>
      <w:r>
        <w:rPr>
          <w:spacing w:val="-2"/>
          <w:sz w:val="24"/>
        </w:rPr>
        <w:t xml:space="preserve"> </w:t>
      </w:r>
      <w:r>
        <w:rPr>
          <w:sz w:val="24"/>
        </w:rPr>
        <w:t>or</w:t>
      </w:r>
      <w:r>
        <w:rPr>
          <w:spacing w:val="-2"/>
          <w:sz w:val="24"/>
        </w:rPr>
        <w:t xml:space="preserve"> </w:t>
      </w:r>
      <w:r>
        <w:rPr>
          <w:sz w:val="24"/>
        </w:rPr>
        <w:t>pension</w:t>
      </w:r>
      <w:r>
        <w:rPr>
          <w:spacing w:val="-4"/>
          <w:sz w:val="24"/>
        </w:rPr>
        <w:t xml:space="preserve"> </w:t>
      </w:r>
      <w:r>
        <w:rPr>
          <w:sz w:val="24"/>
        </w:rPr>
        <w:t>payment amount in each year.</w:t>
      </w:r>
    </w:p>
    <w:p w14:paraId="5A96698C" w14:textId="77777777" w:rsidR="00811887" w:rsidRDefault="00811887" w:rsidP="00811887">
      <w:pPr>
        <w:spacing w:line="266" w:lineRule="auto"/>
        <w:rPr>
          <w:sz w:val="24"/>
        </w:rPr>
        <w:sectPr w:rsidR="00811887" w:rsidSect="00811887">
          <w:pgSz w:w="11910" w:h="16840"/>
          <w:pgMar w:top="880" w:right="721" w:bottom="1200" w:left="740" w:header="0" w:footer="1005" w:gutter="0"/>
          <w:cols w:space="720"/>
        </w:sectPr>
      </w:pPr>
    </w:p>
    <w:p w14:paraId="575C04A3" w14:textId="77777777" w:rsidR="00811887" w:rsidRPr="00630A63" w:rsidRDefault="00811887" w:rsidP="00811887">
      <w:pPr>
        <w:pStyle w:val="Heading6"/>
      </w:pPr>
      <w:r w:rsidRPr="00630A63">
        <w:lastRenderedPageBreak/>
        <w:t>Financial</w:t>
      </w:r>
      <w:r w:rsidRPr="00630A63">
        <w:rPr>
          <w:spacing w:val="-8"/>
        </w:rPr>
        <w:t xml:space="preserve"> </w:t>
      </w:r>
      <w:r w:rsidRPr="00630A63">
        <w:t>stress</w:t>
      </w:r>
      <w:r w:rsidRPr="00630A63">
        <w:rPr>
          <w:spacing w:val="-1"/>
        </w:rPr>
        <w:t xml:space="preserve"> </w:t>
      </w:r>
      <w:r w:rsidRPr="00630A63">
        <w:t>and</w:t>
      </w:r>
      <w:r w:rsidRPr="00630A63">
        <w:rPr>
          <w:spacing w:val="-4"/>
        </w:rPr>
        <w:t xml:space="preserve"> </w:t>
      </w:r>
      <w:r w:rsidRPr="00630A63">
        <w:rPr>
          <w:spacing w:val="-2"/>
        </w:rPr>
        <w:t>deprivation</w:t>
      </w:r>
    </w:p>
    <w:p w14:paraId="002AC6D2" w14:textId="77777777" w:rsidR="00811887" w:rsidRDefault="00811887" w:rsidP="00811887">
      <w:pPr>
        <w:spacing w:before="47" w:line="264" w:lineRule="auto"/>
        <w:ind w:left="165" w:right="200"/>
        <w:rPr>
          <w:sz w:val="24"/>
        </w:rPr>
      </w:pPr>
      <w:r>
        <w:rPr>
          <w:sz w:val="24"/>
        </w:rPr>
        <w:t>This section provides an overview of financial stress indicators over time</w:t>
      </w:r>
      <w:r>
        <w:rPr>
          <w:i/>
          <w:sz w:val="24"/>
        </w:rPr>
        <w:t xml:space="preserve">, </w:t>
      </w:r>
      <w:r>
        <w:rPr>
          <w:sz w:val="24"/>
        </w:rPr>
        <w:t>and is sourced from the Household, Income and Labour Dynamics in Australia (HILDA) Survey. Cohort breakdowns include all people aged 15 and over (Chart 5) and income support recipients (Chart 6) experiencing two or more indicators by family type, as well as the breakdown of each indicator of financial stress (Chart 7). It should be noted that these data do not capture the impact of recent high levels of inflation. The Committee</w:t>
      </w:r>
      <w:r>
        <w:rPr>
          <w:spacing w:val="-2"/>
          <w:sz w:val="24"/>
        </w:rPr>
        <w:t xml:space="preserve"> </w:t>
      </w:r>
      <w:r>
        <w:rPr>
          <w:sz w:val="24"/>
        </w:rPr>
        <w:t>will</w:t>
      </w:r>
      <w:r>
        <w:rPr>
          <w:spacing w:val="-2"/>
          <w:sz w:val="24"/>
        </w:rPr>
        <w:t xml:space="preserve"> </w:t>
      </w:r>
      <w:r>
        <w:rPr>
          <w:sz w:val="24"/>
        </w:rPr>
        <w:t>look</w:t>
      </w:r>
      <w:r>
        <w:rPr>
          <w:spacing w:val="-2"/>
          <w:sz w:val="24"/>
        </w:rPr>
        <w:t xml:space="preserve"> </w:t>
      </w:r>
      <w:r>
        <w:rPr>
          <w:sz w:val="24"/>
        </w:rPr>
        <w:t>to</w:t>
      </w:r>
      <w:r>
        <w:rPr>
          <w:spacing w:val="-2"/>
          <w:sz w:val="24"/>
        </w:rPr>
        <w:t xml:space="preserve"> </w:t>
      </w:r>
      <w:r>
        <w:rPr>
          <w:sz w:val="24"/>
        </w:rPr>
        <w:t>analyse</w:t>
      </w:r>
      <w:r>
        <w:rPr>
          <w:spacing w:val="-2"/>
          <w:sz w:val="24"/>
        </w:rPr>
        <w:t xml:space="preserve"> </w:t>
      </w:r>
      <w:r>
        <w:rPr>
          <w:sz w:val="24"/>
        </w:rPr>
        <w:t>the</w:t>
      </w:r>
      <w:r>
        <w:rPr>
          <w:spacing w:val="-2"/>
          <w:sz w:val="24"/>
        </w:rPr>
        <w:t xml:space="preserve"> </w:t>
      </w:r>
      <w:r>
        <w:rPr>
          <w:sz w:val="24"/>
        </w:rPr>
        <w:t>effects</w:t>
      </w:r>
      <w:r>
        <w:rPr>
          <w:spacing w:val="-2"/>
          <w:sz w:val="24"/>
        </w:rPr>
        <w:t xml:space="preserve"> </w:t>
      </w:r>
      <w:r>
        <w:rPr>
          <w:sz w:val="24"/>
        </w:rPr>
        <w:t>of</w:t>
      </w:r>
      <w:r>
        <w:rPr>
          <w:spacing w:val="-2"/>
          <w:sz w:val="24"/>
        </w:rPr>
        <w:t xml:space="preserve"> </w:t>
      </w:r>
      <w:r>
        <w:rPr>
          <w:sz w:val="24"/>
        </w:rPr>
        <w:t>this</w:t>
      </w:r>
      <w:r>
        <w:rPr>
          <w:spacing w:val="-2"/>
          <w:sz w:val="24"/>
        </w:rPr>
        <w:t xml:space="preserve"> </w:t>
      </w:r>
      <w:r>
        <w:rPr>
          <w:sz w:val="24"/>
        </w:rPr>
        <w:t>in</w:t>
      </w:r>
      <w:r>
        <w:rPr>
          <w:spacing w:val="-3"/>
          <w:sz w:val="24"/>
        </w:rPr>
        <w:t xml:space="preserve"> </w:t>
      </w:r>
      <w:r>
        <w:rPr>
          <w:sz w:val="24"/>
        </w:rPr>
        <w:t>future</w:t>
      </w:r>
      <w:r>
        <w:rPr>
          <w:spacing w:val="-2"/>
          <w:sz w:val="24"/>
        </w:rPr>
        <w:t xml:space="preserve"> </w:t>
      </w:r>
      <w:r>
        <w:rPr>
          <w:sz w:val="24"/>
        </w:rPr>
        <w:t>reports,</w:t>
      </w:r>
      <w:r>
        <w:rPr>
          <w:spacing w:val="-2"/>
          <w:sz w:val="24"/>
        </w:rPr>
        <w:t xml:space="preserve"> </w:t>
      </w:r>
      <w:r>
        <w:rPr>
          <w:sz w:val="24"/>
        </w:rPr>
        <w:t>as</w:t>
      </w:r>
      <w:r>
        <w:rPr>
          <w:spacing w:val="-2"/>
          <w:sz w:val="24"/>
        </w:rPr>
        <w:t xml:space="preserve"> </w:t>
      </w:r>
      <w:r>
        <w:rPr>
          <w:sz w:val="24"/>
        </w:rPr>
        <w:t>it</w:t>
      </w:r>
      <w:r>
        <w:rPr>
          <w:spacing w:val="-2"/>
          <w:sz w:val="24"/>
        </w:rPr>
        <w:t xml:space="preserve"> </w:t>
      </w:r>
      <w:r>
        <w:rPr>
          <w:sz w:val="24"/>
        </w:rPr>
        <w:t>would</w:t>
      </w:r>
      <w:r>
        <w:rPr>
          <w:spacing w:val="-3"/>
          <w:sz w:val="24"/>
        </w:rPr>
        <w:t xml:space="preserve"> </w:t>
      </w:r>
      <w:r>
        <w:rPr>
          <w:sz w:val="24"/>
        </w:rPr>
        <w:t>be</w:t>
      </w:r>
      <w:r>
        <w:rPr>
          <w:spacing w:val="-2"/>
          <w:sz w:val="24"/>
        </w:rPr>
        <w:t xml:space="preserve"> </w:t>
      </w:r>
      <w:r>
        <w:rPr>
          <w:sz w:val="24"/>
        </w:rPr>
        <w:t>expected</w:t>
      </w:r>
      <w:r>
        <w:rPr>
          <w:spacing w:val="-3"/>
          <w:sz w:val="24"/>
        </w:rPr>
        <w:t xml:space="preserve"> </w:t>
      </w:r>
      <w:r>
        <w:rPr>
          <w:sz w:val="24"/>
        </w:rPr>
        <w:t>to</w:t>
      </w:r>
      <w:r>
        <w:rPr>
          <w:spacing w:val="-4"/>
          <w:sz w:val="24"/>
        </w:rPr>
        <w:t xml:space="preserve"> </w:t>
      </w:r>
      <w:r>
        <w:rPr>
          <w:sz w:val="24"/>
        </w:rPr>
        <w:t>increase levels of financial stress.</w:t>
      </w:r>
    </w:p>
    <w:tbl>
      <w:tblPr>
        <w:tblpPr w:leftFromText="180" w:rightFromText="180" w:vertAnchor="text" w:horzAnchor="margin" w:tblpY="1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
        <w:gridCol w:w="925"/>
        <w:gridCol w:w="1205"/>
        <w:gridCol w:w="850"/>
        <w:gridCol w:w="850"/>
        <w:gridCol w:w="849"/>
        <w:gridCol w:w="864"/>
        <w:gridCol w:w="919"/>
        <w:gridCol w:w="1049"/>
        <w:gridCol w:w="799"/>
      </w:tblGrid>
      <w:tr w:rsidR="00811887" w14:paraId="137D1115" w14:textId="77777777" w:rsidTr="00486E22">
        <w:trPr>
          <w:trHeight w:val="285"/>
        </w:trPr>
        <w:tc>
          <w:tcPr>
            <w:tcW w:w="700" w:type="dxa"/>
            <w:shd w:val="clear" w:color="auto" w:fill="234060"/>
          </w:tcPr>
          <w:p w14:paraId="041A2575" w14:textId="77777777" w:rsidR="00811887" w:rsidRDefault="00811887" w:rsidP="00486E22">
            <w:pPr>
              <w:pStyle w:val="TableParagraph"/>
              <w:ind w:right="92"/>
              <w:jc w:val="center"/>
              <w:rPr>
                <w:b/>
                <w:sz w:val="20"/>
              </w:rPr>
            </w:pPr>
            <w:r>
              <w:rPr>
                <w:b/>
                <w:color w:val="FFFFFF"/>
                <w:spacing w:val="-4"/>
                <w:sz w:val="20"/>
              </w:rPr>
              <w:t>Year</w:t>
            </w:r>
          </w:p>
        </w:tc>
        <w:tc>
          <w:tcPr>
            <w:tcW w:w="8310" w:type="dxa"/>
            <w:gridSpan w:val="9"/>
            <w:shd w:val="clear" w:color="auto" w:fill="234060"/>
          </w:tcPr>
          <w:p w14:paraId="7A1BB1B3" w14:textId="77777777" w:rsidR="00811887" w:rsidRDefault="00811887" w:rsidP="00486E22">
            <w:pPr>
              <w:pStyle w:val="TableParagraph"/>
              <w:spacing w:before="19" w:line="240" w:lineRule="auto"/>
              <w:ind w:left="240"/>
              <w:rPr>
                <w:b/>
                <w:sz w:val="20"/>
              </w:rPr>
            </w:pPr>
            <w:r>
              <w:rPr>
                <w:b/>
                <w:color w:val="FFFFFF"/>
                <w:sz w:val="20"/>
              </w:rPr>
              <w:t>Proportion</w:t>
            </w:r>
            <w:r>
              <w:rPr>
                <w:b/>
                <w:color w:val="FFFFFF"/>
                <w:spacing w:val="-5"/>
                <w:sz w:val="20"/>
              </w:rPr>
              <w:t xml:space="preserve"> </w:t>
            </w:r>
            <w:r>
              <w:rPr>
                <w:b/>
                <w:color w:val="FFFFFF"/>
                <w:sz w:val="20"/>
              </w:rPr>
              <w:t>of people</w:t>
            </w:r>
            <w:r>
              <w:rPr>
                <w:b/>
                <w:color w:val="FFFFFF"/>
                <w:spacing w:val="-3"/>
                <w:sz w:val="20"/>
              </w:rPr>
              <w:t xml:space="preserve"> </w:t>
            </w:r>
            <w:r>
              <w:rPr>
                <w:b/>
                <w:color w:val="FFFFFF"/>
                <w:sz w:val="20"/>
              </w:rPr>
              <w:t>experiencing</w:t>
            </w:r>
            <w:r>
              <w:rPr>
                <w:b/>
                <w:color w:val="FFFFFF"/>
                <w:spacing w:val="-2"/>
                <w:sz w:val="20"/>
              </w:rPr>
              <w:t xml:space="preserve"> </w:t>
            </w:r>
            <w:r>
              <w:rPr>
                <w:b/>
                <w:color w:val="FFFFFF"/>
                <w:sz w:val="20"/>
              </w:rPr>
              <w:t>two</w:t>
            </w:r>
            <w:r>
              <w:rPr>
                <w:b/>
                <w:color w:val="FFFFFF"/>
                <w:spacing w:val="-5"/>
                <w:sz w:val="20"/>
              </w:rPr>
              <w:t xml:space="preserve"> </w:t>
            </w:r>
            <w:r>
              <w:rPr>
                <w:b/>
                <w:color w:val="FFFFFF"/>
                <w:sz w:val="20"/>
              </w:rPr>
              <w:t>or</w:t>
            </w:r>
            <w:r>
              <w:rPr>
                <w:b/>
                <w:color w:val="FFFFFF"/>
                <w:spacing w:val="-3"/>
                <w:sz w:val="20"/>
              </w:rPr>
              <w:t xml:space="preserve"> </w:t>
            </w:r>
            <w:r>
              <w:rPr>
                <w:b/>
                <w:color w:val="FFFFFF"/>
                <w:sz w:val="20"/>
              </w:rPr>
              <w:t>more</w:t>
            </w:r>
            <w:r>
              <w:rPr>
                <w:b/>
                <w:color w:val="FFFFFF"/>
                <w:spacing w:val="-3"/>
                <w:sz w:val="20"/>
              </w:rPr>
              <w:t xml:space="preserve"> </w:t>
            </w:r>
            <w:r>
              <w:rPr>
                <w:b/>
                <w:color w:val="FFFFFF"/>
                <w:sz w:val="20"/>
              </w:rPr>
              <w:t>indicators</w:t>
            </w:r>
            <w:r>
              <w:rPr>
                <w:b/>
                <w:color w:val="FFFFFF"/>
                <w:spacing w:val="-1"/>
                <w:sz w:val="20"/>
              </w:rPr>
              <w:t xml:space="preserve"> </w:t>
            </w:r>
            <w:r>
              <w:rPr>
                <w:b/>
                <w:color w:val="FFFFFF"/>
                <w:sz w:val="20"/>
              </w:rPr>
              <w:t>of</w:t>
            </w:r>
            <w:r>
              <w:rPr>
                <w:b/>
                <w:color w:val="FFFFFF"/>
                <w:spacing w:val="-6"/>
                <w:sz w:val="20"/>
              </w:rPr>
              <w:t xml:space="preserve"> </w:t>
            </w:r>
            <w:r>
              <w:rPr>
                <w:b/>
                <w:color w:val="FFFFFF"/>
                <w:sz w:val="20"/>
              </w:rPr>
              <w:t>financial</w:t>
            </w:r>
            <w:r>
              <w:rPr>
                <w:b/>
                <w:color w:val="FFFFFF"/>
                <w:spacing w:val="-1"/>
                <w:sz w:val="20"/>
              </w:rPr>
              <w:t xml:space="preserve"> </w:t>
            </w:r>
            <w:r>
              <w:rPr>
                <w:b/>
                <w:color w:val="FFFFFF"/>
                <w:sz w:val="20"/>
              </w:rPr>
              <w:t>stress</w:t>
            </w:r>
            <w:r>
              <w:rPr>
                <w:b/>
                <w:color w:val="FFFFFF"/>
                <w:spacing w:val="-2"/>
                <w:sz w:val="20"/>
              </w:rPr>
              <w:t xml:space="preserve"> </w:t>
            </w:r>
            <w:r>
              <w:rPr>
                <w:b/>
                <w:color w:val="FFFFFF"/>
                <w:sz w:val="20"/>
              </w:rPr>
              <w:t>by</w:t>
            </w:r>
            <w:r>
              <w:rPr>
                <w:b/>
                <w:color w:val="FFFFFF"/>
                <w:spacing w:val="-1"/>
                <w:sz w:val="20"/>
              </w:rPr>
              <w:t xml:space="preserve"> </w:t>
            </w:r>
            <w:r>
              <w:rPr>
                <w:b/>
                <w:color w:val="FFFFFF"/>
                <w:sz w:val="20"/>
              </w:rPr>
              <w:t>family</w:t>
            </w:r>
            <w:r>
              <w:rPr>
                <w:b/>
                <w:color w:val="FFFFFF"/>
                <w:spacing w:val="-2"/>
                <w:sz w:val="20"/>
              </w:rPr>
              <w:t xml:space="preserve"> </w:t>
            </w:r>
            <w:r>
              <w:rPr>
                <w:b/>
                <w:color w:val="FFFFFF"/>
                <w:sz w:val="20"/>
              </w:rPr>
              <w:t>type</w:t>
            </w:r>
            <w:r>
              <w:rPr>
                <w:b/>
                <w:color w:val="FFFFFF"/>
                <w:spacing w:val="4"/>
                <w:sz w:val="20"/>
              </w:rPr>
              <w:t xml:space="preserve"> </w:t>
            </w:r>
            <w:r>
              <w:rPr>
                <w:b/>
                <w:color w:val="FFFFFF"/>
                <w:spacing w:val="-5"/>
                <w:sz w:val="20"/>
              </w:rPr>
              <w:t>(%)</w:t>
            </w:r>
          </w:p>
        </w:tc>
      </w:tr>
      <w:tr w:rsidR="00811887" w14:paraId="30CE4FAD" w14:textId="77777777" w:rsidTr="00486E22">
        <w:trPr>
          <w:trHeight w:val="980"/>
        </w:trPr>
        <w:tc>
          <w:tcPr>
            <w:tcW w:w="700" w:type="dxa"/>
            <w:shd w:val="clear" w:color="auto" w:fill="234060"/>
          </w:tcPr>
          <w:p w14:paraId="40051949" w14:textId="77777777" w:rsidR="00811887" w:rsidRDefault="00811887" w:rsidP="00486E22">
            <w:pPr>
              <w:pStyle w:val="TableParagraph"/>
              <w:spacing w:line="240" w:lineRule="auto"/>
              <w:rPr>
                <w:rFonts w:ascii="Times New Roman"/>
                <w:sz w:val="18"/>
              </w:rPr>
            </w:pPr>
          </w:p>
        </w:tc>
        <w:tc>
          <w:tcPr>
            <w:tcW w:w="925" w:type="dxa"/>
            <w:shd w:val="clear" w:color="auto" w:fill="234060"/>
          </w:tcPr>
          <w:p w14:paraId="1EA7EA60" w14:textId="77777777" w:rsidR="00811887" w:rsidRDefault="00811887" w:rsidP="00486E22">
            <w:pPr>
              <w:pStyle w:val="TableParagraph"/>
              <w:spacing w:line="240" w:lineRule="auto"/>
              <w:ind w:left="175" w:right="161" w:firstLine="85"/>
              <w:rPr>
                <w:b/>
                <w:sz w:val="20"/>
              </w:rPr>
            </w:pPr>
            <w:r>
              <w:rPr>
                <w:b/>
                <w:color w:val="FFFFFF"/>
                <w:spacing w:val="-4"/>
                <w:sz w:val="20"/>
              </w:rPr>
              <w:t xml:space="preserve">Non- </w:t>
            </w:r>
            <w:r>
              <w:rPr>
                <w:b/>
                <w:color w:val="FFFFFF"/>
                <w:spacing w:val="-2"/>
                <w:sz w:val="20"/>
              </w:rPr>
              <w:t>elderly couple</w:t>
            </w:r>
          </w:p>
        </w:tc>
        <w:tc>
          <w:tcPr>
            <w:tcW w:w="1205" w:type="dxa"/>
            <w:shd w:val="clear" w:color="auto" w:fill="234060"/>
          </w:tcPr>
          <w:p w14:paraId="2AD72B16" w14:textId="77777777" w:rsidR="00811887" w:rsidRDefault="00811887" w:rsidP="00486E22">
            <w:pPr>
              <w:pStyle w:val="TableParagraph"/>
              <w:spacing w:line="240" w:lineRule="auto"/>
              <w:ind w:left="145" w:right="133" w:firstLine="6"/>
              <w:jc w:val="center"/>
              <w:rPr>
                <w:b/>
                <w:sz w:val="20"/>
              </w:rPr>
            </w:pPr>
            <w:r>
              <w:rPr>
                <w:b/>
                <w:color w:val="FFFFFF"/>
                <w:spacing w:val="-2"/>
                <w:sz w:val="20"/>
              </w:rPr>
              <w:t xml:space="preserve">Couple </w:t>
            </w:r>
            <w:r>
              <w:rPr>
                <w:b/>
                <w:color w:val="FFFFFF"/>
                <w:spacing w:val="-4"/>
                <w:sz w:val="20"/>
              </w:rPr>
              <w:t xml:space="preserve">with </w:t>
            </w:r>
            <w:r>
              <w:rPr>
                <w:b/>
                <w:color w:val="FFFFFF"/>
                <w:spacing w:val="-2"/>
                <w:sz w:val="20"/>
              </w:rPr>
              <w:t>dependent</w:t>
            </w:r>
          </w:p>
          <w:p w14:paraId="1B9CA60A" w14:textId="77777777" w:rsidR="00811887" w:rsidRDefault="00811887" w:rsidP="00486E22">
            <w:pPr>
              <w:pStyle w:val="TableParagraph"/>
              <w:spacing w:before="2" w:line="225" w:lineRule="exact"/>
              <w:ind w:left="12"/>
              <w:jc w:val="center"/>
              <w:rPr>
                <w:b/>
                <w:sz w:val="20"/>
              </w:rPr>
            </w:pPr>
            <w:r>
              <w:rPr>
                <w:b/>
                <w:color w:val="FFFFFF"/>
                <w:spacing w:val="-2"/>
                <w:sz w:val="20"/>
              </w:rPr>
              <w:t>children</w:t>
            </w:r>
          </w:p>
        </w:tc>
        <w:tc>
          <w:tcPr>
            <w:tcW w:w="850" w:type="dxa"/>
            <w:shd w:val="clear" w:color="auto" w:fill="234060"/>
          </w:tcPr>
          <w:p w14:paraId="639A8634" w14:textId="77777777" w:rsidR="00811887" w:rsidRDefault="00811887" w:rsidP="00486E22">
            <w:pPr>
              <w:pStyle w:val="TableParagraph"/>
              <w:spacing w:line="240" w:lineRule="auto"/>
              <w:ind w:left="151" w:right="126" w:firstLine="25"/>
              <w:rPr>
                <w:b/>
                <w:sz w:val="20"/>
              </w:rPr>
            </w:pPr>
            <w:r>
              <w:rPr>
                <w:b/>
                <w:color w:val="FFFFFF"/>
                <w:spacing w:val="-2"/>
                <w:sz w:val="20"/>
              </w:rPr>
              <w:t>Single parent</w:t>
            </w:r>
          </w:p>
        </w:tc>
        <w:tc>
          <w:tcPr>
            <w:tcW w:w="850" w:type="dxa"/>
            <w:shd w:val="clear" w:color="auto" w:fill="234060"/>
          </w:tcPr>
          <w:p w14:paraId="3A1B580D" w14:textId="77777777" w:rsidR="00811887" w:rsidRDefault="00811887" w:rsidP="00486E22">
            <w:pPr>
              <w:pStyle w:val="TableParagraph"/>
              <w:spacing w:line="240" w:lineRule="auto"/>
              <w:ind w:left="141" w:right="122" w:firstLine="35"/>
              <w:jc w:val="both"/>
              <w:rPr>
                <w:b/>
                <w:sz w:val="20"/>
              </w:rPr>
            </w:pPr>
            <w:r>
              <w:rPr>
                <w:b/>
                <w:color w:val="FFFFFF"/>
                <w:spacing w:val="-2"/>
                <w:sz w:val="20"/>
              </w:rPr>
              <w:t xml:space="preserve">Single </w:t>
            </w:r>
            <w:r>
              <w:rPr>
                <w:b/>
                <w:color w:val="FFFFFF"/>
                <w:spacing w:val="-4"/>
                <w:sz w:val="20"/>
              </w:rPr>
              <w:t xml:space="preserve">non- </w:t>
            </w:r>
            <w:r>
              <w:rPr>
                <w:b/>
                <w:color w:val="FFFFFF"/>
                <w:spacing w:val="-2"/>
                <w:sz w:val="20"/>
              </w:rPr>
              <w:t>elderly</w:t>
            </w:r>
          </w:p>
          <w:p w14:paraId="460DB86C" w14:textId="77777777" w:rsidR="00811887" w:rsidRDefault="00811887" w:rsidP="00486E22">
            <w:pPr>
              <w:pStyle w:val="TableParagraph"/>
              <w:spacing w:before="2" w:line="225" w:lineRule="exact"/>
              <w:ind w:left="221"/>
              <w:rPr>
                <w:b/>
                <w:sz w:val="20"/>
              </w:rPr>
            </w:pPr>
            <w:r>
              <w:rPr>
                <w:b/>
                <w:color w:val="FFFFFF"/>
                <w:spacing w:val="-4"/>
                <w:sz w:val="20"/>
              </w:rPr>
              <w:t>male</w:t>
            </w:r>
          </w:p>
        </w:tc>
        <w:tc>
          <w:tcPr>
            <w:tcW w:w="849" w:type="dxa"/>
            <w:shd w:val="clear" w:color="auto" w:fill="234060"/>
          </w:tcPr>
          <w:p w14:paraId="1768EEF0" w14:textId="77777777" w:rsidR="00811887" w:rsidRDefault="00811887" w:rsidP="00486E22">
            <w:pPr>
              <w:pStyle w:val="TableParagraph"/>
              <w:spacing w:line="240" w:lineRule="auto"/>
              <w:ind w:left="142" w:right="120" w:firstLine="35"/>
              <w:jc w:val="both"/>
              <w:rPr>
                <w:b/>
                <w:sz w:val="20"/>
              </w:rPr>
            </w:pPr>
            <w:r>
              <w:rPr>
                <w:b/>
                <w:color w:val="FFFFFF"/>
                <w:spacing w:val="-2"/>
                <w:sz w:val="20"/>
              </w:rPr>
              <w:t xml:space="preserve">Single </w:t>
            </w:r>
            <w:r>
              <w:rPr>
                <w:b/>
                <w:color w:val="FFFFFF"/>
                <w:spacing w:val="-4"/>
                <w:sz w:val="20"/>
              </w:rPr>
              <w:t xml:space="preserve">non- </w:t>
            </w:r>
            <w:r>
              <w:rPr>
                <w:b/>
                <w:color w:val="FFFFFF"/>
                <w:spacing w:val="-2"/>
                <w:sz w:val="20"/>
              </w:rPr>
              <w:t>elderly</w:t>
            </w:r>
          </w:p>
          <w:p w14:paraId="2FA32FA6" w14:textId="77777777" w:rsidR="00811887" w:rsidRDefault="00811887" w:rsidP="00486E22">
            <w:pPr>
              <w:pStyle w:val="TableParagraph"/>
              <w:spacing w:before="2" w:line="225" w:lineRule="exact"/>
              <w:ind w:left="142"/>
              <w:rPr>
                <w:b/>
                <w:sz w:val="20"/>
              </w:rPr>
            </w:pPr>
            <w:r>
              <w:rPr>
                <w:b/>
                <w:color w:val="FFFFFF"/>
                <w:spacing w:val="-2"/>
                <w:sz w:val="20"/>
              </w:rPr>
              <w:t>female</w:t>
            </w:r>
          </w:p>
        </w:tc>
        <w:tc>
          <w:tcPr>
            <w:tcW w:w="864" w:type="dxa"/>
            <w:shd w:val="clear" w:color="auto" w:fill="234060"/>
          </w:tcPr>
          <w:p w14:paraId="2267D191" w14:textId="77777777" w:rsidR="00811887" w:rsidRDefault="00811887" w:rsidP="00486E22">
            <w:pPr>
              <w:pStyle w:val="TableParagraph"/>
              <w:spacing w:line="240" w:lineRule="auto"/>
              <w:ind w:left="158" w:right="132" w:firstLine="45"/>
              <w:rPr>
                <w:b/>
                <w:sz w:val="20"/>
              </w:rPr>
            </w:pPr>
            <w:r>
              <w:rPr>
                <w:b/>
                <w:color w:val="FFFFFF"/>
                <w:spacing w:val="-2"/>
                <w:sz w:val="20"/>
              </w:rPr>
              <w:t>Older couple</w:t>
            </w:r>
          </w:p>
        </w:tc>
        <w:tc>
          <w:tcPr>
            <w:tcW w:w="919" w:type="dxa"/>
            <w:shd w:val="clear" w:color="auto" w:fill="234060"/>
          </w:tcPr>
          <w:p w14:paraId="03DF6E7D" w14:textId="77777777" w:rsidR="00811887" w:rsidRDefault="00811887" w:rsidP="00486E22">
            <w:pPr>
              <w:pStyle w:val="TableParagraph"/>
              <w:spacing w:line="240" w:lineRule="auto"/>
              <w:ind w:left="249" w:right="187" w:hanging="30"/>
              <w:jc w:val="both"/>
              <w:rPr>
                <w:b/>
                <w:sz w:val="20"/>
              </w:rPr>
            </w:pPr>
            <w:r>
              <w:rPr>
                <w:b/>
                <w:color w:val="FFFFFF"/>
                <w:spacing w:val="-2"/>
                <w:sz w:val="20"/>
              </w:rPr>
              <w:t xml:space="preserve">Single older </w:t>
            </w:r>
            <w:r>
              <w:rPr>
                <w:b/>
                <w:color w:val="FFFFFF"/>
                <w:spacing w:val="-4"/>
                <w:sz w:val="20"/>
              </w:rPr>
              <w:t>male</w:t>
            </w:r>
          </w:p>
        </w:tc>
        <w:tc>
          <w:tcPr>
            <w:tcW w:w="1049" w:type="dxa"/>
            <w:shd w:val="clear" w:color="auto" w:fill="234060"/>
          </w:tcPr>
          <w:p w14:paraId="2D9E577A" w14:textId="77777777" w:rsidR="00811887" w:rsidRDefault="00811887" w:rsidP="00486E22">
            <w:pPr>
              <w:pStyle w:val="TableParagraph"/>
              <w:spacing w:line="240" w:lineRule="auto"/>
              <w:ind w:left="246" w:right="211" w:firstLine="34"/>
              <w:jc w:val="both"/>
              <w:rPr>
                <w:b/>
                <w:sz w:val="20"/>
              </w:rPr>
            </w:pPr>
            <w:r>
              <w:rPr>
                <w:b/>
                <w:color w:val="FFFFFF"/>
                <w:spacing w:val="-2"/>
                <w:sz w:val="20"/>
              </w:rPr>
              <w:t>Single older female</w:t>
            </w:r>
          </w:p>
        </w:tc>
        <w:tc>
          <w:tcPr>
            <w:tcW w:w="799" w:type="dxa"/>
            <w:shd w:val="clear" w:color="auto" w:fill="234060"/>
          </w:tcPr>
          <w:p w14:paraId="2E8EA14A" w14:textId="77777777" w:rsidR="00811887" w:rsidRDefault="00811887" w:rsidP="00486E22">
            <w:pPr>
              <w:pStyle w:val="TableParagraph"/>
              <w:spacing w:line="240" w:lineRule="auto"/>
              <w:ind w:left="122" w:right="86" w:firstLine="175"/>
              <w:rPr>
                <w:b/>
                <w:sz w:val="20"/>
              </w:rPr>
            </w:pPr>
            <w:r>
              <w:rPr>
                <w:b/>
                <w:color w:val="FFFFFF"/>
                <w:spacing w:val="-4"/>
                <w:sz w:val="20"/>
              </w:rPr>
              <w:t xml:space="preserve">All </w:t>
            </w:r>
            <w:r>
              <w:rPr>
                <w:b/>
                <w:color w:val="FFFFFF"/>
                <w:spacing w:val="-2"/>
                <w:sz w:val="20"/>
              </w:rPr>
              <w:t>people</w:t>
            </w:r>
          </w:p>
        </w:tc>
      </w:tr>
      <w:tr w:rsidR="00811887" w14:paraId="56725635" w14:textId="77777777" w:rsidTr="00486E22">
        <w:trPr>
          <w:trHeight w:val="280"/>
        </w:trPr>
        <w:tc>
          <w:tcPr>
            <w:tcW w:w="700" w:type="dxa"/>
            <w:shd w:val="clear" w:color="auto" w:fill="234060"/>
          </w:tcPr>
          <w:p w14:paraId="75D377BC" w14:textId="77777777" w:rsidR="00811887" w:rsidRDefault="00811887" w:rsidP="00486E22">
            <w:pPr>
              <w:pStyle w:val="TableParagraph"/>
              <w:spacing w:line="239" w:lineRule="exact"/>
              <w:ind w:left="23" w:right="92"/>
              <w:jc w:val="center"/>
              <w:rPr>
                <w:b/>
                <w:sz w:val="20"/>
              </w:rPr>
            </w:pPr>
            <w:r>
              <w:rPr>
                <w:b/>
                <w:color w:val="FFFFFF"/>
                <w:spacing w:val="-4"/>
                <w:sz w:val="20"/>
              </w:rPr>
              <w:t>2001</w:t>
            </w:r>
          </w:p>
        </w:tc>
        <w:tc>
          <w:tcPr>
            <w:tcW w:w="925" w:type="dxa"/>
          </w:tcPr>
          <w:p w14:paraId="4CA569F9" w14:textId="77777777" w:rsidR="00811887" w:rsidRDefault="00811887" w:rsidP="00486E22">
            <w:pPr>
              <w:pStyle w:val="TableParagraph"/>
              <w:spacing w:line="239" w:lineRule="exact"/>
              <w:ind w:left="7"/>
              <w:jc w:val="center"/>
              <w:rPr>
                <w:sz w:val="20"/>
              </w:rPr>
            </w:pPr>
            <w:r>
              <w:rPr>
                <w:spacing w:val="-4"/>
                <w:sz w:val="20"/>
              </w:rPr>
              <w:t>10.8</w:t>
            </w:r>
          </w:p>
        </w:tc>
        <w:tc>
          <w:tcPr>
            <w:tcW w:w="1205" w:type="dxa"/>
          </w:tcPr>
          <w:p w14:paraId="00DF46E9" w14:textId="77777777" w:rsidR="00811887" w:rsidRDefault="00811887" w:rsidP="00486E22">
            <w:pPr>
              <w:pStyle w:val="TableParagraph"/>
              <w:spacing w:line="239" w:lineRule="exact"/>
              <w:ind w:left="12" w:right="3"/>
              <w:jc w:val="center"/>
              <w:rPr>
                <w:sz w:val="20"/>
              </w:rPr>
            </w:pPr>
            <w:r>
              <w:rPr>
                <w:spacing w:val="-4"/>
                <w:sz w:val="20"/>
              </w:rPr>
              <w:t>15.2</w:t>
            </w:r>
          </w:p>
        </w:tc>
        <w:tc>
          <w:tcPr>
            <w:tcW w:w="850" w:type="dxa"/>
          </w:tcPr>
          <w:p w14:paraId="10AFF6C5" w14:textId="77777777" w:rsidR="00811887" w:rsidRDefault="00811887" w:rsidP="00486E22">
            <w:pPr>
              <w:pStyle w:val="TableParagraph"/>
              <w:spacing w:line="239" w:lineRule="exact"/>
              <w:ind w:left="14"/>
              <w:jc w:val="center"/>
              <w:rPr>
                <w:sz w:val="20"/>
              </w:rPr>
            </w:pPr>
            <w:r>
              <w:rPr>
                <w:spacing w:val="-4"/>
                <w:sz w:val="20"/>
              </w:rPr>
              <w:t>42.1</w:t>
            </w:r>
          </w:p>
        </w:tc>
        <w:tc>
          <w:tcPr>
            <w:tcW w:w="850" w:type="dxa"/>
          </w:tcPr>
          <w:p w14:paraId="499A97CB" w14:textId="77777777" w:rsidR="00811887" w:rsidRDefault="00811887" w:rsidP="00486E22">
            <w:pPr>
              <w:pStyle w:val="TableParagraph"/>
              <w:spacing w:line="239" w:lineRule="exact"/>
              <w:ind w:left="14"/>
              <w:jc w:val="center"/>
              <w:rPr>
                <w:sz w:val="20"/>
              </w:rPr>
            </w:pPr>
            <w:r>
              <w:rPr>
                <w:spacing w:val="-4"/>
                <w:sz w:val="20"/>
              </w:rPr>
              <w:t>27.4</w:t>
            </w:r>
          </w:p>
        </w:tc>
        <w:tc>
          <w:tcPr>
            <w:tcW w:w="849" w:type="dxa"/>
          </w:tcPr>
          <w:p w14:paraId="4ABE1CE0" w14:textId="77777777" w:rsidR="00811887" w:rsidRDefault="00811887" w:rsidP="00486E22">
            <w:pPr>
              <w:pStyle w:val="TableParagraph"/>
              <w:spacing w:line="239" w:lineRule="exact"/>
              <w:ind w:left="17"/>
              <w:jc w:val="center"/>
              <w:rPr>
                <w:sz w:val="20"/>
              </w:rPr>
            </w:pPr>
            <w:r>
              <w:rPr>
                <w:spacing w:val="-4"/>
                <w:sz w:val="20"/>
              </w:rPr>
              <w:t>24.6</w:t>
            </w:r>
          </w:p>
        </w:tc>
        <w:tc>
          <w:tcPr>
            <w:tcW w:w="864" w:type="dxa"/>
          </w:tcPr>
          <w:p w14:paraId="7A66A286" w14:textId="77777777" w:rsidR="00811887" w:rsidRDefault="00811887" w:rsidP="00486E22">
            <w:pPr>
              <w:pStyle w:val="TableParagraph"/>
              <w:spacing w:line="239" w:lineRule="exact"/>
              <w:ind w:left="14"/>
              <w:jc w:val="center"/>
              <w:rPr>
                <w:sz w:val="20"/>
              </w:rPr>
            </w:pPr>
            <w:r>
              <w:rPr>
                <w:spacing w:val="-5"/>
                <w:sz w:val="20"/>
              </w:rPr>
              <w:t>3.7</w:t>
            </w:r>
          </w:p>
        </w:tc>
        <w:tc>
          <w:tcPr>
            <w:tcW w:w="919" w:type="dxa"/>
          </w:tcPr>
          <w:p w14:paraId="4E75F720" w14:textId="77777777" w:rsidR="00811887" w:rsidRDefault="00811887" w:rsidP="00486E22">
            <w:pPr>
              <w:pStyle w:val="TableParagraph"/>
              <w:spacing w:line="239" w:lineRule="exact"/>
              <w:ind w:left="21"/>
              <w:jc w:val="center"/>
              <w:rPr>
                <w:sz w:val="20"/>
              </w:rPr>
            </w:pPr>
            <w:r>
              <w:rPr>
                <w:spacing w:val="-5"/>
                <w:sz w:val="20"/>
              </w:rPr>
              <w:t>6.8</w:t>
            </w:r>
          </w:p>
        </w:tc>
        <w:tc>
          <w:tcPr>
            <w:tcW w:w="1049" w:type="dxa"/>
          </w:tcPr>
          <w:p w14:paraId="1E9657A0" w14:textId="77777777" w:rsidR="00811887" w:rsidRDefault="00811887" w:rsidP="00486E22">
            <w:pPr>
              <w:pStyle w:val="TableParagraph"/>
              <w:spacing w:line="239" w:lineRule="exact"/>
              <w:ind w:left="25"/>
              <w:jc w:val="center"/>
              <w:rPr>
                <w:sz w:val="20"/>
              </w:rPr>
            </w:pPr>
            <w:r>
              <w:rPr>
                <w:spacing w:val="-5"/>
                <w:sz w:val="20"/>
              </w:rPr>
              <w:t>8.1</w:t>
            </w:r>
          </w:p>
        </w:tc>
        <w:tc>
          <w:tcPr>
            <w:tcW w:w="799" w:type="dxa"/>
          </w:tcPr>
          <w:p w14:paraId="08AC562B" w14:textId="77777777" w:rsidR="00811887" w:rsidRDefault="00811887" w:rsidP="00486E22">
            <w:pPr>
              <w:pStyle w:val="TableParagraph"/>
              <w:spacing w:line="239" w:lineRule="exact"/>
              <w:ind w:left="27"/>
              <w:jc w:val="center"/>
              <w:rPr>
                <w:sz w:val="20"/>
              </w:rPr>
            </w:pPr>
            <w:r>
              <w:rPr>
                <w:spacing w:val="-4"/>
                <w:sz w:val="20"/>
              </w:rPr>
              <w:t>16.8</w:t>
            </w:r>
          </w:p>
        </w:tc>
      </w:tr>
      <w:tr w:rsidR="00811887" w14:paraId="311D611E" w14:textId="77777777" w:rsidTr="00486E22">
        <w:trPr>
          <w:trHeight w:val="285"/>
        </w:trPr>
        <w:tc>
          <w:tcPr>
            <w:tcW w:w="700" w:type="dxa"/>
            <w:shd w:val="clear" w:color="auto" w:fill="234060"/>
          </w:tcPr>
          <w:p w14:paraId="7B621DFF" w14:textId="77777777" w:rsidR="00811887" w:rsidRDefault="00811887" w:rsidP="00486E22">
            <w:pPr>
              <w:pStyle w:val="TableParagraph"/>
              <w:ind w:left="23" w:right="92"/>
              <w:jc w:val="center"/>
              <w:rPr>
                <w:b/>
                <w:sz w:val="20"/>
              </w:rPr>
            </w:pPr>
            <w:r>
              <w:rPr>
                <w:b/>
                <w:color w:val="FFFFFF"/>
                <w:spacing w:val="-4"/>
                <w:sz w:val="20"/>
              </w:rPr>
              <w:t>2002</w:t>
            </w:r>
          </w:p>
        </w:tc>
        <w:tc>
          <w:tcPr>
            <w:tcW w:w="925" w:type="dxa"/>
          </w:tcPr>
          <w:p w14:paraId="7E25AB4E" w14:textId="77777777" w:rsidR="00811887" w:rsidRDefault="00811887" w:rsidP="00486E22">
            <w:pPr>
              <w:pStyle w:val="TableParagraph"/>
              <w:ind w:left="7"/>
              <w:jc w:val="center"/>
              <w:rPr>
                <w:sz w:val="20"/>
              </w:rPr>
            </w:pPr>
            <w:r>
              <w:rPr>
                <w:spacing w:val="-4"/>
                <w:sz w:val="20"/>
              </w:rPr>
              <w:t>10.0</w:t>
            </w:r>
          </w:p>
        </w:tc>
        <w:tc>
          <w:tcPr>
            <w:tcW w:w="1205" w:type="dxa"/>
          </w:tcPr>
          <w:p w14:paraId="0629D04B" w14:textId="77777777" w:rsidR="00811887" w:rsidRDefault="00811887" w:rsidP="00486E22">
            <w:pPr>
              <w:pStyle w:val="TableParagraph"/>
              <w:ind w:left="12" w:right="3"/>
              <w:jc w:val="center"/>
              <w:rPr>
                <w:sz w:val="20"/>
              </w:rPr>
            </w:pPr>
            <w:r>
              <w:rPr>
                <w:spacing w:val="-4"/>
                <w:sz w:val="20"/>
              </w:rPr>
              <w:t>12.7</w:t>
            </w:r>
          </w:p>
        </w:tc>
        <w:tc>
          <w:tcPr>
            <w:tcW w:w="850" w:type="dxa"/>
          </w:tcPr>
          <w:p w14:paraId="0D287197" w14:textId="77777777" w:rsidR="00811887" w:rsidRDefault="00811887" w:rsidP="00486E22">
            <w:pPr>
              <w:pStyle w:val="TableParagraph"/>
              <w:ind w:left="14"/>
              <w:jc w:val="center"/>
              <w:rPr>
                <w:sz w:val="20"/>
              </w:rPr>
            </w:pPr>
            <w:r>
              <w:rPr>
                <w:spacing w:val="-4"/>
                <w:sz w:val="20"/>
              </w:rPr>
              <w:t>35.1</w:t>
            </w:r>
          </w:p>
        </w:tc>
        <w:tc>
          <w:tcPr>
            <w:tcW w:w="850" w:type="dxa"/>
          </w:tcPr>
          <w:p w14:paraId="639A6500" w14:textId="77777777" w:rsidR="00811887" w:rsidRDefault="00811887" w:rsidP="00486E22">
            <w:pPr>
              <w:pStyle w:val="TableParagraph"/>
              <w:ind w:left="14"/>
              <w:jc w:val="center"/>
              <w:rPr>
                <w:sz w:val="20"/>
              </w:rPr>
            </w:pPr>
            <w:r>
              <w:rPr>
                <w:spacing w:val="-4"/>
                <w:sz w:val="20"/>
              </w:rPr>
              <w:t>20.1</w:t>
            </w:r>
          </w:p>
        </w:tc>
        <w:tc>
          <w:tcPr>
            <w:tcW w:w="849" w:type="dxa"/>
          </w:tcPr>
          <w:p w14:paraId="3521A537" w14:textId="77777777" w:rsidR="00811887" w:rsidRDefault="00811887" w:rsidP="00486E22">
            <w:pPr>
              <w:pStyle w:val="TableParagraph"/>
              <w:ind w:left="17"/>
              <w:jc w:val="center"/>
              <w:rPr>
                <w:sz w:val="20"/>
              </w:rPr>
            </w:pPr>
            <w:r>
              <w:rPr>
                <w:spacing w:val="-4"/>
                <w:sz w:val="20"/>
              </w:rPr>
              <w:t>21.3</w:t>
            </w:r>
          </w:p>
        </w:tc>
        <w:tc>
          <w:tcPr>
            <w:tcW w:w="864" w:type="dxa"/>
          </w:tcPr>
          <w:p w14:paraId="66CBFE41" w14:textId="77777777" w:rsidR="00811887" w:rsidRDefault="00811887" w:rsidP="00486E22">
            <w:pPr>
              <w:pStyle w:val="TableParagraph"/>
              <w:ind w:left="14"/>
              <w:jc w:val="center"/>
              <w:rPr>
                <w:sz w:val="20"/>
              </w:rPr>
            </w:pPr>
            <w:r>
              <w:rPr>
                <w:spacing w:val="-5"/>
                <w:sz w:val="20"/>
              </w:rPr>
              <w:t>4.3</w:t>
            </w:r>
          </w:p>
        </w:tc>
        <w:tc>
          <w:tcPr>
            <w:tcW w:w="919" w:type="dxa"/>
          </w:tcPr>
          <w:p w14:paraId="3AE5E432" w14:textId="77777777" w:rsidR="00811887" w:rsidRDefault="00811887" w:rsidP="00486E22">
            <w:pPr>
              <w:pStyle w:val="TableParagraph"/>
              <w:ind w:left="21"/>
              <w:jc w:val="center"/>
              <w:rPr>
                <w:sz w:val="20"/>
              </w:rPr>
            </w:pPr>
            <w:r>
              <w:rPr>
                <w:spacing w:val="-5"/>
                <w:sz w:val="20"/>
              </w:rPr>
              <w:t>7.4</w:t>
            </w:r>
          </w:p>
        </w:tc>
        <w:tc>
          <w:tcPr>
            <w:tcW w:w="1049" w:type="dxa"/>
          </w:tcPr>
          <w:p w14:paraId="2070312D" w14:textId="77777777" w:rsidR="00811887" w:rsidRDefault="00811887" w:rsidP="00486E22">
            <w:pPr>
              <w:pStyle w:val="TableParagraph"/>
              <w:ind w:left="25"/>
              <w:jc w:val="center"/>
              <w:rPr>
                <w:sz w:val="20"/>
              </w:rPr>
            </w:pPr>
            <w:r>
              <w:rPr>
                <w:spacing w:val="-5"/>
                <w:sz w:val="20"/>
              </w:rPr>
              <w:t>4.5</w:t>
            </w:r>
          </w:p>
        </w:tc>
        <w:tc>
          <w:tcPr>
            <w:tcW w:w="799" w:type="dxa"/>
          </w:tcPr>
          <w:p w14:paraId="0B1B4B1D" w14:textId="77777777" w:rsidR="00811887" w:rsidRDefault="00811887" w:rsidP="00486E22">
            <w:pPr>
              <w:pStyle w:val="TableParagraph"/>
              <w:ind w:left="27"/>
              <w:jc w:val="center"/>
              <w:rPr>
                <w:sz w:val="20"/>
              </w:rPr>
            </w:pPr>
            <w:r>
              <w:rPr>
                <w:spacing w:val="-4"/>
                <w:sz w:val="20"/>
              </w:rPr>
              <w:t>14.0</w:t>
            </w:r>
          </w:p>
        </w:tc>
      </w:tr>
      <w:tr w:rsidR="00811887" w14:paraId="4775F8E4" w14:textId="77777777" w:rsidTr="00486E22">
        <w:trPr>
          <w:trHeight w:val="285"/>
        </w:trPr>
        <w:tc>
          <w:tcPr>
            <w:tcW w:w="700" w:type="dxa"/>
            <w:shd w:val="clear" w:color="auto" w:fill="234060"/>
          </w:tcPr>
          <w:p w14:paraId="4F237D9C" w14:textId="77777777" w:rsidR="00811887" w:rsidRDefault="00811887" w:rsidP="00486E22">
            <w:pPr>
              <w:pStyle w:val="TableParagraph"/>
              <w:ind w:left="23" w:right="92"/>
              <w:jc w:val="center"/>
              <w:rPr>
                <w:b/>
                <w:sz w:val="20"/>
              </w:rPr>
            </w:pPr>
            <w:r>
              <w:rPr>
                <w:b/>
                <w:color w:val="FFFFFF"/>
                <w:spacing w:val="-4"/>
                <w:sz w:val="20"/>
              </w:rPr>
              <w:t>2003</w:t>
            </w:r>
          </w:p>
        </w:tc>
        <w:tc>
          <w:tcPr>
            <w:tcW w:w="925" w:type="dxa"/>
          </w:tcPr>
          <w:p w14:paraId="1F96AEFA" w14:textId="77777777" w:rsidR="00811887" w:rsidRDefault="00811887" w:rsidP="00486E22">
            <w:pPr>
              <w:pStyle w:val="TableParagraph"/>
              <w:ind w:left="7"/>
              <w:jc w:val="center"/>
              <w:rPr>
                <w:sz w:val="20"/>
              </w:rPr>
            </w:pPr>
            <w:r>
              <w:rPr>
                <w:spacing w:val="-5"/>
                <w:sz w:val="20"/>
              </w:rPr>
              <w:t>9.9</w:t>
            </w:r>
          </w:p>
        </w:tc>
        <w:tc>
          <w:tcPr>
            <w:tcW w:w="1205" w:type="dxa"/>
          </w:tcPr>
          <w:p w14:paraId="72C37679" w14:textId="77777777" w:rsidR="00811887" w:rsidRDefault="00811887" w:rsidP="00486E22">
            <w:pPr>
              <w:pStyle w:val="TableParagraph"/>
              <w:ind w:left="12" w:right="3"/>
              <w:jc w:val="center"/>
              <w:rPr>
                <w:sz w:val="20"/>
              </w:rPr>
            </w:pPr>
            <w:r>
              <w:rPr>
                <w:spacing w:val="-4"/>
                <w:sz w:val="20"/>
              </w:rPr>
              <w:t>12.5</w:t>
            </w:r>
          </w:p>
        </w:tc>
        <w:tc>
          <w:tcPr>
            <w:tcW w:w="850" w:type="dxa"/>
          </w:tcPr>
          <w:p w14:paraId="4FA4EF00" w14:textId="77777777" w:rsidR="00811887" w:rsidRDefault="00811887" w:rsidP="00486E22">
            <w:pPr>
              <w:pStyle w:val="TableParagraph"/>
              <w:ind w:left="14" w:right="1"/>
              <w:jc w:val="center"/>
              <w:rPr>
                <w:sz w:val="20"/>
              </w:rPr>
            </w:pPr>
            <w:r>
              <w:rPr>
                <w:spacing w:val="-4"/>
                <w:sz w:val="20"/>
              </w:rPr>
              <w:t>33.0</w:t>
            </w:r>
          </w:p>
        </w:tc>
        <w:tc>
          <w:tcPr>
            <w:tcW w:w="850" w:type="dxa"/>
          </w:tcPr>
          <w:p w14:paraId="0571B456" w14:textId="77777777" w:rsidR="00811887" w:rsidRDefault="00811887" w:rsidP="00486E22">
            <w:pPr>
              <w:pStyle w:val="TableParagraph"/>
              <w:ind w:left="14"/>
              <w:jc w:val="center"/>
              <w:rPr>
                <w:sz w:val="20"/>
              </w:rPr>
            </w:pPr>
            <w:r>
              <w:rPr>
                <w:spacing w:val="-4"/>
                <w:sz w:val="20"/>
              </w:rPr>
              <w:t>21.2</w:t>
            </w:r>
          </w:p>
        </w:tc>
        <w:tc>
          <w:tcPr>
            <w:tcW w:w="849" w:type="dxa"/>
          </w:tcPr>
          <w:p w14:paraId="761FF8D7" w14:textId="77777777" w:rsidR="00811887" w:rsidRDefault="00811887" w:rsidP="00486E22">
            <w:pPr>
              <w:pStyle w:val="TableParagraph"/>
              <w:ind w:left="17"/>
              <w:jc w:val="center"/>
              <w:rPr>
                <w:sz w:val="20"/>
              </w:rPr>
            </w:pPr>
            <w:r>
              <w:rPr>
                <w:spacing w:val="-4"/>
                <w:sz w:val="20"/>
              </w:rPr>
              <w:t>20.9</w:t>
            </w:r>
          </w:p>
        </w:tc>
        <w:tc>
          <w:tcPr>
            <w:tcW w:w="864" w:type="dxa"/>
          </w:tcPr>
          <w:p w14:paraId="439A59C0" w14:textId="77777777" w:rsidR="00811887" w:rsidRDefault="00811887" w:rsidP="00486E22">
            <w:pPr>
              <w:pStyle w:val="TableParagraph"/>
              <w:ind w:left="14"/>
              <w:jc w:val="center"/>
              <w:rPr>
                <w:sz w:val="20"/>
              </w:rPr>
            </w:pPr>
            <w:r>
              <w:rPr>
                <w:spacing w:val="-5"/>
                <w:sz w:val="20"/>
              </w:rPr>
              <w:t>3.3</w:t>
            </w:r>
          </w:p>
        </w:tc>
        <w:tc>
          <w:tcPr>
            <w:tcW w:w="919" w:type="dxa"/>
          </w:tcPr>
          <w:p w14:paraId="1371E827" w14:textId="77777777" w:rsidR="00811887" w:rsidRDefault="00811887" w:rsidP="00486E22">
            <w:pPr>
              <w:pStyle w:val="TableParagraph"/>
              <w:ind w:left="21"/>
              <w:jc w:val="center"/>
              <w:rPr>
                <w:sz w:val="20"/>
              </w:rPr>
            </w:pPr>
            <w:r>
              <w:rPr>
                <w:spacing w:val="-5"/>
                <w:sz w:val="20"/>
              </w:rPr>
              <w:t>3.6</w:t>
            </w:r>
          </w:p>
        </w:tc>
        <w:tc>
          <w:tcPr>
            <w:tcW w:w="1049" w:type="dxa"/>
          </w:tcPr>
          <w:p w14:paraId="13E3EC00" w14:textId="77777777" w:rsidR="00811887" w:rsidRDefault="00811887" w:rsidP="00486E22">
            <w:pPr>
              <w:pStyle w:val="TableParagraph"/>
              <w:ind w:left="25"/>
              <w:jc w:val="center"/>
              <w:rPr>
                <w:sz w:val="20"/>
              </w:rPr>
            </w:pPr>
            <w:r>
              <w:rPr>
                <w:spacing w:val="-5"/>
                <w:sz w:val="20"/>
              </w:rPr>
              <w:t>5.9</w:t>
            </w:r>
          </w:p>
        </w:tc>
        <w:tc>
          <w:tcPr>
            <w:tcW w:w="799" w:type="dxa"/>
          </w:tcPr>
          <w:p w14:paraId="29E16896" w14:textId="77777777" w:rsidR="00811887" w:rsidRDefault="00811887" w:rsidP="00486E22">
            <w:pPr>
              <w:pStyle w:val="TableParagraph"/>
              <w:ind w:left="27"/>
              <w:jc w:val="center"/>
              <w:rPr>
                <w:sz w:val="20"/>
              </w:rPr>
            </w:pPr>
            <w:r>
              <w:rPr>
                <w:spacing w:val="-4"/>
                <w:sz w:val="20"/>
              </w:rPr>
              <w:t>13.9</w:t>
            </w:r>
          </w:p>
        </w:tc>
      </w:tr>
      <w:tr w:rsidR="00811887" w14:paraId="7A00AE79" w14:textId="77777777" w:rsidTr="00486E22">
        <w:trPr>
          <w:trHeight w:val="285"/>
        </w:trPr>
        <w:tc>
          <w:tcPr>
            <w:tcW w:w="700" w:type="dxa"/>
            <w:shd w:val="clear" w:color="auto" w:fill="234060"/>
          </w:tcPr>
          <w:p w14:paraId="13DA17BA" w14:textId="77777777" w:rsidR="00811887" w:rsidRDefault="00811887" w:rsidP="00486E22">
            <w:pPr>
              <w:pStyle w:val="TableParagraph"/>
              <w:ind w:left="23" w:right="92"/>
              <w:jc w:val="center"/>
              <w:rPr>
                <w:b/>
                <w:sz w:val="20"/>
              </w:rPr>
            </w:pPr>
            <w:r>
              <w:rPr>
                <w:b/>
                <w:color w:val="FFFFFF"/>
                <w:spacing w:val="-4"/>
                <w:sz w:val="20"/>
              </w:rPr>
              <w:t>2004</w:t>
            </w:r>
          </w:p>
        </w:tc>
        <w:tc>
          <w:tcPr>
            <w:tcW w:w="925" w:type="dxa"/>
          </w:tcPr>
          <w:p w14:paraId="30CCE654" w14:textId="77777777" w:rsidR="00811887" w:rsidRDefault="00811887" w:rsidP="00486E22">
            <w:pPr>
              <w:pStyle w:val="TableParagraph"/>
              <w:ind w:left="7"/>
              <w:jc w:val="center"/>
              <w:rPr>
                <w:sz w:val="20"/>
              </w:rPr>
            </w:pPr>
            <w:r>
              <w:rPr>
                <w:spacing w:val="-5"/>
                <w:sz w:val="20"/>
              </w:rPr>
              <w:t>8.2</w:t>
            </w:r>
          </w:p>
        </w:tc>
        <w:tc>
          <w:tcPr>
            <w:tcW w:w="1205" w:type="dxa"/>
          </w:tcPr>
          <w:p w14:paraId="3FAD015A" w14:textId="77777777" w:rsidR="00811887" w:rsidRDefault="00811887" w:rsidP="00486E22">
            <w:pPr>
              <w:pStyle w:val="TableParagraph"/>
              <w:ind w:left="12" w:right="3"/>
              <w:jc w:val="center"/>
              <w:rPr>
                <w:sz w:val="20"/>
              </w:rPr>
            </w:pPr>
            <w:r>
              <w:rPr>
                <w:spacing w:val="-4"/>
                <w:sz w:val="20"/>
              </w:rPr>
              <w:t>11.4</w:t>
            </w:r>
          </w:p>
        </w:tc>
        <w:tc>
          <w:tcPr>
            <w:tcW w:w="850" w:type="dxa"/>
          </w:tcPr>
          <w:p w14:paraId="6B19B58E" w14:textId="77777777" w:rsidR="00811887" w:rsidRDefault="00811887" w:rsidP="00486E22">
            <w:pPr>
              <w:pStyle w:val="TableParagraph"/>
              <w:ind w:left="14"/>
              <w:jc w:val="center"/>
              <w:rPr>
                <w:sz w:val="20"/>
              </w:rPr>
            </w:pPr>
            <w:r>
              <w:rPr>
                <w:spacing w:val="-4"/>
                <w:sz w:val="20"/>
              </w:rPr>
              <w:t>30.3</w:t>
            </w:r>
          </w:p>
        </w:tc>
        <w:tc>
          <w:tcPr>
            <w:tcW w:w="850" w:type="dxa"/>
          </w:tcPr>
          <w:p w14:paraId="5456FCF3" w14:textId="77777777" w:rsidR="00811887" w:rsidRDefault="00811887" w:rsidP="00486E22">
            <w:pPr>
              <w:pStyle w:val="TableParagraph"/>
              <w:ind w:left="14"/>
              <w:jc w:val="center"/>
              <w:rPr>
                <w:sz w:val="20"/>
              </w:rPr>
            </w:pPr>
            <w:r>
              <w:rPr>
                <w:spacing w:val="-4"/>
                <w:sz w:val="20"/>
              </w:rPr>
              <w:t>19.7</w:t>
            </w:r>
          </w:p>
        </w:tc>
        <w:tc>
          <w:tcPr>
            <w:tcW w:w="849" w:type="dxa"/>
          </w:tcPr>
          <w:p w14:paraId="2832D391" w14:textId="77777777" w:rsidR="00811887" w:rsidRDefault="00811887" w:rsidP="00486E22">
            <w:pPr>
              <w:pStyle w:val="TableParagraph"/>
              <w:ind w:left="17"/>
              <w:jc w:val="center"/>
              <w:rPr>
                <w:sz w:val="20"/>
              </w:rPr>
            </w:pPr>
            <w:r>
              <w:rPr>
                <w:spacing w:val="-4"/>
                <w:sz w:val="20"/>
              </w:rPr>
              <w:t>18.4</w:t>
            </w:r>
          </w:p>
        </w:tc>
        <w:tc>
          <w:tcPr>
            <w:tcW w:w="864" w:type="dxa"/>
          </w:tcPr>
          <w:p w14:paraId="40EB1A9F" w14:textId="77777777" w:rsidR="00811887" w:rsidRDefault="00811887" w:rsidP="00486E22">
            <w:pPr>
              <w:pStyle w:val="TableParagraph"/>
              <w:ind w:left="14"/>
              <w:jc w:val="center"/>
              <w:rPr>
                <w:sz w:val="20"/>
              </w:rPr>
            </w:pPr>
            <w:r>
              <w:rPr>
                <w:spacing w:val="-5"/>
                <w:sz w:val="20"/>
              </w:rPr>
              <w:t>1.3</w:t>
            </w:r>
          </w:p>
        </w:tc>
        <w:tc>
          <w:tcPr>
            <w:tcW w:w="919" w:type="dxa"/>
          </w:tcPr>
          <w:p w14:paraId="16692167" w14:textId="77777777" w:rsidR="00811887" w:rsidRDefault="00811887" w:rsidP="00486E22">
            <w:pPr>
              <w:pStyle w:val="TableParagraph"/>
              <w:ind w:left="21"/>
              <w:jc w:val="center"/>
              <w:rPr>
                <w:sz w:val="20"/>
              </w:rPr>
            </w:pPr>
            <w:r>
              <w:rPr>
                <w:spacing w:val="-5"/>
                <w:sz w:val="20"/>
              </w:rPr>
              <w:t>4.4</w:t>
            </w:r>
          </w:p>
        </w:tc>
        <w:tc>
          <w:tcPr>
            <w:tcW w:w="1049" w:type="dxa"/>
          </w:tcPr>
          <w:p w14:paraId="5A332583" w14:textId="77777777" w:rsidR="00811887" w:rsidRDefault="00811887" w:rsidP="00486E22">
            <w:pPr>
              <w:pStyle w:val="TableParagraph"/>
              <w:ind w:left="25"/>
              <w:jc w:val="center"/>
              <w:rPr>
                <w:sz w:val="20"/>
              </w:rPr>
            </w:pPr>
            <w:r>
              <w:rPr>
                <w:spacing w:val="-5"/>
                <w:sz w:val="20"/>
              </w:rPr>
              <w:t>5.3</w:t>
            </w:r>
          </w:p>
        </w:tc>
        <w:tc>
          <w:tcPr>
            <w:tcW w:w="799" w:type="dxa"/>
          </w:tcPr>
          <w:p w14:paraId="7732FC29" w14:textId="77777777" w:rsidR="00811887" w:rsidRDefault="00811887" w:rsidP="00486E22">
            <w:pPr>
              <w:pStyle w:val="TableParagraph"/>
              <w:ind w:left="27"/>
              <w:jc w:val="center"/>
              <w:rPr>
                <w:sz w:val="20"/>
              </w:rPr>
            </w:pPr>
            <w:r>
              <w:rPr>
                <w:spacing w:val="-4"/>
                <w:sz w:val="20"/>
              </w:rPr>
              <w:t>12.2</w:t>
            </w:r>
          </w:p>
        </w:tc>
      </w:tr>
      <w:tr w:rsidR="00811887" w14:paraId="29AF73DC" w14:textId="77777777" w:rsidTr="00486E22">
        <w:trPr>
          <w:trHeight w:val="285"/>
        </w:trPr>
        <w:tc>
          <w:tcPr>
            <w:tcW w:w="700" w:type="dxa"/>
            <w:shd w:val="clear" w:color="auto" w:fill="234060"/>
          </w:tcPr>
          <w:p w14:paraId="07324249" w14:textId="77777777" w:rsidR="00811887" w:rsidRDefault="00811887" w:rsidP="00486E22">
            <w:pPr>
              <w:pStyle w:val="TableParagraph"/>
              <w:ind w:left="23" w:right="92"/>
              <w:jc w:val="center"/>
              <w:rPr>
                <w:b/>
                <w:sz w:val="20"/>
              </w:rPr>
            </w:pPr>
            <w:r>
              <w:rPr>
                <w:b/>
                <w:color w:val="FFFFFF"/>
                <w:spacing w:val="-4"/>
                <w:sz w:val="20"/>
              </w:rPr>
              <w:t>2005</w:t>
            </w:r>
          </w:p>
        </w:tc>
        <w:tc>
          <w:tcPr>
            <w:tcW w:w="925" w:type="dxa"/>
          </w:tcPr>
          <w:p w14:paraId="2E259468" w14:textId="77777777" w:rsidR="00811887" w:rsidRDefault="00811887" w:rsidP="00486E22">
            <w:pPr>
              <w:pStyle w:val="TableParagraph"/>
              <w:ind w:left="7"/>
              <w:jc w:val="center"/>
              <w:rPr>
                <w:sz w:val="20"/>
              </w:rPr>
            </w:pPr>
            <w:r>
              <w:rPr>
                <w:spacing w:val="-5"/>
                <w:sz w:val="20"/>
              </w:rPr>
              <w:t>7.3</w:t>
            </w:r>
          </w:p>
        </w:tc>
        <w:tc>
          <w:tcPr>
            <w:tcW w:w="1205" w:type="dxa"/>
          </w:tcPr>
          <w:p w14:paraId="72BB21DC" w14:textId="77777777" w:rsidR="00811887" w:rsidRDefault="00811887" w:rsidP="00486E22">
            <w:pPr>
              <w:pStyle w:val="TableParagraph"/>
              <w:ind w:left="12" w:right="3"/>
              <w:jc w:val="center"/>
              <w:rPr>
                <w:sz w:val="20"/>
              </w:rPr>
            </w:pPr>
            <w:r>
              <w:rPr>
                <w:spacing w:val="-4"/>
                <w:sz w:val="20"/>
              </w:rPr>
              <w:t>12.7</w:t>
            </w:r>
          </w:p>
        </w:tc>
        <w:tc>
          <w:tcPr>
            <w:tcW w:w="850" w:type="dxa"/>
          </w:tcPr>
          <w:p w14:paraId="100EEB16" w14:textId="77777777" w:rsidR="00811887" w:rsidRDefault="00811887" w:rsidP="00486E22">
            <w:pPr>
              <w:pStyle w:val="TableParagraph"/>
              <w:ind w:left="14"/>
              <w:jc w:val="center"/>
              <w:rPr>
                <w:sz w:val="20"/>
              </w:rPr>
            </w:pPr>
            <w:r>
              <w:rPr>
                <w:spacing w:val="-4"/>
                <w:sz w:val="20"/>
              </w:rPr>
              <w:t>29.9</w:t>
            </w:r>
          </w:p>
        </w:tc>
        <w:tc>
          <w:tcPr>
            <w:tcW w:w="850" w:type="dxa"/>
          </w:tcPr>
          <w:p w14:paraId="275D6FB4" w14:textId="77777777" w:rsidR="00811887" w:rsidRDefault="00811887" w:rsidP="00486E22">
            <w:pPr>
              <w:pStyle w:val="TableParagraph"/>
              <w:ind w:left="14"/>
              <w:jc w:val="center"/>
              <w:rPr>
                <w:sz w:val="20"/>
              </w:rPr>
            </w:pPr>
            <w:r>
              <w:rPr>
                <w:spacing w:val="-4"/>
                <w:sz w:val="20"/>
              </w:rPr>
              <w:t>18.7</w:t>
            </w:r>
          </w:p>
        </w:tc>
        <w:tc>
          <w:tcPr>
            <w:tcW w:w="849" w:type="dxa"/>
          </w:tcPr>
          <w:p w14:paraId="46931585" w14:textId="77777777" w:rsidR="00811887" w:rsidRDefault="00811887" w:rsidP="00486E22">
            <w:pPr>
              <w:pStyle w:val="TableParagraph"/>
              <w:ind w:left="17"/>
              <w:jc w:val="center"/>
              <w:rPr>
                <w:sz w:val="20"/>
              </w:rPr>
            </w:pPr>
            <w:r>
              <w:rPr>
                <w:spacing w:val="-4"/>
                <w:sz w:val="20"/>
              </w:rPr>
              <w:t>18.8</w:t>
            </w:r>
          </w:p>
        </w:tc>
        <w:tc>
          <w:tcPr>
            <w:tcW w:w="864" w:type="dxa"/>
          </w:tcPr>
          <w:p w14:paraId="13AD73F3" w14:textId="77777777" w:rsidR="00811887" w:rsidRDefault="00811887" w:rsidP="00486E22">
            <w:pPr>
              <w:pStyle w:val="TableParagraph"/>
              <w:ind w:left="14"/>
              <w:jc w:val="center"/>
              <w:rPr>
                <w:sz w:val="20"/>
              </w:rPr>
            </w:pPr>
            <w:r>
              <w:rPr>
                <w:spacing w:val="-5"/>
                <w:sz w:val="20"/>
              </w:rPr>
              <w:t>2.6</w:t>
            </w:r>
          </w:p>
        </w:tc>
        <w:tc>
          <w:tcPr>
            <w:tcW w:w="919" w:type="dxa"/>
          </w:tcPr>
          <w:p w14:paraId="0045E296" w14:textId="77777777" w:rsidR="00811887" w:rsidRDefault="00811887" w:rsidP="00486E22">
            <w:pPr>
              <w:pStyle w:val="TableParagraph"/>
              <w:ind w:left="21"/>
              <w:jc w:val="center"/>
              <w:rPr>
                <w:sz w:val="20"/>
              </w:rPr>
            </w:pPr>
            <w:r>
              <w:rPr>
                <w:spacing w:val="-5"/>
                <w:sz w:val="20"/>
              </w:rPr>
              <w:t>2.5</w:t>
            </w:r>
          </w:p>
        </w:tc>
        <w:tc>
          <w:tcPr>
            <w:tcW w:w="1049" w:type="dxa"/>
          </w:tcPr>
          <w:p w14:paraId="1412358A" w14:textId="77777777" w:rsidR="00811887" w:rsidRDefault="00811887" w:rsidP="00486E22">
            <w:pPr>
              <w:pStyle w:val="TableParagraph"/>
              <w:ind w:left="25"/>
              <w:jc w:val="center"/>
              <w:rPr>
                <w:sz w:val="20"/>
              </w:rPr>
            </w:pPr>
            <w:r>
              <w:rPr>
                <w:spacing w:val="-5"/>
                <w:sz w:val="20"/>
              </w:rPr>
              <w:t>6.2</w:t>
            </w:r>
          </w:p>
        </w:tc>
        <w:tc>
          <w:tcPr>
            <w:tcW w:w="799" w:type="dxa"/>
          </w:tcPr>
          <w:p w14:paraId="199CA695" w14:textId="77777777" w:rsidR="00811887" w:rsidRDefault="00811887" w:rsidP="00486E22">
            <w:pPr>
              <w:pStyle w:val="TableParagraph"/>
              <w:ind w:left="27"/>
              <w:jc w:val="center"/>
              <w:rPr>
                <w:sz w:val="20"/>
              </w:rPr>
            </w:pPr>
            <w:r>
              <w:rPr>
                <w:spacing w:val="-4"/>
                <w:sz w:val="20"/>
              </w:rPr>
              <w:t>12.4</w:t>
            </w:r>
          </w:p>
        </w:tc>
      </w:tr>
      <w:tr w:rsidR="00811887" w14:paraId="1B01E6B9" w14:textId="77777777" w:rsidTr="00486E22">
        <w:trPr>
          <w:trHeight w:val="280"/>
        </w:trPr>
        <w:tc>
          <w:tcPr>
            <w:tcW w:w="700" w:type="dxa"/>
            <w:shd w:val="clear" w:color="auto" w:fill="234060"/>
          </w:tcPr>
          <w:p w14:paraId="4AFC80C4" w14:textId="77777777" w:rsidR="00811887" w:rsidRDefault="00811887" w:rsidP="00486E22">
            <w:pPr>
              <w:pStyle w:val="TableParagraph"/>
              <w:spacing w:line="239" w:lineRule="exact"/>
              <w:ind w:left="23" w:right="92"/>
              <w:jc w:val="center"/>
              <w:rPr>
                <w:b/>
                <w:sz w:val="20"/>
              </w:rPr>
            </w:pPr>
            <w:r>
              <w:rPr>
                <w:b/>
                <w:color w:val="FFFFFF"/>
                <w:spacing w:val="-4"/>
                <w:sz w:val="20"/>
              </w:rPr>
              <w:t>2006</w:t>
            </w:r>
          </w:p>
        </w:tc>
        <w:tc>
          <w:tcPr>
            <w:tcW w:w="925" w:type="dxa"/>
          </w:tcPr>
          <w:p w14:paraId="53E4B3F2" w14:textId="77777777" w:rsidR="00811887" w:rsidRDefault="00811887" w:rsidP="00486E22">
            <w:pPr>
              <w:pStyle w:val="TableParagraph"/>
              <w:spacing w:line="239" w:lineRule="exact"/>
              <w:ind w:left="7"/>
              <w:jc w:val="center"/>
              <w:rPr>
                <w:sz w:val="20"/>
              </w:rPr>
            </w:pPr>
            <w:r>
              <w:rPr>
                <w:spacing w:val="-5"/>
                <w:sz w:val="20"/>
              </w:rPr>
              <w:t>6.4</w:t>
            </w:r>
          </w:p>
        </w:tc>
        <w:tc>
          <w:tcPr>
            <w:tcW w:w="1205" w:type="dxa"/>
          </w:tcPr>
          <w:p w14:paraId="07D83577" w14:textId="77777777" w:rsidR="00811887" w:rsidRDefault="00811887" w:rsidP="00486E22">
            <w:pPr>
              <w:pStyle w:val="TableParagraph"/>
              <w:spacing w:line="239" w:lineRule="exact"/>
              <w:ind w:left="12" w:right="4"/>
              <w:jc w:val="center"/>
              <w:rPr>
                <w:sz w:val="20"/>
              </w:rPr>
            </w:pPr>
            <w:r>
              <w:rPr>
                <w:spacing w:val="-4"/>
                <w:sz w:val="20"/>
              </w:rPr>
              <w:t>11.0</w:t>
            </w:r>
          </w:p>
        </w:tc>
        <w:tc>
          <w:tcPr>
            <w:tcW w:w="850" w:type="dxa"/>
          </w:tcPr>
          <w:p w14:paraId="0C87D4F3" w14:textId="77777777" w:rsidR="00811887" w:rsidRDefault="00811887" w:rsidP="00486E22">
            <w:pPr>
              <w:pStyle w:val="TableParagraph"/>
              <w:spacing w:line="239" w:lineRule="exact"/>
              <w:ind w:left="14"/>
              <w:jc w:val="center"/>
              <w:rPr>
                <w:sz w:val="20"/>
              </w:rPr>
            </w:pPr>
            <w:r>
              <w:rPr>
                <w:spacing w:val="-4"/>
                <w:sz w:val="20"/>
              </w:rPr>
              <w:t>23.3</w:t>
            </w:r>
          </w:p>
        </w:tc>
        <w:tc>
          <w:tcPr>
            <w:tcW w:w="850" w:type="dxa"/>
          </w:tcPr>
          <w:p w14:paraId="52012307" w14:textId="77777777" w:rsidR="00811887" w:rsidRDefault="00811887" w:rsidP="00486E22">
            <w:pPr>
              <w:pStyle w:val="TableParagraph"/>
              <w:spacing w:line="239" w:lineRule="exact"/>
              <w:ind w:left="14"/>
              <w:jc w:val="center"/>
              <w:rPr>
                <w:sz w:val="20"/>
              </w:rPr>
            </w:pPr>
            <w:r>
              <w:rPr>
                <w:spacing w:val="-4"/>
                <w:sz w:val="20"/>
              </w:rPr>
              <w:t>17.5</w:t>
            </w:r>
          </w:p>
        </w:tc>
        <w:tc>
          <w:tcPr>
            <w:tcW w:w="849" w:type="dxa"/>
          </w:tcPr>
          <w:p w14:paraId="10A99897" w14:textId="77777777" w:rsidR="00811887" w:rsidRDefault="00811887" w:rsidP="00486E22">
            <w:pPr>
              <w:pStyle w:val="TableParagraph"/>
              <w:spacing w:line="239" w:lineRule="exact"/>
              <w:ind w:left="17"/>
              <w:jc w:val="center"/>
              <w:rPr>
                <w:sz w:val="20"/>
              </w:rPr>
            </w:pPr>
            <w:r>
              <w:rPr>
                <w:spacing w:val="-4"/>
                <w:sz w:val="20"/>
              </w:rPr>
              <w:t>15.9</w:t>
            </w:r>
          </w:p>
        </w:tc>
        <w:tc>
          <w:tcPr>
            <w:tcW w:w="864" w:type="dxa"/>
          </w:tcPr>
          <w:p w14:paraId="554F928D" w14:textId="77777777" w:rsidR="00811887" w:rsidRDefault="00811887" w:rsidP="00486E22">
            <w:pPr>
              <w:pStyle w:val="TableParagraph"/>
              <w:spacing w:line="239" w:lineRule="exact"/>
              <w:ind w:left="14"/>
              <w:jc w:val="center"/>
              <w:rPr>
                <w:sz w:val="20"/>
              </w:rPr>
            </w:pPr>
            <w:r>
              <w:rPr>
                <w:spacing w:val="-5"/>
                <w:sz w:val="20"/>
              </w:rPr>
              <w:t>2.0</w:t>
            </w:r>
          </w:p>
        </w:tc>
        <w:tc>
          <w:tcPr>
            <w:tcW w:w="919" w:type="dxa"/>
          </w:tcPr>
          <w:p w14:paraId="68B5FFD1" w14:textId="77777777" w:rsidR="00811887" w:rsidRDefault="00811887" w:rsidP="00486E22">
            <w:pPr>
              <w:pStyle w:val="TableParagraph"/>
              <w:spacing w:line="239" w:lineRule="exact"/>
              <w:ind w:left="21"/>
              <w:jc w:val="center"/>
              <w:rPr>
                <w:sz w:val="20"/>
              </w:rPr>
            </w:pPr>
            <w:r>
              <w:rPr>
                <w:spacing w:val="-5"/>
                <w:sz w:val="20"/>
              </w:rPr>
              <w:t>3.4</w:t>
            </w:r>
          </w:p>
        </w:tc>
        <w:tc>
          <w:tcPr>
            <w:tcW w:w="1049" w:type="dxa"/>
          </w:tcPr>
          <w:p w14:paraId="2923D18A" w14:textId="77777777" w:rsidR="00811887" w:rsidRDefault="00811887" w:rsidP="00486E22">
            <w:pPr>
              <w:pStyle w:val="TableParagraph"/>
              <w:spacing w:line="239" w:lineRule="exact"/>
              <w:ind w:left="25"/>
              <w:jc w:val="center"/>
              <w:rPr>
                <w:sz w:val="20"/>
              </w:rPr>
            </w:pPr>
            <w:r>
              <w:rPr>
                <w:spacing w:val="-5"/>
                <w:sz w:val="20"/>
              </w:rPr>
              <w:t>4.2</w:t>
            </w:r>
          </w:p>
        </w:tc>
        <w:tc>
          <w:tcPr>
            <w:tcW w:w="799" w:type="dxa"/>
          </w:tcPr>
          <w:p w14:paraId="5E2A6217" w14:textId="77777777" w:rsidR="00811887" w:rsidRDefault="00811887" w:rsidP="00486E22">
            <w:pPr>
              <w:pStyle w:val="TableParagraph"/>
              <w:spacing w:line="239" w:lineRule="exact"/>
              <w:ind w:left="27"/>
              <w:jc w:val="center"/>
              <w:rPr>
                <w:sz w:val="20"/>
              </w:rPr>
            </w:pPr>
            <w:r>
              <w:rPr>
                <w:spacing w:val="-4"/>
                <w:sz w:val="20"/>
              </w:rPr>
              <w:t>10.7</w:t>
            </w:r>
          </w:p>
        </w:tc>
      </w:tr>
      <w:tr w:rsidR="00811887" w14:paraId="7146A7CC" w14:textId="77777777" w:rsidTr="00486E22">
        <w:trPr>
          <w:trHeight w:val="285"/>
        </w:trPr>
        <w:tc>
          <w:tcPr>
            <w:tcW w:w="700" w:type="dxa"/>
            <w:shd w:val="clear" w:color="auto" w:fill="234060"/>
          </w:tcPr>
          <w:p w14:paraId="32FCFCEF" w14:textId="77777777" w:rsidR="00811887" w:rsidRDefault="00811887" w:rsidP="00486E22">
            <w:pPr>
              <w:pStyle w:val="TableParagraph"/>
              <w:ind w:left="23" w:right="92"/>
              <w:jc w:val="center"/>
              <w:rPr>
                <w:b/>
                <w:sz w:val="20"/>
              </w:rPr>
            </w:pPr>
            <w:r>
              <w:rPr>
                <w:b/>
                <w:color w:val="FFFFFF"/>
                <w:spacing w:val="-4"/>
                <w:sz w:val="20"/>
              </w:rPr>
              <w:t>2007</w:t>
            </w:r>
          </w:p>
        </w:tc>
        <w:tc>
          <w:tcPr>
            <w:tcW w:w="925" w:type="dxa"/>
          </w:tcPr>
          <w:p w14:paraId="2E80195E" w14:textId="77777777" w:rsidR="00811887" w:rsidRDefault="00811887" w:rsidP="00486E22">
            <w:pPr>
              <w:pStyle w:val="TableParagraph"/>
              <w:ind w:left="7"/>
              <w:jc w:val="center"/>
              <w:rPr>
                <w:sz w:val="20"/>
              </w:rPr>
            </w:pPr>
            <w:r>
              <w:rPr>
                <w:spacing w:val="-5"/>
                <w:sz w:val="20"/>
              </w:rPr>
              <w:t>8.5</w:t>
            </w:r>
          </w:p>
        </w:tc>
        <w:tc>
          <w:tcPr>
            <w:tcW w:w="1205" w:type="dxa"/>
          </w:tcPr>
          <w:p w14:paraId="0359FC00" w14:textId="77777777" w:rsidR="00811887" w:rsidRDefault="00811887" w:rsidP="00486E22">
            <w:pPr>
              <w:pStyle w:val="TableParagraph"/>
              <w:ind w:left="12" w:right="4"/>
              <w:jc w:val="center"/>
              <w:rPr>
                <w:sz w:val="20"/>
              </w:rPr>
            </w:pPr>
            <w:r>
              <w:rPr>
                <w:spacing w:val="-4"/>
                <w:sz w:val="20"/>
              </w:rPr>
              <w:t>11.0</w:t>
            </w:r>
          </w:p>
        </w:tc>
        <w:tc>
          <w:tcPr>
            <w:tcW w:w="850" w:type="dxa"/>
          </w:tcPr>
          <w:p w14:paraId="2E253F1A" w14:textId="77777777" w:rsidR="00811887" w:rsidRDefault="00811887" w:rsidP="00486E22">
            <w:pPr>
              <w:pStyle w:val="TableParagraph"/>
              <w:ind w:left="14"/>
              <w:jc w:val="center"/>
              <w:rPr>
                <w:sz w:val="20"/>
              </w:rPr>
            </w:pPr>
            <w:r>
              <w:rPr>
                <w:spacing w:val="-4"/>
                <w:sz w:val="20"/>
              </w:rPr>
              <w:t>28.2</w:t>
            </w:r>
          </w:p>
        </w:tc>
        <w:tc>
          <w:tcPr>
            <w:tcW w:w="850" w:type="dxa"/>
          </w:tcPr>
          <w:p w14:paraId="65F29DA3" w14:textId="77777777" w:rsidR="00811887" w:rsidRDefault="00811887" w:rsidP="00486E22">
            <w:pPr>
              <w:pStyle w:val="TableParagraph"/>
              <w:ind w:left="14"/>
              <w:jc w:val="center"/>
              <w:rPr>
                <w:sz w:val="20"/>
              </w:rPr>
            </w:pPr>
            <w:r>
              <w:rPr>
                <w:spacing w:val="-4"/>
                <w:sz w:val="20"/>
              </w:rPr>
              <w:t>17.6</w:t>
            </w:r>
          </w:p>
        </w:tc>
        <w:tc>
          <w:tcPr>
            <w:tcW w:w="849" w:type="dxa"/>
          </w:tcPr>
          <w:p w14:paraId="27966436" w14:textId="77777777" w:rsidR="00811887" w:rsidRDefault="00811887" w:rsidP="00486E22">
            <w:pPr>
              <w:pStyle w:val="TableParagraph"/>
              <w:ind w:left="17"/>
              <w:jc w:val="center"/>
              <w:rPr>
                <w:sz w:val="20"/>
              </w:rPr>
            </w:pPr>
            <w:r>
              <w:rPr>
                <w:spacing w:val="-4"/>
                <w:sz w:val="20"/>
              </w:rPr>
              <w:t>14.5</w:t>
            </w:r>
          </w:p>
        </w:tc>
        <w:tc>
          <w:tcPr>
            <w:tcW w:w="864" w:type="dxa"/>
          </w:tcPr>
          <w:p w14:paraId="4F8F37F8" w14:textId="77777777" w:rsidR="00811887" w:rsidRDefault="00811887" w:rsidP="00486E22">
            <w:pPr>
              <w:pStyle w:val="TableParagraph"/>
              <w:ind w:left="14"/>
              <w:jc w:val="center"/>
              <w:rPr>
                <w:sz w:val="20"/>
              </w:rPr>
            </w:pPr>
            <w:r>
              <w:rPr>
                <w:spacing w:val="-5"/>
                <w:sz w:val="20"/>
              </w:rPr>
              <w:t>4.1</w:t>
            </w:r>
          </w:p>
        </w:tc>
        <w:tc>
          <w:tcPr>
            <w:tcW w:w="919" w:type="dxa"/>
          </w:tcPr>
          <w:p w14:paraId="44630274" w14:textId="77777777" w:rsidR="00811887" w:rsidRDefault="00811887" w:rsidP="00486E22">
            <w:pPr>
              <w:pStyle w:val="TableParagraph"/>
              <w:ind w:left="21"/>
              <w:jc w:val="center"/>
              <w:rPr>
                <w:sz w:val="20"/>
              </w:rPr>
            </w:pPr>
            <w:r>
              <w:rPr>
                <w:spacing w:val="-5"/>
                <w:sz w:val="20"/>
              </w:rPr>
              <w:t>9.1</w:t>
            </w:r>
          </w:p>
        </w:tc>
        <w:tc>
          <w:tcPr>
            <w:tcW w:w="1049" w:type="dxa"/>
          </w:tcPr>
          <w:p w14:paraId="2562026B" w14:textId="77777777" w:rsidR="00811887" w:rsidRDefault="00811887" w:rsidP="00486E22">
            <w:pPr>
              <w:pStyle w:val="TableParagraph"/>
              <w:ind w:left="25"/>
              <w:jc w:val="center"/>
              <w:rPr>
                <w:sz w:val="20"/>
              </w:rPr>
            </w:pPr>
            <w:r>
              <w:rPr>
                <w:spacing w:val="-5"/>
                <w:sz w:val="20"/>
              </w:rPr>
              <w:t>4.5</w:t>
            </w:r>
          </w:p>
        </w:tc>
        <w:tc>
          <w:tcPr>
            <w:tcW w:w="799" w:type="dxa"/>
          </w:tcPr>
          <w:p w14:paraId="3C039A63" w14:textId="77777777" w:rsidR="00811887" w:rsidRDefault="00811887" w:rsidP="00486E22">
            <w:pPr>
              <w:pStyle w:val="TableParagraph"/>
              <w:ind w:left="27"/>
              <w:jc w:val="center"/>
              <w:rPr>
                <w:sz w:val="20"/>
              </w:rPr>
            </w:pPr>
            <w:r>
              <w:rPr>
                <w:spacing w:val="-4"/>
                <w:sz w:val="20"/>
              </w:rPr>
              <w:t>11.6</w:t>
            </w:r>
          </w:p>
        </w:tc>
      </w:tr>
      <w:tr w:rsidR="00811887" w14:paraId="14C6A276" w14:textId="77777777" w:rsidTr="00486E22">
        <w:trPr>
          <w:trHeight w:val="285"/>
        </w:trPr>
        <w:tc>
          <w:tcPr>
            <w:tcW w:w="700" w:type="dxa"/>
            <w:shd w:val="clear" w:color="auto" w:fill="234060"/>
          </w:tcPr>
          <w:p w14:paraId="3EA0232A" w14:textId="77777777" w:rsidR="00811887" w:rsidRDefault="00811887" w:rsidP="00486E22">
            <w:pPr>
              <w:pStyle w:val="TableParagraph"/>
              <w:ind w:left="23" w:right="92"/>
              <w:jc w:val="center"/>
              <w:rPr>
                <w:b/>
                <w:sz w:val="20"/>
              </w:rPr>
            </w:pPr>
            <w:r>
              <w:rPr>
                <w:b/>
                <w:color w:val="FFFFFF"/>
                <w:spacing w:val="-4"/>
                <w:sz w:val="20"/>
              </w:rPr>
              <w:t>2008</w:t>
            </w:r>
          </w:p>
        </w:tc>
        <w:tc>
          <w:tcPr>
            <w:tcW w:w="925" w:type="dxa"/>
          </w:tcPr>
          <w:p w14:paraId="2071C505" w14:textId="77777777" w:rsidR="00811887" w:rsidRDefault="00811887" w:rsidP="00486E22">
            <w:pPr>
              <w:pStyle w:val="TableParagraph"/>
              <w:ind w:left="7"/>
              <w:jc w:val="center"/>
              <w:rPr>
                <w:sz w:val="20"/>
              </w:rPr>
            </w:pPr>
            <w:r>
              <w:rPr>
                <w:spacing w:val="-5"/>
                <w:sz w:val="20"/>
              </w:rPr>
              <w:t>6.2</w:t>
            </w:r>
          </w:p>
        </w:tc>
        <w:tc>
          <w:tcPr>
            <w:tcW w:w="1205" w:type="dxa"/>
          </w:tcPr>
          <w:p w14:paraId="47A02496" w14:textId="77777777" w:rsidR="00811887" w:rsidRDefault="00811887" w:rsidP="00486E22">
            <w:pPr>
              <w:pStyle w:val="TableParagraph"/>
              <w:ind w:left="12" w:right="3"/>
              <w:jc w:val="center"/>
              <w:rPr>
                <w:sz w:val="20"/>
              </w:rPr>
            </w:pPr>
            <w:r>
              <w:rPr>
                <w:spacing w:val="-5"/>
                <w:sz w:val="20"/>
              </w:rPr>
              <w:t>9.1</w:t>
            </w:r>
          </w:p>
        </w:tc>
        <w:tc>
          <w:tcPr>
            <w:tcW w:w="850" w:type="dxa"/>
          </w:tcPr>
          <w:p w14:paraId="65A86B2D" w14:textId="77777777" w:rsidR="00811887" w:rsidRDefault="00811887" w:rsidP="00486E22">
            <w:pPr>
              <w:pStyle w:val="TableParagraph"/>
              <w:ind w:left="14" w:right="1"/>
              <w:jc w:val="center"/>
              <w:rPr>
                <w:sz w:val="20"/>
              </w:rPr>
            </w:pPr>
            <w:r>
              <w:rPr>
                <w:spacing w:val="-4"/>
                <w:sz w:val="20"/>
              </w:rPr>
              <w:t>22.0</w:t>
            </w:r>
          </w:p>
        </w:tc>
        <w:tc>
          <w:tcPr>
            <w:tcW w:w="850" w:type="dxa"/>
          </w:tcPr>
          <w:p w14:paraId="092491A4" w14:textId="77777777" w:rsidR="00811887" w:rsidRDefault="00811887" w:rsidP="00486E22">
            <w:pPr>
              <w:pStyle w:val="TableParagraph"/>
              <w:ind w:left="14"/>
              <w:jc w:val="center"/>
              <w:rPr>
                <w:sz w:val="20"/>
              </w:rPr>
            </w:pPr>
            <w:r>
              <w:rPr>
                <w:spacing w:val="-4"/>
                <w:sz w:val="20"/>
              </w:rPr>
              <w:t>11.7</w:t>
            </w:r>
          </w:p>
        </w:tc>
        <w:tc>
          <w:tcPr>
            <w:tcW w:w="849" w:type="dxa"/>
          </w:tcPr>
          <w:p w14:paraId="5AF3F075" w14:textId="77777777" w:rsidR="00811887" w:rsidRDefault="00811887" w:rsidP="00486E22">
            <w:pPr>
              <w:pStyle w:val="TableParagraph"/>
              <w:ind w:left="17"/>
              <w:jc w:val="center"/>
              <w:rPr>
                <w:sz w:val="20"/>
              </w:rPr>
            </w:pPr>
            <w:r>
              <w:rPr>
                <w:spacing w:val="-4"/>
                <w:sz w:val="20"/>
              </w:rPr>
              <w:t>17.1</w:t>
            </w:r>
          </w:p>
        </w:tc>
        <w:tc>
          <w:tcPr>
            <w:tcW w:w="864" w:type="dxa"/>
          </w:tcPr>
          <w:p w14:paraId="5B5C94F7" w14:textId="77777777" w:rsidR="00811887" w:rsidRDefault="00811887" w:rsidP="00486E22">
            <w:pPr>
              <w:pStyle w:val="TableParagraph"/>
              <w:ind w:left="14"/>
              <w:jc w:val="center"/>
              <w:rPr>
                <w:sz w:val="20"/>
              </w:rPr>
            </w:pPr>
            <w:r>
              <w:rPr>
                <w:spacing w:val="-5"/>
                <w:sz w:val="20"/>
              </w:rPr>
              <w:t>2.0</w:t>
            </w:r>
          </w:p>
        </w:tc>
        <w:tc>
          <w:tcPr>
            <w:tcW w:w="919" w:type="dxa"/>
          </w:tcPr>
          <w:p w14:paraId="09CBA71E" w14:textId="77777777" w:rsidR="00811887" w:rsidRDefault="00811887" w:rsidP="00486E22">
            <w:pPr>
              <w:pStyle w:val="TableParagraph"/>
              <w:ind w:left="21"/>
              <w:jc w:val="center"/>
              <w:rPr>
                <w:sz w:val="20"/>
              </w:rPr>
            </w:pPr>
            <w:r>
              <w:rPr>
                <w:spacing w:val="-5"/>
                <w:sz w:val="20"/>
              </w:rPr>
              <w:t>2.9</w:t>
            </w:r>
          </w:p>
        </w:tc>
        <w:tc>
          <w:tcPr>
            <w:tcW w:w="1049" w:type="dxa"/>
          </w:tcPr>
          <w:p w14:paraId="64D6E624" w14:textId="77777777" w:rsidR="00811887" w:rsidRDefault="00811887" w:rsidP="00486E22">
            <w:pPr>
              <w:pStyle w:val="TableParagraph"/>
              <w:ind w:left="25"/>
              <w:jc w:val="center"/>
              <w:rPr>
                <w:sz w:val="20"/>
              </w:rPr>
            </w:pPr>
            <w:r>
              <w:rPr>
                <w:spacing w:val="-5"/>
                <w:sz w:val="20"/>
              </w:rPr>
              <w:t>5.7</w:t>
            </w:r>
          </w:p>
        </w:tc>
        <w:tc>
          <w:tcPr>
            <w:tcW w:w="799" w:type="dxa"/>
          </w:tcPr>
          <w:p w14:paraId="2347CE6B" w14:textId="77777777" w:rsidR="00811887" w:rsidRDefault="00811887" w:rsidP="00486E22">
            <w:pPr>
              <w:pStyle w:val="TableParagraph"/>
              <w:ind w:left="27"/>
              <w:jc w:val="center"/>
              <w:rPr>
                <w:sz w:val="20"/>
              </w:rPr>
            </w:pPr>
            <w:r>
              <w:rPr>
                <w:spacing w:val="-5"/>
                <w:sz w:val="20"/>
              </w:rPr>
              <w:t>9.4</w:t>
            </w:r>
          </w:p>
        </w:tc>
      </w:tr>
      <w:tr w:rsidR="00811887" w14:paraId="000590BD" w14:textId="77777777" w:rsidTr="00486E22">
        <w:trPr>
          <w:trHeight w:val="285"/>
        </w:trPr>
        <w:tc>
          <w:tcPr>
            <w:tcW w:w="700" w:type="dxa"/>
            <w:shd w:val="clear" w:color="auto" w:fill="234060"/>
          </w:tcPr>
          <w:p w14:paraId="23533633" w14:textId="77777777" w:rsidR="00811887" w:rsidRDefault="00811887" w:rsidP="00486E22">
            <w:pPr>
              <w:pStyle w:val="TableParagraph"/>
              <w:ind w:left="23" w:right="92"/>
              <w:jc w:val="center"/>
              <w:rPr>
                <w:b/>
                <w:sz w:val="20"/>
              </w:rPr>
            </w:pPr>
            <w:r>
              <w:rPr>
                <w:b/>
                <w:color w:val="FFFFFF"/>
                <w:spacing w:val="-4"/>
                <w:sz w:val="20"/>
              </w:rPr>
              <w:t>2009</w:t>
            </w:r>
          </w:p>
        </w:tc>
        <w:tc>
          <w:tcPr>
            <w:tcW w:w="925" w:type="dxa"/>
          </w:tcPr>
          <w:p w14:paraId="4A53183F" w14:textId="77777777" w:rsidR="00811887" w:rsidRDefault="00811887" w:rsidP="00486E22">
            <w:pPr>
              <w:pStyle w:val="TableParagraph"/>
              <w:ind w:left="7"/>
              <w:jc w:val="center"/>
              <w:rPr>
                <w:sz w:val="20"/>
              </w:rPr>
            </w:pPr>
            <w:r>
              <w:rPr>
                <w:spacing w:val="-5"/>
                <w:sz w:val="20"/>
              </w:rPr>
              <w:t>7.7</w:t>
            </w:r>
          </w:p>
        </w:tc>
        <w:tc>
          <w:tcPr>
            <w:tcW w:w="1205" w:type="dxa"/>
          </w:tcPr>
          <w:p w14:paraId="70D5FAEE" w14:textId="77777777" w:rsidR="00811887" w:rsidRDefault="00811887" w:rsidP="00486E22">
            <w:pPr>
              <w:pStyle w:val="TableParagraph"/>
              <w:ind w:left="12" w:right="3"/>
              <w:jc w:val="center"/>
              <w:rPr>
                <w:sz w:val="20"/>
              </w:rPr>
            </w:pPr>
            <w:r>
              <w:rPr>
                <w:spacing w:val="-4"/>
                <w:sz w:val="20"/>
              </w:rPr>
              <w:t>10.9</w:t>
            </w:r>
          </w:p>
        </w:tc>
        <w:tc>
          <w:tcPr>
            <w:tcW w:w="850" w:type="dxa"/>
          </w:tcPr>
          <w:p w14:paraId="5C0878B1" w14:textId="77777777" w:rsidR="00811887" w:rsidRDefault="00811887" w:rsidP="00486E22">
            <w:pPr>
              <w:pStyle w:val="TableParagraph"/>
              <w:ind w:left="14"/>
              <w:jc w:val="center"/>
              <w:rPr>
                <w:sz w:val="20"/>
              </w:rPr>
            </w:pPr>
            <w:r>
              <w:rPr>
                <w:spacing w:val="-4"/>
                <w:sz w:val="20"/>
              </w:rPr>
              <w:t>26.4</w:t>
            </w:r>
          </w:p>
        </w:tc>
        <w:tc>
          <w:tcPr>
            <w:tcW w:w="850" w:type="dxa"/>
          </w:tcPr>
          <w:p w14:paraId="4C0AFE6F" w14:textId="77777777" w:rsidR="00811887" w:rsidRDefault="00811887" w:rsidP="00486E22">
            <w:pPr>
              <w:pStyle w:val="TableParagraph"/>
              <w:ind w:left="14"/>
              <w:jc w:val="center"/>
              <w:rPr>
                <w:sz w:val="20"/>
              </w:rPr>
            </w:pPr>
            <w:r>
              <w:rPr>
                <w:spacing w:val="-4"/>
                <w:sz w:val="20"/>
              </w:rPr>
              <w:t>15.9</w:t>
            </w:r>
          </w:p>
        </w:tc>
        <w:tc>
          <w:tcPr>
            <w:tcW w:w="849" w:type="dxa"/>
          </w:tcPr>
          <w:p w14:paraId="5CCFC3E3" w14:textId="77777777" w:rsidR="00811887" w:rsidRDefault="00811887" w:rsidP="00486E22">
            <w:pPr>
              <w:pStyle w:val="TableParagraph"/>
              <w:ind w:left="17"/>
              <w:jc w:val="center"/>
              <w:rPr>
                <w:sz w:val="20"/>
              </w:rPr>
            </w:pPr>
            <w:r>
              <w:rPr>
                <w:spacing w:val="-4"/>
                <w:sz w:val="20"/>
              </w:rPr>
              <w:t>17.1</w:t>
            </w:r>
          </w:p>
        </w:tc>
        <w:tc>
          <w:tcPr>
            <w:tcW w:w="864" w:type="dxa"/>
          </w:tcPr>
          <w:p w14:paraId="299AB3F5" w14:textId="77777777" w:rsidR="00811887" w:rsidRDefault="00811887" w:rsidP="00486E22">
            <w:pPr>
              <w:pStyle w:val="TableParagraph"/>
              <w:ind w:left="14"/>
              <w:jc w:val="center"/>
              <w:rPr>
                <w:sz w:val="20"/>
              </w:rPr>
            </w:pPr>
            <w:r>
              <w:rPr>
                <w:spacing w:val="-5"/>
                <w:sz w:val="20"/>
              </w:rPr>
              <w:t>2.5</w:t>
            </w:r>
          </w:p>
        </w:tc>
        <w:tc>
          <w:tcPr>
            <w:tcW w:w="919" w:type="dxa"/>
          </w:tcPr>
          <w:p w14:paraId="2EF68556" w14:textId="77777777" w:rsidR="00811887" w:rsidRDefault="00811887" w:rsidP="00486E22">
            <w:pPr>
              <w:pStyle w:val="TableParagraph"/>
              <w:ind w:left="21"/>
              <w:jc w:val="center"/>
              <w:rPr>
                <w:sz w:val="20"/>
              </w:rPr>
            </w:pPr>
            <w:r>
              <w:rPr>
                <w:spacing w:val="-5"/>
                <w:sz w:val="20"/>
              </w:rPr>
              <w:t>5.7</w:t>
            </w:r>
          </w:p>
        </w:tc>
        <w:tc>
          <w:tcPr>
            <w:tcW w:w="1049" w:type="dxa"/>
          </w:tcPr>
          <w:p w14:paraId="42660B16" w14:textId="77777777" w:rsidR="00811887" w:rsidRDefault="00811887" w:rsidP="00486E22">
            <w:pPr>
              <w:pStyle w:val="TableParagraph"/>
              <w:ind w:left="25"/>
              <w:jc w:val="center"/>
              <w:rPr>
                <w:sz w:val="20"/>
              </w:rPr>
            </w:pPr>
            <w:r>
              <w:rPr>
                <w:spacing w:val="-5"/>
                <w:sz w:val="20"/>
              </w:rPr>
              <w:t>4.2</w:t>
            </w:r>
          </w:p>
        </w:tc>
        <w:tc>
          <w:tcPr>
            <w:tcW w:w="799" w:type="dxa"/>
          </w:tcPr>
          <w:p w14:paraId="5FC41279" w14:textId="77777777" w:rsidR="00811887" w:rsidRDefault="00811887" w:rsidP="00486E22">
            <w:pPr>
              <w:pStyle w:val="TableParagraph"/>
              <w:ind w:left="27"/>
              <w:jc w:val="center"/>
              <w:rPr>
                <w:sz w:val="20"/>
              </w:rPr>
            </w:pPr>
            <w:r>
              <w:rPr>
                <w:spacing w:val="-4"/>
                <w:sz w:val="20"/>
              </w:rPr>
              <w:t>11.2</w:t>
            </w:r>
          </w:p>
        </w:tc>
      </w:tr>
      <w:tr w:rsidR="00811887" w14:paraId="5F7A040C" w14:textId="77777777" w:rsidTr="00486E22">
        <w:trPr>
          <w:trHeight w:val="285"/>
        </w:trPr>
        <w:tc>
          <w:tcPr>
            <w:tcW w:w="700" w:type="dxa"/>
            <w:shd w:val="clear" w:color="auto" w:fill="234060"/>
          </w:tcPr>
          <w:p w14:paraId="708E61E6" w14:textId="77777777" w:rsidR="00811887" w:rsidRDefault="00811887" w:rsidP="00486E22">
            <w:pPr>
              <w:pStyle w:val="TableParagraph"/>
              <w:ind w:left="23" w:right="92"/>
              <w:jc w:val="center"/>
              <w:rPr>
                <w:b/>
                <w:sz w:val="20"/>
              </w:rPr>
            </w:pPr>
            <w:r>
              <w:rPr>
                <w:b/>
                <w:color w:val="FFFFFF"/>
                <w:spacing w:val="-4"/>
                <w:sz w:val="20"/>
              </w:rPr>
              <w:t>2010</w:t>
            </w:r>
          </w:p>
        </w:tc>
        <w:tc>
          <w:tcPr>
            <w:tcW w:w="8310" w:type="dxa"/>
            <w:gridSpan w:val="9"/>
          </w:tcPr>
          <w:p w14:paraId="214E9A16" w14:textId="77777777" w:rsidR="00811887" w:rsidRDefault="00811887" w:rsidP="00486E22">
            <w:pPr>
              <w:pStyle w:val="TableParagraph"/>
              <w:spacing w:before="19" w:line="240" w:lineRule="auto"/>
              <w:ind w:left="17"/>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r>
      <w:tr w:rsidR="00811887" w14:paraId="544D3223" w14:textId="77777777" w:rsidTr="00486E22">
        <w:trPr>
          <w:trHeight w:val="280"/>
        </w:trPr>
        <w:tc>
          <w:tcPr>
            <w:tcW w:w="700" w:type="dxa"/>
            <w:shd w:val="clear" w:color="auto" w:fill="234060"/>
          </w:tcPr>
          <w:p w14:paraId="66FA3A31" w14:textId="77777777" w:rsidR="00811887" w:rsidRDefault="00811887" w:rsidP="00486E22">
            <w:pPr>
              <w:pStyle w:val="TableParagraph"/>
              <w:spacing w:line="239" w:lineRule="exact"/>
              <w:ind w:left="23" w:right="92"/>
              <w:jc w:val="center"/>
              <w:rPr>
                <w:b/>
                <w:sz w:val="20"/>
              </w:rPr>
            </w:pPr>
            <w:r>
              <w:rPr>
                <w:b/>
                <w:color w:val="FFFFFF"/>
                <w:spacing w:val="-4"/>
                <w:sz w:val="20"/>
              </w:rPr>
              <w:t>2011</w:t>
            </w:r>
          </w:p>
        </w:tc>
        <w:tc>
          <w:tcPr>
            <w:tcW w:w="925" w:type="dxa"/>
          </w:tcPr>
          <w:p w14:paraId="289750FB" w14:textId="77777777" w:rsidR="00811887" w:rsidRDefault="00811887" w:rsidP="00486E22">
            <w:pPr>
              <w:pStyle w:val="TableParagraph"/>
              <w:spacing w:line="239" w:lineRule="exact"/>
              <w:ind w:left="7"/>
              <w:jc w:val="center"/>
              <w:rPr>
                <w:sz w:val="20"/>
              </w:rPr>
            </w:pPr>
            <w:r>
              <w:rPr>
                <w:spacing w:val="-5"/>
                <w:sz w:val="20"/>
              </w:rPr>
              <w:t>9.1</w:t>
            </w:r>
          </w:p>
        </w:tc>
        <w:tc>
          <w:tcPr>
            <w:tcW w:w="1205" w:type="dxa"/>
          </w:tcPr>
          <w:p w14:paraId="500A653B" w14:textId="77777777" w:rsidR="00811887" w:rsidRDefault="00811887" w:rsidP="00486E22">
            <w:pPr>
              <w:pStyle w:val="TableParagraph"/>
              <w:spacing w:line="239" w:lineRule="exact"/>
              <w:ind w:left="12" w:right="3"/>
              <w:jc w:val="center"/>
              <w:rPr>
                <w:sz w:val="20"/>
              </w:rPr>
            </w:pPr>
            <w:r>
              <w:rPr>
                <w:spacing w:val="-4"/>
                <w:sz w:val="20"/>
              </w:rPr>
              <w:t>12.6</w:t>
            </w:r>
          </w:p>
        </w:tc>
        <w:tc>
          <w:tcPr>
            <w:tcW w:w="850" w:type="dxa"/>
          </w:tcPr>
          <w:p w14:paraId="39DA5D2E" w14:textId="77777777" w:rsidR="00811887" w:rsidRDefault="00811887" w:rsidP="00486E22">
            <w:pPr>
              <w:pStyle w:val="TableParagraph"/>
              <w:spacing w:line="239" w:lineRule="exact"/>
              <w:ind w:left="14"/>
              <w:jc w:val="center"/>
              <w:rPr>
                <w:sz w:val="20"/>
              </w:rPr>
            </w:pPr>
            <w:r>
              <w:rPr>
                <w:spacing w:val="-4"/>
                <w:sz w:val="20"/>
              </w:rPr>
              <w:t>29.4</w:t>
            </w:r>
          </w:p>
        </w:tc>
        <w:tc>
          <w:tcPr>
            <w:tcW w:w="850" w:type="dxa"/>
          </w:tcPr>
          <w:p w14:paraId="093571E6" w14:textId="77777777" w:rsidR="00811887" w:rsidRDefault="00811887" w:rsidP="00486E22">
            <w:pPr>
              <w:pStyle w:val="TableParagraph"/>
              <w:spacing w:line="239" w:lineRule="exact"/>
              <w:ind w:left="14"/>
              <w:jc w:val="center"/>
              <w:rPr>
                <w:sz w:val="20"/>
              </w:rPr>
            </w:pPr>
            <w:r>
              <w:rPr>
                <w:spacing w:val="-4"/>
                <w:sz w:val="20"/>
              </w:rPr>
              <w:t>19.4</w:t>
            </w:r>
          </w:p>
        </w:tc>
        <w:tc>
          <w:tcPr>
            <w:tcW w:w="849" w:type="dxa"/>
          </w:tcPr>
          <w:p w14:paraId="625F4345" w14:textId="77777777" w:rsidR="00811887" w:rsidRDefault="00811887" w:rsidP="00486E22">
            <w:pPr>
              <w:pStyle w:val="TableParagraph"/>
              <w:spacing w:line="239" w:lineRule="exact"/>
              <w:ind w:left="17" w:right="1"/>
              <w:jc w:val="center"/>
              <w:rPr>
                <w:sz w:val="20"/>
              </w:rPr>
            </w:pPr>
            <w:r>
              <w:rPr>
                <w:spacing w:val="-4"/>
                <w:sz w:val="20"/>
              </w:rPr>
              <w:t>19.0</w:t>
            </w:r>
          </w:p>
        </w:tc>
        <w:tc>
          <w:tcPr>
            <w:tcW w:w="864" w:type="dxa"/>
          </w:tcPr>
          <w:p w14:paraId="7BA4892D" w14:textId="77777777" w:rsidR="00811887" w:rsidRDefault="00811887" w:rsidP="00486E22">
            <w:pPr>
              <w:pStyle w:val="TableParagraph"/>
              <w:spacing w:line="239" w:lineRule="exact"/>
              <w:ind w:left="14"/>
              <w:jc w:val="center"/>
              <w:rPr>
                <w:sz w:val="20"/>
              </w:rPr>
            </w:pPr>
            <w:r>
              <w:rPr>
                <w:spacing w:val="-5"/>
                <w:sz w:val="20"/>
              </w:rPr>
              <w:t>3.3</w:t>
            </w:r>
          </w:p>
        </w:tc>
        <w:tc>
          <w:tcPr>
            <w:tcW w:w="919" w:type="dxa"/>
          </w:tcPr>
          <w:p w14:paraId="722F7EC0" w14:textId="77777777" w:rsidR="00811887" w:rsidRDefault="00811887" w:rsidP="00486E22">
            <w:pPr>
              <w:pStyle w:val="TableParagraph"/>
              <w:spacing w:line="239" w:lineRule="exact"/>
              <w:ind w:left="21"/>
              <w:jc w:val="center"/>
              <w:rPr>
                <w:sz w:val="20"/>
              </w:rPr>
            </w:pPr>
            <w:r>
              <w:rPr>
                <w:spacing w:val="-5"/>
                <w:sz w:val="20"/>
              </w:rPr>
              <w:t>5.1</w:t>
            </w:r>
          </w:p>
        </w:tc>
        <w:tc>
          <w:tcPr>
            <w:tcW w:w="1049" w:type="dxa"/>
          </w:tcPr>
          <w:p w14:paraId="231E9240" w14:textId="77777777" w:rsidR="00811887" w:rsidRDefault="00811887" w:rsidP="00486E22">
            <w:pPr>
              <w:pStyle w:val="TableParagraph"/>
              <w:spacing w:line="239" w:lineRule="exact"/>
              <w:ind w:left="25"/>
              <w:jc w:val="center"/>
              <w:rPr>
                <w:sz w:val="20"/>
              </w:rPr>
            </w:pPr>
            <w:r>
              <w:rPr>
                <w:spacing w:val="-5"/>
                <w:sz w:val="20"/>
              </w:rPr>
              <w:t>7.3</w:t>
            </w:r>
          </w:p>
        </w:tc>
        <w:tc>
          <w:tcPr>
            <w:tcW w:w="799" w:type="dxa"/>
          </w:tcPr>
          <w:p w14:paraId="66DD5686" w14:textId="77777777" w:rsidR="00811887" w:rsidRDefault="00811887" w:rsidP="00486E22">
            <w:pPr>
              <w:pStyle w:val="TableParagraph"/>
              <w:spacing w:line="239" w:lineRule="exact"/>
              <w:ind w:left="27"/>
              <w:jc w:val="center"/>
              <w:rPr>
                <w:sz w:val="20"/>
              </w:rPr>
            </w:pPr>
            <w:r>
              <w:rPr>
                <w:spacing w:val="-4"/>
                <w:sz w:val="20"/>
              </w:rPr>
              <w:t>13.0</w:t>
            </w:r>
          </w:p>
        </w:tc>
      </w:tr>
      <w:tr w:rsidR="00811887" w14:paraId="3D8B645E" w14:textId="77777777" w:rsidTr="00486E22">
        <w:trPr>
          <w:trHeight w:val="285"/>
        </w:trPr>
        <w:tc>
          <w:tcPr>
            <w:tcW w:w="700" w:type="dxa"/>
            <w:shd w:val="clear" w:color="auto" w:fill="234060"/>
          </w:tcPr>
          <w:p w14:paraId="3089524A" w14:textId="77777777" w:rsidR="00811887" w:rsidRDefault="00811887" w:rsidP="00486E22">
            <w:pPr>
              <w:pStyle w:val="TableParagraph"/>
              <w:ind w:left="23" w:right="92"/>
              <w:jc w:val="center"/>
              <w:rPr>
                <w:b/>
                <w:sz w:val="20"/>
              </w:rPr>
            </w:pPr>
            <w:r>
              <w:rPr>
                <w:b/>
                <w:color w:val="FFFFFF"/>
                <w:spacing w:val="-4"/>
                <w:sz w:val="20"/>
              </w:rPr>
              <w:t>2012</w:t>
            </w:r>
          </w:p>
        </w:tc>
        <w:tc>
          <w:tcPr>
            <w:tcW w:w="925" w:type="dxa"/>
          </w:tcPr>
          <w:p w14:paraId="1F26B81A" w14:textId="77777777" w:rsidR="00811887" w:rsidRDefault="00811887" w:rsidP="00486E22">
            <w:pPr>
              <w:pStyle w:val="TableParagraph"/>
              <w:ind w:left="7"/>
              <w:jc w:val="center"/>
              <w:rPr>
                <w:sz w:val="20"/>
              </w:rPr>
            </w:pPr>
            <w:r>
              <w:rPr>
                <w:spacing w:val="-5"/>
                <w:sz w:val="20"/>
              </w:rPr>
              <w:t>8.4</w:t>
            </w:r>
          </w:p>
        </w:tc>
        <w:tc>
          <w:tcPr>
            <w:tcW w:w="1205" w:type="dxa"/>
          </w:tcPr>
          <w:p w14:paraId="2B718168" w14:textId="77777777" w:rsidR="00811887" w:rsidRDefault="00811887" w:rsidP="00486E22">
            <w:pPr>
              <w:pStyle w:val="TableParagraph"/>
              <w:ind w:left="12" w:right="3"/>
              <w:jc w:val="center"/>
              <w:rPr>
                <w:sz w:val="20"/>
              </w:rPr>
            </w:pPr>
            <w:r>
              <w:rPr>
                <w:spacing w:val="-4"/>
                <w:sz w:val="20"/>
              </w:rPr>
              <w:t>12.1</w:t>
            </w:r>
          </w:p>
        </w:tc>
        <w:tc>
          <w:tcPr>
            <w:tcW w:w="850" w:type="dxa"/>
          </w:tcPr>
          <w:p w14:paraId="3C7E42F4" w14:textId="77777777" w:rsidR="00811887" w:rsidRDefault="00811887" w:rsidP="00486E22">
            <w:pPr>
              <w:pStyle w:val="TableParagraph"/>
              <w:ind w:left="14"/>
              <w:jc w:val="center"/>
              <w:rPr>
                <w:sz w:val="20"/>
              </w:rPr>
            </w:pPr>
            <w:r>
              <w:rPr>
                <w:spacing w:val="-4"/>
                <w:sz w:val="20"/>
              </w:rPr>
              <w:t>28.9</w:t>
            </w:r>
          </w:p>
        </w:tc>
        <w:tc>
          <w:tcPr>
            <w:tcW w:w="850" w:type="dxa"/>
          </w:tcPr>
          <w:p w14:paraId="52DB721E" w14:textId="77777777" w:rsidR="00811887" w:rsidRDefault="00811887" w:rsidP="00486E22">
            <w:pPr>
              <w:pStyle w:val="TableParagraph"/>
              <w:ind w:left="14"/>
              <w:jc w:val="center"/>
              <w:rPr>
                <w:sz w:val="20"/>
              </w:rPr>
            </w:pPr>
            <w:r>
              <w:rPr>
                <w:spacing w:val="-4"/>
                <w:sz w:val="20"/>
              </w:rPr>
              <w:t>15.3</w:t>
            </w:r>
          </w:p>
        </w:tc>
        <w:tc>
          <w:tcPr>
            <w:tcW w:w="849" w:type="dxa"/>
          </w:tcPr>
          <w:p w14:paraId="47B5BCD1" w14:textId="77777777" w:rsidR="00811887" w:rsidRDefault="00811887" w:rsidP="00486E22">
            <w:pPr>
              <w:pStyle w:val="TableParagraph"/>
              <w:ind w:left="17"/>
              <w:jc w:val="center"/>
              <w:rPr>
                <w:sz w:val="20"/>
              </w:rPr>
            </w:pPr>
            <w:r>
              <w:rPr>
                <w:spacing w:val="-4"/>
                <w:sz w:val="20"/>
              </w:rPr>
              <w:t>15.7</w:t>
            </w:r>
          </w:p>
        </w:tc>
        <w:tc>
          <w:tcPr>
            <w:tcW w:w="864" w:type="dxa"/>
          </w:tcPr>
          <w:p w14:paraId="2219888D" w14:textId="77777777" w:rsidR="00811887" w:rsidRDefault="00811887" w:rsidP="00486E22">
            <w:pPr>
              <w:pStyle w:val="TableParagraph"/>
              <w:ind w:left="14"/>
              <w:jc w:val="center"/>
              <w:rPr>
                <w:sz w:val="20"/>
              </w:rPr>
            </w:pPr>
            <w:r>
              <w:rPr>
                <w:spacing w:val="-5"/>
                <w:sz w:val="20"/>
              </w:rPr>
              <w:t>3.3</w:t>
            </w:r>
          </w:p>
        </w:tc>
        <w:tc>
          <w:tcPr>
            <w:tcW w:w="919" w:type="dxa"/>
          </w:tcPr>
          <w:p w14:paraId="48984EE8" w14:textId="77777777" w:rsidR="00811887" w:rsidRDefault="00811887" w:rsidP="00486E22">
            <w:pPr>
              <w:pStyle w:val="TableParagraph"/>
              <w:ind w:left="21"/>
              <w:jc w:val="center"/>
              <w:rPr>
                <w:sz w:val="20"/>
              </w:rPr>
            </w:pPr>
            <w:r>
              <w:rPr>
                <w:spacing w:val="-5"/>
                <w:sz w:val="20"/>
              </w:rPr>
              <w:t>7.6</w:t>
            </w:r>
          </w:p>
        </w:tc>
        <w:tc>
          <w:tcPr>
            <w:tcW w:w="1049" w:type="dxa"/>
          </w:tcPr>
          <w:p w14:paraId="1617F147" w14:textId="77777777" w:rsidR="00811887" w:rsidRDefault="00811887" w:rsidP="00486E22">
            <w:pPr>
              <w:pStyle w:val="TableParagraph"/>
              <w:ind w:left="25"/>
              <w:jc w:val="center"/>
              <w:rPr>
                <w:sz w:val="20"/>
              </w:rPr>
            </w:pPr>
            <w:r>
              <w:rPr>
                <w:spacing w:val="-5"/>
                <w:sz w:val="20"/>
              </w:rPr>
              <w:t>6.6</w:t>
            </w:r>
          </w:p>
        </w:tc>
        <w:tc>
          <w:tcPr>
            <w:tcW w:w="799" w:type="dxa"/>
          </w:tcPr>
          <w:p w14:paraId="2F8FDFD9" w14:textId="77777777" w:rsidR="00811887" w:rsidRDefault="00811887" w:rsidP="00486E22">
            <w:pPr>
              <w:pStyle w:val="TableParagraph"/>
              <w:ind w:left="27"/>
              <w:jc w:val="center"/>
              <w:rPr>
                <w:sz w:val="20"/>
              </w:rPr>
            </w:pPr>
            <w:r>
              <w:rPr>
                <w:spacing w:val="-4"/>
                <w:sz w:val="20"/>
              </w:rPr>
              <w:t>11.8</w:t>
            </w:r>
          </w:p>
        </w:tc>
      </w:tr>
      <w:tr w:rsidR="00811887" w14:paraId="0FDEB366" w14:textId="77777777" w:rsidTr="00486E22">
        <w:trPr>
          <w:trHeight w:val="285"/>
        </w:trPr>
        <w:tc>
          <w:tcPr>
            <w:tcW w:w="700" w:type="dxa"/>
            <w:shd w:val="clear" w:color="auto" w:fill="234060"/>
          </w:tcPr>
          <w:p w14:paraId="27965081" w14:textId="77777777" w:rsidR="00811887" w:rsidRDefault="00811887" w:rsidP="00486E22">
            <w:pPr>
              <w:pStyle w:val="TableParagraph"/>
              <w:spacing w:line="240" w:lineRule="auto"/>
              <w:ind w:left="23" w:right="92"/>
              <w:jc w:val="center"/>
              <w:rPr>
                <w:b/>
                <w:sz w:val="20"/>
              </w:rPr>
            </w:pPr>
            <w:r>
              <w:rPr>
                <w:b/>
                <w:color w:val="FFFFFF"/>
                <w:spacing w:val="-4"/>
                <w:sz w:val="20"/>
              </w:rPr>
              <w:t>2013</w:t>
            </w:r>
          </w:p>
        </w:tc>
        <w:tc>
          <w:tcPr>
            <w:tcW w:w="925" w:type="dxa"/>
          </w:tcPr>
          <w:p w14:paraId="4C9B1CFC" w14:textId="77777777" w:rsidR="00811887" w:rsidRDefault="00811887" w:rsidP="00486E22">
            <w:pPr>
              <w:pStyle w:val="TableParagraph"/>
              <w:spacing w:line="240" w:lineRule="auto"/>
              <w:ind w:left="7"/>
              <w:jc w:val="center"/>
              <w:rPr>
                <w:sz w:val="20"/>
              </w:rPr>
            </w:pPr>
            <w:r>
              <w:rPr>
                <w:spacing w:val="-5"/>
                <w:sz w:val="20"/>
              </w:rPr>
              <w:t>7.4</w:t>
            </w:r>
          </w:p>
        </w:tc>
        <w:tc>
          <w:tcPr>
            <w:tcW w:w="1205" w:type="dxa"/>
          </w:tcPr>
          <w:p w14:paraId="75B3CB42" w14:textId="77777777" w:rsidR="00811887" w:rsidRDefault="00811887" w:rsidP="00486E22">
            <w:pPr>
              <w:pStyle w:val="TableParagraph"/>
              <w:spacing w:line="240" w:lineRule="auto"/>
              <w:ind w:left="12" w:right="3"/>
              <w:jc w:val="center"/>
              <w:rPr>
                <w:sz w:val="20"/>
              </w:rPr>
            </w:pPr>
            <w:r>
              <w:rPr>
                <w:spacing w:val="-4"/>
                <w:sz w:val="20"/>
              </w:rPr>
              <w:t>10.4</w:t>
            </w:r>
          </w:p>
        </w:tc>
        <w:tc>
          <w:tcPr>
            <w:tcW w:w="850" w:type="dxa"/>
          </w:tcPr>
          <w:p w14:paraId="0D898968" w14:textId="77777777" w:rsidR="00811887" w:rsidRDefault="00811887" w:rsidP="00486E22">
            <w:pPr>
              <w:pStyle w:val="TableParagraph"/>
              <w:spacing w:line="240" w:lineRule="auto"/>
              <w:ind w:left="14"/>
              <w:jc w:val="center"/>
              <w:rPr>
                <w:sz w:val="20"/>
              </w:rPr>
            </w:pPr>
            <w:r>
              <w:rPr>
                <w:spacing w:val="-4"/>
                <w:sz w:val="20"/>
              </w:rPr>
              <w:t>27.1</w:t>
            </w:r>
          </w:p>
        </w:tc>
        <w:tc>
          <w:tcPr>
            <w:tcW w:w="850" w:type="dxa"/>
          </w:tcPr>
          <w:p w14:paraId="706919F1" w14:textId="77777777" w:rsidR="00811887" w:rsidRDefault="00811887" w:rsidP="00486E22">
            <w:pPr>
              <w:pStyle w:val="TableParagraph"/>
              <w:spacing w:line="240" w:lineRule="auto"/>
              <w:ind w:left="14"/>
              <w:jc w:val="center"/>
              <w:rPr>
                <w:sz w:val="20"/>
              </w:rPr>
            </w:pPr>
            <w:r>
              <w:rPr>
                <w:spacing w:val="-4"/>
                <w:sz w:val="20"/>
              </w:rPr>
              <w:t>16.7</w:t>
            </w:r>
          </w:p>
        </w:tc>
        <w:tc>
          <w:tcPr>
            <w:tcW w:w="849" w:type="dxa"/>
          </w:tcPr>
          <w:p w14:paraId="0B15377A" w14:textId="77777777" w:rsidR="00811887" w:rsidRDefault="00811887" w:rsidP="00486E22">
            <w:pPr>
              <w:pStyle w:val="TableParagraph"/>
              <w:spacing w:line="240" w:lineRule="auto"/>
              <w:ind w:left="17"/>
              <w:jc w:val="center"/>
              <w:rPr>
                <w:sz w:val="20"/>
              </w:rPr>
            </w:pPr>
            <w:r>
              <w:rPr>
                <w:spacing w:val="-4"/>
                <w:sz w:val="20"/>
              </w:rPr>
              <w:t>16.7</w:t>
            </w:r>
          </w:p>
        </w:tc>
        <w:tc>
          <w:tcPr>
            <w:tcW w:w="864" w:type="dxa"/>
          </w:tcPr>
          <w:p w14:paraId="47FDFFCA" w14:textId="77777777" w:rsidR="00811887" w:rsidRDefault="00811887" w:rsidP="00486E22">
            <w:pPr>
              <w:pStyle w:val="TableParagraph"/>
              <w:spacing w:line="240" w:lineRule="auto"/>
              <w:ind w:left="14"/>
              <w:jc w:val="center"/>
              <w:rPr>
                <w:sz w:val="20"/>
              </w:rPr>
            </w:pPr>
            <w:r>
              <w:rPr>
                <w:spacing w:val="-5"/>
                <w:sz w:val="20"/>
              </w:rPr>
              <w:t>1.9</w:t>
            </w:r>
          </w:p>
        </w:tc>
        <w:tc>
          <w:tcPr>
            <w:tcW w:w="919" w:type="dxa"/>
          </w:tcPr>
          <w:p w14:paraId="764AB242" w14:textId="77777777" w:rsidR="00811887" w:rsidRDefault="00811887" w:rsidP="00486E22">
            <w:pPr>
              <w:pStyle w:val="TableParagraph"/>
              <w:spacing w:line="240" w:lineRule="auto"/>
              <w:ind w:left="21"/>
              <w:jc w:val="center"/>
              <w:rPr>
                <w:sz w:val="20"/>
              </w:rPr>
            </w:pPr>
            <w:r>
              <w:rPr>
                <w:spacing w:val="-5"/>
                <w:sz w:val="20"/>
              </w:rPr>
              <w:t>7.0</w:t>
            </w:r>
          </w:p>
        </w:tc>
        <w:tc>
          <w:tcPr>
            <w:tcW w:w="1049" w:type="dxa"/>
          </w:tcPr>
          <w:p w14:paraId="2AA591ED" w14:textId="77777777" w:rsidR="00811887" w:rsidRDefault="00811887" w:rsidP="00486E22">
            <w:pPr>
              <w:pStyle w:val="TableParagraph"/>
              <w:spacing w:line="240" w:lineRule="auto"/>
              <w:ind w:left="25"/>
              <w:jc w:val="center"/>
              <w:rPr>
                <w:sz w:val="20"/>
              </w:rPr>
            </w:pPr>
            <w:r>
              <w:rPr>
                <w:spacing w:val="-5"/>
                <w:sz w:val="20"/>
              </w:rPr>
              <w:t>6.5</w:t>
            </w:r>
          </w:p>
        </w:tc>
        <w:tc>
          <w:tcPr>
            <w:tcW w:w="799" w:type="dxa"/>
          </w:tcPr>
          <w:p w14:paraId="2CDC05FE" w14:textId="77777777" w:rsidR="00811887" w:rsidRDefault="00811887" w:rsidP="00486E22">
            <w:pPr>
              <w:pStyle w:val="TableParagraph"/>
              <w:spacing w:line="240" w:lineRule="auto"/>
              <w:ind w:left="27"/>
              <w:jc w:val="center"/>
              <w:rPr>
                <w:sz w:val="20"/>
              </w:rPr>
            </w:pPr>
            <w:r>
              <w:rPr>
                <w:spacing w:val="-4"/>
                <w:sz w:val="20"/>
              </w:rPr>
              <w:t>11.1</w:t>
            </w:r>
          </w:p>
        </w:tc>
      </w:tr>
      <w:tr w:rsidR="00811887" w14:paraId="3F285D3E" w14:textId="77777777" w:rsidTr="00486E22">
        <w:trPr>
          <w:trHeight w:val="285"/>
        </w:trPr>
        <w:tc>
          <w:tcPr>
            <w:tcW w:w="700" w:type="dxa"/>
            <w:shd w:val="clear" w:color="auto" w:fill="234060"/>
          </w:tcPr>
          <w:p w14:paraId="6D950686" w14:textId="77777777" w:rsidR="00811887" w:rsidRDefault="00811887" w:rsidP="00486E22">
            <w:pPr>
              <w:pStyle w:val="TableParagraph"/>
              <w:ind w:left="23" w:right="92"/>
              <w:jc w:val="center"/>
              <w:rPr>
                <w:b/>
                <w:sz w:val="20"/>
              </w:rPr>
            </w:pPr>
            <w:r>
              <w:rPr>
                <w:b/>
                <w:color w:val="FFFFFF"/>
                <w:spacing w:val="-4"/>
                <w:sz w:val="20"/>
              </w:rPr>
              <w:t>2014</w:t>
            </w:r>
          </w:p>
        </w:tc>
        <w:tc>
          <w:tcPr>
            <w:tcW w:w="925" w:type="dxa"/>
          </w:tcPr>
          <w:p w14:paraId="092844E9" w14:textId="77777777" w:rsidR="00811887" w:rsidRDefault="00811887" w:rsidP="00486E22">
            <w:pPr>
              <w:pStyle w:val="TableParagraph"/>
              <w:ind w:left="7"/>
              <w:jc w:val="center"/>
              <w:rPr>
                <w:sz w:val="20"/>
              </w:rPr>
            </w:pPr>
            <w:r>
              <w:rPr>
                <w:spacing w:val="-5"/>
                <w:sz w:val="20"/>
              </w:rPr>
              <w:t>6.2</w:t>
            </w:r>
          </w:p>
        </w:tc>
        <w:tc>
          <w:tcPr>
            <w:tcW w:w="1205" w:type="dxa"/>
          </w:tcPr>
          <w:p w14:paraId="68E8466E" w14:textId="77777777" w:rsidR="00811887" w:rsidRDefault="00811887" w:rsidP="00486E22">
            <w:pPr>
              <w:pStyle w:val="TableParagraph"/>
              <w:ind w:left="12" w:right="3"/>
              <w:jc w:val="center"/>
              <w:rPr>
                <w:sz w:val="20"/>
              </w:rPr>
            </w:pPr>
            <w:r>
              <w:rPr>
                <w:spacing w:val="-4"/>
                <w:sz w:val="20"/>
              </w:rPr>
              <w:t>11.7</w:t>
            </w:r>
          </w:p>
        </w:tc>
        <w:tc>
          <w:tcPr>
            <w:tcW w:w="850" w:type="dxa"/>
          </w:tcPr>
          <w:p w14:paraId="31E2D51C" w14:textId="77777777" w:rsidR="00811887" w:rsidRDefault="00811887" w:rsidP="00486E22">
            <w:pPr>
              <w:pStyle w:val="TableParagraph"/>
              <w:ind w:left="14"/>
              <w:jc w:val="center"/>
              <w:rPr>
                <w:sz w:val="20"/>
              </w:rPr>
            </w:pPr>
            <w:r>
              <w:rPr>
                <w:spacing w:val="-4"/>
                <w:sz w:val="20"/>
              </w:rPr>
              <w:t>24.9</w:t>
            </w:r>
          </w:p>
        </w:tc>
        <w:tc>
          <w:tcPr>
            <w:tcW w:w="850" w:type="dxa"/>
          </w:tcPr>
          <w:p w14:paraId="66166345" w14:textId="77777777" w:rsidR="00811887" w:rsidRDefault="00811887" w:rsidP="00486E22">
            <w:pPr>
              <w:pStyle w:val="TableParagraph"/>
              <w:ind w:left="14"/>
              <w:jc w:val="center"/>
              <w:rPr>
                <w:sz w:val="20"/>
              </w:rPr>
            </w:pPr>
            <w:r>
              <w:rPr>
                <w:spacing w:val="-4"/>
                <w:sz w:val="20"/>
              </w:rPr>
              <w:t>18.4</w:t>
            </w:r>
          </w:p>
        </w:tc>
        <w:tc>
          <w:tcPr>
            <w:tcW w:w="849" w:type="dxa"/>
          </w:tcPr>
          <w:p w14:paraId="03EB2E94" w14:textId="77777777" w:rsidR="00811887" w:rsidRDefault="00811887" w:rsidP="00486E22">
            <w:pPr>
              <w:pStyle w:val="TableParagraph"/>
              <w:ind w:left="17"/>
              <w:jc w:val="center"/>
              <w:rPr>
                <w:sz w:val="20"/>
              </w:rPr>
            </w:pPr>
            <w:r>
              <w:rPr>
                <w:spacing w:val="-4"/>
                <w:sz w:val="20"/>
              </w:rPr>
              <w:t>15.8</w:t>
            </w:r>
          </w:p>
        </w:tc>
        <w:tc>
          <w:tcPr>
            <w:tcW w:w="864" w:type="dxa"/>
          </w:tcPr>
          <w:p w14:paraId="70669571" w14:textId="77777777" w:rsidR="00811887" w:rsidRDefault="00811887" w:rsidP="00486E22">
            <w:pPr>
              <w:pStyle w:val="TableParagraph"/>
              <w:ind w:left="14"/>
              <w:jc w:val="center"/>
              <w:rPr>
                <w:sz w:val="20"/>
              </w:rPr>
            </w:pPr>
            <w:r>
              <w:rPr>
                <w:spacing w:val="-5"/>
                <w:sz w:val="20"/>
              </w:rPr>
              <w:t>2.8</w:t>
            </w:r>
          </w:p>
        </w:tc>
        <w:tc>
          <w:tcPr>
            <w:tcW w:w="919" w:type="dxa"/>
          </w:tcPr>
          <w:p w14:paraId="2A7FFA4D" w14:textId="77777777" w:rsidR="00811887" w:rsidRDefault="00811887" w:rsidP="00486E22">
            <w:pPr>
              <w:pStyle w:val="TableParagraph"/>
              <w:ind w:left="21"/>
              <w:jc w:val="center"/>
              <w:rPr>
                <w:sz w:val="20"/>
              </w:rPr>
            </w:pPr>
            <w:r>
              <w:rPr>
                <w:spacing w:val="-5"/>
                <w:sz w:val="20"/>
              </w:rPr>
              <w:t>4.0</w:t>
            </w:r>
          </w:p>
        </w:tc>
        <w:tc>
          <w:tcPr>
            <w:tcW w:w="1049" w:type="dxa"/>
          </w:tcPr>
          <w:p w14:paraId="0AB22555" w14:textId="77777777" w:rsidR="00811887" w:rsidRDefault="00811887" w:rsidP="00486E22">
            <w:pPr>
              <w:pStyle w:val="TableParagraph"/>
              <w:ind w:left="25"/>
              <w:jc w:val="center"/>
              <w:rPr>
                <w:sz w:val="20"/>
              </w:rPr>
            </w:pPr>
            <w:r>
              <w:rPr>
                <w:spacing w:val="-5"/>
                <w:sz w:val="20"/>
              </w:rPr>
              <w:t>9.4</w:t>
            </w:r>
          </w:p>
        </w:tc>
        <w:tc>
          <w:tcPr>
            <w:tcW w:w="799" w:type="dxa"/>
          </w:tcPr>
          <w:p w14:paraId="6F4EDAAF" w14:textId="77777777" w:rsidR="00811887" w:rsidRDefault="00811887" w:rsidP="00486E22">
            <w:pPr>
              <w:pStyle w:val="TableParagraph"/>
              <w:ind w:left="27"/>
              <w:jc w:val="center"/>
              <w:rPr>
                <w:sz w:val="20"/>
              </w:rPr>
            </w:pPr>
            <w:r>
              <w:rPr>
                <w:spacing w:val="-4"/>
                <w:sz w:val="20"/>
              </w:rPr>
              <w:t>11.4</w:t>
            </w:r>
          </w:p>
        </w:tc>
      </w:tr>
      <w:tr w:rsidR="00811887" w14:paraId="7DBBFFAC" w14:textId="77777777" w:rsidTr="00486E22">
        <w:trPr>
          <w:trHeight w:val="285"/>
        </w:trPr>
        <w:tc>
          <w:tcPr>
            <w:tcW w:w="700" w:type="dxa"/>
            <w:shd w:val="clear" w:color="auto" w:fill="234060"/>
          </w:tcPr>
          <w:p w14:paraId="0A8DDC22" w14:textId="77777777" w:rsidR="00811887" w:rsidRDefault="00811887" w:rsidP="00486E22">
            <w:pPr>
              <w:pStyle w:val="TableParagraph"/>
              <w:ind w:left="23" w:right="92"/>
              <w:jc w:val="center"/>
              <w:rPr>
                <w:b/>
                <w:sz w:val="20"/>
              </w:rPr>
            </w:pPr>
            <w:r>
              <w:rPr>
                <w:b/>
                <w:color w:val="FFFFFF"/>
                <w:spacing w:val="-4"/>
                <w:sz w:val="20"/>
              </w:rPr>
              <w:t>2015</w:t>
            </w:r>
          </w:p>
        </w:tc>
        <w:tc>
          <w:tcPr>
            <w:tcW w:w="925" w:type="dxa"/>
          </w:tcPr>
          <w:p w14:paraId="7F42B833" w14:textId="77777777" w:rsidR="00811887" w:rsidRDefault="00811887" w:rsidP="00486E22">
            <w:pPr>
              <w:pStyle w:val="TableParagraph"/>
              <w:ind w:left="7"/>
              <w:jc w:val="center"/>
              <w:rPr>
                <w:sz w:val="20"/>
              </w:rPr>
            </w:pPr>
            <w:r>
              <w:rPr>
                <w:spacing w:val="-5"/>
                <w:sz w:val="20"/>
              </w:rPr>
              <w:t>8.1</w:t>
            </w:r>
          </w:p>
        </w:tc>
        <w:tc>
          <w:tcPr>
            <w:tcW w:w="1205" w:type="dxa"/>
          </w:tcPr>
          <w:p w14:paraId="3DA1710B" w14:textId="77777777" w:rsidR="00811887" w:rsidRDefault="00811887" w:rsidP="00486E22">
            <w:pPr>
              <w:pStyle w:val="TableParagraph"/>
              <w:ind w:left="12" w:right="3"/>
              <w:jc w:val="center"/>
              <w:rPr>
                <w:sz w:val="20"/>
              </w:rPr>
            </w:pPr>
            <w:r>
              <w:rPr>
                <w:spacing w:val="-4"/>
                <w:sz w:val="20"/>
              </w:rPr>
              <w:t>11.1</w:t>
            </w:r>
          </w:p>
        </w:tc>
        <w:tc>
          <w:tcPr>
            <w:tcW w:w="850" w:type="dxa"/>
          </w:tcPr>
          <w:p w14:paraId="757A77DA" w14:textId="77777777" w:rsidR="00811887" w:rsidRDefault="00811887" w:rsidP="00486E22">
            <w:pPr>
              <w:pStyle w:val="TableParagraph"/>
              <w:ind w:left="14"/>
              <w:jc w:val="center"/>
              <w:rPr>
                <w:sz w:val="20"/>
              </w:rPr>
            </w:pPr>
            <w:r>
              <w:rPr>
                <w:spacing w:val="-4"/>
                <w:sz w:val="20"/>
              </w:rPr>
              <w:t>31.9</w:t>
            </w:r>
          </w:p>
        </w:tc>
        <w:tc>
          <w:tcPr>
            <w:tcW w:w="850" w:type="dxa"/>
          </w:tcPr>
          <w:p w14:paraId="7654E39F" w14:textId="77777777" w:rsidR="00811887" w:rsidRDefault="00811887" w:rsidP="00486E22">
            <w:pPr>
              <w:pStyle w:val="TableParagraph"/>
              <w:ind w:left="14"/>
              <w:jc w:val="center"/>
              <w:rPr>
                <w:sz w:val="20"/>
              </w:rPr>
            </w:pPr>
            <w:r>
              <w:rPr>
                <w:spacing w:val="-4"/>
                <w:sz w:val="20"/>
              </w:rPr>
              <w:t>15.9</w:t>
            </w:r>
          </w:p>
        </w:tc>
        <w:tc>
          <w:tcPr>
            <w:tcW w:w="849" w:type="dxa"/>
          </w:tcPr>
          <w:p w14:paraId="31AD4DAA" w14:textId="77777777" w:rsidR="00811887" w:rsidRDefault="00811887" w:rsidP="00486E22">
            <w:pPr>
              <w:pStyle w:val="TableParagraph"/>
              <w:ind w:left="17"/>
              <w:jc w:val="center"/>
              <w:rPr>
                <w:sz w:val="20"/>
              </w:rPr>
            </w:pPr>
            <w:r>
              <w:rPr>
                <w:spacing w:val="-4"/>
                <w:sz w:val="20"/>
              </w:rPr>
              <w:t>15.4</w:t>
            </w:r>
          </w:p>
        </w:tc>
        <w:tc>
          <w:tcPr>
            <w:tcW w:w="864" w:type="dxa"/>
          </w:tcPr>
          <w:p w14:paraId="608932D2" w14:textId="77777777" w:rsidR="00811887" w:rsidRDefault="00811887" w:rsidP="00486E22">
            <w:pPr>
              <w:pStyle w:val="TableParagraph"/>
              <w:ind w:left="14"/>
              <w:jc w:val="center"/>
              <w:rPr>
                <w:sz w:val="20"/>
              </w:rPr>
            </w:pPr>
            <w:r>
              <w:rPr>
                <w:spacing w:val="-5"/>
                <w:sz w:val="20"/>
              </w:rPr>
              <w:t>2.7</w:t>
            </w:r>
          </w:p>
        </w:tc>
        <w:tc>
          <w:tcPr>
            <w:tcW w:w="919" w:type="dxa"/>
          </w:tcPr>
          <w:p w14:paraId="0A6F87BF" w14:textId="77777777" w:rsidR="00811887" w:rsidRDefault="00811887" w:rsidP="00486E22">
            <w:pPr>
              <w:pStyle w:val="TableParagraph"/>
              <w:ind w:left="21"/>
              <w:jc w:val="center"/>
              <w:rPr>
                <w:sz w:val="20"/>
              </w:rPr>
            </w:pPr>
            <w:r>
              <w:rPr>
                <w:spacing w:val="-5"/>
                <w:sz w:val="20"/>
              </w:rPr>
              <w:t>3.6</w:t>
            </w:r>
          </w:p>
        </w:tc>
        <w:tc>
          <w:tcPr>
            <w:tcW w:w="1049" w:type="dxa"/>
          </w:tcPr>
          <w:p w14:paraId="73B75B9D" w14:textId="77777777" w:rsidR="00811887" w:rsidRDefault="00811887" w:rsidP="00486E22">
            <w:pPr>
              <w:pStyle w:val="TableParagraph"/>
              <w:ind w:left="25"/>
              <w:jc w:val="center"/>
              <w:rPr>
                <w:sz w:val="20"/>
              </w:rPr>
            </w:pPr>
            <w:r>
              <w:rPr>
                <w:spacing w:val="-5"/>
                <w:sz w:val="20"/>
              </w:rPr>
              <w:t>7.2</w:t>
            </w:r>
          </w:p>
        </w:tc>
        <w:tc>
          <w:tcPr>
            <w:tcW w:w="799" w:type="dxa"/>
          </w:tcPr>
          <w:p w14:paraId="5C427CD6" w14:textId="77777777" w:rsidR="00811887" w:rsidRDefault="00811887" w:rsidP="00486E22">
            <w:pPr>
              <w:pStyle w:val="TableParagraph"/>
              <w:ind w:left="27"/>
              <w:jc w:val="center"/>
              <w:rPr>
                <w:sz w:val="20"/>
              </w:rPr>
            </w:pPr>
            <w:r>
              <w:rPr>
                <w:spacing w:val="-4"/>
                <w:sz w:val="20"/>
              </w:rPr>
              <w:t>11.5</w:t>
            </w:r>
          </w:p>
        </w:tc>
      </w:tr>
      <w:tr w:rsidR="00811887" w14:paraId="75178A51" w14:textId="77777777" w:rsidTr="00486E22">
        <w:trPr>
          <w:trHeight w:val="280"/>
        </w:trPr>
        <w:tc>
          <w:tcPr>
            <w:tcW w:w="700" w:type="dxa"/>
            <w:shd w:val="clear" w:color="auto" w:fill="234060"/>
          </w:tcPr>
          <w:p w14:paraId="304C52D6" w14:textId="77777777" w:rsidR="00811887" w:rsidRDefault="00811887" w:rsidP="00486E22">
            <w:pPr>
              <w:pStyle w:val="TableParagraph"/>
              <w:spacing w:line="239" w:lineRule="exact"/>
              <w:ind w:left="23" w:right="92"/>
              <w:jc w:val="center"/>
              <w:rPr>
                <w:b/>
                <w:sz w:val="20"/>
              </w:rPr>
            </w:pPr>
            <w:r>
              <w:rPr>
                <w:b/>
                <w:color w:val="FFFFFF"/>
                <w:spacing w:val="-4"/>
                <w:sz w:val="20"/>
              </w:rPr>
              <w:t>2016</w:t>
            </w:r>
          </w:p>
        </w:tc>
        <w:tc>
          <w:tcPr>
            <w:tcW w:w="925" w:type="dxa"/>
          </w:tcPr>
          <w:p w14:paraId="7B129E33" w14:textId="77777777" w:rsidR="00811887" w:rsidRDefault="00811887" w:rsidP="00486E22">
            <w:pPr>
              <w:pStyle w:val="TableParagraph"/>
              <w:spacing w:line="239" w:lineRule="exact"/>
              <w:ind w:left="7"/>
              <w:jc w:val="center"/>
              <w:rPr>
                <w:sz w:val="20"/>
              </w:rPr>
            </w:pPr>
            <w:r>
              <w:rPr>
                <w:spacing w:val="-5"/>
                <w:sz w:val="20"/>
              </w:rPr>
              <w:t>7.5</w:t>
            </w:r>
          </w:p>
        </w:tc>
        <w:tc>
          <w:tcPr>
            <w:tcW w:w="1205" w:type="dxa"/>
          </w:tcPr>
          <w:p w14:paraId="144C0F27" w14:textId="77777777" w:rsidR="00811887" w:rsidRDefault="00811887" w:rsidP="00486E22">
            <w:pPr>
              <w:pStyle w:val="TableParagraph"/>
              <w:spacing w:line="239" w:lineRule="exact"/>
              <w:ind w:left="12" w:right="3"/>
              <w:jc w:val="center"/>
              <w:rPr>
                <w:sz w:val="20"/>
              </w:rPr>
            </w:pPr>
            <w:r>
              <w:rPr>
                <w:spacing w:val="-5"/>
                <w:sz w:val="20"/>
              </w:rPr>
              <w:t>9.6</w:t>
            </w:r>
          </w:p>
        </w:tc>
        <w:tc>
          <w:tcPr>
            <w:tcW w:w="850" w:type="dxa"/>
          </w:tcPr>
          <w:p w14:paraId="44EE1220" w14:textId="77777777" w:rsidR="00811887" w:rsidRDefault="00811887" w:rsidP="00486E22">
            <w:pPr>
              <w:pStyle w:val="TableParagraph"/>
              <w:spacing w:line="239" w:lineRule="exact"/>
              <w:ind w:left="14"/>
              <w:jc w:val="center"/>
              <w:rPr>
                <w:sz w:val="20"/>
              </w:rPr>
            </w:pPr>
            <w:r>
              <w:rPr>
                <w:spacing w:val="-4"/>
                <w:sz w:val="20"/>
              </w:rPr>
              <w:t>28.1</w:t>
            </w:r>
          </w:p>
        </w:tc>
        <w:tc>
          <w:tcPr>
            <w:tcW w:w="850" w:type="dxa"/>
          </w:tcPr>
          <w:p w14:paraId="7C3A2FFC" w14:textId="77777777" w:rsidR="00811887" w:rsidRDefault="00811887" w:rsidP="00486E22">
            <w:pPr>
              <w:pStyle w:val="TableParagraph"/>
              <w:spacing w:line="239" w:lineRule="exact"/>
              <w:ind w:left="14"/>
              <w:jc w:val="center"/>
              <w:rPr>
                <w:sz w:val="20"/>
              </w:rPr>
            </w:pPr>
            <w:r>
              <w:rPr>
                <w:spacing w:val="-4"/>
                <w:sz w:val="20"/>
              </w:rPr>
              <w:t>17.6</w:t>
            </w:r>
          </w:p>
        </w:tc>
        <w:tc>
          <w:tcPr>
            <w:tcW w:w="849" w:type="dxa"/>
          </w:tcPr>
          <w:p w14:paraId="5F4FD8FF" w14:textId="77777777" w:rsidR="00811887" w:rsidRDefault="00811887" w:rsidP="00486E22">
            <w:pPr>
              <w:pStyle w:val="TableParagraph"/>
              <w:spacing w:line="239" w:lineRule="exact"/>
              <w:ind w:left="17"/>
              <w:jc w:val="center"/>
              <w:rPr>
                <w:sz w:val="20"/>
              </w:rPr>
            </w:pPr>
            <w:r>
              <w:rPr>
                <w:spacing w:val="-4"/>
                <w:sz w:val="20"/>
              </w:rPr>
              <w:t>17.6</w:t>
            </w:r>
          </w:p>
        </w:tc>
        <w:tc>
          <w:tcPr>
            <w:tcW w:w="864" w:type="dxa"/>
          </w:tcPr>
          <w:p w14:paraId="1544919F" w14:textId="77777777" w:rsidR="00811887" w:rsidRDefault="00811887" w:rsidP="00486E22">
            <w:pPr>
              <w:pStyle w:val="TableParagraph"/>
              <w:spacing w:line="239" w:lineRule="exact"/>
              <w:ind w:left="14"/>
              <w:jc w:val="center"/>
              <w:rPr>
                <w:sz w:val="20"/>
              </w:rPr>
            </w:pPr>
            <w:r>
              <w:rPr>
                <w:spacing w:val="-5"/>
                <w:sz w:val="20"/>
              </w:rPr>
              <w:t>2.8</w:t>
            </w:r>
          </w:p>
        </w:tc>
        <w:tc>
          <w:tcPr>
            <w:tcW w:w="919" w:type="dxa"/>
          </w:tcPr>
          <w:p w14:paraId="02933238" w14:textId="77777777" w:rsidR="00811887" w:rsidRDefault="00811887" w:rsidP="00486E22">
            <w:pPr>
              <w:pStyle w:val="TableParagraph"/>
              <w:spacing w:line="239" w:lineRule="exact"/>
              <w:ind w:left="21"/>
              <w:jc w:val="center"/>
              <w:rPr>
                <w:sz w:val="20"/>
              </w:rPr>
            </w:pPr>
            <w:r>
              <w:rPr>
                <w:spacing w:val="-5"/>
                <w:sz w:val="20"/>
              </w:rPr>
              <w:t>6.7</w:t>
            </w:r>
          </w:p>
        </w:tc>
        <w:tc>
          <w:tcPr>
            <w:tcW w:w="1049" w:type="dxa"/>
          </w:tcPr>
          <w:p w14:paraId="63FA3D52" w14:textId="77777777" w:rsidR="00811887" w:rsidRDefault="00811887" w:rsidP="00486E22">
            <w:pPr>
              <w:pStyle w:val="TableParagraph"/>
              <w:spacing w:line="239" w:lineRule="exact"/>
              <w:ind w:left="25"/>
              <w:jc w:val="center"/>
              <w:rPr>
                <w:sz w:val="20"/>
              </w:rPr>
            </w:pPr>
            <w:r>
              <w:rPr>
                <w:spacing w:val="-5"/>
                <w:sz w:val="20"/>
              </w:rPr>
              <w:t>6.5</w:t>
            </w:r>
          </w:p>
        </w:tc>
        <w:tc>
          <w:tcPr>
            <w:tcW w:w="799" w:type="dxa"/>
          </w:tcPr>
          <w:p w14:paraId="120F6EBA" w14:textId="77777777" w:rsidR="00811887" w:rsidRDefault="00811887" w:rsidP="00486E22">
            <w:pPr>
              <w:pStyle w:val="TableParagraph"/>
              <w:spacing w:line="239" w:lineRule="exact"/>
              <w:ind w:left="27"/>
              <w:jc w:val="center"/>
              <w:rPr>
                <w:sz w:val="20"/>
              </w:rPr>
            </w:pPr>
            <w:r>
              <w:rPr>
                <w:spacing w:val="-4"/>
                <w:sz w:val="20"/>
              </w:rPr>
              <w:t>11.1</w:t>
            </w:r>
          </w:p>
        </w:tc>
      </w:tr>
      <w:tr w:rsidR="00811887" w14:paraId="17CCFCB2" w14:textId="77777777" w:rsidTr="00486E22">
        <w:trPr>
          <w:trHeight w:val="285"/>
        </w:trPr>
        <w:tc>
          <w:tcPr>
            <w:tcW w:w="700" w:type="dxa"/>
            <w:shd w:val="clear" w:color="auto" w:fill="234060"/>
          </w:tcPr>
          <w:p w14:paraId="232240D6" w14:textId="77777777" w:rsidR="00811887" w:rsidRDefault="00811887" w:rsidP="00486E22">
            <w:pPr>
              <w:pStyle w:val="TableParagraph"/>
              <w:ind w:left="23" w:right="92"/>
              <w:jc w:val="center"/>
              <w:rPr>
                <w:b/>
                <w:sz w:val="20"/>
              </w:rPr>
            </w:pPr>
            <w:r>
              <w:rPr>
                <w:b/>
                <w:color w:val="FFFFFF"/>
                <w:spacing w:val="-4"/>
                <w:sz w:val="20"/>
              </w:rPr>
              <w:t>2017</w:t>
            </w:r>
          </w:p>
        </w:tc>
        <w:tc>
          <w:tcPr>
            <w:tcW w:w="925" w:type="dxa"/>
          </w:tcPr>
          <w:p w14:paraId="741E0B82" w14:textId="77777777" w:rsidR="00811887" w:rsidRDefault="00811887" w:rsidP="00486E22">
            <w:pPr>
              <w:pStyle w:val="TableParagraph"/>
              <w:ind w:left="7"/>
              <w:jc w:val="center"/>
              <w:rPr>
                <w:sz w:val="20"/>
              </w:rPr>
            </w:pPr>
            <w:r>
              <w:rPr>
                <w:spacing w:val="-5"/>
                <w:sz w:val="20"/>
              </w:rPr>
              <w:t>6.2</w:t>
            </w:r>
          </w:p>
        </w:tc>
        <w:tc>
          <w:tcPr>
            <w:tcW w:w="1205" w:type="dxa"/>
          </w:tcPr>
          <w:p w14:paraId="3FAC7C27" w14:textId="77777777" w:rsidR="00811887" w:rsidRDefault="00811887" w:rsidP="00486E22">
            <w:pPr>
              <w:pStyle w:val="TableParagraph"/>
              <w:ind w:left="12" w:right="3"/>
              <w:jc w:val="center"/>
              <w:rPr>
                <w:sz w:val="20"/>
              </w:rPr>
            </w:pPr>
            <w:r>
              <w:rPr>
                <w:spacing w:val="-5"/>
                <w:sz w:val="20"/>
              </w:rPr>
              <w:t>9.5</w:t>
            </w:r>
          </w:p>
        </w:tc>
        <w:tc>
          <w:tcPr>
            <w:tcW w:w="850" w:type="dxa"/>
          </w:tcPr>
          <w:p w14:paraId="5723BCCF" w14:textId="77777777" w:rsidR="00811887" w:rsidRDefault="00811887" w:rsidP="00486E22">
            <w:pPr>
              <w:pStyle w:val="TableParagraph"/>
              <w:ind w:left="14"/>
              <w:jc w:val="center"/>
              <w:rPr>
                <w:sz w:val="20"/>
              </w:rPr>
            </w:pPr>
            <w:r>
              <w:rPr>
                <w:spacing w:val="-4"/>
                <w:sz w:val="20"/>
              </w:rPr>
              <w:t>25.9</w:t>
            </w:r>
          </w:p>
        </w:tc>
        <w:tc>
          <w:tcPr>
            <w:tcW w:w="850" w:type="dxa"/>
          </w:tcPr>
          <w:p w14:paraId="110F2679" w14:textId="77777777" w:rsidR="00811887" w:rsidRDefault="00811887" w:rsidP="00486E22">
            <w:pPr>
              <w:pStyle w:val="TableParagraph"/>
              <w:ind w:left="14"/>
              <w:jc w:val="center"/>
              <w:rPr>
                <w:sz w:val="20"/>
              </w:rPr>
            </w:pPr>
            <w:r>
              <w:rPr>
                <w:spacing w:val="-4"/>
                <w:sz w:val="20"/>
              </w:rPr>
              <w:t>13.1</w:t>
            </w:r>
          </w:p>
        </w:tc>
        <w:tc>
          <w:tcPr>
            <w:tcW w:w="849" w:type="dxa"/>
          </w:tcPr>
          <w:p w14:paraId="0D439832" w14:textId="77777777" w:rsidR="00811887" w:rsidRDefault="00811887" w:rsidP="00486E22">
            <w:pPr>
              <w:pStyle w:val="TableParagraph"/>
              <w:ind w:left="17"/>
              <w:jc w:val="center"/>
              <w:rPr>
                <w:sz w:val="20"/>
              </w:rPr>
            </w:pPr>
            <w:r>
              <w:rPr>
                <w:spacing w:val="-4"/>
                <w:sz w:val="20"/>
              </w:rPr>
              <w:t>15.4</w:t>
            </w:r>
          </w:p>
        </w:tc>
        <w:tc>
          <w:tcPr>
            <w:tcW w:w="864" w:type="dxa"/>
          </w:tcPr>
          <w:p w14:paraId="75327E64" w14:textId="77777777" w:rsidR="00811887" w:rsidRDefault="00811887" w:rsidP="00486E22">
            <w:pPr>
              <w:pStyle w:val="TableParagraph"/>
              <w:ind w:left="14"/>
              <w:jc w:val="center"/>
              <w:rPr>
                <w:sz w:val="20"/>
              </w:rPr>
            </w:pPr>
            <w:r>
              <w:rPr>
                <w:spacing w:val="-5"/>
                <w:sz w:val="20"/>
              </w:rPr>
              <w:t>2.6</w:t>
            </w:r>
          </w:p>
        </w:tc>
        <w:tc>
          <w:tcPr>
            <w:tcW w:w="919" w:type="dxa"/>
          </w:tcPr>
          <w:p w14:paraId="2D27C66E" w14:textId="77777777" w:rsidR="00811887" w:rsidRDefault="00811887" w:rsidP="00486E22">
            <w:pPr>
              <w:pStyle w:val="TableParagraph"/>
              <w:ind w:left="21"/>
              <w:jc w:val="center"/>
              <w:rPr>
                <w:sz w:val="20"/>
              </w:rPr>
            </w:pPr>
            <w:r>
              <w:rPr>
                <w:spacing w:val="-5"/>
                <w:sz w:val="20"/>
              </w:rPr>
              <w:t>6.7</w:t>
            </w:r>
          </w:p>
        </w:tc>
        <w:tc>
          <w:tcPr>
            <w:tcW w:w="1049" w:type="dxa"/>
          </w:tcPr>
          <w:p w14:paraId="69F4266D" w14:textId="77777777" w:rsidR="00811887" w:rsidRDefault="00811887" w:rsidP="00486E22">
            <w:pPr>
              <w:pStyle w:val="TableParagraph"/>
              <w:ind w:left="25"/>
              <w:jc w:val="center"/>
              <w:rPr>
                <w:sz w:val="20"/>
              </w:rPr>
            </w:pPr>
            <w:r>
              <w:rPr>
                <w:spacing w:val="-5"/>
                <w:sz w:val="20"/>
              </w:rPr>
              <w:t>7.9</w:t>
            </w:r>
          </w:p>
        </w:tc>
        <w:tc>
          <w:tcPr>
            <w:tcW w:w="799" w:type="dxa"/>
          </w:tcPr>
          <w:p w14:paraId="567313D7" w14:textId="77777777" w:rsidR="00811887" w:rsidRDefault="00811887" w:rsidP="00486E22">
            <w:pPr>
              <w:pStyle w:val="TableParagraph"/>
              <w:ind w:left="27"/>
              <w:jc w:val="center"/>
              <w:rPr>
                <w:sz w:val="20"/>
              </w:rPr>
            </w:pPr>
            <w:r>
              <w:rPr>
                <w:spacing w:val="-5"/>
                <w:sz w:val="20"/>
              </w:rPr>
              <w:t>9.9</w:t>
            </w:r>
          </w:p>
        </w:tc>
      </w:tr>
      <w:tr w:rsidR="00811887" w14:paraId="6CD94FF3" w14:textId="77777777" w:rsidTr="00486E22">
        <w:trPr>
          <w:trHeight w:val="285"/>
        </w:trPr>
        <w:tc>
          <w:tcPr>
            <w:tcW w:w="700" w:type="dxa"/>
            <w:shd w:val="clear" w:color="auto" w:fill="234060"/>
          </w:tcPr>
          <w:p w14:paraId="2E06E71F" w14:textId="77777777" w:rsidR="00811887" w:rsidRDefault="00811887" w:rsidP="00486E22">
            <w:pPr>
              <w:pStyle w:val="TableParagraph"/>
              <w:ind w:left="23" w:right="92"/>
              <w:jc w:val="center"/>
              <w:rPr>
                <w:b/>
                <w:sz w:val="20"/>
              </w:rPr>
            </w:pPr>
            <w:r>
              <w:rPr>
                <w:b/>
                <w:color w:val="FFFFFF"/>
                <w:spacing w:val="-4"/>
                <w:sz w:val="20"/>
              </w:rPr>
              <w:t>2018</w:t>
            </w:r>
          </w:p>
        </w:tc>
        <w:tc>
          <w:tcPr>
            <w:tcW w:w="925" w:type="dxa"/>
          </w:tcPr>
          <w:p w14:paraId="59DD5B6A" w14:textId="77777777" w:rsidR="00811887" w:rsidRDefault="00811887" w:rsidP="00486E22">
            <w:pPr>
              <w:pStyle w:val="TableParagraph"/>
              <w:ind w:left="7"/>
              <w:jc w:val="center"/>
              <w:rPr>
                <w:sz w:val="20"/>
              </w:rPr>
            </w:pPr>
            <w:r>
              <w:rPr>
                <w:spacing w:val="-5"/>
                <w:sz w:val="20"/>
              </w:rPr>
              <w:t>8.1</w:t>
            </w:r>
          </w:p>
        </w:tc>
        <w:tc>
          <w:tcPr>
            <w:tcW w:w="1205" w:type="dxa"/>
          </w:tcPr>
          <w:p w14:paraId="1C08D278" w14:textId="77777777" w:rsidR="00811887" w:rsidRDefault="00811887" w:rsidP="00486E22">
            <w:pPr>
              <w:pStyle w:val="TableParagraph"/>
              <w:ind w:left="12" w:right="3"/>
              <w:jc w:val="center"/>
              <w:rPr>
                <w:sz w:val="20"/>
              </w:rPr>
            </w:pPr>
            <w:r>
              <w:rPr>
                <w:spacing w:val="-5"/>
                <w:sz w:val="20"/>
              </w:rPr>
              <w:t>9.7</w:t>
            </w:r>
          </w:p>
        </w:tc>
        <w:tc>
          <w:tcPr>
            <w:tcW w:w="850" w:type="dxa"/>
          </w:tcPr>
          <w:p w14:paraId="197EFAB8" w14:textId="77777777" w:rsidR="00811887" w:rsidRDefault="00811887" w:rsidP="00486E22">
            <w:pPr>
              <w:pStyle w:val="TableParagraph"/>
              <w:ind w:left="14"/>
              <w:jc w:val="center"/>
              <w:rPr>
                <w:sz w:val="20"/>
              </w:rPr>
            </w:pPr>
            <w:r>
              <w:rPr>
                <w:spacing w:val="-4"/>
                <w:sz w:val="20"/>
              </w:rPr>
              <w:t>26.4</w:t>
            </w:r>
          </w:p>
        </w:tc>
        <w:tc>
          <w:tcPr>
            <w:tcW w:w="850" w:type="dxa"/>
          </w:tcPr>
          <w:p w14:paraId="3765365E" w14:textId="77777777" w:rsidR="00811887" w:rsidRDefault="00811887" w:rsidP="00486E22">
            <w:pPr>
              <w:pStyle w:val="TableParagraph"/>
              <w:ind w:left="14"/>
              <w:jc w:val="center"/>
              <w:rPr>
                <w:sz w:val="20"/>
              </w:rPr>
            </w:pPr>
            <w:r>
              <w:rPr>
                <w:spacing w:val="-4"/>
                <w:sz w:val="20"/>
              </w:rPr>
              <w:t>14.8</w:t>
            </w:r>
          </w:p>
        </w:tc>
        <w:tc>
          <w:tcPr>
            <w:tcW w:w="849" w:type="dxa"/>
          </w:tcPr>
          <w:p w14:paraId="40E37F9A" w14:textId="77777777" w:rsidR="00811887" w:rsidRDefault="00811887" w:rsidP="00486E22">
            <w:pPr>
              <w:pStyle w:val="TableParagraph"/>
              <w:ind w:left="17"/>
              <w:jc w:val="center"/>
              <w:rPr>
                <w:sz w:val="20"/>
              </w:rPr>
            </w:pPr>
            <w:r>
              <w:rPr>
                <w:spacing w:val="-4"/>
                <w:sz w:val="20"/>
              </w:rPr>
              <w:t>20.3</w:t>
            </w:r>
          </w:p>
        </w:tc>
        <w:tc>
          <w:tcPr>
            <w:tcW w:w="864" w:type="dxa"/>
          </w:tcPr>
          <w:p w14:paraId="72A30D69" w14:textId="77777777" w:rsidR="00811887" w:rsidRDefault="00811887" w:rsidP="00486E22">
            <w:pPr>
              <w:pStyle w:val="TableParagraph"/>
              <w:ind w:left="14"/>
              <w:jc w:val="center"/>
              <w:rPr>
                <w:sz w:val="20"/>
              </w:rPr>
            </w:pPr>
            <w:r>
              <w:rPr>
                <w:spacing w:val="-5"/>
                <w:sz w:val="20"/>
              </w:rPr>
              <w:t>3.4</w:t>
            </w:r>
          </w:p>
        </w:tc>
        <w:tc>
          <w:tcPr>
            <w:tcW w:w="919" w:type="dxa"/>
          </w:tcPr>
          <w:p w14:paraId="74466682" w14:textId="77777777" w:rsidR="00811887" w:rsidRDefault="00811887" w:rsidP="00486E22">
            <w:pPr>
              <w:pStyle w:val="TableParagraph"/>
              <w:ind w:left="21"/>
              <w:jc w:val="center"/>
              <w:rPr>
                <w:sz w:val="20"/>
              </w:rPr>
            </w:pPr>
            <w:r>
              <w:rPr>
                <w:spacing w:val="-5"/>
                <w:sz w:val="20"/>
              </w:rPr>
              <w:t>7.6</w:t>
            </w:r>
          </w:p>
        </w:tc>
        <w:tc>
          <w:tcPr>
            <w:tcW w:w="1049" w:type="dxa"/>
          </w:tcPr>
          <w:p w14:paraId="4BD782AF" w14:textId="77777777" w:rsidR="00811887" w:rsidRDefault="00811887" w:rsidP="00486E22">
            <w:pPr>
              <w:pStyle w:val="TableParagraph"/>
              <w:ind w:left="25"/>
              <w:jc w:val="center"/>
              <w:rPr>
                <w:sz w:val="20"/>
              </w:rPr>
            </w:pPr>
            <w:r>
              <w:rPr>
                <w:spacing w:val="-5"/>
                <w:sz w:val="20"/>
              </w:rPr>
              <w:t>6.4</w:t>
            </w:r>
          </w:p>
        </w:tc>
        <w:tc>
          <w:tcPr>
            <w:tcW w:w="799" w:type="dxa"/>
          </w:tcPr>
          <w:p w14:paraId="25BD5E59" w14:textId="77777777" w:rsidR="00811887" w:rsidRDefault="00811887" w:rsidP="00486E22">
            <w:pPr>
              <w:pStyle w:val="TableParagraph"/>
              <w:ind w:left="27"/>
              <w:jc w:val="center"/>
              <w:rPr>
                <w:sz w:val="20"/>
              </w:rPr>
            </w:pPr>
            <w:r>
              <w:rPr>
                <w:spacing w:val="-4"/>
                <w:sz w:val="20"/>
              </w:rPr>
              <w:t>11.1</w:t>
            </w:r>
          </w:p>
        </w:tc>
      </w:tr>
      <w:tr w:rsidR="00811887" w14:paraId="2FCAE4BF" w14:textId="77777777" w:rsidTr="00486E22">
        <w:trPr>
          <w:trHeight w:val="285"/>
        </w:trPr>
        <w:tc>
          <w:tcPr>
            <w:tcW w:w="700" w:type="dxa"/>
            <w:shd w:val="clear" w:color="auto" w:fill="234060"/>
          </w:tcPr>
          <w:p w14:paraId="67DD1263" w14:textId="77777777" w:rsidR="00811887" w:rsidRDefault="00811887" w:rsidP="00486E22">
            <w:pPr>
              <w:pStyle w:val="TableParagraph"/>
              <w:spacing w:line="240" w:lineRule="auto"/>
              <w:ind w:left="23" w:right="92"/>
              <w:jc w:val="center"/>
              <w:rPr>
                <w:b/>
                <w:sz w:val="20"/>
              </w:rPr>
            </w:pPr>
            <w:r>
              <w:rPr>
                <w:b/>
                <w:color w:val="FFFFFF"/>
                <w:spacing w:val="-4"/>
                <w:sz w:val="20"/>
              </w:rPr>
              <w:t>2019</w:t>
            </w:r>
          </w:p>
        </w:tc>
        <w:tc>
          <w:tcPr>
            <w:tcW w:w="925" w:type="dxa"/>
          </w:tcPr>
          <w:p w14:paraId="27175C93" w14:textId="77777777" w:rsidR="00811887" w:rsidRDefault="00811887" w:rsidP="00486E22">
            <w:pPr>
              <w:pStyle w:val="TableParagraph"/>
              <w:spacing w:line="240" w:lineRule="auto"/>
              <w:ind w:left="7"/>
              <w:jc w:val="center"/>
              <w:rPr>
                <w:sz w:val="20"/>
              </w:rPr>
            </w:pPr>
            <w:r>
              <w:rPr>
                <w:spacing w:val="-5"/>
                <w:sz w:val="20"/>
              </w:rPr>
              <w:t>8.3</w:t>
            </w:r>
          </w:p>
        </w:tc>
        <w:tc>
          <w:tcPr>
            <w:tcW w:w="1205" w:type="dxa"/>
          </w:tcPr>
          <w:p w14:paraId="46472980" w14:textId="77777777" w:rsidR="00811887" w:rsidRDefault="00811887" w:rsidP="00486E22">
            <w:pPr>
              <w:pStyle w:val="TableParagraph"/>
              <w:spacing w:line="240" w:lineRule="auto"/>
              <w:ind w:left="12" w:right="3"/>
              <w:jc w:val="center"/>
              <w:rPr>
                <w:sz w:val="20"/>
              </w:rPr>
            </w:pPr>
            <w:r>
              <w:rPr>
                <w:spacing w:val="-4"/>
                <w:sz w:val="20"/>
              </w:rPr>
              <w:t>10.6</w:t>
            </w:r>
          </w:p>
        </w:tc>
        <w:tc>
          <w:tcPr>
            <w:tcW w:w="850" w:type="dxa"/>
          </w:tcPr>
          <w:p w14:paraId="330FF2E3" w14:textId="77777777" w:rsidR="00811887" w:rsidRDefault="00811887" w:rsidP="00486E22">
            <w:pPr>
              <w:pStyle w:val="TableParagraph"/>
              <w:spacing w:line="240" w:lineRule="auto"/>
              <w:ind w:left="14"/>
              <w:jc w:val="center"/>
              <w:rPr>
                <w:sz w:val="20"/>
              </w:rPr>
            </w:pPr>
            <w:r>
              <w:rPr>
                <w:spacing w:val="-4"/>
                <w:sz w:val="20"/>
              </w:rPr>
              <w:t>26.2</w:t>
            </w:r>
          </w:p>
        </w:tc>
        <w:tc>
          <w:tcPr>
            <w:tcW w:w="850" w:type="dxa"/>
          </w:tcPr>
          <w:p w14:paraId="05E5AAB6" w14:textId="77777777" w:rsidR="00811887" w:rsidRDefault="00811887" w:rsidP="00486E22">
            <w:pPr>
              <w:pStyle w:val="TableParagraph"/>
              <w:spacing w:line="240" w:lineRule="auto"/>
              <w:ind w:left="14"/>
              <w:jc w:val="center"/>
              <w:rPr>
                <w:sz w:val="20"/>
              </w:rPr>
            </w:pPr>
            <w:r>
              <w:rPr>
                <w:spacing w:val="-4"/>
                <w:sz w:val="20"/>
              </w:rPr>
              <w:t>14.3</w:t>
            </w:r>
          </w:p>
        </w:tc>
        <w:tc>
          <w:tcPr>
            <w:tcW w:w="849" w:type="dxa"/>
          </w:tcPr>
          <w:p w14:paraId="56D2BD17" w14:textId="77777777" w:rsidR="00811887" w:rsidRDefault="00811887" w:rsidP="00486E22">
            <w:pPr>
              <w:pStyle w:val="TableParagraph"/>
              <w:spacing w:line="240" w:lineRule="auto"/>
              <w:ind w:left="17"/>
              <w:jc w:val="center"/>
              <w:rPr>
                <w:sz w:val="20"/>
              </w:rPr>
            </w:pPr>
            <w:r>
              <w:rPr>
                <w:spacing w:val="-4"/>
                <w:sz w:val="20"/>
              </w:rPr>
              <w:t>17.5</w:t>
            </w:r>
          </w:p>
        </w:tc>
        <w:tc>
          <w:tcPr>
            <w:tcW w:w="864" w:type="dxa"/>
          </w:tcPr>
          <w:p w14:paraId="6DAD054D" w14:textId="77777777" w:rsidR="00811887" w:rsidRDefault="00811887" w:rsidP="00486E22">
            <w:pPr>
              <w:pStyle w:val="TableParagraph"/>
              <w:spacing w:line="240" w:lineRule="auto"/>
              <w:ind w:left="14"/>
              <w:jc w:val="center"/>
              <w:rPr>
                <w:sz w:val="20"/>
              </w:rPr>
            </w:pPr>
            <w:r>
              <w:rPr>
                <w:spacing w:val="-5"/>
                <w:sz w:val="20"/>
              </w:rPr>
              <w:t>3.5</w:t>
            </w:r>
          </w:p>
        </w:tc>
        <w:tc>
          <w:tcPr>
            <w:tcW w:w="919" w:type="dxa"/>
          </w:tcPr>
          <w:p w14:paraId="21B15508" w14:textId="77777777" w:rsidR="00811887" w:rsidRDefault="00811887" w:rsidP="00486E22">
            <w:pPr>
              <w:pStyle w:val="TableParagraph"/>
              <w:spacing w:line="240" w:lineRule="auto"/>
              <w:ind w:left="21"/>
              <w:jc w:val="center"/>
              <w:rPr>
                <w:sz w:val="20"/>
              </w:rPr>
            </w:pPr>
            <w:r>
              <w:rPr>
                <w:spacing w:val="-5"/>
                <w:sz w:val="20"/>
              </w:rPr>
              <w:t>7.9</w:t>
            </w:r>
          </w:p>
        </w:tc>
        <w:tc>
          <w:tcPr>
            <w:tcW w:w="1049" w:type="dxa"/>
          </w:tcPr>
          <w:p w14:paraId="2B17E9B3" w14:textId="77777777" w:rsidR="00811887" w:rsidRDefault="00811887" w:rsidP="00486E22">
            <w:pPr>
              <w:pStyle w:val="TableParagraph"/>
              <w:spacing w:line="240" w:lineRule="auto"/>
              <w:ind w:left="25"/>
              <w:jc w:val="center"/>
              <w:rPr>
                <w:sz w:val="20"/>
              </w:rPr>
            </w:pPr>
            <w:r>
              <w:rPr>
                <w:spacing w:val="-5"/>
                <w:sz w:val="20"/>
              </w:rPr>
              <w:t>5.9</w:t>
            </w:r>
          </w:p>
        </w:tc>
        <w:tc>
          <w:tcPr>
            <w:tcW w:w="799" w:type="dxa"/>
          </w:tcPr>
          <w:p w14:paraId="4F6D510B" w14:textId="77777777" w:rsidR="00811887" w:rsidRDefault="00811887" w:rsidP="00486E22">
            <w:pPr>
              <w:pStyle w:val="TableParagraph"/>
              <w:spacing w:line="240" w:lineRule="auto"/>
              <w:ind w:left="27"/>
              <w:jc w:val="center"/>
              <w:rPr>
                <w:sz w:val="20"/>
              </w:rPr>
            </w:pPr>
            <w:r>
              <w:rPr>
                <w:spacing w:val="-4"/>
                <w:sz w:val="20"/>
              </w:rPr>
              <w:t>11.1</w:t>
            </w:r>
          </w:p>
        </w:tc>
      </w:tr>
      <w:tr w:rsidR="00811887" w14:paraId="7A2EABE7" w14:textId="77777777" w:rsidTr="00486E22">
        <w:trPr>
          <w:trHeight w:val="285"/>
        </w:trPr>
        <w:tc>
          <w:tcPr>
            <w:tcW w:w="700" w:type="dxa"/>
            <w:shd w:val="clear" w:color="auto" w:fill="234060"/>
          </w:tcPr>
          <w:p w14:paraId="15B62D62" w14:textId="77777777" w:rsidR="00811887" w:rsidRDefault="00811887" w:rsidP="00486E22">
            <w:pPr>
              <w:pStyle w:val="TableParagraph"/>
              <w:ind w:left="23" w:right="92"/>
              <w:jc w:val="center"/>
              <w:rPr>
                <w:b/>
                <w:sz w:val="20"/>
              </w:rPr>
            </w:pPr>
            <w:r>
              <w:rPr>
                <w:b/>
                <w:color w:val="FFFFFF"/>
                <w:spacing w:val="-4"/>
                <w:sz w:val="20"/>
              </w:rPr>
              <w:t>2020</w:t>
            </w:r>
          </w:p>
        </w:tc>
        <w:tc>
          <w:tcPr>
            <w:tcW w:w="925" w:type="dxa"/>
          </w:tcPr>
          <w:p w14:paraId="08F7D2B6" w14:textId="77777777" w:rsidR="00811887" w:rsidRDefault="00811887" w:rsidP="00486E22">
            <w:pPr>
              <w:pStyle w:val="TableParagraph"/>
              <w:ind w:left="7"/>
              <w:jc w:val="center"/>
              <w:rPr>
                <w:sz w:val="20"/>
              </w:rPr>
            </w:pPr>
            <w:r>
              <w:rPr>
                <w:spacing w:val="-5"/>
                <w:sz w:val="20"/>
              </w:rPr>
              <w:t>7.4</w:t>
            </w:r>
          </w:p>
        </w:tc>
        <w:tc>
          <w:tcPr>
            <w:tcW w:w="1205" w:type="dxa"/>
          </w:tcPr>
          <w:p w14:paraId="265B35E2" w14:textId="77777777" w:rsidR="00811887" w:rsidRDefault="00811887" w:rsidP="00486E22">
            <w:pPr>
              <w:pStyle w:val="TableParagraph"/>
              <w:ind w:left="12" w:right="3"/>
              <w:jc w:val="center"/>
              <w:rPr>
                <w:sz w:val="20"/>
              </w:rPr>
            </w:pPr>
            <w:r>
              <w:rPr>
                <w:spacing w:val="-4"/>
                <w:sz w:val="20"/>
              </w:rPr>
              <w:t>10.3</w:t>
            </w:r>
          </w:p>
        </w:tc>
        <w:tc>
          <w:tcPr>
            <w:tcW w:w="850" w:type="dxa"/>
          </w:tcPr>
          <w:p w14:paraId="142EE78F" w14:textId="77777777" w:rsidR="00811887" w:rsidRDefault="00811887" w:rsidP="00486E22">
            <w:pPr>
              <w:pStyle w:val="TableParagraph"/>
              <w:ind w:left="14"/>
              <w:jc w:val="center"/>
              <w:rPr>
                <w:sz w:val="20"/>
              </w:rPr>
            </w:pPr>
            <w:r>
              <w:rPr>
                <w:spacing w:val="-4"/>
                <w:sz w:val="20"/>
              </w:rPr>
              <w:t>24.4</w:t>
            </w:r>
          </w:p>
        </w:tc>
        <w:tc>
          <w:tcPr>
            <w:tcW w:w="850" w:type="dxa"/>
          </w:tcPr>
          <w:p w14:paraId="66762539" w14:textId="77777777" w:rsidR="00811887" w:rsidRDefault="00811887" w:rsidP="00486E22">
            <w:pPr>
              <w:pStyle w:val="TableParagraph"/>
              <w:ind w:left="14"/>
              <w:jc w:val="center"/>
              <w:rPr>
                <w:sz w:val="20"/>
              </w:rPr>
            </w:pPr>
            <w:r>
              <w:rPr>
                <w:spacing w:val="-4"/>
                <w:sz w:val="20"/>
              </w:rPr>
              <w:t>15.3</w:t>
            </w:r>
          </w:p>
        </w:tc>
        <w:tc>
          <w:tcPr>
            <w:tcW w:w="849" w:type="dxa"/>
          </w:tcPr>
          <w:p w14:paraId="5D7EF876" w14:textId="77777777" w:rsidR="00811887" w:rsidRDefault="00811887" w:rsidP="00486E22">
            <w:pPr>
              <w:pStyle w:val="TableParagraph"/>
              <w:ind w:left="17"/>
              <w:jc w:val="center"/>
              <w:rPr>
                <w:sz w:val="20"/>
              </w:rPr>
            </w:pPr>
            <w:r>
              <w:rPr>
                <w:spacing w:val="-4"/>
                <w:sz w:val="20"/>
              </w:rPr>
              <w:t>14.5</w:t>
            </w:r>
          </w:p>
        </w:tc>
        <w:tc>
          <w:tcPr>
            <w:tcW w:w="864" w:type="dxa"/>
          </w:tcPr>
          <w:p w14:paraId="6B0EB143" w14:textId="77777777" w:rsidR="00811887" w:rsidRDefault="00811887" w:rsidP="00486E22">
            <w:pPr>
              <w:pStyle w:val="TableParagraph"/>
              <w:ind w:left="14"/>
              <w:jc w:val="center"/>
              <w:rPr>
                <w:sz w:val="20"/>
              </w:rPr>
            </w:pPr>
            <w:r>
              <w:rPr>
                <w:spacing w:val="-5"/>
                <w:sz w:val="20"/>
              </w:rPr>
              <w:t>3.9</w:t>
            </w:r>
          </w:p>
        </w:tc>
        <w:tc>
          <w:tcPr>
            <w:tcW w:w="919" w:type="dxa"/>
          </w:tcPr>
          <w:p w14:paraId="2DB354D9" w14:textId="77777777" w:rsidR="00811887" w:rsidRDefault="00811887" w:rsidP="00486E22">
            <w:pPr>
              <w:pStyle w:val="TableParagraph"/>
              <w:ind w:left="21"/>
              <w:jc w:val="center"/>
              <w:rPr>
                <w:sz w:val="20"/>
              </w:rPr>
            </w:pPr>
            <w:r>
              <w:rPr>
                <w:spacing w:val="-4"/>
                <w:sz w:val="20"/>
              </w:rPr>
              <w:t>10.9</w:t>
            </w:r>
          </w:p>
        </w:tc>
        <w:tc>
          <w:tcPr>
            <w:tcW w:w="1049" w:type="dxa"/>
          </w:tcPr>
          <w:p w14:paraId="53CAC5E6" w14:textId="77777777" w:rsidR="00811887" w:rsidRDefault="00811887" w:rsidP="00486E22">
            <w:pPr>
              <w:pStyle w:val="TableParagraph"/>
              <w:ind w:left="25"/>
              <w:jc w:val="center"/>
              <w:rPr>
                <w:sz w:val="20"/>
              </w:rPr>
            </w:pPr>
            <w:r>
              <w:rPr>
                <w:spacing w:val="-5"/>
                <w:sz w:val="20"/>
              </w:rPr>
              <w:t>6.3</w:t>
            </w:r>
          </w:p>
        </w:tc>
        <w:tc>
          <w:tcPr>
            <w:tcW w:w="799" w:type="dxa"/>
          </w:tcPr>
          <w:p w14:paraId="2516E3D2" w14:textId="77777777" w:rsidR="00811887" w:rsidRDefault="00811887" w:rsidP="00486E22">
            <w:pPr>
              <w:pStyle w:val="TableParagraph"/>
              <w:ind w:left="27"/>
              <w:jc w:val="center"/>
              <w:rPr>
                <w:sz w:val="20"/>
              </w:rPr>
            </w:pPr>
            <w:r>
              <w:rPr>
                <w:spacing w:val="-4"/>
                <w:sz w:val="20"/>
              </w:rPr>
              <w:t>10.6</w:t>
            </w:r>
          </w:p>
        </w:tc>
      </w:tr>
      <w:tr w:rsidR="00811887" w14:paraId="525CCC2F" w14:textId="77777777" w:rsidTr="00486E22">
        <w:trPr>
          <w:trHeight w:val="280"/>
        </w:trPr>
        <w:tc>
          <w:tcPr>
            <w:tcW w:w="700" w:type="dxa"/>
            <w:shd w:val="clear" w:color="auto" w:fill="234060"/>
          </w:tcPr>
          <w:p w14:paraId="6B85BB18" w14:textId="77777777" w:rsidR="00811887" w:rsidRDefault="00811887" w:rsidP="00486E22">
            <w:pPr>
              <w:pStyle w:val="TableParagraph"/>
              <w:spacing w:line="239" w:lineRule="exact"/>
              <w:ind w:left="23" w:right="92"/>
              <w:jc w:val="center"/>
              <w:rPr>
                <w:b/>
                <w:sz w:val="20"/>
              </w:rPr>
            </w:pPr>
            <w:r>
              <w:rPr>
                <w:b/>
                <w:color w:val="FFFFFF"/>
                <w:spacing w:val="-4"/>
                <w:sz w:val="20"/>
              </w:rPr>
              <w:t>2021</w:t>
            </w:r>
          </w:p>
        </w:tc>
        <w:tc>
          <w:tcPr>
            <w:tcW w:w="925" w:type="dxa"/>
          </w:tcPr>
          <w:p w14:paraId="0467836E" w14:textId="77777777" w:rsidR="00811887" w:rsidRDefault="00811887" w:rsidP="00486E22">
            <w:pPr>
              <w:pStyle w:val="TableParagraph"/>
              <w:spacing w:line="239" w:lineRule="exact"/>
              <w:ind w:left="7"/>
              <w:jc w:val="center"/>
              <w:rPr>
                <w:sz w:val="20"/>
              </w:rPr>
            </w:pPr>
            <w:r>
              <w:rPr>
                <w:spacing w:val="-5"/>
                <w:sz w:val="20"/>
              </w:rPr>
              <w:t>8.3</w:t>
            </w:r>
          </w:p>
        </w:tc>
        <w:tc>
          <w:tcPr>
            <w:tcW w:w="1205" w:type="dxa"/>
          </w:tcPr>
          <w:p w14:paraId="1229C23E" w14:textId="77777777" w:rsidR="00811887" w:rsidRDefault="00811887" w:rsidP="00486E22">
            <w:pPr>
              <w:pStyle w:val="TableParagraph"/>
              <w:spacing w:line="239" w:lineRule="exact"/>
              <w:ind w:left="12" w:right="4"/>
              <w:jc w:val="center"/>
              <w:rPr>
                <w:sz w:val="20"/>
              </w:rPr>
            </w:pPr>
            <w:r>
              <w:rPr>
                <w:spacing w:val="-5"/>
                <w:sz w:val="20"/>
              </w:rPr>
              <w:t>9.0</w:t>
            </w:r>
          </w:p>
        </w:tc>
        <w:tc>
          <w:tcPr>
            <w:tcW w:w="850" w:type="dxa"/>
          </w:tcPr>
          <w:p w14:paraId="670D8F99" w14:textId="77777777" w:rsidR="00811887" w:rsidRDefault="00811887" w:rsidP="00486E22">
            <w:pPr>
              <w:pStyle w:val="TableParagraph"/>
              <w:spacing w:line="239" w:lineRule="exact"/>
              <w:ind w:left="14"/>
              <w:jc w:val="center"/>
              <w:rPr>
                <w:sz w:val="20"/>
              </w:rPr>
            </w:pPr>
            <w:r>
              <w:rPr>
                <w:spacing w:val="-4"/>
                <w:sz w:val="20"/>
              </w:rPr>
              <w:t>26.9</w:t>
            </w:r>
          </w:p>
        </w:tc>
        <w:tc>
          <w:tcPr>
            <w:tcW w:w="850" w:type="dxa"/>
          </w:tcPr>
          <w:p w14:paraId="0E4AE0F0" w14:textId="77777777" w:rsidR="00811887" w:rsidRDefault="00811887" w:rsidP="00486E22">
            <w:pPr>
              <w:pStyle w:val="TableParagraph"/>
              <w:spacing w:line="239" w:lineRule="exact"/>
              <w:ind w:left="14"/>
              <w:jc w:val="center"/>
              <w:rPr>
                <w:sz w:val="20"/>
              </w:rPr>
            </w:pPr>
            <w:r>
              <w:rPr>
                <w:spacing w:val="-4"/>
                <w:sz w:val="20"/>
              </w:rPr>
              <w:t>15.8</w:t>
            </w:r>
          </w:p>
        </w:tc>
        <w:tc>
          <w:tcPr>
            <w:tcW w:w="849" w:type="dxa"/>
          </w:tcPr>
          <w:p w14:paraId="69A4106E" w14:textId="77777777" w:rsidR="00811887" w:rsidRDefault="00811887" w:rsidP="00486E22">
            <w:pPr>
              <w:pStyle w:val="TableParagraph"/>
              <w:spacing w:line="239" w:lineRule="exact"/>
              <w:ind w:left="17"/>
              <w:jc w:val="center"/>
              <w:rPr>
                <w:sz w:val="20"/>
              </w:rPr>
            </w:pPr>
            <w:r>
              <w:rPr>
                <w:spacing w:val="-4"/>
                <w:sz w:val="20"/>
              </w:rPr>
              <w:t>17.1</w:t>
            </w:r>
          </w:p>
        </w:tc>
        <w:tc>
          <w:tcPr>
            <w:tcW w:w="864" w:type="dxa"/>
          </w:tcPr>
          <w:p w14:paraId="56174378" w14:textId="77777777" w:rsidR="00811887" w:rsidRDefault="00811887" w:rsidP="00486E22">
            <w:pPr>
              <w:pStyle w:val="TableParagraph"/>
              <w:spacing w:line="239" w:lineRule="exact"/>
              <w:ind w:left="14"/>
              <w:jc w:val="center"/>
              <w:rPr>
                <w:sz w:val="20"/>
              </w:rPr>
            </w:pPr>
            <w:r>
              <w:rPr>
                <w:spacing w:val="-5"/>
                <w:sz w:val="20"/>
              </w:rPr>
              <w:t>3.3</w:t>
            </w:r>
          </w:p>
        </w:tc>
        <w:tc>
          <w:tcPr>
            <w:tcW w:w="919" w:type="dxa"/>
          </w:tcPr>
          <w:p w14:paraId="558447EE" w14:textId="77777777" w:rsidR="00811887" w:rsidRDefault="00811887" w:rsidP="00486E22">
            <w:pPr>
              <w:pStyle w:val="TableParagraph"/>
              <w:spacing w:line="239" w:lineRule="exact"/>
              <w:ind w:left="21"/>
              <w:jc w:val="center"/>
              <w:rPr>
                <w:sz w:val="20"/>
              </w:rPr>
            </w:pPr>
            <w:r>
              <w:rPr>
                <w:spacing w:val="-5"/>
                <w:sz w:val="20"/>
              </w:rPr>
              <w:t>6.8</w:t>
            </w:r>
          </w:p>
        </w:tc>
        <w:tc>
          <w:tcPr>
            <w:tcW w:w="1049" w:type="dxa"/>
          </w:tcPr>
          <w:p w14:paraId="4EC86088" w14:textId="77777777" w:rsidR="00811887" w:rsidRDefault="00811887" w:rsidP="00486E22">
            <w:pPr>
              <w:pStyle w:val="TableParagraph"/>
              <w:spacing w:line="239" w:lineRule="exact"/>
              <w:ind w:left="25"/>
              <w:jc w:val="center"/>
              <w:rPr>
                <w:sz w:val="20"/>
              </w:rPr>
            </w:pPr>
            <w:r>
              <w:rPr>
                <w:spacing w:val="-5"/>
                <w:sz w:val="20"/>
              </w:rPr>
              <w:t>6.3</w:t>
            </w:r>
          </w:p>
        </w:tc>
        <w:tc>
          <w:tcPr>
            <w:tcW w:w="799" w:type="dxa"/>
          </w:tcPr>
          <w:p w14:paraId="782C30E5" w14:textId="77777777" w:rsidR="00811887" w:rsidRDefault="00811887" w:rsidP="00486E22">
            <w:pPr>
              <w:pStyle w:val="TableParagraph"/>
              <w:spacing w:line="239" w:lineRule="exact"/>
              <w:ind w:left="27"/>
              <w:jc w:val="center"/>
              <w:rPr>
                <w:sz w:val="20"/>
              </w:rPr>
            </w:pPr>
            <w:r>
              <w:rPr>
                <w:spacing w:val="-4"/>
                <w:sz w:val="20"/>
              </w:rPr>
              <w:t>10.5</w:t>
            </w:r>
          </w:p>
        </w:tc>
      </w:tr>
    </w:tbl>
    <w:p w14:paraId="4D11FED1" w14:textId="77777777" w:rsidR="00811887" w:rsidRDefault="00811887" w:rsidP="00811887">
      <w:pPr>
        <w:spacing w:before="197" w:line="271" w:lineRule="auto"/>
        <w:ind w:left="165"/>
        <w:rPr>
          <w:b/>
        </w:rPr>
      </w:pPr>
      <w:r>
        <w:rPr>
          <w:b/>
        </w:rPr>
        <w:t>Table</w:t>
      </w:r>
      <w:r>
        <w:rPr>
          <w:b/>
          <w:spacing w:val="-2"/>
        </w:rPr>
        <w:t xml:space="preserve"> </w:t>
      </w:r>
      <w:r>
        <w:rPr>
          <w:b/>
        </w:rPr>
        <w:t>5.</w:t>
      </w:r>
      <w:r>
        <w:rPr>
          <w:b/>
          <w:spacing w:val="-4"/>
        </w:rPr>
        <w:t xml:space="preserve"> </w:t>
      </w:r>
      <w:r>
        <w:rPr>
          <w:b/>
        </w:rPr>
        <w:t>Proportion</w:t>
      </w:r>
      <w:r>
        <w:rPr>
          <w:b/>
          <w:spacing w:val="-2"/>
        </w:rPr>
        <w:t xml:space="preserve"> </w:t>
      </w:r>
      <w:r>
        <w:rPr>
          <w:b/>
        </w:rPr>
        <w:t>of people</w:t>
      </w:r>
      <w:r>
        <w:rPr>
          <w:b/>
          <w:spacing w:val="-5"/>
        </w:rPr>
        <w:t xml:space="preserve"> </w:t>
      </w:r>
      <w:r>
        <w:rPr>
          <w:b/>
        </w:rPr>
        <w:t>aged</w:t>
      </w:r>
      <w:r>
        <w:rPr>
          <w:b/>
          <w:spacing w:val="-7"/>
        </w:rPr>
        <w:t xml:space="preserve"> </w:t>
      </w:r>
      <w:r>
        <w:rPr>
          <w:b/>
        </w:rPr>
        <w:t>15 and</w:t>
      </w:r>
      <w:r>
        <w:rPr>
          <w:b/>
          <w:spacing w:val="-2"/>
        </w:rPr>
        <w:t xml:space="preserve"> </w:t>
      </w:r>
      <w:r>
        <w:rPr>
          <w:b/>
        </w:rPr>
        <w:t>over</w:t>
      </w:r>
      <w:r>
        <w:rPr>
          <w:b/>
          <w:spacing w:val="-3"/>
        </w:rPr>
        <w:t xml:space="preserve"> </w:t>
      </w:r>
      <w:r>
        <w:rPr>
          <w:b/>
        </w:rPr>
        <w:t>experiencing</w:t>
      </w:r>
      <w:r>
        <w:rPr>
          <w:b/>
          <w:spacing w:val="-2"/>
        </w:rPr>
        <w:t xml:space="preserve"> </w:t>
      </w:r>
      <w:r>
        <w:rPr>
          <w:b/>
        </w:rPr>
        <w:t>two</w:t>
      </w:r>
      <w:r>
        <w:rPr>
          <w:b/>
          <w:spacing w:val="-1"/>
        </w:rPr>
        <w:t xml:space="preserve"> </w:t>
      </w:r>
      <w:r>
        <w:rPr>
          <w:b/>
        </w:rPr>
        <w:t>or</w:t>
      </w:r>
      <w:r>
        <w:rPr>
          <w:b/>
          <w:spacing w:val="-3"/>
        </w:rPr>
        <w:t xml:space="preserve"> </w:t>
      </w:r>
      <w:r>
        <w:rPr>
          <w:b/>
        </w:rPr>
        <w:t>more</w:t>
      </w:r>
      <w:r>
        <w:rPr>
          <w:b/>
          <w:spacing w:val="-1"/>
        </w:rPr>
        <w:t xml:space="preserve"> </w:t>
      </w:r>
      <w:r>
        <w:rPr>
          <w:b/>
        </w:rPr>
        <w:t>indicators of financial stress by family type</w:t>
      </w:r>
    </w:p>
    <w:p w14:paraId="4669664D" w14:textId="77777777" w:rsidR="00811887" w:rsidRDefault="00811887" w:rsidP="00811887">
      <w:pPr>
        <w:rPr>
          <w:sz w:val="20"/>
        </w:rPr>
      </w:pPr>
    </w:p>
    <w:p w14:paraId="548671A9" w14:textId="77777777" w:rsidR="00811887" w:rsidRDefault="00811887" w:rsidP="00811887">
      <w:pPr>
        <w:rPr>
          <w:sz w:val="20"/>
        </w:rPr>
      </w:pPr>
    </w:p>
    <w:p w14:paraId="44C34A7E" w14:textId="77777777" w:rsidR="00811887" w:rsidRDefault="00811887" w:rsidP="00811887">
      <w:pPr>
        <w:rPr>
          <w:sz w:val="20"/>
        </w:rPr>
      </w:pPr>
    </w:p>
    <w:p w14:paraId="130DA568" w14:textId="77777777" w:rsidR="00811887" w:rsidRDefault="00811887" w:rsidP="00811887">
      <w:pPr>
        <w:rPr>
          <w:sz w:val="20"/>
        </w:rPr>
      </w:pPr>
    </w:p>
    <w:p w14:paraId="0D8F5443" w14:textId="77777777" w:rsidR="00811887" w:rsidRDefault="00811887" w:rsidP="00811887">
      <w:pPr>
        <w:rPr>
          <w:sz w:val="20"/>
        </w:rPr>
      </w:pPr>
    </w:p>
    <w:p w14:paraId="4EA03AC6" w14:textId="77777777" w:rsidR="00811887" w:rsidRDefault="00811887" w:rsidP="00811887">
      <w:pPr>
        <w:rPr>
          <w:sz w:val="20"/>
        </w:rPr>
      </w:pPr>
    </w:p>
    <w:p w14:paraId="73FB8CC0" w14:textId="77777777" w:rsidR="00811887" w:rsidRDefault="00811887" w:rsidP="00811887">
      <w:pPr>
        <w:rPr>
          <w:sz w:val="20"/>
        </w:rPr>
      </w:pPr>
    </w:p>
    <w:p w14:paraId="1453A541" w14:textId="77777777" w:rsidR="00811887" w:rsidRDefault="00811887" w:rsidP="00811887">
      <w:pPr>
        <w:rPr>
          <w:sz w:val="20"/>
        </w:rPr>
      </w:pPr>
    </w:p>
    <w:p w14:paraId="67F759B2" w14:textId="77777777" w:rsidR="00811887" w:rsidRDefault="00811887" w:rsidP="00811887">
      <w:pPr>
        <w:rPr>
          <w:sz w:val="20"/>
        </w:rPr>
      </w:pPr>
    </w:p>
    <w:p w14:paraId="1738EC84" w14:textId="77777777" w:rsidR="00811887" w:rsidRDefault="00811887" w:rsidP="00811887">
      <w:pPr>
        <w:rPr>
          <w:sz w:val="20"/>
        </w:rPr>
      </w:pPr>
    </w:p>
    <w:p w14:paraId="7DD6382D" w14:textId="77777777" w:rsidR="00811887" w:rsidRDefault="00811887" w:rsidP="00811887">
      <w:pPr>
        <w:rPr>
          <w:sz w:val="20"/>
        </w:rPr>
      </w:pPr>
    </w:p>
    <w:p w14:paraId="1E360758" w14:textId="77777777" w:rsidR="00811887" w:rsidRDefault="00811887" w:rsidP="00811887">
      <w:pPr>
        <w:rPr>
          <w:sz w:val="20"/>
        </w:rPr>
      </w:pPr>
    </w:p>
    <w:p w14:paraId="19C46B26" w14:textId="77777777" w:rsidR="00811887" w:rsidRDefault="00811887" w:rsidP="00811887">
      <w:pPr>
        <w:rPr>
          <w:sz w:val="20"/>
        </w:rPr>
      </w:pPr>
    </w:p>
    <w:p w14:paraId="1F4F62C7" w14:textId="77777777" w:rsidR="00811887" w:rsidRDefault="00811887" w:rsidP="00811887">
      <w:pPr>
        <w:rPr>
          <w:sz w:val="20"/>
        </w:rPr>
      </w:pPr>
    </w:p>
    <w:p w14:paraId="438D3B31" w14:textId="77777777" w:rsidR="00811887" w:rsidRDefault="00811887" w:rsidP="00811887">
      <w:pPr>
        <w:rPr>
          <w:sz w:val="20"/>
        </w:rPr>
      </w:pPr>
    </w:p>
    <w:p w14:paraId="1C24AAE8" w14:textId="77777777" w:rsidR="00811887" w:rsidRDefault="00811887" w:rsidP="00811887">
      <w:pPr>
        <w:rPr>
          <w:sz w:val="20"/>
        </w:rPr>
      </w:pPr>
    </w:p>
    <w:p w14:paraId="45BD5388" w14:textId="77777777" w:rsidR="00811887" w:rsidRDefault="00811887" w:rsidP="00811887">
      <w:pPr>
        <w:rPr>
          <w:sz w:val="20"/>
        </w:rPr>
      </w:pPr>
    </w:p>
    <w:p w14:paraId="0B3A6CAA" w14:textId="77777777" w:rsidR="00811887" w:rsidRDefault="00811887" w:rsidP="00811887">
      <w:pPr>
        <w:rPr>
          <w:sz w:val="20"/>
        </w:rPr>
      </w:pPr>
    </w:p>
    <w:p w14:paraId="5B676A95" w14:textId="77777777" w:rsidR="00811887" w:rsidRDefault="00811887" w:rsidP="00811887">
      <w:pPr>
        <w:rPr>
          <w:sz w:val="20"/>
        </w:rPr>
      </w:pPr>
    </w:p>
    <w:p w14:paraId="2970B224" w14:textId="77777777" w:rsidR="00811887" w:rsidRDefault="00811887" w:rsidP="00811887">
      <w:pPr>
        <w:rPr>
          <w:sz w:val="20"/>
        </w:rPr>
      </w:pPr>
    </w:p>
    <w:p w14:paraId="636EEB03" w14:textId="77777777" w:rsidR="00811887" w:rsidRDefault="00811887" w:rsidP="00811887">
      <w:pPr>
        <w:rPr>
          <w:sz w:val="20"/>
        </w:rPr>
      </w:pPr>
    </w:p>
    <w:p w14:paraId="313ACD6C" w14:textId="77777777" w:rsidR="00811887" w:rsidRDefault="00811887" w:rsidP="00811887">
      <w:pPr>
        <w:rPr>
          <w:sz w:val="20"/>
        </w:rPr>
      </w:pPr>
    </w:p>
    <w:p w14:paraId="37E78153" w14:textId="77777777" w:rsidR="00811887" w:rsidRDefault="00811887" w:rsidP="00811887">
      <w:pPr>
        <w:rPr>
          <w:sz w:val="20"/>
        </w:rPr>
      </w:pPr>
    </w:p>
    <w:p w14:paraId="475925DE" w14:textId="77777777" w:rsidR="00811887" w:rsidRDefault="00811887" w:rsidP="00811887">
      <w:pPr>
        <w:rPr>
          <w:sz w:val="20"/>
        </w:rPr>
      </w:pPr>
    </w:p>
    <w:p w14:paraId="420E91E3" w14:textId="77777777" w:rsidR="00811887" w:rsidRDefault="00811887" w:rsidP="00811887">
      <w:pPr>
        <w:rPr>
          <w:sz w:val="20"/>
        </w:rPr>
      </w:pPr>
    </w:p>
    <w:p w14:paraId="43FF7BF2" w14:textId="77777777" w:rsidR="00811887" w:rsidRDefault="00811887" w:rsidP="00811887">
      <w:pPr>
        <w:rPr>
          <w:sz w:val="20"/>
        </w:rPr>
      </w:pPr>
    </w:p>
    <w:p w14:paraId="3B42BB85" w14:textId="77777777" w:rsidR="00811887" w:rsidRDefault="00811887" w:rsidP="00811887">
      <w:pPr>
        <w:rPr>
          <w:sz w:val="20"/>
        </w:rPr>
      </w:pPr>
    </w:p>
    <w:p w14:paraId="0A20B789" w14:textId="77777777" w:rsidR="00811887" w:rsidRDefault="00811887" w:rsidP="00811887">
      <w:pPr>
        <w:rPr>
          <w:sz w:val="20"/>
        </w:rPr>
      </w:pPr>
    </w:p>
    <w:p w14:paraId="242DAA8F" w14:textId="77777777" w:rsidR="00811887" w:rsidRDefault="00811887" w:rsidP="00811887">
      <w:pPr>
        <w:rPr>
          <w:sz w:val="20"/>
        </w:rPr>
      </w:pPr>
    </w:p>
    <w:p w14:paraId="06F4F4BD" w14:textId="77777777" w:rsidR="00811887" w:rsidRDefault="00811887" w:rsidP="00811887">
      <w:pPr>
        <w:rPr>
          <w:sz w:val="20"/>
        </w:rPr>
      </w:pPr>
    </w:p>
    <w:p w14:paraId="7E5DA064" w14:textId="77777777" w:rsidR="00811887" w:rsidRDefault="00811887" w:rsidP="00811887">
      <w:pPr>
        <w:rPr>
          <w:sz w:val="20"/>
        </w:rPr>
      </w:pPr>
    </w:p>
    <w:p w14:paraId="68DF2332" w14:textId="77777777" w:rsidR="00811887" w:rsidRDefault="00811887" w:rsidP="00811887">
      <w:pPr>
        <w:rPr>
          <w:sz w:val="20"/>
        </w:rPr>
      </w:pPr>
    </w:p>
    <w:p w14:paraId="53563391" w14:textId="77777777" w:rsidR="00811887" w:rsidRDefault="00811887" w:rsidP="00811887">
      <w:pPr>
        <w:rPr>
          <w:sz w:val="20"/>
        </w:rPr>
      </w:pPr>
    </w:p>
    <w:p w14:paraId="2D052BED" w14:textId="77777777" w:rsidR="00811887" w:rsidRDefault="00811887" w:rsidP="00811887">
      <w:pPr>
        <w:ind w:left="4962"/>
        <w:rPr>
          <w:i/>
          <w:sz w:val="20"/>
        </w:rPr>
      </w:pPr>
      <w:r>
        <w:rPr>
          <w:i/>
          <w:sz w:val="20"/>
        </w:rPr>
        <w:t>Source: Figure</w:t>
      </w:r>
      <w:r>
        <w:rPr>
          <w:i/>
          <w:spacing w:val="-3"/>
          <w:sz w:val="20"/>
        </w:rPr>
        <w:t xml:space="preserve"> </w:t>
      </w:r>
      <w:r>
        <w:rPr>
          <w:i/>
          <w:sz w:val="20"/>
        </w:rPr>
        <w:t>3.12,</w:t>
      </w:r>
      <w:r>
        <w:rPr>
          <w:i/>
          <w:spacing w:val="-2"/>
          <w:sz w:val="20"/>
        </w:rPr>
        <w:t xml:space="preserve"> </w:t>
      </w:r>
      <w:r>
        <w:rPr>
          <w:i/>
          <w:sz w:val="20"/>
        </w:rPr>
        <w:t>HILDA</w:t>
      </w:r>
      <w:r>
        <w:rPr>
          <w:i/>
          <w:spacing w:val="-3"/>
          <w:sz w:val="20"/>
        </w:rPr>
        <w:t xml:space="preserve"> </w:t>
      </w:r>
      <w:r>
        <w:rPr>
          <w:i/>
          <w:sz w:val="20"/>
        </w:rPr>
        <w:t>Statistical</w:t>
      </w:r>
      <w:r>
        <w:rPr>
          <w:i/>
          <w:spacing w:val="-3"/>
          <w:sz w:val="20"/>
        </w:rPr>
        <w:t xml:space="preserve"> </w:t>
      </w:r>
      <w:r>
        <w:rPr>
          <w:i/>
          <w:sz w:val="20"/>
        </w:rPr>
        <w:t>Report</w:t>
      </w:r>
      <w:r>
        <w:rPr>
          <w:i/>
          <w:spacing w:val="-4"/>
          <w:sz w:val="20"/>
        </w:rPr>
        <w:t xml:space="preserve"> </w:t>
      </w:r>
      <w:r>
        <w:rPr>
          <w:i/>
          <w:sz w:val="20"/>
        </w:rPr>
        <w:t>Waves</w:t>
      </w:r>
      <w:r>
        <w:rPr>
          <w:i/>
          <w:spacing w:val="-1"/>
          <w:sz w:val="20"/>
        </w:rPr>
        <w:t xml:space="preserve"> </w:t>
      </w:r>
      <w:r>
        <w:rPr>
          <w:i/>
          <w:sz w:val="20"/>
        </w:rPr>
        <w:t>1</w:t>
      </w:r>
      <w:r>
        <w:rPr>
          <w:i/>
          <w:spacing w:val="-4"/>
          <w:sz w:val="20"/>
        </w:rPr>
        <w:t xml:space="preserve"> </w:t>
      </w:r>
      <w:r>
        <w:rPr>
          <w:i/>
          <w:sz w:val="20"/>
        </w:rPr>
        <w:t>to 21</w:t>
      </w:r>
      <w:r>
        <w:rPr>
          <w:i/>
          <w:spacing w:val="-4"/>
          <w:sz w:val="20"/>
        </w:rPr>
        <w:t xml:space="preserve"> </w:t>
      </w:r>
      <w:r>
        <w:rPr>
          <w:i/>
          <w:sz w:val="20"/>
        </w:rPr>
        <w:t>(HILDA,</w:t>
      </w:r>
      <w:r>
        <w:rPr>
          <w:i/>
          <w:spacing w:val="-1"/>
          <w:sz w:val="20"/>
        </w:rPr>
        <w:t xml:space="preserve"> </w:t>
      </w:r>
      <w:r>
        <w:rPr>
          <w:i/>
          <w:spacing w:val="-2"/>
          <w:sz w:val="20"/>
        </w:rPr>
        <w:t>2023)</w:t>
      </w:r>
    </w:p>
    <w:p w14:paraId="3A72EC4E" w14:textId="77777777" w:rsidR="00811887" w:rsidRDefault="00811887" w:rsidP="00811887">
      <w:pPr>
        <w:rPr>
          <w:sz w:val="20"/>
        </w:rPr>
        <w:sectPr w:rsidR="00811887" w:rsidSect="00811887">
          <w:pgSz w:w="11910" w:h="16840"/>
          <w:pgMar w:top="900" w:right="721" w:bottom="1200" w:left="740" w:header="0" w:footer="1005" w:gutter="0"/>
          <w:cols w:space="720"/>
        </w:sectPr>
      </w:pPr>
    </w:p>
    <w:p w14:paraId="65E03191" w14:textId="77777777" w:rsidR="00811887" w:rsidRDefault="00811887" w:rsidP="00811887">
      <w:pPr>
        <w:pStyle w:val="BodyText"/>
        <w:spacing w:before="222"/>
        <w:rPr>
          <w:i/>
          <w:sz w:val="22"/>
        </w:rPr>
      </w:pPr>
    </w:p>
    <w:p w14:paraId="64DA8195" w14:textId="77777777" w:rsidR="00811887" w:rsidRDefault="00811887" w:rsidP="00811887">
      <w:pPr>
        <w:spacing w:line="271" w:lineRule="auto"/>
        <w:ind w:left="165"/>
        <w:rPr>
          <w:b/>
        </w:rPr>
      </w:pPr>
      <w:r>
        <w:rPr>
          <w:b/>
        </w:rPr>
        <w:t>Chart</w:t>
      </w:r>
      <w:r>
        <w:rPr>
          <w:b/>
          <w:spacing w:val="-3"/>
        </w:rPr>
        <w:t xml:space="preserve"> </w:t>
      </w:r>
      <w:r>
        <w:rPr>
          <w:b/>
        </w:rPr>
        <w:t>6.</w:t>
      </w:r>
      <w:r>
        <w:rPr>
          <w:b/>
          <w:spacing w:val="-3"/>
        </w:rPr>
        <w:t xml:space="preserve"> </w:t>
      </w:r>
      <w:r>
        <w:rPr>
          <w:b/>
        </w:rPr>
        <w:t>Proportion</w:t>
      </w:r>
      <w:r>
        <w:rPr>
          <w:b/>
          <w:spacing w:val="-3"/>
        </w:rPr>
        <w:t xml:space="preserve"> </w:t>
      </w:r>
      <w:r>
        <w:rPr>
          <w:b/>
        </w:rPr>
        <w:t>of</w:t>
      </w:r>
      <w:r>
        <w:rPr>
          <w:b/>
          <w:spacing w:val="-1"/>
        </w:rPr>
        <w:t xml:space="preserve"> </w:t>
      </w:r>
      <w:r>
        <w:rPr>
          <w:b/>
        </w:rPr>
        <w:t>people</w:t>
      </w:r>
      <w:r>
        <w:rPr>
          <w:b/>
          <w:spacing w:val="-1"/>
        </w:rPr>
        <w:t xml:space="preserve"> </w:t>
      </w:r>
      <w:r>
        <w:rPr>
          <w:b/>
        </w:rPr>
        <w:t>on</w:t>
      </w:r>
      <w:r>
        <w:rPr>
          <w:b/>
          <w:spacing w:val="-5"/>
        </w:rPr>
        <w:t xml:space="preserve"> </w:t>
      </w:r>
      <w:r>
        <w:rPr>
          <w:b/>
        </w:rPr>
        <w:t>selected</w:t>
      </w:r>
      <w:r>
        <w:rPr>
          <w:b/>
          <w:spacing w:val="-1"/>
        </w:rPr>
        <w:t xml:space="preserve"> </w:t>
      </w:r>
      <w:r>
        <w:rPr>
          <w:b/>
        </w:rPr>
        <w:t>income</w:t>
      </w:r>
      <w:r>
        <w:rPr>
          <w:b/>
          <w:spacing w:val="-1"/>
        </w:rPr>
        <w:t xml:space="preserve"> </w:t>
      </w:r>
      <w:r>
        <w:rPr>
          <w:b/>
        </w:rPr>
        <w:t>support</w:t>
      </w:r>
      <w:r>
        <w:rPr>
          <w:b/>
          <w:spacing w:val="-2"/>
        </w:rPr>
        <w:t xml:space="preserve"> </w:t>
      </w:r>
      <w:r>
        <w:rPr>
          <w:b/>
        </w:rPr>
        <w:t>payments</w:t>
      </w:r>
      <w:r>
        <w:rPr>
          <w:b/>
          <w:spacing w:val="-1"/>
        </w:rPr>
        <w:t xml:space="preserve"> </w:t>
      </w:r>
      <w:r>
        <w:rPr>
          <w:b/>
        </w:rPr>
        <w:t>experiencing</w:t>
      </w:r>
      <w:r>
        <w:rPr>
          <w:b/>
          <w:spacing w:val="-3"/>
        </w:rPr>
        <w:t xml:space="preserve"> </w:t>
      </w:r>
      <w:r>
        <w:rPr>
          <w:b/>
        </w:rPr>
        <w:t>two</w:t>
      </w:r>
      <w:r>
        <w:rPr>
          <w:b/>
          <w:spacing w:val="-2"/>
        </w:rPr>
        <w:t xml:space="preserve"> </w:t>
      </w:r>
      <w:r>
        <w:rPr>
          <w:b/>
        </w:rPr>
        <w:t>or</w:t>
      </w:r>
      <w:r>
        <w:rPr>
          <w:b/>
          <w:spacing w:val="-4"/>
        </w:rPr>
        <w:t xml:space="preserve"> </w:t>
      </w:r>
      <w:r>
        <w:rPr>
          <w:b/>
        </w:rPr>
        <w:t>more indicators of financial stress</w:t>
      </w:r>
    </w:p>
    <w:p w14:paraId="2DAA1F46" w14:textId="77777777" w:rsidR="00811887" w:rsidRDefault="00811887" w:rsidP="00811887">
      <w:pPr>
        <w:pStyle w:val="BodyText"/>
        <w:ind w:left="159"/>
        <w:rPr>
          <w:rFonts w:ascii="Arial"/>
        </w:rPr>
      </w:pPr>
    </w:p>
    <w:p w14:paraId="727E9AB7" w14:textId="77777777" w:rsidR="00811887" w:rsidRDefault="00811887" w:rsidP="00811887">
      <w:pPr>
        <w:pStyle w:val="BodyText"/>
        <w:rPr>
          <w:rFonts w:ascii="Arial"/>
          <w:b/>
        </w:rPr>
      </w:pPr>
    </w:p>
    <w:p w14:paraId="7E0259F5" w14:textId="77777777" w:rsidR="00811887" w:rsidRDefault="00811887" w:rsidP="00811887">
      <w:pPr>
        <w:pStyle w:val="BodyText"/>
        <w:spacing w:before="62"/>
        <w:rPr>
          <w:rFonts w:ascii="Arial"/>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8028"/>
      </w:tblGrid>
      <w:tr w:rsidR="00811887" w14:paraId="14A9F01E" w14:textId="77777777" w:rsidTr="00486E22">
        <w:trPr>
          <w:trHeight w:val="245"/>
        </w:trPr>
        <w:tc>
          <w:tcPr>
            <w:tcW w:w="986" w:type="dxa"/>
            <w:shd w:val="clear" w:color="auto" w:fill="234060"/>
          </w:tcPr>
          <w:p w14:paraId="3B421965" w14:textId="77777777" w:rsidR="00811887" w:rsidRDefault="00811887" w:rsidP="00486E22">
            <w:pPr>
              <w:pStyle w:val="TableParagraph"/>
              <w:spacing w:line="225" w:lineRule="exact"/>
              <w:ind w:left="110"/>
              <w:rPr>
                <w:b/>
                <w:sz w:val="20"/>
              </w:rPr>
            </w:pPr>
            <w:r>
              <w:rPr>
                <w:b/>
                <w:color w:val="FFFFFF"/>
                <w:spacing w:val="-4"/>
                <w:sz w:val="20"/>
              </w:rPr>
              <w:t>Year</w:t>
            </w:r>
          </w:p>
        </w:tc>
        <w:tc>
          <w:tcPr>
            <w:tcW w:w="8028" w:type="dxa"/>
            <w:shd w:val="clear" w:color="auto" w:fill="234060"/>
          </w:tcPr>
          <w:p w14:paraId="71D5083D" w14:textId="77777777" w:rsidR="00811887" w:rsidRDefault="00811887" w:rsidP="00486E22">
            <w:pPr>
              <w:pStyle w:val="TableParagraph"/>
              <w:spacing w:line="225" w:lineRule="exact"/>
              <w:ind w:left="869"/>
              <w:rPr>
                <w:b/>
                <w:sz w:val="20"/>
              </w:rPr>
            </w:pPr>
            <w:r>
              <w:rPr>
                <w:b/>
                <w:color w:val="FFFFFF"/>
                <w:sz w:val="20"/>
              </w:rPr>
              <w:t>Proportion</w:t>
            </w:r>
            <w:r>
              <w:rPr>
                <w:b/>
                <w:color w:val="FFFFFF"/>
                <w:spacing w:val="-5"/>
                <w:sz w:val="20"/>
              </w:rPr>
              <w:t xml:space="preserve"> </w:t>
            </w:r>
            <w:r>
              <w:rPr>
                <w:b/>
                <w:color w:val="FFFFFF"/>
                <w:sz w:val="20"/>
              </w:rPr>
              <w:t>of</w:t>
            </w:r>
            <w:r>
              <w:rPr>
                <w:b/>
                <w:color w:val="FFFFFF"/>
                <w:spacing w:val="-1"/>
                <w:sz w:val="20"/>
              </w:rPr>
              <w:t xml:space="preserve"> </w:t>
            </w:r>
            <w:r>
              <w:rPr>
                <w:b/>
                <w:color w:val="FFFFFF"/>
                <w:sz w:val="20"/>
              </w:rPr>
              <w:t>people</w:t>
            </w:r>
            <w:r>
              <w:rPr>
                <w:b/>
                <w:color w:val="FFFFFF"/>
                <w:spacing w:val="-2"/>
                <w:sz w:val="20"/>
              </w:rPr>
              <w:t xml:space="preserve"> </w:t>
            </w:r>
            <w:r>
              <w:rPr>
                <w:b/>
                <w:color w:val="FFFFFF"/>
                <w:sz w:val="20"/>
              </w:rPr>
              <w:t>experiencing</w:t>
            </w:r>
            <w:r>
              <w:rPr>
                <w:b/>
                <w:color w:val="FFFFFF"/>
                <w:spacing w:val="-3"/>
                <w:sz w:val="20"/>
              </w:rPr>
              <w:t xml:space="preserve"> </w:t>
            </w:r>
            <w:r>
              <w:rPr>
                <w:b/>
                <w:color w:val="FFFFFF"/>
                <w:sz w:val="20"/>
              </w:rPr>
              <w:t>two</w:t>
            </w:r>
            <w:r>
              <w:rPr>
                <w:b/>
                <w:color w:val="FFFFFF"/>
                <w:spacing w:val="-4"/>
                <w:sz w:val="20"/>
              </w:rPr>
              <w:t xml:space="preserve"> </w:t>
            </w:r>
            <w:r>
              <w:rPr>
                <w:b/>
                <w:color w:val="FFFFFF"/>
                <w:sz w:val="20"/>
              </w:rPr>
              <w:t>or</w:t>
            </w:r>
            <w:r>
              <w:rPr>
                <w:b/>
                <w:color w:val="FFFFFF"/>
                <w:spacing w:val="-4"/>
                <w:sz w:val="20"/>
              </w:rPr>
              <w:t xml:space="preserve"> </w:t>
            </w:r>
            <w:r>
              <w:rPr>
                <w:b/>
                <w:color w:val="FFFFFF"/>
                <w:sz w:val="20"/>
              </w:rPr>
              <w:t>more</w:t>
            </w:r>
            <w:r>
              <w:rPr>
                <w:b/>
                <w:color w:val="FFFFFF"/>
                <w:spacing w:val="-3"/>
                <w:sz w:val="20"/>
              </w:rPr>
              <w:t xml:space="preserve"> </w:t>
            </w:r>
            <w:r>
              <w:rPr>
                <w:b/>
                <w:color w:val="FFFFFF"/>
                <w:sz w:val="20"/>
              </w:rPr>
              <w:t>indicators</w:t>
            </w:r>
            <w:r>
              <w:rPr>
                <w:b/>
                <w:color w:val="FFFFFF"/>
                <w:spacing w:val="-1"/>
                <w:sz w:val="20"/>
              </w:rPr>
              <w:t xml:space="preserve"> </w:t>
            </w:r>
            <w:r>
              <w:rPr>
                <w:b/>
                <w:color w:val="FFFFFF"/>
                <w:sz w:val="20"/>
              </w:rPr>
              <w:t>of</w:t>
            </w:r>
            <w:r>
              <w:rPr>
                <w:b/>
                <w:color w:val="FFFFFF"/>
                <w:spacing w:val="-6"/>
                <w:sz w:val="20"/>
              </w:rPr>
              <w:t xml:space="preserve"> </w:t>
            </w:r>
            <w:r>
              <w:rPr>
                <w:b/>
                <w:color w:val="FFFFFF"/>
                <w:sz w:val="20"/>
              </w:rPr>
              <w:t>financial</w:t>
            </w:r>
            <w:r>
              <w:rPr>
                <w:b/>
                <w:color w:val="FFFFFF"/>
                <w:spacing w:val="-1"/>
                <w:sz w:val="20"/>
              </w:rPr>
              <w:t xml:space="preserve"> </w:t>
            </w:r>
            <w:r>
              <w:rPr>
                <w:b/>
                <w:color w:val="FFFFFF"/>
                <w:spacing w:val="-2"/>
                <w:sz w:val="20"/>
              </w:rPr>
              <w:t>stress</w:t>
            </w:r>
          </w:p>
        </w:tc>
      </w:tr>
    </w:tbl>
    <w:p w14:paraId="566D6E5D" w14:textId="77777777" w:rsidR="00811887" w:rsidRPr="009676A5" w:rsidRDefault="00811887" w:rsidP="00811887">
      <w:pPr>
        <w:tabs>
          <w:tab w:val="left" w:pos="1545"/>
        </w:tabs>
        <w:spacing w:line="225" w:lineRule="exact"/>
        <w:rPr>
          <w:sz w:val="20"/>
        </w:rPr>
        <w:sectPr w:rsidR="00811887" w:rsidRPr="009676A5" w:rsidSect="00811887">
          <w:pgSz w:w="11910" w:h="16840"/>
          <w:pgMar w:top="940" w:right="721" w:bottom="1405" w:left="740" w:header="0" w:footer="1005" w:gutter="0"/>
          <w:cols w:space="720"/>
        </w:sectPr>
      </w:pPr>
      <w:r>
        <w:rPr>
          <w:sz w:val="20"/>
        </w:rPr>
        <w:tab/>
      </w:r>
      <w:r>
        <w:rPr>
          <w:sz w:val="20"/>
        </w:rPr>
        <w:tab/>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006"/>
        <w:gridCol w:w="2006"/>
        <w:gridCol w:w="2011"/>
        <w:gridCol w:w="2005"/>
      </w:tblGrid>
      <w:tr w:rsidR="00811887" w14:paraId="21464274" w14:textId="77777777" w:rsidTr="00486E22">
        <w:trPr>
          <w:trHeight w:val="490"/>
        </w:trPr>
        <w:tc>
          <w:tcPr>
            <w:tcW w:w="986" w:type="dxa"/>
            <w:shd w:val="clear" w:color="auto" w:fill="234060"/>
          </w:tcPr>
          <w:p w14:paraId="3F2FB9DB" w14:textId="77777777" w:rsidR="00811887" w:rsidRDefault="00811887" w:rsidP="00486E22">
            <w:pPr>
              <w:pStyle w:val="TableParagraph"/>
              <w:spacing w:line="240" w:lineRule="auto"/>
              <w:rPr>
                <w:rFonts w:ascii="Times New Roman"/>
                <w:sz w:val="20"/>
              </w:rPr>
            </w:pPr>
          </w:p>
        </w:tc>
        <w:tc>
          <w:tcPr>
            <w:tcW w:w="2006" w:type="dxa"/>
            <w:shd w:val="clear" w:color="auto" w:fill="234060"/>
          </w:tcPr>
          <w:p w14:paraId="24F9D8C2" w14:textId="77777777" w:rsidR="00811887" w:rsidRDefault="00811887" w:rsidP="00486E22">
            <w:pPr>
              <w:pStyle w:val="TableParagraph"/>
              <w:spacing w:before="124" w:line="240" w:lineRule="auto"/>
              <w:ind w:left="16" w:right="2"/>
              <w:jc w:val="center"/>
              <w:rPr>
                <w:b/>
                <w:sz w:val="20"/>
              </w:rPr>
            </w:pPr>
            <w:r>
              <w:rPr>
                <w:b/>
                <w:color w:val="FFFFFF"/>
                <w:sz w:val="20"/>
              </w:rPr>
              <w:t>Age</w:t>
            </w:r>
            <w:r>
              <w:rPr>
                <w:b/>
                <w:color w:val="FFFFFF"/>
                <w:spacing w:val="-4"/>
                <w:sz w:val="20"/>
              </w:rPr>
              <w:t xml:space="preserve"> </w:t>
            </w:r>
            <w:r>
              <w:rPr>
                <w:b/>
                <w:color w:val="FFFFFF"/>
                <w:spacing w:val="-2"/>
                <w:sz w:val="20"/>
              </w:rPr>
              <w:t>Pension</w:t>
            </w:r>
          </w:p>
        </w:tc>
        <w:tc>
          <w:tcPr>
            <w:tcW w:w="2006" w:type="dxa"/>
            <w:shd w:val="clear" w:color="auto" w:fill="234060"/>
          </w:tcPr>
          <w:p w14:paraId="1FFD47EC" w14:textId="77777777" w:rsidR="00811887" w:rsidRDefault="00811887" w:rsidP="00486E22">
            <w:pPr>
              <w:pStyle w:val="TableParagraph"/>
              <w:spacing w:before="124" w:line="240" w:lineRule="auto"/>
              <w:ind w:left="16"/>
              <w:jc w:val="center"/>
              <w:rPr>
                <w:b/>
                <w:sz w:val="20"/>
              </w:rPr>
            </w:pPr>
            <w:r>
              <w:rPr>
                <w:b/>
                <w:color w:val="FFFFFF"/>
                <w:sz w:val="20"/>
              </w:rPr>
              <w:t>JobSeeker</w:t>
            </w:r>
            <w:r>
              <w:rPr>
                <w:b/>
                <w:color w:val="FFFFFF"/>
                <w:spacing w:val="-5"/>
                <w:sz w:val="20"/>
              </w:rPr>
              <w:t xml:space="preserve"> </w:t>
            </w:r>
            <w:r>
              <w:rPr>
                <w:b/>
                <w:color w:val="FFFFFF"/>
                <w:spacing w:val="-2"/>
                <w:sz w:val="20"/>
              </w:rPr>
              <w:t>Payment</w:t>
            </w:r>
          </w:p>
        </w:tc>
        <w:tc>
          <w:tcPr>
            <w:tcW w:w="2011" w:type="dxa"/>
            <w:shd w:val="clear" w:color="auto" w:fill="234060"/>
          </w:tcPr>
          <w:p w14:paraId="52BCDA1C" w14:textId="77777777" w:rsidR="00811887" w:rsidRDefault="00811887" w:rsidP="00486E22">
            <w:pPr>
              <w:pStyle w:val="TableParagraph"/>
              <w:ind w:left="4" w:right="4"/>
              <w:jc w:val="center"/>
              <w:rPr>
                <w:b/>
                <w:sz w:val="20"/>
              </w:rPr>
            </w:pPr>
            <w:r>
              <w:rPr>
                <w:b/>
                <w:color w:val="FFFFFF"/>
                <w:sz w:val="20"/>
              </w:rPr>
              <w:t xml:space="preserve">Parenting </w:t>
            </w:r>
            <w:r>
              <w:rPr>
                <w:b/>
                <w:color w:val="FFFFFF"/>
                <w:spacing w:val="-2"/>
                <w:sz w:val="20"/>
              </w:rPr>
              <w:t>Payment</w:t>
            </w:r>
          </w:p>
          <w:p w14:paraId="320858E9" w14:textId="77777777" w:rsidR="00811887" w:rsidRDefault="00811887" w:rsidP="00486E22">
            <w:pPr>
              <w:pStyle w:val="TableParagraph"/>
              <w:spacing w:before="1" w:line="225" w:lineRule="exact"/>
              <w:ind w:left="4"/>
              <w:jc w:val="center"/>
              <w:rPr>
                <w:b/>
                <w:sz w:val="20"/>
              </w:rPr>
            </w:pPr>
            <w:r>
              <w:rPr>
                <w:b/>
                <w:color w:val="FFFFFF"/>
                <w:spacing w:val="-2"/>
                <w:sz w:val="20"/>
              </w:rPr>
              <w:t>(single)</w:t>
            </w:r>
          </w:p>
        </w:tc>
        <w:tc>
          <w:tcPr>
            <w:tcW w:w="2005" w:type="dxa"/>
            <w:shd w:val="clear" w:color="auto" w:fill="234060"/>
          </w:tcPr>
          <w:p w14:paraId="0547BC56" w14:textId="77777777" w:rsidR="00811887" w:rsidRDefault="00811887" w:rsidP="00486E22">
            <w:pPr>
              <w:pStyle w:val="TableParagraph"/>
              <w:ind w:left="11"/>
              <w:jc w:val="center"/>
              <w:rPr>
                <w:b/>
                <w:sz w:val="20"/>
              </w:rPr>
            </w:pPr>
            <w:r>
              <w:rPr>
                <w:b/>
                <w:color w:val="FFFFFF"/>
                <w:sz w:val="20"/>
              </w:rPr>
              <w:t>Youth</w:t>
            </w:r>
            <w:r>
              <w:rPr>
                <w:b/>
                <w:color w:val="FFFFFF"/>
                <w:spacing w:val="1"/>
                <w:sz w:val="20"/>
              </w:rPr>
              <w:t xml:space="preserve"> </w:t>
            </w:r>
            <w:r>
              <w:rPr>
                <w:b/>
                <w:color w:val="FFFFFF"/>
                <w:spacing w:val="-2"/>
                <w:sz w:val="20"/>
              </w:rPr>
              <w:t>Allowance</w:t>
            </w:r>
          </w:p>
          <w:p w14:paraId="2C10F2FB" w14:textId="77777777" w:rsidR="00811887" w:rsidRDefault="00811887" w:rsidP="00486E22">
            <w:pPr>
              <w:pStyle w:val="TableParagraph"/>
              <w:spacing w:before="1" w:line="225" w:lineRule="exact"/>
              <w:ind w:left="11" w:right="3"/>
              <w:jc w:val="center"/>
              <w:rPr>
                <w:b/>
                <w:sz w:val="20"/>
              </w:rPr>
            </w:pPr>
            <w:r>
              <w:rPr>
                <w:b/>
                <w:color w:val="FFFFFF"/>
                <w:sz w:val="20"/>
              </w:rPr>
              <w:t>(other</w:t>
            </w:r>
            <w:r>
              <w:rPr>
                <w:b/>
                <w:color w:val="FFFFFF"/>
                <w:spacing w:val="-4"/>
                <w:sz w:val="20"/>
              </w:rPr>
              <w:t xml:space="preserve"> </w:t>
            </w:r>
            <w:r>
              <w:rPr>
                <w:b/>
                <w:color w:val="FFFFFF"/>
                <w:sz w:val="20"/>
              </w:rPr>
              <w:t>and</w:t>
            </w:r>
            <w:r>
              <w:rPr>
                <w:b/>
                <w:color w:val="FFFFFF"/>
                <w:spacing w:val="1"/>
                <w:sz w:val="20"/>
              </w:rPr>
              <w:t xml:space="preserve"> </w:t>
            </w:r>
            <w:r>
              <w:rPr>
                <w:b/>
                <w:color w:val="FFFFFF"/>
                <w:spacing w:val="-2"/>
                <w:sz w:val="20"/>
              </w:rPr>
              <w:t>student)</w:t>
            </w:r>
          </w:p>
        </w:tc>
      </w:tr>
      <w:tr w:rsidR="00811887" w14:paraId="219602B0" w14:textId="77777777" w:rsidTr="00486E22">
        <w:trPr>
          <w:trHeight w:val="245"/>
        </w:trPr>
        <w:tc>
          <w:tcPr>
            <w:tcW w:w="986" w:type="dxa"/>
            <w:shd w:val="clear" w:color="auto" w:fill="234060"/>
          </w:tcPr>
          <w:p w14:paraId="1F70299E" w14:textId="77777777" w:rsidR="00811887" w:rsidRDefault="00811887" w:rsidP="00486E22">
            <w:pPr>
              <w:pStyle w:val="TableParagraph"/>
              <w:spacing w:line="225" w:lineRule="exact"/>
              <w:ind w:left="110"/>
              <w:rPr>
                <w:b/>
                <w:sz w:val="20"/>
              </w:rPr>
            </w:pPr>
            <w:r>
              <w:rPr>
                <w:b/>
                <w:color w:val="FFFFFF"/>
                <w:spacing w:val="-4"/>
                <w:sz w:val="20"/>
              </w:rPr>
              <w:t>2001</w:t>
            </w:r>
          </w:p>
        </w:tc>
        <w:tc>
          <w:tcPr>
            <w:tcW w:w="2006" w:type="dxa"/>
          </w:tcPr>
          <w:p w14:paraId="2CF96532" w14:textId="77777777" w:rsidR="00811887" w:rsidRDefault="00811887" w:rsidP="00486E22">
            <w:pPr>
              <w:pStyle w:val="TableParagraph"/>
              <w:spacing w:line="225" w:lineRule="exact"/>
              <w:ind w:left="16" w:right="12"/>
              <w:jc w:val="center"/>
              <w:rPr>
                <w:sz w:val="20"/>
              </w:rPr>
            </w:pPr>
            <w:r>
              <w:rPr>
                <w:spacing w:val="-5"/>
                <w:sz w:val="20"/>
              </w:rPr>
              <w:t>6.7</w:t>
            </w:r>
          </w:p>
        </w:tc>
        <w:tc>
          <w:tcPr>
            <w:tcW w:w="2006" w:type="dxa"/>
          </w:tcPr>
          <w:p w14:paraId="76ABFDFC" w14:textId="77777777" w:rsidR="00811887" w:rsidRDefault="00811887" w:rsidP="00486E22">
            <w:pPr>
              <w:pStyle w:val="TableParagraph"/>
              <w:spacing w:line="225" w:lineRule="exact"/>
              <w:ind w:left="16" w:right="12"/>
              <w:jc w:val="center"/>
              <w:rPr>
                <w:sz w:val="20"/>
              </w:rPr>
            </w:pPr>
            <w:r>
              <w:rPr>
                <w:spacing w:val="-4"/>
                <w:sz w:val="20"/>
              </w:rPr>
              <w:t>49.0</w:t>
            </w:r>
          </w:p>
        </w:tc>
        <w:tc>
          <w:tcPr>
            <w:tcW w:w="2011" w:type="dxa"/>
          </w:tcPr>
          <w:p w14:paraId="3F3BB00C" w14:textId="77777777" w:rsidR="00811887" w:rsidRDefault="00811887" w:rsidP="00486E22">
            <w:pPr>
              <w:pStyle w:val="TableParagraph"/>
              <w:spacing w:line="225" w:lineRule="exact"/>
              <w:ind w:left="4" w:right="4"/>
              <w:jc w:val="center"/>
              <w:rPr>
                <w:sz w:val="20"/>
              </w:rPr>
            </w:pPr>
            <w:r>
              <w:rPr>
                <w:spacing w:val="-4"/>
                <w:sz w:val="20"/>
              </w:rPr>
              <w:t>56.1</w:t>
            </w:r>
          </w:p>
        </w:tc>
        <w:tc>
          <w:tcPr>
            <w:tcW w:w="2005" w:type="dxa"/>
          </w:tcPr>
          <w:p w14:paraId="6FDD8DCE" w14:textId="77777777" w:rsidR="00811887" w:rsidRDefault="00811887" w:rsidP="00486E22">
            <w:pPr>
              <w:pStyle w:val="TableParagraph"/>
              <w:spacing w:line="225" w:lineRule="exact"/>
              <w:ind w:left="11" w:right="6"/>
              <w:jc w:val="center"/>
              <w:rPr>
                <w:sz w:val="20"/>
              </w:rPr>
            </w:pPr>
            <w:r>
              <w:rPr>
                <w:spacing w:val="-4"/>
                <w:sz w:val="20"/>
              </w:rPr>
              <w:t>29.7</w:t>
            </w:r>
          </w:p>
        </w:tc>
      </w:tr>
      <w:tr w:rsidR="00811887" w14:paraId="66E81B03" w14:textId="77777777" w:rsidTr="00486E22">
        <w:trPr>
          <w:trHeight w:val="245"/>
        </w:trPr>
        <w:tc>
          <w:tcPr>
            <w:tcW w:w="986" w:type="dxa"/>
            <w:shd w:val="clear" w:color="auto" w:fill="234060"/>
          </w:tcPr>
          <w:p w14:paraId="12F1CE51" w14:textId="77777777" w:rsidR="00811887" w:rsidRDefault="00811887" w:rsidP="00486E22">
            <w:pPr>
              <w:pStyle w:val="TableParagraph"/>
              <w:spacing w:line="225" w:lineRule="exact"/>
              <w:ind w:left="110"/>
              <w:rPr>
                <w:b/>
                <w:sz w:val="20"/>
              </w:rPr>
            </w:pPr>
            <w:r>
              <w:rPr>
                <w:b/>
                <w:color w:val="FFFFFF"/>
                <w:spacing w:val="-4"/>
                <w:sz w:val="20"/>
              </w:rPr>
              <w:t>2002</w:t>
            </w:r>
          </w:p>
        </w:tc>
        <w:tc>
          <w:tcPr>
            <w:tcW w:w="2006" w:type="dxa"/>
          </w:tcPr>
          <w:p w14:paraId="6184ABA0" w14:textId="77777777" w:rsidR="00811887" w:rsidRDefault="00811887" w:rsidP="00486E22">
            <w:pPr>
              <w:pStyle w:val="TableParagraph"/>
              <w:spacing w:line="225" w:lineRule="exact"/>
              <w:ind w:left="16" w:right="12"/>
              <w:jc w:val="center"/>
              <w:rPr>
                <w:sz w:val="20"/>
              </w:rPr>
            </w:pPr>
            <w:r>
              <w:rPr>
                <w:spacing w:val="-5"/>
                <w:sz w:val="20"/>
              </w:rPr>
              <w:t>5.2</w:t>
            </w:r>
          </w:p>
        </w:tc>
        <w:tc>
          <w:tcPr>
            <w:tcW w:w="2006" w:type="dxa"/>
          </w:tcPr>
          <w:p w14:paraId="39B90DCA" w14:textId="77777777" w:rsidR="00811887" w:rsidRDefault="00811887" w:rsidP="00486E22">
            <w:pPr>
              <w:pStyle w:val="TableParagraph"/>
              <w:spacing w:line="225" w:lineRule="exact"/>
              <w:ind w:left="16" w:right="12"/>
              <w:jc w:val="center"/>
              <w:rPr>
                <w:sz w:val="20"/>
              </w:rPr>
            </w:pPr>
            <w:r>
              <w:rPr>
                <w:spacing w:val="-4"/>
                <w:sz w:val="20"/>
              </w:rPr>
              <w:t>48.2</w:t>
            </w:r>
          </w:p>
        </w:tc>
        <w:tc>
          <w:tcPr>
            <w:tcW w:w="2011" w:type="dxa"/>
          </w:tcPr>
          <w:p w14:paraId="0B52D11B" w14:textId="77777777" w:rsidR="00811887" w:rsidRDefault="00811887" w:rsidP="00486E22">
            <w:pPr>
              <w:pStyle w:val="TableParagraph"/>
              <w:spacing w:line="225" w:lineRule="exact"/>
              <w:ind w:left="4" w:right="4"/>
              <w:jc w:val="center"/>
              <w:rPr>
                <w:sz w:val="20"/>
              </w:rPr>
            </w:pPr>
            <w:r>
              <w:rPr>
                <w:spacing w:val="-4"/>
                <w:sz w:val="20"/>
              </w:rPr>
              <w:t>51.7</w:t>
            </w:r>
          </w:p>
        </w:tc>
        <w:tc>
          <w:tcPr>
            <w:tcW w:w="2005" w:type="dxa"/>
          </w:tcPr>
          <w:p w14:paraId="032CC0AB" w14:textId="77777777" w:rsidR="00811887" w:rsidRDefault="00811887" w:rsidP="00486E22">
            <w:pPr>
              <w:pStyle w:val="TableParagraph"/>
              <w:spacing w:line="225" w:lineRule="exact"/>
              <w:ind w:left="11" w:right="6"/>
              <w:jc w:val="center"/>
              <w:rPr>
                <w:sz w:val="20"/>
              </w:rPr>
            </w:pPr>
            <w:r>
              <w:rPr>
                <w:spacing w:val="-4"/>
                <w:sz w:val="20"/>
              </w:rPr>
              <w:t>26.2</w:t>
            </w:r>
          </w:p>
        </w:tc>
      </w:tr>
      <w:tr w:rsidR="00811887" w14:paraId="721B27F6" w14:textId="77777777" w:rsidTr="00486E22">
        <w:trPr>
          <w:trHeight w:val="245"/>
        </w:trPr>
        <w:tc>
          <w:tcPr>
            <w:tcW w:w="986" w:type="dxa"/>
            <w:shd w:val="clear" w:color="auto" w:fill="234060"/>
          </w:tcPr>
          <w:p w14:paraId="71613973" w14:textId="77777777" w:rsidR="00811887" w:rsidRDefault="00811887" w:rsidP="00486E22">
            <w:pPr>
              <w:pStyle w:val="TableParagraph"/>
              <w:spacing w:line="225" w:lineRule="exact"/>
              <w:ind w:left="110"/>
              <w:rPr>
                <w:b/>
                <w:sz w:val="20"/>
              </w:rPr>
            </w:pPr>
            <w:r>
              <w:rPr>
                <w:b/>
                <w:color w:val="FFFFFF"/>
                <w:spacing w:val="-4"/>
                <w:sz w:val="20"/>
              </w:rPr>
              <w:t>2003</w:t>
            </w:r>
          </w:p>
        </w:tc>
        <w:tc>
          <w:tcPr>
            <w:tcW w:w="2006" w:type="dxa"/>
          </w:tcPr>
          <w:p w14:paraId="39E5EF2F" w14:textId="77777777" w:rsidR="00811887" w:rsidRDefault="00811887" w:rsidP="00486E22">
            <w:pPr>
              <w:pStyle w:val="TableParagraph"/>
              <w:spacing w:line="225" w:lineRule="exact"/>
              <w:ind w:left="16" w:right="12"/>
              <w:jc w:val="center"/>
              <w:rPr>
                <w:sz w:val="20"/>
              </w:rPr>
            </w:pPr>
            <w:r>
              <w:rPr>
                <w:spacing w:val="-5"/>
                <w:sz w:val="20"/>
              </w:rPr>
              <w:t>5.6</w:t>
            </w:r>
          </w:p>
        </w:tc>
        <w:tc>
          <w:tcPr>
            <w:tcW w:w="2006" w:type="dxa"/>
          </w:tcPr>
          <w:p w14:paraId="4515A209" w14:textId="77777777" w:rsidR="00811887" w:rsidRDefault="00811887" w:rsidP="00486E22">
            <w:pPr>
              <w:pStyle w:val="TableParagraph"/>
              <w:spacing w:line="225" w:lineRule="exact"/>
              <w:ind w:left="16" w:right="12"/>
              <w:jc w:val="center"/>
              <w:rPr>
                <w:sz w:val="20"/>
              </w:rPr>
            </w:pPr>
            <w:r>
              <w:rPr>
                <w:spacing w:val="-4"/>
                <w:sz w:val="20"/>
              </w:rPr>
              <w:t>51.9</w:t>
            </w:r>
          </w:p>
        </w:tc>
        <w:tc>
          <w:tcPr>
            <w:tcW w:w="2011" w:type="dxa"/>
          </w:tcPr>
          <w:p w14:paraId="69F60371" w14:textId="77777777" w:rsidR="00811887" w:rsidRDefault="00811887" w:rsidP="00486E22">
            <w:pPr>
              <w:pStyle w:val="TableParagraph"/>
              <w:spacing w:line="225" w:lineRule="exact"/>
              <w:ind w:left="4" w:right="4"/>
              <w:jc w:val="center"/>
              <w:rPr>
                <w:sz w:val="20"/>
              </w:rPr>
            </w:pPr>
            <w:r>
              <w:rPr>
                <w:spacing w:val="-4"/>
                <w:sz w:val="20"/>
              </w:rPr>
              <w:t>46.8</w:t>
            </w:r>
          </w:p>
        </w:tc>
        <w:tc>
          <w:tcPr>
            <w:tcW w:w="2005" w:type="dxa"/>
          </w:tcPr>
          <w:p w14:paraId="1DEEED87" w14:textId="77777777" w:rsidR="00811887" w:rsidRDefault="00811887" w:rsidP="00486E22">
            <w:pPr>
              <w:pStyle w:val="TableParagraph"/>
              <w:spacing w:line="225" w:lineRule="exact"/>
              <w:ind w:left="11" w:right="6"/>
              <w:jc w:val="center"/>
              <w:rPr>
                <w:sz w:val="20"/>
              </w:rPr>
            </w:pPr>
            <w:r>
              <w:rPr>
                <w:spacing w:val="-4"/>
                <w:sz w:val="20"/>
              </w:rPr>
              <w:t>24.3</w:t>
            </w:r>
          </w:p>
        </w:tc>
      </w:tr>
      <w:tr w:rsidR="00811887" w14:paraId="5F65AE7B" w14:textId="77777777" w:rsidTr="00486E22">
        <w:trPr>
          <w:trHeight w:val="240"/>
        </w:trPr>
        <w:tc>
          <w:tcPr>
            <w:tcW w:w="986" w:type="dxa"/>
            <w:shd w:val="clear" w:color="auto" w:fill="234060"/>
          </w:tcPr>
          <w:p w14:paraId="16D8F2FE" w14:textId="77777777" w:rsidR="00811887" w:rsidRDefault="00811887" w:rsidP="00486E22">
            <w:pPr>
              <w:pStyle w:val="TableParagraph"/>
              <w:spacing w:line="220" w:lineRule="exact"/>
              <w:ind w:left="110"/>
              <w:rPr>
                <w:b/>
                <w:sz w:val="20"/>
              </w:rPr>
            </w:pPr>
            <w:r>
              <w:rPr>
                <w:b/>
                <w:color w:val="FFFFFF"/>
                <w:spacing w:val="-4"/>
                <w:sz w:val="20"/>
              </w:rPr>
              <w:t>2004</w:t>
            </w:r>
          </w:p>
        </w:tc>
        <w:tc>
          <w:tcPr>
            <w:tcW w:w="2006" w:type="dxa"/>
          </w:tcPr>
          <w:p w14:paraId="1BEEC009" w14:textId="77777777" w:rsidR="00811887" w:rsidRDefault="00811887" w:rsidP="00486E22">
            <w:pPr>
              <w:pStyle w:val="TableParagraph"/>
              <w:spacing w:line="220" w:lineRule="exact"/>
              <w:ind w:left="16" w:right="12"/>
              <w:jc w:val="center"/>
              <w:rPr>
                <w:sz w:val="20"/>
              </w:rPr>
            </w:pPr>
            <w:r>
              <w:rPr>
                <w:spacing w:val="-5"/>
                <w:sz w:val="20"/>
              </w:rPr>
              <w:t>3.6</w:t>
            </w:r>
          </w:p>
        </w:tc>
        <w:tc>
          <w:tcPr>
            <w:tcW w:w="2006" w:type="dxa"/>
          </w:tcPr>
          <w:p w14:paraId="3149D0DE" w14:textId="77777777" w:rsidR="00811887" w:rsidRDefault="00811887" w:rsidP="00486E22">
            <w:pPr>
              <w:pStyle w:val="TableParagraph"/>
              <w:spacing w:line="220" w:lineRule="exact"/>
              <w:ind w:left="16" w:right="12"/>
              <w:jc w:val="center"/>
              <w:rPr>
                <w:sz w:val="20"/>
              </w:rPr>
            </w:pPr>
            <w:r>
              <w:rPr>
                <w:spacing w:val="-4"/>
                <w:sz w:val="20"/>
              </w:rPr>
              <w:t>37.6</w:t>
            </w:r>
          </w:p>
        </w:tc>
        <w:tc>
          <w:tcPr>
            <w:tcW w:w="2011" w:type="dxa"/>
          </w:tcPr>
          <w:p w14:paraId="77DEA5F1" w14:textId="77777777" w:rsidR="00811887" w:rsidRDefault="00811887" w:rsidP="00486E22">
            <w:pPr>
              <w:pStyle w:val="TableParagraph"/>
              <w:spacing w:line="220" w:lineRule="exact"/>
              <w:ind w:left="4" w:right="4"/>
              <w:jc w:val="center"/>
              <w:rPr>
                <w:sz w:val="20"/>
              </w:rPr>
            </w:pPr>
            <w:r>
              <w:rPr>
                <w:spacing w:val="-4"/>
                <w:sz w:val="20"/>
              </w:rPr>
              <w:t>49.1</w:t>
            </w:r>
          </w:p>
        </w:tc>
        <w:tc>
          <w:tcPr>
            <w:tcW w:w="2005" w:type="dxa"/>
          </w:tcPr>
          <w:p w14:paraId="339111D4" w14:textId="77777777" w:rsidR="00811887" w:rsidRDefault="00811887" w:rsidP="00486E22">
            <w:pPr>
              <w:pStyle w:val="TableParagraph"/>
              <w:spacing w:line="220" w:lineRule="exact"/>
              <w:ind w:left="11" w:right="6"/>
              <w:jc w:val="center"/>
              <w:rPr>
                <w:sz w:val="20"/>
              </w:rPr>
            </w:pPr>
            <w:r>
              <w:rPr>
                <w:spacing w:val="-4"/>
                <w:sz w:val="20"/>
              </w:rPr>
              <w:t>20.2</w:t>
            </w:r>
          </w:p>
        </w:tc>
      </w:tr>
      <w:tr w:rsidR="00811887" w14:paraId="276983F5" w14:textId="77777777" w:rsidTr="00486E22">
        <w:trPr>
          <w:trHeight w:val="245"/>
        </w:trPr>
        <w:tc>
          <w:tcPr>
            <w:tcW w:w="986" w:type="dxa"/>
            <w:shd w:val="clear" w:color="auto" w:fill="234060"/>
          </w:tcPr>
          <w:p w14:paraId="5AE394ED" w14:textId="77777777" w:rsidR="00811887" w:rsidRDefault="00811887" w:rsidP="00486E22">
            <w:pPr>
              <w:pStyle w:val="TableParagraph"/>
              <w:spacing w:line="225" w:lineRule="exact"/>
              <w:ind w:left="110"/>
              <w:rPr>
                <w:b/>
                <w:sz w:val="20"/>
              </w:rPr>
            </w:pPr>
            <w:r>
              <w:rPr>
                <w:b/>
                <w:color w:val="FFFFFF"/>
                <w:spacing w:val="-4"/>
                <w:sz w:val="20"/>
              </w:rPr>
              <w:t>2005</w:t>
            </w:r>
          </w:p>
        </w:tc>
        <w:tc>
          <w:tcPr>
            <w:tcW w:w="2006" w:type="dxa"/>
          </w:tcPr>
          <w:p w14:paraId="67D525AE" w14:textId="77777777" w:rsidR="00811887" w:rsidRDefault="00811887" w:rsidP="00486E22">
            <w:pPr>
              <w:pStyle w:val="TableParagraph"/>
              <w:spacing w:line="225" w:lineRule="exact"/>
              <w:ind w:left="16" w:right="12"/>
              <w:jc w:val="center"/>
              <w:rPr>
                <w:sz w:val="20"/>
              </w:rPr>
            </w:pPr>
            <w:r>
              <w:rPr>
                <w:spacing w:val="-5"/>
                <w:sz w:val="20"/>
              </w:rPr>
              <w:t>5.0</w:t>
            </w:r>
          </w:p>
        </w:tc>
        <w:tc>
          <w:tcPr>
            <w:tcW w:w="2006" w:type="dxa"/>
          </w:tcPr>
          <w:p w14:paraId="77137F64" w14:textId="77777777" w:rsidR="00811887" w:rsidRDefault="00811887" w:rsidP="00486E22">
            <w:pPr>
              <w:pStyle w:val="TableParagraph"/>
              <w:spacing w:line="225" w:lineRule="exact"/>
              <w:ind w:left="16" w:right="12"/>
              <w:jc w:val="center"/>
              <w:rPr>
                <w:sz w:val="20"/>
              </w:rPr>
            </w:pPr>
            <w:r>
              <w:rPr>
                <w:spacing w:val="-4"/>
                <w:sz w:val="20"/>
              </w:rPr>
              <w:t>45.0</w:t>
            </w:r>
          </w:p>
        </w:tc>
        <w:tc>
          <w:tcPr>
            <w:tcW w:w="2011" w:type="dxa"/>
          </w:tcPr>
          <w:p w14:paraId="420B10D8" w14:textId="77777777" w:rsidR="00811887" w:rsidRDefault="00811887" w:rsidP="00486E22">
            <w:pPr>
              <w:pStyle w:val="TableParagraph"/>
              <w:spacing w:line="225" w:lineRule="exact"/>
              <w:ind w:left="4" w:right="4"/>
              <w:jc w:val="center"/>
              <w:rPr>
                <w:sz w:val="20"/>
              </w:rPr>
            </w:pPr>
            <w:r>
              <w:rPr>
                <w:spacing w:val="-4"/>
                <w:sz w:val="20"/>
              </w:rPr>
              <w:t>39.8</w:t>
            </w:r>
          </w:p>
        </w:tc>
        <w:tc>
          <w:tcPr>
            <w:tcW w:w="2005" w:type="dxa"/>
          </w:tcPr>
          <w:p w14:paraId="3D920F80" w14:textId="77777777" w:rsidR="00811887" w:rsidRDefault="00811887" w:rsidP="00486E22">
            <w:pPr>
              <w:pStyle w:val="TableParagraph"/>
              <w:spacing w:line="225" w:lineRule="exact"/>
              <w:ind w:left="11" w:right="6"/>
              <w:jc w:val="center"/>
              <w:rPr>
                <w:sz w:val="20"/>
              </w:rPr>
            </w:pPr>
            <w:r>
              <w:rPr>
                <w:spacing w:val="-4"/>
                <w:sz w:val="20"/>
              </w:rPr>
              <w:t>26.9</w:t>
            </w:r>
          </w:p>
        </w:tc>
      </w:tr>
      <w:tr w:rsidR="00811887" w14:paraId="6BDC1594" w14:textId="77777777" w:rsidTr="00486E22">
        <w:trPr>
          <w:trHeight w:val="245"/>
        </w:trPr>
        <w:tc>
          <w:tcPr>
            <w:tcW w:w="986" w:type="dxa"/>
            <w:shd w:val="clear" w:color="auto" w:fill="234060"/>
          </w:tcPr>
          <w:p w14:paraId="15F81B68" w14:textId="77777777" w:rsidR="00811887" w:rsidRDefault="00811887" w:rsidP="00486E22">
            <w:pPr>
              <w:pStyle w:val="TableParagraph"/>
              <w:spacing w:line="225" w:lineRule="exact"/>
              <w:ind w:left="110"/>
              <w:rPr>
                <w:b/>
                <w:sz w:val="20"/>
              </w:rPr>
            </w:pPr>
            <w:r>
              <w:rPr>
                <w:b/>
                <w:color w:val="FFFFFF"/>
                <w:spacing w:val="-4"/>
                <w:sz w:val="20"/>
              </w:rPr>
              <w:t>2006</w:t>
            </w:r>
          </w:p>
        </w:tc>
        <w:tc>
          <w:tcPr>
            <w:tcW w:w="2006" w:type="dxa"/>
          </w:tcPr>
          <w:p w14:paraId="6A40309B" w14:textId="77777777" w:rsidR="00811887" w:rsidRDefault="00811887" w:rsidP="00486E22">
            <w:pPr>
              <w:pStyle w:val="TableParagraph"/>
              <w:spacing w:line="225" w:lineRule="exact"/>
              <w:ind w:left="16" w:right="12"/>
              <w:jc w:val="center"/>
              <w:rPr>
                <w:sz w:val="20"/>
              </w:rPr>
            </w:pPr>
            <w:r>
              <w:rPr>
                <w:spacing w:val="-5"/>
                <w:sz w:val="20"/>
              </w:rPr>
              <w:t>3.3</w:t>
            </w:r>
          </w:p>
        </w:tc>
        <w:tc>
          <w:tcPr>
            <w:tcW w:w="2006" w:type="dxa"/>
          </w:tcPr>
          <w:p w14:paraId="3B95A39E" w14:textId="77777777" w:rsidR="00811887" w:rsidRDefault="00811887" w:rsidP="00486E22">
            <w:pPr>
              <w:pStyle w:val="TableParagraph"/>
              <w:spacing w:line="225" w:lineRule="exact"/>
              <w:ind w:left="16" w:right="12"/>
              <w:jc w:val="center"/>
              <w:rPr>
                <w:sz w:val="20"/>
              </w:rPr>
            </w:pPr>
            <w:r>
              <w:rPr>
                <w:spacing w:val="-4"/>
                <w:sz w:val="20"/>
              </w:rPr>
              <w:t>40.3</w:t>
            </w:r>
          </w:p>
        </w:tc>
        <w:tc>
          <w:tcPr>
            <w:tcW w:w="2011" w:type="dxa"/>
          </w:tcPr>
          <w:p w14:paraId="76B2C128" w14:textId="77777777" w:rsidR="00811887" w:rsidRDefault="00811887" w:rsidP="00486E22">
            <w:pPr>
              <w:pStyle w:val="TableParagraph"/>
              <w:spacing w:line="225" w:lineRule="exact"/>
              <w:ind w:left="4" w:right="4"/>
              <w:jc w:val="center"/>
              <w:rPr>
                <w:sz w:val="20"/>
              </w:rPr>
            </w:pPr>
            <w:r>
              <w:rPr>
                <w:spacing w:val="-4"/>
                <w:sz w:val="20"/>
              </w:rPr>
              <w:t>35.6</w:t>
            </w:r>
          </w:p>
        </w:tc>
        <w:tc>
          <w:tcPr>
            <w:tcW w:w="2005" w:type="dxa"/>
          </w:tcPr>
          <w:p w14:paraId="42A916CA" w14:textId="77777777" w:rsidR="00811887" w:rsidRDefault="00811887" w:rsidP="00486E22">
            <w:pPr>
              <w:pStyle w:val="TableParagraph"/>
              <w:spacing w:line="225" w:lineRule="exact"/>
              <w:ind w:left="11" w:right="6"/>
              <w:jc w:val="center"/>
              <w:rPr>
                <w:sz w:val="20"/>
              </w:rPr>
            </w:pPr>
            <w:r>
              <w:rPr>
                <w:spacing w:val="-4"/>
                <w:sz w:val="20"/>
              </w:rPr>
              <w:t>20.2</w:t>
            </w:r>
          </w:p>
        </w:tc>
      </w:tr>
      <w:tr w:rsidR="00811887" w14:paraId="23276B8F" w14:textId="77777777" w:rsidTr="00486E22">
        <w:trPr>
          <w:trHeight w:val="245"/>
        </w:trPr>
        <w:tc>
          <w:tcPr>
            <w:tcW w:w="986" w:type="dxa"/>
            <w:shd w:val="clear" w:color="auto" w:fill="234060"/>
          </w:tcPr>
          <w:p w14:paraId="7534B291" w14:textId="77777777" w:rsidR="00811887" w:rsidRDefault="00811887" w:rsidP="00486E22">
            <w:pPr>
              <w:pStyle w:val="TableParagraph"/>
              <w:spacing w:line="225" w:lineRule="exact"/>
              <w:ind w:left="110"/>
              <w:rPr>
                <w:b/>
                <w:sz w:val="20"/>
              </w:rPr>
            </w:pPr>
            <w:r>
              <w:rPr>
                <w:b/>
                <w:color w:val="FFFFFF"/>
                <w:spacing w:val="-4"/>
                <w:sz w:val="20"/>
              </w:rPr>
              <w:t>2007</w:t>
            </w:r>
          </w:p>
        </w:tc>
        <w:tc>
          <w:tcPr>
            <w:tcW w:w="2006" w:type="dxa"/>
          </w:tcPr>
          <w:p w14:paraId="01B362C9" w14:textId="77777777" w:rsidR="00811887" w:rsidRDefault="00811887" w:rsidP="00486E22">
            <w:pPr>
              <w:pStyle w:val="TableParagraph"/>
              <w:spacing w:line="225" w:lineRule="exact"/>
              <w:ind w:left="16" w:right="12"/>
              <w:jc w:val="center"/>
              <w:rPr>
                <w:sz w:val="20"/>
              </w:rPr>
            </w:pPr>
            <w:r>
              <w:rPr>
                <w:spacing w:val="-5"/>
                <w:sz w:val="20"/>
              </w:rPr>
              <w:t>5.7</w:t>
            </w:r>
          </w:p>
        </w:tc>
        <w:tc>
          <w:tcPr>
            <w:tcW w:w="2006" w:type="dxa"/>
          </w:tcPr>
          <w:p w14:paraId="59E1611B" w14:textId="77777777" w:rsidR="00811887" w:rsidRDefault="00811887" w:rsidP="00486E22">
            <w:pPr>
              <w:pStyle w:val="TableParagraph"/>
              <w:spacing w:line="225" w:lineRule="exact"/>
              <w:ind w:left="16" w:right="12"/>
              <w:jc w:val="center"/>
              <w:rPr>
                <w:sz w:val="20"/>
              </w:rPr>
            </w:pPr>
            <w:r>
              <w:rPr>
                <w:spacing w:val="-4"/>
                <w:sz w:val="20"/>
              </w:rPr>
              <w:t>36.2</w:t>
            </w:r>
          </w:p>
        </w:tc>
        <w:tc>
          <w:tcPr>
            <w:tcW w:w="2011" w:type="dxa"/>
          </w:tcPr>
          <w:p w14:paraId="36572978" w14:textId="77777777" w:rsidR="00811887" w:rsidRDefault="00811887" w:rsidP="00486E22">
            <w:pPr>
              <w:pStyle w:val="TableParagraph"/>
              <w:spacing w:line="225" w:lineRule="exact"/>
              <w:ind w:left="4" w:right="4"/>
              <w:jc w:val="center"/>
              <w:rPr>
                <w:sz w:val="20"/>
              </w:rPr>
            </w:pPr>
            <w:r>
              <w:rPr>
                <w:spacing w:val="-4"/>
                <w:sz w:val="20"/>
              </w:rPr>
              <w:t>42.0</w:t>
            </w:r>
          </w:p>
        </w:tc>
        <w:tc>
          <w:tcPr>
            <w:tcW w:w="2005" w:type="dxa"/>
          </w:tcPr>
          <w:p w14:paraId="48DEB736" w14:textId="77777777" w:rsidR="00811887" w:rsidRDefault="00811887" w:rsidP="00486E22">
            <w:pPr>
              <w:pStyle w:val="TableParagraph"/>
              <w:spacing w:line="225" w:lineRule="exact"/>
              <w:ind w:left="11" w:right="6"/>
              <w:jc w:val="center"/>
              <w:rPr>
                <w:sz w:val="20"/>
              </w:rPr>
            </w:pPr>
            <w:r>
              <w:rPr>
                <w:spacing w:val="-4"/>
                <w:sz w:val="20"/>
              </w:rPr>
              <w:t>21.2</w:t>
            </w:r>
          </w:p>
        </w:tc>
      </w:tr>
      <w:tr w:rsidR="00811887" w14:paraId="729BADD1" w14:textId="77777777" w:rsidTr="00486E22">
        <w:trPr>
          <w:trHeight w:val="245"/>
        </w:trPr>
        <w:tc>
          <w:tcPr>
            <w:tcW w:w="986" w:type="dxa"/>
            <w:shd w:val="clear" w:color="auto" w:fill="234060"/>
          </w:tcPr>
          <w:p w14:paraId="3A5617BA" w14:textId="77777777" w:rsidR="00811887" w:rsidRDefault="00811887" w:rsidP="00486E22">
            <w:pPr>
              <w:pStyle w:val="TableParagraph"/>
              <w:spacing w:line="225" w:lineRule="exact"/>
              <w:ind w:left="110"/>
              <w:rPr>
                <w:b/>
                <w:sz w:val="20"/>
              </w:rPr>
            </w:pPr>
            <w:r>
              <w:rPr>
                <w:b/>
                <w:color w:val="FFFFFF"/>
                <w:spacing w:val="-4"/>
                <w:sz w:val="20"/>
              </w:rPr>
              <w:t>2008</w:t>
            </w:r>
          </w:p>
        </w:tc>
        <w:tc>
          <w:tcPr>
            <w:tcW w:w="2006" w:type="dxa"/>
          </w:tcPr>
          <w:p w14:paraId="13D91F0D" w14:textId="77777777" w:rsidR="00811887" w:rsidRDefault="00811887" w:rsidP="00486E22">
            <w:pPr>
              <w:pStyle w:val="TableParagraph"/>
              <w:spacing w:line="225" w:lineRule="exact"/>
              <w:ind w:left="16" w:right="12"/>
              <w:jc w:val="center"/>
              <w:rPr>
                <w:sz w:val="20"/>
              </w:rPr>
            </w:pPr>
            <w:r>
              <w:rPr>
                <w:spacing w:val="-5"/>
                <w:sz w:val="20"/>
              </w:rPr>
              <w:t>4.2</w:t>
            </w:r>
          </w:p>
        </w:tc>
        <w:tc>
          <w:tcPr>
            <w:tcW w:w="2006" w:type="dxa"/>
          </w:tcPr>
          <w:p w14:paraId="0B88FF75" w14:textId="77777777" w:rsidR="00811887" w:rsidRDefault="00811887" w:rsidP="00486E22">
            <w:pPr>
              <w:pStyle w:val="TableParagraph"/>
              <w:spacing w:line="225" w:lineRule="exact"/>
              <w:ind w:left="16" w:right="12"/>
              <w:jc w:val="center"/>
              <w:rPr>
                <w:sz w:val="20"/>
              </w:rPr>
            </w:pPr>
            <w:r>
              <w:rPr>
                <w:spacing w:val="-4"/>
                <w:sz w:val="20"/>
              </w:rPr>
              <w:t>37.3</w:t>
            </w:r>
          </w:p>
        </w:tc>
        <w:tc>
          <w:tcPr>
            <w:tcW w:w="2011" w:type="dxa"/>
          </w:tcPr>
          <w:p w14:paraId="21BCD4CB" w14:textId="77777777" w:rsidR="00811887" w:rsidRDefault="00811887" w:rsidP="00486E22">
            <w:pPr>
              <w:pStyle w:val="TableParagraph"/>
              <w:spacing w:line="225" w:lineRule="exact"/>
              <w:ind w:left="4" w:right="4"/>
              <w:jc w:val="center"/>
              <w:rPr>
                <w:sz w:val="20"/>
              </w:rPr>
            </w:pPr>
            <w:r>
              <w:rPr>
                <w:spacing w:val="-4"/>
                <w:sz w:val="20"/>
              </w:rPr>
              <w:t>39.7</w:t>
            </w:r>
          </w:p>
        </w:tc>
        <w:tc>
          <w:tcPr>
            <w:tcW w:w="2005" w:type="dxa"/>
          </w:tcPr>
          <w:p w14:paraId="643C2671" w14:textId="77777777" w:rsidR="00811887" w:rsidRDefault="00811887" w:rsidP="00486E22">
            <w:pPr>
              <w:pStyle w:val="TableParagraph"/>
              <w:spacing w:line="225" w:lineRule="exact"/>
              <w:ind w:left="11" w:right="6"/>
              <w:jc w:val="center"/>
              <w:rPr>
                <w:sz w:val="20"/>
              </w:rPr>
            </w:pPr>
            <w:r>
              <w:rPr>
                <w:spacing w:val="-4"/>
                <w:sz w:val="20"/>
              </w:rPr>
              <w:t>23.9</w:t>
            </w:r>
          </w:p>
        </w:tc>
      </w:tr>
      <w:tr w:rsidR="00811887" w14:paraId="7ADFB3C6" w14:textId="77777777" w:rsidTr="00486E22">
        <w:trPr>
          <w:trHeight w:val="245"/>
        </w:trPr>
        <w:tc>
          <w:tcPr>
            <w:tcW w:w="986" w:type="dxa"/>
            <w:shd w:val="clear" w:color="auto" w:fill="234060"/>
          </w:tcPr>
          <w:p w14:paraId="596812ED" w14:textId="77777777" w:rsidR="00811887" w:rsidRDefault="00811887" w:rsidP="00486E22">
            <w:pPr>
              <w:pStyle w:val="TableParagraph"/>
              <w:spacing w:line="225" w:lineRule="exact"/>
              <w:ind w:left="110"/>
              <w:rPr>
                <w:b/>
                <w:sz w:val="20"/>
              </w:rPr>
            </w:pPr>
            <w:r>
              <w:rPr>
                <w:b/>
                <w:color w:val="FFFFFF"/>
                <w:spacing w:val="-4"/>
                <w:sz w:val="20"/>
              </w:rPr>
              <w:t>2009</w:t>
            </w:r>
          </w:p>
        </w:tc>
        <w:tc>
          <w:tcPr>
            <w:tcW w:w="2006" w:type="dxa"/>
          </w:tcPr>
          <w:p w14:paraId="08AAEC70" w14:textId="77777777" w:rsidR="00811887" w:rsidRDefault="00811887" w:rsidP="00486E22">
            <w:pPr>
              <w:pStyle w:val="TableParagraph"/>
              <w:spacing w:line="225" w:lineRule="exact"/>
              <w:ind w:left="16" w:right="12"/>
              <w:jc w:val="center"/>
              <w:rPr>
                <w:sz w:val="20"/>
              </w:rPr>
            </w:pPr>
            <w:r>
              <w:rPr>
                <w:spacing w:val="-5"/>
                <w:sz w:val="20"/>
              </w:rPr>
              <w:t>3.7</w:t>
            </w:r>
          </w:p>
        </w:tc>
        <w:tc>
          <w:tcPr>
            <w:tcW w:w="2006" w:type="dxa"/>
          </w:tcPr>
          <w:p w14:paraId="203D2C1A" w14:textId="77777777" w:rsidR="00811887" w:rsidRDefault="00811887" w:rsidP="00486E22">
            <w:pPr>
              <w:pStyle w:val="TableParagraph"/>
              <w:spacing w:line="225" w:lineRule="exact"/>
              <w:ind w:left="16" w:right="12"/>
              <w:jc w:val="center"/>
              <w:rPr>
                <w:sz w:val="20"/>
              </w:rPr>
            </w:pPr>
            <w:r>
              <w:rPr>
                <w:spacing w:val="-4"/>
                <w:sz w:val="20"/>
              </w:rPr>
              <w:t>44.3</w:t>
            </w:r>
          </w:p>
        </w:tc>
        <w:tc>
          <w:tcPr>
            <w:tcW w:w="2011" w:type="dxa"/>
          </w:tcPr>
          <w:p w14:paraId="65D1A9C0" w14:textId="77777777" w:rsidR="00811887" w:rsidRDefault="00811887" w:rsidP="00486E22">
            <w:pPr>
              <w:pStyle w:val="TableParagraph"/>
              <w:spacing w:line="225" w:lineRule="exact"/>
              <w:ind w:left="4" w:right="4"/>
              <w:jc w:val="center"/>
              <w:rPr>
                <w:sz w:val="20"/>
              </w:rPr>
            </w:pPr>
            <w:r>
              <w:rPr>
                <w:spacing w:val="-4"/>
                <w:sz w:val="20"/>
              </w:rPr>
              <w:t>43.7</w:t>
            </w:r>
          </w:p>
        </w:tc>
        <w:tc>
          <w:tcPr>
            <w:tcW w:w="2005" w:type="dxa"/>
          </w:tcPr>
          <w:p w14:paraId="376A0F74" w14:textId="77777777" w:rsidR="00811887" w:rsidRDefault="00811887" w:rsidP="00486E22">
            <w:pPr>
              <w:pStyle w:val="TableParagraph"/>
              <w:spacing w:line="225" w:lineRule="exact"/>
              <w:ind w:left="11" w:right="6"/>
              <w:jc w:val="center"/>
              <w:rPr>
                <w:sz w:val="20"/>
              </w:rPr>
            </w:pPr>
            <w:r>
              <w:rPr>
                <w:spacing w:val="-4"/>
                <w:sz w:val="20"/>
              </w:rPr>
              <w:t>18.7</w:t>
            </w:r>
          </w:p>
        </w:tc>
      </w:tr>
      <w:tr w:rsidR="00811887" w14:paraId="1A42817A" w14:textId="77777777" w:rsidTr="00486E22">
        <w:trPr>
          <w:trHeight w:val="240"/>
        </w:trPr>
        <w:tc>
          <w:tcPr>
            <w:tcW w:w="986" w:type="dxa"/>
            <w:shd w:val="clear" w:color="auto" w:fill="234060"/>
          </w:tcPr>
          <w:p w14:paraId="73009C93" w14:textId="77777777" w:rsidR="00811887" w:rsidRDefault="00811887" w:rsidP="00486E22">
            <w:pPr>
              <w:pStyle w:val="TableParagraph"/>
              <w:spacing w:line="220" w:lineRule="exact"/>
              <w:ind w:left="110"/>
              <w:rPr>
                <w:b/>
                <w:sz w:val="20"/>
              </w:rPr>
            </w:pPr>
            <w:r>
              <w:rPr>
                <w:b/>
                <w:color w:val="FFFFFF"/>
                <w:spacing w:val="-4"/>
                <w:sz w:val="20"/>
              </w:rPr>
              <w:t>2010</w:t>
            </w:r>
          </w:p>
        </w:tc>
        <w:tc>
          <w:tcPr>
            <w:tcW w:w="2006" w:type="dxa"/>
          </w:tcPr>
          <w:p w14:paraId="7983B819" w14:textId="77777777" w:rsidR="00811887" w:rsidRDefault="00811887" w:rsidP="00486E22">
            <w:pPr>
              <w:pStyle w:val="TableParagraph"/>
              <w:spacing w:line="220" w:lineRule="exact"/>
              <w:ind w:left="16" w:right="12"/>
              <w:jc w:val="center"/>
              <w:rPr>
                <w:sz w:val="20"/>
              </w:rPr>
            </w:pPr>
            <w:r>
              <w:rPr>
                <w:spacing w:val="-5"/>
                <w:sz w:val="20"/>
              </w:rPr>
              <w:t>4.8</w:t>
            </w:r>
          </w:p>
        </w:tc>
        <w:tc>
          <w:tcPr>
            <w:tcW w:w="2006" w:type="dxa"/>
          </w:tcPr>
          <w:p w14:paraId="4D3A8B4C" w14:textId="77777777" w:rsidR="00811887" w:rsidRDefault="00811887" w:rsidP="00486E22">
            <w:pPr>
              <w:pStyle w:val="TableParagraph"/>
              <w:spacing w:line="220" w:lineRule="exact"/>
              <w:ind w:left="16" w:right="12"/>
              <w:jc w:val="center"/>
              <w:rPr>
                <w:sz w:val="20"/>
              </w:rPr>
            </w:pPr>
            <w:r>
              <w:rPr>
                <w:spacing w:val="-4"/>
                <w:sz w:val="20"/>
              </w:rPr>
              <w:t>34.4</w:t>
            </w:r>
          </w:p>
        </w:tc>
        <w:tc>
          <w:tcPr>
            <w:tcW w:w="2011" w:type="dxa"/>
          </w:tcPr>
          <w:p w14:paraId="59FEB1F5" w14:textId="77777777" w:rsidR="00811887" w:rsidRDefault="00811887" w:rsidP="00486E22">
            <w:pPr>
              <w:pStyle w:val="TableParagraph"/>
              <w:spacing w:line="220" w:lineRule="exact"/>
              <w:ind w:left="4" w:right="4"/>
              <w:jc w:val="center"/>
              <w:rPr>
                <w:sz w:val="20"/>
              </w:rPr>
            </w:pPr>
            <w:r>
              <w:rPr>
                <w:spacing w:val="-4"/>
                <w:sz w:val="20"/>
              </w:rPr>
              <w:t>48.5</w:t>
            </w:r>
          </w:p>
        </w:tc>
        <w:tc>
          <w:tcPr>
            <w:tcW w:w="2005" w:type="dxa"/>
          </w:tcPr>
          <w:p w14:paraId="1AFDEB8F" w14:textId="77777777" w:rsidR="00811887" w:rsidRDefault="00811887" w:rsidP="00486E22">
            <w:pPr>
              <w:pStyle w:val="TableParagraph"/>
              <w:spacing w:line="220" w:lineRule="exact"/>
              <w:ind w:left="11" w:right="6"/>
              <w:jc w:val="center"/>
              <w:rPr>
                <w:sz w:val="20"/>
              </w:rPr>
            </w:pPr>
            <w:r>
              <w:rPr>
                <w:spacing w:val="-4"/>
                <w:sz w:val="20"/>
              </w:rPr>
              <w:t>15.1</w:t>
            </w:r>
          </w:p>
        </w:tc>
      </w:tr>
      <w:tr w:rsidR="00811887" w14:paraId="147084ED" w14:textId="77777777" w:rsidTr="00486E22">
        <w:trPr>
          <w:trHeight w:val="245"/>
        </w:trPr>
        <w:tc>
          <w:tcPr>
            <w:tcW w:w="986" w:type="dxa"/>
            <w:shd w:val="clear" w:color="auto" w:fill="234060"/>
          </w:tcPr>
          <w:p w14:paraId="046DE577" w14:textId="77777777" w:rsidR="00811887" w:rsidRDefault="00811887" w:rsidP="00486E22">
            <w:pPr>
              <w:pStyle w:val="TableParagraph"/>
              <w:spacing w:line="226" w:lineRule="exact"/>
              <w:ind w:left="110"/>
              <w:rPr>
                <w:b/>
                <w:sz w:val="20"/>
              </w:rPr>
            </w:pPr>
            <w:r>
              <w:rPr>
                <w:b/>
                <w:color w:val="FFFFFF"/>
                <w:spacing w:val="-4"/>
                <w:sz w:val="20"/>
              </w:rPr>
              <w:t>2011</w:t>
            </w:r>
          </w:p>
        </w:tc>
        <w:tc>
          <w:tcPr>
            <w:tcW w:w="2006" w:type="dxa"/>
          </w:tcPr>
          <w:p w14:paraId="0708A5EE" w14:textId="77777777" w:rsidR="00811887" w:rsidRDefault="00811887" w:rsidP="00486E22">
            <w:pPr>
              <w:pStyle w:val="TableParagraph"/>
              <w:spacing w:line="226" w:lineRule="exact"/>
              <w:ind w:left="16" w:right="12"/>
              <w:jc w:val="center"/>
              <w:rPr>
                <w:sz w:val="20"/>
              </w:rPr>
            </w:pPr>
            <w:r>
              <w:rPr>
                <w:spacing w:val="-5"/>
                <w:sz w:val="20"/>
              </w:rPr>
              <w:t>5.8</w:t>
            </w:r>
          </w:p>
        </w:tc>
        <w:tc>
          <w:tcPr>
            <w:tcW w:w="2006" w:type="dxa"/>
          </w:tcPr>
          <w:p w14:paraId="71D24891" w14:textId="77777777" w:rsidR="00811887" w:rsidRDefault="00811887" w:rsidP="00486E22">
            <w:pPr>
              <w:pStyle w:val="TableParagraph"/>
              <w:spacing w:line="226" w:lineRule="exact"/>
              <w:ind w:left="16" w:right="12"/>
              <w:jc w:val="center"/>
              <w:rPr>
                <w:sz w:val="20"/>
              </w:rPr>
            </w:pPr>
            <w:r>
              <w:rPr>
                <w:spacing w:val="-4"/>
                <w:sz w:val="20"/>
              </w:rPr>
              <w:t>44.1</w:t>
            </w:r>
          </w:p>
        </w:tc>
        <w:tc>
          <w:tcPr>
            <w:tcW w:w="2011" w:type="dxa"/>
          </w:tcPr>
          <w:p w14:paraId="2B36C9DB" w14:textId="77777777" w:rsidR="00811887" w:rsidRDefault="00811887" w:rsidP="00486E22">
            <w:pPr>
              <w:pStyle w:val="TableParagraph"/>
              <w:spacing w:line="226" w:lineRule="exact"/>
              <w:ind w:left="4" w:right="4"/>
              <w:jc w:val="center"/>
              <w:rPr>
                <w:sz w:val="20"/>
              </w:rPr>
            </w:pPr>
            <w:r>
              <w:rPr>
                <w:spacing w:val="-4"/>
                <w:sz w:val="20"/>
              </w:rPr>
              <w:t>45.5</w:t>
            </w:r>
          </w:p>
        </w:tc>
        <w:tc>
          <w:tcPr>
            <w:tcW w:w="2005" w:type="dxa"/>
          </w:tcPr>
          <w:p w14:paraId="6FEA8EAD" w14:textId="77777777" w:rsidR="00811887" w:rsidRDefault="00811887" w:rsidP="00486E22">
            <w:pPr>
              <w:pStyle w:val="TableParagraph"/>
              <w:spacing w:line="226" w:lineRule="exact"/>
              <w:ind w:left="11" w:right="6"/>
              <w:jc w:val="center"/>
              <w:rPr>
                <w:sz w:val="20"/>
              </w:rPr>
            </w:pPr>
            <w:r>
              <w:rPr>
                <w:spacing w:val="-4"/>
                <w:sz w:val="20"/>
              </w:rPr>
              <w:t>18.3</w:t>
            </w:r>
          </w:p>
        </w:tc>
      </w:tr>
      <w:tr w:rsidR="00811887" w14:paraId="0C122861" w14:textId="77777777" w:rsidTr="00486E22">
        <w:trPr>
          <w:trHeight w:val="245"/>
        </w:trPr>
        <w:tc>
          <w:tcPr>
            <w:tcW w:w="986" w:type="dxa"/>
            <w:shd w:val="clear" w:color="auto" w:fill="234060"/>
          </w:tcPr>
          <w:p w14:paraId="3BA83829" w14:textId="77777777" w:rsidR="00811887" w:rsidRDefault="00811887" w:rsidP="00486E22">
            <w:pPr>
              <w:pStyle w:val="TableParagraph"/>
              <w:spacing w:line="225" w:lineRule="exact"/>
              <w:ind w:left="110"/>
              <w:rPr>
                <w:b/>
                <w:sz w:val="20"/>
              </w:rPr>
            </w:pPr>
            <w:r>
              <w:rPr>
                <w:b/>
                <w:color w:val="FFFFFF"/>
                <w:spacing w:val="-4"/>
                <w:sz w:val="20"/>
              </w:rPr>
              <w:t>2012</w:t>
            </w:r>
          </w:p>
        </w:tc>
        <w:tc>
          <w:tcPr>
            <w:tcW w:w="2006" w:type="dxa"/>
          </w:tcPr>
          <w:p w14:paraId="3F7F6259" w14:textId="77777777" w:rsidR="00811887" w:rsidRDefault="00811887" w:rsidP="00486E22">
            <w:pPr>
              <w:pStyle w:val="TableParagraph"/>
              <w:spacing w:line="225" w:lineRule="exact"/>
              <w:ind w:left="16" w:right="12"/>
              <w:jc w:val="center"/>
              <w:rPr>
                <w:sz w:val="20"/>
              </w:rPr>
            </w:pPr>
            <w:r>
              <w:rPr>
                <w:spacing w:val="-5"/>
                <w:sz w:val="20"/>
              </w:rPr>
              <w:t>5.4</w:t>
            </w:r>
          </w:p>
        </w:tc>
        <w:tc>
          <w:tcPr>
            <w:tcW w:w="2006" w:type="dxa"/>
          </w:tcPr>
          <w:p w14:paraId="14ECC7ED" w14:textId="77777777" w:rsidR="00811887" w:rsidRDefault="00811887" w:rsidP="00486E22">
            <w:pPr>
              <w:pStyle w:val="TableParagraph"/>
              <w:spacing w:line="225" w:lineRule="exact"/>
              <w:ind w:left="16" w:right="12"/>
              <w:jc w:val="center"/>
              <w:rPr>
                <w:sz w:val="20"/>
              </w:rPr>
            </w:pPr>
            <w:r>
              <w:rPr>
                <w:spacing w:val="-4"/>
                <w:sz w:val="20"/>
              </w:rPr>
              <w:t>37.7</w:t>
            </w:r>
          </w:p>
        </w:tc>
        <w:tc>
          <w:tcPr>
            <w:tcW w:w="2011" w:type="dxa"/>
          </w:tcPr>
          <w:p w14:paraId="5ABE8F89" w14:textId="77777777" w:rsidR="00811887" w:rsidRDefault="00811887" w:rsidP="00486E22">
            <w:pPr>
              <w:pStyle w:val="TableParagraph"/>
              <w:spacing w:line="225" w:lineRule="exact"/>
              <w:ind w:left="4" w:right="4"/>
              <w:jc w:val="center"/>
              <w:rPr>
                <w:sz w:val="20"/>
              </w:rPr>
            </w:pPr>
            <w:r>
              <w:rPr>
                <w:spacing w:val="-4"/>
                <w:sz w:val="20"/>
              </w:rPr>
              <w:t>42.7</w:t>
            </w:r>
          </w:p>
        </w:tc>
        <w:tc>
          <w:tcPr>
            <w:tcW w:w="2005" w:type="dxa"/>
          </w:tcPr>
          <w:p w14:paraId="5B955CB3" w14:textId="77777777" w:rsidR="00811887" w:rsidRDefault="00811887" w:rsidP="00486E22">
            <w:pPr>
              <w:pStyle w:val="TableParagraph"/>
              <w:spacing w:line="225" w:lineRule="exact"/>
              <w:ind w:left="11" w:right="6"/>
              <w:jc w:val="center"/>
              <w:rPr>
                <w:sz w:val="20"/>
              </w:rPr>
            </w:pPr>
            <w:r>
              <w:rPr>
                <w:spacing w:val="-4"/>
                <w:sz w:val="20"/>
              </w:rPr>
              <w:t>14.6</w:t>
            </w:r>
          </w:p>
        </w:tc>
      </w:tr>
      <w:tr w:rsidR="00811887" w14:paraId="66E935F9" w14:textId="77777777" w:rsidTr="00486E22">
        <w:trPr>
          <w:trHeight w:val="245"/>
        </w:trPr>
        <w:tc>
          <w:tcPr>
            <w:tcW w:w="986" w:type="dxa"/>
            <w:shd w:val="clear" w:color="auto" w:fill="234060"/>
          </w:tcPr>
          <w:p w14:paraId="2FA3D38D" w14:textId="77777777" w:rsidR="00811887" w:rsidRDefault="00811887" w:rsidP="00486E22">
            <w:pPr>
              <w:pStyle w:val="TableParagraph"/>
              <w:spacing w:line="225" w:lineRule="exact"/>
              <w:ind w:left="110"/>
              <w:rPr>
                <w:b/>
                <w:sz w:val="20"/>
              </w:rPr>
            </w:pPr>
            <w:r>
              <w:rPr>
                <w:b/>
                <w:color w:val="FFFFFF"/>
                <w:spacing w:val="-4"/>
                <w:sz w:val="20"/>
              </w:rPr>
              <w:t>2013</w:t>
            </w:r>
          </w:p>
        </w:tc>
        <w:tc>
          <w:tcPr>
            <w:tcW w:w="2006" w:type="dxa"/>
          </w:tcPr>
          <w:p w14:paraId="3AF7988C" w14:textId="77777777" w:rsidR="00811887" w:rsidRDefault="00811887" w:rsidP="00486E22">
            <w:pPr>
              <w:pStyle w:val="TableParagraph"/>
              <w:spacing w:line="225" w:lineRule="exact"/>
              <w:ind w:left="16" w:right="12"/>
              <w:jc w:val="center"/>
              <w:rPr>
                <w:sz w:val="20"/>
              </w:rPr>
            </w:pPr>
            <w:r>
              <w:rPr>
                <w:spacing w:val="-5"/>
                <w:sz w:val="20"/>
              </w:rPr>
              <w:t>4.5</w:t>
            </w:r>
          </w:p>
        </w:tc>
        <w:tc>
          <w:tcPr>
            <w:tcW w:w="2006" w:type="dxa"/>
          </w:tcPr>
          <w:p w14:paraId="47A401E9" w14:textId="77777777" w:rsidR="00811887" w:rsidRDefault="00811887" w:rsidP="00486E22">
            <w:pPr>
              <w:pStyle w:val="TableParagraph"/>
              <w:spacing w:line="225" w:lineRule="exact"/>
              <w:ind w:left="16" w:right="12"/>
              <w:jc w:val="center"/>
              <w:rPr>
                <w:sz w:val="20"/>
              </w:rPr>
            </w:pPr>
            <w:r>
              <w:rPr>
                <w:spacing w:val="-4"/>
                <w:sz w:val="20"/>
              </w:rPr>
              <w:t>44.2</w:t>
            </w:r>
          </w:p>
        </w:tc>
        <w:tc>
          <w:tcPr>
            <w:tcW w:w="2011" w:type="dxa"/>
          </w:tcPr>
          <w:p w14:paraId="79EA1352" w14:textId="77777777" w:rsidR="00811887" w:rsidRDefault="00811887" w:rsidP="00486E22">
            <w:pPr>
              <w:pStyle w:val="TableParagraph"/>
              <w:spacing w:line="225" w:lineRule="exact"/>
              <w:ind w:left="4" w:right="4"/>
              <w:jc w:val="center"/>
              <w:rPr>
                <w:sz w:val="20"/>
              </w:rPr>
            </w:pPr>
            <w:r>
              <w:rPr>
                <w:spacing w:val="-4"/>
                <w:sz w:val="20"/>
              </w:rPr>
              <w:t>52.1</w:t>
            </w:r>
          </w:p>
        </w:tc>
        <w:tc>
          <w:tcPr>
            <w:tcW w:w="2005" w:type="dxa"/>
          </w:tcPr>
          <w:p w14:paraId="23F41C2A" w14:textId="77777777" w:rsidR="00811887" w:rsidRDefault="00811887" w:rsidP="00486E22">
            <w:pPr>
              <w:pStyle w:val="TableParagraph"/>
              <w:spacing w:line="225" w:lineRule="exact"/>
              <w:ind w:left="11" w:right="6"/>
              <w:jc w:val="center"/>
              <w:rPr>
                <w:sz w:val="20"/>
              </w:rPr>
            </w:pPr>
            <w:r>
              <w:rPr>
                <w:spacing w:val="-4"/>
                <w:sz w:val="20"/>
              </w:rPr>
              <w:t>16.0</w:t>
            </w:r>
          </w:p>
        </w:tc>
      </w:tr>
      <w:tr w:rsidR="00811887" w14:paraId="29B53F6D" w14:textId="77777777" w:rsidTr="00486E22">
        <w:trPr>
          <w:trHeight w:val="245"/>
        </w:trPr>
        <w:tc>
          <w:tcPr>
            <w:tcW w:w="986" w:type="dxa"/>
            <w:shd w:val="clear" w:color="auto" w:fill="234060"/>
          </w:tcPr>
          <w:p w14:paraId="1BC86C93" w14:textId="77777777" w:rsidR="00811887" w:rsidRDefault="00811887" w:rsidP="00486E22">
            <w:pPr>
              <w:pStyle w:val="TableParagraph"/>
              <w:spacing w:line="225" w:lineRule="exact"/>
              <w:ind w:left="110"/>
              <w:rPr>
                <w:b/>
                <w:sz w:val="20"/>
              </w:rPr>
            </w:pPr>
            <w:r>
              <w:rPr>
                <w:b/>
                <w:color w:val="FFFFFF"/>
                <w:spacing w:val="-4"/>
                <w:sz w:val="20"/>
              </w:rPr>
              <w:t>2014</w:t>
            </w:r>
          </w:p>
        </w:tc>
        <w:tc>
          <w:tcPr>
            <w:tcW w:w="2006" w:type="dxa"/>
          </w:tcPr>
          <w:p w14:paraId="72F9F214" w14:textId="77777777" w:rsidR="00811887" w:rsidRDefault="00811887" w:rsidP="00486E22">
            <w:pPr>
              <w:pStyle w:val="TableParagraph"/>
              <w:spacing w:line="225" w:lineRule="exact"/>
              <w:ind w:left="16" w:right="12"/>
              <w:jc w:val="center"/>
              <w:rPr>
                <w:sz w:val="20"/>
              </w:rPr>
            </w:pPr>
            <w:r>
              <w:rPr>
                <w:spacing w:val="-5"/>
                <w:sz w:val="20"/>
              </w:rPr>
              <w:t>6.0</w:t>
            </w:r>
          </w:p>
        </w:tc>
        <w:tc>
          <w:tcPr>
            <w:tcW w:w="2006" w:type="dxa"/>
          </w:tcPr>
          <w:p w14:paraId="79C8EFAF" w14:textId="77777777" w:rsidR="00811887" w:rsidRDefault="00811887" w:rsidP="00486E22">
            <w:pPr>
              <w:pStyle w:val="TableParagraph"/>
              <w:spacing w:line="225" w:lineRule="exact"/>
              <w:ind w:left="16" w:right="12"/>
              <w:jc w:val="center"/>
              <w:rPr>
                <w:sz w:val="20"/>
              </w:rPr>
            </w:pPr>
            <w:r>
              <w:rPr>
                <w:spacing w:val="-4"/>
                <w:sz w:val="20"/>
              </w:rPr>
              <w:t>40.5</w:t>
            </w:r>
          </w:p>
        </w:tc>
        <w:tc>
          <w:tcPr>
            <w:tcW w:w="2011" w:type="dxa"/>
          </w:tcPr>
          <w:p w14:paraId="2CA007AF" w14:textId="77777777" w:rsidR="00811887" w:rsidRDefault="00811887" w:rsidP="00486E22">
            <w:pPr>
              <w:pStyle w:val="TableParagraph"/>
              <w:spacing w:line="225" w:lineRule="exact"/>
              <w:ind w:left="4" w:right="4"/>
              <w:jc w:val="center"/>
              <w:rPr>
                <w:sz w:val="20"/>
              </w:rPr>
            </w:pPr>
            <w:r>
              <w:rPr>
                <w:spacing w:val="-4"/>
                <w:sz w:val="20"/>
              </w:rPr>
              <w:t>49.8</w:t>
            </w:r>
          </w:p>
        </w:tc>
        <w:tc>
          <w:tcPr>
            <w:tcW w:w="2005" w:type="dxa"/>
          </w:tcPr>
          <w:p w14:paraId="125388D6" w14:textId="77777777" w:rsidR="00811887" w:rsidRDefault="00811887" w:rsidP="00486E22">
            <w:pPr>
              <w:pStyle w:val="TableParagraph"/>
              <w:spacing w:line="225" w:lineRule="exact"/>
              <w:ind w:left="11" w:right="6"/>
              <w:jc w:val="center"/>
              <w:rPr>
                <w:sz w:val="20"/>
              </w:rPr>
            </w:pPr>
            <w:r>
              <w:rPr>
                <w:spacing w:val="-4"/>
                <w:sz w:val="20"/>
              </w:rPr>
              <w:t>15.9</w:t>
            </w:r>
          </w:p>
        </w:tc>
      </w:tr>
      <w:tr w:rsidR="00811887" w14:paraId="660C583F" w14:textId="77777777" w:rsidTr="00486E22">
        <w:trPr>
          <w:trHeight w:val="240"/>
        </w:trPr>
        <w:tc>
          <w:tcPr>
            <w:tcW w:w="986" w:type="dxa"/>
            <w:shd w:val="clear" w:color="auto" w:fill="234060"/>
          </w:tcPr>
          <w:p w14:paraId="294F0F97" w14:textId="77777777" w:rsidR="00811887" w:rsidRDefault="00811887" w:rsidP="00486E22">
            <w:pPr>
              <w:pStyle w:val="TableParagraph"/>
              <w:spacing w:line="220" w:lineRule="exact"/>
              <w:ind w:left="110"/>
              <w:rPr>
                <w:b/>
                <w:sz w:val="20"/>
              </w:rPr>
            </w:pPr>
            <w:r>
              <w:rPr>
                <w:b/>
                <w:color w:val="FFFFFF"/>
                <w:spacing w:val="-4"/>
                <w:sz w:val="20"/>
              </w:rPr>
              <w:t>2015</w:t>
            </w:r>
          </w:p>
        </w:tc>
        <w:tc>
          <w:tcPr>
            <w:tcW w:w="2006" w:type="dxa"/>
          </w:tcPr>
          <w:p w14:paraId="5915E946" w14:textId="77777777" w:rsidR="00811887" w:rsidRDefault="00811887" w:rsidP="00486E22">
            <w:pPr>
              <w:pStyle w:val="TableParagraph"/>
              <w:spacing w:line="220" w:lineRule="exact"/>
              <w:ind w:left="16" w:right="12"/>
              <w:jc w:val="center"/>
              <w:rPr>
                <w:sz w:val="20"/>
              </w:rPr>
            </w:pPr>
            <w:r>
              <w:rPr>
                <w:spacing w:val="-5"/>
                <w:sz w:val="20"/>
              </w:rPr>
              <w:t>5.0</w:t>
            </w:r>
          </w:p>
        </w:tc>
        <w:tc>
          <w:tcPr>
            <w:tcW w:w="2006" w:type="dxa"/>
          </w:tcPr>
          <w:p w14:paraId="38A2FEF8" w14:textId="77777777" w:rsidR="00811887" w:rsidRDefault="00811887" w:rsidP="00486E22">
            <w:pPr>
              <w:pStyle w:val="TableParagraph"/>
              <w:spacing w:line="220" w:lineRule="exact"/>
              <w:ind w:left="16" w:right="12"/>
              <w:jc w:val="center"/>
              <w:rPr>
                <w:sz w:val="20"/>
              </w:rPr>
            </w:pPr>
            <w:r>
              <w:rPr>
                <w:spacing w:val="-4"/>
                <w:sz w:val="20"/>
              </w:rPr>
              <w:t>37.5</w:t>
            </w:r>
          </w:p>
        </w:tc>
        <w:tc>
          <w:tcPr>
            <w:tcW w:w="2011" w:type="dxa"/>
          </w:tcPr>
          <w:p w14:paraId="601C3015" w14:textId="77777777" w:rsidR="00811887" w:rsidRDefault="00811887" w:rsidP="00486E22">
            <w:pPr>
              <w:pStyle w:val="TableParagraph"/>
              <w:spacing w:line="220" w:lineRule="exact"/>
              <w:ind w:left="4" w:right="4"/>
              <w:jc w:val="center"/>
              <w:rPr>
                <w:sz w:val="20"/>
              </w:rPr>
            </w:pPr>
            <w:r>
              <w:rPr>
                <w:spacing w:val="-4"/>
                <w:sz w:val="20"/>
              </w:rPr>
              <w:t>48.1</w:t>
            </w:r>
          </w:p>
        </w:tc>
        <w:tc>
          <w:tcPr>
            <w:tcW w:w="2005" w:type="dxa"/>
          </w:tcPr>
          <w:p w14:paraId="346D741D" w14:textId="77777777" w:rsidR="00811887" w:rsidRDefault="00811887" w:rsidP="00486E22">
            <w:pPr>
              <w:pStyle w:val="TableParagraph"/>
              <w:spacing w:line="220" w:lineRule="exact"/>
              <w:ind w:left="11" w:right="6"/>
              <w:jc w:val="center"/>
              <w:rPr>
                <w:sz w:val="20"/>
              </w:rPr>
            </w:pPr>
            <w:r>
              <w:rPr>
                <w:spacing w:val="-4"/>
                <w:sz w:val="20"/>
              </w:rPr>
              <w:t>13.1</w:t>
            </w:r>
          </w:p>
        </w:tc>
      </w:tr>
      <w:tr w:rsidR="00811887" w14:paraId="4C9017C9" w14:textId="77777777" w:rsidTr="00486E22">
        <w:trPr>
          <w:trHeight w:val="245"/>
        </w:trPr>
        <w:tc>
          <w:tcPr>
            <w:tcW w:w="986" w:type="dxa"/>
            <w:shd w:val="clear" w:color="auto" w:fill="234060"/>
          </w:tcPr>
          <w:p w14:paraId="02A24F51" w14:textId="77777777" w:rsidR="00811887" w:rsidRDefault="00811887" w:rsidP="00486E22">
            <w:pPr>
              <w:pStyle w:val="TableParagraph"/>
              <w:spacing w:line="225" w:lineRule="exact"/>
              <w:ind w:left="110"/>
              <w:rPr>
                <w:b/>
                <w:sz w:val="20"/>
              </w:rPr>
            </w:pPr>
            <w:r>
              <w:rPr>
                <w:b/>
                <w:color w:val="FFFFFF"/>
                <w:spacing w:val="-4"/>
                <w:sz w:val="20"/>
              </w:rPr>
              <w:t>2016</w:t>
            </w:r>
          </w:p>
        </w:tc>
        <w:tc>
          <w:tcPr>
            <w:tcW w:w="2006" w:type="dxa"/>
          </w:tcPr>
          <w:p w14:paraId="27C99584" w14:textId="77777777" w:rsidR="00811887" w:rsidRDefault="00811887" w:rsidP="00486E22">
            <w:pPr>
              <w:pStyle w:val="TableParagraph"/>
              <w:spacing w:line="225" w:lineRule="exact"/>
              <w:ind w:left="16" w:right="12"/>
              <w:jc w:val="center"/>
              <w:rPr>
                <w:sz w:val="20"/>
              </w:rPr>
            </w:pPr>
            <w:r>
              <w:rPr>
                <w:spacing w:val="-5"/>
                <w:sz w:val="20"/>
              </w:rPr>
              <w:t>4.9</w:t>
            </w:r>
          </w:p>
        </w:tc>
        <w:tc>
          <w:tcPr>
            <w:tcW w:w="2006" w:type="dxa"/>
          </w:tcPr>
          <w:p w14:paraId="7B79C08B" w14:textId="77777777" w:rsidR="00811887" w:rsidRDefault="00811887" w:rsidP="00486E22">
            <w:pPr>
              <w:pStyle w:val="TableParagraph"/>
              <w:spacing w:line="225" w:lineRule="exact"/>
              <w:ind w:left="16" w:right="12"/>
              <w:jc w:val="center"/>
              <w:rPr>
                <w:sz w:val="20"/>
              </w:rPr>
            </w:pPr>
            <w:r>
              <w:rPr>
                <w:spacing w:val="-4"/>
                <w:sz w:val="20"/>
              </w:rPr>
              <w:t>39.2</w:t>
            </w:r>
          </w:p>
        </w:tc>
        <w:tc>
          <w:tcPr>
            <w:tcW w:w="2011" w:type="dxa"/>
          </w:tcPr>
          <w:p w14:paraId="08DC924E" w14:textId="77777777" w:rsidR="00811887" w:rsidRDefault="00811887" w:rsidP="00486E22">
            <w:pPr>
              <w:pStyle w:val="TableParagraph"/>
              <w:spacing w:line="225" w:lineRule="exact"/>
              <w:ind w:left="4" w:right="4"/>
              <w:jc w:val="center"/>
              <w:rPr>
                <w:sz w:val="20"/>
              </w:rPr>
            </w:pPr>
            <w:r>
              <w:rPr>
                <w:spacing w:val="-4"/>
                <w:sz w:val="20"/>
              </w:rPr>
              <w:t>48.4</w:t>
            </w:r>
          </w:p>
        </w:tc>
        <w:tc>
          <w:tcPr>
            <w:tcW w:w="2005" w:type="dxa"/>
          </w:tcPr>
          <w:p w14:paraId="10E56CEA" w14:textId="77777777" w:rsidR="00811887" w:rsidRDefault="00811887" w:rsidP="00486E22">
            <w:pPr>
              <w:pStyle w:val="TableParagraph"/>
              <w:spacing w:line="225" w:lineRule="exact"/>
              <w:ind w:left="11" w:right="6"/>
              <w:jc w:val="center"/>
              <w:rPr>
                <w:sz w:val="20"/>
              </w:rPr>
            </w:pPr>
            <w:r>
              <w:rPr>
                <w:spacing w:val="-4"/>
                <w:sz w:val="20"/>
              </w:rPr>
              <w:t>19.0</w:t>
            </w:r>
          </w:p>
        </w:tc>
      </w:tr>
      <w:tr w:rsidR="00811887" w14:paraId="405B60B4" w14:textId="77777777" w:rsidTr="00486E22">
        <w:trPr>
          <w:trHeight w:val="245"/>
        </w:trPr>
        <w:tc>
          <w:tcPr>
            <w:tcW w:w="986" w:type="dxa"/>
            <w:shd w:val="clear" w:color="auto" w:fill="234060"/>
          </w:tcPr>
          <w:p w14:paraId="4EED5E7F" w14:textId="77777777" w:rsidR="00811887" w:rsidRDefault="00811887" w:rsidP="00486E22">
            <w:pPr>
              <w:pStyle w:val="TableParagraph"/>
              <w:spacing w:line="225" w:lineRule="exact"/>
              <w:ind w:left="110"/>
              <w:rPr>
                <w:b/>
                <w:sz w:val="20"/>
              </w:rPr>
            </w:pPr>
            <w:r>
              <w:rPr>
                <w:b/>
                <w:color w:val="FFFFFF"/>
                <w:spacing w:val="-4"/>
                <w:sz w:val="20"/>
              </w:rPr>
              <w:t>2017</w:t>
            </w:r>
          </w:p>
        </w:tc>
        <w:tc>
          <w:tcPr>
            <w:tcW w:w="2006" w:type="dxa"/>
          </w:tcPr>
          <w:p w14:paraId="034F1E3C" w14:textId="77777777" w:rsidR="00811887" w:rsidRDefault="00811887" w:rsidP="00486E22">
            <w:pPr>
              <w:pStyle w:val="TableParagraph"/>
              <w:spacing w:line="225" w:lineRule="exact"/>
              <w:ind w:left="16" w:right="12"/>
              <w:jc w:val="center"/>
              <w:rPr>
                <w:sz w:val="20"/>
              </w:rPr>
            </w:pPr>
            <w:r>
              <w:rPr>
                <w:spacing w:val="-5"/>
                <w:sz w:val="20"/>
              </w:rPr>
              <w:t>5.7</w:t>
            </w:r>
          </w:p>
        </w:tc>
        <w:tc>
          <w:tcPr>
            <w:tcW w:w="2006" w:type="dxa"/>
          </w:tcPr>
          <w:p w14:paraId="0D478D16" w14:textId="77777777" w:rsidR="00811887" w:rsidRDefault="00811887" w:rsidP="00486E22">
            <w:pPr>
              <w:pStyle w:val="TableParagraph"/>
              <w:spacing w:line="225" w:lineRule="exact"/>
              <w:ind w:left="16" w:right="12"/>
              <w:jc w:val="center"/>
              <w:rPr>
                <w:sz w:val="20"/>
              </w:rPr>
            </w:pPr>
            <w:r>
              <w:rPr>
                <w:spacing w:val="-4"/>
                <w:sz w:val="20"/>
              </w:rPr>
              <w:t>36.4</w:t>
            </w:r>
          </w:p>
        </w:tc>
        <w:tc>
          <w:tcPr>
            <w:tcW w:w="2011" w:type="dxa"/>
          </w:tcPr>
          <w:p w14:paraId="0CFC3BB2" w14:textId="77777777" w:rsidR="00811887" w:rsidRDefault="00811887" w:rsidP="00486E22">
            <w:pPr>
              <w:pStyle w:val="TableParagraph"/>
              <w:spacing w:line="225" w:lineRule="exact"/>
              <w:ind w:left="4" w:right="4"/>
              <w:jc w:val="center"/>
              <w:rPr>
                <w:sz w:val="20"/>
              </w:rPr>
            </w:pPr>
            <w:r>
              <w:rPr>
                <w:spacing w:val="-4"/>
                <w:sz w:val="20"/>
              </w:rPr>
              <w:t>40.1</w:t>
            </w:r>
          </w:p>
        </w:tc>
        <w:tc>
          <w:tcPr>
            <w:tcW w:w="2005" w:type="dxa"/>
          </w:tcPr>
          <w:p w14:paraId="438AD6B3" w14:textId="77777777" w:rsidR="00811887" w:rsidRDefault="00811887" w:rsidP="00486E22">
            <w:pPr>
              <w:pStyle w:val="TableParagraph"/>
              <w:spacing w:line="225" w:lineRule="exact"/>
              <w:ind w:left="11" w:right="6"/>
              <w:jc w:val="center"/>
              <w:rPr>
                <w:sz w:val="20"/>
              </w:rPr>
            </w:pPr>
            <w:r>
              <w:rPr>
                <w:spacing w:val="-4"/>
                <w:sz w:val="20"/>
              </w:rPr>
              <w:t>13.1</w:t>
            </w:r>
          </w:p>
        </w:tc>
      </w:tr>
      <w:tr w:rsidR="00811887" w14:paraId="5ED11FB4" w14:textId="77777777" w:rsidTr="00486E22">
        <w:trPr>
          <w:trHeight w:val="245"/>
        </w:trPr>
        <w:tc>
          <w:tcPr>
            <w:tcW w:w="986" w:type="dxa"/>
            <w:shd w:val="clear" w:color="auto" w:fill="234060"/>
          </w:tcPr>
          <w:p w14:paraId="0C99BDDF" w14:textId="77777777" w:rsidR="00811887" w:rsidRDefault="00811887" w:rsidP="00486E22">
            <w:pPr>
              <w:pStyle w:val="TableParagraph"/>
              <w:spacing w:line="225" w:lineRule="exact"/>
              <w:ind w:left="110"/>
              <w:rPr>
                <w:b/>
                <w:sz w:val="20"/>
              </w:rPr>
            </w:pPr>
            <w:r>
              <w:rPr>
                <w:b/>
                <w:color w:val="FFFFFF"/>
                <w:spacing w:val="-4"/>
                <w:sz w:val="20"/>
              </w:rPr>
              <w:t>2018</w:t>
            </w:r>
          </w:p>
        </w:tc>
        <w:tc>
          <w:tcPr>
            <w:tcW w:w="2006" w:type="dxa"/>
          </w:tcPr>
          <w:p w14:paraId="0115DDBF" w14:textId="77777777" w:rsidR="00811887" w:rsidRDefault="00811887" w:rsidP="00486E22">
            <w:pPr>
              <w:pStyle w:val="TableParagraph"/>
              <w:spacing w:line="225" w:lineRule="exact"/>
              <w:ind w:left="16" w:right="12"/>
              <w:jc w:val="center"/>
              <w:rPr>
                <w:sz w:val="20"/>
              </w:rPr>
            </w:pPr>
            <w:r>
              <w:rPr>
                <w:spacing w:val="-5"/>
                <w:sz w:val="20"/>
              </w:rPr>
              <w:t>5.8</w:t>
            </w:r>
          </w:p>
        </w:tc>
        <w:tc>
          <w:tcPr>
            <w:tcW w:w="2006" w:type="dxa"/>
          </w:tcPr>
          <w:p w14:paraId="3EE891AC" w14:textId="77777777" w:rsidR="00811887" w:rsidRDefault="00811887" w:rsidP="00486E22">
            <w:pPr>
              <w:pStyle w:val="TableParagraph"/>
              <w:spacing w:line="225" w:lineRule="exact"/>
              <w:ind w:left="16" w:right="12"/>
              <w:jc w:val="center"/>
              <w:rPr>
                <w:sz w:val="20"/>
              </w:rPr>
            </w:pPr>
            <w:r>
              <w:rPr>
                <w:spacing w:val="-4"/>
                <w:sz w:val="20"/>
              </w:rPr>
              <w:t>35.9</w:t>
            </w:r>
          </w:p>
        </w:tc>
        <w:tc>
          <w:tcPr>
            <w:tcW w:w="2011" w:type="dxa"/>
          </w:tcPr>
          <w:p w14:paraId="7B29508B" w14:textId="77777777" w:rsidR="00811887" w:rsidRDefault="00811887" w:rsidP="00486E22">
            <w:pPr>
              <w:pStyle w:val="TableParagraph"/>
              <w:spacing w:line="225" w:lineRule="exact"/>
              <w:ind w:left="4" w:right="4"/>
              <w:jc w:val="center"/>
              <w:rPr>
                <w:sz w:val="20"/>
              </w:rPr>
            </w:pPr>
            <w:r>
              <w:rPr>
                <w:spacing w:val="-4"/>
                <w:sz w:val="20"/>
              </w:rPr>
              <w:t>47.9</w:t>
            </w:r>
          </w:p>
        </w:tc>
        <w:tc>
          <w:tcPr>
            <w:tcW w:w="2005" w:type="dxa"/>
          </w:tcPr>
          <w:p w14:paraId="7B03E0B9" w14:textId="77777777" w:rsidR="00811887" w:rsidRDefault="00811887" w:rsidP="00486E22">
            <w:pPr>
              <w:pStyle w:val="TableParagraph"/>
              <w:spacing w:line="225" w:lineRule="exact"/>
              <w:ind w:left="11" w:right="6"/>
              <w:jc w:val="center"/>
              <w:rPr>
                <w:sz w:val="20"/>
              </w:rPr>
            </w:pPr>
            <w:r>
              <w:rPr>
                <w:spacing w:val="-4"/>
                <w:sz w:val="20"/>
              </w:rPr>
              <w:t>23.2</w:t>
            </w:r>
          </w:p>
        </w:tc>
      </w:tr>
      <w:tr w:rsidR="00811887" w14:paraId="5DA62361" w14:textId="77777777" w:rsidTr="00486E22">
        <w:trPr>
          <w:trHeight w:val="245"/>
        </w:trPr>
        <w:tc>
          <w:tcPr>
            <w:tcW w:w="986" w:type="dxa"/>
            <w:shd w:val="clear" w:color="auto" w:fill="234060"/>
          </w:tcPr>
          <w:p w14:paraId="17BA1808" w14:textId="77777777" w:rsidR="00811887" w:rsidRDefault="00811887" w:rsidP="00486E22">
            <w:pPr>
              <w:pStyle w:val="TableParagraph"/>
              <w:spacing w:line="225" w:lineRule="exact"/>
              <w:ind w:left="110"/>
              <w:rPr>
                <w:b/>
                <w:sz w:val="20"/>
              </w:rPr>
            </w:pPr>
            <w:r>
              <w:rPr>
                <w:b/>
                <w:color w:val="FFFFFF"/>
                <w:spacing w:val="-4"/>
                <w:sz w:val="20"/>
              </w:rPr>
              <w:t>2019</w:t>
            </w:r>
          </w:p>
        </w:tc>
        <w:tc>
          <w:tcPr>
            <w:tcW w:w="2006" w:type="dxa"/>
          </w:tcPr>
          <w:p w14:paraId="5938A400" w14:textId="77777777" w:rsidR="00811887" w:rsidRDefault="00811887" w:rsidP="00486E22">
            <w:pPr>
              <w:pStyle w:val="TableParagraph"/>
              <w:spacing w:line="225" w:lineRule="exact"/>
              <w:ind w:left="16" w:right="12"/>
              <w:jc w:val="center"/>
              <w:rPr>
                <w:sz w:val="20"/>
              </w:rPr>
            </w:pPr>
            <w:r>
              <w:rPr>
                <w:spacing w:val="-5"/>
                <w:sz w:val="20"/>
              </w:rPr>
              <w:t>5.8</w:t>
            </w:r>
          </w:p>
        </w:tc>
        <w:tc>
          <w:tcPr>
            <w:tcW w:w="2006" w:type="dxa"/>
          </w:tcPr>
          <w:p w14:paraId="6CF87D92" w14:textId="77777777" w:rsidR="00811887" w:rsidRDefault="00811887" w:rsidP="00486E22">
            <w:pPr>
              <w:pStyle w:val="TableParagraph"/>
              <w:spacing w:line="225" w:lineRule="exact"/>
              <w:ind w:left="16" w:right="12"/>
              <w:jc w:val="center"/>
              <w:rPr>
                <w:sz w:val="20"/>
              </w:rPr>
            </w:pPr>
            <w:r>
              <w:rPr>
                <w:spacing w:val="-4"/>
                <w:sz w:val="20"/>
              </w:rPr>
              <w:t>40.6</w:t>
            </w:r>
          </w:p>
        </w:tc>
        <w:tc>
          <w:tcPr>
            <w:tcW w:w="2011" w:type="dxa"/>
          </w:tcPr>
          <w:p w14:paraId="13F6479F" w14:textId="77777777" w:rsidR="00811887" w:rsidRDefault="00811887" w:rsidP="00486E22">
            <w:pPr>
              <w:pStyle w:val="TableParagraph"/>
              <w:spacing w:line="225" w:lineRule="exact"/>
              <w:ind w:left="4" w:right="4"/>
              <w:jc w:val="center"/>
              <w:rPr>
                <w:sz w:val="20"/>
              </w:rPr>
            </w:pPr>
            <w:r>
              <w:rPr>
                <w:spacing w:val="-4"/>
                <w:sz w:val="20"/>
              </w:rPr>
              <w:t>50.6</w:t>
            </w:r>
          </w:p>
        </w:tc>
        <w:tc>
          <w:tcPr>
            <w:tcW w:w="2005" w:type="dxa"/>
          </w:tcPr>
          <w:p w14:paraId="6A2662B8" w14:textId="77777777" w:rsidR="00811887" w:rsidRDefault="00811887" w:rsidP="00486E22">
            <w:pPr>
              <w:pStyle w:val="TableParagraph"/>
              <w:spacing w:line="225" w:lineRule="exact"/>
              <w:ind w:left="11" w:right="6"/>
              <w:jc w:val="center"/>
              <w:rPr>
                <w:sz w:val="20"/>
              </w:rPr>
            </w:pPr>
            <w:r>
              <w:rPr>
                <w:spacing w:val="-4"/>
                <w:sz w:val="20"/>
              </w:rPr>
              <w:t>20.7</w:t>
            </w:r>
          </w:p>
        </w:tc>
      </w:tr>
      <w:tr w:rsidR="00811887" w14:paraId="476E5A7E" w14:textId="77777777" w:rsidTr="00486E22">
        <w:trPr>
          <w:trHeight w:val="245"/>
        </w:trPr>
        <w:tc>
          <w:tcPr>
            <w:tcW w:w="986" w:type="dxa"/>
            <w:shd w:val="clear" w:color="auto" w:fill="234060"/>
          </w:tcPr>
          <w:p w14:paraId="49A827B7" w14:textId="77777777" w:rsidR="00811887" w:rsidRDefault="00811887" w:rsidP="00486E22">
            <w:pPr>
              <w:pStyle w:val="TableParagraph"/>
              <w:spacing w:line="225" w:lineRule="exact"/>
              <w:ind w:left="110"/>
              <w:rPr>
                <w:b/>
                <w:sz w:val="20"/>
              </w:rPr>
            </w:pPr>
            <w:r>
              <w:rPr>
                <w:b/>
                <w:color w:val="FFFFFF"/>
                <w:spacing w:val="-4"/>
                <w:sz w:val="20"/>
              </w:rPr>
              <w:t>2020</w:t>
            </w:r>
          </w:p>
        </w:tc>
        <w:tc>
          <w:tcPr>
            <w:tcW w:w="2006" w:type="dxa"/>
          </w:tcPr>
          <w:p w14:paraId="53086B66" w14:textId="77777777" w:rsidR="00811887" w:rsidRDefault="00811887" w:rsidP="00486E22">
            <w:pPr>
              <w:pStyle w:val="TableParagraph"/>
              <w:spacing w:line="225" w:lineRule="exact"/>
              <w:ind w:left="16" w:right="12"/>
              <w:jc w:val="center"/>
              <w:rPr>
                <w:sz w:val="20"/>
              </w:rPr>
            </w:pPr>
            <w:r>
              <w:rPr>
                <w:spacing w:val="-5"/>
                <w:sz w:val="20"/>
              </w:rPr>
              <w:t>6.2</w:t>
            </w:r>
          </w:p>
        </w:tc>
        <w:tc>
          <w:tcPr>
            <w:tcW w:w="2006" w:type="dxa"/>
          </w:tcPr>
          <w:p w14:paraId="050D12AE" w14:textId="77777777" w:rsidR="00811887" w:rsidRDefault="00811887" w:rsidP="00486E22">
            <w:pPr>
              <w:pStyle w:val="TableParagraph"/>
              <w:spacing w:line="225" w:lineRule="exact"/>
              <w:ind w:left="16" w:right="12"/>
              <w:jc w:val="center"/>
              <w:rPr>
                <w:sz w:val="20"/>
              </w:rPr>
            </w:pPr>
            <w:r>
              <w:rPr>
                <w:spacing w:val="-4"/>
                <w:sz w:val="20"/>
              </w:rPr>
              <w:t>28.6</w:t>
            </w:r>
          </w:p>
        </w:tc>
        <w:tc>
          <w:tcPr>
            <w:tcW w:w="2011" w:type="dxa"/>
          </w:tcPr>
          <w:p w14:paraId="619262E4" w14:textId="77777777" w:rsidR="00811887" w:rsidRDefault="00811887" w:rsidP="00486E22">
            <w:pPr>
              <w:pStyle w:val="TableParagraph"/>
              <w:spacing w:line="225" w:lineRule="exact"/>
              <w:ind w:left="4" w:right="4"/>
              <w:jc w:val="center"/>
              <w:rPr>
                <w:sz w:val="20"/>
              </w:rPr>
            </w:pPr>
            <w:r>
              <w:rPr>
                <w:spacing w:val="-4"/>
                <w:sz w:val="20"/>
              </w:rPr>
              <w:t>34.4</w:t>
            </w:r>
          </w:p>
        </w:tc>
        <w:tc>
          <w:tcPr>
            <w:tcW w:w="2005" w:type="dxa"/>
          </w:tcPr>
          <w:p w14:paraId="47E8C22F" w14:textId="77777777" w:rsidR="00811887" w:rsidRDefault="00811887" w:rsidP="00486E22">
            <w:pPr>
              <w:pStyle w:val="TableParagraph"/>
              <w:spacing w:line="225" w:lineRule="exact"/>
              <w:ind w:left="11" w:right="6"/>
              <w:jc w:val="center"/>
              <w:rPr>
                <w:sz w:val="20"/>
              </w:rPr>
            </w:pPr>
            <w:r>
              <w:rPr>
                <w:spacing w:val="-4"/>
                <w:sz w:val="20"/>
              </w:rPr>
              <w:t>20.6</w:t>
            </w:r>
          </w:p>
        </w:tc>
      </w:tr>
      <w:tr w:rsidR="00811887" w14:paraId="431AC464" w14:textId="77777777" w:rsidTr="00486E22">
        <w:trPr>
          <w:trHeight w:val="240"/>
        </w:trPr>
        <w:tc>
          <w:tcPr>
            <w:tcW w:w="986" w:type="dxa"/>
            <w:shd w:val="clear" w:color="auto" w:fill="234060"/>
          </w:tcPr>
          <w:p w14:paraId="6F92704F" w14:textId="77777777" w:rsidR="00811887" w:rsidRDefault="00811887" w:rsidP="00486E22">
            <w:pPr>
              <w:pStyle w:val="TableParagraph"/>
              <w:spacing w:line="220" w:lineRule="exact"/>
              <w:ind w:left="110"/>
              <w:rPr>
                <w:b/>
                <w:sz w:val="20"/>
              </w:rPr>
            </w:pPr>
            <w:r>
              <w:rPr>
                <w:b/>
                <w:color w:val="FFFFFF"/>
                <w:spacing w:val="-4"/>
                <w:sz w:val="20"/>
              </w:rPr>
              <w:t>2021</w:t>
            </w:r>
          </w:p>
        </w:tc>
        <w:tc>
          <w:tcPr>
            <w:tcW w:w="2006" w:type="dxa"/>
          </w:tcPr>
          <w:p w14:paraId="5FEB6D0D" w14:textId="77777777" w:rsidR="00811887" w:rsidRDefault="00811887" w:rsidP="00486E22">
            <w:pPr>
              <w:pStyle w:val="TableParagraph"/>
              <w:spacing w:line="220" w:lineRule="exact"/>
              <w:ind w:left="16" w:right="12"/>
              <w:jc w:val="center"/>
              <w:rPr>
                <w:sz w:val="20"/>
              </w:rPr>
            </w:pPr>
            <w:r>
              <w:rPr>
                <w:spacing w:val="-5"/>
                <w:sz w:val="20"/>
              </w:rPr>
              <w:t>5.6</w:t>
            </w:r>
          </w:p>
        </w:tc>
        <w:tc>
          <w:tcPr>
            <w:tcW w:w="2006" w:type="dxa"/>
          </w:tcPr>
          <w:p w14:paraId="65C36A5B" w14:textId="77777777" w:rsidR="00811887" w:rsidRDefault="00811887" w:rsidP="00486E22">
            <w:pPr>
              <w:pStyle w:val="TableParagraph"/>
              <w:spacing w:line="220" w:lineRule="exact"/>
              <w:ind w:left="16" w:right="12"/>
              <w:jc w:val="center"/>
              <w:rPr>
                <w:sz w:val="20"/>
              </w:rPr>
            </w:pPr>
            <w:r>
              <w:rPr>
                <w:spacing w:val="-4"/>
                <w:sz w:val="20"/>
              </w:rPr>
              <w:t>33.1</w:t>
            </w:r>
          </w:p>
        </w:tc>
        <w:tc>
          <w:tcPr>
            <w:tcW w:w="2011" w:type="dxa"/>
          </w:tcPr>
          <w:p w14:paraId="14D40EB6" w14:textId="77777777" w:rsidR="00811887" w:rsidRDefault="00811887" w:rsidP="00486E22">
            <w:pPr>
              <w:pStyle w:val="TableParagraph"/>
              <w:spacing w:line="220" w:lineRule="exact"/>
              <w:ind w:left="4" w:right="4"/>
              <w:jc w:val="center"/>
              <w:rPr>
                <w:sz w:val="20"/>
              </w:rPr>
            </w:pPr>
            <w:r>
              <w:rPr>
                <w:spacing w:val="-4"/>
                <w:sz w:val="20"/>
              </w:rPr>
              <w:t>48.2</w:t>
            </w:r>
          </w:p>
        </w:tc>
        <w:tc>
          <w:tcPr>
            <w:tcW w:w="2005" w:type="dxa"/>
          </w:tcPr>
          <w:p w14:paraId="264513F1" w14:textId="77777777" w:rsidR="00811887" w:rsidRDefault="00811887" w:rsidP="00486E22">
            <w:pPr>
              <w:pStyle w:val="TableParagraph"/>
              <w:spacing w:line="220" w:lineRule="exact"/>
              <w:ind w:left="11" w:right="6"/>
              <w:jc w:val="center"/>
              <w:rPr>
                <w:sz w:val="20"/>
              </w:rPr>
            </w:pPr>
            <w:r>
              <w:rPr>
                <w:spacing w:val="-4"/>
                <w:sz w:val="20"/>
              </w:rPr>
              <w:t>23.1</w:t>
            </w:r>
          </w:p>
        </w:tc>
      </w:tr>
    </w:tbl>
    <w:p w14:paraId="74ED00E0" w14:textId="77777777" w:rsidR="00811887" w:rsidRDefault="00811887" w:rsidP="00811887">
      <w:pPr>
        <w:spacing w:before="220"/>
        <w:ind w:left="165"/>
        <w:rPr>
          <w:b/>
        </w:rPr>
      </w:pPr>
    </w:p>
    <w:p w14:paraId="43477554" w14:textId="77777777" w:rsidR="00811887" w:rsidRDefault="00811887" w:rsidP="00811887">
      <w:pPr>
        <w:spacing w:before="220"/>
        <w:ind w:left="165"/>
        <w:rPr>
          <w:b/>
        </w:rPr>
      </w:pPr>
    </w:p>
    <w:p w14:paraId="276CFD58" w14:textId="77777777" w:rsidR="00811887" w:rsidRDefault="00811887" w:rsidP="00811887">
      <w:pPr>
        <w:spacing w:before="220"/>
        <w:ind w:left="165"/>
        <w:rPr>
          <w:b/>
        </w:rPr>
      </w:pPr>
    </w:p>
    <w:p w14:paraId="1B3FED0A" w14:textId="77777777" w:rsidR="00811887" w:rsidRDefault="00811887" w:rsidP="00811887">
      <w:pPr>
        <w:spacing w:before="220"/>
        <w:ind w:left="165"/>
        <w:rPr>
          <w:b/>
        </w:rPr>
      </w:pPr>
    </w:p>
    <w:p w14:paraId="7E756AD3" w14:textId="77777777" w:rsidR="00811887" w:rsidRDefault="00811887" w:rsidP="00811887">
      <w:pPr>
        <w:spacing w:before="220"/>
        <w:ind w:left="165"/>
        <w:rPr>
          <w:b/>
        </w:rPr>
      </w:pPr>
    </w:p>
    <w:p w14:paraId="79902AD1" w14:textId="77777777" w:rsidR="00811887" w:rsidRDefault="00811887" w:rsidP="00811887">
      <w:pPr>
        <w:spacing w:before="220"/>
        <w:ind w:left="165"/>
        <w:rPr>
          <w:b/>
        </w:rPr>
      </w:pPr>
    </w:p>
    <w:p w14:paraId="2AC79208" w14:textId="77777777" w:rsidR="00811887" w:rsidRDefault="00811887" w:rsidP="00811887">
      <w:pPr>
        <w:spacing w:before="220"/>
        <w:ind w:left="165"/>
        <w:rPr>
          <w:b/>
        </w:rPr>
      </w:pPr>
    </w:p>
    <w:p w14:paraId="453A0B5B" w14:textId="77777777" w:rsidR="00811887" w:rsidRDefault="00811887" w:rsidP="00811887">
      <w:pPr>
        <w:spacing w:before="220"/>
        <w:ind w:left="165"/>
        <w:rPr>
          <w:b/>
        </w:rPr>
      </w:pPr>
    </w:p>
    <w:p w14:paraId="5ED282B7" w14:textId="77777777" w:rsidR="00811887" w:rsidRDefault="00811887" w:rsidP="00811887">
      <w:pPr>
        <w:spacing w:before="220"/>
        <w:ind w:left="165"/>
        <w:rPr>
          <w:b/>
        </w:rPr>
      </w:pPr>
    </w:p>
    <w:p w14:paraId="4CED8C75" w14:textId="77777777" w:rsidR="00811887" w:rsidRDefault="00811887" w:rsidP="00811887">
      <w:pPr>
        <w:spacing w:before="220"/>
        <w:ind w:left="165"/>
        <w:rPr>
          <w:b/>
        </w:rPr>
      </w:pPr>
    </w:p>
    <w:p w14:paraId="50324682" w14:textId="77777777" w:rsidR="00811887" w:rsidRDefault="00811887" w:rsidP="00811887">
      <w:pPr>
        <w:spacing w:before="220"/>
        <w:ind w:left="165"/>
        <w:rPr>
          <w:b/>
        </w:rPr>
      </w:pPr>
    </w:p>
    <w:p w14:paraId="33C7D98C" w14:textId="77777777" w:rsidR="00811887" w:rsidRDefault="00811887" w:rsidP="00811887">
      <w:pPr>
        <w:spacing w:before="220"/>
        <w:ind w:left="165"/>
        <w:rPr>
          <w:b/>
        </w:rPr>
      </w:pPr>
    </w:p>
    <w:p w14:paraId="14F18E0E" w14:textId="77777777" w:rsidR="00811887" w:rsidRDefault="00811887" w:rsidP="00811887">
      <w:pPr>
        <w:spacing w:before="220"/>
        <w:ind w:left="165"/>
        <w:rPr>
          <w:b/>
        </w:rPr>
      </w:pPr>
    </w:p>
    <w:p w14:paraId="11E3596C" w14:textId="77777777" w:rsidR="00811887" w:rsidRDefault="00811887" w:rsidP="00811887">
      <w:pPr>
        <w:spacing w:before="220"/>
        <w:ind w:left="165"/>
        <w:rPr>
          <w:b/>
        </w:rPr>
      </w:pPr>
      <w:r>
        <w:rPr>
          <w:b/>
        </w:rPr>
        <w:lastRenderedPageBreak/>
        <w:t>Table</w:t>
      </w:r>
      <w:r>
        <w:rPr>
          <w:b/>
          <w:spacing w:val="-3"/>
        </w:rPr>
        <w:t xml:space="preserve"> </w:t>
      </w:r>
      <w:r>
        <w:rPr>
          <w:b/>
        </w:rPr>
        <w:t>7.</w:t>
      </w:r>
      <w:r>
        <w:rPr>
          <w:b/>
          <w:spacing w:val="-4"/>
        </w:rPr>
        <w:t xml:space="preserve"> </w:t>
      </w:r>
      <w:r>
        <w:rPr>
          <w:b/>
        </w:rPr>
        <w:t>Proportion</w:t>
      </w:r>
      <w:r>
        <w:rPr>
          <w:b/>
          <w:spacing w:val="-2"/>
        </w:rPr>
        <w:t xml:space="preserve"> </w:t>
      </w:r>
      <w:r>
        <w:rPr>
          <w:b/>
        </w:rPr>
        <w:t>of</w:t>
      </w:r>
      <w:r>
        <w:rPr>
          <w:b/>
          <w:spacing w:val="-1"/>
        </w:rPr>
        <w:t xml:space="preserve"> </w:t>
      </w:r>
      <w:r>
        <w:rPr>
          <w:b/>
        </w:rPr>
        <w:t>people</w:t>
      </w:r>
      <w:r>
        <w:rPr>
          <w:b/>
          <w:spacing w:val="-5"/>
        </w:rPr>
        <w:t xml:space="preserve"> </w:t>
      </w:r>
      <w:r>
        <w:rPr>
          <w:b/>
        </w:rPr>
        <w:t>aged</w:t>
      </w:r>
      <w:r>
        <w:rPr>
          <w:b/>
          <w:spacing w:val="-7"/>
        </w:rPr>
        <w:t xml:space="preserve"> </w:t>
      </w:r>
      <w:r>
        <w:rPr>
          <w:b/>
        </w:rPr>
        <w:t>15</w:t>
      </w:r>
      <w:r>
        <w:rPr>
          <w:b/>
          <w:spacing w:val="-5"/>
        </w:rPr>
        <w:t xml:space="preserve"> </w:t>
      </w:r>
      <w:r>
        <w:rPr>
          <w:b/>
        </w:rPr>
        <w:t>and</w:t>
      </w:r>
      <w:r>
        <w:rPr>
          <w:b/>
          <w:spacing w:val="-2"/>
        </w:rPr>
        <w:t xml:space="preserve"> </w:t>
      </w:r>
      <w:r>
        <w:rPr>
          <w:b/>
        </w:rPr>
        <w:t>over</w:t>
      </w:r>
      <w:r>
        <w:rPr>
          <w:b/>
          <w:spacing w:val="-4"/>
        </w:rPr>
        <w:t xml:space="preserve"> </w:t>
      </w:r>
      <w:r>
        <w:rPr>
          <w:b/>
        </w:rPr>
        <w:t>experiencing</w:t>
      </w:r>
      <w:r>
        <w:rPr>
          <w:b/>
          <w:spacing w:val="-2"/>
        </w:rPr>
        <w:t xml:space="preserve"> </w:t>
      </w:r>
      <w:r>
        <w:rPr>
          <w:b/>
        </w:rPr>
        <w:t>each</w:t>
      </w:r>
      <w:r>
        <w:rPr>
          <w:b/>
          <w:spacing w:val="7"/>
        </w:rPr>
        <w:t xml:space="preserve"> </w:t>
      </w:r>
      <w:r>
        <w:rPr>
          <w:b/>
        </w:rPr>
        <w:t>indicator</w:t>
      </w:r>
      <w:r>
        <w:rPr>
          <w:b/>
          <w:spacing w:val="-3"/>
        </w:rPr>
        <w:t xml:space="preserve"> </w:t>
      </w:r>
      <w:r>
        <w:rPr>
          <w:b/>
        </w:rPr>
        <w:t>of</w:t>
      </w:r>
      <w:r>
        <w:rPr>
          <w:b/>
          <w:spacing w:val="-1"/>
        </w:rPr>
        <w:t xml:space="preserve"> </w:t>
      </w:r>
      <w:r>
        <w:rPr>
          <w:b/>
          <w:spacing w:val="-2"/>
        </w:rPr>
        <w:t>stress</w:t>
      </w:r>
    </w:p>
    <w:tbl>
      <w:tblPr>
        <w:tblpPr w:leftFromText="180" w:rightFromText="180" w:vertAnchor="text" w:horzAnchor="margin" w:tblpY="4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1416"/>
        <w:gridCol w:w="1275"/>
        <w:gridCol w:w="1135"/>
        <w:gridCol w:w="995"/>
        <w:gridCol w:w="990"/>
        <w:gridCol w:w="1166"/>
        <w:gridCol w:w="1336"/>
      </w:tblGrid>
      <w:tr w:rsidR="00811887" w14:paraId="3EF06FAD" w14:textId="77777777" w:rsidTr="00486E22">
        <w:trPr>
          <w:trHeight w:val="245"/>
        </w:trPr>
        <w:tc>
          <w:tcPr>
            <w:tcW w:w="705" w:type="dxa"/>
            <w:shd w:val="clear" w:color="auto" w:fill="234060"/>
          </w:tcPr>
          <w:p w14:paraId="59EA4FC3" w14:textId="77777777" w:rsidR="00811887" w:rsidRDefault="00811887" w:rsidP="00486E22">
            <w:pPr>
              <w:pStyle w:val="TableParagraph"/>
              <w:spacing w:line="240" w:lineRule="auto"/>
              <w:rPr>
                <w:rFonts w:ascii="Times New Roman"/>
                <w:sz w:val="16"/>
              </w:rPr>
            </w:pPr>
          </w:p>
        </w:tc>
        <w:tc>
          <w:tcPr>
            <w:tcW w:w="8313" w:type="dxa"/>
            <w:gridSpan w:val="7"/>
            <w:shd w:val="clear" w:color="auto" w:fill="234060"/>
          </w:tcPr>
          <w:p w14:paraId="0D02C947" w14:textId="77777777" w:rsidR="00811887" w:rsidRDefault="00811887" w:rsidP="00486E22">
            <w:pPr>
              <w:pStyle w:val="TableParagraph"/>
              <w:spacing w:line="225" w:lineRule="exact"/>
              <w:ind w:left="18"/>
              <w:jc w:val="center"/>
              <w:rPr>
                <w:b/>
                <w:sz w:val="20"/>
              </w:rPr>
            </w:pPr>
            <w:r>
              <w:rPr>
                <w:b/>
                <w:color w:val="FFFFFF"/>
                <w:sz w:val="20"/>
              </w:rPr>
              <w:t>Proportion</w:t>
            </w:r>
            <w:r>
              <w:rPr>
                <w:b/>
                <w:color w:val="FFFFFF"/>
                <w:spacing w:val="-6"/>
                <w:sz w:val="20"/>
              </w:rPr>
              <w:t xml:space="preserve"> </w:t>
            </w:r>
            <w:r>
              <w:rPr>
                <w:b/>
                <w:color w:val="FFFFFF"/>
                <w:sz w:val="20"/>
              </w:rPr>
              <w:t>of</w:t>
            </w:r>
            <w:r>
              <w:rPr>
                <w:b/>
                <w:color w:val="FFFFFF"/>
                <w:spacing w:val="-1"/>
                <w:sz w:val="20"/>
              </w:rPr>
              <w:t xml:space="preserve"> </w:t>
            </w:r>
            <w:r>
              <w:rPr>
                <w:b/>
                <w:color w:val="FFFFFF"/>
                <w:sz w:val="20"/>
              </w:rPr>
              <w:t>people</w:t>
            </w:r>
            <w:r>
              <w:rPr>
                <w:b/>
                <w:color w:val="FFFFFF"/>
                <w:spacing w:val="-4"/>
                <w:sz w:val="20"/>
              </w:rPr>
              <w:t xml:space="preserve"> </w:t>
            </w:r>
            <w:r>
              <w:rPr>
                <w:b/>
                <w:color w:val="FFFFFF"/>
                <w:sz w:val="20"/>
              </w:rPr>
              <w:t>experiencing</w:t>
            </w:r>
            <w:r>
              <w:rPr>
                <w:b/>
                <w:color w:val="FFFFFF"/>
                <w:spacing w:val="-3"/>
                <w:sz w:val="20"/>
              </w:rPr>
              <w:t xml:space="preserve"> </w:t>
            </w:r>
            <w:r>
              <w:rPr>
                <w:b/>
                <w:color w:val="FFFFFF"/>
                <w:sz w:val="20"/>
              </w:rPr>
              <w:t>each</w:t>
            </w:r>
            <w:r>
              <w:rPr>
                <w:b/>
                <w:color w:val="FFFFFF"/>
                <w:spacing w:val="-6"/>
                <w:sz w:val="20"/>
              </w:rPr>
              <w:t xml:space="preserve"> </w:t>
            </w:r>
            <w:r>
              <w:rPr>
                <w:b/>
                <w:color w:val="FFFFFF"/>
                <w:sz w:val="20"/>
              </w:rPr>
              <w:t>financial</w:t>
            </w:r>
            <w:r>
              <w:rPr>
                <w:b/>
                <w:color w:val="FFFFFF"/>
                <w:spacing w:val="-2"/>
                <w:sz w:val="20"/>
              </w:rPr>
              <w:t xml:space="preserve"> </w:t>
            </w:r>
            <w:r>
              <w:rPr>
                <w:b/>
                <w:color w:val="FFFFFF"/>
                <w:sz w:val="20"/>
              </w:rPr>
              <w:t>stress</w:t>
            </w:r>
            <w:r>
              <w:rPr>
                <w:b/>
                <w:color w:val="FFFFFF"/>
                <w:spacing w:val="-3"/>
                <w:sz w:val="20"/>
              </w:rPr>
              <w:t xml:space="preserve"> </w:t>
            </w:r>
            <w:r>
              <w:rPr>
                <w:b/>
                <w:color w:val="FFFFFF"/>
                <w:sz w:val="20"/>
              </w:rPr>
              <w:t>indicator</w:t>
            </w:r>
            <w:r>
              <w:rPr>
                <w:b/>
                <w:color w:val="FFFFFF"/>
                <w:spacing w:val="4"/>
                <w:sz w:val="20"/>
              </w:rPr>
              <w:t xml:space="preserve"> </w:t>
            </w:r>
            <w:r>
              <w:rPr>
                <w:b/>
                <w:color w:val="FFFFFF"/>
                <w:spacing w:val="-5"/>
                <w:sz w:val="20"/>
              </w:rPr>
              <w:t>(%)</w:t>
            </w:r>
          </w:p>
        </w:tc>
      </w:tr>
      <w:tr w:rsidR="00811887" w14:paraId="4CE1BAC7" w14:textId="77777777" w:rsidTr="00486E22">
        <w:trPr>
          <w:trHeight w:val="1220"/>
        </w:trPr>
        <w:tc>
          <w:tcPr>
            <w:tcW w:w="705" w:type="dxa"/>
            <w:shd w:val="clear" w:color="auto" w:fill="234060"/>
          </w:tcPr>
          <w:p w14:paraId="28F9133F" w14:textId="77777777" w:rsidR="00811887" w:rsidRDefault="00811887" w:rsidP="00486E22">
            <w:pPr>
              <w:pStyle w:val="TableParagraph"/>
              <w:ind w:right="97"/>
              <w:jc w:val="center"/>
              <w:rPr>
                <w:b/>
                <w:sz w:val="20"/>
              </w:rPr>
            </w:pPr>
            <w:r>
              <w:rPr>
                <w:b/>
                <w:color w:val="FFFFFF"/>
                <w:spacing w:val="-4"/>
                <w:sz w:val="20"/>
              </w:rPr>
              <w:t>Year</w:t>
            </w:r>
          </w:p>
        </w:tc>
        <w:tc>
          <w:tcPr>
            <w:tcW w:w="1416" w:type="dxa"/>
            <w:shd w:val="clear" w:color="auto" w:fill="234060"/>
          </w:tcPr>
          <w:p w14:paraId="766411BA" w14:textId="77777777" w:rsidR="00811887" w:rsidRDefault="00811887" w:rsidP="00486E22">
            <w:pPr>
              <w:pStyle w:val="TableParagraph"/>
              <w:spacing w:line="240" w:lineRule="auto"/>
              <w:ind w:left="115" w:right="95" w:firstLine="15"/>
              <w:jc w:val="both"/>
              <w:rPr>
                <w:b/>
                <w:sz w:val="20"/>
              </w:rPr>
            </w:pPr>
            <w:r>
              <w:rPr>
                <w:b/>
                <w:color w:val="FFFFFF"/>
                <w:sz w:val="20"/>
              </w:rPr>
              <w:t>Could</w:t>
            </w:r>
            <w:r>
              <w:rPr>
                <w:b/>
                <w:color w:val="FFFFFF"/>
                <w:spacing w:val="-6"/>
                <w:sz w:val="20"/>
              </w:rPr>
              <w:t xml:space="preserve"> </w:t>
            </w:r>
            <w:r>
              <w:rPr>
                <w:b/>
                <w:color w:val="FFFFFF"/>
                <w:sz w:val="20"/>
              </w:rPr>
              <w:t>not</w:t>
            </w:r>
            <w:r>
              <w:rPr>
                <w:b/>
                <w:color w:val="FFFFFF"/>
                <w:spacing w:val="-7"/>
                <w:sz w:val="20"/>
              </w:rPr>
              <w:t xml:space="preserve"> </w:t>
            </w:r>
            <w:r>
              <w:rPr>
                <w:b/>
                <w:color w:val="FFFFFF"/>
                <w:sz w:val="20"/>
              </w:rPr>
              <w:t>pay electricity,</w:t>
            </w:r>
            <w:r>
              <w:rPr>
                <w:b/>
                <w:color w:val="FFFFFF"/>
                <w:spacing w:val="-12"/>
                <w:sz w:val="20"/>
              </w:rPr>
              <w:t xml:space="preserve"> </w:t>
            </w:r>
            <w:r>
              <w:rPr>
                <w:b/>
                <w:color w:val="FFFFFF"/>
                <w:sz w:val="20"/>
              </w:rPr>
              <w:t>gas or telephone bills on time</w:t>
            </w:r>
          </w:p>
        </w:tc>
        <w:tc>
          <w:tcPr>
            <w:tcW w:w="1275" w:type="dxa"/>
            <w:shd w:val="clear" w:color="auto" w:fill="234060"/>
          </w:tcPr>
          <w:p w14:paraId="78091576" w14:textId="77777777" w:rsidR="00811887" w:rsidRDefault="00811887" w:rsidP="00486E22">
            <w:pPr>
              <w:pStyle w:val="TableParagraph"/>
              <w:spacing w:line="240" w:lineRule="auto"/>
              <w:ind w:left="120" w:right="103" w:hanging="2"/>
              <w:jc w:val="center"/>
              <w:rPr>
                <w:b/>
                <w:sz w:val="20"/>
              </w:rPr>
            </w:pPr>
            <w:r>
              <w:rPr>
                <w:b/>
                <w:color w:val="FFFFFF"/>
                <w:sz w:val="20"/>
              </w:rPr>
              <w:t>Could not pay the mortgage</w:t>
            </w:r>
            <w:r>
              <w:rPr>
                <w:b/>
                <w:color w:val="FFFFFF"/>
                <w:spacing w:val="-12"/>
                <w:sz w:val="20"/>
              </w:rPr>
              <w:t xml:space="preserve"> </w:t>
            </w:r>
            <w:r>
              <w:rPr>
                <w:b/>
                <w:color w:val="FFFFFF"/>
                <w:sz w:val="20"/>
              </w:rPr>
              <w:t>or rent</w:t>
            </w:r>
            <w:r>
              <w:rPr>
                <w:b/>
                <w:color w:val="FFFFFF"/>
                <w:spacing w:val="-2"/>
                <w:sz w:val="20"/>
              </w:rPr>
              <w:t xml:space="preserve"> </w:t>
            </w:r>
            <w:r>
              <w:rPr>
                <w:b/>
                <w:color w:val="FFFFFF"/>
                <w:sz w:val="20"/>
              </w:rPr>
              <w:t>on</w:t>
            </w:r>
            <w:r>
              <w:rPr>
                <w:b/>
                <w:color w:val="FFFFFF"/>
                <w:spacing w:val="3"/>
                <w:sz w:val="20"/>
              </w:rPr>
              <w:t xml:space="preserve"> </w:t>
            </w:r>
            <w:r>
              <w:rPr>
                <w:b/>
                <w:color w:val="FFFFFF"/>
                <w:spacing w:val="-4"/>
                <w:sz w:val="20"/>
              </w:rPr>
              <w:t>time</w:t>
            </w:r>
          </w:p>
        </w:tc>
        <w:tc>
          <w:tcPr>
            <w:tcW w:w="1135" w:type="dxa"/>
            <w:shd w:val="clear" w:color="auto" w:fill="234060"/>
          </w:tcPr>
          <w:p w14:paraId="0F894AAE" w14:textId="77777777" w:rsidR="00811887" w:rsidRDefault="00811887" w:rsidP="00486E22">
            <w:pPr>
              <w:pStyle w:val="TableParagraph"/>
              <w:spacing w:line="240" w:lineRule="auto"/>
              <w:ind w:left="13"/>
              <w:jc w:val="center"/>
              <w:rPr>
                <w:b/>
                <w:sz w:val="20"/>
              </w:rPr>
            </w:pPr>
            <w:r>
              <w:rPr>
                <w:b/>
                <w:color w:val="FFFFFF"/>
                <w:sz w:val="20"/>
              </w:rPr>
              <w:t>Pawned</w:t>
            </w:r>
            <w:r>
              <w:rPr>
                <w:b/>
                <w:color w:val="FFFFFF"/>
                <w:spacing w:val="-12"/>
                <w:sz w:val="20"/>
              </w:rPr>
              <w:t xml:space="preserve"> </w:t>
            </w:r>
            <w:r>
              <w:rPr>
                <w:b/>
                <w:color w:val="FFFFFF"/>
                <w:sz w:val="20"/>
              </w:rPr>
              <w:t xml:space="preserve">or </w:t>
            </w:r>
            <w:r>
              <w:rPr>
                <w:b/>
                <w:color w:val="FFFFFF"/>
                <w:spacing w:val="-4"/>
                <w:sz w:val="20"/>
              </w:rPr>
              <w:t xml:space="preserve">sold </w:t>
            </w:r>
            <w:r>
              <w:rPr>
                <w:b/>
                <w:color w:val="FFFFFF"/>
                <w:spacing w:val="-2"/>
                <w:sz w:val="20"/>
              </w:rPr>
              <w:t>something</w:t>
            </w:r>
          </w:p>
        </w:tc>
        <w:tc>
          <w:tcPr>
            <w:tcW w:w="995" w:type="dxa"/>
            <w:shd w:val="clear" w:color="auto" w:fill="234060"/>
          </w:tcPr>
          <w:p w14:paraId="21029D99" w14:textId="77777777" w:rsidR="00811887" w:rsidRDefault="00811887" w:rsidP="00486E22">
            <w:pPr>
              <w:pStyle w:val="TableParagraph"/>
              <w:spacing w:line="240" w:lineRule="auto"/>
              <w:ind w:left="166" w:right="153" w:hanging="5"/>
              <w:jc w:val="center"/>
              <w:rPr>
                <w:b/>
                <w:sz w:val="20"/>
              </w:rPr>
            </w:pPr>
            <w:r>
              <w:rPr>
                <w:b/>
                <w:color w:val="FFFFFF"/>
                <w:spacing w:val="-4"/>
                <w:sz w:val="20"/>
              </w:rPr>
              <w:t xml:space="preserve">Went </w:t>
            </w:r>
            <w:r>
              <w:rPr>
                <w:b/>
                <w:color w:val="FFFFFF"/>
                <w:spacing w:val="-2"/>
                <w:sz w:val="20"/>
              </w:rPr>
              <w:t xml:space="preserve">without </w:t>
            </w:r>
            <w:r>
              <w:rPr>
                <w:b/>
                <w:color w:val="FFFFFF"/>
                <w:spacing w:val="-4"/>
                <w:sz w:val="20"/>
              </w:rPr>
              <w:t>meals</w:t>
            </w:r>
          </w:p>
        </w:tc>
        <w:tc>
          <w:tcPr>
            <w:tcW w:w="990" w:type="dxa"/>
            <w:shd w:val="clear" w:color="auto" w:fill="234060"/>
          </w:tcPr>
          <w:p w14:paraId="7C64CCBF" w14:textId="77777777" w:rsidR="00811887" w:rsidRDefault="00811887" w:rsidP="00486E22">
            <w:pPr>
              <w:pStyle w:val="TableParagraph"/>
              <w:spacing w:line="240" w:lineRule="auto"/>
              <w:ind w:left="196" w:right="177" w:hanging="5"/>
              <w:jc w:val="center"/>
              <w:rPr>
                <w:b/>
                <w:sz w:val="20"/>
              </w:rPr>
            </w:pPr>
            <w:r>
              <w:rPr>
                <w:b/>
                <w:color w:val="FFFFFF"/>
                <w:spacing w:val="-4"/>
                <w:sz w:val="20"/>
              </w:rPr>
              <w:t xml:space="preserve">Was </w:t>
            </w:r>
            <w:r>
              <w:rPr>
                <w:b/>
                <w:color w:val="FFFFFF"/>
                <w:spacing w:val="-2"/>
                <w:sz w:val="20"/>
              </w:rPr>
              <w:t xml:space="preserve">unable </w:t>
            </w:r>
            <w:r>
              <w:rPr>
                <w:b/>
                <w:color w:val="FFFFFF"/>
                <w:sz w:val="20"/>
              </w:rPr>
              <w:t>to</w:t>
            </w:r>
            <w:r>
              <w:rPr>
                <w:b/>
                <w:color w:val="FFFFFF"/>
                <w:spacing w:val="-12"/>
                <w:sz w:val="20"/>
              </w:rPr>
              <w:t xml:space="preserve"> </w:t>
            </w:r>
            <w:r>
              <w:rPr>
                <w:b/>
                <w:color w:val="FFFFFF"/>
                <w:sz w:val="20"/>
              </w:rPr>
              <w:t xml:space="preserve">heat </w:t>
            </w:r>
            <w:r>
              <w:rPr>
                <w:b/>
                <w:color w:val="FFFFFF"/>
                <w:spacing w:val="-4"/>
                <w:sz w:val="20"/>
              </w:rPr>
              <w:t>home</w:t>
            </w:r>
          </w:p>
        </w:tc>
        <w:tc>
          <w:tcPr>
            <w:tcW w:w="1166" w:type="dxa"/>
            <w:shd w:val="clear" w:color="auto" w:fill="234060"/>
          </w:tcPr>
          <w:p w14:paraId="420FB73E" w14:textId="77777777" w:rsidR="00811887" w:rsidRDefault="00811887" w:rsidP="00486E22">
            <w:pPr>
              <w:pStyle w:val="TableParagraph"/>
              <w:spacing w:line="240" w:lineRule="auto"/>
              <w:ind w:left="171" w:right="165" w:firstLine="15"/>
              <w:jc w:val="both"/>
              <w:rPr>
                <w:b/>
                <w:sz w:val="20"/>
              </w:rPr>
            </w:pPr>
            <w:r>
              <w:rPr>
                <w:b/>
                <w:color w:val="FFFFFF"/>
                <w:sz w:val="20"/>
              </w:rPr>
              <w:t>Asked</w:t>
            </w:r>
            <w:r>
              <w:rPr>
                <w:b/>
                <w:color w:val="FFFFFF"/>
                <w:spacing w:val="-12"/>
                <w:sz w:val="20"/>
              </w:rPr>
              <w:t xml:space="preserve"> </w:t>
            </w:r>
            <w:r>
              <w:rPr>
                <w:b/>
                <w:color w:val="FFFFFF"/>
                <w:sz w:val="20"/>
              </w:rPr>
              <w:t xml:space="preserve">for </w:t>
            </w:r>
            <w:r>
              <w:rPr>
                <w:b/>
                <w:color w:val="FFFFFF"/>
                <w:spacing w:val="-2"/>
                <w:sz w:val="20"/>
              </w:rPr>
              <w:t xml:space="preserve">financial </w:t>
            </w:r>
            <w:r>
              <w:rPr>
                <w:b/>
                <w:color w:val="FFFFFF"/>
                <w:sz w:val="20"/>
              </w:rPr>
              <w:t>help</w:t>
            </w:r>
            <w:r>
              <w:rPr>
                <w:b/>
                <w:color w:val="FFFFFF"/>
                <w:spacing w:val="3"/>
                <w:sz w:val="20"/>
              </w:rPr>
              <w:t xml:space="preserve"> </w:t>
            </w:r>
            <w:r>
              <w:rPr>
                <w:b/>
                <w:color w:val="FFFFFF"/>
                <w:spacing w:val="-4"/>
                <w:sz w:val="20"/>
              </w:rPr>
              <w:t>from</w:t>
            </w:r>
          </w:p>
          <w:p w14:paraId="6FF5A91A" w14:textId="77777777" w:rsidR="00811887" w:rsidRDefault="00811887" w:rsidP="00486E22">
            <w:pPr>
              <w:pStyle w:val="TableParagraph"/>
              <w:spacing w:line="240" w:lineRule="exact"/>
              <w:ind w:left="321" w:right="167" w:hanging="140"/>
              <w:jc w:val="both"/>
              <w:rPr>
                <w:b/>
                <w:sz w:val="20"/>
              </w:rPr>
            </w:pPr>
            <w:r>
              <w:rPr>
                <w:b/>
                <w:color w:val="FFFFFF"/>
                <w:sz w:val="20"/>
              </w:rPr>
              <w:t>friends</w:t>
            </w:r>
            <w:r>
              <w:rPr>
                <w:b/>
                <w:color w:val="FFFFFF"/>
                <w:spacing w:val="-12"/>
                <w:sz w:val="20"/>
              </w:rPr>
              <w:t xml:space="preserve"> </w:t>
            </w:r>
            <w:r>
              <w:rPr>
                <w:b/>
                <w:color w:val="FFFFFF"/>
                <w:sz w:val="20"/>
              </w:rPr>
              <w:t xml:space="preserve">or </w:t>
            </w:r>
            <w:r>
              <w:rPr>
                <w:b/>
                <w:color w:val="FFFFFF"/>
                <w:spacing w:val="-2"/>
                <w:sz w:val="20"/>
              </w:rPr>
              <w:t>family</w:t>
            </w:r>
          </w:p>
        </w:tc>
        <w:tc>
          <w:tcPr>
            <w:tcW w:w="1336" w:type="dxa"/>
            <w:shd w:val="clear" w:color="auto" w:fill="234060"/>
          </w:tcPr>
          <w:p w14:paraId="3E6533A5" w14:textId="77777777" w:rsidR="00811887" w:rsidRDefault="00811887" w:rsidP="00486E22">
            <w:pPr>
              <w:pStyle w:val="TableParagraph"/>
              <w:spacing w:line="240" w:lineRule="auto"/>
              <w:ind w:left="196" w:right="179" w:firstLine="75"/>
              <w:jc w:val="both"/>
              <w:rPr>
                <w:b/>
                <w:sz w:val="20"/>
              </w:rPr>
            </w:pPr>
            <w:r>
              <w:rPr>
                <w:b/>
                <w:color w:val="FFFFFF"/>
                <w:sz w:val="20"/>
              </w:rPr>
              <w:t xml:space="preserve">Asked for help from </w:t>
            </w:r>
            <w:r>
              <w:rPr>
                <w:b/>
                <w:color w:val="FFFFFF"/>
                <w:spacing w:val="-2"/>
                <w:sz w:val="20"/>
              </w:rPr>
              <w:t>welfare/</w:t>
            </w:r>
          </w:p>
          <w:p w14:paraId="4B7B1BAE" w14:textId="77777777" w:rsidR="00811887" w:rsidRDefault="00811887" w:rsidP="00486E22">
            <w:pPr>
              <w:pStyle w:val="TableParagraph"/>
              <w:spacing w:line="240" w:lineRule="exact"/>
              <w:ind w:left="111" w:firstLine="85"/>
              <w:rPr>
                <w:b/>
                <w:sz w:val="20"/>
              </w:rPr>
            </w:pPr>
            <w:r>
              <w:rPr>
                <w:b/>
                <w:color w:val="FFFFFF"/>
                <w:spacing w:val="-2"/>
                <w:sz w:val="20"/>
              </w:rPr>
              <w:t>community organisations</w:t>
            </w:r>
          </w:p>
        </w:tc>
      </w:tr>
      <w:tr w:rsidR="00811887" w14:paraId="61B82AE3" w14:textId="77777777" w:rsidTr="00486E22">
        <w:trPr>
          <w:trHeight w:val="300"/>
        </w:trPr>
        <w:tc>
          <w:tcPr>
            <w:tcW w:w="705" w:type="dxa"/>
            <w:shd w:val="clear" w:color="auto" w:fill="234060"/>
          </w:tcPr>
          <w:p w14:paraId="0AC73299" w14:textId="77777777" w:rsidR="00811887" w:rsidRDefault="00811887" w:rsidP="00486E22">
            <w:pPr>
              <w:pStyle w:val="TableParagraph"/>
              <w:spacing w:line="240" w:lineRule="auto"/>
              <w:ind w:left="23" w:right="97"/>
              <w:jc w:val="center"/>
              <w:rPr>
                <w:b/>
                <w:sz w:val="20"/>
              </w:rPr>
            </w:pPr>
            <w:r>
              <w:rPr>
                <w:b/>
                <w:color w:val="FFFFFF"/>
                <w:spacing w:val="-4"/>
                <w:sz w:val="20"/>
              </w:rPr>
              <w:t>2001</w:t>
            </w:r>
          </w:p>
        </w:tc>
        <w:tc>
          <w:tcPr>
            <w:tcW w:w="1416" w:type="dxa"/>
          </w:tcPr>
          <w:p w14:paraId="16ECC3F1" w14:textId="77777777" w:rsidR="00811887" w:rsidRDefault="00811887" w:rsidP="00486E22">
            <w:pPr>
              <w:pStyle w:val="TableParagraph"/>
              <w:spacing w:line="240" w:lineRule="auto"/>
              <w:ind w:left="16"/>
              <w:jc w:val="center"/>
              <w:rPr>
                <w:sz w:val="20"/>
              </w:rPr>
            </w:pPr>
            <w:r>
              <w:rPr>
                <w:spacing w:val="-4"/>
                <w:sz w:val="20"/>
              </w:rPr>
              <w:t>18.3</w:t>
            </w:r>
          </w:p>
        </w:tc>
        <w:tc>
          <w:tcPr>
            <w:tcW w:w="1275" w:type="dxa"/>
          </w:tcPr>
          <w:p w14:paraId="1425BC69" w14:textId="77777777" w:rsidR="00811887" w:rsidRDefault="00811887" w:rsidP="00486E22">
            <w:pPr>
              <w:pStyle w:val="TableParagraph"/>
              <w:spacing w:line="240" w:lineRule="auto"/>
              <w:ind w:left="7"/>
              <w:jc w:val="center"/>
              <w:rPr>
                <w:sz w:val="20"/>
              </w:rPr>
            </w:pPr>
            <w:r>
              <w:rPr>
                <w:spacing w:val="-5"/>
                <w:sz w:val="20"/>
              </w:rPr>
              <w:t>8.8</w:t>
            </w:r>
          </w:p>
        </w:tc>
        <w:tc>
          <w:tcPr>
            <w:tcW w:w="1135" w:type="dxa"/>
          </w:tcPr>
          <w:p w14:paraId="06B9C30B" w14:textId="77777777" w:rsidR="00811887" w:rsidRDefault="00811887" w:rsidP="00486E22">
            <w:pPr>
              <w:pStyle w:val="TableParagraph"/>
              <w:spacing w:line="240" w:lineRule="auto"/>
              <w:ind w:left="13" w:right="6"/>
              <w:jc w:val="center"/>
              <w:rPr>
                <w:sz w:val="20"/>
              </w:rPr>
            </w:pPr>
            <w:r>
              <w:rPr>
                <w:spacing w:val="-5"/>
                <w:sz w:val="20"/>
              </w:rPr>
              <w:t>6.3</w:t>
            </w:r>
          </w:p>
        </w:tc>
        <w:tc>
          <w:tcPr>
            <w:tcW w:w="995" w:type="dxa"/>
          </w:tcPr>
          <w:p w14:paraId="1F7C27A2" w14:textId="77777777" w:rsidR="00811887" w:rsidRDefault="00811887" w:rsidP="00486E22">
            <w:pPr>
              <w:pStyle w:val="TableParagraph"/>
              <w:spacing w:line="240" w:lineRule="auto"/>
              <w:ind w:left="9"/>
              <w:jc w:val="center"/>
              <w:rPr>
                <w:sz w:val="20"/>
              </w:rPr>
            </w:pPr>
            <w:r>
              <w:rPr>
                <w:spacing w:val="-5"/>
                <w:sz w:val="20"/>
              </w:rPr>
              <w:t>4.5</w:t>
            </w:r>
          </w:p>
        </w:tc>
        <w:tc>
          <w:tcPr>
            <w:tcW w:w="990" w:type="dxa"/>
          </w:tcPr>
          <w:p w14:paraId="790932E3" w14:textId="77777777" w:rsidR="00811887" w:rsidRDefault="00811887" w:rsidP="00486E22">
            <w:pPr>
              <w:pStyle w:val="TableParagraph"/>
              <w:spacing w:line="240" w:lineRule="auto"/>
              <w:ind w:left="14"/>
              <w:jc w:val="center"/>
              <w:rPr>
                <w:sz w:val="20"/>
              </w:rPr>
            </w:pPr>
            <w:r>
              <w:rPr>
                <w:spacing w:val="-5"/>
                <w:sz w:val="20"/>
              </w:rPr>
              <w:t>3.6</w:t>
            </w:r>
          </w:p>
        </w:tc>
        <w:tc>
          <w:tcPr>
            <w:tcW w:w="1166" w:type="dxa"/>
          </w:tcPr>
          <w:p w14:paraId="70F221C7" w14:textId="77777777" w:rsidR="00811887" w:rsidRDefault="00811887" w:rsidP="00486E22">
            <w:pPr>
              <w:pStyle w:val="TableParagraph"/>
              <w:spacing w:line="240" w:lineRule="auto"/>
              <w:ind w:left="9"/>
              <w:jc w:val="center"/>
              <w:rPr>
                <w:sz w:val="20"/>
              </w:rPr>
            </w:pPr>
            <w:r>
              <w:rPr>
                <w:spacing w:val="-4"/>
                <w:sz w:val="20"/>
              </w:rPr>
              <w:t>16.7</w:t>
            </w:r>
          </w:p>
        </w:tc>
        <w:tc>
          <w:tcPr>
            <w:tcW w:w="1336" w:type="dxa"/>
          </w:tcPr>
          <w:p w14:paraId="1406BE1D" w14:textId="77777777" w:rsidR="00811887" w:rsidRDefault="00811887" w:rsidP="00486E22">
            <w:pPr>
              <w:pStyle w:val="TableParagraph"/>
              <w:spacing w:line="240" w:lineRule="auto"/>
              <w:ind w:left="8"/>
              <w:jc w:val="center"/>
              <w:rPr>
                <w:sz w:val="20"/>
              </w:rPr>
            </w:pPr>
            <w:r>
              <w:rPr>
                <w:spacing w:val="-5"/>
                <w:sz w:val="20"/>
              </w:rPr>
              <w:t>5.3</w:t>
            </w:r>
          </w:p>
        </w:tc>
      </w:tr>
      <w:tr w:rsidR="00811887" w14:paraId="679A1909" w14:textId="77777777" w:rsidTr="00486E22">
        <w:trPr>
          <w:trHeight w:val="300"/>
        </w:trPr>
        <w:tc>
          <w:tcPr>
            <w:tcW w:w="705" w:type="dxa"/>
            <w:shd w:val="clear" w:color="auto" w:fill="234060"/>
          </w:tcPr>
          <w:p w14:paraId="715223D3" w14:textId="77777777" w:rsidR="00811887" w:rsidRDefault="00811887" w:rsidP="00486E22">
            <w:pPr>
              <w:pStyle w:val="TableParagraph"/>
              <w:ind w:left="23" w:right="97"/>
              <w:jc w:val="center"/>
              <w:rPr>
                <w:b/>
                <w:sz w:val="20"/>
              </w:rPr>
            </w:pPr>
            <w:r>
              <w:rPr>
                <w:b/>
                <w:color w:val="FFFFFF"/>
                <w:spacing w:val="-4"/>
                <w:sz w:val="20"/>
              </w:rPr>
              <w:t>2002</w:t>
            </w:r>
          </w:p>
        </w:tc>
        <w:tc>
          <w:tcPr>
            <w:tcW w:w="1416" w:type="dxa"/>
          </w:tcPr>
          <w:p w14:paraId="77353BED" w14:textId="77777777" w:rsidR="00811887" w:rsidRDefault="00811887" w:rsidP="00486E22">
            <w:pPr>
              <w:pStyle w:val="TableParagraph"/>
              <w:ind w:left="16"/>
              <w:jc w:val="center"/>
              <w:rPr>
                <w:sz w:val="20"/>
              </w:rPr>
            </w:pPr>
            <w:r>
              <w:rPr>
                <w:spacing w:val="-4"/>
                <w:sz w:val="20"/>
              </w:rPr>
              <w:t>16.0</w:t>
            </w:r>
          </w:p>
        </w:tc>
        <w:tc>
          <w:tcPr>
            <w:tcW w:w="1275" w:type="dxa"/>
          </w:tcPr>
          <w:p w14:paraId="5048F10D" w14:textId="77777777" w:rsidR="00811887" w:rsidRDefault="00811887" w:rsidP="00486E22">
            <w:pPr>
              <w:pStyle w:val="TableParagraph"/>
              <w:ind w:left="7" w:right="1"/>
              <w:jc w:val="center"/>
              <w:rPr>
                <w:sz w:val="20"/>
              </w:rPr>
            </w:pPr>
            <w:r>
              <w:rPr>
                <w:spacing w:val="-5"/>
                <w:sz w:val="20"/>
              </w:rPr>
              <w:t>8.0</w:t>
            </w:r>
          </w:p>
        </w:tc>
        <w:tc>
          <w:tcPr>
            <w:tcW w:w="1135" w:type="dxa"/>
          </w:tcPr>
          <w:p w14:paraId="1954669A" w14:textId="77777777" w:rsidR="00811887" w:rsidRDefault="00811887" w:rsidP="00486E22">
            <w:pPr>
              <w:pStyle w:val="TableParagraph"/>
              <w:ind w:left="13" w:right="6"/>
              <w:jc w:val="center"/>
              <w:rPr>
                <w:sz w:val="20"/>
              </w:rPr>
            </w:pPr>
            <w:r>
              <w:rPr>
                <w:spacing w:val="-5"/>
                <w:sz w:val="20"/>
              </w:rPr>
              <w:t>5.0</w:t>
            </w:r>
          </w:p>
        </w:tc>
        <w:tc>
          <w:tcPr>
            <w:tcW w:w="995" w:type="dxa"/>
          </w:tcPr>
          <w:p w14:paraId="55F0E47B" w14:textId="77777777" w:rsidR="00811887" w:rsidRDefault="00811887" w:rsidP="00486E22">
            <w:pPr>
              <w:pStyle w:val="TableParagraph"/>
              <w:ind w:left="9"/>
              <w:jc w:val="center"/>
              <w:rPr>
                <w:sz w:val="20"/>
              </w:rPr>
            </w:pPr>
            <w:r>
              <w:rPr>
                <w:spacing w:val="-5"/>
                <w:sz w:val="20"/>
              </w:rPr>
              <w:t>3.6</w:t>
            </w:r>
          </w:p>
        </w:tc>
        <w:tc>
          <w:tcPr>
            <w:tcW w:w="990" w:type="dxa"/>
          </w:tcPr>
          <w:p w14:paraId="157A27EA" w14:textId="77777777" w:rsidR="00811887" w:rsidRDefault="00811887" w:rsidP="00486E22">
            <w:pPr>
              <w:pStyle w:val="TableParagraph"/>
              <w:ind w:left="14"/>
              <w:jc w:val="center"/>
              <w:rPr>
                <w:sz w:val="20"/>
              </w:rPr>
            </w:pPr>
            <w:r>
              <w:rPr>
                <w:spacing w:val="-5"/>
                <w:sz w:val="20"/>
              </w:rPr>
              <w:t>2.8</w:t>
            </w:r>
          </w:p>
        </w:tc>
        <w:tc>
          <w:tcPr>
            <w:tcW w:w="1166" w:type="dxa"/>
          </w:tcPr>
          <w:p w14:paraId="0A59FEB3" w14:textId="77777777" w:rsidR="00811887" w:rsidRDefault="00811887" w:rsidP="00486E22">
            <w:pPr>
              <w:pStyle w:val="TableParagraph"/>
              <w:ind w:left="9"/>
              <w:jc w:val="center"/>
              <w:rPr>
                <w:sz w:val="20"/>
              </w:rPr>
            </w:pPr>
            <w:r>
              <w:rPr>
                <w:spacing w:val="-4"/>
                <w:sz w:val="20"/>
              </w:rPr>
              <w:t>13.5</w:t>
            </w:r>
          </w:p>
        </w:tc>
        <w:tc>
          <w:tcPr>
            <w:tcW w:w="1336" w:type="dxa"/>
          </w:tcPr>
          <w:p w14:paraId="398CBF77" w14:textId="77777777" w:rsidR="00811887" w:rsidRDefault="00811887" w:rsidP="00486E22">
            <w:pPr>
              <w:pStyle w:val="TableParagraph"/>
              <w:ind w:left="8"/>
              <w:jc w:val="center"/>
              <w:rPr>
                <w:sz w:val="20"/>
              </w:rPr>
            </w:pPr>
            <w:r>
              <w:rPr>
                <w:spacing w:val="-5"/>
                <w:sz w:val="20"/>
              </w:rPr>
              <w:t>4.0</w:t>
            </w:r>
          </w:p>
        </w:tc>
      </w:tr>
      <w:tr w:rsidR="00811887" w14:paraId="1C331FAE" w14:textId="77777777" w:rsidTr="00486E22">
        <w:trPr>
          <w:trHeight w:val="300"/>
        </w:trPr>
        <w:tc>
          <w:tcPr>
            <w:tcW w:w="705" w:type="dxa"/>
            <w:shd w:val="clear" w:color="auto" w:fill="234060"/>
          </w:tcPr>
          <w:p w14:paraId="1DBF6230" w14:textId="77777777" w:rsidR="00811887" w:rsidRDefault="00811887" w:rsidP="00486E22">
            <w:pPr>
              <w:pStyle w:val="TableParagraph"/>
              <w:ind w:left="23" w:right="97"/>
              <w:jc w:val="center"/>
              <w:rPr>
                <w:b/>
                <w:sz w:val="20"/>
              </w:rPr>
            </w:pPr>
            <w:r>
              <w:rPr>
                <w:b/>
                <w:color w:val="FFFFFF"/>
                <w:spacing w:val="-4"/>
                <w:sz w:val="20"/>
              </w:rPr>
              <w:t>2003</w:t>
            </w:r>
          </w:p>
        </w:tc>
        <w:tc>
          <w:tcPr>
            <w:tcW w:w="1416" w:type="dxa"/>
          </w:tcPr>
          <w:p w14:paraId="52267ED6" w14:textId="77777777" w:rsidR="00811887" w:rsidRDefault="00811887" w:rsidP="00486E22">
            <w:pPr>
              <w:pStyle w:val="TableParagraph"/>
              <w:ind w:left="16"/>
              <w:jc w:val="center"/>
              <w:rPr>
                <w:sz w:val="20"/>
              </w:rPr>
            </w:pPr>
            <w:r>
              <w:rPr>
                <w:spacing w:val="-4"/>
                <w:sz w:val="20"/>
              </w:rPr>
              <w:t>15.1</w:t>
            </w:r>
          </w:p>
        </w:tc>
        <w:tc>
          <w:tcPr>
            <w:tcW w:w="1275" w:type="dxa"/>
          </w:tcPr>
          <w:p w14:paraId="29DCC8D0" w14:textId="77777777" w:rsidR="00811887" w:rsidRDefault="00811887" w:rsidP="00486E22">
            <w:pPr>
              <w:pStyle w:val="TableParagraph"/>
              <w:ind w:left="7"/>
              <w:jc w:val="center"/>
              <w:rPr>
                <w:sz w:val="20"/>
              </w:rPr>
            </w:pPr>
            <w:r>
              <w:rPr>
                <w:spacing w:val="-5"/>
                <w:sz w:val="20"/>
              </w:rPr>
              <w:t>7.3</w:t>
            </w:r>
          </w:p>
        </w:tc>
        <w:tc>
          <w:tcPr>
            <w:tcW w:w="1135" w:type="dxa"/>
          </w:tcPr>
          <w:p w14:paraId="16108AB6" w14:textId="77777777" w:rsidR="00811887" w:rsidRDefault="00811887" w:rsidP="00486E22">
            <w:pPr>
              <w:pStyle w:val="TableParagraph"/>
              <w:ind w:left="13" w:right="6"/>
              <w:jc w:val="center"/>
              <w:rPr>
                <w:sz w:val="20"/>
              </w:rPr>
            </w:pPr>
            <w:r>
              <w:rPr>
                <w:spacing w:val="-5"/>
                <w:sz w:val="20"/>
              </w:rPr>
              <w:t>5.2</w:t>
            </w:r>
          </w:p>
        </w:tc>
        <w:tc>
          <w:tcPr>
            <w:tcW w:w="995" w:type="dxa"/>
          </w:tcPr>
          <w:p w14:paraId="13A635F9" w14:textId="77777777" w:rsidR="00811887" w:rsidRDefault="00811887" w:rsidP="00486E22">
            <w:pPr>
              <w:pStyle w:val="TableParagraph"/>
              <w:ind w:left="9"/>
              <w:jc w:val="center"/>
              <w:rPr>
                <w:sz w:val="20"/>
              </w:rPr>
            </w:pPr>
            <w:r>
              <w:rPr>
                <w:spacing w:val="-5"/>
                <w:sz w:val="20"/>
              </w:rPr>
              <w:t>3.9</w:t>
            </w:r>
          </w:p>
        </w:tc>
        <w:tc>
          <w:tcPr>
            <w:tcW w:w="990" w:type="dxa"/>
          </w:tcPr>
          <w:p w14:paraId="6A713A5E" w14:textId="77777777" w:rsidR="00811887" w:rsidRDefault="00811887" w:rsidP="00486E22">
            <w:pPr>
              <w:pStyle w:val="TableParagraph"/>
              <w:ind w:left="14"/>
              <w:jc w:val="center"/>
              <w:rPr>
                <w:sz w:val="20"/>
              </w:rPr>
            </w:pPr>
            <w:r>
              <w:rPr>
                <w:spacing w:val="-5"/>
                <w:sz w:val="20"/>
              </w:rPr>
              <w:t>2.8</w:t>
            </w:r>
          </w:p>
        </w:tc>
        <w:tc>
          <w:tcPr>
            <w:tcW w:w="1166" w:type="dxa"/>
          </w:tcPr>
          <w:p w14:paraId="14D908BC" w14:textId="77777777" w:rsidR="00811887" w:rsidRDefault="00811887" w:rsidP="00486E22">
            <w:pPr>
              <w:pStyle w:val="TableParagraph"/>
              <w:ind w:left="9"/>
              <w:jc w:val="center"/>
              <w:rPr>
                <w:sz w:val="20"/>
              </w:rPr>
            </w:pPr>
            <w:r>
              <w:rPr>
                <w:spacing w:val="-4"/>
                <w:sz w:val="20"/>
              </w:rPr>
              <w:t>14.7</w:t>
            </w:r>
          </w:p>
        </w:tc>
        <w:tc>
          <w:tcPr>
            <w:tcW w:w="1336" w:type="dxa"/>
          </w:tcPr>
          <w:p w14:paraId="6530CCF1" w14:textId="77777777" w:rsidR="00811887" w:rsidRDefault="00811887" w:rsidP="00486E22">
            <w:pPr>
              <w:pStyle w:val="TableParagraph"/>
              <w:ind w:left="8"/>
              <w:jc w:val="center"/>
              <w:rPr>
                <w:sz w:val="20"/>
              </w:rPr>
            </w:pPr>
            <w:r>
              <w:rPr>
                <w:spacing w:val="-5"/>
                <w:sz w:val="20"/>
              </w:rPr>
              <w:t>4.2</w:t>
            </w:r>
          </w:p>
        </w:tc>
      </w:tr>
      <w:tr w:rsidR="00811887" w14:paraId="620E3AD4" w14:textId="77777777" w:rsidTr="00486E22">
        <w:trPr>
          <w:trHeight w:val="300"/>
        </w:trPr>
        <w:tc>
          <w:tcPr>
            <w:tcW w:w="705" w:type="dxa"/>
            <w:shd w:val="clear" w:color="auto" w:fill="234060"/>
          </w:tcPr>
          <w:p w14:paraId="70531FCA" w14:textId="77777777" w:rsidR="00811887" w:rsidRDefault="00811887" w:rsidP="00486E22">
            <w:pPr>
              <w:pStyle w:val="TableParagraph"/>
              <w:ind w:left="23" w:right="97"/>
              <w:jc w:val="center"/>
              <w:rPr>
                <w:b/>
                <w:sz w:val="20"/>
              </w:rPr>
            </w:pPr>
            <w:r>
              <w:rPr>
                <w:b/>
                <w:color w:val="FFFFFF"/>
                <w:spacing w:val="-4"/>
                <w:sz w:val="20"/>
              </w:rPr>
              <w:t>2004</w:t>
            </w:r>
          </w:p>
        </w:tc>
        <w:tc>
          <w:tcPr>
            <w:tcW w:w="1416" w:type="dxa"/>
          </w:tcPr>
          <w:p w14:paraId="3FF77075" w14:textId="77777777" w:rsidR="00811887" w:rsidRDefault="00811887" w:rsidP="00486E22">
            <w:pPr>
              <w:pStyle w:val="TableParagraph"/>
              <w:ind w:left="16"/>
              <w:jc w:val="center"/>
              <w:rPr>
                <w:sz w:val="20"/>
              </w:rPr>
            </w:pPr>
            <w:r>
              <w:rPr>
                <w:spacing w:val="-4"/>
                <w:sz w:val="20"/>
              </w:rPr>
              <w:t>14.1</w:t>
            </w:r>
          </w:p>
        </w:tc>
        <w:tc>
          <w:tcPr>
            <w:tcW w:w="1275" w:type="dxa"/>
          </w:tcPr>
          <w:p w14:paraId="12A21DE3" w14:textId="77777777" w:rsidR="00811887" w:rsidRDefault="00811887" w:rsidP="00486E22">
            <w:pPr>
              <w:pStyle w:val="TableParagraph"/>
              <w:ind w:left="7"/>
              <w:jc w:val="center"/>
              <w:rPr>
                <w:sz w:val="20"/>
              </w:rPr>
            </w:pPr>
            <w:r>
              <w:rPr>
                <w:spacing w:val="-5"/>
                <w:sz w:val="20"/>
              </w:rPr>
              <w:t>6.7</w:t>
            </w:r>
          </w:p>
        </w:tc>
        <w:tc>
          <w:tcPr>
            <w:tcW w:w="1135" w:type="dxa"/>
          </w:tcPr>
          <w:p w14:paraId="706137B9" w14:textId="77777777" w:rsidR="00811887" w:rsidRDefault="00811887" w:rsidP="00486E22">
            <w:pPr>
              <w:pStyle w:val="TableParagraph"/>
              <w:ind w:left="13" w:right="6"/>
              <w:jc w:val="center"/>
              <w:rPr>
                <w:sz w:val="20"/>
              </w:rPr>
            </w:pPr>
            <w:r>
              <w:rPr>
                <w:spacing w:val="-5"/>
                <w:sz w:val="20"/>
              </w:rPr>
              <w:t>4.4</w:t>
            </w:r>
          </w:p>
        </w:tc>
        <w:tc>
          <w:tcPr>
            <w:tcW w:w="995" w:type="dxa"/>
          </w:tcPr>
          <w:p w14:paraId="5CA39F21" w14:textId="77777777" w:rsidR="00811887" w:rsidRDefault="00811887" w:rsidP="00486E22">
            <w:pPr>
              <w:pStyle w:val="TableParagraph"/>
              <w:ind w:left="9"/>
              <w:jc w:val="center"/>
              <w:rPr>
                <w:sz w:val="20"/>
              </w:rPr>
            </w:pPr>
            <w:r>
              <w:rPr>
                <w:spacing w:val="-5"/>
                <w:sz w:val="20"/>
              </w:rPr>
              <w:t>3.7</w:t>
            </w:r>
          </w:p>
        </w:tc>
        <w:tc>
          <w:tcPr>
            <w:tcW w:w="990" w:type="dxa"/>
          </w:tcPr>
          <w:p w14:paraId="0C1C96A0" w14:textId="77777777" w:rsidR="00811887" w:rsidRDefault="00811887" w:rsidP="00486E22">
            <w:pPr>
              <w:pStyle w:val="TableParagraph"/>
              <w:ind w:left="14"/>
              <w:jc w:val="center"/>
              <w:rPr>
                <w:sz w:val="20"/>
              </w:rPr>
            </w:pPr>
            <w:r>
              <w:rPr>
                <w:spacing w:val="-5"/>
                <w:sz w:val="20"/>
              </w:rPr>
              <w:t>2.3</w:t>
            </w:r>
          </w:p>
        </w:tc>
        <w:tc>
          <w:tcPr>
            <w:tcW w:w="1166" w:type="dxa"/>
          </w:tcPr>
          <w:p w14:paraId="3FCB1F3D" w14:textId="77777777" w:rsidR="00811887" w:rsidRDefault="00811887" w:rsidP="00486E22">
            <w:pPr>
              <w:pStyle w:val="TableParagraph"/>
              <w:ind w:left="9"/>
              <w:jc w:val="center"/>
              <w:rPr>
                <w:sz w:val="20"/>
              </w:rPr>
            </w:pPr>
            <w:r>
              <w:rPr>
                <w:spacing w:val="-4"/>
                <w:sz w:val="20"/>
              </w:rPr>
              <w:t>13.4</w:t>
            </w:r>
          </w:p>
        </w:tc>
        <w:tc>
          <w:tcPr>
            <w:tcW w:w="1336" w:type="dxa"/>
          </w:tcPr>
          <w:p w14:paraId="6E7A39F4" w14:textId="77777777" w:rsidR="00811887" w:rsidRDefault="00811887" w:rsidP="00486E22">
            <w:pPr>
              <w:pStyle w:val="TableParagraph"/>
              <w:ind w:left="8"/>
              <w:jc w:val="center"/>
              <w:rPr>
                <w:sz w:val="20"/>
              </w:rPr>
            </w:pPr>
            <w:r>
              <w:rPr>
                <w:spacing w:val="-5"/>
                <w:sz w:val="20"/>
              </w:rPr>
              <w:t>3.4</w:t>
            </w:r>
          </w:p>
        </w:tc>
      </w:tr>
      <w:tr w:rsidR="00811887" w14:paraId="6BA04542" w14:textId="77777777" w:rsidTr="00486E22">
        <w:trPr>
          <w:trHeight w:val="300"/>
        </w:trPr>
        <w:tc>
          <w:tcPr>
            <w:tcW w:w="705" w:type="dxa"/>
            <w:shd w:val="clear" w:color="auto" w:fill="234060"/>
          </w:tcPr>
          <w:p w14:paraId="56F3B427" w14:textId="77777777" w:rsidR="00811887" w:rsidRDefault="00811887" w:rsidP="00486E22">
            <w:pPr>
              <w:pStyle w:val="TableParagraph"/>
              <w:ind w:left="23" w:right="97"/>
              <w:jc w:val="center"/>
              <w:rPr>
                <w:b/>
                <w:sz w:val="20"/>
              </w:rPr>
            </w:pPr>
            <w:r>
              <w:rPr>
                <w:b/>
                <w:color w:val="FFFFFF"/>
                <w:spacing w:val="-4"/>
                <w:sz w:val="20"/>
              </w:rPr>
              <w:t>2005</w:t>
            </w:r>
          </w:p>
        </w:tc>
        <w:tc>
          <w:tcPr>
            <w:tcW w:w="1416" w:type="dxa"/>
          </w:tcPr>
          <w:p w14:paraId="5E530D8A" w14:textId="77777777" w:rsidR="00811887" w:rsidRDefault="00811887" w:rsidP="00486E22">
            <w:pPr>
              <w:pStyle w:val="TableParagraph"/>
              <w:ind w:left="16"/>
              <w:jc w:val="center"/>
              <w:rPr>
                <w:sz w:val="20"/>
              </w:rPr>
            </w:pPr>
            <w:r>
              <w:rPr>
                <w:spacing w:val="-4"/>
                <w:sz w:val="20"/>
              </w:rPr>
              <w:t>13.3</w:t>
            </w:r>
          </w:p>
        </w:tc>
        <w:tc>
          <w:tcPr>
            <w:tcW w:w="1275" w:type="dxa"/>
          </w:tcPr>
          <w:p w14:paraId="333B4B03" w14:textId="77777777" w:rsidR="00811887" w:rsidRDefault="00811887" w:rsidP="00486E22">
            <w:pPr>
              <w:pStyle w:val="TableParagraph"/>
              <w:ind w:left="7" w:right="1"/>
              <w:jc w:val="center"/>
              <w:rPr>
                <w:sz w:val="20"/>
              </w:rPr>
            </w:pPr>
            <w:r>
              <w:rPr>
                <w:spacing w:val="-5"/>
                <w:sz w:val="20"/>
              </w:rPr>
              <w:t>7.0</w:t>
            </w:r>
          </w:p>
        </w:tc>
        <w:tc>
          <w:tcPr>
            <w:tcW w:w="1135" w:type="dxa"/>
          </w:tcPr>
          <w:p w14:paraId="04B990CE" w14:textId="77777777" w:rsidR="00811887" w:rsidRDefault="00811887" w:rsidP="00486E22">
            <w:pPr>
              <w:pStyle w:val="TableParagraph"/>
              <w:ind w:left="13" w:right="6"/>
              <w:jc w:val="center"/>
              <w:rPr>
                <w:sz w:val="20"/>
              </w:rPr>
            </w:pPr>
            <w:r>
              <w:rPr>
                <w:spacing w:val="-5"/>
                <w:sz w:val="20"/>
              </w:rPr>
              <w:t>4.1</w:t>
            </w:r>
          </w:p>
        </w:tc>
        <w:tc>
          <w:tcPr>
            <w:tcW w:w="995" w:type="dxa"/>
          </w:tcPr>
          <w:p w14:paraId="5DF4D2BA" w14:textId="77777777" w:rsidR="00811887" w:rsidRDefault="00811887" w:rsidP="00486E22">
            <w:pPr>
              <w:pStyle w:val="TableParagraph"/>
              <w:ind w:left="9" w:right="1"/>
              <w:jc w:val="center"/>
              <w:rPr>
                <w:sz w:val="20"/>
              </w:rPr>
            </w:pPr>
            <w:r>
              <w:rPr>
                <w:spacing w:val="-5"/>
                <w:sz w:val="20"/>
              </w:rPr>
              <w:t>3.0</w:t>
            </w:r>
          </w:p>
        </w:tc>
        <w:tc>
          <w:tcPr>
            <w:tcW w:w="990" w:type="dxa"/>
          </w:tcPr>
          <w:p w14:paraId="144503A3" w14:textId="77777777" w:rsidR="00811887" w:rsidRDefault="00811887" w:rsidP="00486E22">
            <w:pPr>
              <w:pStyle w:val="TableParagraph"/>
              <w:ind w:left="14"/>
              <w:jc w:val="center"/>
              <w:rPr>
                <w:sz w:val="20"/>
              </w:rPr>
            </w:pPr>
            <w:r>
              <w:rPr>
                <w:spacing w:val="-5"/>
                <w:sz w:val="20"/>
              </w:rPr>
              <w:t>2.2</w:t>
            </w:r>
          </w:p>
        </w:tc>
        <w:tc>
          <w:tcPr>
            <w:tcW w:w="1166" w:type="dxa"/>
          </w:tcPr>
          <w:p w14:paraId="36A9446E" w14:textId="77777777" w:rsidR="00811887" w:rsidRDefault="00811887" w:rsidP="00486E22">
            <w:pPr>
              <w:pStyle w:val="TableParagraph"/>
              <w:ind w:left="9"/>
              <w:jc w:val="center"/>
              <w:rPr>
                <w:sz w:val="20"/>
              </w:rPr>
            </w:pPr>
            <w:r>
              <w:rPr>
                <w:spacing w:val="-4"/>
                <w:sz w:val="20"/>
              </w:rPr>
              <w:t>13.5</w:t>
            </w:r>
          </w:p>
        </w:tc>
        <w:tc>
          <w:tcPr>
            <w:tcW w:w="1336" w:type="dxa"/>
          </w:tcPr>
          <w:p w14:paraId="16B2FCFD" w14:textId="77777777" w:rsidR="00811887" w:rsidRDefault="00811887" w:rsidP="00486E22">
            <w:pPr>
              <w:pStyle w:val="TableParagraph"/>
              <w:ind w:left="8"/>
              <w:jc w:val="center"/>
              <w:rPr>
                <w:sz w:val="20"/>
              </w:rPr>
            </w:pPr>
            <w:r>
              <w:rPr>
                <w:spacing w:val="-5"/>
                <w:sz w:val="20"/>
              </w:rPr>
              <w:t>3.4</w:t>
            </w:r>
          </w:p>
        </w:tc>
      </w:tr>
      <w:tr w:rsidR="00811887" w14:paraId="5CFF8CDE" w14:textId="77777777" w:rsidTr="00486E22">
        <w:trPr>
          <w:trHeight w:val="300"/>
        </w:trPr>
        <w:tc>
          <w:tcPr>
            <w:tcW w:w="705" w:type="dxa"/>
            <w:shd w:val="clear" w:color="auto" w:fill="234060"/>
          </w:tcPr>
          <w:p w14:paraId="7E8DDC86" w14:textId="77777777" w:rsidR="00811887" w:rsidRDefault="00811887" w:rsidP="00486E22">
            <w:pPr>
              <w:pStyle w:val="TableParagraph"/>
              <w:ind w:left="23" w:right="97"/>
              <w:jc w:val="center"/>
              <w:rPr>
                <w:b/>
                <w:sz w:val="20"/>
              </w:rPr>
            </w:pPr>
            <w:r>
              <w:rPr>
                <w:b/>
                <w:color w:val="FFFFFF"/>
                <w:spacing w:val="-4"/>
                <w:sz w:val="20"/>
              </w:rPr>
              <w:t>2006</w:t>
            </w:r>
          </w:p>
        </w:tc>
        <w:tc>
          <w:tcPr>
            <w:tcW w:w="1416" w:type="dxa"/>
          </w:tcPr>
          <w:p w14:paraId="23520215" w14:textId="77777777" w:rsidR="00811887" w:rsidRDefault="00811887" w:rsidP="00486E22">
            <w:pPr>
              <w:pStyle w:val="TableParagraph"/>
              <w:ind w:left="16"/>
              <w:jc w:val="center"/>
              <w:rPr>
                <w:sz w:val="20"/>
              </w:rPr>
            </w:pPr>
            <w:r>
              <w:rPr>
                <w:spacing w:val="-4"/>
                <w:sz w:val="20"/>
              </w:rPr>
              <w:t>12.3</w:t>
            </w:r>
          </w:p>
        </w:tc>
        <w:tc>
          <w:tcPr>
            <w:tcW w:w="1275" w:type="dxa"/>
          </w:tcPr>
          <w:p w14:paraId="1C26ADC8" w14:textId="77777777" w:rsidR="00811887" w:rsidRDefault="00811887" w:rsidP="00486E22">
            <w:pPr>
              <w:pStyle w:val="TableParagraph"/>
              <w:ind w:left="7"/>
              <w:jc w:val="center"/>
              <w:rPr>
                <w:sz w:val="20"/>
              </w:rPr>
            </w:pPr>
            <w:r>
              <w:rPr>
                <w:spacing w:val="-5"/>
                <w:sz w:val="20"/>
              </w:rPr>
              <w:t>6.1</w:t>
            </w:r>
          </w:p>
        </w:tc>
        <w:tc>
          <w:tcPr>
            <w:tcW w:w="1135" w:type="dxa"/>
          </w:tcPr>
          <w:p w14:paraId="12E59672" w14:textId="77777777" w:rsidR="00811887" w:rsidRDefault="00811887" w:rsidP="00486E22">
            <w:pPr>
              <w:pStyle w:val="TableParagraph"/>
              <w:ind w:left="13" w:right="6"/>
              <w:jc w:val="center"/>
              <w:rPr>
                <w:sz w:val="20"/>
              </w:rPr>
            </w:pPr>
            <w:r>
              <w:rPr>
                <w:spacing w:val="-5"/>
                <w:sz w:val="20"/>
              </w:rPr>
              <w:t>3.7</w:t>
            </w:r>
          </w:p>
        </w:tc>
        <w:tc>
          <w:tcPr>
            <w:tcW w:w="995" w:type="dxa"/>
          </w:tcPr>
          <w:p w14:paraId="0CC93D27" w14:textId="77777777" w:rsidR="00811887" w:rsidRDefault="00811887" w:rsidP="00486E22">
            <w:pPr>
              <w:pStyle w:val="TableParagraph"/>
              <w:ind w:left="9"/>
              <w:jc w:val="center"/>
              <w:rPr>
                <w:sz w:val="20"/>
              </w:rPr>
            </w:pPr>
            <w:r>
              <w:rPr>
                <w:spacing w:val="-5"/>
                <w:sz w:val="20"/>
              </w:rPr>
              <w:t>2.9</w:t>
            </w:r>
          </w:p>
        </w:tc>
        <w:tc>
          <w:tcPr>
            <w:tcW w:w="990" w:type="dxa"/>
          </w:tcPr>
          <w:p w14:paraId="1F3BBB51" w14:textId="77777777" w:rsidR="00811887" w:rsidRDefault="00811887" w:rsidP="00486E22">
            <w:pPr>
              <w:pStyle w:val="TableParagraph"/>
              <w:ind w:left="14"/>
              <w:jc w:val="center"/>
              <w:rPr>
                <w:sz w:val="20"/>
              </w:rPr>
            </w:pPr>
            <w:r>
              <w:rPr>
                <w:spacing w:val="-5"/>
                <w:sz w:val="20"/>
              </w:rPr>
              <w:t>1.6</w:t>
            </w:r>
          </w:p>
        </w:tc>
        <w:tc>
          <w:tcPr>
            <w:tcW w:w="1166" w:type="dxa"/>
          </w:tcPr>
          <w:p w14:paraId="518DC41A" w14:textId="77777777" w:rsidR="00811887" w:rsidRDefault="00811887" w:rsidP="00486E22">
            <w:pPr>
              <w:pStyle w:val="TableParagraph"/>
              <w:ind w:left="9" w:right="1"/>
              <w:jc w:val="center"/>
              <w:rPr>
                <w:sz w:val="20"/>
              </w:rPr>
            </w:pPr>
            <w:r>
              <w:rPr>
                <w:spacing w:val="-4"/>
                <w:sz w:val="20"/>
              </w:rPr>
              <w:t>12.0</w:t>
            </w:r>
          </w:p>
        </w:tc>
        <w:tc>
          <w:tcPr>
            <w:tcW w:w="1336" w:type="dxa"/>
          </w:tcPr>
          <w:p w14:paraId="46A903B2" w14:textId="77777777" w:rsidR="00811887" w:rsidRDefault="00811887" w:rsidP="00486E22">
            <w:pPr>
              <w:pStyle w:val="TableParagraph"/>
              <w:ind w:left="8"/>
              <w:jc w:val="center"/>
              <w:rPr>
                <w:sz w:val="20"/>
              </w:rPr>
            </w:pPr>
            <w:r>
              <w:rPr>
                <w:spacing w:val="-5"/>
                <w:sz w:val="20"/>
              </w:rPr>
              <w:t>3.0</w:t>
            </w:r>
          </w:p>
        </w:tc>
      </w:tr>
      <w:tr w:rsidR="00811887" w14:paraId="72EF08EF" w14:textId="77777777" w:rsidTr="00486E22">
        <w:trPr>
          <w:trHeight w:val="300"/>
        </w:trPr>
        <w:tc>
          <w:tcPr>
            <w:tcW w:w="705" w:type="dxa"/>
            <w:shd w:val="clear" w:color="auto" w:fill="234060"/>
          </w:tcPr>
          <w:p w14:paraId="52CC0C3F" w14:textId="77777777" w:rsidR="00811887" w:rsidRDefault="00811887" w:rsidP="00486E22">
            <w:pPr>
              <w:pStyle w:val="TableParagraph"/>
              <w:ind w:left="23" w:right="97"/>
              <w:jc w:val="center"/>
              <w:rPr>
                <w:b/>
                <w:sz w:val="20"/>
              </w:rPr>
            </w:pPr>
            <w:r>
              <w:rPr>
                <w:b/>
                <w:color w:val="FFFFFF"/>
                <w:spacing w:val="-4"/>
                <w:sz w:val="20"/>
              </w:rPr>
              <w:t>2007</w:t>
            </w:r>
          </w:p>
        </w:tc>
        <w:tc>
          <w:tcPr>
            <w:tcW w:w="1416" w:type="dxa"/>
          </w:tcPr>
          <w:p w14:paraId="78FEA06E" w14:textId="77777777" w:rsidR="00811887" w:rsidRDefault="00811887" w:rsidP="00486E22">
            <w:pPr>
              <w:pStyle w:val="TableParagraph"/>
              <w:ind w:left="16"/>
              <w:jc w:val="center"/>
              <w:rPr>
                <w:sz w:val="20"/>
              </w:rPr>
            </w:pPr>
            <w:r>
              <w:rPr>
                <w:spacing w:val="-4"/>
                <w:sz w:val="20"/>
              </w:rPr>
              <w:t>12.6</w:t>
            </w:r>
          </w:p>
        </w:tc>
        <w:tc>
          <w:tcPr>
            <w:tcW w:w="1275" w:type="dxa"/>
          </w:tcPr>
          <w:p w14:paraId="5B5D8A1B" w14:textId="77777777" w:rsidR="00811887" w:rsidRDefault="00811887" w:rsidP="00486E22">
            <w:pPr>
              <w:pStyle w:val="TableParagraph"/>
              <w:ind w:left="7"/>
              <w:jc w:val="center"/>
              <w:rPr>
                <w:sz w:val="20"/>
              </w:rPr>
            </w:pPr>
            <w:r>
              <w:rPr>
                <w:spacing w:val="-5"/>
                <w:sz w:val="20"/>
              </w:rPr>
              <w:t>6.8</w:t>
            </w:r>
          </w:p>
        </w:tc>
        <w:tc>
          <w:tcPr>
            <w:tcW w:w="1135" w:type="dxa"/>
          </w:tcPr>
          <w:p w14:paraId="2E880840" w14:textId="77777777" w:rsidR="00811887" w:rsidRDefault="00811887" w:rsidP="00486E22">
            <w:pPr>
              <w:pStyle w:val="TableParagraph"/>
              <w:ind w:left="13" w:right="6"/>
              <w:jc w:val="center"/>
              <w:rPr>
                <w:sz w:val="20"/>
              </w:rPr>
            </w:pPr>
            <w:r>
              <w:rPr>
                <w:spacing w:val="-5"/>
                <w:sz w:val="20"/>
              </w:rPr>
              <w:t>4.3</w:t>
            </w:r>
          </w:p>
        </w:tc>
        <w:tc>
          <w:tcPr>
            <w:tcW w:w="995" w:type="dxa"/>
          </w:tcPr>
          <w:p w14:paraId="33B13BF1" w14:textId="77777777" w:rsidR="00811887" w:rsidRDefault="00811887" w:rsidP="00486E22">
            <w:pPr>
              <w:pStyle w:val="TableParagraph"/>
              <w:ind w:left="9"/>
              <w:jc w:val="center"/>
              <w:rPr>
                <w:sz w:val="20"/>
              </w:rPr>
            </w:pPr>
            <w:r>
              <w:rPr>
                <w:spacing w:val="-5"/>
                <w:sz w:val="20"/>
              </w:rPr>
              <w:t>3.4</w:t>
            </w:r>
          </w:p>
        </w:tc>
        <w:tc>
          <w:tcPr>
            <w:tcW w:w="990" w:type="dxa"/>
          </w:tcPr>
          <w:p w14:paraId="31556B56" w14:textId="77777777" w:rsidR="00811887" w:rsidRDefault="00811887" w:rsidP="00486E22">
            <w:pPr>
              <w:pStyle w:val="TableParagraph"/>
              <w:ind w:left="14"/>
              <w:jc w:val="center"/>
              <w:rPr>
                <w:sz w:val="20"/>
              </w:rPr>
            </w:pPr>
            <w:r>
              <w:rPr>
                <w:spacing w:val="-5"/>
                <w:sz w:val="20"/>
              </w:rPr>
              <w:t>2.0</w:t>
            </w:r>
          </w:p>
        </w:tc>
        <w:tc>
          <w:tcPr>
            <w:tcW w:w="1166" w:type="dxa"/>
          </w:tcPr>
          <w:p w14:paraId="35039377" w14:textId="77777777" w:rsidR="00811887" w:rsidRDefault="00811887" w:rsidP="00486E22">
            <w:pPr>
              <w:pStyle w:val="TableParagraph"/>
              <w:ind w:left="9" w:right="1"/>
              <w:jc w:val="center"/>
              <w:rPr>
                <w:sz w:val="20"/>
              </w:rPr>
            </w:pPr>
            <w:r>
              <w:rPr>
                <w:spacing w:val="-4"/>
                <w:sz w:val="20"/>
              </w:rPr>
              <w:t>13.0</w:t>
            </w:r>
          </w:p>
        </w:tc>
        <w:tc>
          <w:tcPr>
            <w:tcW w:w="1336" w:type="dxa"/>
          </w:tcPr>
          <w:p w14:paraId="653D122C" w14:textId="77777777" w:rsidR="00811887" w:rsidRDefault="00811887" w:rsidP="00486E22">
            <w:pPr>
              <w:pStyle w:val="TableParagraph"/>
              <w:ind w:left="8"/>
              <w:jc w:val="center"/>
              <w:rPr>
                <w:sz w:val="20"/>
              </w:rPr>
            </w:pPr>
            <w:r>
              <w:rPr>
                <w:spacing w:val="-5"/>
                <w:sz w:val="20"/>
              </w:rPr>
              <w:t>3.1</w:t>
            </w:r>
          </w:p>
        </w:tc>
      </w:tr>
      <w:tr w:rsidR="00811887" w14:paraId="3609567D" w14:textId="77777777" w:rsidTr="00486E22">
        <w:trPr>
          <w:trHeight w:val="300"/>
        </w:trPr>
        <w:tc>
          <w:tcPr>
            <w:tcW w:w="705" w:type="dxa"/>
            <w:shd w:val="clear" w:color="auto" w:fill="234060"/>
          </w:tcPr>
          <w:p w14:paraId="5736A8B1" w14:textId="77777777" w:rsidR="00811887" w:rsidRDefault="00811887" w:rsidP="00486E22">
            <w:pPr>
              <w:pStyle w:val="TableParagraph"/>
              <w:ind w:left="23" w:right="97"/>
              <w:jc w:val="center"/>
              <w:rPr>
                <w:b/>
                <w:sz w:val="20"/>
              </w:rPr>
            </w:pPr>
            <w:r>
              <w:rPr>
                <w:b/>
                <w:color w:val="FFFFFF"/>
                <w:spacing w:val="-4"/>
                <w:sz w:val="20"/>
              </w:rPr>
              <w:t>2008</w:t>
            </w:r>
          </w:p>
        </w:tc>
        <w:tc>
          <w:tcPr>
            <w:tcW w:w="1416" w:type="dxa"/>
          </w:tcPr>
          <w:p w14:paraId="66F26F7B" w14:textId="77777777" w:rsidR="00811887" w:rsidRDefault="00811887" w:rsidP="00486E22">
            <w:pPr>
              <w:pStyle w:val="TableParagraph"/>
              <w:ind w:left="16"/>
              <w:jc w:val="center"/>
              <w:rPr>
                <w:sz w:val="20"/>
              </w:rPr>
            </w:pPr>
            <w:r>
              <w:rPr>
                <w:spacing w:val="-4"/>
                <w:sz w:val="20"/>
              </w:rPr>
              <w:t>11.3</w:t>
            </w:r>
          </w:p>
        </w:tc>
        <w:tc>
          <w:tcPr>
            <w:tcW w:w="1275" w:type="dxa"/>
          </w:tcPr>
          <w:p w14:paraId="7DABB213" w14:textId="77777777" w:rsidR="00811887" w:rsidRDefault="00811887" w:rsidP="00486E22">
            <w:pPr>
              <w:pStyle w:val="TableParagraph"/>
              <w:ind w:left="7"/>
              <w:jc w:val="center"/>
              <w:rPr>
                <w:sz w:val="20"/>
              </w:rPr>
            </w:pPr>
            <w:r>
              <w:rPr>
                <w:spacing w:val="-5"/>
                <w:sz w:val="20"/>
              </w:rPr>
              <w:t>5.6</w:t>
            </w:r>
          </w:p>
        </w:tc>
        <w:tc>
          <w:tcPr>
            <w:tcW w:w="1135" w:type="dxa"/>
          </w:tcPr>
          <w:p w14:paraId="3EDB6E6D" w14:textId="77777777" w:rsidR="00811887" w:rsidRDefault="00811887" w:rsidP="00486E22">
            <w:pPr>
              <w:pStyle w:val="TableParagraph"/>
              <w:ind w:left="13" w:right="6"/>
              <w:jc w:val="center"/>
              <w:rPr>
                <w:sz w:val="20"/>
              </w:rPr>
            </w:pPr>
            <w:r>
              <w:rPr>
                <w:spacing w:val="-5"/>
                <w:sz w:val="20"/>
              </w:rPr>
              <w:t>3.7</w:t>
            </w:r>
          </w:p>
        </w:tc>
        <w:tc>
          <w:tcPr>
            <w:tcW w:w="995" w:type="dxa"/>
          </w:tcPr>
          <w:p w14:paraId="03281841" w14:textId="77777777" w:rsidR="00811887" w:rsidRDefault="00811887" w:rsidP="00486E22">
            <w:pPr>
              <w:pStyle w:val="TableParagraph"/>
              <w:ind w:left="9"/>
              <w:jc w:val="center"/>
              <w:rPr>
                <w:sz w:val="20"/>
              </w:rPr>
            </w:pPr>
            <w:r>
              <w:rPr>
                <w:spacing w:val="-5"/>
                <w:sz w:val="20"/>
              </w:rPr>
              <w:t>3.5</w:t>
            </w:r>
          </w:p>
        </w:tc>
        <w:tc>
          <w:tcPr>
            <w:tcW w:w="990" w:type="dxa"/>
          </w:tcPr>
          <w:p w14:paraId="3437221F" w14:textId="77777777" w:rsidR="00811887" w:rsidRDefault="00811887" w:rsidP="00486E22">
            <w:pPr>
              <w:pStyle w:val="TableParagraph"/>
              <w:ind w:left="14"/>
              <w:jc w:val="center"/>
              <w:rPr>
                <w:sz w:val="20"/>
              </w:rPr>
            </w:pPr>
            <w:r>
              <w:rPr>
                <w:spacing w:val="-5"/>
                <w:sz w:val="20"/>
              </w:rPr>
              <w:t>2.3</w:t>
            </w:r>
          </w:p>
        </w:tc>
        <w:tc>
          <w:tcPr>
            <w:tcW w:w="1166" w:type="dxa"/>
          </w:tcPr>
          <w:p w14:paraId="4224D50F" w14:textId="77777777" w:rsidR="00811887" w:rsidRDefault="00811887" w:rsidP="00486E22">
            <w:pPr>
              <w:pStyle w:val="TableParagraph"/>
              <w:ind w:left="9"/>
              <w:jc w:val="center"/>
              <w:rPr>
                <w:sz w:val="20"/>
              </w:rPr>
            </w:pPr>
            <w:r>
              <w:rPr>
                <w:spacing w:val="-4"/>
                <w:sz w:val="20"/>
              </w:rPr>
              <w:t>11.5</w:t>
            </w:r>
          </w:p>
        </w:tc>
        <w:tc>
          <w:tcPr>
            <w:tcW w:w="1336" w:type="dxa"/>
          </w:tcPr>
          <w:p w14:paraId="1A0E6A1B" w14:textId="77777777" w:rsidR="00811887" w:rsidRDefault="00811887" w:rsidP="00486E22">
            <w:pPr>
              <w:pStyle w:val="TableParagraph"/>
              <w:ind w:left="8"/>
              <w:jc w:val="center"/>
              <w:rPr>
                <w:sz w:val="20"/>
              </w:rPr>
            </w:pPr>
            <w:r>
              <w:rPr>
                <w:spacing w:val="-5"/>
                <w:sz w:val="20"/>
              </w:rPr>
              <w:t>3.3</w:t>
            </w:r>
          </w:p>
        </w:tc>
      </w:tr>
      <w:tr w:rsidR="00811887" w14:paraId="49D296CD" w14:textId="77777777" w:rsidTr="00486E22">
        <w:trPr>
          <w:trHeight w:val="300"/>
        </w:trPr>
        <w:tc>
          <w:tcPr>
            <w:tcW w:w="705" w:type="dxa"/>
            <w:shd w:val="clear" w:color="auto" w:fill="234060"/>
          </w:tcPr>
          <w:p w14:paraId="1F47DA98" w14:textId="77777777" w:rsidR="00811887" w:rsidRDefault="00811887" w:rsidP="00486E22">
            <w:pPr>
              <w:pStyle w:val="TableParagraph"/>
              <w:ind w:left="23" w:right="97"/>
              <w:jc w:val="center"/>
              <w:rPr>
                <w:b/>
                <w:sz w:val="20"/>
              </w:rPr>
            </w:pPr>
            <w:r>
              <w:rPr>
                <w:b/>
                <w:color w:val="FFFFFF"/>
                <w:spacing w:val="-4"/>
                <w:sz w:val="20"/>
              </w:rPr>
              <w:t>2009</w:t>
            </w:r>
          </w:p>
        </w:tc>
        <w:tc>
          <w:tcPr>
            <w:tcW w:w="1416" w:type="dxa"/>
          </w:tcPr>
          <w:p w14:paraId="2299C340" w14:textId="77777777" w:rsidR="00811887" w:rsidRDefault="00811887" w:rsidP="00486E22">
            <w:pPr>
              <w:pStyle w:val="TableParagraph"/>
              <w:ind w:left="16"/>
              <w:jc w:val="center"/>
              <w:rPr>
                <w:sz w:val="20"/>
              </w:rPr>
            </w:pPr>
            <w:r>
              <w:rPr>
                <w:spacing w:val="-4"/>
                <w:sz w:val="20"/>
              </w:rPr>
              <w:t>11.7</w:t>
            </w:r>
          </w:p>
        </w:tc>
        <w:tc>
          <w:tcPr>
            <w:tcW w:w="1275" w:type="dxa"/>
          </w:tcPr>
          <w:p w14:paraId="7FE43368" w14:textId="77777777" w:rsidR="00811887" w:rsidRDefault="00811887" w:rsidP="00486E22">
            <w:pPr>
              <w:pStyle w:val="TableParagraph"/>
              <w:ind w:left="7"/>
              <w:jc w:val="center"/>
              <w:rPr>
                <w:sz w:val="20"/>
              </w:rPr>
            </w:pPr>
            <w:r>
              <w:rPr>
                <w:spacing w:val="-5"/>
                <w:sz w:val="20"/>
              </w:rPr>
              <w:t>6.4</w:t>
            </w:r>
          </w:p>
        </w:tc>
        <w:tc>
          <w:tcPr>
            <w:tcW w:w="1135" w:type="dxa"/>
          </w:tcPr>
          <w:p w14:paraId="70950FB8" w14:textId="77777777" w:rsidR="00811887" w:rsidRDefault="00811887" w:rsidP="00486E22">
            <w:pPr>
              <w:pStyle w:val="TableParagraph"/>
              <w:ind w:left="13" w:right="6"/>
              <w:jc w:val="center"/>
              <w:rPr>
                <w:sz w:val="20"/>
              </w:rPr>
            </w:pPr>
            <w:r>
              <w:rPr>
                <w:spacing w:val="-5"/>
                <w:sz w:val="20"/>
              </w:rPr>
              <w:t>4.4</w:t>
            </w:r>
          </w:p>
        </w:tc>
        <w:tc>
          <w:tcPr>
            <w:tcW w:w="995" w:type="dxa"/>
          </w:tcPr>
          <w:p w14:paraId="2188F843" w14:textId="77777777" w:rsidR="00811887" w:rsidRDefault="00811887" w:rsidP="00486E22">
            <w:pPr>
              <w:pStyle w:val="TableParagraph"/>
              <w:ind w:left="9" w:right="1"/>
              <w:jc w:val="center"/>
              <w:rPr>
                <w:sz w:val="20"/>
              </w:rPr>
            </w:pPr>
            <w:r>
              <w:rPr>
                <w:spacing w:val="-5"/>
                <w:sz w:val="20"/>
              </w:rPr>
              <w:t>4.0</w:t>
            </w:r>
          </w:p>
        </w:tc>
        <w:tc>
          <w:tcPr>
            <w:tcW w:w="990" w:type="dxa"/>
          </w:tcPr>
          <w:p w14:paraId="1EA8E3E8" w14:textId="77777777" w:rsidR="00811887" w:rsidRDefault="00811887" w:rsidP="00486E22">
            <w:pPr>
              <w:pStyle w:val="TableParagraph"/>
              <w:ind w:left="14"/>
              <w:jc w:val="center"/>
              <w:rPr>
                <w:sz w:val="20"/>
              </w:rPr>
            </w:pPr>
            <w:r>
              <w:rPr>
                <w:spacing w:val="-5"/>
                <w:sz w:val="20"/>
              </w:rPr>
              <w:t>2.4</w:t>
            </w:r>
          </w:p>
        </w:tc>
        <w:tc>
          <w:tcPr>
            <w:tcW w:w="1166" w:type="dxa"/>
          </w:tcPr>
          <w:p w14:paraId="503BEC49" w14:textId="77777777" w:rsidR="00811887" w:rsidRDefault="00811887" w:rsidP="00486E22">
            <w:pPr>
              <w:pStyle w:val="TableParagraph"/>
              <w:ind w:left="9"/>
              <w:jc w:val="center"/>
              <w:rPr>
                <w:sz w:val="20"/>
              </w:rPr>
            </w:pPr>
            <w:r>
              <w:rPr>
                <w:spacing w:val="-4"/>
                <w:sz w:val="20"/>
              </w:rPr>
              <w:t>12.5</w:t>
            </w:r>
          </w:p>
        </w:tc>
        <w:tc>
          <w:tcPr>
            <w:tcW w:w="1336" w:type="dxa"/>
          </w:tcPr>
          <w:p w14:paraId="25E47E6B" w14:textId="77777777" w:rsidR="00811887" w:rsidRDefault="00811887" w:rsidP="00486E22">
            <w:pPr>
              <w:pStyle w:val="TableParagraph"/>
              <w:ind w:left="8"/>
              <w:jc w:val="center"/>
              <w:rPr>
                <w:sz w:val="20"/>
              </w:rPr>
            </w:pPr>
            <w:r>
              <w:rPr>
                <w:spacing w:val="-5"/>
                <w:sz w:val="20"/>
              </w:rPr>
              <w:t>4.0</w:t>
            </w:r>
          </w:p>
        </w:tc>
      </w:tr>
      <w:tr w:rsidR="00811887" w14:paraId="5CDBD6B1" w14:textId="77777777" w:rsidTr="00486E22">
        <w:trPr>
          <w:trHeight w:val="300"/>
        </w:trPr>
        <w:tc>
          <w:tcPr>
            <w:tcW w:w="705" w:type="dxa"/>
            <w:shd w:val="clear" w:color="auto" w:fill="234060"/>
          </w:tcPr>
          <w:p w14:paraId="2EF01EB3" w14:textId="77777777" w:rsidR="00811887" w:rsidRDefault="00811887" w:rsidP="00486E22">
            <w:pPr>
              <w:pStyle w:val="TableParagraph"/>
              <w:ind w:left="23" w:right="97"/>
              <w:jc w:val="center"/>
              <w:rPr>
                <w:b/>
                <w:sz w:val="20"/>
              </w:rPr>
            </w:pPr>
            <w:r>
              <w:rPr>
                <w:b/>
                <w:color w:val="FFFFFF"/>
                <w:spacing w:val="-4"/>
                <w:sz w:val="20"/>
              </w:rPr>
              <w:t>2010</w:t>
            </w:r>
          </w:p>
        </w:tc>
        <w:tc>
          <w:tcPr>
            <w:tcW w:w="8313" w:type="dxa"/>
            <w:gridSpan w:val="7"/>
          </w:tcPr>
          <w:p w14:paraId="4CD685E7" w14:textId="77777777" w:rsidR="00811887" w:rsidRDefault="00811887" w:rsidP="00486E22">
            <w:pPr>
              <w:pStyle w:val="TableParagraph"/>
              <w:ind w:left="18" w:right="14"/>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r>
      <w:tr w:rsidR="00811887" w14:paraId="713FDBFB" w14:textId="77777777" w:rsidTr="00486E22">
        <w:trPr>
          <w:trHeight w:val="300"/>
        </w:trPr>
        <w:tc>
          <w:tcPr>
            <w:tcW w:w="705" w:type="dxa"/>
            <w:shd w:val="clear" w:color="auto" w:fill="234060"/>
          </w:tcPr>
          <w:p w14:paraId="78C83417" w14:textId="77777777" w:rsidR="00811887" w:rsidRDefault="00811887" w:rsidP="00486E22">
            <w:pPr>
              <w:pStyle w:val="TableParagraph"/>
              <w:ind w:left="23" w:right="97"/>
              <w:jc w:val="center"/>
              <w:rPr>
                <w:b/>
                <w:sz w:val="20"/>
              </w:rPr>
            </w:pPr>
            <w:r>
              <w:rPr>
                <w:b/>
                <w:color w:val="FFFFFF"/>
                <w:spacing w:val="-4"/>
                <w:sz w:val="20"/>
              </w:rPr>
              <w:t>2011</w:t>
            </w:r>
          </w:p>
        </w:tc>
        <w:tc>
          <w:tcPr>
            <w:tcW w:w="1416" w:type="dxa"/>
          </w:tcPr>
          <w:p w14:paraId="338356DC" w14:textId="77777777" w:rsidR="00811887" w:rsidRDefault="00811887" w:rsidP="00486E22">
            <w:pPr>
              <w:pStyle w:val="TableParagraph"/>
              <w:ind w:left="16"/>
              <w:jc w:val="center"/>
              <w:rPr>
                <w:sz w:val="20"/>
              </w:rPr>
            </w:pPr>
            <w:r>
              <w:rPr>
                <w:spacing w:val="-4"/>
                <w:sz w:val="20"/>
              </w:rPr>
              <w:t>13.5</w:t>
            </w:r>
          </w:p>
        </w:tc>
        <w:tc>
          <w:tcPr>
            <w:tcW w:w="1275" w:type="dxa"/>
          </w:tcPr>
          <w:p w14:paraId="50A7FD2E" w14:textId="77777777" w:rsidR="00811887" w:rsidRDefault="00811887" w:rsidP="00486E22">
            <w:pPr>
              <w:pStyle w:val="TableParagraph"/>
              <w:ind w:left="7" w:right="1"/>
              <w:jc w:val="center"/>
              <w:rPr>
                <w:sz w:val="20"/>
              </w:rPr>
            </w:pPr>
            <w:r>
              <w:rPr>
                <w:spacing w:val="-5"/>
                <w:sz w:val="20"/>
              </w:rPr>
              <w:t>7.0</w:t>
            </w:r>
          </w:p>
        </w:tc>
        <w:tc>
          <w:tcPr>
            <w:tcW w:w="1135" w:type="dxa"/>
          </w:tcPr>
          <w:p w14:paraId="57A89D95" w14:textId="77777777" w:rsidR="00811887" w:rsidRDefault="00811887" w:rsidP="00486E22">
            <w:pPr>
              <w:pStyle w:val="TableParagraph"/>
              <w:ind w:left="13" w:right="6"/>
              <w:jc w:val="center"/>
              <w:rPr>
                <w:sz w:val="20"/>
              </w:rPr>
            </w:pPr>
            <w:r>
              <w:rPr>
                <w:spacing w:val="-5"/>
                <w:sz w:val="20"/>
              </w:rPr>
              <w:t>5.1</w:t>
            </w:r>
          </w:p>
        </w:tc>
        <w:tc>
          <w:tcPr>
            <w:tcW w:w="995" w:type="dxa"/>
          </w:tcPr>
          <w:p w14:paraId="7AB24F17" w14:textId="77777777" w:rsidR="00811887" w:rsidRDefault="00811887" w:rsidP="00486E22">
            <w:pPr>
              <w:pStyle w:val="TableParagraph"/>
              <w:ind w:left="9"/>
              <w:jc w:val="center"/>
              <w:rPr>
                <w:sz w:val="20"/>
              </w:rPr>
            </w:pPr>
            <w:r>
              <w:rPr>
                <w:spacing w:val="-5"/>
                <w:sz w:val="20"/>
              </w:rPr>
              <w:t>3.5</w:t>
            </w:r>
          </w:p>
        </w:tc>
        <w:tc>
          <w:tcPr>
            <w:tcW w:w="990" w:type="dxa"/>
          </w:tcPr>
          <w:p w14:paraId="25913020" w14:textId="77777777" w:rsidR="00811887" w:rsidRDefault="00811887" w:rsidP="00486E22">
            <w:pPr>
              <w:pStyle w:val="TableParagraph"/>
              <w:ind w:left="14"/>
              <w:jc w:val="center"/>
              <w:rPr>
                <w:sz w:val="20"/>
              </w:rPr>
            </w:pPr>
            <w:r>
              <w:rPr>
                <w:spacing w:val="-5"/>
                <w:sz w:val="20"/>
              </w:rPr>
              <w:t>4.2</w:t>
            </w:r>
          </w:p>
        </w:tc>
        <w:tc>
          <w:tcPr>
            <w:tcW w:w="1166" w:type="dxa"/>
          </w:tcPr>
          <w:p w14:paraId="4DEFFE63" w14:textId="77777777" w:rsidR="00811887" w:rsidRDefault="00811887" w:rsidP="00486E22">
            <w:pPr>
              <w:pStyle w:val="TableParagraph"/>
              <w:ind w:left="9"/>
              <w:jc w:val="center"/>
              <w:rPr>
                <w:sz w:val="20"/>
              </w:rPr>
            </w:pPr>
            <w:r>
              <w:rPr>
                <w:spacing w:val="-4"/>
                <w:sz w:val="20"/>
              </w:rPr>
              <w:t>13.3</w:t>
            </w:r>
          </w:p>
        </w:tc>
        <w:tc>
          <w:tcPr>
            <w:tcW w:w="1336" w:type="dxa"/>
          </w:tcPr>
          <w:p w14:paraId="0AFEEFBD" w14:textId="77777777" w:rsidR="00811887" w:rsidRDefault="00811887" w:rsidP="00486E22">
            <w:pPr>
              <w:pStyle w:val="TableParagraph"/>
              <w:ind w:left="8"/>
              <w:jc w:val="center"/>
              <w:rPr>
                <w:sz w:val="20"/>
              </w:rPr>
            </w:pPr>
            <w:r>
              <w:rPr>
                <w:spacing w:val="-5"/>
                <w:sz w:val="20"/>
              </w:rPr>
              <w:t>4.1</w:t>
            </w:r>
          </w:p>
        </w:tc>
      </w:tr>
      <w:tr w:rsidR="00811887" w14:paraId="406602A5" w14:textId="77777777" w:rsidTr="00486E22">
        <w:trPr>
          <w:trHeight w:val="300"/>
        </w:trPr>
        <w:tc>
          <w:tcPr>
            <w:tcW w:w="705" w:type="dxa"/>
            <w:shd w:val="clear" w:color="auto" w:fill="234060"/>
          </w:tcPr>
          <w:p w14:paraId="39E72079" w14:textId="77777777" w:rsidR="00811887" w:rsidRDefault="00811887" w:rsidP="00486E22">
            <w:pPr>
              <w:pStyle w:val="TableParagraph"/>
              <w:spacing w:line="240" w:lineRule="auto"/>
              <w:ind w:left="23" w:right="97"/>
              <w:jc w:val="center"/>
              <w:rPr>
                <w:b/>
                <w:sz w:val="20"/>
              </w:rPr>
            </w:pPr>
            <w:r>
              <w:rPr>
                <w:b/>
                <w:color w:val="FFFFFF"/>
                <w:spacing w:val="-4"/>
                <w:sz w:val="20"/>
              </w:rPr>
              <w:t>2012</w:t>
            </w:r>
          </w:p>
        </w:tc>
        <w:tc>
          <w:tcPr>
            <w:tcW w:w="1416" w:type="dxa"/>
          </w:tcPr>
          <w:p w14:paraId="72D59832" w14:textId="77777777" w:rsidR="00811887" w:rsidRDefault="00811887" w:rsidP="00486E22">
            <w:pPr>
              <w:pStyle w:val="TableParagraph"/>
              <w:spacing w:line="240" w:lineRule="auto"/>
              <w:ind w:left="16"/>
              <w:jc w:val="center"/>
              <w:rPr>
                <w:sz w:val="20"/>
              </w:rPr>
            </w:pPr>
            <w:r>
              <w:rPr>
                <w:spacing w:val="-4"/>
                <w:sz w:val="20"/>
              </w:rPr>
              <w:t>12.8</w:t>
            </w:r>
          </w:p>
        </w:tc>
        <w:tc>
          <w:tcPr>
            <w:tcW w:w="1275" w:type="dxa"/>
          </w:tcPr>
          <w:p w14:paraId="073CB8FE" w14:textId="77777777" w:rsidR="00811887" w:rsidRDefault="00811887" w:rsidP="00486E22">
            <w:pPr>
              <w:pStyle w:val="TableParagraph"/>
              <w:spacing w:line="240" w:lineRule="auto"/>
              <w:ind w:left="7"/>
              <w:jc w:val="center"/>
              <w:rPr>
                <w:sz w:val="20"/>
              </w:rPr>
            </w:pPr>
            <w:r>
              <w:rPr>
                <w:spacing w:val="-5"/>
                <w:sz w:val="20"/>
              </w:rPr>
              <w:t>6.3</w:t>
            </w:r>
          </w:p>
        </w:tc>
        <w:tc>
          <w:tcPr>
            <w:tcW w:w="1135" w:type="dxa"/>
          </w:tcPr>
          <w:p w14:paraId="3F91A172" w14:textId="77777777" w:rsidR="00811887" w:rsidRDefault="00811887" w:rsidP="00486E22">
            <w:pPr>
              <w:pStyle w:val="TableParagraph"/>
              <w:spacing w:line="240" w:lineRule="auto"/>
              <w:ind w:left="13" w:right="6"/>
              <w:jc w:val="center"/>
              <w:rPr>
                <w:sz w:val="20"/>
              </w:rPr>
            </w:pPr>
            <w:r>
              <w:rPr>
                <w:spacing w:val="-5"/>
                <w:sz w:val="20"/>
              </w:rPr>
              <w:t>4.9</w:t>
            </w:r>
          </w:p>
        </w:tc>
        <w:tc>
          <w:tcPr>
            <w:tcW w:w="995" w:type="dxa"/>
          </w:tcPr>
          <w:p w14:paraId="50EB5C98" w14:textId="77777777" w:rsidR="00811887" w:rsidRDefault="00811887" w:rsidP="00486E22">
            <w:pPr>
              <w:pStyle w:val="TableParagraph"/>
              <w:spacing w:line="240" w:lineRule="auto"/>
              <w:ind w:left="9"/>
              <w:jc w:val="center"/>
              <w:rPr>
                <w:sz w:val="20"/>
              </w:rPr>
            </w:pPr>
            <w:r>
              <w:rPr>
                <w:spacing w:val="-5"/>
                <w:sz w:val="20"/>
              </w:rPr>
              <w:t>3.3</w:t>
            </w:r>
          </w:p>
        </w:tc>
        <w:tc>
          <w:tcPr>
            <w:tcW w:w="990" w:type="dxa"/>
          </w:tcPr>
          <w:p w14:paraId="704C0650" w14:textId="77777777" w:rsidR="00811887" w:rsidRDefault="00811887" w:rsidP="00486E22">
            <w:pPr>
              <w:pStyle w:val="TableParagraph"/>
              <w:spacing w:line="240" w:lineRule="auto"/>
              <w:ind w:left="14"/>
              <w:jc w:val="center"/>
              <w:rPr>
                <w:sz w:val="20"/>
              </w:rPr>
            </w:pPr>
            <w:r>
              <w:rPr>
                <w:spacing w:val="-5"/>
                <w:sz w:val="20"/>
              </w:rPr>
              <w:t>3.3</w:t>
            </w:r>
          </w:p>
        </w:tc>
        <w:tc>
          <w:tcPr>
            <w:tcW w:w="1166" w:type="dxa"/>
          </w:tcPr>
          <w:p w14:paraId="2F9B15C3" w14:textId="77777777" w:rsidR="00811887" w:rsidRDefault="00811887" w:rsidP="00486E22">
            <w:pPr>
              <w:pStyle w:val="TableParagraph"/>
              <w:spacing w:line="240" w:lineRule="auto"/>
              <w:ind w:left="9"/>
              <w:jc w:val="center"/>
              <w:rPr>
                <w:sz w:val="20"/>
              </w:rPr>
            </w:pPr>
            <w:r>
              <w:rPr>
                <w:spacing w:val="-4"/>
                <w:sz w:val="20"/>
              </w:rPr>
              <w:t>12.9</w:t>
            </w:r>
          </w:p>
        </w:tc>
        <w:tc>
          <w:tcPr>
            <w:tcW w:w="1336" w:type="dxa"/>
          </w:tcPr>
          <w:p w14:paraId="6B9EA67D" w14:textId="77777777" w:rsidR="00811887" w:rsidRDefault="00811887" w:rsidP="00486E22">
            <w:pPr>
              <w:pStyle w:val="TableParagraph"/>
              <w:spacing w:line="240" w:lineRule="auto"/>
              <w:ind w:left="8"/>
              <w:jc w:val="center"/>
              <w:rPr>
                <w:sz w:val="20"/>
              </w:rPr>
            </w:pPr>
            <w:r>
              <w:rPr>
                <w:spacing w:val="-5"/>
                <w:sz w:val="20"/>
              </w:rPr>
              <w:t>3.6</w:t>
            </w:r>
          </w:p>
        </w:tc>
      </w:tr>
      <w:tr w:rsidR="00811887" w14:paraId="7405C1B7" w14:textId="77777777" w:rsidTr="00486E22">
        <w:trPr>
          <w:trHeight w:val="300"/>
        </w:trPr>
        <w:tc>
          <w:tcPr>
            <w:tcW w:w="705" w:type="dxa"/>
            <w:shd w:val="clear" w:color="auto" w:fill="234060"/>
          </w:tcPr>
          <w:p w14:paraId="248049E3" w14:textId="77777777" w:rsidR="00811887" w:rsidRDefault="00811887" w:rsidP="00486E22">
            <w:pPr>
              <w:pStyle w:val="TableParagraph"/>
              <w:ind w:left="23" w:right="97"/>
              <w:jc w:val="center"/>
              <w:rPr>
                <w:b/>
                <w:sz w:val="20"/>
              </w:rPr>
            </w:pPr>
            <w:r>
              <w:rPr>
                <w:b/>
                <w:color w:val="FFFFFF"/>
                <w:spacing w:val="-4"/>
                <w:sz w:val="20"/>
              </w:rPr>
              <w:t>2013</w:t>
            </w:r>
          </w:p>
        </w:tc>
        <w:tc>
          <w:tcPr>
            <w:tcW w:w="1416" w:type="dxa"/>
          </w:tcPr>
          <w:p w14:paraId="689F4A0D" w14:textId="77777777" w:rsidR="00811887" w:rsidRDefault="00811887" w:rsidP="00486E22">
            <w:pPr>
              <w:pStyle w:val="TableParagraph"/>
              <w:ind w:left="16"/>
              <w:jc w:val="center"/>
              <w:rPr>
                <w:sz w:val="20"/>
              </w:rPr>
            </w:pPr>
            <w:r>
              <w:rPr>
                <w:spacing w:val="-4"/>
                <w:sz w:val="20"/>
              </w:rPr>
              <w:t>12.2</w:t>
            </w:r>
          </w:p>
        </w:tc>
        <w:tc>
          <w:tcPr>
            <w:tcW w:w="1275" w:type="dxa"/>
          </w:tcPr>
          <w:p w14:paraId="41E8C497" w14:textId="77777777" w:rsidR="00811887" w:rsidRDefault="00811887" w:rsidP="00486E22">
            <w:pPr>
              <w:pStyle w:val="TableParagraph"/>
              <w:ind w:left="7"/>
              <w:jc w:val="center"/>
              <w:rPr>
                <w:sz w:val="20"/>
              </w:rPr>
            </w:pPr>
            <w:r>
              <w:rPr>
                <w:spacing w:val="-5"/>
                <w:sz w:val="20"/>
              </w:rPr>
              <w:t>5.7</w:t>
            </w:r>
          </w:p>
        </w:tc>
        <w:tc>
          <w:tcPr>
            <w:tcW w:w="1135" w:type="dxa"/>
          </w:tcPr>
          <w:p w14:paraId="19CAB5F7" w14:textId="77777777" w:rsidR="00811887" w:rsidRDefault="00811887" w:rsidP="00486E22">
            <w:pPr>
              <w:pStyle w:val="TableParagraph"/>
              <w:ind w:left="13" w:right="6"/>
              <w:jc w:val="center"/>
              <w:rPr>
                <w:sz w:val="20"/>
              </w:rPr>
            </w:pPr>
            <w:r>
              <w:rPr>
                <w:spacing w:val="-5"/>
                <w:sz w:val="20"/>
              </w:rPr>
              <w:t>4.9</w:t>
            </w:r>
          </w:p>
        </w:tc>
        <w:tc>
          <w:tcPr>
            <w:tcW w:w="995" w:type="dxa"/>
          </w:tcPr>
          <w:p w14:paraId="10B387CB" w14:textId="77777777" w:rsidR="00811887" w:rsidRDefault="00811887" w:rsidP="00486E22">
            <w:pPr>
              <w:pStyle w:val="TableParagraph"/>
              <w:ind w:left="9"/>
              <w:jc w:val="center"/>
              <w:rPr>
                <w:sz w:val="20"/>
              </w:rPr>
            </w:pPr>
            <w:r>
              <w:rPr>
                <w:spacing w:val="-5"/>
                <w:sz w:val="20"/>
              </w:rPr>
              <w:t>3.5</w:t>
            </w:r>
          </w:p>
        </w:tc>
        <w:tc>
          <w:tcPr>
            <w:tcW w:w="990" w:type="dxa"/>
          </w:tcPr>
          <w:p w14:paraId="526D4006" w14:textId="77777777" w:rsidR="00811887" w:rsidRDefault="00811887" w:rsidP="00486E22">
            <w:pPr>
              <w:pStyle w:val="TableParagraph"/>
              <w:ind w:left="14"/>
              <w:jc w:val="center"/>
              <w:rPr>
                <w:sz w:val="20"/>
              </w:rPr>
            </w:pPr>
            <w:r>
              <w:rPr>
                <w:spacing w:val="-5"/>
                <w:sz w:val="20"/>
              </w:rPr>
              <w:t>3.1</w:t>
            </w:r>
          </w:p>
        </w:tc>
        <w:tc>
          <w:tcPr>
            <w:tcW w:w="1166" w:type="dxa"/>
          </w:tcPr>
          <w:p w14:paraId="443E18BF" w14:textId="77777777" w:rsidR="00811887" w:rsidRDefault="00811887" w:rsidP="00486E22">
            <w:pPr>
              <w:pStyle w:val="TableParagraph"/>
              <w:ind w:left="9"/>
              <w:jc w:val="center"/>
              <w:rPr>
                <w:sz w:val="20"/>
              </w:rPr>
            </w:pPr>
            <w:r>
              <w:rPr>
                <w:spacing w:val="-4"/>
                <w:sz w:val="20"/>
              </w:rPr>
              <w:t>11.8</w:t>
            </w:r>
          </w:p>
        </w:tc>
        <w:tc>
          <w:tcPr>
            <w:tcW w:w="1336" w:type="dxa"/>
          </w:tcPr>
          <w:p w14:paraId="1D4826D0" w14:textId="77777777" w:rsidR="00811887" w:rsidRDefault="00811887" w:rsidP="00486E22">
            <w:pPr>
              <w:pStyle w:val="TableParagraph"/>
              <w:ind w:left="8"/>
              <w:jc w:val="center"/>
              <w:rPr>
                <w:sz w:val="20"/>
              </w:rPr>
            </w:pPr>
            <w:r>
              <w:rPr>
                <w:spacing w:val="-5"/>
                <w:sz w:val="20"/>
              </w:rPr>
              <w:t>3.7</w:t>
            </w:r>
          </w:p>
        </w:tc>
      </w:tr>
      <w:tr w:rsidR="00811887" w14:paraId="63A78F9E" w14:textId="77777777" w:rsidTr="00486E22">
        <w:trPr>
          <w:trHeight w:val="300"/>
        </w:trPr>
        <w:tc>
          <w:tcPr>
            <w:tcW w:w="705" w:type="dxa"/>
            <w:shd w:val="clear" w:color="auto" w:fill="234060"/>
          </w:tcPr>
          <w:p w14:paraId="1BE5869D" w14:textId="77777777" w:rsidR="00811887" w:rsidRDefault="00811887" w:rsidP="00486E22">
            <w:pPr>
              <w:pStyle w:val="TableParagraph"/>
              <w:ind w:left="23" w:right="97"/>
              <w:jc w:val="center"/>
              <w:rPr>
                <w:b/>
                <w:sz w:val="20"/>
              </w:rPr>
            </w:pPr>
            <w:r>
              <w:rPr>
                <w:b/>
                <w:color w:val="FFFFFF"/>
                <w:spacing w:val="-4"/>
                <w:sz w:val="20"/>
              </w:rPr>
              <w:t>2014</w:t>
            </w:r>
          </w:p>
        </w:tc>
        <w:tc>
          <w:tcPr>
            <w:tcW w:w="1416" w:type="dxa"/>
          </w:tcPr>
          <w:p w14:paraId="4F69F5B3" w14:textId="77777777" w:rsidR="00811887" w:rsidRDefault="00811887" w:rsidP="00486E22">
            <w:pPr>
              <w:pStyle w:val="TableParagraph"/>
              <w:ind w:left="16"/>
              <w:jc w:val="center"/>
              <w:rPr>
                <w:sz w:val="20"/>
              </w:rPr>
            </w:pPr>
            <w:r>
              <w:rPr>
                <w:spacing w:val="-4"/>
                <w:sz w:val="20"/>
              </w:rPr>
              <w:t>12.0</w:t>
            </w:r>
          </w:p>
        </w:tc>
        <w:tc>
          <w:tcPr>
            <w:tcW w:w="1275" w:type="dxa"/>
          </w:tcPr>
          <w:p w14:paraId="2F03A480" w14:textId="77777777" w:rsidR="00811887" w:rsidRDefault="00811887" w:rsidP="00486E22">
            <w:pPr>
              <w:pStyle w:val="TableParagraph"/>
              <w:ind w:left="7"/>
              <w:jc w:val="center"/>
              <w:rPr>
                <w:sz w:val="20"/>
              </w:rPr>
            </w:pPr>
            <w:r>
              <w:rPr>
                <w:spacing w:val="-5"/>
                <w:sz w:val="20"/>
              </w:rPr>
              <w:t>5.7</w:t>
            </w:r>
          </w:p>
        </w:tc>
        <w:tc>
          <w:tcPr>
            <w:tcW w:w="1135" w:type="dxa"/>
          </w:tcPr>
          <w:p w14:paraId="39CA9F7D" w14:textId="77777777" w:rsidR="00811887" w:rsidRDefault="00811887" w:rsidP="00486E22">
            <w:pPr>
              <w:pStyle w:val="TableParagraph"/>
              <w:ind w:left="13" w:right="6"/>
              <w:jc w:val="center"/>
              <w:rPr>
                <w:sz w:val="20"/>
              </w:rPr>
            </w:pPr>
            <w:r>
              <w:rPr>
                <w:spacing w:val="-5"/>
                <w:sz w:val="20"/>
              </w:rPr>
              <w:t>5.2</w:t>
            </w:r>
          </w:p>
        </w:tc>
        <w:tc>
          <w:tcPr>
            <w:tcW w:w="995" w:type="dxa"/>
          </w:tcPr>
          <w:p w14:paraId="2D5541D9" w14:textId="77777777" w:rsidR="00811887" w:rsidRDefault="00811887" w:rsidP="00486E22">
            <w:pPr>
              <w:pStyle w:val="TableParagraph"/>
              <w:ind w:left="9"/>
              <w:jc w:val="center"/>
              <w:rPr>
                <w:sz w:val="20"/>
              </w:rPr>
            </w:pPr>
            <w:r>
              <w:rPr>
                <w:spacing w:val="-5"/>
                <w:sz w:val="20"/>
              </w:rPr>
              <w:t>3.8</w:t>
            </w:r>
          </w:p>
        </w:tc>
        <w:tc>
          <w:tcPr>
            <w:tcW w:w="990" w:type="dxa"/>
          </w:tcPr>
          <w:p w14:paraId="3ACBE797" w14:textId="77777777" w:rsidR="00811887" w:rsidRDefault="00811887" w:rsidP="00486E22">
            <w:pPr>
              <w:pStyle w:val="TableParagraph"/>
              <w:ind w:left="14"/>
              <w:jc w:val="center"/>
              <w:rPr>
                <w:sz w:val="20"/>
              </w:rPr>
            </w:pPr>
            <w:r>
              <w:rPr>
                <w:spacing w:val="-5"/>
                <w:sz w:val="20"/>
              </w:rPr>
              <w:t>3.1</w:t>
            </w:r>
          </w:p>
        </w:tc>
        <w:tc>
          <w:tcPr>
            <w:tcW w:w="1166" w:type="dxa"/>
          </w:tcPr>
          <w:p w14:paraId="3B8069D1" w14:textId="77777777" w:rsidR="00811887" w:rsidRDefault="00811887" w:rsidP="00486E22">
            <w:pPr>
              <w:pStyle w:val="TableParagraph"/>
              <w:ind w:left="9"/>
              <w:jc w:val="center"/>
              <w:rPr>
                <w:sz w:val="20"/>
              </w:rPr>
            </w:pPr>
            <w:r>
              <w:rPr>
                <w:spacing w:val="-4"/>
                <w:sz w:val="20"/>
              </w:rPr>
              <w:t>13.2</w:t>
            </w:r>
          </w:p>
        </w:tc>
        <w:tc>
          <w:tcPr>
            <w:tcW w:w="1336" w:type="dxa"/>
          </w:tcPr>
          <w:p w14:paraId="48684839" w14:textId="77777777" w:rsidR="00811887" w:rsidRDefault="00811887" w:rsidP="00486E22">
            <w:pPr>
              <w:pStyle w:val="TableParagraph"/>
              <w:ind w:left="8"/>
              <w:jc w:val="center"/>
              <w:rPr>
                <w:sz w:val="20"/>
              </w:rPr>
            </w:pPr>
            <w:r>
              <w:rPr>
                <w:spacing w:val="-5"/>
                <w:sz w:val="20"/>
              </w:rPr>
              <w:t>3.8</w:t>
            </w:r>
          </w:p>
        </w:tc>
      </w:tr>
      <w:tr w:rsidR="00811887" w14:paraId="32E524CE" w14:textId="77777777" w:rsidTr="00486E22">
        <w:trPr>
          <w:trHeight w:val="300"/>
        </w:trPr>
        <w:tc>
          <w:tcPr>
            <w:tcW w:w="705" w:type="dxa"/>
            <w:shd w:val="clear" w:color="auto" w:fill="234060"/>
          </w:tcPr>
          <w:p w14:paraId="2E3D833B" w14:textId="77777777" w:rsidR="00811887" w:rsidRDefault="00811887" w:rsidP="00486E22">
            <w:pPr>
              <w:pStyle w:val="TableParagraph"/>
              <w:ind w:left="23" w:right="97"/>
              <w:jc w:val="center"/>
              <w:rPr>
                <w:b/>
                <w:sz w:val="20"/>
              </w:rPr>
            </w:pPr>
            <w:r>
              <w:rPr>
                <w:b/>
                <w:color w:val="FFFFFF"/>
                <w:spacing w:val="-4"/>
                <w:sz w:val="20"/>
              </w:rPr>
              <w:t>2015</w:t>
            </w:r>
          </w:p>
        </w:tc>
        <w:tc>
          <w:tcPr>
            <w:tcW w:w="1416" w:type="dxa"/>
          </w:tcPr>
          <w:p w14:paraId="08E03851" w14:textId="77777777" w:rsidR="00811887" w:rsidRDefault="00811887" w:rsidP="00486E22">
            <w:pPr>
              <w:pStyle w:val="TableParagraph"/>
              <w:ind w:left="16"/>
              <w:jc w:val="center"/>
              <w:rPr>
                <w:sz w:val="20"/>
              </w:rPr>
            </w:pPr>
            <w:r>
              <w:rPr>
                <w:spacing w:val="-4"/>
                <w:sz w:val="20"/>
              </w:rPr>
              <w:t>11.9</w:t>
            </w:r>
          </w:p>
        </w:tc>
        <w:tc>
          <w:tcPr>
            <w:tcW w:w="1275" w:type="dxa"/>
          </w:tcPr>
          <w:p w14:paraId="1CDD32A7" w14:textId="77777777" w:rsidR="00811887" w:rsidRDefault="00811887" w:rsidP="00486E22">
            <w:pPr>
              <w:pStyle w:val="TableParagraph"/>
              <w:ind w:left="7"/>
              <w:jc w:val="center"/>
              <w:rPr>
                <w:sz w:val="20"/>
              </w:rPr>
            </w:pPr>
            <w:r>
              <w:rPr>
                <w:spacing w:val="-5"/>
                <w:sz w:val="20"/>
              </w:rPr>
              <w:t>5.4</w:t>
            </w:r>
          </w:p>
        </w:tc>
        <w:tc>
          <w:tcPr>
            <w:tcW w:w="1135" w:type="dxa"/>
          </w:tcPr>
          <w:p w14:paraId="6CECDF1F" w14:textId="77777777" w:rsidR="00811887" w:rsidRDefault="00811887" w:rsidP="00486E22">
            <w:pPr>
              <w:pStyle w:val="TableParagraph"/>
              <w:ind w:left="13" w:right="6"/>
              <w:jc w:val="center"/>
              <w:rPr>
                <w:sz w:val="20"/>
              </w:rPr>
            </w:pPr>
            <w:r>
              <w:rPr>
                <w:spacing w:val="-5"/>
                <w:sz w:val="20"/>
              </w:rPr>
              <w:t>5.4</w:t>
            </w:r>
          </w:p>
        </w:tc>
        <w:tc>
          <w:tcPr>
            <w:tcW w:w="995" w:type="dxa"/>
          </w:tcPr>
          <w:p w14:paraId="563899C7" w14:textId="77777777" w:rsidR="00811887" w:rsidRDefault="00811887" w:rsidP="00486E22">
            <w:pPr>
              <w:pStyle w:val="TableParagraph"/>
              <w:ind w:left="9"/>
              <w:jc w:val="center"/>
              <w:rPr>
                <w:sz w:val="20"/>
              </w:rPr>
            </w:pPr>
            <w:r>
              <w:rPr>
                <w:spacing w:val="-5"/>
                <w:sz w:val="20"/>
              </w:rPr>
              <w:t>3.4</w:t>
            </w:r>
          </w:p>
        </w:tc>
        <w:tc>
          <w:tcPr>
            <w:tcW w:w="990" w:type="dxa"/>
          </w:tcPr>
          <w:p w14:paraId="54704853" w14:textId="77777777" w:rsidR="00811887" w:rsidRDefault="00811887" w:rsidP="00486E22">
            <w:pPr>
              <w:pStyle w:val="TableParagraph"/>
              <w:ind w:left="14"/>
              <w:jc w:val="center"/>
              <w:rPr>
                <w:sz w:val="20"/>
              </w:rPr>
            </w:pPr>
            <w:r>
              <w:rPr>
                <w:spacing w:val="-5"/>
                <w:sz w:val="20"/>
              </w:rPr>
              <w:t>3.0</w:t>
            </w:r>
          </w:p>
        </w:tc>
        <w:tc>
          <w:tcPr>
            <w:tcW w:w="1166" w:type="dxa"/>
          </w:tcPr>
          <w:p w14:paraId="72937A9B" w14:textId="77777777" w:rsidR="00811887" w:rsidRDefault="00811887" w:rsidP="00486E22">
            <w:pPr>
              <w:pStyle w:val="TableParagraph"/>
              <w:ind w:left="9"/>
              <w:jc w:val="center"/>
              <w:rPr>
                <w:sz w:val="20"/>
              </w:rPr>
            </w:pPr>
            <w:r>
              <w:rPr>
                <w:spacing w:val="-4"/>
                <w:sz w:val="20"/>
              </w:rPr>
              <w:t>11.9</w:t>
            </w:r>
          </w:p>
        </w:tc>
        <w:tc>
          <w:tcPr>
            <w:tcW w:w="1336" w:type="dxa"/>
          </w:tcPr>
          <w:p w14:paraId="1ED38013" w14:textId="77777777" w:rsidR="00811887" w:rsidRDefault="00811887" w:rsidP="00486E22">
            <w:pPr>
              <w:pStyle w:val="TableParagraph"/>
              <w:ind w:left="8"/>
              <w:jc w:val="center"/>
              <w:rPr>
                <w:sz w:val="20"/>
              </w:rPr>
            </w:pPr>
            <w:r>
              <w:rPr>
                <w:spacing w:val="-5"/>
                <w:sz w:val="20"/>
              </w:rPr>
              <w:t>3.9</w:t>
            </w:r>
          </w:p>
        </w:tc>
      </w:tr>
      <w:tr w:rsidR="00811887" w14:paraId="1A334ABB" w14:textId="77777777" w:rsidTr="00486E22">
        <w:trPr>
          <w:trHeight w:val="300"/>
        </w:trPr>
        <w:tc>
          <w:tcPr>
            <w:tcW w:w="705" w:type="dxa"/>
            <w:shd w:val="clear" w:color="auto" w:fill="234060"/>
          </w:tcPr>
          <w:p w14:paraId="1BC1CCC1" w14:textId="77777777" w:rsidR="00811887" w:rsidRDefault="00811887" w:rsidP="00486E22">
            <w:pPr>
              <w:pStyle w:val="TableParagraph"/>
              <w:ind w:left="23" w:right="97"/>
              <w:jc w:val="center"/>
              <w:rPr>
                <w:b/>
                <w:sz w:val="20"/>
              </w:rPr>
            </w:pPr>
            <w:r>
              <w:rPr>
                <w:b/>
                <w:color w:val="FFFFFF"/>
                <w:spacing w:val="-4"/>
                <w:sz w:val="20"/>
              </w:rPr>
              <w:t>2016</w:t>
            </w:r>
          </w:p>
        </w:tc>
        <w:tc>
          <w:tcPr>
            <w:tcW w:w="1416" w:type="dxa"/>
          </w:tcPr>
          <w:p w14:paraId="74D8BA63" w14:textId="77777777" w:rsidR="00811887" w:rsidRDefault="00811887" w:rsidP="00486E22">
            <w:pPr>
              <w:pStyle w:val="TableParagraph"/>
              <w:ind w:left="16"/>
              <w:jc w:val="center"/>
              <w:rPr>
                <w:sz w:val="20"/>
              </w:rPr>
            </w:pPr>
            <w:r>
              <w:rPr>
                <w:spacing w:val="-4"/>
                <w:sz w:val="20"/>
              </w:rPr>
              <w:t>11.1</w:t>
            </w:r>
          </w:p>
        </w:tc>
        <w:tc>
          <w:tcPr>
            <w:tcW w:w="1275" w:type="dxa"/>
          </w:tcPr>
          <w:p w14:paraId="39736399" w14:textId="77777777" w:rsidR="00811887" w:rsidRDefault="00811887" w:rsidP="00486E22">
            <w:pPr>
              <w:pStyle w:val="TableParagraph"/>
              <w:ind w:left="7"/>
              <w:jc w:val="center"/>
              <w:rPr>
                <w:sz w:val="20"/>
              </w:rPr>
            </w:pPr>
            <w:r>
              <w:rPr>
                <w:spacing w:val="-5"/>
                <w:sz w:val="20"/>
              </w:rPr>
              <w:t>5.9</w:t>
            </w:r>
          </w:p>
        </w:tc>
        <w:tc>
          <w:tcPr>
            <w:tcW w:w="1135" w:type="dxa"/>
          </w:tcPr>
          <w:p w14:paraId="1AC0B356" w14:textId="77777777" w:rsidR="00811887" w:rsidRDefault="00811887" w:rsidP="00486E22">
            <w:pPr>
              <w:pStyle w:val="TableParagraph"/>
              <w:ind w:left="13" w:right="6"/>
              <w:jc w:val="center"/>
              <w:rPr>
                <w:sz w:val="20"/>
              </w:rPr>
            </w:pPr>
            <w:r>
              <w:rPr>
                <w:spacing w:val="-5"/>
                <w:sz w:val="20"/>
              </w:rPr>
              <w:t>5.3</w:t>
            </w:r>
          </w:p>
        </w:tc>
        <w:tc>
          <w:tcPr>
            <w:tcW w:w="995" w:type="dxa"/>
          </w:tcPr>
          <w:p w14:paraId="6DAC9A0B" w14:textId="77777777" w:rsidR="00811887" w:rsidRDefault="00811887" w:rsidP="00486E22">
            <w:pPr>
              <w:pStyle w:val="TableParagraph"/>
              <w:ind w:left="9"/>
              <w:jc w:val="center"/>
              <w:rPr>
                <w:sz w:val="20"/>
              </w:rPr>
            </w:pPr>
            <w:r>
              <w:rPr>
                <w:spacing w:val="-5"/>
                <w:sz w:val="20"/>
              </w:rPr>
              <w:t>3.4</w:t>
            </w:r>
          </w:p>
        </w:tc>
        <w:tc>
          <w:tcPr>
            <w:tcW w:w="990" w:type="dxa"/>
          </w:tcPr>
          <w:p w14:paraId="119E93DB" w14:textId="77777777" w:rsidR="00811887" w:rsidRDefault="00811887" w:rsidP="00486E22">
            <w:pPr>
              <w:pStyle w:val="TableParagraph"/>
              <w:ind w:left="14"/>
              <w:jc w:val="center"/>
              <w:rPr>
                <w:sz w:val="20"/>
              </w:rPr>
            </w:pPr>
            <w:r>
              <w:rPr>
                <w:spacing w:val="-5"/>
                <w:sz w:val="20"/>
              </w:rPr>
              <w:t>2.8</w:t>
            </w:r>
          </w:p>
        </w:tc>
        <w:tc>
          <w:tcPr>
            <w:tcW w:w="1166" w:type="dxa"/>
          </w:tcPr>
          <w:p w14:paraId="0B9AF5C7" w14:textId="77777777" w:rsidR="00811887" w:rsidRDefault="00811887" w:rsidP="00486E22">
            <w:pPr>
              <w:pStyle w:val="TableParagraph"/>
              <w:ind w:left="9"/>
              <w:jc w:val="center"/>
              <w:rPr>
                <w:sz w:val="20"/>
              </w:rPr>
            </w:pPr>
            <w:r>
              <w:rPr>
                <w:spacing w:val="-4"/>
                <w:sz w:val="20"/>
              </w:rPr>
              <w:t>11.2</w:t>
            </w:r>
          </w:p>
        </w:tc>
        <w:tc>
          <w:tcPr>
            <w:tcW w:w="1336" w:type="dxa"/>
          </w:tcPr>
          <w:p w14:paraId="52D39621" w14:textId="77777777" w:rsidR="00811887" w:rsidRDefault="00811887" w:rsidP="00486E22">
            <w:pPr>
              <w:pStyle w:val="TableParagraph"/>
              <w:ind w:left="8"/>
              <w:jc w:val="center"/>
              <w:rPr>
                <w:sz w:val="20"/>
              </w:rPr>
            </w:pPr>
            <w:r>
              <w:rPr>
                <w:spacing w:val="-5"/>
                <w:sz w:val="20"/>
              </w:rPr>
              <w:t>3.5</w:t>
            </w:r>
          </w:p>
        </w:tc>
      </w:tr>
      <w:tr w:rsidR="00811887" w14:paraId="6107370B" w14:textId="77777777" w:rsidTr="00486E22">
        <w:trPr>
          <w:trHeight w:val="300"/>
        </w:trPr>
        <w:tc>
          <w:tcPr>
            <w:tcW w:w="705" w:type="dxa"/>
            <w:shd w:val="clear" w:color="auto" w:fill="234060"/>
          </w:tcPr>
          <w:p w14:paraId="3CC69A23" w14:textId="77777777" w:rsidR="00811887" w:rsidRDefault="00811887" w:rsidP="00486E22">
            <w:pPr>
              <w:pStyle w:val="TableParagraph"/>
              <w:ind w:left="23" w:right="97"/>
              <w:jc w:val="center"/>
              <w:rPr>
                <w:b/>
                <w:sz w:val="20"/>
              </w:rPr>
            </w:pPr>
            <w:r>
              <w:rPr>
                <w:b/>
                <w:color w:val="FFFFFF"/>
                <w:spacing w:val="-4"/>
                <w:sz w:val="20"/>
              </w:rPr>
              <w:t>2017</w:t>
            </w:r>
          </w:p>
        </w:tc>
        <w:tc>
          <w:tcPr>
            <w:tcW w:w="1416" w:type="dxa"/>
          </w:tcPr>
          <w:p w14:paraId="2A13FF04" w14:textId="77777777" w:rsidR="00811887" w:rsidRDefault="00811887" w:rsidP="00486E22">
            <w:pPr>
              <w:pStyle w:val="TableParagraph"/>
              <w:ind w:left="16"/>
              <w:jc w:val="center"/>
              <w:rPr>
                <w:sz w:val="20"/>
              </w:rPr>
            </w:pPr>
            <w:r>
              <w:rPr>
                <w:spacing w:val="-4"/>
                <w:sz w:val="20"/>
              </w:rPr>
              <w:t>10.6</w:t>
            </w:r>
          </w:p>
        </w:tc>
        <w:tc>
          <w:tcPr>
            <w:tcW w:w="1275" w:type="dxa"/>
          </w:tcPr>
          <w:p w14:paraId="5C2B0F2C" w14:textId="77777777" w:rsidR="00811887" w:rsidRDefault="00811887" w:rsidP="00486E22">
            <w:pPr>
              <w:pStyle w:val="TableParagraph"/>
              <w:ind w:left="7"/>
              <w:jc w:val="center"/>
              <w:rPr>
                <w:sz w:val="20"/>
              </w:rPr>
            </w:pPr>
            <w:r>
              <w:rPr>
                <w:spacing w:val="-5"/>
                <w:sz w:val="20"/>
              </w:rPr>
              <w:t>5.3</w:t>
            </w:r>
          </w:p>
        </w:tc>
        <w:tc>
          <w:tcPr>
            <w:tcW w:w="1135" w:type="dxa"/>
          </w:tcPr>
          <w:p w14:paraId="7AF1F933" w14:textId="77777777" w:rsidR="00811887" w:rsidRDefault="00811887" w:rsidP="00486E22">
            <w:pPr>
              <w:pStyle w:val="TableParagraph"/>
              <w:ind w:left="13" w:right="6"/>
              <w:jc w:val="center"/>
              <w:rPr>
                <w:sz w:val="20"/>
              </w:rPr>
            </w:pPr>
            <w:r>
              <w:rPr>
                <w:spacing w:val="-5"/>
                <w:sz w:val="20"/>
              </w:rPr>
              <w:t>4.5</w:t>
            </w:r>
          </w:p>
        </w:tc>
        <w:tc>
          <w:tcPr>
            <w:tcW w:w="995" w:type="dxa"/>
          </w:tcPr>
          <w:p w14:paraId="2FF22126" w14:textId="77777777" w:rsidR="00811887" w:rsidRDefault="00811887" w:rsidP="00486E22">
            <w:pPr>
              <w:pStyle w:val="TableParagraph"/>
              <w:ind w:left="9"/>
              <w:jc w:val="center"/>
              <w:rPr>
                <w:sz w:val="20"/>
              </w:rPr>
            </w:pPr>
            <w:r>
              <w:rPr>
                <w:spacing w:val="-5"/>
                <w:sz w:val="20"/>
              </w:rPr>
              <w:t>3.4</w:t>
            </w:r>
          </w:p>
        </w:tc>
        <w:tc>
          <w:tcPr>
            <w:tcW w:w="990" w:type="dxa"/>
          </w:tcPr>
          <w:p w14:paraId="76EE7FF3" w14:textId="77777777" w:rsidR="00811887" w:rsidRDefault="00811887" w:rsidP="00486E22">
            <w:pPr>
              <w:pStyle w:val="TableParagraph"/>
              <w:ind w:left="14"/>
              <w:jc w:val="center"/>
              <w:rPr>
                <w:sz w:val="20"/>
              </w:rPr>
            </w:pPr>
            <w:r>
              <w:rPr>
                <w:spacing w:val="-5"/>
                <w:sz w:val="20"/>
              </w:rPr>
              <w:t>2.9</w:t>
            </w:r>
          </w:p>
        </w:tc>
        <w:tc>
          <w:tcPr>
            <w:tcW w:w="1166" w:type="dxa"/>
          </w:tcPr>
          <w:p w14:paraId="36AF829E" w14:textId="77777777" w:rsidR="00811887" w:rsidRDefault="00811887" w:rsidP="00486E22">
            <w:pPr>
              <w:pStyle w:val="TableParagraph"/>
              <w:ind w:left="9"/>
              <w:jc w:val="center"/>
              <w:rPr>
                <w:sz w:val="20"/>
              </w:rPr>
            </w:pPr>
            <w:r>
              <w:rPr>
                <w:spacing w:val="-4"/>
                <w:sz w:val="20"/>
              </w:rPr>
              <w:t>10.8</w:t>
            </w:r>
          </w:p>
        </w:tc>
        <w:tc>
          <w:tcPr>
            <w:tcW w:w="1336" w:type="dxa"/>
          </w:tcPr>
          <w:p w14:paraId="0632AC43" w14:textId="77777777" w:rsidR="00811887" w:rsidRDefault="00811887" w:rsidP="00486E22">
            <w:pPr>
              <w:pStyle w:val="TableParagraph"/>
              <w:ind w:left="8"/>
              <w:jc w:val="center"/>
              <w:rPr>
                <w:sz w:val="20"/>
              </w:rPr>
            </w:pPr>
            <w:r>
              <w:rPr>
                <w:spacing w:val="-5"/>
                <w:sz w:val="20"/>
              </w:rPr>
              <w:t>3.3</w:t>
            </w:r>
          </w:p>
        </w:tc>
      </w:tr>
      <w:tr w:rsidR="00811887" w14:paraId="0BF01A24" w14:textId="77777777" w:rsidTr="00486E22">
        <w:trPr>
          <w:trHeight w:val="300"/>
        </w:trPr>
        <w:tc>
          <w:tcPr>
            <w:tcW w:w="705" w:type="dxa"/>
            <w:shd w:val="clear" w:color="auto" w:fill="234060"/>
          </w:tcPr>
          <w:p w14:paraId="6CD77D61" w14:textId="77777777" w:rsidR="00811887" w:rsidRDefault="00811887" w:rsidP="00486E22">
            <w:pPr>
              <w:pStyle w:val="TableParagraph"/>
              <w:ind w:left="23" w:right="97"/>
              <w:jc w:val="center"/>
              <w:rPr>
                <w:b/>
                <w:sz w:val="20"/>
              </w:rPr>
            </w:pPr>
            <w:r>
              <w:rPr>
                <w:b/>
                <w:color w:val="FFFFFF"/>
                <w:spacing w:val="-4"/>
                <w:sz w:val="20"/>
              </w:rPr>
              <w:t>2018</w:t>
            </w:r>
          </w:p>
        </w:tc>
        <w:tc>
          <w:tcPr>
            <w:tcW w:w="1416" w:type="dxa"/>
          </w:tcPr>
          <w:p w14:paraId="21F1F105" w14:textId="77777777" w:rsidR="00811887" w:rsidRDefault="00811887" w:rsidP="00486E22">
            <w:pPr>
              <w:pStyle w:val="TableParagraph"/>
              <w:ind w:left="16"/>
              <w:jc w:val="center"/>
              <w:rPr>
                <w:sz w:val="20"/>
              </w:rPr>
            </w:pPr>
            <w:r>
              <w:rPr>
                <w:spacing w:val="-4"/>
                <w:sz w:val="20"/>
              </w:rPr>
              <w:t>11.2</w:t>
            </w:r>
          </w:p>
        </w:tc>
        <w:tc>
          <w:tcPr>
            <w:tcW w:w="1275" w:type="dxa"/>
          </w:tcPr>
          <w:p w14:paraId="59B80D2E" w14:textId="77777777" w:rsidR="00811887" w:rsidRDefault="00811887" w:rsidP="00486E22">
            <w:pPr>
              <w:pStyle w:val="TableParagraph"/>
              <w:ind w:left="7"/>
              <w:jc w:val="center"/>
              <w:rPr>
                <w:sz w:val="20"/>
              </w:rPr>
            </w:pPr>
            <w:r>
              <w:rPr>
                <w:spacing w:val="-5"/>
                <w:sz w:val="20"/>
              </w:rPr>
              <w:t>5.9</w:t>
            </w:r>
          </w:p>
        </w:tc>
        <w:tc>
          <w:tcPr>
            <w:tcW w:w="1135" w:type="dxa"/>
          </w:tcPr>
          <w:p w14:paraId="04DE78AE" w14:textId="77777777" w:rsidR="00811887" w:rsidRDefault="00811887" w:rsidP="00486E22">
            <w:pPr>
              <w:pStyle w:val="TableParagraph"/>
              <w:ind w:left="13" w:right="6"/>
              <w:jc w:val="center"/>
              <w:rPr>
                <w:sz w:val="20"/>
              </w:rPr>
            </w:pPr>
            <w:r>
              <w:rPr>
                <w:spacing w:val="-5"/>
                <w:sz w:val="20"/>
              </w:rPr>
              <w:t>5.1</w:t>
            </w:r>
          </w:p>
        </w:tc>
        <w:tc>
          <w:tcPr>
            <w:tcW w:w="995" w:type="dxa"/>
          </w:tcPr>
          <w:p w14:paraId="65C84BF4" w14:textId="77777777" w:rsidR="00811887" w:rsidRDefault="00811887" w:rsidP="00486E22">
            <w:pPr>
              <w:pStyle w:val="TableParagraph"/>
              <w:ind w:left="9"/>
              <w:jc w:val="center"/>
              <w:rPr>
                <w:sz w:val="20"/>
              </w:rPr>
            </w:pPr>
            <w:r>
              <w:rPr>
                <w:spacing w:val="-5"/>
                <w:sz w:val="20"/>
              </w:rPr>
              <w:t>3.8</w:t>
            </w:r>
          </w:p>
        </w:tc>
        <w:tc>
          <w:tcPr>
            <w:tcW w:w="990" w:type="dxa"/>
          </w:tcPr>
          <w:p w14:paraId="5016B7F1" w14:textId="77777777" w:rsidR="00811887" w:rsidRDefault="00811887" w:rsidP="00486E22">
            <w:pPr>
              <w:pStyle w:val="TableParagraph"/>
              <w:ind w:left="14"/>
              <w:jc w:val="center"/>
              <w:rPr>
                <w:sz w:val="20"/>
              </w:rPr>
            </w:pPr>
            <w:r>
              <w:rPr>
                <w:spacing w:val="-5"/>
                <w:sz w:val="20"/>
              </w:rPr>
              <w:t>3.2</w:t>
            </w:r>
          </w:p>
        </w:tc>
        <w:tc>
          <w:tcPr>
            <w:tcW w:w="1166" w:type="dxa"/>
          </w:tcPr>
          <w:p w14:paraId="129B6C66" w14:textId="77777777" w:rsidR="00811887" w:rsidRDefault="00811887" w:rsidP="00486E22">
            <w:pPr>
              <w:pStyle w:val="TableParagraph"/>
              <w:ind w:left="9"/>
              <w:jc w:val="center"/>
              <w:rPr>
                <w:sz w:val="20"/>
              </w:rPr>
            </w:pPr>
            <w:r>
              <w:rPr>
                <w:spacing w:val="-4"/>
                <w:sz w:val="20"/>
              </w:rPr>
              <w:t>11.9</w:t>
            </w:r>
          </w:p>
        </w:tc>
        <w:tc>
          <w:tcPr>
            <w:tcW w:w="1336" w:type="dxa"/>
          </w:tcPr>
          <w:p w14:paraId="6F9A4258" w14:textId="77777777" w:rsidR="00811887" w:rsidRDefault="00811887" w:rsidP="00486E22">
            <w:pPr>
              <w:pStyle w:val="TableParagraph"/>
              <w:ind w:left="8"/>
              <w:jc w:val="center"/>
              <w:rPr>
                <w:sz w:val="20"/>
              </w:rPr>
            </w:pPr>
            <w:r>
              <w:rPr>
                <w:spacing w:val="-5"/>
                <w:sz w:val="20"/>
              </w:rPr>
              <w:t>3.4</w:t>
            </w:r>
          </w:p>
        </w:tc>
      </w:tr>
      <w:tr w:rsidR="00811887" w14:paraId="7A3D546B" w14:textId="77777777" w:rsidTr="00486E22">
        <w:trPr>
          <w:trHeight w:val="300"/>
        </w:trPr>
        <w:tc>
          <w:tcPr>
            <w:tcW w:w="705" w:type="dxa"/>
            <w:shd w:val="clear" w:color="auto" w:fill="234060"/>
          </w:tcPr>
          <w:p w14:paraId="15278769" w14:textId="77777777" w:rsidR="00811887" w:rsidRDefault="00811887" w:rsidP="00486E22">
            <w:pPr>
              <w:pStyle w:val="TableParagraph"/>
              <w:ind w:left="23" w:right="97"/>
              <w:jc w:val="center"/>
              <w:rPr>
                <w:b/>
                <w:sz w:val="20"/>
              </w:rPr>
            </w:pPr>
            <w:r>
              <w:rPr>
                <w:b/>
                <w:color w:val="FFFFFF"/>
                <w:spacing w:val="-4"/>
                <w:sz w:val="20"/>
              </w:rPr>
              <w:t>2019</w:t>
            </w:r>
          </w:p>
        </w:tc>
        <w:tc>
          <w:tcPr>
            <w:tcW w:w="1416" w:type="dxa"/>
          </w:tcPr>
          <w:p w14:paraId="288280B1" w14:textId="77777777" w:rsidR="00811887" w:rsidRDefault="00811887" w:rsidP="00486E22">
            <w:pPr>
              <w:pStyle w:val="TableParagraph"/>
              <w:ind w:left="16"/>
              <w:jc w:val="center"/>
              <w:rPr>
                <w:sz w:val="20"/>
              </w:rPr>
            </w:pPr>
            <w:r>
              <w:rPr>
                <w:spacing w:val="-4"/>
                <w:sz w:val="20"/>
              </w:rPr>
              <w:t>10.3</w:t>
            </w:r>
          </w:p>
        </w:tc>
        <w:tc>
          <w:tcPr>
            <w:tcW w:w="1275" w:type="dxa"/>
          </w:tcPr>
          <w:p w14:paraId="318FCCF6" w14:textId="77777777" w:rsidR="00811887" w:rsidRDefault="00811887" w:rsidP="00486E22">
            <w:pPr>
              <w:pStyle w:val="TableParagraph"/>
              <w:ind w:left="7"/>
              <w:jc w:val="center"/>
              <w:rPr>
                <w:sz w:val="20"/>
              </w:rPr>
            </w:pPr>
            <w:r>
              <w:rPr>
                <w:spacing w:val="-5"/>
                <w:sz w:val="20"/>
              </w:rPr>
              <w:t>5.8</w:t>
            </w:r>
          </w:p>
        </w:tc>
        <w:tc>
          <w:tcPr>
            <w:tcW w:w="1135" w:type="dxa"/>
          </w:tcPr>
          <w:p w14:paraId="74B6B7DB" w14:textId="77777777" w:rsidR="00811887" w:rsidRDefault="00811887" w:rsidP="00486E22">
            <w:pPr>
              <w:pStyle w:val="TableParagraph"/>
              <w:ind w:left="13" w:right="6"/>
              <w:jc w:val="center"/>
              <w:rPr>
                <w:sz w:val="20"/>
              </w:rPr>
            </w:pPr>
            <w:r>
              <w:rPr>
                <w:spacing w:val="-5"/>
                <w:sz w:val="20"/>
              </w:rPr>
              <w:t>5.6</w:t>
            </w:r>
          </w:p>
        </w:tc>
        <w:tc>
          <w:tcPr>
            <w:tcW w:w="995" w:type="dxa"/>
          </w:tcPr>
          <w:p w14:paraId="20B83922" w14:textId="77777777" w:rsidR="00811887" w:rsidRDefault="00811887" w:rsidP="00486E22">
            <w:pPr>
              <w:pStyle w:val="TableParagraph"/>
              <w:ind w:left="9"/>
              <w:jc w:val="center"/>
              <w:rPr>
                <w:sz w:val="20"/>
              </w:rPr>
            </w:pPr>
            <w:r>
              <w:rPr>
                <w:spacing w:val="-5"/>
                <w:sz w:val="20"/>
              </w:rPr>
              <w:t>4.2</w:t>
            </w:r>
          </w:p>
        </w:tc>
        <w:tc>
          <w:tcPr>
            <w:tcW w:w="990" w:type="dxa"/>
          </w:tcPr>
          <w:p w14:paraId="56748878" w14:textId="77777777" w:rsidR="00811887" w:rsidRDefault="00811887" w:rsidP="00486E22">
            <w:pPr>
              <w:pStyle w:val="TableParagraph"/>
              <w:ind w:left="14"/>
              <w:jc w:val="center"/>
              <w:rPr>
                <w:sz w:val="20"/>
              </w:rPr>
            </w:pPr>
            <w:r>
              <w:rPr>
                <w:spacing w:val="-5"/>
                <w:sz w:val="20"/>
              </w:rPr>
              <w:t>3.2</w:t>
            </w:r>
          </w:p>
        </w:tc>
        <w:tc>
          <w:tcPr>
            <w:tcW w:w="1166" w:type="dxa"/>
          </w:tcPr>
          <w:p w14:paraId="4FA4497F" w14:textId="77777777" w:rsidR="00811887" w:rsidRDefault="00811887" w:rsidP="00486E22">
            <w:pPr>
              <w:pStyle w:val="TableParagraph"/>
              <w:ind w:left="9"/>
              <w:jc w:val="center"/>
              <w:rPr>
                <w:sz w:val="20"/>
              </w:rPr>
            </w:pPr>
            <w:r>
              <w:rPr>
                <w:spacing w:val="-4"/>
                <w:sz w:val="20"/>
              </w:rPr>
              <w:t>11.7</w:t>
            </w:r>
          </w:p>
        </w:tc>
        <w:tc>
          <w:tcPr>
            <w:tcW w:w="1336" w:type="dxa"/>
          </w:tcPr>
          <w:p w14:paraId="6CA4682C" w14:textId="77777777" w:rsidR="00811887" w:rsidRDefault="00811887" w:rsidP="00486E22">
            <w:pPr>
              <w:pStyle w:val="TableParagraph"/>
              <w:ind w:left="8"/>
              <w:jc w:val="center"/>
              <w:rPr>
                <w:sz w:val="20"/>
              </w:rPr>
            </w:pPr>
            <w:r>
              <w:rPr>
                <w:spacing w:val="-5"/>
                <w:sz w:val="20"/>
              </w:rPr>
              <w:t>3.7</w:t>
            </w:r>
          </w:p>
        </w:tc>
      </w:tr>
      <w:tr w:rsidR="00811887" w14:paraId="433FDDFE" w14:textId="77777777" w:rsidTr="00486E22">
        <w:trPr>
          <w:trHeight w:val="300"/>
        </w:trPr>
        <w:tc>
          <w:tcPr>
            <w:tcW w:w="705" w:type="dxa"/>
            <w:shd w:val="clear" w:color="auto" w:fill="234060"/>
          </w:tcPr>
          <w:p w14:paraId="1DDC9791" w14:textId="77777777" w:rsidR="00811887" w:rsidRDefault="00811887" w:rsidP="00486E22">
            <w:pPr>
              <w:pStyle w:val="TableParagraph"/>
              <w:ind w:left="23" w:right="97"/>
              <w:jc w:val="center"/>
              <w:rPr>
                <w:b/>
                <w:sz w:val="20"/>
              </w:rPr>
            </w:pPr>
            <w:r>
              <w:rPr>
                <w:b/>
                <w:color w:val="FFFFFF"/>
                <w:spacing w:val="-4"/>
                <w:sz w:val="20"/>
              </w:rPr>
              <w:t>2020</w:t>
            </w:r>
          </w:p>
        </w:tc>
        <w:tc>
          <w:tcPr>
            <w:tcW w:w="1416" w:type="dxa"/>
          </w:tcPr>
          <w:p w14:paraId="32AF518B" w14:textId="77777777" w:rsidR="00811887" w:rsidRDefault="00811887" w:rsidP="00486E22">
            <w:pPr>
              <w:pStyle w:val="TableParagraph"/>
              <w:ind w:left="16"/>
              <w:jc w:val="center"/>
              <w:rPr>
                <w:sz w:val="20"/>
              </w:rPr>
            </w:pPr>
            <w:r>
              <w:rPr>
                <w:spacing w:val="-4"/>
                <w:sz w:val="20"/>
              </w:rPr>
              <w:t>10.6</w:t>
            </w:r>
          </w:p>
        </w:tc>
        <w:tc>
          <w:tcPr>
            <w:tcW w:w="1275" w:type="dxa"/>
          </w:tcPr>
          <w:p w14:paraId="0AD8205C" w14:textId="77777777" w:rsidR="00811887" w:rsidRDefault="00811887" w:rsidP="00486E22">
            <w:pPr>
              <w:pStyle w:val="TableParagraph"/>
              <w:ind w:left="7"/>
              <w:jc w:val="center"/>
              <w:rPr>
                <w:sz w:val="20"/>
              </w:rPr>
            </w:pPr>
            <w:r>
              <w:rPr>
                <w:spacing w:val="-5"/>
                <w:sz w:val="20"/>
              </w:rPr>
              <w:t>6.8</w:t>
            </w:r>
          </w:p>
        </w:tc>
        <w:tc>
          <w:tcPr>
            <w:tcW w:w="1135" w:type="dxa"/>
          </w:tcPr>
          <w:p w14:paraId="205E1B40" w14:textId="77777777" w:rsidR="00811887" w:rsidRDefault="00811887" w:rsidP="00486E22">
            <w:pPr>
              <w:pStyle w:val="TableParagraph"/>
              <w:ind w:left="13" w:right="6"/>
              <w:jc w:val="center"/>
              <w:rPr>
                <w:sz w:val="20"/>
              </w:rPr>
            </w:pPr>
            <w:r>
              <w:rPr>
                <w:spacing w:val="-5"/>
                <w:sz w:val="20"/>
              </w:rPr>
              <w:t>5.0</w:t>
            </w:r>
          </w:p>
        </w:tc>
        <w:tc>
          <w:tcPr>
            <w:tcW w:w="995" w:type="dxa"/>
          </w:tcPr>
          <w:p w14:paraId="55483812" w14:textId="77777777" w:rsidR="00811887" w:rsidRDefault="00811887" w:rsidP="00486E22">
            <w:pPr>
              <w:pStyle w:val="TableParagraph"/>
              <w:ind w:left="9"/>
              <w:jc w:val="center"/>
              <w:rPr>
                <w:sz w:val="20"/>
              </w:rPr>
            </w:pPr>
            <w:r>
              <w:rPr>
                <w:spacing w:val="-5"/>
                <w:sz w:val="20"/>
              </w:rPr>
              <w:t>3.2</w:t>
            </w:r>
          </w:p>
        </w:tc>
        <w:tc>
          <w:tcPr>
            <w:tcW w:w="990" w:type="dxa"/>
          </w:tcPr>
          <w:p w14:paraId="4E9BF1DD" w14:textId="77777777" w:rsidR="00811887" w:rsidRDefault="00811887" w:rsidP="00486E22">
            <w:pPr>
              <w:pStyle w:val="TableParagraph"/>
              <w:ind w:left="14"/>
              <w:jc w:val="center"/>
              <w:rPr>
                <w:sz w:val="20"/>
              </w:rPr>
            </w:pPr>
            <w:r>
              <w:rPr>
                <w:spacing w:val="-5"/>
                <w:sz w:val="20"/>
              </w:rPr>
              <w:t>3.0</w:t>
            </w:r>
          </w:p>
        </w:tc>
        <w:tc>
          <w:tcPr>
            <w:tcW w:w="1166" w:type="dxa"/>
          </w:tcPr>
          <w:p w14:paraId="4F9A97A1" w14:textId="77777777" w:rsidR="00811887" w:rsidRDefault="00811887" w:rsidP="00486E22">
            <w:pPr>
              <w:pStyle w:val="TableParagraph"/>
              <w:ind w:left="9"/>
              <w:jc w:val="center"/>
              <w:rPr>
                <w:sz w:val="20"/>
              </w:rPr>
            </w:pPr>
            <w:r>
              <w:rPr>
                <w:spacing w:val="-5"/>
                <w:sz w:val="20"/>
              </w:rPr>
              <w:t>8.5</w:t>
            </w:r>
          </w:p>
        </w:tc>
        <w:tc>
          <w:tcPr>
            <w:tcW w:w="1336" w:type="dxa"/>
          </w:tcPr>
          <w:p w14:paraId="78B7EE5A" w14:textId="77777777" w:rsidR="00811887" w:rsidRDefault="00811887" w:rsidP="00486E22">
            <w:pPr>
              <w:pStyle w:val="TableParagraph"/>
              <w:ind w:left="8"/>
              <w:jc w:val="center"/>
              <w:rPr>
                <w:sz w:val="20"/>
              </w:rPr>
            </w:pPr>
            <w:r>
              <w:rPr>
                <w:spacing w:val="-5"/>
                <w:sz w:val="20"/>
              </w:rPr>
              <w:t>4.8</w:t>
            </w:r>
          </w:p>
        </w:tc>
      </w:tr>
      <w:tr w:rsidR="00811887" w14:paraId="3A66A657" w14:textId="77777777" w:rsidTr="00486E22">
        <w:trPr>
          <w:trHeight w:val="300"/>
        </w:trPr>
        <w:tc>
          <w:tcPr>
            <w:tcW w:w="705" w:type="dxa"/>
            <w:shd w:val="clear" w:color="auto" w:fill="234060"/>
          </w:tcPr>
          <w:p w14:paraId="04343750" w14:textId="77777777" w:rsidR="00811887" w:rsidRDefault="00811887" w:rsidP="00486E22">
            <w:pPr>
              <w:pStyle w:val="TableParagraph"/>
              <w:ind w:left="23" w:right="97"/>
              <w:jc w:val="center"/>
              <w:rPr>
                <w:b/>
                <w:sz w:val="20"/>
              </w:rPr>
            </w:pPr>
            <w:r>
              <w:rPr>
                <w:b/>
                <w:color w:val="FFFFFF"/>
                <w:spacing w:val="-4"/>
                <w:sz w:val="20"/>
              </w:rPr>
              <w:t>2021</w:t>
            </w:r>
          </w:p>
        </w:tc>
        <w:tc>
          <w:tcPr>
            <w:tcW w:w="1416" w:type="dxa"/>
          </w:tcPr>
          <w:p w14:paraId="623AA9F7" w14:textId="77777777" w:rsidR="00811887" w:rsidRDefault="00811887" w:rsidP="00486E22">
            <w:pPr>
              <w:pStyle w:val="TableParagraph"/>
              <w:ind w:left="16"/>
              <w:jc w:val="center"/>
              <w:rPr>
                <w:sz w:val="20"/>
              </w:rPr>
            </w:pPr>
            <w:r>
              <w:rPr>
                <w:spacing w:val="-5"/>
                <w:sz w:val="20"/>
              </w:rPr>
              <w:t>9.9</w:t>
            </w:r>
          </w:p>
        </w:tc>
        <w:tc>
          <w:tcPr>
            <w:tcW w:w="1275" w:type="dxa"/>
          </w:tcPr>
          <w:p w14:paraId="7F974184" w14:textId="77777777" w:rsidR="00811887" w:rsidRDefault="00811887" w:rsidP="00486E22">
            <w:pPr>
              <w:pStyle w:val="TableParagraph"/>
              <w:ind w:left="7"/>
              <w:jc w:val="center"/>
              <w:rPr>
                <w:sz w:val="20"/>
              </w:rPr>
            </w:pPr>
            <w:r>
              <w:rPr>
                <w:spacing w:val="-5"/>
                <w:sz w:val="20"/>
              </w:rPr>
              <w:t>6.2</w:t>
            </w:r>
          </w:p>
        </w:tc>
        <w:tc>
          <w:tcPr>
            <w:tcW w:w="1135" w:type="dxa"/>
          </w:tcPr>
          <w:p w14:paraId="68B96E85" w14:textId="77777777" w:rsidR="00811887" w:rsidRDefault="00811887" w:rsidP="00486E22">
            <w:pPr>
              <w:pStyle w:val="TableParagraph"/>
              <w:ind w:left="13" w:right="6"/>
              <w:jc w:val="center"/>
              <w:rPr>
                <w:sz w:val="20"/>
              </w:rPr>
            </w:pPr>
            <w:r>
              <w:rPr>
                <w:spacing w:val="-5"/>
                <w:sz w:val="20"/>
              </w:rPr>
              <w:t>4.7</w:t>
            </w:r>
          </w:p>
        </w:tc>
        <w:tc>
          <w:tcPr>
            <w:tcW w:w="995" w:type="dxa"/>
          </w:tcPr>
          <w:p w14:paraId="2CD1D10A" w14:textId="77777777" w:rsidR="00811887" w:rsidRDefault="00811887" w:rsidP="00486E22">
            <w:pPr>
              <w:pStyle w:val="TableParagraph"/>
              <w:ind w:left="9"/>
              <w:jc w:val="center"/>
              <w:rPr>
                <w:sz w:val="20"/>
              </w:rPr>
            </w:pPr>
            <w:r>
              <w:rPr>
                <w:spacing w:val="-5"/>
                <w:sz w:val="20"/>
              </w:rPr>
              <w:t>3.3</w:t>
            </w:r>
          </w:p>
        </w:tc>
        <w:tc>
          <w:tcPr>
            <w:tcW w:w="990" w:type="dxa"/>
          </w:tcPr>
          <w:p w14:paraId="084D359E" w14:textId="77777777" w:rsidR="00811887" w:rsidRDefault="00811887" w:rsidP="00486E22">
            <w:pPr>
              <w:pStyle w:val="TableParagraph"/>
              <w:ind w:left="14"/>
              <w:jc w:val="center"/>
              <w:rPr>
                <w:sz w:val="20"/>
              </w:rPr>
            </w:pPr>
            <w:r>
              <w:rPr>
                <w:spacing w:val="-5"/>
                <w:sz w:val="20"/>
              </w:rPr>
              <w:t>2.7</w:t>
            </w:r>
          </w:p>
        </w:tc>
        <w:tc>
          <w:tcPr>
            <w:tcW w:w="1166" w:type="dxa"/>
          </w:tcPr>
          <w:p w14:paraId="150E9EBB" w14:textId="77777777" w:rsidR="00811887" w:rsidRDefault="00811887" w:rsidP="00486E22">
            <w:pPr>
              <w:pStyle w:val="TableParagraph"/>
              <w:ind w:left="9"/>
              <w:jc w:val="center"/>
              <w:rPr>
                <w:sz w:val="20"/>
              </w:rPr>
            </w:pPr>
            <w:r>
              <w:rPr>
                <w:spacing w:val="-5"/>
                <w:sz w:val="20"/>
              </w:rPr>
              <w:t>8.9</w:t>
            </w:r>
          </w:p>
        </w:tc>
        <w:tc>
          <w:tcPr>
            <w:tcW w:w="1336" w:type="dxa"/>
          </w:tcPr>
          <w:p w14:paraId="6CEC257A" w14:textId="77777777" w:rsidR="00811887" w:rsidRDefault="00811887" w:rsidP="00486E22">
            <w:pPr>
              <w:pStyle w:val="TableParagraph"/>
              <w:ind w:left="8"/>
              <w:jc w:val="center"/>
              <w:rPr>
                <w:sz w:val="20"/>
              </w:rPr>
            </w:pPr>
            <w:r>
              <w:rPr>
                <w:spacing w:val="-5"/>
                <w:sz w:val="20"/>
              </w:rPr>
              <w:t>3.9</w:t>
            </w:r>
          </w:p>
        </w:tc>
      </w:tr>
    </w:tbl>
    <w:p w14:paraId="0F083C8A" w14:textId="77777777" w:rsidR="00811887" w:rsidRDefault="00811887" w:rsidP="00811887">
      <w:pPr>
        <w:pStyle w:val="BodyText"/>
        <w:spacing w:before="2"/>
        <w:rPr>
          <w:rFonts w:ascii="Arial"/>
          <w:b/>
          <w:sz w:val="9"/>
        </w:rPr>
      </w:pPr>
    </w:p>
    <w:p w14:paraId="4A0720F2" w14:textId="77777777" w:rsidR="00811887" w:rsidRDefault="00811887" w:rsidP="00811887">
      <w:pPr>
        <w:rPr>
          <w:sz w:val="20"/>
        </w:rPr>
      </w:pPr>
    </w:p>
    <w:p w14:paraId="0E87C134" w14:textId="77777777" w:rsidR="00811887" w:rsidRPr="00E1745A" w:rsidRDefault="00811887" w:rsidP="00811887">
      <w:pPr>
        <w:rPr>
          <w:sz w:val="20"/>
        </w:rPr>
      </w:pPr>
    </w:p>
    <w:p w14:paraId="090BA0D7" w14:textId="77777777" w:rsidR="00811887" w:rsidRPr="00E1745A" w:rsidRDefault="00811887" w:rsidP="00811887">
      <w:pPr>
        <w:rPr>
          <w:sz w:val="20"/>
        </w:rPr>
      </w:pPr>
    </w:p>
    <w:p w14:paraId="1E260D62" w14:textId="77777777" w:rsidR="00811887" w:rsidRPr="00E1745A" w:rsidRDefault="00811887" w:rsidP="00811887">
      <w:pPr>
        <w:rPr>
          <w:sz w:val="20"/>
        </w:rPr>
      </w:pPr>
    </w:p>
    <w:p w14:paraId="34DC21B3" w14:textId="77777777" w:rsidR="00811887" w:rsidRPr="00E1745A" w:rsidRDefault="00811887" w:rsidP="00811887">
      <w:pPr>
        <w:rPr>
          <w:sz w:val="20"/>
        </w:rPr>
      </w:pPr>
    </w:p>
    <w:p w14:paraId="7C05933C" w14:textId="77777777" w:rsidR="00811887" w:rsidRPr="00E1745A" w:rsidRDefault="00811887" w:rsidP="00811887">
      <w:pPr>
        <w:rPr>
          <w:sz w:val="20"/>
        </w:rPr>
      </w:pPr>
    </w:p>
    <w:p w14:paraId="7CEE6260" w14:textId="77777777" w:rsidR="00811887" w:rsidRPr="00E1745A" w:rsidRDefault="00811887" w:rsidP="00811887">
      <w:pPr>
        <w:rPr>
          <w:sz w:val="20"/>
        </w:rPr>
      </w:pPr>
    </w:p>
    <w:p w14:paraId="6040E732" w14:textId="77777777" w:rsidR="00811887" w:rsidRPr="00E1745A" w:rsidRDefault="00811887" w:rsidP="00811887">
      <w:pPr>
        <w:rPr>
          <w:sz w:val="20"/>
        </w:rPr>
      </w:pPr>
    </w:p>
    <w:p w14:paraId="34F25FC7" w14:textId="77777777" w:rsidR="00811887" w:rsidRPr="00E1745A" w:rsidRDefault="00811887" w:rsidP="00811887">
      <w:pPr>
        <w:rPr>
          <w:sz w:val="20"/>
        </w:rPr>
      </w:pPr>
    </w:p>
    <w:p w14:paraId="51511D60" w14:textId="77777777" w:rsidR="00811887" w:rsidRPr="00E1745A" w:rsidRDefault="00811887" w:rsidP="00811887">
      <w:pPr>
        <w:rPr>
          <w:sz w:val="20"/>
        </w:rPr>
      </w:pPr>
    </w:p>
    <w:p w14:paraId="2FE0BBAD" w14:textId="77777777" w:rsidR="00811887" w:rsidRPr="00E1745A" w:rsidRDefault="00811887" w:rsidP="00811887">
      <w:pPr>
        <w:rPr>
          <w:sz w:val="20"/>
        </w:rPr>
      </w:pPr>
    </w:p>
    <w:p w14:paraId="5B8CA07B" w14:textId="77777777" w:rsidR="00811887" w:rsidRPr="00E1745A" w:rsidRDefault="00811887" w:rsidP="00811887">
      <w:pPr>
        <w:rPr>
          <w:sz w:val="20"/>
        </w:rPr>
      </w:pPr>
    </w:p>
    <w:p w14:paraId="3CF57736" w14:textId="77777777" w:rsidR="00811887" w:rsidRPr="00E1745A" w:rsidRDefault="00811887" w:rsidP="00811887">
      <w:pPr>
        <w:rPr>
          <w:sz w:val="20"/>
        </w:rPr>
      </w:pPr>
    </w:p>
    <w:p w14:paraId="2FEB1501" w14:textId="77777777" w:rsidR="00811887" w:rsidRPr="00E1745A" w:rsidRDefault="00811887" w:rsidP="00811887">
      <w:pPr>
        <w:rPr>
          <w:sz w:val="20"/>
        </w:rPr>
      </w:pPr>
    </w:p>
    <w:p w14:paraId="68919EA7" w14:textId="77777777" w:rsidR="00811887" w:rsidRPr="00E1745A" w:rsidRDefault="00811887" w:rsidP="00811887">
      <w:pPr>
        <w:rPr>
          <w:sz w:val="20"/>
        </w:rPr>
      </w:pPr>
    </w:p>
    <w:p w14:paraId="35805DF6" w14:textId="77777777" w:rsidR="00811887" w:rsidRPr="00E1745A" w:rsidRDefault="00811887" w:rsidP="00811887">
      <w:pPr>
        <w:rPr>
          <w:sz w:val="20"/>
        </w:rPr>
      </w:pPr>
    </w:p>
    <w:p w14:paraId="18A1726C" w14:textId="77777777" w:rsidR="00811887" w:rsidRPr="00E1745A" w:rsidRDefault="00811887" w:rsidP="00811887">
      <w:pPr>
        <w:rPr>
          <w:sz w:val="20"/>
        </w:rPr>
      </w:pPr>
    </w:p>
    <w:p w14:paraId="04AF5ABA" w14:textId="77777777" w:rsidR="00811887" w:rsidRPr="00E1745A" w:rsidRDefault="00811887" w:rsidP="00811887">
      <w:pPr>
        <w:rPr>
          <w:sz w:val="20"/>
        </w:rPr>
      </w:pPr>
    </w:p>
    <w:p w14:paraId="56383B9B" w14:textId="77777777" w:rsidR="00811887" w:rsidRPr="00E1745A" w:rsidRDefault="00811887" w:rsidP="00811887">
      <w:pPr>
        <w:rPr>
          <w:sz w:val="20"/>
        </w:rPr>
      </w:pPr>
    </w:p>
    <w:p w14:paraId="46537F54" w14:textId="77777777" w:rsidR="00811887" w:rsidRPr="00E1745A" w:rsidRDefault="00811887" w:rsidP="00811887">
      <w:pPr>
        <w:rPr>
          <w:sz w:val="20"/>
        </w:rPr>
      </w:pPr>
    </w:p>
    <w:p w14:paraId="0C488113" w14:textId="77777777" w:rsidR="00811887" w:rsidRPr="00E1745A" w:rsidRDefault="00811887" w:rsidP="00811887">
      <w:pPr>
        <w:rPr>
          <w:sz w:val="20"/>
        </w:rPr>
      </w:pPr>
    </w:p>
    <w:p w14:paraId="548C7B49" w14:textId="77777777" w:rsidR="00811887" w:rsidRPr="00E1745A" w:rsidRDefault="00811887" w:rsidP="00811887">
      <w:pPr>
        <w:rPr>
          <w:sz w:val="20"/>
        </w:rPr>
      </w:pPr>
    </w:p>
    <w:p w14:paraId="2C628101" w14:textId="77777777" w:rsidR="00811887" w:rsidRPr="00E1745A" w:rsidRDefault="00811887" w:rsidP="00811887">
      <w:pPr>
        <w:rPr>
          <w:sz w:val="20"/>
        </w:rPr>
      </w:pPr>
    </w:p>
    <w:p w14:paraId="59FBC2E7" w14:textId="77777777" w:rsidR="00811887" w:rsidRPr="00E1745A" w:rsidRDefault="00811887" w:rsidP="00811887">
      <w:pPr>
        <w:rPr>
          <w:sz w:val="20"/>
        </w:rPr>
      </w:pPr>
    </w:p>
    <w:p w14:paraId="2A70F2F5" w14:textId="77777777" w:rsidR="00811887" w:rsidRPr="00E1745A" w:rsidRDefault="00811887" w:rsidP="00811887">
      <w:pPr>
        <w:rPr>
          <w:sz w:val="20"/>
        </w:rPr>
      </w:pPr>
    </w:p>
    <w:p w14:paraId="4A256F14" w14:textId="77777777" w:rsidR="00811887" w:rsidRPr="00E1745A" w:rsidRDefault="00811887" w:rsidP="00811887">
      <w:pPr>
        <w:rPr>
          <w:sz w:val="20"/>
        </w:rPr>
      </w:pPr>
    </w:p>
    <w:p w14:paraId="19233673" w14:textId="77777777" w:rsidR="00811887" w:rsidRPr="00E1745A" w:rsidRDefault="00811887" w:rsidP="00811887">
      <w:pPr>
        <w:rPr>
          <w:sz w:val="20"/>
        </w:rPr>
      </w:pPr>
    </w:p>
    <w:p w14:paraId="76EC87A1" w14:textId="77777777" w:rsidR="00811887" w:rsidRPr="00E1745A" w:rsidRDefault="00811887" w:rsidP="00811887">
      <w:pPr>
        <w:rPr>
          <w:sz w:val="20"/>
        </w:rPr>
      </w:pPr>
    </w:p>
    <w:p w14:paraId="6B1C31FB" w14:textId="77777777" w:rsidR="00811887" w:rsidRPr="00E1745A" w:rsidRDefault="00811887" w:rsidP="00811887">
      <w:pPr>
        <w:rPr>
          <w:sz w:val="20"/>
        </w:rPr>
      </w:pPr>
    </w:p>
    <w:p w14:paraId="33B66C2F" w14:textId="77777777" w:rsidR="00811887" w:rsidRPr="00E1745A" w:rsidRDefault="00811887" w:rsidP="00811887">
      <w:pPr>
        <w:rPr>
          <w:sz w:val="20"/>
        </w:rPr>
      </w:pPr>
    </w:p>
    <w:p w14:paraId="7861269B" w14:textId="77777777" w:rsidR="00811887" w:rsidRPr="00E1745A" w:rsidRDefault="00811887" w:rsidP="00811887">
      <w:pPr>
        <w:rPr>
          <w:sz w:val="20"/>
        </w:rPr>
      </w:pPr>
    </w:p>
    <w:p w14:paraId="4212F8DA" w14:textId="77777777" w:rsidR="00811887" w:rsidRPr="00E1745A" w:rsidRDefault="00811887" w:rsidP="00811887">
      <w:pPr>
        <w:rPr>
          <w:sz w:val="20"/>
        </w:rPr>
      </w:pPr>
    </w:p>
    <w:p w14:paraId="6CE19670" w14:textId="77777777" w:rsidR="00811887" w:rsidRDefault="00811887" w:rsidP="00811887">
      <w:pPr>
        <w:rPr>
          <w:sz w:val="20"/>
        </w:rPr>
      </w:pPr>
    </w:p>
    <w:p w14:paraId="25553F53" w14:textId="77777777" w:rsidR="00811887" w:rsidRPr="00E1745A" w:rsidRDefault="00811887" w:rsidP="00811887">
      <w:pPr>
        <w:rPr>
          <w:sz w:val="20"/>
        </w:rPr>
      </w:pPr>
    </w:p>
    <w:p w14:paraId="526B17B6" w14:textId="77777777" w:rsidR="00811887" w:rsidRPr="00E1745A" w:rsidRDefault="00811887" w:rsidP="00811887">
      <w:pPr>
        <w:rPr>
          <w:sz w:val="20"/>
        </w:rPr>
      </w:pPr>
    </w:p>
    <w:p w14:paraId="717982AC" w14:textId="77777777" w:rsidR="00811887" w:rsidRDefault="00811887" w:rsidP="00811887">
      <w:pPr>
        <w:spacing w:before="194"/>
        <w:ind w:left="4962"/>
        <w:rPr>
          <w:i/>
          <w:sz w:val="20"/>
        </w:rPr>
      </w:pPr>
      <w:r>
        <w:rPr>
          <w:sz w:val="20"/>
        </w:rPr>
        <w:t xml:space="preserve">Source: </w:t>
      </w:r>
      <w:r>
        <w:rPr>
          <w:i/>
          <w:sz w:val="20"/>
        </w:rPr>
        <w:t>Figure</w:t>
      </w:r>
      <w:r>
        <w:rPr>
          <w:i/>
          <w:spacing w:val="-3"/>
          <w:sz w:val="20"/>
        </w:rPr>
        <w:t xml:space="preserve"> </w:t>
      </w:r>
      <w:r>
        <w:rPr>
          <w:i/>
          <w:sz w:val="20"/>
        </w:rPr>
        <w:t>3.11,</w:t>
      </w:r>
      <w:r>
        <w:rPr>
          <w:i/>
          <w:spacing w:val="-2"/>
          <w:sz w:val="20"/>
        </w:rPr>
        <w:t xml:space="preserve"> </w:t>
      </w:r>
      <w:r>
        <w:rPr>
          <w:i/>
          <w:sz w:val="20"/>
        </w:rPr>
        <w:t>HILDA</w:t>
      </w:r>
      <w:r>
        <w:rPr>
          <w:i/>
          <w:spacing w:val="-3"/>
          <w:sz w:val="20"/>
        </w:rPr>
        <w:t xml:space="preserve"> </w:t>
      </w:r>
      <w:r>
        <w:rPr>
          <w:i/>
          <w:sz w:val="20"/>
        </w:rPr>
        <w:t>Statistical</w:t>
      </w:r>
      <w:r>
        <w:rPr>
          <w:i/>
          <w:spacing w:val="-3"/>
          <w:sz w:val="20"/>
        </w:rPr>
        <w:t xml:space="preserve"> </w:t>
      </w:r>
      <w:r>
        <w:rPr>
          <w:i/>
          <w:sz w:val="20"/>
        </w:rPr>
        <w:t>Report</w:t>
      </w:r>
      <w:r>
        <w:rPr>
          <w:i/>
          <w:spacing w:val="-4"/>
          <w:sz w:val="20"/>
        </w:rPr>
        <w:t xml:space="preserve"> </w:t>
      </w:r>
      <w:r>
        <w:rPr>
          <w:i/>
          <w:sz w:val="20"/>
        </w:rPr>
        <w:t>Waves</w:t>
      </w:r>
      <w:r>
        <w:rPr>
          <w:i/>
          <w:spacing w:val="-1"/>
          <w:sz w:val="20"/>
        </w:rPr>
        <w:t xml:space="preserve"> </w:t>
      </w:r>
      <w:r>
        <w:rPr>
          <w:i/>
          <w:sz w:val="20"/>
        </w:rPr>
        <w:t>1</w:t>
      </w:r>
      <w:r>
        <w:rPr>
          <w:i/>
          <w:spacing w:val="-4"/>
          <w:sz w:val="20"/>
        </w:rPr>
        <w:t xml:space="preserve"> </w:t>
      </w:r>
      <w:r>
        <w:rPr>
          <w:i/>
          <w:sz w:val="20"/>
        </w:rPr>
        <w:t>to 21</w:t>
      </w:r>
      <w:r>
        <w:rPr>
          <w:i/>
          <w:spacing w:val="-4"/>
          <w:sz w:val="20"/>
        </w:rPr>
        <w:t xml:space="preserve"> </w:t>
      </w:r>
      <w:r>
        <w:rPr>
          <w:i/>
          <w:sz w:val="20"/>
        </w:rPr>
        <w:t>(HILDA,</w:t>
      </w:r>
      <w:r>
        <w:rPr>
          <w:i/>
          <w:spacing w:val="-1"/>
          <w:sz w:val="20"/>
        </w:rPr>
        <w:t xml:space="preserve"> </w:t>
      </w:r>
      <w:r>
        <w:rPr>
          <w:i/>
          <w:spacing w:val="-2"/>
          <w:sz w:val="20"/>
        </w:rPr>
        <w:t>2023)</w:t>
      </w:r>
    </w:p>
    <w:p w14:paraId="5D96ED5B" w14:textId="77777777" w:rsidR="00811887" w:rsidRPr="00E1745A" w:rsidRDefault="00811887" w:rsidP="00811887">
      <w:pPr>
        <w:tabs>
          <w:tab w:val="left" w:pos="8850"/>
        </w:tabs>
        <w:rPr>
          <w:sz w:val="20"/>
        </w:rPr>
      </w:pPr>
    </w:p>
    <w:p w14:paraId="021C930E" w14:textId="77777777" w:rsidR="00811887" w:rsidRPr="00E1745A" w:rsidRDefault="00811887" w:rsidP="00811887">
      <w:pPr>
        <w:tabs>
          <w:tab w:val="left" w:pos="8850"/>
        </w:tabs>
        <w:rPr>
          <w:sz w:val="20"/>
        </w:rPr>
        <w:sectPr w:rsidR="00811887" w:rsidRPr="00E1745A" w:rsidSect="00811887">
          <w:type w:val="continuous"/>
          <w:pgSz w:w="11910" w:h="16840"/>
          <w:pgMar w:top="940" w:right="721" w:bottom="1200" w:left="740" w:header="0" w:footer="1005" w:gutter="0"/>
          <w:cols w:space="720"/>
        </w:sectPr>
      </w:pPr>
      <w:r>
        <w:rPr>
          <w:sz w:val="20"/>
        </w:rPr>
        <w:tab/>
      </w:r>
    </w:p>
    <w:p w14:paraId="1D422F25" w14:textId="77777777" w:rsidR="00811887" w:rsidRDefault="00811887" w:rsidP="00811887">
      <w:pPr>
        <w:jc w:val="center"/>
        <w:rPr>
          <w:sz w:val="20"/>
        </w:rPr>
        <w:sectPr w:rsidR="00811887" w:rsidSect="00811887">
          <w:pgSz w:w="11910" w:h="16840"/>
          <w:pgMar w:top="940" w:right="721" w:bottom="1200" w:left="740" w:header="0" w:footer="1005" w:gutter="0"/>
          <w:cols w:space="720"/>
        </w:sectPr>
      </w:pPr>
    </w:p>
    <w:p w14:paraId="0F17549F" w14:textId="77777777" w:rsidR="00811887" w:rsidRPr="00630A63" w:rsidRDefault="00811887" w:rsidP="00811887">
      <w:pPr>
        <w:pStyle w:val="Heading6"/>
      </w:pPr>
      <w:r w:rsidRPr="00630A63">
        <w:lastRenderedPageBreak/>
        <w:t>Social</w:t>
      </w:r>
      <w:r w:rsidRPr="00630A63">
        <w:rPr>
          <w:spacing w:val="-5"/>
        </w:rPr>
        <w:t xml:space="preserve"> </w:t>
      </w:r>
      <w:r w:rsidRPr="00630A63">
        <w:rPr>
          <w:spacing w:val="-2"/>
        </w:rPr>
        <w:t>inclusion</w:t>
      </w:r>
    </w:p>
    <w:p w14:paraId="0D160865" w14:textId="77777777" w:rsidR="00811887" w:rsidRDefault="00811887" w:rsidP="00811887">
      <w:pPr>
        <w:spacing w:before="47" w:line="264" w:lineRule="auto"/>
        <w:ind w:left="165"/>
        <w:rPr>
          <w:sz w:val="24"/>
        </w:rPr>
      </w:pPr>
      <w:r>
        <w:rPr>
          <w:sz w:val="24"/>
        </w:rPr>
        <w:t>The</w:t>
      </w:r>
      <w:r>
        <w:rPr>
          <w:spacing w:val="-3"/>
          <w:sz w:val="24"/>
        </w:rPr>
        <w:t xml:space="preserve"> </w:t>
      </w:r>
      <w:r>
        <w:rPr>
          <w:sz w:val="24"/>
        </w:rPr>
        <w:t>Brotherhood of</w:t>
      </w:r>
      <w:r>
        <w:rPr>
          <w:spacing w:val="-3"/>
          <w:sz w:val="24"/>
        </w:rPr>
        <w:t xml:space="preserve"> </w:t>
      </w:r>
      <w:r>
        <w:rPr>
          <w:sz w:val="24"/>
        </w:rPr>
        <w:t>St.</w:t>
      </w:r>
      <w:r>
        <w:rPr>
          <w:spacing w:val="-5"/>
          <w:sz w:val="24"/>
        </w:rPr>
        <w:t xml:space="preserve"> </w:t>
      </w:r>
      <w:r>
        <w:rPr>
          <w:sz w:val="24"/>
        </w:rPr>
        <w:t>Laurence</w:t>
      </w:r>
      <w:r>
        <w:rPr>
          <w:spacing w:val="-3"/>
          <w:sz w:val="24"/>
        </w:rPr>
        <w:t xml:space="preserve"> </w:t>
      </w:r>
      <w:r>
        <w:rPr>
          <w:sz w:val="24"/>
        </w:rPr>
        <w:t>and</w:t>
      </w:r>
      <w:r>
        <w:rPr>
          <w:spacing w:val="-5"/>
          <w:sz w:val="24"/>
        </w:rPr>
        <w:t xml:space="preserve"> </w:t>
      </w:r>
      <w:r>
        <w:rPr>
          <w:sz w:val="24"/>
        </w:rPr>
        <w:t>the</w:t>
      </w:r>
      <w:r>
        <w:rPr>
          <w:spacing w:val="-3"/>
          <w:sz w:val="24"/>
        </w:rPr>
        <w:t xml:space="preserve"> </w:t>
      </w:r>
      <w:r>
        <w:rPr>
          <w:sz w:val="24"/>
        </w:rPr>
        <w:t>Melbourne</w:t>
      </w:r>
      <w:r>
        <w:rPr>
          <w:spacing w:val="-3"/>
          <w:sz w:val="24"/>
        </w:rPr>
        <w:t xml:space="preserve"> </w:t>
      </w:r>
      <w:r>
        <w:rPr>
          <w:sz w:val="24"/>
        </w:rPr>
        <w:t>Institute</w:t>
      </w:r>
      <w:r>
        <w:rPr>
          <w:spacing w:val="-4"/>
          <w:sz w:val="24"/>
        </w:rPr>
        <w:t xml:space="preserve"> </w:t>
      </w:r>
      <w:r>
        <w:rPr>
          <w:sz w:val="24"/>
        </w:rPr>
        <w:t>of</w:t>
      </w:r>
      <w:r>
        <w:rPr>
          <w:spacing w:val="-3"/>
          <w:sz w:val="24"/>
        </w:rPr>
        <w:t xml:space="preserve"> </w:t>
      </w:r>
      <w:r>
        <w:rPr>
          <w:sz w:val="24"/>
        </w:rPr>
        <w:t>Applied</w:t>
      </w:r>
      <w:r>
        <w:rPr>
          <w:spacing w:val="-5"/>
          <w:sz w:val="24"/>
        </w:rPr>
        <w:t xml:space="preserve"> </w:t>
      </w:r>
      <w:r>
        <w:rPr>
          <w:sz w:val="24"/>
        </w:rPr>
        <w:t>Economic</w:t>
      </w:r>
      <w:r>
        <w:rPr>
          <w:spacing w:val="-6"/>
          <w:sz w:val="24"/>
        </w:rPr>
        <w:t xml:space="preserve"> </w:t>
      </w:r>
      <w:r>
        <w:rPr>
          <w:sz w:val="24"/>
        </w:rPr>
        <w:t>and</w:t>
      </w:r>
      <w:r>
        <w:rPr>
          <w:spacing w:val="-5"/>
          <w:sz w:val="24"/>
        </w:rPr>
        <w:t xml:space="preserve"> </w:t>
      </w:r>
      <w:r>
        <w:rPr>
          <w:sz w:val="24"/>
        </w:rPr>
        <w:t>Social</w:t>
      </w:r>
      <w:r>
        <w:rPr>
          <w:spacing w:val="-4"/>
          <w:sz w:val="24"/>
        </w:rPr>
        <w:t xml:space="preserve"> </w:t>
      </w:r>
      <w:r>
        <w:rPr>
          <w:sz w:val="24"/>
        </w:rPr>
        <w:t>Research produce the Social Exclusion Monitor, using data from</w:t>
      </w:r>
      <w:r>
        <w:rPr>
          <w:spacing w:val="-1"/>
          <w:sz w:val="24"/>
        </w:rPr>
        <w:t xml:space="preserve"> </w:t>
      </w:r>
      <w:r>
        <w:rPr>
          <w:sz w:val="24"/>
        </w:rPr>
        <w:t>the HILDA Survey. The social exclusion measure includes both relative and absolute components. It reflects changes not only in income but also in unemployment,</w:t>
      </w:r>
      <w:r>
        <w:rPr>
          <w:spacing w:val="-1"/>
          <w:sz w:val="24"/>
        </w:rPr>
        <w:t xml:space="preserve"> </w:t>
      </w:r>
      <w:r>
        <w:rPr>
          <w:sz w:val="24"/>
        </w:rPr>
        <w:t>education,</w:t>
      </w:r>
      <w:r>
        <w:rPr>
          <w:spacing w:val="-1"/>
          <w:sz w:val="24"/>
        </w:rPr>
        <w:t xml:space="preserve"> </w:t>
      </w:r>
      <w:r>
        <w:rPr>
          <w:sz w:val="24"/>
        </w:rPr>
        <w:t>health</w:t>
      </w:r>
      <w:r>
        <w:rPr>
          <w:spacing w:val="-2"/>
          <w:sz w:val="24"/>
        </w:rPr>
        <w:t xml:space="preserve"> </w:t>
      </w:r>
      <w:r>
        <w:rPr>
          <w:sz w:val="24"/>
        </w:rPr>
        <w:t>and</w:t>
      </w:r>
      <w:r>
        <w:rPr>
          <w:spacing w:val="-2"/>
          <w:sz w:val="24"/>
        </w:rPr>
        <w:t xml:space="preserve"> </w:t>
      </w:r>
      <w:r>
        <w:rPr>
          <w:sz w:val="24"/>
        </w:rPr>
        <w:t>social</w:t>
      </w:r>
      <w:r>
        <w:rPr>
          <w:spacing w:val="-1"/>
          <w:sz w:val="24"/>
        </w:rPr>
        <w:t xml:space="preserve"> </w:t>
      </w:r>
      <w:r>
        <w:rPr>
          <w:sz w:val="24"/>
        </w:rPr>
        <w:t>factors which</w:t>
      </w:r>
      <w:r>
        <w:rPr>
          <w:spacing w:val="-2"/>
          <w:sz w:val="24"/>
        </w:rPr>
        <w:t xml:space="preserve"> </w:t>
      </w:r>
      <w:r>
        <w:rPr>
          <w:sz w:val="24"/>
        </w:rPr>
        <w:t>affect</w:t>
      </w:r>
      <w:r>
        <w:rPr>
          <w:spacing w:val="-1"/>
          <w:sz w:val="24"/>
        </w:rPr>
        <w:t xml:space="preserve"> </w:t>
      </w:r>
      <w:r>
        <w:rPr>
          <w:sz w:val="24"/>
        </w:rPr>
        <w:t>people’s opportunities and</w:t>
      </w:r>
      <w:r>
        <w:rPr>
          <w:spacing w:val="-2"/>
          <w:sz w:val="24"/>
        </w:rPr>
        <w:t xml:space="preserve"> </w:t>
      </w:r>
      <w:r>
        <w:rPr>
          <w:sz w:val="24"/>
        </w:rPr>
        <w:t xml:space="preserve">quality of </w:t>
      </w:r>
      <w:r>
        <w:rPr>
          <w:spacing w:val="-2"/>
          <w:sz w:val="24"/>
        </w:rPr>
        <w:t>life.</w:t>
      </w:r>
    </w:p>
    <w:p w14:paraId="214CB9C0" w14:textId="77777777" w:rsidR="00811887" w:rsidRDefault="00811887" w:rsidP="00811887">
      <w:pPr>
        <w:spacing w:before="119" w:line="264" w:lineRule="auto"/>
        <w:ind w:left="165" w:right="200"/>
        <w:rPr>
          <w:sz w:val="24"/>
        </w:rPr>
      </w:pPr>
      <w:r>
        <w:rPr>
          <w:sz w:val="24"/>
        </w:rPr>
        <w:t>The measure includes seven key ‘domains’ of life: material resources, employment, education and skills, health and disability, social connection, community and personal safety. Across these life domains,</w:t>
      </w:r>
      <w:r>
        <w:rPr>
          <w:spacing w:val="-4"/>
          <w:sz w:val="24"/>
        </w:rPr>
        <w:t xml:space="preserve"> </w:t>
      </w:r>
      <w:r>
        <w:rPr>
          <w:sz w:val="24"/>
        </w:rPr>
        <w:t>30</w:t>
      </w:r>
      <w:r>
        <w:rPr>
          <w:spacing w:val="-5"/>
          <w:sz w:val="24"/>
        </w:rPr>
        <w:t xml:space="preserve"> </w:t>
      </w:r>
      <w:r>
        <w:rPr>
          <w:sz w:val="24"/>
        </w:rPr>
        <w:t>indicators</w:t>
      </w:r>
      <w:r>
        <w:rPr>
          <w:spacing w:val="-1"/>
          <w:sz w:val="24"/>
        </w:rPr>
        <w:t xml:space="preserve"> </w:t>
      </w:r>
      <w:r>
        <w:rPr>
          <w:sz w:val="24"/>
        </w:rPr>
        <w:t>of</w:t>
      </w:r>
      <w:r>
        <w:rPr>
          <w:spacing w:val="-3"/>
          <w:sz w:val="24"/>
        </w:rPr>
        <w:t xml:space="preserve"> </w:t>
      </w:r>
      <w:r>
        <w:rPr>
          <w:sz w:val="24"/>
        </w:rPr>
        <w:t>social</w:t>
      </w:r>
      <w:r>
        <w:rPr>
          <w:spacing w:val="-4"/>
          <w:sz w:val="24"/>
        </w:rPr>
        <w:t xml:space="preserve"> </w:t>
      </w:r>
      <w:r>
        <w:rPr>
          <w:sz w:val="24"/>
        </w:rPr>
        <w:t>exclusion</w:t>
      </w:r>
      <w:r>
        <w:rPr>
          <w:spacing w:val="-4"/>
          <w:sz w:val="24"/>
        </w:rPr>
        <w:t xml:space="preserve"> </w:t>
      </w:r>
      <w:r>
        <w:rPr>
          <w:sz w:val="24"/>
        </w:rPr>
        <w:t>create</w:t>
      </w:r>
      <w:r>
        <w:rPr>
          <w:spacing w:val="-3"/>
          <w:sz w:val="24"/>
        </w:rPr>
        <w:t xml:space="preserve"> </w:t>
      </w:r>
      <w:r>
        <w:rPr>
          <w:sz w:val="24"/>
        </w:rPr>
        <w:t>a</w:t>
      </w:r>
      <w:r>
        <w:rPr>
          <w:spacing w:val="-1"/>
          <w:sz w:val="24"/>
        </w:rPr>
        <w:t xml:space="preserve"> </w:t>
      </w:r>
      <w:r>
        <w:rPr>
          <w:sz w:val="24"/>
        </w:rPr>
        <w:t>composite</w:t>
      </w:r>
      <w:r>
        <w:rPr>
          <w:spacing w:val="-4"/>
          <w:sz w:val="24"/>
        </w:rPr>
        <w:t xml:space="preserve"> </w:t>
      </w:r>
      <w:r>
        <w:rPr>
          <w:sz w:val="24"/>
        </w:rPr>
        <w:t>measure</w:t>
      </w:r>
      <w:r>
        <w:rPr>
          <w:spacing w:val="-1"/>
          <w:sz w:val="24"/>
        </w:rPr>
        <w:t xml:space="preserve"> </w:t>
      </w:r>
      <w:r>
        <w:rPr>
          <w:sz w:val="24"/>
        </w:rPr>
        <w:t>that</w:t>
      </w:r>
      <w:r>
        <w:rPr>
          <w:spacing w:val="-4"/>
          <w:sz w:val="24"/>
        </w:rPr>
        <w:t xml:space="preserve"> </w:t>
      </w:r>
      <w:r>
        <w:rPr>
          <w:sz w:val="24"/>
        </w:rPr>
        <w:t>permits</w:t>
      </w:r>
      <w:r>
        <w:rPr>
          <w:spacing w:val="-2"/>
          <w:sz w:val="24"/>
        </w:rPr>
        <w:t xml:space="preserve"> </w:t>
      </w:r>
      <w:r>
        <w:rPr>
          <w:sz w:val="24"/>
        </w:rPr>
        <w:t>measurement</w:t>
      </w:r>
      <w:r>
        <w:rPr>
          <w:spacing w:val="-4"/>
          <w:sz w:val="24"/>
        </w:rPr>
        <w:t xml:space="preserve"> </w:t>
      </w:r>
      <w:r>
        <w:rPr>
          <w:sz w:val="24"/>
        </w:rPr>
        <w:t>of</w:t>
      </w:r>
      <w:r>
        <w:rPr>
          <w:spacing w:val="-3"/>
          <w:sz w:val="24"/>
        </w:rPr>
        <w:t xml:space="preserve"> </w:t>
      </w:r>
      <w:r>
        <w:rPr>
          <w:sz w:val="24"/>
        </w:rPr>
        <w:t>an individual’s overall level of exclusion.</w:t>
      </w:r>
    </w:p>
    <w:p w14:paraId="177EB0ED" w14:textId="77777777" w:rsidR="00811887" w:rsidRDefault="00811887" w:rsidP="00811887">
      <w:pPr>
        <w:spacing w:before="121"/>
        <w:ind w:left="165"/>
        <w:rPr>
          <w:sz w:val="24"/>
        </w:rPr>
      </w:pPr>
      <w:r>
        <w:rPr>
          <w:sz w:val="24"/>
        </w:rPr>
        <w:t>Chart</w:t>
      </w:r>
      <w:r>
        <w:rPr>
          <w:spacing w:val="-5"/>
          <w:sz w:val="24"/>
        </w:rPr>
        <w:t xml:space="preserve"> </w:t>
      </w:r>
      <w:r>
        <w:rPr>
          <w:sz w:val="24"/>
        </w:rPr>
        <w:t>8</w:t>
      </w:r>
      <w:r>
        <w:rPr>
          <w:spacing w:val="-4"/>
          <w:sz w:val="24"/>
        </w:rPr>
        <w:t xml:space="preserve"> </w:t>
      </w:r>
      <w:r>
        <w:rPr>
          <w:sz w:val="24"/>
        </w:rPr>
        <w:t>and Table</w:t>
      </w:r>
      <w:r>
        <w:rPr>
          <w:spacing w:val="-3"/>
          <w:sz w:val="24"/>
        </w:rPr>
        <w:t xml:space="preserve"> </w:t>
      </w:r>
      <w:r>
        <w:rPr>
          <w:sz w:val="24"/>
        </w:rPr>
        <w:t>9</w:t>
      </w:r>
      <w:r>
        <w:rPr>
          <w:spacing w:val="-1"/>
          <w:sz w:val="24"/>
        </w:rPr>
        <w:t xml:space="preserve"> </w:t>
      </w:r>
      <w:r>
        <w:rPr>
          <w:sz w:val="24"/>
        </w:rPr>
        <w:t>are</w:t>
      </w:r>
      <w:r>
        <w:rPr>
          <w:spacing w:val="-1"/>
          <w:sz w:val="24"/>
        </w:rPr>
        <w:t xml:space="preserve"> </w:t>
      </w:r>
      <w:r>
        <w:rPr>
          <w:sz w:val="24"/>
        </w:rPr>
        <w:t>sourced</w:t>
      </w:r>
      <w:r>
        <w:rPr>
          <w:spacing w:val="-3"/>
          <w:sz w:val="24"/>
        </w:rPr>
        <w:t xml:space="preserve"> </w:t>
      </w:r>
      <w:r>
        <w:rPr>
          <w:sz w:val="24"/>
        </w:rPr>
        <w:t>directly</w:t>
      </w:r>
      <w:r>
        <w:rPr>
          <w:spacing w:val="-1"/>
          <w:sz w:val="24"/>
        </w:rPr>
        <w:t xml:space="preserve"> </w:t>
      </w:r>
      <w:r>
        <w:rPr>
          <w:sz w:val="24"/>
        </w:rPr>
        <w:t>from</w:t>
      </w:r>
      <w:r>
        <w:rPr>
          <w:spacing w:val="-4"/>
          <w:sz w:val="24"/>
        </w:rPr>
        <w:t xml:space="preserve"> </w:t>
      </w:r>
      <w:r>
        <w:rPr>
          <w:sz w:val="24"/>
        </w:rPr>
        <w:t>the</w:t>
      </w:r>
      <w:r>
        <w:rPr>
          <w:spacing w:val="-1"/>
          <w:sz w:val="24"/>
        </w:rPr>
        <w:t xml:space="preserve"> </w:t>
      </w:r>
      <w:r>
        <w:rPr>
          <w:sz w:val="24"/>
        </w:rPr>
        <w:t>social</w:t>
      </w:r>
      <w:r>
        <w:rPr>
          <w:spacing w:val="-2"/>
          <w:sz w:val="24"/>
        </w:rPr>
        <w:t xml:space="preserve"> </w:t>
      </w:r>
      <w:r>
        <w:rPr>
          <w:sz w:val="24"/>
        </w:rPr>
        <w:t>exclusion</w:t>
      </w:r>
      <w:r>
        <w:rPr>
          <w:spacing w:val="-3"/>
          <w:sz w:val="24"/>
        </w:rPr>
        <w:t xml:space="preserve"> </w:t>
      </w:r>
      <w:r>
        <w:rPr>
          <w:sz w:val="24"/>
        </w:rPr>
        <w:t>measure</w:t>
      </w:r>
      <w:r>
        <w:rPr>
          <w:spacing w:val="-1"/>
          <w:sz w:val="24"/>
        </w:rPr>
        <w:t xml:space="preserve"> </w:t>
      </w:r>
      <w:r>
        <w:rPr>
          <w:spacing w:val="-2"/>
          <w:sz w:val="24"/>
        </w:rPr>
        <w:t>work.</w:t>
      </w:r>
    </w:p>
    <w:p w14:paraId="72563415" w14:textId="77777777" w:rsidR="00811887" w:rsidRDefault="00811887" w:rsidP="00811887">
      <w:pPr>
        <w:spacing w:before="150" w:line="276" w:lineRule="auto"/>
        <w:ind w:left="165" w:right="200"/>
        <w:rPr>
          <w:b/>
        </w:rPr>
      </w:pPr>
      <w:r>
        <w:rPr>
          <w:b/>
        </w:rPr>
        <w:t>Chart</w:t>
      </w:r>
      <w:r>
        <w:rPr>
          <w:b/>
          <w:spacing w:val="-3"/>
        </w:rPr>
        <w:t xml:space="preserve"> </w:t>
      </w:r>
      <w:r>
        <w:rPr>
          <w:b/>
        </w:rPr>
        <w:t>8.</w:t>
      </w:r>
      <w:r>
        <w:rPr>
          <w:b/>
          <w:spacing w:val="-5"/>
        </w:rPr>
        <w:t xml:space="preserve"> </w:t>
      </w:r>
      <w:r>
        <w:rPr>
          <w:b/>
        </w:rPr>
        <w:t>Percentage</w:t>
      </w:r>
      <w:r>
        <w:rPr>
          <w:b/>
          <w:spacing w:val="-1"/>
        </w:rPr>
        <w:t xml:space="preserve"> </w:t>
      </w:r>
      <w:r>
        <w:rPr>
          <w:b/>
        </w:rPr>
        <w:t>of</w:t>
      </w:r>
      <w:r>
        <w:rPr>
          <w:b/>
          <w:spacing w:val="-1"/>
        </w:rPr>
        <w:t xml:space="preserve"> </w:t>
      </w:r>
      <w:r>
        <w:rPr>
          <w:b/>
        </w:rPr>
        <w:t>Australians</w:t>
      </w:r>
      <w:r>
        <w:rPr>
          <w:b/>
          <w:spacing w:val="-1"/>
        </w:rPr>
        <w:t xml:space="preserve"> </w:t>
      </w:r>
      <w:r>
        <w:rPr>
          <w:b/>
        </w:rPr>
        <w:t>experiencing</w:t>
      </w:r>
      <w:r>
        <w:rPr>
          <w:b/>
          <w:spacing w:val="-8"/>
        </w:rPr>
        <w:t xml:space="preserve"> </w:t>
      </w:r>
      <w:r>
        <w:rPr>
          <w:b/>
        </w:rPr>
        <w:t>each social</w:t>
      </w:r>
      <w:r>
        <w:rPr>
          <w:b/>
          <w:spacing w:val="-5"/>
        </w:rPr>
        <w:t xml:space="preserve"> </w:t>
      </w:r>
      <w:r>
        <w:rPr>
          <w:b/>
        </w:rPr>
        <w:t>exclusion</w:t>
      </w:r>
      <w:r>
        <w:rPr>
          <w:b/>
          <w:spacing w:val="-3"/>
        </w:rPr>
        <w:t xml:space="preserve"> </w:t>
      </w:r>
      <w:r>
        <w:rPr>
          <w:b/>
        </w:rPr>
        <w:t>indicator,</w:t>
      </w:r>
      <w:r>
        <w:rPr>
          <w:b/>
          <w:spacing w:val="-5"/>
        </w:rPr>
        <w:t xml:space="preserve"> </w:t>
      </w:r>
      <w:r>
        <w:rPr>
          <w:b/>
        </w:rPr>
        <w:t>average</w:t>
      </w:r>
      <w:r>
        <w:rPr>
          <w:b/>
          <w:spacing w:val="-1"/>
        </w:rPr>
        <w:t xml:space="preserve"> </w:t>
      </w:r>
      <w:r>
        <w:rPr>
          <w:b/>
        </w:rPr>
        <w:t xml:space="preserve">2009- </w:t>
      </w:r>
      <w:r>
        <w:rPr>
          <w:b/>
          <w:spacing w:val="-6"/>
        </w:rPr>
        <w:t>18</w:t>
      </w:r>
    </w:p>
    <w:p w14:paraId="70190E79" w14:textId="77777777" w:rsidR="00811887" w:rsidRDefault="00811887" w:rsidP="00811887">
      <w:pPr>
        <w:pStyle w:val="BodyText"/>
        <w:ind w:left="567" w:right="284"/>
        <w:rPr>
          <w:rFonts w:ascii="Arial"/>
          <w:b/>
          <w:sz w:val="8"/>
        </w:rPr>
      </w:pPr>
      <w:r>
        <w:rPr>
          <w:noProof/>
        </w:rPr>
        <w:drawing>
          <wp:inline distT="0" distB="0" distL="0" distR="0" wp14:anchorId="2313064A" wp14:editId="2BE5185B">
            <wp:extent cx="4482284" cy="5604319"/>
            <wp:effectExtent l="0" t="0" r="0" b="0"/>
            <wp:docPr id="82" name="Image 82" descr="Chart 8 displays the percentages of Australians experiencing social exclusion against seven key indicators which are material resources, employment education and skills, health, social connection, community, and personal safety.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Chart 8 displays the percentages of Australians experiencing social exclusion against seven key indicators which are material resources, employment education and skills, health, social connection, community, and personal safety.  &#1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2284" cy="5604319"/>
                    </a:xfrm>
                    <a:prstGeom prst="rect">
                      <a:avLst/>
                    </a:prstGeom>
                  </pic:spPr>
                </pic:pic>
              </a:graphicData>
            </a:graphic>
          </wp:inline>
        </w:drawing>
      </w:r>
    </w:p>
    <w:p w14:paraId="0C4D3A1C" w14:textId="77777777" w:rsidR="00811887" w:rsidRDefault="00811887" w:rsidP="00811887">
      <w:pPr>
        <w:pStyle w:val="BodyText"/>
        <w:spacing w:before="1"/>
        <w:rPr>
          <w:rFonts w:ascii="Arial"/>
          <w:b/>
          <w:sz w:val="22"/>
        </w:rPr>
      </w:pPr>
    </w:p>
    <w:p w14:paraId="09BB0B48" w14:textId="77777777" w:rsidR="00811887" w:rsidRDefault="00811887" w:rsidP="00811887">
      <w:pPr>
        <w:spacing w:before="1"/>
        <w:ind w:left="4297"/>
        <w:rPr>
          <w:i/>
          <w:sz w:val="20"/>
        </w:rPr>
      </w:pPr>
      <w:r>
        <w:rPr>
          <w:i/>
          <w:sz w:val="20"/>
        </w:rPr>
        <w:t>From</w:t>
      </w:r>
      <w:r>
        <w:rPr>
          <w:i/>
          <w:spacing w:val="-5"/>
          <w:sz w:val="20"/>
        </w:rPr>
        <w:t xml:space="preserve"> </w:t>
      </w:r>
      <w:r>
        <w:rPr>
          <w:i/>
          <w:sz w:val="20"/>
        </w:rPr>
        <w:t>The</w:t>
      </w:r>
      <w:r>
        <w:rPr>
          <w:i/>
          <w:spacing w:val="-3"/>
          <w:sz w:val="20"/>
        </w:rPr>
        <w:t xml:space="preserve"> </w:t>
      </w:r>
      <w:r>
        <w:rPr>
          <w:i/>
          <w:sz w:val="20"/>
        </w:rPr>
        <w:t>Brotherhood</w:t>
      </w:r>
      <w:r>
        <w:rPr>
          <w:i/>
          <w:spacing w:val="-2"/>
          <w:sz w:val="20"/>
        </w:rPr>
        <w:t xml:space="preserve"> </w:t>
      </w:r>
      <w:r>
        <w:rPr>
          <w:i/>
          <w:sz w:val="20"/>
        </w:rPr>
        <w:t>of</w:t>
      </w:r>
      <w:r>
        <w:rPr>
          <w:i/>
          <w:spacing w:val="-3"/>
          <w:sz w:val="20"/>
        </w:rPr>
        <w:t xml:space="preserve"> </w:t>
      </w:r>
      <w:r>
        <w:rPr>
          <w:i/>
          <w:sz w:val="20"/>
        </w:rPr>
        <w:t>St.</w:t>
      </w:r>
      <w:r>
        <w:rPr>
          <w:i/>
          <w:spacing w:val="-4"/>
          <w:sz w:val="20"/>
        </w:rPr>
        <w:t xml:space="preserve"> </w:t>
      </w:r>
      <w:r>
        <w:rPr>
          <w:i/>
          <w:sz w:val="20"/>
        </w:rPr>
        <w:t>Laurence</w:t>
      </w:r>
      <w:r>
        <w:rPr>
          <w:i/>
          <w:spacing w:val="-3"/>
          <w:sz w:val="20"/>
        </w:rPr>
        <w:t xml:space="preserve"> </w:t>
      </w:r>
      <w:r>
        <w:rPr>
          <w:i/>
          <w:sz w:val="20"/>
        </w:rPr>
        <w:t>and</w:t>
      </w:r>
      <w:r>
        <w:rPr>
          <w:i/>
          <w:spacing w:val="-2"/>
          <w:sz w:val="20"/>
        </w:rPr>
        <w:t xml:space="preserve"> </w:t>
      </w:r>
      <w:r>
        <w:rPr>
          <w:i/>
          <w:sz w:val="20"/>
        </w:rPr>
        <w:t>the</w:t>
      </w:r>
      <w:r>
        <w:rPr>
          <w:i/>
          <w:spacing w:val="-4"/>
          <w:sz w:val="20"/>
        </w:rPr>
        <w:t xml:space="preserve"> </w:t>
      </w:r>
      <w:r>
        <w:rPr>
          <w:i/>
          <w:sz w:val="20"/>
        </w:rPr>
        <w:t>Melbourne</w:t>
      </w:r>
      <w:r>
        <w:rPr>
          <w:i/>
          <w:spacing w:val="-4"/>
          <w:sz w:val="20"/>
        </w:rPr>
        <w:t xml:space="preserve"> </w:t>
      </w:r>
      <w:r>
        <w:rPr>
          <w:i/>
          <w:sz w:val="20"/>
        </w:rPr>
        <w:t>Institute</w:t>
      </w:r>
      <w:r>
        <w:rPr>
          <w:i/>
          <w:spacing w:val="-3"/>
          <w:sz w:val="20"/>
        </w:rPr>
        <w:t xml:space="preserve"> </w:t>
      </w:r>
      <w:r>
        <w:rPr>
          <w:i/>
          <w:spacing w:val="-2"/>
          <w:sz w:val="20"/>
        </w:rPr>
        <w:t>(2020)</w:t>
      </w:r>
    </w:p>
    <w:p w14:paraId="67AC8B17" w14:textId="77777777" w:rsidR="00811887" w:rsidRDefault="00811887" w:rsidP="00811887">
      <w:pPr>
        <w:rPr>
          <w:sz w:val="20"/>
        </w:rPr>
        <w:sectPr w:rsidR="00811887" w:rsidSect="00811887">
          <w:pgSz w:w="11910" w:h="16840"/>
          <w:pgMar w:top="900" w:right="721" w:bottom="1200" w:left="740" w:header="0" w:footer="1005" w:gutter="0"/>
          <w:cols w:space="720"/>
        </w:sectPr>
      </w:pPr>
    </w:p>
    <w:p w14:paraId="6160EB90" w14:textId="77777777" w:rsidR="00811887" w:rsidRDefault="00811887" w:rsidP="00811887">
      <w:pPr>
        <w:spacing w:before="64"/>
        <w:ind w:left="165"/>
        <w:rPr>
          <w:b/>
        </w:rPr>
      </w:pPr>
      <w:r>
        <w:rPr>
          <w:b/>
        </w:rPr>
        <w:lastRenderedPageBreak/>
        <w:t>Table</w:t>
      </w:r>
      <w:r>
        <w:rPr>
          <w:b/>
          <w:spacing w:val="-4"/>
        </w:rPr>
        <w:t xml:space="preserve"> </w:t>
      </w:r>
      <w:r>
        <w:rPr>
          <w:b/>
        </w:rPr>
        <w:t>9.</w:t>
      </w:r>
      <w:r>
        <w:rPr>
          <w:b/>
          <w:spacing w:val="-10"/>
        </w:rPr>
        <w:t xml:space="preserve"> </w:t>
      </w:r>
      <w:r>
        <w:rPr>
          <w:b/>
        </w:rPr>
        <w:t>Trends</w:t>
      </w:r>
      <w:r>
        <w:rPr>
          <w:b/>
          <w:spacing w:val="-1"/>
        </w:rPr>
        <w:t xml:space="preserve"> </w:t>
      </w:r>
      <w:r>
        <w:rPr>
          <w:b/>
        </w:rPr>
        <w:t>in</w:t>
      </w:r>
      <w:r>
        <w:rPr>
          <w:b/>
          <w:spacing w:val="-3"/>
        </w:rPr>
        <w:t xml:space="preserve"> </w:t>
      </w:r>
      <w:r>
        <w:rPr>
          <w:b/>
        </w:rPr>
        <w:t>social</w:t>
      </w:r>
      <w:r>
        <w:rPr>
          <w:b/>
          <w:spacing w:val="-5"/>
        </w:rPr>
        <w:t xml:space="preserve"> </w:t>
      </w:r>
      <w:r>
        <w:rPr>
          <w:b/>
        </w:rPr>
        <w:t>exclusion</w:t>
      </w:r>
      <w:r>
        <w:rPr>
          <w:b/>
          <w:spacing w:val="-3"/>
        </w:rPr>
        <w:t xml:space="preserve"> </w:t>
      </w:r>
      <w:r>
        <w:rPr>
          <w:b/>
        </w:rPr>
        <w:t>and</w:t>
      </w:r>
      <w:r>
        <w:rPr>
          <w:b/>
          <w:spacing w:val="-4"/>
        </w:rPr>
        <w:t xml:space="preserve"> </w:t>
      </w:r>
      <w:r>
        <w:rPr>
          <w:b/>
        </w:rPr>
        <w:t>income</w:t>
      </w:r>
      <w:r>
        <w:rPr>
          <w:b/>
          <w:spacing w:val="-1"/>
        </w:rPr>
        <w:t xml:space="preserve"> </w:t>
      </w:r>
      <w:r>
        <w:rPr>
          <w:b/>
        </w:rPr>
        <w:t>poverty</w:t>
      </w:r>
      <w:r>
        <w:rPr>
          <w:b/>
          <w:spacing w:val="-6"/>
        </w:rPr>
        <w:t xml:space="preserve"> </w:t>
      </w:r>
      <w:r>
        <w:rPr>
          <w:b/>
        </w:rPr>
        <w:t>in</w:t>
      </w:r>
      <w:r>
        <w:rPr>
          <w:b/>
          <w:spacing w:val="-3"/>
        </w:rPr>
        <w:t xml:space="preserve"> </w:t>
      </w:r>
      <w:r>
        <w:rPr>
          <w:b/>
        </w:rPr>
        <w:t>Australia,</w:t>
      </w:r>
      <w:r>
        <w:rPr>
          <w:b/>
          <w:spacing w:val="-5"/>
        </w:rPr>
        <w:t xml:space="preserve"> </w:t>
      </w:r>
      <w:r>
        <w:rPr>
          <w:b/>
        </w:rPr>
        <w:t>2001-</w:t>
      </w:r>
      <w:r>
        <w:rPr>
          <w:b/>
          <w:spacing w:val="-5"/>
        </w:rPr>
        <w:t>18</w:t>
      </w:r>
    </w:p>
    <w:p w14:paraId="5E39D6F7" w14:textId="77777777" w:rsidR="00811887" w:rsidRDefault="00811887" w:rsidP="00811887">
      <w:pPr>
        <w:pStyle w:val="BodyText"/>
        <w:spacing w:before="181" w:after="1"/>
        <w:rPr>
          <w:i/>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6"/>
        <w:gridCol w:w="2207"/>
        <w:gridCol w:w="2207"/>
        <w:gridCol w:w="2207"/>
        <w:gridCol w:w="2202"/>
      </w:tblGrid>
      <w:tr w:rsidR="00811887" w14:paraId="7B0ED507" w14:textId="77777777" w:rsidTr="00486E22">
        <w:trPr>
          <w:trHeight w:val="540"/>
        </w:trPr>
        <w:tc>
          <w:tcPr>
            <w:tcW w:w="1266" w:type="dxa"/>
            <w:shd w:val="clear" w:color="auto" w:fill="234060"/>
          </w:tcPr>
          <w:p w14:paraId="6BF8B1E5" w14:textId="77777777" w:rsidR="00811887" w:rsidRDefault="00811887" w:rsidP="00486E22">
            <w:pPr>
              <w:pStyle w:val="TableParagraph"/>
              <w:ind w:left="110"/>
              <w:rPr>
                <w:b/>
                <w:sz w:val="20"/>
              </w:rPr>
            </w:pPr>
            <w:r>
              <w:rPr>
                <w:b/>
                <w:color w:val="FFFFFF"/>
                <w:spacing w:val="-4"/>
                <w:sz w:val="20"/>
              </w:rPr>
              <w:t>Year</w:t>
            </w:r>
          </w:p>
        </w:tc>
        <w:tc>
          <w:tcPr>
            <w:tcW w:w="2207" w:type="dxa"/>
            <w:shd w:val="clear" w:color="auto" w:fill="234060"/>
          </w:tcPr>
          <w:p w14:paraId="3ECD9B2C" w14:textId="77777777" w:rsidR="00811887" w:rsidRDefault="00811887" w:rsidP="00486E22">
            <w:pPr>
              <w:pStyle w:val="TableParagraph"/>
              <w:ind w:left="7"/>
              <w:jc w:val="center"/>
              <w:rPr>
                <w:b/>
                <w:sz w:val="20"/>
              </w:rPr>
            </w:pPr>
            <w:r>
              <w:rPr>
                <w:b/>
                <w:color w:val="FFFFFF"/>
                <w:sz w:val="20"/>
              </w:rPr>
              <w:t>All</w:t>
            </w:r>
            <w:r>
              <w:rPr>
                <w:b/>
                <w:color w:val="FFFFFF"/>
                <w:spacing w:val="1"/>
                <w:sz w:val="20"/>
              </w:rPr>
              <w:t xml:space="preserve"> </w:t>
            </w:r>
            <w:r>
              <w:rPr>
                <w:b/>
                <w:color w:val="FFFFFF"/>
                <w:sz w:val="20"/>
              </w:rPr>
              <w:t>social</w:t>
            </w:r>
            <w:r>
              <w:rPr>
                <w:b/>
                <w:color w:val="FFFFFF"/>
                <w:spacing w:val="1"/>
                <w:sz w:val="20"/>
              </w:rPr>
              <w:t xml:space="preserve"> </w:t>
            </w:r>
            <w:r>
              <w:rPr>
                <w:b/>
                <w:color w:val="FFFFFF"/>
                <w:spacing w:val="-2"/>
                <w:sz w:val="20"/>
              </w:rPr>
              <w:t>exclusion</w:t>
            </w:r>
          </w:p>
        </w:tc>
        <w:tc>
          <w:tcPr>
            <w:tcW w:w="2207" w:type="dxa"/>
            <w:shd w:val="clear" w:color="auto" w:fill="234060"/>
          </w:tcPr>
          <w:p w14:paraId="70C6BFEC" w14:textId="77777777" w:rsidR="00811887" w:rsidRDefault="00811887" w:rsidP="00486E22">
            <w:pPr>
              <w:pStyle w:val="TableParagraph"/>
              <w:ind w:left="7" w:right="2"/>
              <w:jc w:val="center"/>
              <w:rPr>
                <w:b/>
                <w:sz w:val="20"/>
              </w:rPr>
            </w:pPr>
            <w:r>
              <w:rPr>
                <w:b/>
                <w:color w:val="FFFFFF"/>
                <w:sz w:val="20"/>
              </w:rPr>
              <w:t>Marginal</w:t>
            </w:r>
            <w:r>
              <w:rPr>
                <w:b/>
                <w:color w:val="FFFFFF"/>
                <w:spacing w:val="2"/>
                <w:sz w:val="20"/>
              </w:rPr>
              <w:t xml:space="preserve"> </w:t>
            </w:r>
            <w:r>
              <w:rPr>
                <w:b/>
                <w:color w:val="FFFFFF"/>
                <w:spacing w:val="-2"/>
                <w:sz w:val="20"/>
              </w:rPr>
              <w:t>exclusion</w:t>
            </w:r>
          </w:p>
        </w:tc>
        <w:tc>
          <w:tcPr>
            <w:tcW w:w="2207" w:type="dxa"/>
            <w:shd w:val="clear" w:color="auto" w:fill="234060"/>
          </w:tcPr>
          <w:p w14:paraId="13BDB1E1" w14:textId="77777777" w:rsidR="00811887" w:rsidRDefault="00811887" w:rsidP="00486E22">
            <w:pPr>
              <w:pStyle w:val="TableParagraph"/>
              <w:ind w:left="7" w:right="3"/>
              <w:jc w:val="center"/>
              <w:rPr>
                <w:b/>
                <w:sz w:val="20"/>
              </w:rPr>
            </w:pPr>
            <w:r>
              <w:rPr>
                <w:b/>
                <w:color w:val="FFFFFF"/>
                <w:sz w:val="20"/>
              </w:rPr>
              <w:t>Deep</w:t>
            </w:r>
            <w:r>
              <w:rPr>
                <w:b/>
                <w:color w:val="FFFFFF"/>
                <w:spacing w:val="-4"/>
                <w:sz w:val="20"/>
              </w:rPr>
              <w:t xml:space="preserve"> </w:t>
            </w:r>
            <w:r>
              <w:rPr>
                <w:b/>
                <w:color w:val="FFFFFF"/>
                <w:spacing w:val="-2"/>
                <w:sz w:val="20"/>
              </w:rPr>
              <w:t>exclusion</w:t>
            </w:r>
          </w:p>
        </w:tc>
        <w:tc>
          <w:tcPr>
            <w:tcW w:w="2202" w:type="dxa"/>
            <w:shd w:val="clear" w:color="auto" w:fill="234060"/>
          </w:tcPr>
          <w:p w14:paraId="6F5DC300" w14:textId="77777777" w:rsidR="00811887" w:rsidRDefault="00811887" w:rsidP="00486E22">
            <w:pPr>
              <w:pStyle w:val="TableParagraph"/>
              <w:spacing w:line="240" w:lineRule="auto"/>
              <w:ind w:left="226" w:hanging="90"/>
              <w:rPr>
                <w:b/>
                <w:sz w:val="20"/>
              </w:rPr>
            </w:pPr>
            <w:r>
              <w:rPr>
                <w:b/>
                <w:color w:val="FFFFFF"/>
                <w:sz w:val="20"/>
              </w:rPr>
              <w:t>Income</w:t>
            </w:r>
            <w:r>
              <w:rPr>
                <w:b/>
                <w:color w:val="FFFFFF"/>
                <w:spacing w:val="-12"/>
                <w:sz w:val="20"/>
              </w:rPr>
              <w:t xml:space="preserve"> </w:t>
            </w:r>
            <w:r>
              <w:rPr>
                <w:b/>
                <w:color w:val="FFFFFF"/>
                <w:sz w:val="20"/>
              </w:rPr>
              <w:t>poverty</w:t>
            </w:r>
            <w:r>
              <w:rPr>
                <w:b/>
                <w:color w:val="FFFFFF"/>
                <w:spacing w:val="-11"/>
                <w:sz w:val="20"/>
              </w:rPr>
              <w:t xml:space="preserve"> </w:t>
            </w:r>
            <w:r>
              <w:rPr>
                <w:b/>
                <w:color w:val="FFFFFF"/>
                <w:sz w:val="20"/>
              </w:rPr>
              <w:t>(below 60% of median EDHI)</w:t>
            </w:r>
          </w:p>
        </w:tc>
      </w:tr>
      <w:tr w:rsidR="00811887" w14:paraId="4FEF4B5A" w14:textId="77777777" w:rsidTr="00486E22">
        <w:trPr>
          <w:trHeight w:val="310"/>
        </w:trPr>
        <w:tc>
          <w:tcPr>
            <w:tcW w:w="1266" w:type="dxa"/>
            <w:shd w:val="clear" w:color="auto" w:fill="234060"/>
          </w:tcPr>
          <w:p w14:paraId="030F5B78" w14:textId="77777777" w:rsidR="00811887" w:rsidRDefault="00811887" w:rsidP="00486E22">
            <w:pPr>
              <w:pStyle w:val="TableParagraph"/>
              <w:spacing w:line="239" w:lineRule="exact"/>
              <w:ind w:left="110"/>
              <w:rPr>
                <w:b/>
                <w:sz w:val="20"/>
              </w:rPr>
            </w:pPr>
            <w:r>
              <w:rPr>
                <w:b/>
                <w:color w:val="FFFFFF"/>
                <w:spacing w:val="-4"/>
                <w:sz w:val="20"/>
              </w:rPr>
              <w:t>2001</w:t>
            </w:r>
          </w:p>
        </w:tc>
        <w:tc>
          <w:tcPr>
            <w:tcW w:w="2207" w:type="dxa"/>
          </w:tcPr>
          <w:p w14:paraId="7F34A9AF" w14:textId="77777777" w:rsidR="00811887" w:rsidRDefault="00811887" w:rsidP="00486E22">
            <w:pPr>
              <w:pStyle w:val="TableParagraph"/>
              <w:spacing w:line="239" w:lineRule="exact"/>
              <w:ind w:left="7" w:right="2"/>
              <w:jc w:val="center"/>
              <w:rPr>
                <w:sz w:val="20"/>
              </w:rPr>
            </w:pPr>
            <w:r>
              <w:rPr>
                <w:spacing w:val="-4"/>
                <w:sz w:val="20"/>
              </w:rPr>
              <w:t>31.1</w:t>
            </w:r>
          </w:p>
        </w:tc>
        <w:tc>
          <w:tcPr>
            <w:tcW w:w="2207" w:type="dxa"/>
          </w:tcPr>
          <w:p w14:paraId="225EAD64" w14:textId="77777777" w:rsidR="00811887" w:rsidRDefault="00811887" w:rsidP="00486E22">
            <w:pPr>
              <w:pStyle w:val="TableParagraph"/>
              <w:spacing w:line="239" w:lineRule="exact"/>
              <w:ind w:left="7" w:right="4"/>
              <w:jc w:val="center"/>
              <w:rPr>
                <w:sz w:val="20"/>
              </w:rPr>
            </w:pPr>
            <w:r>
              <w:rPr>
                <w:spacing w:val="-4"/>
                <w:sz w:val="20"/>
              </w:rPr>
              <w:t>23.3</w:t>
            </w:r>
          </w:p>
        </w:tc>
        <w:tc>
          <w:tcPr>
            <w:tcW w:w="2207" w:type="dxa"/>
          </w:tcPr>
          <w:p w14:paraId="252EA7D3" w14:textId="77777777" w:rsidR="00811887" w:rsidRDefault="00811887" w:rsidP="00486E22">
            <w:pPr>
              <w:pStyle w:val="TableParagraph"/>
              <w:spacing w:line="239" w:lineRule="exact"/>
              <w:ind w:left="7" w:right="7"/>
              <w:jc w:val="center"/>
              <w:rPr>
                <w:sz w:val="20"/>
              </w:rPr>
            </w:pPr>
            <w:r>
              <w:rPr>
                <w:spacing w:val="-5"/>
                <w:sz w:val="20"/>
              </w:rPr>
              <w:t>7.8</w:t>
            </w:r>
          </w:p>
        </w:tc>
        <w:tc>
          <w:tcPr>
            <w:tcW w:w="2202" w:type="dxa"/>
          </w:tcPr>
          <w:p w14:paraId="09E922F8" w14:textId="77777777" w:rsidR="00811887" w:rsidRDefault="00811887" w:rsidP="00486E22">
            <w:pPr>
              <w:pStyle w:val="TableParagraph"/>
              <w:spacing w:line="239" w:lineRule="exact"/>
              <w:ind w:left="2"/>
              <w:jc w:val="center"/>
              <w:rPr>
                <w:sz w:val="20"/>
              </w:rPr>
            </w:pPr>
            <w:r>
              <w:rPr>
                <w:spacing w:val="-4"/>
                <w:sz w:val="20"/>
              </w:rPr>
              <w:t>20.6</w:t>
            </w:r>
          </w:p>
        </w:tc>
      </w:tr>
      <w:tr w:rsidR="00811887" w14:paraId="7B963E47" w14:textId="77777777" w:rsidTr="00486E22">
        <w:trPr>
          <w:trHeight w:val="280"/>
        </w:trPr>
        <w:tc>
          <w:tcPr>
            <w:tcW w:w="1266" w:type="dxa"/>
            <w:shd w:val="clear" w:color="auto" w:fill="234060"/>
          </w:tcPr>
          <w:p w14:paraId="2A2A8B92" w14:textId="77777777" w:rsidR="00811887" w:rsidRDefault="00811887" w:rsidP="00486E22">
            <w:pPr>
              <w:pStyle w:val="TableParagraph"/>
              <w:spacing w:line="239" w:lineRule="exact"/>
              <w:ind w:left="110"/>
              <w:rPr>
                <w:b/>
                <w:sz w:val="20"/>
              </w:rPr>
            </w:pPr>
            <w:r>
              <w:rPr>
                <w:b/>
                <w:color w:val="FFFFFF"/>
                <w:spacing w:val="-4"/>
                <w:sz w:val="20"/>
              </w:rPr>
              <w:t>2002</w:t>
            </w:r>
          </w:p>
        </w:tc>
        <w:tc>
          <w:tcPr>
            <w:tcW w:w="2207" w:type="dxa"/>
          </w:tcPr>
          <w:p w14:paraId="3D392BA4" w14:textId="77777777" w:rsidR="00811887" w:rsidRDefault="00811887" w:rsidP="00486E22">
            <w:pPr>
              <w:pStyle w:val="TableParagraph"/>
              <w:spacing w:line="239" w:lineRule="exact"/>
              <w:ind w:left="7" w:right="2"/>
              <w:jc w:val="center"/>
              <w:rPr>
                <w:sz w:val="20"/>
              </w:rPr>
            </w:pPr>
            <w:r>
              <w:rPr>
                <w:spacing w:val="-4"/>
                <w:sz w:val="20"/>
              </w:rPr>
              <w:t>29.9</w:t>
            </w:r>
          </w:p>
        </w:tc>
        <w:tc>
          <w:tcPr>
            <w:tcW w:w="2207" w:type="dxa"/>
          </w:tcPr>
          <w:p w14:paraId="554C16FB" w14:textId="77777777" w:rsidR="00811887" w:rsidRDefault="00811887" w:rsidP="00486E22">
            <w:pPr>
              <w:pStyle w:val="TableParagraph"/>
              <w:spacing w:line="239" w:lineRule="exact"/>
              <w:ind w:left="7" w:right="4"/>
              <w:jc w:val="center"/>
              <w:rPr>
                <w:sz w:val="20"/>
              </w:rPr>
            </w:pPr>
            <w:r>
              <w:rPr>
                <w:spacing w:val="-4"/>
                <w:sz w:val="20"/>
              </w:rPr>
              <w:t>22.4</w:t>
            </w:r>
          </w:p>
        </w:tc>
        <w:tc>
          <w:tcPr>
            <w:tcW w:w="2207" w:type="dxa"/>
          </w:tcPr>
          <w:p w14:paraId="631A844E" w14:textId="77777777" w:rsidR="00811887" w:rsidRDefault="00811887" w:rsidP="00486E22">
            <w:pPr>
              <w:pStyle w:val="TableParagraph"/>
              <w:spacing w:line="239" w:lineRule="exact"/>
              <w:ind w:left="7" w:right="7"/>
              <w:jc w:val="center"/>
              <w:rPr>
                <w:sz w:val="20"/>
              </w:rPr>
            </w:pPr>
            <w:r>
              <w:rPr>
                <w:spacing w:val="-5"/>
                <w:sz w:val="20"/>
              </w:rPr>
              <w:t>7.5</w:t>
            </w:r>
          </w:p>
        </w:tc>
        <w:tc>
          <w:tcPr>
            <w:tcW w:w="2202" w:type="dxa"/>
          </w:tcPr>
          <w:p w14:paraId="0B529E79" w14:textId="77777777" w:rsidR="00811887" w:rsidRDefault="00811887" w:rsidP="00486E22">
            <w:pPr>
              <w:pStyle w:val="TableParagraph"/>
              <w:spacing w:line="239" w:lineRule="exact"/>
              <w:ind w:left="2"/>
              <w:jc w:val="center"/>
              <w:rPr>
                <w:sz w:val="20"/>
              </w:rPr>
            </w:pPr>
            <w:r>
              <w:rPr>
                <w:spacing w:val="-4"/>
                <w:sz w:val="20"/>
              </w:rPr>
              <w:t>20.9</w:t>
            </w:r>
          </w:p>
        </w:tc>
      </w:tr>
      <w:tr w:rsidR="00811887" w14:paraId="67888BF4" w14:textId="77777777" w:rsidTr="00486E22">
        <w:trPr>
          <w:trHeight w:val="310"/>
        </w:trPr>
        <w:tc>
          <w:tcPr>
            <w:tcW w:w="1266" w:type="dxa"/>
            <w:shd w:val="clear" w:color="auto" w:fill="234060"/>
          </w:tcPr>
          <w:p w14:paraId="4DE01E15" w14:textId="77777777" w:rsidR="00811887" w:rsidRDefault="00811887" w:rsidP="00486E22">
            <w:pPr>
              <w:pStyle w:val="TableParagraph"/>
              <w:ind w:left="110"/>
              <w:rPr>
                <w:b/>
                <w:sz w:val="20"/>
              </w:rPr>
            </w:pPr>
            <w:r>
              <w:rPr>
                <w:b/>
                <w:color w:val="FFFFFF"/>
                <w:spacing w:val="-4"/>
                <w:sz w:val="20"/>
              </w:rPr>
              <w:t>2003</w:t>
            </w:r>
          </w:p>
        </w:tc>
        <w:tc>
          <w:tcPr>
            <w:tcW w:w="2207" w:type="dxa"/>
          </w:tcPr>
          <w:p w14:paraId="29EEE1DF" w14:textId="77777777" w:rsidR="00811887" w:rsidRDefault="00811887" w:rsidP="00486E22">
            <w:pPr>
              <w:pStyle w:val="TableParagraph"/>
              <w:ind w:left="7" w:right="2"/>
              <w:jc w:val="center"/>
              <w:rPr>
                <w:sz w:val="20"/>
              </w:rPr>
            </w:pPr>
            <w:r>
              <w:rPr>
                <w:spacing w:val="-4"/>
                <w:sz w:val="20"/>
              </w:rPr>
              <w:t>29.8</w:t>
            </w:r>
          </w:p>
        </w:tc>
        <w:tc>
          <w:tcPr>
            <w:tcW w:w="2207" w:type="dxa"/>
          </w:tcPr>
          <w:p w14:paraId="4C5C0479" w14:textId="77777777" w:rsidR="00811887" w:rsidRDefault="00811887" w:rsidP="00486E22">
            <w:pPr>
              <w:pStyle w:val="TableParagraph"/>
              <w:ind w:left="7" w:right="4"/>
              <w:jc w:val="center"/>
              <w:rPr>
                <w:sz w:val="20"/>
              </w:rPr>
            </w:pPr>
            <w:r>
              <w:rPr>
                <w:spacing w:val="-4"/>
                <w:sz w:val="20"/>
              </w:rPr>
              <w:t>22.6</w:t>
            </w:r>
          </w:p>
        </w:tc>
        <w:tc>
          <w:tcPr>
            <w:tcW w:w="2207" w:type="dxa"/>
          </w:tcPr>
          <w:p w14:paraId="01247558" w14:textId="77777777" w:rsidR="00811887" w:rsidRDefault="00811887" w:rsidP="00486E22">
            <w:pPr>
              <w:pStyle w:val="TableParagraph"/>
              <w:ind w:left="7" w:right="7"/>
              <w:jc w:val="center"/>
              <w:rPr>
                <w:sz w:val="20"/>
              </w:rPr>
            </w:pPr>
            <w:r>
              <w:rPr>
                <w:spacing w:val="-5"/>
                <w:sz w:val="20"/>
              </w:rPr>
              <w:t>7.2</w:t>
            </w:r>
          </w:p>
        </w:tc>
        <w:tc>
          <w:tcPr>
            <w:tcW w:w="2202" w:type="dxa"/>
          </w:tcPr>
          <w:p w14:paraId="6EB66D35" w14:textId="77777777" w:rsidR="00811887" w:rsidRDefault="00811887" w:rsidP="00486E22">
            <w:pPr>
              <w:pStyle w:val="TableParagraph"/>
              <w:ind w:left="2"/>
              <w:jc w:val="center"/>
              <w:rPr>
                <w:sz w:val="20"/>
              </w:rPr>
            </w:pPr>
            <w:r>
              <w:rPr>
                <w:spacing w:val="-4"/>
                <w:sz w:val="20"/>
              </w:rPr>
              <w:t>20.9</w:t>
            </w:r>
          </w:p>
        </w:tc>
      </w:tr>
      <w:tr w:rsidR="00811887" w14:paraId="56FA2342" w14:textId="77777777" w:rsidTr="00486E22">
        <w:trPr>
          <w:trHeight w:val="330"/>
        </w:trPr>
        <w:tc>
          <w:tcPr>
            <w:tcW w:w="1266" w:type="dxa"/>
            <w:shd w:val="clear" w:color="auto" w:fill="234060"/>
          </w:tcPr>
          <w:p w14:paraId="7C6E0533" w14:textId="77777777" w:rsidR="00811887" w:rsidRDefault="00811887" w:rsidP="00486E22">
            <w:pPr>
              <w:pStyle w:val="TableParagraph"/>
              <w:ind w:left="110"/>
              <w:rPr>
                <w:b/>
                <w:sz w:val="20"/>
              </w:rPr>
            </w:pPr>
            <w:r>
              <w:rPr>
                <w:b/>
                <w:color w:val="FFFFFF"/>
                <w:spacing w:val="-4"/>
                <w:sz w:val="20"/>
              </w:rPr>
              <w:t>2004</w:t>
            </w:r>
          </w:p>
        </w:tc>
        <w:tc>
          <w:tcPr>
            <w:tcW w:w="2207" w:type="dxa"/>
          </w:tcPr>
          <w:p w14:paraId="23CA7582" w14:textId="77777777" w:rsidR="00811887" w:rsidRDefault="00811887" w:rsidP="00486E22">
            <w:pPr>
              <w:pStyle w:val="TableParagraph"/>
              <w:ind w:left="7" w:right="2"/>
              <w:jc w:val="center"/>
              <w:rPr>
                <w:sz w:val="20"/>
              </w:rPr>
            </w:pPr>
            <w:r>
              <w:rPr>
                <w:spacing w:val="-4"/>
                <w:sz w:val="20"/>
              </w:rPr>
              <w:t>27.2</w:t>
            </w:r>
          </w:p>
        </w:tc>
        <w:tc>
          <w:tcPr>
            <w:tcW w:w="2207" w:type="dxa"/>
          </w:tcPr>
          <w:p w14:paraId="290AB8FF" w14:textId="77777777" w:rsidR="00811887" w:rsidRDefault="00811887" w:rsidP="00486E22">
            <w:pPr>
              <w:pStyle w:val="TableParagraph"/>
              <w:ind w:left="7" w:right="4"/>
              <w:jc w:val="center"/>
              <w:rPr>
                <w:sz w:val="20"/>
              </w:rPr>
            </w:pPr>
            <w:r>
              <w:rPr>
                <w:spacing w:val="-4"/>
                <w:sz w:val="20"/>
              </w:rPr>
              <w:t>20.8</w:t>
            </w:r>
          </w:p>
        </w:tc>
        <w:tc>
          <w:tcPr>
            <w:tcW w:w="2207" w:type="dxa"/>
          </w:tcPr>
          <w:p w14:paraId="1B67CE07" w14:textId="77777777" w:rsidR="00811887" w:rsidRDefault="00811887" w:rsidP="00486E22">
            <w:pPr>
              <w:pStyle w:val="TableParagraph"/>
              <w:ind w:left="7" w:right="7"/>
              <w:jc w:val="center"/>
              <w:rPr>
                <w:sz w:val="20"/>
              </w:rPr>
            </w:pPr>
            <w:r>
              <w:rPr>
                <w:spacing w:val="-5"/>
                <w:sz w:val="20"/>
              </w:rPr>
              <w:t>6.4</w:t>
            </w:r>
          </w:p>
        </w:tc>
        <w:tc>
          <w:tcPr>
            <w:tcW w:w="2202" w:type="dxa"/>
          </w:tcPr>
          <w:p w14:paraId="7857AFA4" w14:textId="77777777" w:rsidR="00811887" w:rsidRDefault="00811887" w:rsidP="00486E22">
            <w:pPr>
              <w:pStyle w:val="TableParagraph"/>
              <w:ind w:left="2"/>
              <w:jc w:val="center"/>
              <w:rPr>
                <w:sz w:val="20"/>
              </w:rPr>
            </w:pPr>
            <w:r>
              <w:rPr>
                <w:spacing w:val="-4"/>
                <w:sz w:val="20"/>
              </w:rPr>
              <w:t>20.1</w:t>
            </w:r>
          </w:p>
        </w:tc>
      </w:tr>
      <w:tr w:rsidR="00811887" w14:paraId="56DC0A84" w14:textId="77777777" w:rsidTr="00486E22">
        <w:trPr>
          <w:trHeight w:val="310"/>
        </w:trPr>
        <w:tc>
          <w:tcPr>
            <w:tcW w:w="1266" w:type="dxa"/>
            <w:shd w:val="clear" w:color="auto" w:fill="234060"/>
          </w:tcPr>
          <w:p w14:paraId="55277E68" w14:textId="77777777" w:rsidR="00811887" w:rsidRDefault="00811887" w:rsidP="00486E22">
            <w:pPr>
              <w:pStyle w:val="TableParagraph"/>
              <w:spacing w:line="239" w:lineRule="exact"/>
              <w:ind w:left="110"/>
              <w:rPr>
                <w:b/>
                <w:sz w:val="20"/>
              </w:rPr>
            </w:pPr>
            <w:r>
              <w:rPr>
                <w:b/>
                <w:color w:val="FFFFFF"/>
                <w:spacing w:val="-4"/>
                <w:sz w:val="20"/>
              </w:rPr>
              <w:t>2005</w:t>
            </w:r>
          </w:p>
        </w:tc>
        <w:tc>
          <w:tcPr>
            <w:tcW w:w="2207" w:type="dxa"/>
          </w:tcPr>
          <w:p w14:paraId="6729370B" w14:textId="77777777" w:rsidR="00811887" w:rsidRDefault="00811887" w:rsidP="00486E22">
            <w:pPr>
              <w:pStyle w:val="TableParagraph"/>
              <w:spacing w:line="239" w:lineRule="exact"/>
              <w:ind w:left="7" w:right="2"/>
              <w:jc w:val="center"/>
              <w:rPr>
                <w:sz w:val="20"/>
              </w:rPr>
            </w:pPr>
            <w:r>
              <w:rPr>
                <w:spacing w:val="-4"/>
                <w:sz w:val="20"/>
              </w:rPr>
              <w:t>27.2</w:t>
            </w:r>
          </w:p>
        </w:tc>
        <w:tc>
          <w:tcPr>
            <w:tcW w:w="2207" w:type="dxa"/>
          </w:tcPr>
          <w:p w14:paraId="333183FA" w14:textId="77777777" w:rsidR="00811887" w:rsidRDefault="00811887" w:rsidP="00486E22">
            <w:pPr>
              <w:pStyle w:val="TableParagraph"/>
              <w:spacing w:line="239" w:lineRule="exact"/>
              <w:ind w:left="7" w:right="4"/>
              <w:jc w:val="center"/>
              <w:rPr>
                <w:sz w:val="20"/>
              </w:rPr>
            </w:pPr>
            <w:r>
              <w:rPr>
                <w:spacing w:val="-4"/>
                <w:sz w:val="20"/>
              </w:rPr>
              <w:t>20.9</w:t>
            </w:r>
          </w:p>
        </w:tc>
        <w:tc>
          <w:tcPr>
            <w:tcW w:w="2207" w:type="dxa"/>
          </w:tcPr>
          <w:p w14:paraId="0DA0E5A4" w14:textId="77777777" w:rsidR="00811887" w:rsidRDefault="00811887" w:rsidP="00486E22">
            <w:pPr>
              <w:pStyle w:val="TableParagraph"/>
              <w:spacing w:line="239" w:lineRule="exact"/>
              <w:ind w:left="7" w:right="7"/>
              <w:jc w:val="center"/>
              <w:rPr>
                <w:sz w:val="20"/>
              </w:rPr>
            </w:pPr>
            <w:r>
              <w:rPr>
                <w:spacing w:val="-5"/>
                <w:sz w:val="20"/>
              </w:rPr>
              <w:t>6.3</w:t>
            </w:r>
          </w:p>
        </w:tc>
        <w:tc>
          <w:tcPr>
            <w:tcW w:w="2202" w:type="dxa"/>
          </w:tcPr>
          <w:p w14:paraId="7096738E" w14:textId="77777777" w:rsidR="00811887" w:rsidRDefault="00811887" w:rsidP="00486E22">
            <w:pPr>
              <w:pStyle w:val="TableParagraph"/>
              <w:spacing w:line="239" w:lineRule="exact"/>
              <w:ind w:left="2"/>
              <w:jc w:val="center"/>
              <w:rPr>
                <w:sz w:val="20"/>
              </w:rPr>
            </w:pPr>
            <w:r>
              <w:rPr>
                <w:spacing w:val="-4"/>
                <w:sz w:val="20"/>
              </w:rPr>
              <w:t>19.6</w:t>
            </w:r>
          </w:p>
        </w:tc>
      </w:tr>
      <w:tr w:rsidR="00811887" w14:paraId="31BAC0DF" w14:textId="77777777" w:rsidTr="00486E22">
        <w:trPr>
          <w:trHeight w:val="325"/>
        </w:trPr>
        <w:tc>
          <w:tcPr>
            <w:tcW w:w="1266" w:type="dxa"/>
            <w:shd w:val="clear" w:color="auto" w:fill="234060"/>
          </w:tcPr>
          <w:p w14:paraId="528C5493" w14:textId="77777777" w:rsidR="00811887" w:rsidRDefault="00811887" w:rsidP="00486E22">
            <w:pPr>
              <w:pStyle w:val="TableParagraph"/>
              <w:spacing w:line="239" w:lineRule="exact"/>
              <w:ind w:left="110"/>
              <w:rPr>
                <w:b/>
                <w:sz w:val="20"/>
              </w:rPr>
            </w:pPr>
            <w:r>
              <w:rPr>
                <w:b/>
                <w:color w:val="FFFFFF"/>
                <w:spacing w:val="-4"/>
                <w:sz w:val="20"/>
              </w:rPr>
              <w:t>2006</w:t>
            </w:r>
          </w:p>
        </w:tc>
        <w:tc>
          <w:tcPr>
            <w:tcW w:w="2207" w:type="dxa"/>
          </w:tcPr>
          <w:p w14:paraId="6C957772" w14:textId="77777777" w:rsidR="00811887" w:rsidRDefault="00811887" w:rsidP="00486E22">
            <w:pPr>
              <w:pStyle w:val="TableParagraph"/>
              <w:spacing w:line="239" w:lineRule="exact"/>
              <w:ind w:left="7" w:right="2"/>
              <w:jc w:val="center"/>
              <w:rPr>
                <w:sz w:val="20"/>
              </w:rPr>
            </w:pPr>
            <w:r>
              <w:rPr>
                <w:spacing w:val="-4"/>
                <w:sz w:val="20"/>
              </w:rPr>
              <w:t>24.8</w:t>
            </w:r>
          </w:p>
        </w:tc>
        <w:tc>
          <w:tcPr>
            <w:tcW w:w="2207" w:type="dxa"/>
          </w:tcPr>
          <w:p w14:paraId="3D144DC5" w14:textId="77777777" w:rsidR="00811887" w:rsidRDefault="00811887" w:rsidP="00486E22">
            <w:pPr>
              <w:pStyle w:val="TableParagraph"/>
              <w:spacing w:line="239" w:lineRule="exact"/>
              <w:ind w:left="7" w:right="4"/>
              <w:jc w:val="center"/>
              <w:rPr>
                <w:sz w:val="20"/>
              </w:rPr>
            </w:pPr>
            <w:r>
              <w:rPr>
                <w:spacing w:val="-4"/>
                <w:sz w:val="20"/>
              </w:rPr>
              <w:t>19.5</w:t>
            </w:r>
          </w:p>
        </w:tc>
        <w:tc>
          <w:tcPr>
            <w:tcW w:w="2207" w:type="dxa"/>
          </w:tcPr>
          <w:p w14:paraId="4EF8540F" w14:textId="77777777" w:rsidR="00811887" w:rsidRDefault="00811887" w:rsidP="00486E22">
            <w:pPr>
              <w:pStyle w:val="TableParagraph"/>
              <w:spacing w:line="239" w:lineRule="exact"/>
              <w:ind w:left="7" w:right="7"/>
              <w:jc w:val="center"/>
              <w:rPr>
                <w:sz w:val="20"/>
              </w:rPr>
            </w:pPr>
            <w:r>
              <w:rPr>
                <w:spacing w:val="-5"/>
                <w:sz w:val="20"/>
              </w:rPr>
              <w:t>5.3</w:t>
            </w:r>
          </w:p>
        </w:tc>
        <w:tc>
          <w:tcPr>
            <w:tcW w:w="2202" w:type="dxa"/>
          </w:tcPr>
          <w:p w14:paraId="27BDA6F5" w14:textId="77777777" w:rsidR="00811887" w:rsidRDefault="00811887" w:rsidP="00486E22">
            <w:pPr>
              <w:pStyle w:val="TableParagraph"/>
              <w:spacing w:line="239" w:lineRule="exact"/>
              <w:ind w:left="2"/>
              <w:jc w:val="center"/>
              <w:rPr>
                <w:sz w:val="20"/>
              </w:rPr>
            </w:pPr>
            <w:r>
              <w:rPr>
                <w:spacing w:val="-4"/>
                <w:sz w:val="20"/>
              </w:rPr>
              <w:t>19.9</w:t>
            </w:r>
          </w:p>
        </w:tc>
      </w:tr>
      <w:tr w:rsidR="00811887" w14:paraId="71F0ED6D" w14:textId="77777777" w:rsidTr="00486E22">
        <w:trPr>
          <w:trHeight w:val="310"/>
        </w:trPr>
        <w:tc>
          <w:tcPr>
            <w:tcW w:w="1266" w:type="dxa"/>
            <w:shd w:val="clear" w:color="auto" w:fill="234060"/>
          </w:tcPr>
          <w:p w14:paraId="648609DE" w14:textId="77777777" w:rsidR="00811887" w:rsidRDefault="00811887" w:rsidP="00486E22">
            <w:pPr>
              <w:pStyle w:val="TableParagraph"/>
              <w:ind w:left="110"/>
              <w:rPr>
                <w:b/>
                <w:sz w:val="20"/>
              </w:rPr>
            </w:pPr>
            <w:r>
              <w:rPr>
                <w:b/>
                <w:color w:val="FFFFFF"/>
                <w:spacing w:val="-4"/>
                <w:sz w:val="20"/>
              </w:rPr>
              <w:t>2007</w:t>
            </w:r>
          </w:p>
        </w:tc>
        <w:tc>
          <w:tcPr>
            <w:tcW w:w="2207" w:type="dxa"/>
          </w:tcPr>
          <w:p w14:paraId="05358835" w14:textId="77777777" w:rsidR="00811887" w:rsidRDefault="00811887" w:rsidP="00486E22">
            <w:pPr>
              <w:pStyle w:val="TableParagraph"/>
              <w:ind w:left="7" w:right="2"/>
              <w:jc w:val="center"/>
              <w:rPr>
                <w:sz w:val="20"/>
              </w:rPr>
            </w:pPr>
            <w:r>
              <w:rPr>
                <w:spacing w:val="-4"/>
                <w:sz w:val="20"/>
              </w:rPr>
              <w:t>24.2</w:t>
            </w:r>
          </w:p>
        </w:tc>
        <w:tc>
          <w:tcPr>
            <w:tcW w:w="2207" w:type="dxa"/>
          </w:tcPr>
          <w:p w14:paraId="71B704B6" w14:textId="77777777" w:rsidR="00811887" w:rsidRDefault="00811887" w:rsidP="00486E22">
            <w:pPr>
              <w:pStyle w:val="TableParagraph"/>
              <w:ind w:left="7" w:right="4"/>
              <w:jc w:val="center"/>
              <w:rPr>
                <w:sz w:val="20"/>
              </w:rPr>
            </w:pPr>
            <w:r>
              <w:rPr>
                <w:spacing w:val="-4"/>
                <w:sz w:val="20"/>
              </w:rPr>
              <w:t>18.7</w:t>
            </w:r>
          </w:p>
        </w:tc>
        <w:tc>
          <w:tcPr>
            <w:tcW w:w="2207" w:type="dxa"/>
          </w:tcPr>
          <w:p w14:paraId="153CA172" w14:textId="77777777" w:rsidR="00811887" w:rsidRDefault="00811887" w:rsidP="00486E22">
            <w:pPr>
              <w:pStyle w:val="TableParagraph"/>
              <w:ind w:left="7" w:right="7"/>
              <w:jc w:val="center"/>
              <w:rPr>
                <w:sz w:val="20"/>
              </w:rPr>
            </w:pPr>
            <w:r>
              <w:rPr>
                <w:spacing w:val="-5"/>
                <w:sz w:val="20"/>
              </w:rPr>
              <w:t>5.6</w:t>
            </w:r>
          </w:p>
        </w:tc>
        <w:tc>
          <w:tcPr>
            <w:tcW w:w="2202" w:type="dxa"/>
          </w:tcPr>
          <w:p w14:paraId="520A5879" w14:textId="77777777" w:rsidR="00811887" w:rsidRDefault="00811887" w:rsidP="00486E22">
            <w:pPr>
              <w:pStyle w:val="TableParagraph"/>
              <w:ind w:left="2"/>
              <w:jc w:val="center"/>
              <w:rPr>
                <w:sz w:val="20"/>
              </w:rPr>
            </w:pPr>
            <w:r>
              <w:rPr>
                <w:spacing w:val="-4"/>
                <w:sz w:val="20"/>
              </w:rPr>
              <w:t>18.8</w:t>
            </w:r>
          </w:p>
        </w:tc>
      </w:tr>
      <w:tr w:rsidR="00811887" w14:paraId="7429A168" w14:textId="77777777" w:rsidTr="00486E22">
        <w:trPr>
          <w:trHeight w:val="330"/>
        </w:trPr>
        <w:tc>
          <w:tcPr>
            <w:tcW w:w="1266" w:type="dxa"/>
            <w:shd w:val="clear" w:color="auto" w:fill="234060"/>
          </w:tcPr>
          <w:p w14:paraId="42D155C6" w14:textId="77777777" w:rsidR="00811887" w:rsidRDefault="00811887" w:rsidP="00486E22">
            <w:pPr>
              <w:pStyle w:val="TableParagraph"/>
              <w:ind w:left="110"/>
              <w:rPr>
                <w:b/>
                <w:sz w:val="20"/>
              </w:rPr>
            </w:pPr>
            <w:r>
              <w:rPr>
                <w:b/>
                <w:color w:val="FFFFFF"/>
                <w:spacing w:val="-4"/>
                <w:sz w:val="20"/>
              </w:rPr>
              <w:t>2008</w:t>
            </w:r>
          </w:p>
        </w:tc>
        <w:tc>
          <w:tcPr>
            <w:tcW w:w="2207" w:type="dxa"/>
          </w:tcPr>
          <w:p w14:paraId="73D46B69" w14:textId="77777777" w:rsidR="00811887" w:rsidRDefault="00811887" w:rsidP="00486E22">
            <w:pPr>
              <w:pStyle w:val="TableParagraph"/>
              <w:ind w:left="7" w:right="2"/>
              <w:jc w:val="center"/>
              <w:rPr>
                <w:sz w:val="20"/>
              </w:rPr>
            </w:pPr>
            <w:r>
              <w:rPr>
                <w:spacing w:val="-4"/>
                <w:sz w:val="20"/>
              </w:rPr>
              <w:t>22.4</w:t>
            </w:r>
          </w:p>
        </w:tc>
        <w:tc>
          <w:tcPr>
            <w:tcW w:w="2207" w:type="dxa"/>
          </w:tcPr>
          <w:p w14:paraId="37299D39" w14:textId="77777777" w:rsidR="00811887" w:rsidRDefault="00811887" w:rsidP="00486E22">
            <w:pPr>
              <w:pStyle w:val="TableParagraph"/>
              <w:ind w:left="7" w:right="4"/>
              <w:jc w:val="center"/>
              <w:rPr>
                <w:sz w:val="20"/>
              </w:rPr>
            </w:pPr>
            <w:r>
              <w:rPr>
                <w:spacing w:val="-4"/>
                <w:sz w:val="20"/>
              </w:rPr>
              <w:t>17.2</w:t>
            </w:r>
          </w:p>
        </w:tc>
        <w:tc>
          <w:tcPr>
            <w:tcW w:w="2207" w:type="dxa"/>
          </w:tcPr>
          <w:p w14:paraId="528153C5" w14:textId="77777777" w:rsidR="00811887" w:rsidRDefault="00811887" w:rsidP="00486E22">
            <w:pPr>
              <w:pStyle w:val="TableParagraph"/>
              <w:ind w:left="7" w:right="7"/>
              <w:jc w:val="center"/>
              <w:rPr>
                <w:sz w:val="20"/>
              </w:rPr>
            </w:pPr>
            <w:r>
              <w:rPr>
                <w:spacing w:val="-5"/>
                <w:sz w:val="20"/>
              </w:rPr>
              <w:t>5.2</w:t>
            </w:r>
          </w:p>
        </w:tc>
        <w:tc>
          <w:tcPr>
            <w:tcW w:w="2202" w:type="dxa"/>
          </w:tcPr>
          <w:p w14:paraId="46779205" w14:textId="77777777" w:rsidR="00811887" w:rsidRDefault="00811887" w:rsidP="00486E22">
            <w:pPr>
              <w:pStyle w:val="TableParagraph"/>
              <w:ind w:left="2"/>
              <w:jc w:val="center"/>
              <w:rPr>
                <w:sz w:val="20"/>
              </w:rPr>
            </w:pPr>
            <w:r>
              <w:rPr>
                <w:spacing w:val="-4"/>
                <w:sz w:val="20"/>
              </w:rPr>
              <w:t>18.7</w:t>
            </w:r>
          </w:p>
        </w:tc>
      </w:tr>
      <w:tr w:rsidR="00811887" w14:paraId="56024F4B" w14:textId="77777777" w:rsidTr="00486E22">
        <w:trPr>
          <w:trHeight w:val="330"/>
        </w:trPr>
        <w:tc>
          <w:tcPr>
            <w:tcW w:w="1266" w:type="dxa"/>
            <w:shd w:val="clear" w:color="auto" w:fill="234060"/>
          </w:tcPr>
          <w:p w14:paraId="7C21F994" w14:textId="77777777" w:rsidR="00811887" w:rsidRDefault="00811887" w:rsidP="00486E22">
            <w:pPr>
              <w:pStyle w:val="TableParagraph"/>
              <w:ind w:left="110"/>
              <w:rPr>
                <w:b/>
                <w:sz w:val="20"/>
              </w:rPr>
            </w:pPr>
            <w:r>
              <w:rPr>
                <w:b/>
                <w:color w:val="FFFFFF"/>
                <w:spacing w:val="-4"/>
                <w:sz w:val="20"/>
              </w:rPr>
              <w:t>2009</w:t>
            </w:r>
          </w:p>
        </w:tc>
        <w:tc>
          <w:tcPr>
            <w:tcW w:w="2207" w:type="dxa"/>
          </w:tcPr>
          <w:p w14:paraId="3E70AB10" w14:textId="77777777" w:rsidR="00811887" w:rsidRDefault="00811887" w:rsidP="00486E22">
            <w:pPr>
              <w:pStyle w:val="TableParagraph"/>
              <w:ind w:left="7" w:right="2"/>
              <w:jc w:val="center"/>
              <w:rPr>
                <w:sz w:val="20"/>
              </w:rPr>
            </w:pPr>
            <w:r>
              <w:rPr>
                <w:spacing w:val="-4"/>
                <w:sz w:val="20"/>
              </w:rPr>
              <w:t>23.6</w:t>
            </w:r>
          </w:p>
        </w:tc>
        <w:tc>
          <w:tcPr>
            <w:tcW w:w="2207" w:type="dxa"/>
          </w:tcPr>
          <w:p w14:paraId="035F47E1" w14:textId="77777777" w:rsidR="00811887" w:rsidRDefault="00811887" w:rsidP="00486E22">
            <w:pPr>
              <w:pStyle w:val="TableParagraph"/>
              <w:ind w:left="7" w:right="4"/>
              <w:jc w:val="center"/>
              <w:rPr>
                <w:sz w:val="20"/>
              </w:rPr>
            </w:pPr>
            <w:r>
              <w:rPr>
                <w:spacing w:val="-4"/>
                <w:sz w:val="20"/>
              </w:rPr>
              <w:t>18.1</w:t>
            </w:r>
          </w:p>
        </w:tc>
        <w:tc>
          <w:tcPr>
            <w:tcW w:w="2207" w:type="dxa"/>
          </w:tcPr>
          <w:p w14:paraId="795525A7" w14:textId="77777777" w:rsidR="00811887" w:rsidRDefault="00811887" w:rsidP="00486E22">
            <w:pPr>
              <w:pStyle w:val="TableParagraph"/>
              <w:ind w:left="7" w:right="7"/>
              <w:jc w:val="center"/>
              <w:rPr>
                <w:sz w:val="20"/>
              </w:rPr>
            </w:pPr>
            <w:r>
              <w:rPr>
                <w:spacing w:val="-5"/>
                <w:sz w:val="20"/>
              </w:rPr>
              <w:t>5.5</w:t>
            </w:r>
          </w:p>
        </w:tc>
        <w:tc>
          <w:tcPr>
            <w:tcW w:w="2202" w:type="dxa"/>
          </w:tcPr>
          <w:p w14:paraId="52926A3C" w14:textId="77777777" w:rsidR="00811887" w:rsidRDefault="00811887" w:rsidP="00486E22">
            <w:pPr>
              <w:pStyle w:val="TableParagraph"/>
              <w:ind w:left="2"/>
              <w:jc w:val="center"/>
              <w:rPr>
                <w:sz w:val="20"/>
              </w:rPr>
            </w:pPr>
            <w:r>
              <w:rPr>
                <w:spacing w:val="-4"/>
                <w:sz w:val="20"/>
              </w:rPr>
              <w:t>18.8</w:t>
            </w:r>
          </w:p>
        </w:tc>
      </w:tr>
      <w:tr w:rsidR="00811887" w14:paraId="1761A3DA" w14:textId="77777777" w:rsidTr="00486E22">
        <w:trPr>
          <w:trHeight w:val="310"/>
        </w:trPr>
        <w:tc>
          <w:tcPr>
            <w:tcW w:w="1266" w:type="dxa"/>
            <w:shd w:val="clear" w:color="auto" w:fill="234060"/>
          </w:tcPr>
          <w:p w14:paraId="31A8E5BC" w14:textId="77777777" w:rsidR="00811887" w:rsidRDefault="00811887" w:rsidP="00486E22">
            <w:pPr>
              <w:pStyle w:val="TableParagraph"/>
              <w:spacing w:line="240" w:lineRule="auto"/>
              <w:ind w:left="110"/>
              <w:rPr>
                <w:b/>
                <w:sz w:val="20"/>
              </w:rPr>
            </w:pPr>
            <w:r>
              <w:rPr>
                <w:b/>
                <w:color w:val="FFFFFF"/>
                <w:spacing w:val="-4"/>
                <w:sz w:val="20"/>
              </w:rPr>
              <w:t>2010</w:t>
            </w:r>
          </w:p>
        </w:tc>
        <w:tc>
          <w:tcPr>
            <w:tcW w:w="2207" w:type="dxa"/>
          </w:tcPr>
          <w:p w14:paraId="37822FF2" w14:textId="77777777" w:rsidR="00811887" w:rsidRDefault="00811887" w:rsidP="00486E22">
            <w:pPr>
              <w:pStyle w:val="TableParagraph"/>
              <w:spacing w:line="240" w:lineRule="auto"/>
              <w:ind w:left="7" w:right="2"/>
              <w:jc w:val="center"/>
              <w:rPr>
                <w:sz w:val="20"/>
              </w:rPr>
            </w:pPr>
            <w:r>
              <w:rPr>
                <w:spacing w:val="-4"/>
                <w:sz w:val="20"/>
              </w:rPr>
              <w:t>25.1</w:t>
            </w:r>
          </w:p>
        </w:tc>
        <w:tc>
          <w:tcPr>
            <w:tcW w:w="2207" w:type="dxa"/>
          </w:tcPr>
          <w:p w14:paraId="187617CE" w14:textId="77777777" w:rsidR="00811887" w:rsidRDefault="00811887" w:rsidP="00486E22">
            <w:pPr>
              <w:pStyle w:val="TableParagraph"/>
              <w:spacing w:line="240" w:lineRule="auto"/>
              <w:ind w:left="7" w:right="4"/>
              <w:jc w:val="center"/>
              <w:rPr>
                <w:sz w:val="20"/>
              </w:rPr>
            </w:pPr>
            <w:r>
              <w:rPr>
                <w:spacing w:val="-4"/>
                <w:sz w:val="20"/>
              </w:rPr>
              <w:t>19.7</w:t>
            </w:r>
          </w:p>
        </w:tc>
        <w:tc>
          <w:tcPr>
            <w:tcW w:w="2207" w:type="dxa"/>
          </w:tcPr>
          <w:p w14:paraId="057BF8DB" w14:textId="77777777" w:rsidR="00811887" w:rsidRDefault="00811887" w:rsidP="00486E22">
            <w:pPr>
              <w:pStyle w:val="TableParagraph"/>
              <w:spacing w:line="240" w:lineRule="auto"/>
              <w:ind w:left="7" w:right="7"/>
              <w:jc w:val="center"/>
              <w:rPr>
                <w:sz w:val="20"/>
              </w:rPr>
            </w:pPr>
            <w:r>
              <w:rPr>
                <w:spacing w:val="-5"/>
                <w:sz w:val="20"/>
              </w:rPr>
              <w:t>5.4</w:t>
            </w:r>
          </w:p>
        </w:tc>
        <w:tc>
          <w:tcPr>
            <w:tcW w:w="2202" w:type="dxa"/>
          </w:tcPr>
          <w:p w14:paraId="000693D3" w14:textId="77777777" w:rsidR="00811887" w:rsidRDefault="00811887" w:rsidP="00486E22">
            <w:pPr>
              <w:pStyle w:val="TableParagraph"/>
              <w:spacing w:line="240" w:lineRule="auto"/>
              <w:ind w:left="2"/>
              <w:jc w:val="center"/>
              <w:rPr>
                <w:sz w:val="20"/>
              </w:rPr>
            </w:pPr>
            <w:r>
              <w:rPr>
                <w:spacing w:val="-4"/>
                <w:sz w:val="20"/>
              </w:rPr>
              <w:t>18.7</w:t>
            </w:r>
          </w:p>
        </w:tc>
      </w:tr>
      <w:tr w:rsidR="00811887" w14:paraId="26587948" w14:textId="77777777" w:rsidTr="00486E22">
        <w:trPr>
          <w:trHeight w:val="330"/>
        </w:trPr>
        <w:tc>
          <w:tcPr>
            <w:tcW w:w="1266" w:type="dxa"/>
            <w:shd w:val="clear" w:color="auto" w:fill="234060"/>
          </w:tcPr>
          <w:p w14:paraId="17D79D65" w14:textId="77777777" w:rsidR="00811887" w:rsidRDefault="00811887" w:rsidP="00486E22">
            <w:pPr>
              <w:pStyle w:val="TableParagraph"/>
              <w:ind w:left="110"/>
              <w:rPr>
                <w:b/>
                <w:sz w:val="20"/>
              </w:rPr>
            </w:pPr>
            <w:r>
              <w:rPr>
                <w:b/>
                <w:color w:val="FFFFFF"/>
                <w:spacing w:val="-4"/>
                <w:sz w:val="20"/>
              </w:rPr>
              <w:t>2011</w:t>
            </w:r>
          </w:p>
        </w:tc>
        <w:tc>
          <w:tcPr>
            <w:tcW w:w="2207" w:type="dxa"/>
          </w:tcPr>
          <w:p w14:paraId="45BDD97E" w14:textId="77777777" w:rsidR="00811887" w:rsidRDefault="00811887" w:rsidP="00486E22">
            <w:pPr>
              <w:pStyle w:val="TableParagraph"/>
              <w:ind w:left="7" w:right="2"/>
              <w:jc w:val="center"/>
              <w:rPr>
                <w:sz w:val="20"/>
              </w:rPr>
            </w:pPr>
            <w:r>
              <w:rPr>
                <w:spacing w:val="-4"/>
                <w:sz w:val="20"/>
              </w:rPr>
              <w:t>24.6</w:t>
            </w:r>
          </w:p>
        </w:tc>
        <w:tc>
          <w:tcPr>
            <w:tcW w:w="2207" w:type="dxa"/>
          </w:tcPr>
          <w:p w14:paraId="1F4D8817" w14:textId="77777777" w:rsidR="00811887" w:rsidRDefault="00811887" w:rsidP="00486E22">
            <w:pPr>
              <w:pStyle w:val="TableParagraph"/>
              <w:ind w:left="7" w:right="4"/>
              <w:jc w:val="center"/>
              <w:rPr>
                <w:sz w:val="20"/>
              </w:rPr>
            </w:pPr>
            <w:r>
              <w:rPr>
                <w:spacing w:val="-4"/>
                <w:sz w:val="20"/>
              </w:rPr>
              <w:t>19.2</w:t>
            </w:r>
          </w:p>
        </w:tc>
        <w:tc>
          <w:tcPr>
            <w:tcW w:w="2207" w:type="dxa"/>
          </w:tcPr>
          <w:p w14:paraId="7C6AAF65" w14:textId="77777777" w:rsidR="00811887" w:rsidRDefault="00811887" w:rsidP="00486E22">
            <w:pPr>
              <w:pStyle w:val="TableParagraph"/>
              <w:ind w:left="7" w:right="7"/>
              <w:jc w:val="center"/>
              <w:rPr>
                <w:sz w:val="20"/>
              </w:rPr>
            </w:pPr>
            <w:r>
              <w:rPr>
                <w:spacing w:val="-5"/>
                <w:sz w:val="20"/>
              </w:rPr>
              <w:t>5.4</w:t>
            </w:r>
          </w:p>
        </w:tc>
        <w:tc>
          <w:tcPr>
            <w:tcW w:w="2202" w:type="dxa"/>
          </w:tcPr>
          <w:p w14:paraId="23D7BC1D" w14:textId="77777777" w:rsidR="00811887" w:rsidRDefault="00811887" w:rsidP="00486E22">
            <w:pPr>
              <w:pStyle w:val="TableParagraph"/>
              <w:ind w:left="2"/>
              <w:jc w:val="center"/>
              <w:rPr>
                <w:sz w:val="20"/>
              </w:rPr>
            </w:pPr>
            <w:r>
              <w:rPr>
                <w:spacing w:val="-4"/>
                <w:sz w:val="20"/>
              </w:rPr>
              <w:t>18.4</w:t>
            </w:r>
          </w:p>
        </w:tc>
      </w:tr>
      <w:tr w:rsidR="00811887" w14:paraId="47826095" w14:textId="77777777" w:rsidTr="00486E22">
        <w:trPr>
          <w:trHeight w:val="309"/>
        </w:trPr>
        <w:tc>
          <w:tcPr>
            <w:tcW w:w="1266" w:type="dxa"/>
            <w:shd w:val="clear" w:color="auto" w:fill="234060"/>
          </w:tcPr>
          <w:p w14:paraId="2B318358" w14:textId="77777777" w:rsidR="00811887" w:rsidRDefault="00811887" w:rsidP="00486E22">
            <w:pPr>
              <w:pStyle w:val="TableParagraph"/>
              <w:ind w:left="110"/>
              <w:rPr>
                <w:b/>
                <w:sz w:val="20"/>
              </w:rPr>
            </w:pPr>
            <w:r>
              <w:rPr>
                <w:b/>
                <w:color w:val="FFFFFF"/>
                <w:spacing w:val="-4"/>
                <w:sz w:val="20"/>
              </w:rPr>
              <w:t>2012</w:t>
            </w:r>
          </w:p>
        </w:tc>
        <w:tc>
          <w:tcPr>
            <w:tcW w:w="2207" w:type="dxa"/>
          </w:tcPr>
          <w:p w14:paraId="258885B0" w14:textId="77777777" w:rsidR="00811887" w:rsidRDefault="00811887" w:rsidP="00486E22">
            <w:pPr>
              <w:pStyle w:val="TableParagraph"/>
              <w:ind w:left="7" w:right="2"/>
              <w:jc w:val="center"/>
              <w:rPr>
                <w:sz w:val="20"/>
              </w:rPr>
            </w:pPr>
            <w:r>
              <w:rPr>
                <w:spacing w:val="-4"/>
                <w:sz w:val="20"/>
              </w:rPr>
              <w:t>24.2</w:t>
            </w:r>
          </w:p>
        </w:tc>
        <w:tc>
          <w:tcPr>
            <w:tcW w:w="2207" w:type="dxa"/>
          </w:tcPr>
          <w:p w14:paraId="017D65B1" w14:textId="77777777" w:rsidR="00811887" w:rsidRDefault="00811887" w:rsidP="00486E22">
            <w:pPr>
              <w:pStyle w:val="TableParagraph"/>
              <w:ind w:left="7" w:right="4"/>
              <w:jc w:val="center"/>
              <w:rPr>
                <w:sz w:val="20"/>
              </w:rPr>
            </w:pPr>
            <w:r>
              <w:rPr>
                <w:spacing w:val="-4"/>
                <w:sz w:val="20"/>
              </w:rPr>
              <w:t>18.8</w:t>
            </w:r>
          </w:p>
        </w:tc>
        <w:tc>
          <w:tcPr>
            <w:tcW w:w="2207" w:type="dxa"/>
          </w:tcPr>
          <w:p w14:paraId="42B2E5FB" w14:textId="77777777" w:rsidR="00811887" w:rsidRDefault="00811887" w:rsidP="00486E22">
            <w:pPr>
              <w:pStyle w:val="TableParagraph"/>
              <w:ind w:left="7" w:right="7"/>
              <w:jc w:val="center"/>
              <w:rPr>
                <w:sz w:val="20"/>
              </w:rPr>
            </w:pPr>
            <w:r>
              <w:rPr>
                <w:spacing w:val="-5"/>
                <w:sz w:val="20"/>
              </w:rPr>
              <w:t>5.4</w:t>
            </w:r>
          </w:p>
        </w:tc>
        <w:tc>
          <w:tcPr>
            <w:tcW w:w="2202" w:type="dxa"/>
          </w:tcPr>
          <w:p w14:paraId="642DAE3E" w14:textId="77777777" w:rsidR="00811887" w:rsidRDefault="00811887" w:rsidP="00486E22">
            <w:pPr>
              <w:pStyle w:val="TableParagraph"/>
              <w:ind w:left="2"/>
              <w:jc w:val="center"/>
              <w:rPr>
                <w:sz w:val="20"/>
              </w:rPr>
            </w:pPr>
            <w:r>
              <w:rPr>
                <w:spacing w:val="-4"/>
                <w:sz w:val="20"/>
              </w:rPr>
              <w:t>17.8</w:t>
            </w:r>
          </w:p>
        </w:tc>
      </w:tr>
      <w:tr w:rsidR="00811887" w14:paraId="070A77E5" w14:textId="77777777" w:rsidTr="00486E22">
        <w:trPr>
          <w:trHeight w:val="330"/>
        </w:trPr>
        <w:tc>
          <w:tcPr>
            <w:tcW w:w="1266" w:type="dxa"/>
            <w:shd w:val="clear" w:color="auto" w:fill="234060"/>
          </w:tcPr>
          <w:p w14:paraId="6FC008B8" w14:textId="77777777" w:rsidR="00811887" w:rsidRDefault="00811887" w:rsidP="00486E22">
            <w:pPr>
              <w:pStyle w:val="TableParagraph"/>
              <w:ind w:left="110"/>
              <w:rPr>
                <w:b/>
                <w:sz w:val="20"/>
              </w:rPr>
            </w:pPr>
            <w:r>
              <w:rPr>
                <w:b/>
                <w:color w:val="FFFFFF"/>
                <w:spacing w:val="-4"/>
                <w:sz w:val="20"/>
              </w:rPr>
              <w:t>2013</w:t>
            </w:r>
          </w:p>
        </w:tc>
        <w:tc>
          <w:tcPr>
            <w:tcW w:w="2207" w:type="dxa"/>
          </w:tcPr>
          <w:p w14:paraId="351B7DD2" w14:textId="77777777" w:rsidR="00811887" w:rsidRDefault="00811887" w:rsidP="00486E22">
            <w:pPr>
              <w:pStyle w:val="TableParagraph"/>
              <w:ind w:left="7" w:right="2"/>
              <w:jc w:val="center"/>
              <w:rPr>
                <w:sz w:val="20"/>
              </w:rPr>
            </w:pPr>
            <w:r>
              <w:rPr>
                <w:spacing w:val="-4"/>
                <w:sz w:val="20"/>
              </w:rPr>
              <w:t>25.1</w:t>
            </w:r>
          </w:p>
        </w:tc>
        <w:tc>
          <w:tcPr>
            <w:tcW w:w="2207" w:type="dxa"/>
          </w:tcPr>
          <w:p w14:paraId="7AB6A83E" w14:textId="77777777" w:rsidR="00811887" w:rsidRDefault="00811887" w:rsidP="00486E22">
            <w:pPr>
              <w:pStyle w:val="TableParagraph"/>
              <w:ind w:left="7" w:right="4"/>
              <w:jc w:val="center"/>
              <w:rPr>
                <w:sz w:val="20"/>
              </w:rPr>
            </w:pPr>
            <w:r>
              <w:rPr>
                <w:spacing w:val="-4"/>
                <w:sz w:val="20"/>
              </w:rPr>
              <w:t>19.3</w:t>
            </w:r>
          </w:p>
        </w:tc>
        <w:tc>
          <w:tcPr>
            <w:tcW w:w="2207" w:type="dxa"/>
          </w:tcPr>
          <w:p w14:paraId="4C615340" w14:textId="77777777" w:rsidR="00811887" w:rsidRDefault="00811887" w:rsidP="00486E22">
            <w:pPr>
              <w:pStyle w:val="TableParagraph"/>
              <w:ind w:left="7" w:right="7"/>
              <w:jc w:val="center"/>
              <w:rPr>
                <w:sz w:val="20"/>
              </w:rPr>
            </w:pPr>
            <w:r>
              <w:rPr>
                <w:spacing w:val="-5"/>
                <w:sz w:val="20"/>
              </w:rPr>
              <w:t>5.9</w:t>
            </w:r>
          </w:p>
        </w:tc>
        <w:tc>
          <w:tcPr>
            <w:tcW w:w="2202" w:type="dxa"/>
          </w:tcPr>
          <w:p w14:paraId="4CC39A7C" w14:textId="77777777" w:rsidR="00811887" w:rsidRDefault="00811887" w:rsidP="00486E22">
            <w:pPr>
              <w:pStyle w:val="TableParagraph"/>
              <w:ind w:left="2"/>
              <w:jc w:val="center"/>
              <w:rPr>
                <w:sz w:val="20"/>
              </w:rPr>
            </w:pPr>
            <w:r>
              <w:rPr>
                <w:spacing w:val="-4"/>
                <w:sz w:val="20"/>
              </w:rPr>
              <w:t>17.8</w:t>
            </w:r>
          </w:p>
        </w:tc>
      </w:tr>
      <w:tr w:rsidR="00811887" w14:paraId="0CA6C7BA" w14:textId="77777777" w:rsidTr="00486E22">
        <w:trPr>
          <w:trHeight w:val="310"/>
        </w:trPr>
        <w:tc>
          <w:tcPr>
            <w:tcW w:w="1266" w:type="dxa"/>
            <w:shd w:val="clear" w:color="auto" w:fill="234060"/>
          </w:tcPr>
          <w:p w14:paraId="37A62E6F" w14:textId="77777777" w:rsidR="00811887" w:rsidRDefault="00811887" w:rsidP="00486E22">
            <w:pPr>
              <w:pStyle w:val="TableParagraph"/>
              <w:spacing w:line="239" w:lineRule="exact"/>
              <w:ind w:left="110"/>
              <w:rPr>
                <w:b/>
                <w:sz w:val="20"/>
              </w:rPr>
            </w:pPr>
            <w:r>
              <w:rPr>
                <w:b/>
                <w:color w:val="FFFFFF"/>
                <w:spacing w:val="-4"/>
                <w:sz w:val="20"/>
              </w:rPr>
              <w:t>2014</w:t>
            </w:r>
          </w:p>
        </w:tc>
        <w:tc>
          <w:tcPr>
            <w:tcW w:w="2207" w:type="dxa"/>
          </w:tcPr>
          <w:p w14:paraId="7D503289" w14:textId="77777777" w:rsidR="00811887" w:rsidRDefault="00811887" w:rsidP="00486E22">
            <w:pPr>
              <w:pStyle w:val="TableParagraph"/>
              <w:spacing w:line="239" w:lineRule="exact"/>
              <w:ind w:left="7" w:right="2"/>
              <w:jc w:val="center"/>
              <w:rPr>
                <w:sz w:val="20"/>
              </w:rPr>
            </w:pPr>
            <w:r>
              <w:rPr>
                <w:spacing w:val="-4"/>
                <w:sz w:val="20"/>
              </w:rPr>
              <w:t>24.7</w:t>
            </w:r>
          </w:p>
        </w:tc>
        <w:tc>
          <w:tcPr>
            <w:tcW w:w="2207" w:type="dxa"/>
          </w:tcPr>
          <w:p w14:paraId="08AFA649" w14:textId="77777777" w:rsidR="00811887" w:rsidRDefault="00811887" w:rsidP="00486E22">
            <w:pPr>
              <w:pStyle w:val="TableParagraph"/>
              <w:spacing w:line="239" w:lineRule="exact"/>
              <w:ind w:left="7" w:right="4"/>
              <w:jc w:val="center"/>
              <w:rPr>
                <w:sz w:val="20"/>
              </w:rPr>
            </w:pPr>
            <w:r>
              <w:rPr>
                <w:spacing w:val="-4"/>
                <w:sz w:val="20"/>
              </w:rPr>
              <w:t>18.9</w:t>
            </w:r>
          </w:p>
        </w:tc>
        <w:tc>
          <w:tcPr>
            <w:tcW w:w="2207" w:type="dxa"/>
          </w:tcPr>
          <w:p w14:paraId="558B0361" w14:textId="77777777" w:rsidR="00811887" w:rsidRDefault="00811887" w:rsidP="00486E22">
            <w:pPr>
              <w:pStyle w:val="TableParagraph"/>
              <w:spacing w:line="239" w:lineRule="exact"/>
              <w:ind w:left="7" w:right="7"/>
              <w:jc w:val="center"/>
              <w:rPr>
                <w:sz w:val="20"/>
              </w:rPr>
            </w:pPr>
            <w:r>
              <w:rPr>
                <w:spacing w:val="-5"/>
                <w:sz w:val="20"/>
              </w:rPr>
              <w:t>5.8</w:t>
            </w:r>
          </w:p>
        </w:tc>
        <w:tc>
          <w:tcPr>
            <w:tcW w:w="2202" w:type="dxa"/>
          </w:tcPr>
          <w:p w14:paraId="510D774E" w14:textId="77777777" w:rsidR="00811887" w:rsidRDefault="00811887" w:rsidP="00486E22">
            <w:pPr>
              <w:pStyle w:val="TableParagraph"/>
              <w:spacing w:line="239" w:lineRule="exact"/>
              <w:ind w:left="2"/>
              <w:jc w:val="center"/>
              <w:rPr>
                <w:sz w:val="20"/>
              </w:rPr>
            </w:pPr>
            <w:r>
              <w:rPr>
                <w:spacing w:val="-4"/>
                <w:sz w:val="20"/>
              </w:rPr>
              <w:t>17.7</w:t>
            </w:r>
          </w:p>
        </w:tc>
      </w:tr>
      <w:tr w:rsidR="00811887" w14:paraId="10C56ED7" w14:textId="77777777" w:rsidTr="00486E22">
        <w:trPr>
          <w:trHeight w:val="325"/>
        </w:trPr>
        <w:tc>
          <w:tcPr>
            <w:tcW w:w="1266" w:type="dxa"/>
            <w:shd w:val="clear" w:color="auto" w:fill="234060"/>
          </w:tcPr>
          <w:p w14:paraId="7548DC9F" w14:textId="77777777" w:rsidR="00811887" w:rsidRDefault="00811887" w:rsidP="00486E22">
            <w:pPr>
              <w:pStyle w:val="TableParagraph"/>
              <w:spacing w:line="239" w:lineRule="exact"/>
              <w:ind w:left="110"/>
              <w:rPr>
                <w:b/>
                <w:sz w:val="20"/>
              </w:rPr>
            </w:pPr>
            <w:r>
              <w:rPr>
                <w:b/>
                <w:color w:val="FFFFFF"/>
                <w:spacing w:val="-4"/>
                <w:sz w:val="20"/>
              </w:rPr>
              <w:t>2015</w:t>
            </w:r>
          </w:p>
        </w:tc>
        <w:tc>
          <w:tcPr>
            <w:tcW w:w="2207" w:type="dxa"/>
          </w:tcPr>
          <w:p w14:paraId="0744A67E" w14:textId="77777777" w:rsidR="00811887" w:rsidRDefault="00811887" w:rsidP="00486E22">
            <w:pPr>
              <w:pStyle w:val="TableParagraph"/>
              <w:spacing w:line="239" w:lineRule="exact"/>
              <w:ind w:left="7" w:right="2"/>
              <w:jc w:val="center"/>
              <w:rPr>
                <w:sz w:val="20"/>
              </w:rPr>
            </w:pPr>
            <w:r>
              <w:rPr>
                <w:spacing w:val="-4"/>
                <w:sz w:val="20"/>
              </w:rPr>
              <w:t>25.3</w:t>
            </w:r>
          </w:p>
        </w:tc>
        <w:tc>
          <w:tcPr>
            <w:tcW w:w="2207" w:type="dxa"/>
          </w:tcPr>
          <w:p w14:paraId="6FB3E472" w14:textId="77777777" w:rsidR="00811887" w:rsidRDefault="00811887" w:rsidP="00486E22">
            <w:pPr>
              <w:pStyle w:val="TableParagraph"/>
              <w:spacing w:line="239" w:lineRule="exact"/>
              <w:ind w:left="7" w:right="4"/>
              <w:jc w:val="center"/>
              <w:rPr>
                <w:sz w:val="20"/>
              </w:rPr>
            </w:pPr>
            <w:r>
              <w:rPr>
                <w:spacing w:val="-4"/>
                <w:sz w:val="20"/>
              </w:rPr>
              <w:t>19.6</w:t>
            </w:r>
          </w:p>
        </w:tc>
        <w:tc>
          <w:tcPr>
            <w:tcW w:w="2207" w:type="dxa"/>
          </w:tcPr>
          <w:p w14:paraId="634FDDDA" w14:textId="77777777" w:rsidR="00811887" w:rsidRDefault="00811887" w:rsidP="00486E22">
            <w:pPr>
              <w:pStyle w:val="TableParagraph"/>
              <w:spacing w:line="239" w:lineRule="exact"/>
              <w:ind w:left="7" w:right="7"/>
              <w:jc w:val="center"/>
              <w:rPr>
                <w:sz w:val="20"/>
              </w:rPr>
            </w:pPr>
            <w:r>
              <w:rPr>
                <w:spacing w:val="-5"/>
                <w:sz w:val="20"/>
              </w:rPr>
              <w:t>5.6</w:t>
            </w:r>
          </w:p>
        </w:tc>
        <w:tc>
          <w:tcPr>
            <w:tcW w:w="2202" w:type="dxa"/>
          </w:tcPr>
          <w:p w14:paraId="09FED887" w14:textId="77777777" w:rsidR="00811887" w:rsidRDefault="00811887" w:rsidP="00486E22">
            <w:pPr>
              <w:pStyle w:val="TableParagraph"/>
              <w:spacing w:line="239" w:lineRule="exact"/>
              <w:ind w:left="2"/>
              <w:jc w:val="center"/>
              <w:rPr>
                <w:sz w:val="20"/>
              </w:rPr>
            </w:pPr>
            <w:r>
              <w:rPr>
                <w:spacing w:val="-4"/>
                <w:sz w:val="20"/>
              </w:rPr>
              <w:t>18.0</w:t>
            </w:r>
          </w:p>
        </w:tc>
      </w:tr>
      <w:tr w:rsidR="00811887" w14:paraId="6EB6EA98" w14:textId="77777777" w:rsidTr="00486E22">
        <w:trPr>
          <w:trHeight w:val="310"/>
        </w:trPr>
        <w:tc>
          <w:tcPr>
            <w:tcW w:w="1266" w:type="dxa"/>
            <w:shd w:val="clear" w:color="auto" w:fill="234060"/>
          </w:tcPr>
          <w:p w14:paraId="0139DFA3" w14:textId="77777777" w:rsidR="00811887" w:rsidRDefault="00811887" w:rsidP="00486E22">
            <w:pPr>
              <w:pStyle w:val="TableParagraph"/>
              <w:ind w:left="110"/>
              <w:rPr>
                <w:b/>
                <w:sz w:val="20"/>
              </w:rPr>
            </w:pPr>
            <w:r>
              <w:rPr>
                <w:b/>
                <w:color w:val="FFFFFF"/>
                <w:spacing w:val="-4"/>
                <w:sz w:val="20"/>
              </w:rPr>
              <w:t>2016</w:t>
            </w:r>
          </w:p>
        </w:tc>
        <w:tc>
          <w:tcPr>
            <w:tcW w:w="2207" w:type="dxa"/>
          </w:tcPr>
          <w:p w14:paraId="2445262A" w14:textId="77777777" w:rsidR="00811887" w:rsidRDefault="00811887" w:rsidP="00486E22">
            <w:pPr>
              <w:pStyle w:val="TableParagraph"/>
              <w:ind w:left="7" w:right="2"/>
              <w:jc w:val="center"/>
              <w:rPr>
                <w:sz w:val="20"/>
              </w:rPr>
            </w:pPr>
            <w:r>
              <w:rPr>
                <w:spacing w:val="-4"/>
                <w:sz w:val="20"/>
              </w:rPr>
              <w:t>24.8</w:t>
            </w:r>
          </w:p>
        </w:tc>
        <w:tc>
          <w:tcPr>
            <w:tcW w:w="2207" w:type="dxa"/>
          </w:tcPr>
          <w:p w14:paraId="0BD5EAB6" w14:textId="77777777" w:rsidR="00811887" w:rsidRDefault="00811887" w:rsidP="00486E22">
            <w:pPr>
              <w:pStyle w:val="TableParagraph"/>
              <w:ind w:left="7" w:right="4"/>
              <w:jc w:val="center"/>
              <w:rPr>
                <w:sz w:val="20"/>
              </w:rPr>
            </w:pPr>
            <w:r>
              <w:rPr>
                <w:spacing w:val="-4"/>
                <w:sz w:val="20"/>
              </w:rPr>
              <w:t>19.2</w:t>
            </w:r>
          </w:p>
        </w:tc>
        <w:tc>
          <w:tcPr>
            <w:tcW w:w="2207" w:type="dxa"/>
          </w:tcPr>
          <w:p w14:paraId="2899F1BE" w14:textId="77777777" w:rsidR="00811887" w:rsidRDefault="00811887" w:rsidP="00486E22">
            <w:pPr>
              <w:pStyle w:val="TableParagraph"/>
              <w:ind w:left="7" w:right="7"/>
              <w:jc w:val="center"/>
              <w:rPr>
                <w:sz w:val="20"/>
              </w:rPr>
            </w:pPr>
            <w:r>
              <w:rPr>
                <w:spacing w:val="-5"/>
                <w:sz w:val="20"/>
              </w:rPr>
              <w:t>5.6</w:t>
            </w:r>
          </w:p>
        </w:tc>
        <w:tc>
          <w:tcPr>
            <w:tcW w:w="2202" w:type="dxa"/>
          </w:tcPr>
          <w:p w14:paraId="34DBC8E6" w14:textId="77777777" w:rsidR="00811887" w:rsidRDefault="00811887" w:rsidP="00486E22">
            <w:pPr>
              <w:pStyle w:val="TableParagraph"/>
              <w:ind w:left="2"/>
              <w:jc w:val="center"/>
              <w:rPr>
                <w:sz w:val="20"/>
              </w:rPr>
            </w:pPr>
            <w:r>
              <w:rPr>
                <w:spacing w:val="-4"/>
                <w:sz w:val="20"/>
              </w:rPr>
              <w:t>17.3</w:t>
            </w:r>
          </w:p>
        </w:tc>
      </w:tr>
      <w:tr w:rsidR="00811887" w14:paraId="4C87C7DC" w14:textId="77777777" w:rsidTr="00486E22">
        <w:trPr>
          <w:trHeight w:val="330"/>
        </w:trPr>
        <w:tc>
          <w:tcPr>
            <w:tcW w:w="1266" w:type="dxa"/>
            <w:shd w:val="clear" w:color="auto" w:fill="234060"/>
          </w:tcPr>
          <w:p w14:paraId="7A52B2E7" w14:textId="77777777" w:rsidR="00811887" w:rsidRDefault="00811887" w:rsidP="00486E22">
            <w:pPr>
              <w:pStyle w:val="TableParagraph"/>
              <w:ind w:left="110"/>
              <w:rPr>
                <w:b/>
                <w:sz w:val="20"/>
              </w:rPr>
            </w:pPr>
            <w:r>
              <w:rPr>
                <w:b/>
                <w:color w:val="FFFFFF"/>
                <w:spacing w:val="-4"/>
                <w:sz w:val="20"/>
              </w:rPr>
              <w:t>2017</w:t>
            </w:r>
          </w:p>
        </w:tc>
        <w:tc>
          <w:tcPr>
            <w:tcW w:w="2207" w:type="dxa"/>
          </w:tcPr>
          <w:p w14:paraId="51A63CE1" w14:textId="77777777" w:rsidR="00811887" w:rsidRDefault="00811887" w:rsidP="00486E22">
            <w:pPr>
              <w:pStyle w:val="TableParagraph"/>
              <w:ind w:left="7" w:right="2"/>
              <w:jc w:val="center"/>
              <w:rPr>
                <w:sz w:val="20"/>
              </w:rPr>
            </w:pPr>
            <w:r>
              <w:rPr>
                <w:spacing w:val="-4"/>
                <w:sz w:val="20"/>
              </w:rPr>
              <w:t>24.1</w:t>
            </w:r>
          </w:p>
        </w:tc>
        <w:tc>
          <w:tcPr>
            <w:tcW w:w="2207" w:type="dxa"/>
          </w:tcPr>
          <w:p w14:paraId="717A7268" w14:textId="77777777" w:rsidR="00811887" w:rsidRDefault="00811887" w:rsidP="00486E22">
            <w:pPr>
              <w:pStyle w:val="TableParagraph"/>
              <w:ind w:left="7" w:right="4"/>
              <w:jc w:val="center"/>
              <w:rPr>
                <w:sz w:val="20"/>
              </w:rPr>
            </w:pPr>
            <w:r>
              <w:rPr>
                <w:spacing w:val="-4"/>
                <w:sz w:val="20"/>
              </w:rPr>
              <w:t>18.5</w:t>
            </w:r>
          </w:p>
        </w:tc>
        <w:tc>
          <w:tcPr>
            <w:tcW w:w="2207" w:type="dxa"/>
          </w:tcPr>
          <w:p w14:paraId="0183E47D" w14:textId="77777777" w:rsidR="00811887" w:rsidRDefault="00811887" w:rsidP="00486E22">
            <w:pPr>
              <w:pStyle w:val="TableParagraph"/>
              <w:ind w:left="7" w:right="7"/>
              <w:jc w:val="center"/>
              <w:rPr>
                <w:sz w:val="20"/>
              </w:rPr>
            </w:pPr>
            <w:r>
              <w:rPr>
                <w:spacing w:val="-5"/>
                <w:sz w:val="20"/>
              </w:rPr>
              <w:t>5.6</w:t>
            </w:r>
          </w:p>
        </w:tc>
        <w:tc>
          <w:tcPr>
            <w:tcW w:w="2202" w:type="dxa"/>
          </w:tcPr>
          <w:p w14:paraId="3BE147AF" w14:textId="77777777" w:rsidR="00811887" w:rsidRDefault="00811887" w:rsidP="00486E22">
            <w:pPr>
              <w:pStyle w:val="TableParagraph"/>
              <w:ind w:left="2"/>
              <w:jc w:val="center"/>
              <w:rPr>
                <w:sz w:val="20"/>
              </w:rPr>
            </w:pPr>
            <w:r>
              <w:rPr>
                <w:spacing w:val="-4"/>
                <w:sz w:val="20"/>
              </w:rPr>
              <w:t>17.9</w:t>
            </w:r>
          </w:p>
        </w:tc>
      </w:tr>
      <w:tr w:rsidR="00811887" w14:paraId="1C97EECB" w14:textId="77777777" w:rsidTr="00486E22">
        <w:trPr>
          <w:trHeight w:val="310"/>
        </w:trPr>
        <w:tc>
          <w:tcPr>
            <w:tcW w:w="1266" w:type="dxa"/>
            <w:shd w:val="clear" w:color="auto" w:fill="234060"/>
          </w:tcPr>
          <w:p w14:paraId="100B2C93" w14:textId="77777777" w:rsidR="00811887" w:rsidRDefault="00811887" w:rsidP="00486E22">
            <w:pPr>
              <w:pStyle w:val="TableParagraph"/>
              <w:ind w:left="110"/>
              <w:rPr>
                <w:b/>
                <w:sz w:val="20"/>
              </w:rPr>
            </w:pPr>
            <w:r>
              <w:rPr>
                <w:b/>
                <w:color w:val="FFFFFF"/>
                <w:spacing w:val="-4"/>
                <w:sz w:val="20"/>
              </w:rPr>
              <w:t>2018</w:t>
            </w:r>
          </w:p>
        </w:tc>
        <w:tc>
          <w:tcPr>
            <w:tcW w:w="2207" w:type="dxa"/>
          </w:tcPr>
          <w:p w14:paraId="17B9BB3A" w14:textId="77777777" w:rsidR="00811887" w:rsidRDefault="00811887" w:rsidP="00486E22">
            <w:pPr>
              <w:pStyle w:val="TableParagraph"/>
              <w:ind w:left="7" w:right="2"/>
              <w:jc w:val="center"/>
              <w:rPr>
                <w:sz w:val="20"/>
              </w:rPr>
            </w:pPr>
            <w:r>
              <w:rPr>
                <w:spacing w:val="-4"/>
                <w:sz w:val="20"/>
              </w:rPr>
              <w:t>25.0</w:t>
            </w:r>
          </w:p>
        </w:tc>
        <w:tc>
          <w:tcPr>
            <w:tcW w:w="2207" w:type="dxa"/>
          </w:tcPr>
          <w:p w14:paraId="4B505FE9" w14:textId="77777777" w:rsidR="00811887" w:rsidRDefault="00811887" w:rsidP="00486E22">
            <w:pPr>
              <w:pStyle w:val="TableParagraph"/>
              <w:ind w:left="7" w:right="4"/>
              <w:jc w:val="center"/>
              <w:rPr>
                <w:sz w:val="20"/>
              </w:rPr>
            </w:pPr>
            <w:r>
              <w:rPr>
                <w:spacing w:val="-4"/>
                <w:sz w:val="20"/>
              </w:rPr>
              <w:t>19.0</w:t>
            </w:r>
          </w:p>
        </w:tc>
        <w:tc>
          <w:tcPr>
            <w:tcW w:w="2207" w:type="dxa"/>
          </w:tcPr>
          <w:p w14:paraId="657C3E31" w14:textId="77777777" w:rsidR="00811887" w:rsidRDefault="00811887" w:rsidP="00486E22">
            <w:pPr>
              <w:pStyle w:val="TableParagraph"/>
              <w:ind w:left="7" w:right="7"/>
              <w:jc w:val="center"/>
              <w:rPr>
                <w:sz w:val="20"/>
              </w:rPr>
            </w:pPr>
            <w:r>
              <w:rPr>
                <w:spacing w:val="-5"/>
                <w:sz w:val="20"/>
              </w:rPr>
              <w:t>6.0</w:t>
            </w:r>
          </w:p>
        </w:tc>
        <w:tc>
          <w:tcPr>
            <w:tcW w:w="2202" w:type="dxa"/>
          </w:tcPr>
          <w:p w14:paraId="6A6AC1C1" w14:textId="77777777" w:rsidR="00811887" w:rsidRDefault="00811887" w:rsidP="00486E22">
            <w:pPr>
              <w:pStyle w:val="TableParagraph"/>
              <w:ind w:left="2"/>
              <w:jc w:val="center"/>
              <w:rPr>
                <w:sz w:val="20"/>
              </w:rPr>
            </w:pPr>
            <w:r>
              <w:rPr>
                <w:spacing w:val="-4"/>
                <w:sz w:val="20"/>
              </w:rPr>
              <w:t>17.7</w:t>
            </w:r>
          </w:p>
        </w:tc>
      </w:tr>
    </w:tbl>
    <w:p w14:paraId="0BB0A7E2" w14:textId="77777777" w:rsidR="00811887" w:rsidRDefault="00811887" w:rsidP="00811887">
      <w:pPr>
        <w:jc w:val="center"/>
        <w:rPr>
          <w:sz w:val="20"/>
        </w:rPr>
      </w:pPr>
    </w:p>
    <w:p w14:paraId="13253D2E" w14:textId="77777777" w:rsidR="00811887" w:rsidRDefault="00811887" w:rsidP="00811887">
      <w:pPr>
        <w:spacing w:before="1"/>
        <w:ind w:left="4292"/>
        <w:rPr>
          <w:i/>
          <w:sz w:val="20"/>
        </w:rPr>
      </w:pPr>
      <w:r>
        <w:rPr>
          <w:i/>
          <w:sz w:val="20"/>
        </w:rPr>
        <w:t>From</w:t>
      </w:r>
      <w:r>
        <w:rPr>
          <w:i/>
          <w:spacing w:val="-5"/>
          <w:sz w:val="20"/>
        </w:rPr>
        <w:t xml:space="preserve"> </w:t>
      </w:r>
      <w:r>
        <w:rPr>
          <w:i/>
          <w:sz w:val="20"/>
        </w:rPr>
        <w:t>The</w:t>
      </w:r>
      <w:r>
        <w:rPr>
          <w:i/>
          <w:spacing w:val="-4"/>
          <w:sz w:val="20"/>
        </w:rPr>
        <w:t xml:space="preserve"> </w:t>
      </w:r>
      <w:r>
        <w:rPr>
          <w:i/>
          <w:sz w:val="20"/>
        </w:rPr>
        <w:t>Brotherhood</w:t>
      </w:r>
      <w:r>
        <w:rPr>
          <w:i/>
          <w:spacing w:val="-2"/>
          <w:sz w:val="20"/>
        </w:rPr>
        <w:t xml:space="preserve"> </w:t>
      </w:r>
      <w:r>
        <w:rPr>
          <w:i/>
          <w:sz w:val="20"/>
        </w:rPr>
        <w:t>of</w:t>
      </w:r>
      <w:r>
        <w:rPr>
          <w:i/>
          <w:spacing w:val="-1"/>
          <w:sz w:val="20"/>
        </w:rPr>
        <w:t xml:space="preserve"> </w:t>
      </w:r>
      <w:r>
        <w:rPr>
          <w:i/>
          <w:sz w:val="20"/>
        </w:rPr>
        <w:t>St.</w:t>
      </w:r>
      <w:r>
        <w:rPr>
          <w:i/>
          <w:spacing w:val="-4"/>
          <w:sz w:val="20"/>
        </w:rPr>
        <w:t xml:space="preserve"> </w:t>
      </w:r>
      <w:r>
        <w:rPr>
          <w:i/>
          <w:sz w:val="20"/>
        </w:rPr>
        <w:t>Laurence</w:t>
      </w:r>
      <w:r>
        <w:rPr>
          <w:i/>
          <w:spacing w:val="-3"/>
          <w:sz w:val="20"/>
        </w:rPr>
        <w:t xml:space="preserve"> </w:t>
      </w:r>
      <w:r>
        <w:rPr>
          <w:i/>
          <w:sz w:val="20"/>
        </w:rPr>
        <w:t>and</w:t>
      </w:r>
      <w:r>
        <w:rPr>
          <w:i/>
          <w:spacing w:val="-2"/>
          <w:sz w:val="20"/>
        </w:rPr>
        <w:t xml:space="preserve"> </w:t>
      </w:r>
      <w:r>
        <w:rPr>
          <w:i/>
          <w:sz w:val="20"/>
        </w:rPr>
        <w:t>the</w:t>
      </w:r>
      <w:r>
        <w:rPr>
          <w:i/>
          <w:spacing w:val="-4"/>
          <w:sz w:val="20"/>
        </w:rPr>
        <w:t xml:space="preserve"> </w:t>
      </w:r>
      <w:r>
        <w:rPr>
          <w:i/>
          <w:sz w:val="20"/>
        </w:rPr>
        <w:t>Melbourne</w:t>
      </w:r>
      <w:r>
        <w:rPr>
          <w:i/>
          <w:spacing w:val="-4"/>
          <w:sz w:val="20"/>
        </w:rPr>
        <w:t xml:space="preserve"> </w:t>
      </w:r>
      <w:r>
        <w:rPr>
          <w:i/>
          <w:sz w:val="20"/>
        </w:rPr>
        <w:t>Institute</w:t>
      </w:r>
      <w:r>
        <w:rPr>
          <w:i/>
          <w:spacing w:val="-4"/>
          <w:sz w:val="20"/>
        </w:rPr>
        <w:t xml:space="preserve"> </w:t>
      </w:r>
      <w:r>
        <w:rPr>
          <w:i/>
          <w:spacing w:val="-2"/>
          <w:sz w:val="20"/>
        </w:rPr>
        <w:t>(2020)</w:t>
      </w:r>
    </w:p>
    <w:p w14:paraId="16A8CA68" w14:textId="77777777" w:rsidR="00811887" w:rsidRDefault="00811887" w:rsidP="00811887">
      <w:pPr>
        <w:jc w:val="right"/>
        <w:rPr>
          <w:sz w:val="20"/>
        </w:rPr>
      </w:pPr>
    </w:p>
    <w:p w14:paraId="6469B033" w14:textId="77777777" w:rsidR="00811887" w:rsidRDefault="00811887" w:rsidP="00811887">
      <w:pPr>
        <w:rPr>
          <w:sz w:val="20"/>
        </w:rPr>
      </w:pPr>
    </w:p>
    <w:p w14:paraId="45998C1D" w14:textId="77777777" w:rsidR="00811887" w:rsidRPr="00E1745A" w:rsidRDefault="00811887" w:rsidP="00811887">
      <w:pPr>
        <w:rPr>
          <w:sz w:val="20"/>
        </w:rPr>
        <w:sectPr w:rsidR="00811887" w:rsidRPr="00E1745A" w:rsidSect="00811887">
          <w:pgSz w:w="11910" w:h="16840"/>
          <w:pgMar w:top="900" w:right="721" w:bottom="1200" w:left="740" w:header="0" w:footer="1005" w:gutter="0"/>
          <w:cols w:space="720"/>
        </w:sectPr>
      </w:pPr>
    </w:p>
    <w:p w14:paraId="2EA10A7B" w14:textId="77777777" w:rsidR="00811887" w:rsidRPr="00630A63" w:rsidRDefault="00811887" w:rsidP="00811887">
      <w:pPr>
        <w:pStyle w:val="Heading6"/>
        <w:rPr>
          <w:i w:val="0"/>
          <w:iCs w:val="0"/>
        </w:rPr>
      </w:pPr>
      <w:r w:rsidRPr="00630A63">
        <w:rPr>
          <w:i w:val="0"/>
          <w:iCs w:val="0"/>
        </w:rPr>
        <w:lastRenderedPageBreak/>
        <w:t>Income</w:t>
      </w:r>
      <w:r w:rsidRPr="00630A63">
        <w:rPr>
          <w:i w:val="0"/>
          <w:iCs w:val="0"/>
          <w:spacing w:val="-5"/>
        </w:rPr>
        <w:t xml:space="preserve"> </w:t>
      </w:r>
      <w:r w:rsidRPr="00630A63">
        <w:rPr>
          <w:i w:val="0"/>
          <w:iCs w:val="0"/>
        </w:rPr>
        <w:t>growth</w:t>
      </w:r>
      <w:r w:rsidRPr="00630A63">
        <w:rPr>
          <w:i w:val="0"/>
          <w:iCs w:val="0"/>
          <w:spacing w:val="-4"/>
        </w:rPr>
        <w:t xml:space="preserve"> </w:t>
      </w:r>
      <w:r w:rsidRPr="00630A63">
        <w:rPr>
          <w:i w:val="0"/>
          <w:iCs w:val="0"/>
        </w:rPr>
        <w:t>and</w:t>
      </w:r>
      <w:r w:rsidRPr="00630A63">
        <w:rPr>
          <w:i w:val="0"/>
          <w:iCs w:val="0"/>
          <w:spacing w:val="-4"/>
        </w:rPr>
        <w:t xml:space="preserve"> </w:t>
      </w:r>
      <w:r w:rsidRPr="00630A63">
        <w:rPr>
          <w:i w:val="0"/>
          <w:iCs w:val="0"/>
        </w:rPr>
        <w:t>income</w:t>
      </w:r>
      <w:r w:rsidRPr="00630A63">
        <w:rPr>
          <w:i w:val="0"/>
          <w:iCs w:val="0"/>
          <w:spacing w:val="-4"/>
        </w:rPr>
        <w:t xml:space="preserve"> </w:t>
      </w:r>
      <w:r w:rsidRPr="00630A63">
        <w:rPr>
          <w:i w:val="0"/>
          <w:iCs w:val="0"/>
          <w:spacing w:val="-2"/>
        </w:rPr>
        <w:t>inequality</w:t>
      </w:r>
    </w:p>
    <w:p w14:paraId="731BD145" w14:textId="77777777" w:rsidR="00811887" w:rsidRDefault="00811887" w:rsidP="00811887">
      <w:pPr>
        <w:spacing w:before="47" w:line="266" w:lineRule="auto"/>
        <w:ind w:left="165" w:right="200"/>
        <w:rPr>
          <w:sz w:val="24"/>
        </w:rPr>
      </w:pPr>
      <w:r>
        <w:rPr>
          <w:sz w:val="24"/>
        </w:rPr>
        <w:t>Charts</w:t>
      </w:r>
      <w:r>
        <w:rPr>
          <w:spacing w:val="-2"/>
          <w:sz w:val="24"/>
        </w:rPr>
        <w:t xml:space="preserve"> </w:t>
      </w:r>
      <w:r>
        <w:rPr>
          <w:sz w:val="24"/>
        </w:rPr>
        <w:t>10</w:t>
      </w:r>
      <w:r>
        <w:rPr>
          <w:spacing w:val="-5"/>
          <w:sz w:val="24"/>
        </w:rPr>
        <w:t xml:space="preserve"> </w:t>
      </w:r>
      <w:r>
        <w:rPr>
          <w:sz w:val="24"/>
        </w:rPr>
        <w:t>to</w:t>
      </w:r>
      <w:r>
        <w:rPr>
          <w:spacing w:val="-4"/>
          <w:sz w:val="24"/>
        </w:rPr>
        <w:t xml:space="preserve"> </w:t>
      </w:r>
      <w:r>
        <w:rPr>
          <w:sz w:val="24"/>
        </w:rPr>
        <w:t>12</w:t>
      </w:r>
      <w:r>
        <w:rPr>
          <w:spacing w:val="-4"/>
          <w:sz w:val="24"/>
        </w:rPr>
        <w:t xml:space="preserve"> </w:t>
      </w:r>
      <w:r>
        <w:rPr>
          <w:sz w:val="24"/>
        </w:rPr>
        <w:t>provide</w:t>
      </w:r>
      <w:r>
        <w:rPr>
          <w:spacing w:val="-2"/>
          <w:sz w:val="24"/>
        </w:rPr>
        <w:t xml:space="preserve"> </w:t>
      </w:r>
      <w:r>
        <w:rPr>
          <w:sz w:val="24"/>
        </w:rPr>
        <w:t>an</w:t>
      </w:r>
      <w:r>
        <w:rPr>
          <w:spacing w:val="-4"/>
          <w:sz w:val="24"/>
        </w:rPr>
        <w:t xml:space="preserve"> </w:t>
      </w:r>
      <w:r>
        <w:rPr>
          <w:sz w:val="24"/>
        </w:rPr>
        <w:t>overview</w:t>
      </w:r>
      <w:r>
        <w:rPr>
          <w:spacing w:val="-4"/>
          <w:sz w:val="24"/>
        </w:rPr>
        <w:t xml:space="preserve"> </w:t>
      </w:r>
      <w:r>
        <w:rPr>
          <w:sz w:val="24"/>
        </w:rPr>
        <w:t>of income,</w:t>
      </w:r>
      <w:r>
        <w:rPr>
          <w:spacing w:val="-3"/>
          <w:sz w:val="24"/>
        </w:rPr>
        <w:t xml:space="preserve"> </w:t>
      </w:r>
      <w:r>
        <w:rPr>
          <w:sz w:val="24"/>
        </w:rPr>
        <w:t>and income</w:t>
      </w:r>
      <w:r>
        <w:rPr>
          <w:spacing w:val="-2"/>
          <w:sz w:val="24"/>
        </w:rPr>
        <w:t xml:space="preserve"> </w:t>
      </w:r>
      <w:r>
        <w:rPr>
          <w:sz w:val="24"/>
        </w:rPr>
        <w:t>inequality,</w:t>
      </w:r>
      <w:r>
        <w:rPr>
          <w:spacing w:val="-3"/>
          <w:sz w:val="24"/>
        </w:rPr>
        <w:t xml:space="preserve"> </w:t>
      </w:r>
      <w:r>
        <w:rPr>
          <w:sz w:val="24"/>
        </w:rPr>
        <w:t>from</w:t>
      </w:r>
      <w:r>
        <w:rPr>
          <w:spacing w:val="-5"/>
          <w:sz w:val="24"/>
        </w:rPr>
        <w:t xml:space="preserve"> </w:t>
      </w:r>
      <w:r>
        <w:rPr>
          <w:sz w:val="24"/>
        </w:rPr>
        <w:t>the</w:t>
      </w:r>
      <w:r>
        <w:rPr>
          <w:spacing w:val="-2"/>
          <w:sz w:val="24"/>
        </w:rPr>
        <w:t xml:space="preserve"> </w:t>
      </w:r>
      <w:r>
        <w:rPr>
          <w:sz w:val="24"/>
        </w:rPr>
        <w:t>ABS</w:t>
      </w:r>
      <w:r>
        <w:rPr>
          <w:spacing w:val="-4"/>
          <w:sz w:val="24"/>
        </w:rPr>
        <w:t xml:space="preserve"> </w:t>
      </w:r>
      <w:r>
        <w:rPr>
          <w:sz w:val="24"/>
        </w:rPr>
        <w:t>Survey</w:t>
      </w:r>
      <w:r>
        <w:rPr>
          <w:spacing w:val="-2"/>
          <w:sz w:val="24"/>
        </w:rPr>
        <w:t xml:space="preserve"> </w:t>
      </w:r>
      <w:r>
        <w:rPr>
          <w:sz w:val="24"/>
        </w:rPr>
        <w:t>of</w:t>
      </w:r>
      <w:r>
        <w:rPr>
          <w:spacing w:val="-2"/>
          <w:sz w:val="24"/>
        </w:rPr>
        <w:t xml:space="preserve"> </w:t>
      </w:r>
      <w:r>
        <w:rPr>
          <w:sz w:val="24"/>
        </w:rPr>
        <w:t>Income and Housing, and the OECD.</w:t>
      </w:r>
    </w:p>
    <w:p w14:paraId="0D3833F0" w14:textId="77777777" w:rsidR="00811887" w:rsidRDefault="00811887" w:rsidP="00811887">
      <w:pPr>
        <w:spacing w:before="192"/>
        <w:ind w:left="165"/>
        <w:rPr>
          <w:b/>
          <w:spacing w:val="-2"/>
        </w:rPr>
      </w:pPr>
      <w:r>
        <w:rPr>
          <w:b/>
        </w:rPr>
        <w:t>Chart</w:t>
      </w:r>
      <w:r>
        <w:rPr>
          <w:b/>
          <w:spacing w:val="-4"/>
        </w:rPr>
        <w:t xml:space="preserve"> </w:t>
      </w:r>
      <w:r>
        <w:rPr>
          <w:b/>
        </w:rPr>
        <w:t>10.</w:t>
      </w:r>
      <w:r>
        <w:rPr>
          <w:b/>
          <w:spacing w:val="-5"/>
        </w:rPr>
        <w:t xml:space="preserve"> </w:t>
      </w:r>
      <w:r>
        <w:rPr>
          <w:b/>
        </w:rPr>
        <w:t>Median</w:t>
      </w:r>
      <w:r>
        <w:rPr>
          <w:b/>
          <w:spacing w:val="-2"/>
        </w:rPr>
        <w:t xml:space="preserve"> </w:t>
      </w:r>
      <w:r>
        <w:rPr>
          <w:b/>
        </w:rPr>
        <w:t>equivalised</w:t>
      </w:r>
      <w:r>
        <w:rPr>
          <w:b/>
          <w:spacing w:val="-7"/>
        </w:rPr>
        <w:t xml:space="preserve"> </w:t>
      </w:r>
      <w:r>
        <w:rPr>
          <w:b/>
        </w:rPr>
        <w:t>weekly</w:t>
      </w:r>
      <w:r>
        <w:rPr>
          <w:b/>
          <w:spacing w:val="-6"/>
        </w:rPr>
        <w:t xml:space="preserve"> </w:t>
      </w:r>
      <w:r>
        <w:rPr>
          <w:b/>
        </w:rPr>
        <w:t>household</w:t>
      </w:r>
      <w:r>
        <w:rPr>
          <w:b/>
          <w:spacing w:val="-3"/>
        </w:rPr>
        <w:t xml:space="preserve"> </w:t>
      </w:r>
      <w:r>
        <w:rPr>
          <w:b/>
        </w:rPr>
        <w:t>disposable</w:t>
      </w:r>
      <w:r>
        <w:rPr>
          <w:b/>
          <w:spacing w:val="-3"/>
        </w:rPr>
        <w:t xml:space="preserve"> </w:t>
      </w:r>
      <w:r>
        <w:rPr>
          <w:b/>
          <w:spacing w:val="-2"/>
        </w:rPr>
        <w:t>income</w:t>
      </w:r>
    </w:p>
    <w:p w14:paraId="402D3902" w14:textId="77777777" w:rsidR="00811887" w:rsidRDefault="00811887" w:rsidP="00811887">
      <w:pPr>
        <w:spacing w:before="192"/>
        <w:ind w:left="165"/>
        <w:rPr>
          <w:b/>
        </w:rPr>
      </w:pPr>
    </w:p>
    <w:p w14:paraId="21F0CBC2" w14:textId="77777777" w:rsidR="00811887" w:rsidRDefault="00811887" w:rsidP="00811887">
      <w:pPr>
        <w:pStyle w:val="BodyText"/>
        <w:spacing w:before="10"/>
        <w:rPr>
          <w:rFonts w:ascii="Arial"/>
          <w:b/>
          <w:sz w:val="8"/>
        </w:rPr>
      </w:pPr>
      <w:r>
        <w:rPr>
          <w:noProof/>
        </w:rPr>
        <w:drawing>
          <wp:inline distT="0" distB="0" distL="0" distR="0" wp14:anchorId="0EE41BE0" wp14:editId="600E186B">
            <wp:extent cx="4740117" cy="2288286"/>
            <wp:effectExtent l="0" t="0" r="3810" b="0"/>
            <wp:docPr id="84" name="Image 84" descr="Chart 10 displays the median equivalised weekly household disposable income per year. The graph shows an upward trend of $886 in 2007-08 to $959 in 2019-2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Chart 10 displays the median equivalised weekly household disposable income per year. The graph shows an upward trend of $886 in 2007-08 to $959 in 2019-20.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40117" cy="2288286"/>
                    </a:xfrm>
                    <a:prstGeom prst="rect">
                      <a:avLst/>
                    </a:prstGeom>
                  </pic:spPr>
                </pic:pic>
              </a:graphicData>
            </a:graphic>
          </wp:inline>
        </w:drawing>
      </w:r>
    </w:p>
    <w:p w14:paraId="2DC596A3" w14:textId="77777777" w:rsidR="00811887" w:rsidRDefault="00811887" w:rsidP="00811887">
      <w:pPr>
        <w:pStyle w:val="BodyText"/>
        <w:spacing w:before="36"/>
        <w:rPr>
          <w:rFonts w:ascii="Arial"/>
          <w:b/>
          <w:sz w:val="22"/>
        </w:rPr>
      </w:pPr>
    </w:p>
    <w:p w14:paraId="1030B7CB" w14:textId="77777777" w:rsidR="00811887" w:rsidRDefault="00811887" w:rsidP="00811887">
      <w:pPr>
        <w:ind w:left="5502"/>
        <w:rPr>
          <w:i/>
          <w:sz w:val="20"/>
        </w:rPr>
      </w:pPr>
      <w:r>
        <w:rPr>
          <w:i/>
          <w:sz w:val="20"/>
        </w:rPr>
        <w:t>Based</w:t>
      </w:r>
      <w:r>
        <w:rPr>
          <w:i/>
          <w:spacing w:val="-5"/>
          <w:sz w:val="20"/>
        </w:rPr>
        <w:t xml:space="preserve"> </w:t>
      </w:r>
      <w:r>
        <w:rPr>
          <w:i/>
          <w:sz w:val="20"/>
        </w:rPr>
        <w:t>on</w:t>
      </w:r>
      <w:r>
        <w:rPr>
          <w:i/>
          <w:spacing w:val="-3"/>
          <w:sz w:val="20"/>
        </w:rPr>
        <w:t xml:space="preserve"> </w:t>
      </w:r>
      <w:r>
        <w:rPr>
          <w:i/>
          <w:sz w:val="20"/>
        </w:rPr>
        <w:t>data from</w:t>
      </w:r>
      <w:r>
        <w:rPr>
          <w:i/>
          <w:spacing w:val="1"/>
          <w:sz w:val="20"/>
        </w:rPr>
        <w:t xml:space="preserve"> </w:t>
      </w:r>
      <w:r>
        <w:rPr>
          <w:i/>
          <w:sz w:val="20"/>
        </w:rPr>
        <w:t>the</w:t>
      </w:r>
      <w:r>
        <w:rPr>
          <w:i/>
          <w:spacing w:val="-2"/>
          <w:sz w:val="20"/>
        </w:rPr>
        <w:t xml:space="preserve"> </w:t>
      </w:r>
      <w:r>
        <w:rPr>
          <w:i/>
          <w:sz w:val="20"/>
        </w:rPr>
        <w:t>ABS</w:t>
      </w:r>
      <w:r>
        <w:rPr>
          <w:i/>
          <w:spacing w:val="-1"/>
          <w:sz w:val="20"/>
        </w:rPr>
        <w:t xml:space="preserve"> </w:t>
      </w:r>
      <w:r>
        <w:rPr>
          <w:i/>
          <w:sz w:val="20"/>
        </w:rPr>
        <w:t>Survey</w:t>
      </w:r>
      <w:r>
        <w:rPr>
          <w:i/>
          <w:spacing w:val="-2"/>
          <w:sz w:val="20"/>
        </w:rPr>
        <w:t xml:space="preserve"> </w:t>
      </w:r>
      <w:r>
        <w:rPr>
          <w:i/>
          <w:sz w:val="20"/>
        </w:rPr>
        <w:t>of</w:t>
      </w:r>
      <w:r>
        <w:rPr>
          <w:i/>
          <w:spacing w:val="-3"/>
          <w:sz w:val="20"/>
        </w:rPr>
        <w:t xml:space="preserve"> </w:t>
      </w:r>
      <w:r>
        <w:rPr>
          <w:i/>
          <w:sz w:val="20"/>
        </w:rPr>
        <w:t>Income</w:t>
      </w:r>
      <w:r>
        <w:rPr>
          <w:i/>
          <w:spacing w:val="-7"/>
          <w:sz w:val="20"/>
        </w:rPr>
        <w:t xml:space="preserve"> </w:t>
      </w:r>
      <w:r>
        <w:rPr>
          <w:i/>
          <w:sz w:val="20"/>
        </w:rPr>
        <w:t>and</w:t>
      </w:r>
      <w:r>
        <w:rPr>
          <w:i/>
          <w:spacing w:val="1"/>
          <w:sz w:val="20"/>
        </w:rPr>
        <w:t xml:space="preserve"> </w:t>
      </w:r>
      <w:r>
        <w:rPr>
          <w:i/>
          <w:spacing w:val="-2"/>
          <w:sz w:val="20"/>
        </w:rPr>
        <w:t>Housing</w:t>
      </w:r>
    </w:p>
    <w:p w14:paraId="3807B2A6" w14:textId="77777777" w:rsidR="00811887" w:rsidRDefault="00811887" w:rsidP="00811887">
      <w:pPr>
        <w:spacing w:before="225"/>
        <w:ind w:left="165"/>
        <w:rPr>
          <w:b/>
          <w:spacing w:val="-2"/>
        </w:rPr>
      </w:pPr>
      <w:r>
        <w:rPr>
          <w:b/>
        </w:rPr>
        <w:t>Chart</w:t>
      </w:r>
      <w:r>
        <w:rPr>
          <w:b/>
          <w:spacing w:val="-4"/>
        </w:rPr>
        <w:t xml:space="preserve"> </w:t>
      </w:r>
      <w:r>
        <w:rPr>
          <w:b/>
        </w:rPr>
        <w:t>11.</w:t>
      </w:r>
      <w:r>
        <w:rPr>
          <w:b/>
          <w:spacing w:val="-5"/>
        </w:rPr>
        <w:t xml:space="preserve"> </w:t>
      </w:r>
      <w:r>
        <w:rPr>
          <w:b/>
        </w:rPr>
        <w:t>Equivalised</w:t>
      </w:r>
      <w:r>
        <w:rPr>
          <w:b/>
          <w:spacing w:val="-8"/>
        </w:rPr>
        <w:t xml:space="preserve"> </w:t>
      </w:r>
      <w:r>
        <w:rPr>
          <w:b/>
        </w:rPr>
        <w:t>weekly</w:t>
      </w:r>
      <w:r>
        <w:rPr>
          <w:b/>
          <w:spacing w:val="-6"/>
        </w:rPr>
        <w:t xml:space="preserve"> </w:t>
      </w:r>
      <w:r>
        <w:rPr>
          <w:b/>
        </w:rPr>
        <w:t>household</w:t>
      </w:r>
      <w:r>
        <w:rPr>
          <w:b/>
          <w:spacing w:val="-2"/>
        </w:rPr>
        <w:t xml:space="preserve"> </w:t>
      </w:r>
      <w:r>
        <w:rPr>
          <w:b/>
        </w:rPr>
        <w:t>disposable</w:t>
      </w:r>
      <w:r>
        <w:rPr>
          <w:b/>
          <w:spacing w:val="-2"/>
        </w:rPr>
        <w:t xml:space="preserve"> </w:t>
      </w:r>
      <w:r>
        <w:rPr>
          <w:b/>
        </w:rPr>
        <w:t>income</w:t>
      </w:r>
      <w:r>
        <w:rPr>
          <w:b/>
          <w:spacing w:val="-1"/>
        </w:rPr>
        <w:t xml:space="preserve"> </w:t>
      </w:r>
      <w:r>
        <w:rPr>
          <w:b/>
        </w:rPr>
        <w:t>by</w:t>
      </w:r>
      <w:r>
        <w:rPr>
          <w:b/>
          <w:spacing w:val="-5"/>
        </w:rPr>
        <w:t xml:space="preserve"> </w:t>
      </w:r>
      <w:r>
        <w:rPr>
          <w:b/>
        </w:rPr>
        <w:t>income</w:t>
      </w:r>
      <w:r>
        <w:rPr>
          <w:b/>
          <w:spacing w:val="-2"/>
        </w:rPr>
        <w:t xml:space="preserve"> quintiles</w:t>
      </w:r>
    </w:p>
    <w:p w14:paraId="1A5D6439" w14:textId="77777777" w:rsidR="00811887" w:rsidRDefault="00811887" w:rsidP="00811887">
      <w:pPr>
        <w:spacing w:before="225"/>
        <w:ind w:left="165"/>
        <w:rPr>
          <w:b/>
        </w:rPr>
      </w:pPr>
    </w:p>
    <w:p w14:paraId="0BDA90FD" w14:textId="77777777" w:rsidR="00811887" w:rsidRDefault="00811887" w:rsidP="00811887">
      <w:pPr>
        <w:pStyle w:val="BodyText"/>
        <w:spacing w:before="8"/>
        <w:rPr>
          <w:rFonts w:ascii="Arial"/>
          <w:b/>
          <w:sz w:val="3"/>
        </w:rPr>
      </w:pPr>
      <w:r>
        <w:rPr>
          <w:noProof/>
        </w:rPr>
        <w:drawing>
          <wp:inline distT="0" distB="0" distL="0" distR="0" wp14:anchorId="17CBBBFB" wp14:editId="7DF7505D">
            <wp:extent cx="5616622" cy="3085147"/>
            <wp:effectExtent l="0" t="0" r="3175" b="1270"/>
            <wp:docPr id="85" name="Image 85" descr="Chart 11 displays the equivalised weekly household disposable income by five income quintiles. All quintiles show a slow, gradual increase from 2007-08 to 201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Chart 11 displays the equivalised weekly household disposable income by five income quintiles. All quintiles show a slow, gradual increase from 2007-08 to 2019-2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16622" cy="3085147"/>
                    </a:xfrm>
                    <a:prstGeom prst="rect">
                      <a:avLst/>
                    </a:prstGeom>
                  </pic:spPr>
                </pic:pic>
              </a:graphicData>
            </a:graphic>
          </wp:inline>
        </w:drawing>
      </w:r>
    </w:p>
    <w:p w14:paraId="5AF8E8D0" w14:textId="77777777" w:rsidR="00811887" w:rsidRDefault="00811887" w:rsidP="00811887">
      <w:pPr>
        <w:pStyle w:val="BodyText"/>
        <w:spacing w:before="11"/>
        <w:rPr>
          <w:rFonts w:ascii="Arial"/>
          <w:b/>
          <w:sz w:val="22"/>
        </w:rPr>
      </w:pPr>
    </w:p>
    <w:p w14:paraId="1A086887" w14:textId="77777777" w:rsidR="00811887" w:rsidRDefault="00811887" w:rsidP="00811887">
      <w:pPr>
        <w:ind w:left="5507"/>
        <w:rPr>
          <w:i/>
          <w:sz w:val="20"/>
        </w:rPr>
      </w:pPr>
      <w:r>
        <w:rPr>
          <w:i/>
          <w:sz w:val="20"/>
        </w:rPr>
        <w:t>Based</w:t>
      </w:r>
      <w:r>
        <w:rPr>
          <w:i/>
          <w:spacing w:val="-5"/>
          <w:sz w:val="20"/>
        </w:rPr>
        <w:t xml:space="preserve"> </w:t>
      </w:r>
      <w:r>
        <w:rPr>
          <w:i/>
          <w:sz w:val="20"/>
        </w:rPr>
        <w:t>on</w:t>
      </w:r>
      <w:r>
        <w:rPr>
          <w:i/>
          <w:spacing w:val="-3"/>
          <w:sz w:val="20"/>
        </w:rPr>
        <w:t xml:space="preserve"> </w:t>
      </w:r>
      <w:r>
        <w:rPr>
          <w:i/>
          <w:sz w:val="20"/>
        </w:rPr>
        <w:t>data from</w:t>
      </w:r>
      <w:r>
        <w:rPr>
          <w:i/>
          <w:spacing w:val="1"/>
          <w:sz w:val="20"/>
        </w:rPr>
        <w:t xml:space="preserve"> </w:t>
      </w:r>
      <w:r>
        <w:rPr>
          <w:i/>
          <w:sz w:val="20"/>
        </w:rPr>
        <w:t>the</w:t>
      </w:r>
      <w:r>
        <w:rPr>
          <w:i/>
          <w:spacing w:val="-2"/>
          <w:sz w:val="20"/>
        </w:rPr>
        <w:t xml:space="preserve"> </w:t>
      </w:r>
      <w:r>
        <w:rPr>
          <w:i/>
          <w:sz w:val="20"/>
        </w:rPr>
        <w:t>ABS</w:t>
      </w:r>
      <w:r>
        <w:rPr>
          <w:i/>
          <w:spacing w:val="-1"/>
          <w:sz w:val="20"/>
        </w:rPr>
        <w:t xml:space="preserve"> </w:t>
      </w:r>
      <w:r>
        <w:rPr>
          <w:i/>
          <w:sz w:val="20"/>
        </w:rPr>
        <w:t>Survey</w:t>
      </w:r>
      <w:r>
        <w:rPr>
          <w:i/>
          <w:spacing w:val="-2"/>
          <w:sz w:val="20"/>
        </w:rPr>
        <w:t xml:space="preserve"> </w:t>
      </w:r>
      <w:r>
        <w:rPr>
          <w:i/>
          <w:sz w:val="20"/>
        </w:rPr>
        <w:t>of</w:t>
      </w:r>
      <w:r>
        <w:rPr>
          <w:i/>
          <w:spacing w:val="-3"/>
          <w:sz w:val="20"/>
        </w:rPr>
        <w:t xml:space="preserve"> </w:t>
      </w:r>
      <w:r>
        <w:rPr>
          <w:i/>
          <w:sz w:val="20"/>
        </w:rPr>
        <w:t>Income</w:t>
      </w:r>
      <w:r>
        <w:rPr>
          <w:i/>
          <w:spacing w:val="-7"/>
          <w:sz w:val="20"/>
        </w:rPr>
        <w:t xml:space="preserve"> </w:t>
      </w:r>
      <w:r>
        <w:rPr>
          <w:i/>
          <w:sz w:val="20"/>
        </w:rPr>
        <w:t>and</w:t>
      </w:r>
      <w:r>
        <w:rPr>
          <w:i/>
          <w:spacing w:val="1"/>
          <w:sz w:val="20"/>
        </w:rPr>
        <w:t xml:space="preserve"> </w:t>
      </w:r>
      <w:r>
        <w:rPr>
          <w:i/>
          <w:spacing w:val="-2"/>
          <w:sz w:val="20"/>
        </w:rPr>
        <w:t>Housing</w:t>
      </w:r>
    </w:p>
    <w:p w14:paraId="4F9ECB46" w14:textId="77777777" w:rsidR="00811887" w:rsidRDefault="00811887" w:rsidP="00811887">
      <w:pPr>
        <w:rPr>
          <w:sz w:val="20"/>
        </w:rPr>
        <w:sectPr w:rsidR="00811887" w:rsidSect="00811887">
          <w:pgSz w:w="11910" w:h="16840"/>
          <w:pgMar w:top="900" w:right="721" w:bottom="1200" w:left="740" w:header="0" w:footer="1005" w:gutter="0"/>
          <w:cols w:space="720"/>
        </w:sectPr>
      </w:pPr>
    </w:p>
    <w:p w14:paraId="19E91A2B" w14:textId="77777777" w:rsidR="00811887" w:rsidRDefault="00811887" w:rsidP="00811887">
      <w:pPr>
        <w:spacing w:before="79"/>
        <w:ind w:left="165"/>
        <w:rPr>
          <w:b/>
          <w:spacing w:val="-2"/>
        </w:rPr>
      </w:pPr>
      <w:r>
        <w:rPr>
          <w:b/>
        </w:rPr>
        <w:lastRenderedPageBreak/>
        <w:t>Chart</w:t>
      </w:r>
      <w:r>
        <w:rPr>
          <w:b/>
          <w:spacing w:val="-3"/>
        </w:rPr>
        <w:t xml:space="preserve"> </w:t>
      </w:r>
      <w:r>
        <w:rPr>
          <w:b/>
        </w:rPr>
        <w:t>12.</w:t>
      </w:r>
      <w:r>
        <w:rPr>
          <w:b/>
          <w:spacing w:val="-5"/>
        </w:rPr>
        <w:t xml:space="preserve"> </w:t>
      </w:r>
      <w:r>
        <w:rPr>
          <w:b/>
        </w:rPr>
        <w:t>Net</w:t>
      </w:r>
      <w:r>
        <w:rPr>
          <w:b/>
          <w:spacing w:val="-2"/>
        </w:rPr>
        <w:t xml:space="preserve"> </w:t>
      </w:r>
      <w:r>
        <w:rPr>
          <w:b/>
        </w:rPr>
        <w:t>wealth</w:t>
      </w:r>
      <w:r>
        <w:rPr>
          <w:b/>
          <w:spacing w:val="-1"/>
        </w:rPr>
        <w:t xml:space="preserve"> </w:t>
      </w:r>
      <w:r>
        <w:rPr>
          <w:b/>
        </w:rPr>
        <w:t>per</w:t>
      </w:r>
      <w:r>
        <w:rPr>
          <w:b/>
          <w:spacing w:val="-4"/>
        </w:rPr>
        <w:t xml:space="preserve"> </w:t>
      </w:r>
      <w:r>
        <w:rPr>
          <w:b/>
          <w:spacing w:val="-2"/>
        </w:rPr>
        <w:t>household</w:t>
      </w:r>
    </w:p>
    <w:p w14:paraId="1E9DA004" w14:textId="77777777" w:rsidR="00811887" w:rsidRDefault="00811887" w:rsidP="00811887">
      <w:pPr>
        <w:spacing w:before="79"/>
        <w:ind w:left="165"/>
        <w:rPr>
          <w:b/>
        </w:rPr>
      </w:pPr>
    </w:p>
    <w:p w14:paraId="20107C5E" w14:textId="77777777" w:rsidR="00811887" w:rsidRDefault="00811887" w:rsidP="00811887">
      <w:pPr>
        <w:pStyle w:val="BodyText"/>
        <w:spacing w:before="9"/>
        <w:rPr>
          <w:rFonts w:ascii="Arial"/>
          <w:b/>
          <w:sz w:val="4"/>
        </w:rPr>
      </w:pPr>
      <w:r>
        <w:rPr>
          <w:noProof/>
        </w:rPr>
        <w:drawing>
          <wp:inline distT="0" distB="0" distL="0" distR="0" wp14:anchorId="13D30B3B" wp14:editId="22628B43">
            <wp:extent cx="4830030" cy="2427351"/>
            <wp:effectExtent l="0" t="0" r="8890" b="0"/>
            <wp:docPr id="86" name="Image 86" descr="Chart 12 displays the net wealth per household. Data shows there has been a significant increase per year, starting from $681,602 in 2007-08 to $1,113,771 in 201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Chart 12 displays the net wealth per household. Data shows there has been a significant increase per year, starting from $681,602 in 2007-08 to $1,113,771 in 2019-2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30030" cy="2427351"/>
                    </a:xfrm>
                    <a:prstGeom prst="rect">
                      <a:avLst/>
                    </a:prstGeom>
                  </pic:spPr>
                </pic:pic>
              </a:graphicData>
            </a:graphic>
          </wp:inline>
        </w:drawing>
      </w:r>
    </w:p>
    <w:p w14:paraId="337FDD7E" w14:textId="77777777" w:rsidR="00811887" w:rsidRDefault="00811887" w:rsidP="00811887">
      <w:pPr>
        <w:pStyle w:val="BodyText"/>
        <w:spacing w:before="12"/>
        <w:rPr>
          <w:rFonts w:ascii="Arial"/>
          <w:b/>
        </w:rPr>
      </w:pPr>
    </w:p>
    <w:p w14:paraId="4B60FF38" w14:textId="77777777" w:rsidR="00811887" w:rsidRDefault="00811887" w:rsidP="00811887">
      <w:pPr>
        <w:ind w:left="5507"/>
        <w:rPr>
          <w:i/>
          <w:sz w:val="20"/>
        </w:rPr>
      </w:pPr>
      <w:r>
        <w:rPr>
          <w:i/>
          <w:sz w:val="20"/>
        </w:rPr>
        <w:t>Based</w:t>
      </w:r>
      <w:r>
        <w:rPr>
          <w:i/>
          <w:spacing w:val="-5"/>
          <w:sz w:val="20"/>
        </w:rPr>
        <w:t xml:space="preserve"> </w:t>
      </w:r>
      <w:r>
        <w:rPr>
          <w:i/>
          <w:sz w:val="20"/>
        </w:rPr>
        <w:t>on</w:t>
      </w:r>
      <w:r>
        <w:rPr>
          <w:i/>
          <w:spacing w:val="-5"/>
          <w:sz w:val="20"/>
        </w:rPr>
        <w:t xml:space="preserve"> </w:t>
      </w:r>
      <w:r>
        <w:rPr>
          <w:i/>
          <w:sz w:val="20"/>
        </w:rPr>
        <w:t>data</w:t>
      </w:r>
      <w:r>
        <w:rPr>
          <w:i/>
          <w:spacing w:val="3"/>
          <w:sz w:val="20"/>
        </w:rPr>
        <w:t xml:space="preserve"> </w:t>
      </w:r>
      <w:r>
        <w:rPr>
          <w:i/>
          <w:sz w:val="20"/>
        </w:rPr>
        <w:t>from the</w:t>
      </w:r>
      <w:r>
        <w:rPr>
          <w:i/>
          <w:spacing w:val="-2"/>
          <w:sz w:val="20"/>
        </w:rPr>
        <w:t xml:space="preserve"> </w:t>
      </w:r>
      <w:r>
        <w:rPr>
          <w:i/>
          <w:sz w:val="20"/>
        </w:rPr>
        <w:t>ABS</w:t>
      </w:r>
      <w:r>
        <w:rPr>
          <w:i/>
          <w:spacing w:val="-1"/>
          <w:sz w:val="20"/>
        </w:rPr>
        <w:t xml:space="preserve"> </w:t>
      </w:r>
      <w:r>
        <w:rPr>
          <w:i/>
          <w:sz w:val="20"/>
        </w:rPr>
        <w:t>Survey</w:t>
      </w:r>
      <w:r>
        <w:rPr>
          <w:i/>
          <w:spacing w:val="-2"/>
          <w:sz w:val="20"/>
        </w:rPr>
        <w:t xml:space="preserve"> </w:t>
      </w:r>
      <w:r>
        <w:rPr>
          <w:i/>
          <w:sz w:val="20"/>
        </w:rPr>
        <w:t>of</w:t>
      </w:r>
      <w:r>
        <w:rPr>
          <w:i/>
          <w:spacing w:val="-3"/>
          <w:sz w:val="20"/>
        </w:rPr>
        <w:t xml:space="preserve"> </w:t>
      </w:r>
      <w:r>
        <w:rPr>
          <w:i/>
          <w:sz w:val="20"/>
        </w:rPr>
        <w:t>Income</w:t>
      </w:r>
      <w:r>
        <w:rPr>
          <w:i/>
          <w:spacing w:val="-7"/>
          <w:sz w:val="20"/>
        </w:rPr>
        <w:t xml:space="preserve"> </w:t>
      </w:r>
      <w:r>
        <w:rPr>
          <w:i/>
          <w:sz w:val="20"/>
        </w:rPr>
        <w:t>and</w:t>
      </w:r>
      <w:r>
        <w:rPr>
          <w:i/>
          <w:spacing w:val="1"/>
          <w:sz w:val="20"/>
        </w:rPr>
        <w:t xml:space="preserve"> </w:t>
      </w:r>
      <w:r>
        <w:rPr>
          <w:i/>
          <w:spacing w:val="-2"/>
          <w:sz w:val="20"/>
        </w:rPr>
        <w:t>Housing</w:t>
      </w:r>
    </w:p>
    <w:p w14:paraId="632BD604" w14:textId="77777777" w:rsidR="00811887" w:rsidRDefault="00811887" w:rsidP="00811887">
      <w:pPr>
        <w:rPr>
          <w:sz w:val="20"/>
        </w:rPr>
        <w:sectPr w:rsidR="00811887" w:rsidSect="00811887">
          <w:pgSz w:w="11910" w:h="16840"/>
          <w:pgMar w:top="880" w:right="721" w:bottom="1200" w:left="740" w:header="0" w:footer="1005" w:gutter="0"/>
          <w:cols w:space="720"/>
        </w:sectPr>
      </w:pPr>
    </w:p>
    <w:p w14:paraId="23BE4D05" w14:textId="77777777" w:rsidR="00811887" w:rsidRDefault="00811887" w:rsidP="00811887">
      <w:pPr>
        <w:spacing w:before="79"/>
        <w:ind w:left="165"/>
        <w:rPr>
          <w:b/>
        </w:rPr>
      </w:pPr>
      <w:r>
        <w:rPr>
          <w:b/>
        </w:rPr>
        <w:lastRenderedPageBreak/>
        <w:t>Table</w:t>
      </w:r>
      <w:r>
        <w:rPr>
          <w:b/>
          <w:spacing w:val="-4"/>
        </w:rPr>
        <w:t xml:space="preserve"> </w:t>
      </w:r>
      <w:r>
        <w:rPr>
          <w:b/>
        </w:rPr>
        <w:t>13.</w:t>
      </w:r>
      <w:r>
        <w:rPr>
          <w:b/>
          <w:spacing w:val="-6"/>
        </w:rPr>
        <w:t xml:space="preserve"> </w:t>
      </w:r>
      <w:r>
        <w:rPr>
          <w:b/>
        </w:rPr>
        <w:t>Gini</w:t>
      </w:r>
      <w:r>
        <w:rPr>
          <w:b/>
          <w:spacing w:val="-4"/>
        </w:rPr>
        <w:t xml:space="preserve"> </w:t>
      </w:r>
      <w:r>
        <w:rPr>
          <w:b/>
        </w:rPr>
        <w:t>Coefficient</w:t>
      </w:r>
      <w:r>
        <w:rPr>
          <w:b/>
          <w:spacing w:val="-2"/>
        </w:rPr>
        <w:t xml:space="preserve"> </w:t>
      </w:r>
      <w:r>
        <w:rPr>
          <w:b/>
        </w:rPr>
        <w:t>for</w:t>
      </w:r>
      <w:r>
        <w:rPr>
          <w:b/>
          <w:spacing w:val="-4"/>
        </w:rPr>
        <w:t xml:space="preserve"> </w:t>
      </w:r>
      <w:r>
        <w:rPr>
          <w:b/>
        </w:rPr>
        <w:t>household</w:t>
      </w:r>
      <w:r>
        <w:rPr>
          <w:b/>
          <w:spacing w:val="-3"/>
        </w:rPr>
        <w:t xml:space="preserve"> </w:t>
      </w:r>
      <w:r>
        <w:rPr>
          <w:b/>
        </w:rPr>
        <w:t>income</w:t>
      </w:r>
      <w:r>
        <w:rPr>
          <w:b/>
          <w:spacing w:val="-2"/>
        </w:rPr>
        <w:t xml:space="preserve"> </w:t>
      </w:r>
      <w:r>
        <w:rPr>
          <w:b/>
        </w:rPr>
        <w:t>and</w:t>
      </w:r>
      <w:r>
        <w:rPr>
          <w:b/>
          <w:spacing w:val="-3"/>
        </w:rPr>
        <w:t xml:space="preserve"> </w:t>
      </w:r>
      <w:r>
        <w:rPr>
          <w:b/>
        </w:rPr>
        <w:t>net</w:t>
      </w:r>
      <w:r>
        <w:rPr>
          <w:b/>
          <w:spacing w:val="-3"/>
        </w:rPr>
        <w:t xml:space="preserve"> </w:t>
      </w:r>
      <w:r>
        <w:rPr>
          <w:b/>
          <w:spacing w:val="-2"/>
        </w:rPr>
        <w:t>worth</w:t>
      </w:r>
    </w:p>
    <w:p w14:paraId="569D6C11" w14:textId="77777777" w:rsidR="00811887" w:rsidRDefault="00811887" w:rsidP="00811887">
      <w:pPr>
        <w:pStyle w:val="BodyText"/>
        <w:spacing w:before="12"/>
        <w:rPr>
          <w:i/>
          <w:sz w:val="11"/>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3662"/>
        <w:gridCol w:w="3662"/>
      </w:tblGrid>
      <w:tr w:rsidR="00811887" w14:paraId="506F1E90" w14:textId="77777777" w:rsidTr="00486E22">
        <w:trPr>
          <w:trHeight w:val="245"/>
        </w:trPr>
        <w:tc>
          <w:tcPr>
            <w:tcW w:w="1696" w:type="dxa"/>
            <w:shd w:val="clear" w:color="auto" w:fill="234060"/>
          </w:tcPr>
          <w:p w14:paraId="7047AB4E" w14:textId="77777777" w:rsidR="00811887" w:rsidRDefault="00811887" w:rsidP="00486E22">
            <w:pPr>
              <w:pStyle w:val="TableParagraph"/>
              <w:spacing w:line="225" w:lineRule="exact"/>
              <w:ind w:left="110"/>
              <w:rPr>
                <w:b/>
                <w:sz w:val="20"/>
              </w:rPr>
            </w:pPr>
            <w:r>
              <w:rPr>
                <w:b/>
                <w:color w:val="FFFFFF"/>
                <w:spacing w:val="-2"/>
                <w:sz w:val="20"/>
              </w:rPr>
              <w:t>Period</w:t>
            </w:r>
          </w:p>
        </w:tc>
        <w:tc>
          <w:tcPr>
            <w:tcW w:w="3662" w:type="dxa"/>
            <w:shd w:val="clear" w:color="auto" w:fill="234060"/>
          </w:tcPr>
          <w:p w14:paraId="0883B518" w14:textId="77777777" w:rsidR="00811887" w:rsidRDefault="00811887" w:rsidP="00486E22">
            <w:pPr>
              <w:pStyle w:val="TableParagraph"/>
              <w:spacing w:line="225" w:lineRule="exact"/>
              <w:ind w:left="12"/>
              <w:jc w:val="center"/>
              <w:rPr>
                <w:b/>
                <w:sz w:val="20"/>
              </w:rPr>
            </w:pPr>
            <w:r>
              <w:rPr>
                <w:b/>
                <w:color w:val="FFFFFF"/>
                <w:sz w:val="20"/>
              </w:rPr>
              <w:t>Household</w:t>
            </w:r>
            <w:r>
              <w:rPr>
                <w:b/>
                <w:color w:val="FFFFFF"/>
                <w:spacing w:val="-2"/>
                <w:sz w:val="20"/>
              </w:rPr>
              <w:t xml:space="preserve"> income</w:t>
            </w:r>
          </w:p>
        </w:tc>
        <w:tc>
          <w:tcPr>
            <w:tcW w:w="3662" w:type="dxa"/>
            <w:shd w:val="clear" w:color="auto" w:fill="234060"/>
          </w:tcPr>
          <w:p w14:paraId="3FC7009B" w14:textId="77777777" w:rsidR="00811887" w:rsidRDefault="00811887" w:rsidP="00486E22">
            <w:pPr>
              <w:pStyle w:val="TableParagraph"/>
              <w:spacing w:line="225" w:lineRule="exact"/>
              <w:ind w:left="12" w:right="3"/>
              <w:jc w:val="center"/>
              <w:rPr>
                <w:b/>
                <w:sz w:val="20"/>
              </w:rPr>
            </w:pPr>
            <w:r>
              <w:rPr>
                <w:b/>
                <w:color w:val="FFFFFF"/>
                <w:sz w:val="20"/>
              </w:rPr>
              <w:t>Net</w:t>
            </w:r>
            <w:r>
              <w:rPr>
                <w:b/>
                <w:color w:val="FFFFFF"/>
                <w:spacing w:val="-3"/>
                <w:sz w:val="20"/>
              </w:rPr>
              <w:t xml:space="preserve"> </w:t>
            </w:r>
            <w:r>
              <w:rPr>
                <w:b/>
                <w:color w:val="FFFFFF"/>
                <w:spacing w:val="-2"/>
                <w:sz w:val="20"/>
              </w:rPr>
              <w:t>worth</w:t>
            </w:r>
          </w:p>
        </w:tc>
      </w:tr>
      <w:tr w:rsidR="00811887" w14:paraId="3D33FC03" w14:textId="77777777" w:rsidTr="00486E22">
        <w:trPr>
          <w:trHeight w:val="245"/>
        </w:trPr>
        <w:tc>
          <w:tcPr>
            <w:tcW w:w="1696" w:type="dxa"/>
            <w:shd w:val="clear" w:color="auto" w:fill="234060"/>
          </w:tcPr>
          <w:p w14:paraId="51F45580" w14:textId="77777777" w:rsidR="00811887" w:rsidRDefault="00811887" w:rsidP="00486E22">
            <w:pPr>
              <w:pStyle w:val="TableParagraph"/>
              <w:spacing w:line="225" w:lineRule="exact"/>
              <w:ind w:left="110"/>
              <w:rPr>
                <w:b/>
                <w:sz w:val="20"/>
              </w:rPr>
            </w:pPr>
            <w:r>
              <w:rPr>
                <w:b/>
                <w:color w:val="FFFFFF"/>
                <w:spacing w:val="-2"/>
                <w:sz w:val="20"/>
              </w:rPr>
              <w:t>2007-</w:t>
            </w:r>
            <w:r>
              <w:rPr>
                <w:b/>
                <w:color w:val="FFFFFF"/>
                <w:spacing w:val="-4"/>
                <w:sz w:val="20"/>
              </w:rPr>
              <w:t>2008</w:t>
            </w:r>
          </w:p>
        </w:tc>
        <w:tc>
          <w:tcPr>
            <w:tcW w:w="3662" w:type="dxa"/>
          </w:tcPr>
          <w:p w14:paraId="2580EB84" w14:textId="77777777" w:rsidR="00811887" w:rsidRDefault="00811887" w:rsidP="00486E22">
            <w:pPr>
              <w:pStyle w:val="TableParagraph"/>
              <w:spacing w:line="225" w:lineRule="exact"/>
              <w:ind w:left="12" w:right="2"/>
              <w:jc w:val="center"/>
              <w:rPr>
                <w:sz w:val="20"/>
              </w:rPr>
            </w:pPr>
            <w:r>
              <w:rPr>
                <w:spacing w:val="-2"/>
                <w:sz w:val="20"/>
              </w:rPr>
              <w:t>0.336</w:t>
            </w:r>
          </w:p>
        </w:tc>
        <w:tc>
          <w:tcPr>
            <w:tcW w:w="3662" w:type="dxa"/>
          </w:tcPr>
          <w:p w14:paraId="5DD7DC86" w14:textId="77777777" w:rsidR="00811887" w:rsidRDefault="00811887" w:rsidP="00486E22">
            <w:pPr>
              <w:pStyle w:val="TableParagraph"/>
              <w:spacing w:line="225" w:lineRule="exact"/>
              <w:ind w:left="12" w:right="11"/>
              <w:jc w:val="center"/>
              <w:rPr>
                <w:sz w:val="20"/>
              </w:rPr>
            </w:pPr>
            <w:r>
              <w:rPr>
                <w:sz w:val="20"/>
              </w:rPr>
              <w:t>Data</w:t>
            </w:r>
            <w:r>
              <w:rPr>
                <w:spacing w:val="-4"/>
                <w:sz w:val="20"/>
              </w:rPr>
              <w:t xml:space="preserve"> </w:t>
            </w:r>
            <w:r>
              <w:rPr>
                <w:sz w:val="20"/>
              </w:rPr>
              <w:t>not</w:t>
            </w:r>
            <w:r>
              <w:rPr>
                <w:spacing w:val="-3"/>
                <w:sz w:val="20"/>
              </w:rPr>
              <w:t xml:space="preserve"> </w:t>
            </w:r>
            <w:r>
              <w:rPr>
                <w:spacing w:val="-2"/>
                <w:sz w:val="20"/>
              </w:rPr>
              <w:t>available</w:t>
            </w:r>
          </w:p>
        </w:tc>
      </w:tr>
      <w:tr w:rsidR="00811887" w14:paraId="128D4639" w14:textId="77777777" w:rsidTr="00486E22">
        <w:trPr>
          <w:trHeight w:val="245"/>
        </w:trPr>
        <w:tc>
          <w:tcPr>
            <w:tcW w:w="1696" w:type="dxa"/>
            <w:shd w:val="clear" w:color="auto" w:fill="234060"/>
          </w:tcPr>
          <w:p w14:paraId="0E57D82F" w14:textId="77777777" w:rsidR="00811887" w:rsidRDefault="00811887" w:rsidP="00486E22">
            <w:pPr>
              <w:pStyle w:val="TableParagraph"/>
              <w:spacing w:line="225" w:lineRule="exact"/>
              <w:ind w:left="110"/>
              <w:rPr>
                <w:b/>
                <w:sz w:val="20"/>
              </w:rPr>
            </w:pPr>
            <w:r>
              <w:rPr>
                <w:b/>
                <w:color w:val="FFFFFF"/>
                <w:spacing w:val="-2"/>
                <w:sz w:val="20"/>
              </w:rPr>
              <w:t>2009-</w:t>
            </w:r>
            <w:r>
              <w:rPr>
                <w:b/>
                <w:color w:val="FFFFFF"/>
                <w:spacing w:val="-4"/>
                <w:sz w:val="20"/>
              </w:rPr>
              <w:t>2010</w:t>
            </w:r>
          </w:p>
        </w:tc>
        <w:tc>
          <w:tcPr>
            <w:tcW w:w="3662" w:type="dxa"/>
          </w:tcPr>
          <w:p w14:paraId="5B0D356D" w14:textId="77777777" w:rsidR="00811887" w:rsidRDefault="00811887" w:rsidP="00486E22">
            <w:pPr>
              <w:pStyle w:val="TableParagraph"/>
              <w:spacing w:line="225" w:lineRule="exact"/>
              <w:ind w:left="12" w:right="2"/>
              <w:jc w:val="center"/>
              <w:rPr>
                <w:sz w:val="20"/>
              </w:rPr>
            </w:pPr>
            <w:r>
              <w:rPr>
                <w:spacing w:val="-2"/>
                <w:sz w:val="20"/>
              </w:rPr>
              <w:t>0.329</w:t>
            </w:r>
          </w:p>
        </w:tc>
        <w:tc>
          <w:tcPr>
            <w:tcW w:w="3662" w:type="dxa"/>
          </w:tcPr>
          <w:p w14:paraId="24C772D6" w14:textId="77777777" w:rsidR="00811887" w:rsidRDefault="00811887" w:rsidP="00486E22">
            <w:pPr>
              <w:pStyle w:val="TableParagraph"/>
              <w:spacing w:line="225" w:lineRule="exact"/>
              <w:ind w:left="12" w:right="3"/>
              <w:jc w:val="center"/>
              <w:rPr>
                <w:sz w:val="20"/>
              </w:rPr>
            </w:pPr>
            <w:r>
              <w:rPr>
                <w:spacing w:val="-2"/>
                <w:sz w:val="20"/>
              </w:rPr>
              <w:t>0.602</w:t>
            </w:r>
          </w:p>
        </w:tc>
      </w:tr>
      <w:tr w:rsidR="00811887" w14:paraId="4979A9B3" w14:textId="77777777" w:rsidTr="00486E22">
        <w:trPr>
          <w:trHeight w:val="240"/>
        </w:trPr>
        <w:tc>
          <w:tcPr>
            <w:tcW w:w="1696" w:type="dxa"/>
            <w:shd w:val="clear" w:color="auto" w:fill="234060"/>
          </w:tcPr>
          <w:p w14:paraId="50CBC150" w14:textId="77777777" w:rsidR="00811887" w:rsidRDefault="00811887" w:rsidP="00486E22">
            <w:pPr>
              <w:pStyle w:val="TableParagraph"/>
              <w:spacing w:line="220" w:lineRule="exact"/>
              <w:ind w:left="110"/>
              <w:rPr>
                <w:b/>
                <w:sz w:val="20"/>
              </w:rPr>
            </w:pPr>
            <w:r>
              <w:rPr>
                <w:b/>
                <w:color w:val="FFFFFF"/>
                <w:spacing w:val="-2"/>
                <w:sz w:val="20"/>
              </w:rPr>
              <w:t>2011-</w:t>
            </w:r>
            <w:r>
              <w:rPr>
                <w:b/>
                <w:color w:val="FFFFFF"/>
                <w:spacing w:val="-4"/>
                <w:sz w:val="20"/>
              </w:rPr>
              <w:t>2012</w:t>
            </w:r>
          </w:p>
        </w:tc>
        <w:tc>
          <w:tcPr>
            <w:tcW w:w="3662" w:type="dxa"/>
          </w:tcPr>
          <w:p w14:paraId="33C3F447" w14:textId="77777777" w:rsidR="00811887" w:rsidRDefault="00811887" w:rsidP="00486E22">
            <w:pPr>
              <w:pStyle w:val="TableParagraph"/>
              <w:spacing w:line="220" w:lineRule="exact"/>
              <w:ind w:left="12" w:right="2"/>
              <w:jc w:val="center"/>
              <w:rPr>
                <w:sz w:val="20"/>
              </w:rPr>
            </w:pPr>
            <w:r>
              <w:rPr>
                <w:spacing w:val="-2"/>
                <w:sz w:val="20"/>
              </w:rPr>
              <w:t>0.320</w:t>
            </w:r>
          </w:p>
        </w:tc>
        <w:tc>
          <w:tcPr>
            <w:tcW w:w="3662" w:type="dxa"/>
          </w:tcPr>
          <w:p w14:paraId="7F7F15F1" w14:textId="77777777" w:rsidR="00811887" w:rsidRDefault="00811887" w:rsidP="00486E22">
            <w:pPr>
              <w:pStyle w:val="TableParagraph"/>
              <w:spacing w:line="220" w:lineRule="exact"/>
              <w:ind w:left="12" w:right="3"/>
              <w:jc w:val="center"/>
              <w:rPr>
                <w:sz w:val="20"/>
              </w:rPr>
            </w:pPr>
            <w:r>
              <w:rPr>
                <w:spacing w:val="-2"/>
                <w:sz w:val="20"/>
              </w:rPr>
              <w:t>0.593</w:t>
            </w:r>
          </w:p>
        </w:tc>
      </w:tr>
      <w:tr w:rsidR="00811887" w14:paraId="2924EB0F" w14:textId="77777777" w:rsidTr="00486E22">
        <w:trPr>
          <w:trHeight w:val="245"/>
        </w:trPr>
        <w:tc>
          <w:tcPr>
            <w:tcW w:w="1696" w:type="dxa"/>
            <w:shd w:val="clear" w:color="auto" w:fill="234060"/>
          </w:tcPr>
          <w:p w14:paraId="5B700846" w14:textId="77777777" w:rsidR="00811887" w:rsidRDefault="00811887" w:rsidP="00486E22">
            <w:pPr>
              <w:pStyle w:val="TableParagraph"/>
              <w:spacing w:line="225" w:lineRule="exact"/>
              <w:ind w:left="110"/>
              <w:rPr>
                <w:b/>
                <w:sz w:val="20"/>
              </w:rPr>
            </w:pPr>
            <w:r>
              <w:rPr>
                <w:b/>
                <w:color w:val="FFFFFF"/>
                <w:spacing w:val="-2"/>
                <w:sz w:val="20"/>
              </w:rPr>
              <w:t>2013-</w:t>
            </w:r>
            <w:r>
              <w:rPr>
                <w:b/>
                <w:color w:val="FFFFFF"/>
                <w:spacing w:val="-4"/>
                <w:sz w:val="20"/>
              </w:rPr>
              <w:t>2014</w:t>
            </w:r>
          </w:p>
        </w:tc>
        <w:tc>
          <w:tcPr>
            <w:tcW w:w="3662" w:type="dxa"/>
          </w:tcPr>
          <w:p w14:paraId="73FA53DF" w14:textId="77777777" w:rsidR="00811887" w:rsidRDefault="00811887" w:rsidP="00486E22">
            <w:pPr>
              <w:pStyle w:val="TableParagraph"/>
              <w:spacing w:line="225" w:lineRule="exact"/>
              <w:ind w:left="12" w:right="2"/>
              <w:jc w:val="center"/>
              <w:rPr>
                <w:sz w:val="20"/>
              </w:rPr>
            </w:pPr>
            <w:r>
              <w:rPr>
                <w:spacing w:val="-2"/>
                <w:sz w:val="20"/>
              </w:rPr>
              <w:t>0.333</w:t>
            </w:r>
          </w:p>
        </w:tc>
        <w:tc>
          <w:tcPr>
            <w:tcW w:w="3662" w:type="dxa"/>
          </w:tcPr>
          <w:p w14:paraId="6570882C" w14:textId="77777777" w:rsidR="00811887" w:rsidRDefault="00811887" w:rsidP="00486E22">
            <w:pPr>
              <w:pStyle w:val="TableParagraph"/>
              <w:spacing w:line="225" w:lineRule="exact"/>
              <w:ind w:left="12" w:right="3"/>
              <w:jc w:val="center"/>
              <w:rPr>
                <w:sz w:val="20"/>
              </w:rPr>
            </w:pPr>
            <w:r>
              <w:rPr>
                <w:spacing w:val="-2"/>
                <w:sz w:val="20"/>
              </w:rPr>
              <w:t>0.605</w:t>
            </w:r>
          </w:p>
        </w:tc>
      </w:tr>
      <w:tr w:rsidR="00811887" w14:paraId="6B6F87D4" w14:textId="77777777" w:rsidTr="00486E22">
        <w:trPr>
          <w:trHeight w:val="245"/>
        </w:trPr>
        <w:tc>
          <w:tcPr>
            <w:tcW w:w="1696" w:type="dxa"/>
            <w:shd w:val="clear" w:color="auto" w:fill="234060"/>
          </w:tcPr>
          <w:p w14:paraId="085A6795" w14:textId="77777777" w:rsidR="00811887" w:rsidRDefault="00811887" w:rsidP="00486E22">
            <w:pPr>
              <w:pStyle w:val="TableParagraph"/>
              <w:spacing w:line="225" w:lineRule="exact"/>
              <w:ind w:left="110"/>
              <w:rPr>
                <w:b/>
                <w:sz w:val="20"/>
              </w:rPr>
            </w:pPr>
            <w:r>
              <w:rPr>
                <w:b/>
                <w:color w:val="FFFFFF"/>
                <w:spacing w:val="-2"/>
                <w:sz w:val="20"/>
              </w:rPr>
              <w:t>2015-</w:t>
            </w:r>
            <w:r>
              <w:rPr>
                <w:b/>
                <w:color w:val="FFFFFF"/>
                <w:spacing w:val="-4"/>
                <w:sz w:val="20"/>
              </w:rPr>
              <w:t>2016</w:t>
            </w:r>
          </w:p>
        </w:tc>
        <w:tc>
          <w:tcPr>
            <w:tcW w:w="3662" w:type="dxa"/>
          </w:tcPr>
          <w:p w14:paraId="0F447D66" w14:textId="77777777" w:rsidR="00811887" w:rsidRDefault="00811887" w:rsidP="00486E22">
            <w:pPr>
              <w:pStyle w:val="TableParagraph"/>
              <w:spacing w:line="225" w:lineRule="exact"/>
              <w:ind w:left="12" w:right="2"/>
              <w:jc w:val="center"/>
              <w:rPr>
                <w:sz w:val="20"/>
              </w:rPr>
            </w:pPr>
            <w:r>
              <w:rPr>
                <w:spacing w:val="-2"/>
                <w:sz w:val="20"/>
              </w:rPr>
              <w:t>0.323</w:t>
            </w:r>
          </w:p>
        </w:tc>
        <w:tc>
          <w:tcPr>
            <w:tcW w:w="3662" w:type="dxa"/>
          </w:tcPr>
          <w:p w14:paraId="518B635B" w14:textId="77777777" w:rsidR="00811887" w:rsidRDefault="00811887" w:rsidP="00486E22">
            <w:pPr>
              <w:pStyle w:val="TableParagraph"/>
              <w:spacing w:line="225" w:lineRule="exact"/>
              <w:ind w:left="12" w:right="3"/>
              <w:jc w:val="center"/>
              <w:rPr>
                <w:sz w:val="20"/>
              </w:rPr>
            </w:pPr>
            <w:r>
              <w:rPr>
                <w:spacing w:val="-2"/>
                <w:sz w:val="20"/>
              </w:rPr>
              <w:t>0.605</w:t>
            </w:r>
          </w:p>
        </w:tc>
      </w:tr>
      <w:tr w:rsidR="00811887" w14:paraId="10D33FA1" w14:textId="77777777" w:rsidTr="00486E22">
        <w:trPr>
          <w:trHeight w:val="245"/>
        </w:trPr>
        <w:tc>
          <w:tcPr>
            <w:tcW w:w="1696" w:type="dxa"/>
            <w:shd w:val="clear" w:color="auto" w:fill="234060"/>
          </w:tcPr>
          <w:p w14:paraId="30BAADD4" w14:textId="77777777" w:rsidR="00811887" w:rsidRDefault="00811887" w:rsidP="00486E22">
            <w:pPr>
              <w:pStyle w:val="TableParagraph"/>
              <w:spacing w:line="225" w:lineRule="exact"/>
              <w:ind w:left="110"/>
              <w:rPr>
                <w:b/>
                <w:sz w:val="20"/>
              </w:rPr>
            </w:pPr>
            <w:r>
              <w:rPr>
                <w:b/>
                <w:color w:val="FFFFFF"/>
                <w:spacing w:val="-2"/>
                <w:sz w:val="20"/>
              </w:rPr>
              <w:t>2017-</w:t>
            </w:r>
            <w:r>
              <w:rPr>
                <w:b/>
                <w:color w:val="FFFFFF"/>
                <w:spacing w:val="-4"/>
                <w:sz w:val="20"/>
              </w:rPr>
              <w:t>2018</w:t>
            </w:r>
          </w:p>
        </w:tc>
        <w:tc>
          <w:tcPr>
            <w:tcW w:w="3662" w:type="dxa"/>
          </w:tcPr>
          <w:p w14:paraId="04AB6161" w14:textId="77777777" w:rsidR="00811887" w:rsidRDefault="00811887" w:rsidP="00486E22">
            <w:pPr>
              <w:pStyle w:val="TableParagraph"/>
              <w:spacing w:line="225" w:lineRule="exact"/>
              <w:ind w:left="12" w:right="2"/>
              <w:jc w:val="center"/>
              <w:rPr>
                <w:sz w:val="20"/>
              </w:rPr>
            </w:pPr>
            <w:r>
              <w:rPr>
                <w:spacing w:val="-2"/>
                <w:sz w:val="20"/>
              </w:rPr>
              <w:t>0.328</w:t>
            </w:r>
          </w:p>
        </w:tc>
        <w:tc>
          <w:tcPr>
            <w:tcW w:w="3662" w:type="dxa"/>
          </w:tcPr>
          <w:p w14:paraId="3DC38507" w14:textId="77777777" w:rsidR="00811887" w:rsidRDefault="00811887" w:rsidP="00486E22">
            <w:pPr>
              <w:pStyle w:val="TableParagraph"/>
              <w:spacing w:line="225" w:lineRule="exact"/>
              <w:ind w:left="12" w:right="3"/>
              <w:jc w:val="center"/>
              <w:rPr>
                <w:sz w:val="20"/>
              </w:rPr>
            </w:pPr>
            <w:r>
              <w:rPr>
                <w:spacing w:val="-2"/>
                <w:sz w:val="20"/>
              </w:rPr>
              <w:t>0.621</w:t>
            </w:r>
          </w:p>
        </w:tc>
      </w:tr>
      <w:tr w:rsidR="00811887" w14:paraId="7E697E4B" w14:textId="77777777" w:rsidTr="00486E22">
        <w:trPr>
          <w:trHeight w:val="245"/>
        </w:trPr>
        <w:tc>
          <w:tcPr>
            <w:tcW w:w="1696" w:type="dxa"/>
            <w:shd w:val="clear" w:color="auto" w:fill="234060"/>
          </w:tcPr>
          <w:p w14:paraId="133CAE0D" w14:textId="77777777" w:rsidR="00811887" w:rsidRDefault="00811887" w:rsidP="00486E22">
            <w:pPr>
              <w:pStyle w:val="TableParagraph"/>
              <w:spacing w:line="225" w:lineRule="exact"/>
              <w:ind w:left="110"/>
              <w:rPr>
                <w:b/>
                <w:sz w:val="20"/>
              </w:rPr>
            </w:pPr>
            <w:r>
              <w:rPr>
                <w:b/>
                <w:color w:val="FFFFFF"/>
                <w:spacing w:val="-2"/>
                <w:sz w:val="20"/>
              </w:rPr>
              <w:t>2019-</w:t>
            </w:r>
            <w:r>
              <w:rPr>
                <w:b/>
                <w:color w:val="FFFFFF"/>
                <w:spacing w:val="-4"/>
                <w:sz w:val="20"/>
              </w:rPr>
              <w:t>2020</w:t>
            </w:r>
          </w:p>
        </w:tc>
        <w:tc>
          <w:tcPr>
            <w:tcW w:w="3662" w:type="dxa"/>
          </w:tcPr>
          <w:p w14:paraId="19EDE2CB" w14:textId="77777777" w:rsidR="00811887" w:rsidRDefault="00811887" w:rsidP="00486E22">
            <w:pPr>
              <w:pStyle w:val="TableParagraph"/>
              <w:spacing w:line="225" w:lineRule="exact"/>
              <w:ind w:left="12" w:right="2"/>
              <w:jc w:val="center"/>
              <w:rPr>
                <w:sz w:val="20"/>
              </w:rPr>
            </w:pPr>
            <w:r>
              <w:rPr>
                <w:spacing w:val="-2"/>
                <w:sz w:val="20"/>
              </w:rPr>
              <w:t>0.324</w:t>
            </w:r>
          </w:p>
        </w:tc>
        <w:tc>
          <w:tcPr>
            <w:tcW w:w="3662" w:type="dxa"/>
          </w:tcPr>
          <w:p w14:paraId="562256D1" w14:textId="77777777" w:rsidR="00811887" w:rsidRDefault="00811887" w:rsidP="00486E22">
            <w:pPr>
              <w:pStyle w:val="TableParagraph"/>
              <w:spacing w:line="225" w:lineRule="exact"/>
              <w:ind w:left="12" w:right="3"/>
              <w:jc w:val="center"/>
              <w:rPr>
                <w:sz w:val="20"/>
              </w:rPr>
            </w:pPr>
            <w:r>
              <w:rPr>
                <w:spacing w:val="-2"/>
                <w:sz w:val="20"/>
              </w:rPr>
              <w:t>0.611</w:t>
            </w:r>
          </w:p>
        </w:tc>
      </w:tr>
    </w:tbl>
    <w:p w14:paraId="301EF271" w14:textId="77777777" w:rsidR="00811887" w:rsidRDefault="00811887" w:rsidP="00811887">
      <w:pPr>
        <w:ind w:left="5507"/>
        <w:rPr>
          <w:i/>
          <w:sz w:val="20"/>
        </w:rPr>
      </w:pPr>
      <w:r>
        <w:rPr>
          <w:i/>
          <w:sz w:val="20"/>
        </w:rPr>
        <w:t>Based</w:t>
      </w:r>
      <w:r>
        <w:rPr>
          <w:i/>
          <w:spacing w:val="-4"/>
          <w:sz w:val="20"/>
        </w:rPr>
        <w:t xml:space="preserve"> </w:t>
      </w:r>
      <w:r>
        <w:rPr>
          <w:i/>
          <w:sz w:val="20"/>
        </w:rPr>
        <w:t>on</w:t>
      </w:r>
      <w:r>
        <w:rPr>
          <w:i/>
          <w:spacing w:val="-5"/>
          <w:sz w:val="20"/>
        </w:rPr>
        <w:t xml:space="preserve"> </w:t>
      </w:r>
      <w:r>
        <w:rPr>
          <w:i/>
          <w:sz w:val="20"/>
        </w:rPr>
        <w:t>data from the</w:t>
      </w:r>
      <w:r>
        <w:rPr>
          <w:i/>
          <w:spacing w:val="-2"/>
          <w:sz w:val="20"/>
        </w:rPr>
        <w:t xml:space="preserve"> </w:t>
      </w:r>
      <w:r>
        <w:rPr>
          <w:i/>
          <w:sz w:val="20"/>
        </w:rPr>
        <w:t>ABS</w:t>
      </w:r>
      <w:r>
        <w:rPr>
          <w:i/>
          <w:spacing w:val="-1"/>
          <w:sz w:val="20"/>
        </w:rPr>
        <w:t xml:space="preserve"> </w:t>
      </w:r>
      <w:r>
        <w:rPr>
          <w:i/>
          <w:sz w:val="20"/>
        </w:rPr>
        <w:t>Survey</w:t>
      </w:r>
      <w:r>
        <w:rPr>
          <w:i/>
          <w:spacing w:val="-2"/>
          <w:sz w:val="20"/>
        </w:rPr>
        <w:t xml:space="preserve"> </w:t>
      </w:r>
      <w:r>
        <w:rPr>
          <w:i/>
          <w:sz w:val="20"/>
        </w:rPr>
        <w:t>of</w:t>
      </w:r>
      <w:r>
        <w:rPr>
          <w:i/>
          <w:spacing w:val="-3"/>
          <w:sz w:val="20"/>
        </w:rPr>
        <w:t xml:space="preserve"> </w:t>
      </w:r>
      <w:r>
        <w:rPr>
          <w:i/>
          <w:sz w:val="20"/>
        </w:rPr>
        <w:t>Income</w:t>
      </w:r>
      <w:r>
        <w:rPr>
          <w:i/>
          <w:spacing w:val="-7"/>
          <w:sz w:val="20"/>
        </w:rPr>
        <w:t xml:space="preserve"> </w:t>
      </w:r>
      <w:r>
        <w:rPr>
          <w:i/>
          <w:sz w:val="20"/>
        </w:rPr>
        <w:t>and</w:t>
      </w:r>
      <w:r>
        <w:rPr>
          <w:i/>
          <w:spacing w:val="1"/>
          <w:sz w:val="20"/>
        </w:rPr>
        <w:t xml:space="preserve"> </w:t>
      </w:r>
      <w:r>
        <w:rPr>
          <w:i/>
          <w:spacing w:val="-2"/>
          <w:sz w:val="20"/>
        </w:rPr>
        <w:t>Housing</w:t>
      </w:r>
    </w:p>
    <w:p w14:paraId="2E47A1CF" w14:textId="77777777" w:rsidR="00811887" w:rsidRDefault="00811887" w:rsidP="00811887">
      <w:pPr>
        <w:spacing w:line="225" w:lineRule="exact"/>
        <w:jc w:val="center"/>
        <w:rPr>
          <w:sz w:val="20"/>
        </w:rPr>
        <w:sectPr w:rsidR="00811887" w:rsidSect="00811887">
          <w:pgSz w:w="11910" w:h="16840"/>
          <w:pgMar w:top="880" w:right="721" w:bottom="1200" w:left="740" w:header="0" w:footer="1005" w:gutter="0"/>
          <w:cols w:space="720"/>
        </w:sectPr>
      </w:pPr>
    </w:p>
    <w:p w14:paraId="0D1743FD" w14:textId="77777777" w:rsidR="00811887" w:rsidRPr="00630A63" w:rsidRDefault="00811887" w:rsidP="00811887">
      <w:pPr>
        <w:pStyle w:val="Heading6"/>
        <w:rPr>
          <w:i w:val="0"/>
          <w:iCs w:val="0"/>
        </w:rPr>
      </w:pPr>
      <w:r w:rsidRPr="00630A63">
        <w:rPr>
          <w:i w:val="0"/>
          <w:iCs w:val="0"/>
        </w:rPr>
        <w:t>Housing</w:t>
      </w:r>
      <w:r w:rsidRPr="00630A63">
        <w:rPr>
          <w:i w:val="0"/>
          <w:iCs w:val="0"/>
          <w:spacing w:val="-2"/>
        </w:rPr>
        <w:t xml:space="preserve"> </w:t>
      </w:r>
      <w:r w:rsidRPr="00630A63">
        <w:rPr>
          <w:i w:val="0"/>
          <w:iCs w:val="0"/>
          <w:spacing w:val="-4"/>
        </w:rPr>
        <w:t>costs</w:t>
      </w:r>
    </w:p>
    <w:p w14:paraId="509806D1" w14:textId="77777777" w:rsidR="00811887" w:rsidRDefault="00811887" w:rsidP="00811887">
      <w:pPr>
        <w:spacing w:before="47" w:line="266" w:lineRule="auto"/>
        <w:ind w:left="165"/>
        <w:rPr>
          <w:sz w:val="24"/>
        </w:rPr>
      </w:pPr>
      <w:r>
        <w:rPr>
          <w:sz w:val="24"/>
        </w:rPr>
        <w:t>This</w:t>
      </w:r>
      <w:r>
        <w:rPr>
          <w:spacing w:val="-2"/>
          <w:sz w:val="24"/>
        </w:rPr>
        <w:t xml:space="preserve"> </w:t>
      </w:r>
      <w:r>
        <w:rPr>
          <w:sz w:val="24"/>
        </w:rPr>
        <w:t>section</w:t>
      </w:r>
      <w:r>
        <w:rPr>
          <w:spacing w:val="-4"/>
          <w:sz w:val="24"/>
        </w:rPr>
        <w:t xml:space="preserve"> </w:t>
      </w:r>
      <w:r>
        <w:rPr>
          <w:sz w:val="24"/>
        </w:rPr>
        <w:t>provides</w:t>
      </w:r>
      <w:r>
        <w:rPr>
          <w:spacing w:val="-2"/>
          <w:sz w:val="24"/>
        </w:rPr>
        <w:t xml:space="preserve"> </w:t>
      </w:r>
      <w:r>
        <w:rPr>
          <w:sz w:val="24"/>
        </w:rPr>
        <w:t>an</w:t>
      </w:r>
      <w:r>
        <w:rPr>
          <w:spacing w:val="-4"/>
          <w:sz w:val="24"/>
        </w:rPr>
        <w:t xml:space="preserve"> </w:t>
      </w:r>
      <w:r>
        <w:rPr>
          <w:sz w:val="24"/>
        </w:rPr>
        <w:t>overview</w:t>
      </w:r>
      <w:r>
        <w:rPr>
          <w:spacing w:val="-4"/>
          <w:sz w:val="24"/>
        </w:rPr>
        <w:t xml:space="preserve"> </w:t>
      </w:r>
      <w:r>
        <w:rPr>
          <w:sz w:val="24"/>
        </w:rPr>
        <w:t>of</w:t>
      </w:r>
      <w:r>
        <w:rPr>
          <w:spacing w:val="-2"/>
          <w:sz w:val="24"/>
        </w:rPr>
        <w:t xml:space="preserve"> </w:t>
      </w:r>
      <w:r>
        <w:rPr>
          <w:sz w:val="24"/>
        </w:rPr>
        <w:t>housing</w:t>
      </w:r>
      <w:r>
        <w:rPr>
          <w:spacing w:val="-1"/>
          <w:sz w:val="24"/>
        </w:rPr>
        <w:t xml:space="preserve"> </w:t>
      </w:r>
      <w:r>
        <w:rPr>
          <w:sz w:val="24"/>
        </w:rPr>
        <w:t>cost</w:t>
      </w:r>
      <w:r>
        <w:rPr>
          <w:spacing w:val="-3"/>
          <w:sz w:val="24"/>
        </w:rPr>
        <w:t xml:space="preserve"> </w:t>
      </w:r>
      <w:r>
        <w:rPr>
          <w:sz w:val="24"/>
        </w:rPr>
        <w:t>stress</w:t>
      </w:r>
      <w:r>
        <w:rPr>
          <w:spacing w:val="-2"/>
          <w:sz w:val="24"/>
        </w:rPr>
        <w:t xml:space="preserve"> </w:t>
      </w:r>
      <w:r>
        <w:rPr>
          <w:sz w:val="24"/>
        </w:rPr>
        <w:t>indicators.</w:t>
      </w:r>
      <w:r>
        <w:rPr>
          <w:spacing w:val="-3"/>
          <w:sz w:val="24"/>
        </w:rPr>
        <w:t xml:space="preserve"> </w:t>
      </w:r>
      <w:r>
        <w:rPr>
          <w:sz w:val="24"/>
        </w:rPr>
        <w:t>Information</w:t>
      </w:r>
      <w:r>
        <w:rPr>
          <w:spacing w:val="-4"/>
          <w:sz w:val="24"/>
        </w:rPr>
        <w:t xml:space="preserve"> </w:t>
      </w:r>
      <w:r>
        <w:rPr>
          <w:sz w:val="24"/>
        </w:rPr>
        <w:t>is</w:t>
      </w:r>
      <w:r>
        <w:rPr>
          <w:spacing w:val="-2"/>
          <w:sz w:val="24"/>
        </w:rPr>
        <w:t xml:space="preserve"> </w:t>
      </w:r>
      <w:r>
        <w:rPr>
          <w:sz w:val="24"/>
        </w:rPr>
        <w:t>derived from</w:t>
      </w:r>
      <w:r>
        <w:rPr>
          <w:spacing w:val="-5"/>
          <w:sz w:val="24"/>
        </w:rPr>
        <w:t xml:space="preserve"> </w:t>
      </w:r>
      <w:r>
        <w:rPr>
          <w:sz w:val="24"/>
        </w:rPr>
        <w:t>various sources, including the ABS Survey of Income and Housing, and HILDA.</w:t>
      </w:r>
    </w:p>
    <w:p w14:paraId="734A6BD2" w14:textId="77777777" w:rsidR="00811887" w:rsidRDefault="00811887" w:rsidP="00811887">
      <w:pPr>
        <w:spacing w:before="192"/>
        <w:ind w:left="165"/>
        <w:rPr>
          <w:b/>
        </w:rPr>
      </w:pPr>
      <w:r>
        <w:rPr>
          <w:b/>
        </w:rPr>
        <w:t>Chart</w:t>
      </w:r>
      <w:r>
        <w:rPr>
          <w:b/>
          <w:spacing w:val="-3"/>
        </w:rPr>
        <w:t xml:space="preserve"> </w:t>
      </w:r>
      <w:r>
        <w:rPr>
          <w:b/>
        </w:rPr>
        <w:t>14.</w:t>
      </w:r>
      <w:r>
        <w:rPr>
          <w:b/>
          <w:spacing w:val="-5"/>
        </w:rPr>
        <w:t xml:space="preserve"> </w:t>
      </w:r>
      <w:r>
        <w:rPr>
          <w:b/>
        </w:rPr>
        <w:t>Proportion</w:t>
      </w:r>
      <w:r>
        <w:rPr>
          <w:b/>
          <w:spacing w:val="-3"/>
        </w:rPr>
        <w:t xml:space="preserve"> </w:t>
      </w:r>
      <w:r>
        <w:rPr>
          <w:b/>
        </w:rPr>
        <w:t>of housing</w:t>
      </w:r>
      <w:r>
        <w:rPr>
          <w:b/>
          <w:spacing w:val="-3"/>
        </w:rPr>
        <w:t xml:space="preserve"> </w:t>
      </w:r>
      <w:r>
        <w:rPr>
          <w:b/>
        </w:rPr>
        <w:t>costs</w:t>
      </w:r>
      <w:r>
        <w:rPr>
          <w:b/>
          <w:spacing w:val="-6"/>
        </w:rPr>
        <w:t xml:space="preserve"> </w:t>
      </w:r>
      <w:r>
        <w:rPr>
          <w:b/>
        </w:rPr>
        <w:t>to</w:t>
      </w:r>
      <w:r>
        <w:rPr>
          <w:b/>
          <w:spacing w:val="-1"/>
        </w:rPr>
        <w:t xml:space="preserve"> </w:t>
      </w:r>
      <w:r>
        <w:rPr>
          <w:b/>
        </w:rPr>
        <w:t>household</w:t>
      </w:r>
      <w:r>
        <w:rPr>
          <w:b/>
          <w:spacing w:val="-4"/>
        </w:rPr>
        <w:t xml:space="preserve"> </w:t>
      </w:r>
      <w:r>
        <w:rPr>
          <w:b/>
        </w:rPr>
        <w:t>gross</w:t>
      </w:r>
      <w:r>
        <w:rPr>
          <w:b/>
          <w:spacing w:val="-1"/>
        </w:rPr>
        <w:t xml:space="preserve"> </w:t>
      </w:r>
      <w:r>
        <w:rPr>
          <w:b/>
        </w:rPr>
        <w:t>income</w:t>
      </w:r>
      <w:r>
        <w:rPr>
          <w:b/>
          <w:spacing w:val="2"/>
        </w:rPr>
        <w:t xml:space="preserve"> </w:t>
      </w:r>
      <w:r>
        <w:rPr>
          <w:b/>
        </w:rPr>
        <w:t>–</w:t>
      </w:r>
      <w:r>
        <w:rPr>
          <w:b/>
          <w:spacing w:val="-1"/>
        </w:rPr>
        <w:t xml:space="preserve"> </w:t>
      </w:r>
      <w:r>
        <w:rPr>
          <w:b/>
          <w:spacing w:val="-2"/>
        </w:rPr>
        <w:t>renters</w:t>
      </w:r>
    </w:p>
    <w:p w14:paraId="091746B6" w14:textId="77777777" w:rsidR="00811887" w:rsidRDefault="00811887" w:rsidP="00811887">
      <w:pPr>
        <w:spacing w:before="33"/>
        <w:ind w:right="184"/>
        <w:jc w:val="right"/>
        <w:rPr>
          <w:i/>
          <w:spacing w:val="-2"/>
          <w:sz w:val="20"/>
        </w:rPr>
      </w:pPr>
    </w:p>
    <w:p w14:paraId="5D006B7D" w14:textId="77777777" w:rsidR="00811887" w:rsidRDefault="00811887" w:rsidP="00811887">
      <w:pPr>
        <w:spacing w:before="33"/>
        <w:ind w:right="184"/>
        <w:jc w:val="right"/>
        <w:rPr>
          <w:i/>
          <w:sz w:val="20"/>
        </w:rPr>
      </w:pPr>
      <w:r>
        <w:rPr>
          <w:noProof/>
        </w:rPr>
        <w:drawing>
          <wp:inline distT="0" distB="0" distL="0" distR="0" wp14:anchorId="39853EFD" wp14:editId="47CE4BD9">
            <wp:extent cx="5852816" cy="2430987"/>
            <wp:effectExtent l="0" t="0" r="0" b="7620"/>
            <wp:docPr id="90" name="Image 90" descr="Chart 14 displays percentages on the proportion of housing costs to household gross income for renters, based on their tenure type, which are private landlord, and state or territory housing authorities. Data collected is from 2002-03 to 2019-20.&#10;&#10;For private landlords, housing costs decreased from 2022-3 to 2007-08, then there was a significant increase in 2009-10 and remained stable to 2019-20.&#10;&#10;For state or territory housing authorities, there was a drop in 2005-06 then a steady increase from 2007-08 to 2018-19, then with another significant drop in 2019-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Chart 14 displays percentages on the proportion of housing costs to household gross income for renters, based on their tenure type, which are private landlord, and state or territory housing authorities. Data collected is from 2002-03 to 2019-20.&#10;&#10;For private landlords, housing costs decreased from 2022-3 to 2007-08, then there was a significant increase in 2009-10 and remained stable to 2019-20.&#10;&#10;For state or territory housing authorities, there was a drop in 2005-06 then a steady increase from 2007-08 to 2018-19, then with another significant drop in 2019-20.&#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52816" cy="2430987"/>
                    </a:xfrm>
                    <a:prstGeom prst="rect">
                      <a:avLst/>
                    </a:prstGeom>
                  </pic:spPr>
                </pic:pic>
              </a:graphicData>
            </a:graphic>
          </wp:inline>
        </w:drawing>
      </w:r>
    </w:p>
    <w:p w14:paraId="74287D2A" w14:textId="77777777" w:rsidR="00811887" w:rsidRDefault="00811887" w:rsidP="00811887">
      <w:pPr>
        <w:pStyle w:val="BodyText"/>
        <w:rPr>
          <w:i/>
        </w:rPr>
      </w:pPr>
    </w:p>
    <w:p w14:paraId="50569D88" w14:textId="77777777" w:rsidR="00811887" w:rsidRDefault="00811887" w:rsidP="00811887">
      <w:pPr>
        <w:spacing w:line="264" w:lineRule="auto"/>
        <w:ind w:left="5040" w:right="182" w:firstLine="204"/>
        <w:rPr>
          <w:i/>
          <w:sz w:val="20"/>
        </w:rPr>
      </w:pPr>
      <w:r>
        <w:rPr>
          <w:i/>
          <w:sz w:val="20"/>
        </w:rPr>
        <w:t>Based</w:t>
      </w:r>
      <w:r>
        <w:rPr>
          <w:i/>
          <w:spacing w:val="-12"/>
          <w:sz w:val="20"/>
        </w:rPr>
        <w:t xml:space="preserve"> </w:t>
      </w:r>
      <w:r>
        <w:rPr>
          <w:i/>
          <w:sz w:val="20"/>
        </w:rPr>
        <w:t>on data from the ABS Survey of Income</w:t>
      </w:r>
      <w:r>
        <w:rPr>
          <w:i/>
          <w:spacing w:val="-2"/>
          <w:sz w:val="20"/>
        </w:rPr>
        <w:t xml:space="preserve"> </w:t>
      </w:r>
      <w:r>
        <w:rPr>
          <w:i/>
          <w:spacing w:val="-5"/>
          <w:sz w:val="20"/>
        </w:rPr>
        <w:t xml:space="preserve">and housing </w:t>
      </w:r>
    </w:p>
    <w:p w14:paraId="25E64C31" w14:textId="77777777" w:rsidR="00811887" w:rsidRDefault="00811887" w:rsidP="00811887">
      <w:pPr>
        <w:pStyle w:val="BodyText"/>
        <w:rPr>
          <w:i/>
        </w:rPr>
      </w:pPr>
    </w:p>
    <w:p w14:paraId="0F05A8DA" w14:textId="77777777" w:rsidR="00811887" w:rsidRDefault="00811887" w:rsidP="00811887">
      <w:pPr>
        <w:pStyle w:val="BodyText"/>
        <w:rPr>
          <w:i/>
        </w:rPr>
      </w:pPr>
    </w:p>
    <w:p w14:paraId="672B7DBF" w14:textId="77777777" w:rsidR="00811887" w:rsidRDefault="00811887" w:rsidP="00811887">
      <w:pPr>
        <w:pStyle w:val="BodyText"/>
        <w:rPr>
          <w:i/>
        </w:rPr>
      </w:pPr>
    </w:p>
    <w:p w14:paraId="0A83FE54" w14:textId="77777777" w:rsidR="00811887" w:rsidRDefault="00811887" w:rsidP="00811887">
      <w:pPr>
        <w:spacing w:before="93"/>
        <w:ind w:left="165"/>
        <w:rPr>
          <w:b/>
          <w:spacing w:val="-2"/>
        </w:rPr>
      </w:pPr>
      <w:r>
        <w:rPr>
          <w:b/>
        </w:rPr>
        <w:t>Chart</w:t>
      </w:r>
      <w:r>
        <w:rPr>
          <w:b/>
          <w:spacing w:val="-3"/>
        </w:rPr>
        <w:t xml:space="preserve"> </w:t>
      </w:r>
      <w:r>
        <w:rPr>
          <w:b/>
        </w:rPr>
        <w:t>15.</w:t>
      </w:r>
      <w:r>
        <w:rPr>
          <w:b/>
          <w:spacing w:val="-5"/>
        </w:rPr>
        <w:t xml:space="preserve"> </w:t>
      </w:r>
      <w:r>
        <w:rPr>
          <w:b/>
        </w:rPr>
        <w:t>Proportion</w:t>
      </w:r>
      <w:r>
        <w:rPr>
          <w:b/>
          <w:spacing w:val="-3"/>
        </w:rPr>
        <w:t xml:space="preserve"> </w:t>
      </w:r>
      <w:r>
        <w:rPr>
          <w:b/>
        </w:rPr>
        <w:t>of</w:t>
      </w:r>
      <w:r>
        <w:rPr>
          <w:b/>
          <w:spacing w:val="-1"/>
        </w:rPr>
        <w:t xml:space="preserve"> </w:t>
      </w:r>
      <w:r>
        <w:rPr>
          <w:b/>
        </w:rPr>
        <w:t>housing</w:t>
      </w:r>
      <w:r>
        <w:rPr>
          <w:b/>
          <w:spacing w:val="-3"/>
        </w:rPr>
        <w:t xml:space="preserve"> </w:t>
      </w:r>
      <w:r>
        <w:rPr>
          <w:b/>
        </w:rPr>
        <w:t>costs</w:t>
      </w:r>
      <w:r>
        <w:rPr>
          <w:b/>
          <w:spacing w:val="-6"/>
        </w:rPr>
        <w:t xml:space="preserve"> </w:t>
      </w:r>
      <w:r>
        <w:rPr>
          <w:b/>
        </w:rPr>
        <w:t>to</w:t>
      </w:r>
      <w:r>
        <w:rPr>
          <w:b/>
          <w:spacing w:val="-2"/>
        </w:rPr>
        <w:t xml:space="preserve"> </w:t>
      </w:r>
      <w:r>
        <w:rPr>
          <w:b/>
        </w:rPr>
        <w:t>household</w:t>
      </w:r>
      <w:r>
        <w:rPr>
          <w:b/>
          <w:spacing w:val="1"/>
        </w:rPr>
        <w:t xml:space="preserve"> </w:t>
      </w:r>
      <w:r>
        <w:rPr>
          <w:b/>
        </w:rPr>
        <w:t>gross</w:t>
      </w:r>
      <w:r>
        <w:rPr>
          <w:b/>
          <w:spacing w:val="-1"/>
        </w:rPr>
        <w:t xml:space="preserve"> </w:t>
      </w:r>
      <w:r>
        <w:rPr>
          <w:b/>
        </w:rPr>
        <w:t>income</w:t>
      </w:r>
      <w:r>
        <w:rPr>
          <w:b/>
          <w:spacing w:val="1"/>
        </w:rPr>
        <w:t xml:space="preserve"> </w:t>
      </w:r>
      <w:r>
        <w:rPr>
          <w:b/>
        </w:rPr>
        <w:t>–</w:t>
      </w:r>
      <w:r>
        <w:rPr>
          <w:b/>
          <w:spacing w:val="-1"/>
        </w:rPr>
        <w:t xml:space="preserve"> </w:t>
      </w:r>
      <w:r>
        <w:rPr>
          <w:b/>
        </w:rPr>
        <w:t>home</w:t>
      </w:r>
      <w:r>
        <w:rPr>
          <w:b/>
          <w:spacing w:val="-2"/>
        </w:rPr>
        <w:t xml:space="preserve"> owners</w:t>
      </w:r>
    </w:p>
    <w:p w14:paraId="04C08C40" w14:textId="77777777" w:rsidR="00811887" w:rsidRDefault="00811887" w:rsidP="00811887">
      <w:pPr>
        <w:spacing w:before="93"/>
        <w:ind w:left="165"/>
        <w:rPr>
          <w:b/>
        </w:rPr>
      </w:pPr>
      <w:r>
        <w:rPr>
          <w:noProof/>
        </w:rPr>
        <w:drawing>
          <wp:inline distT="0" distB="0" distL="0" distR="0" wp14:anchorId="504098CD" wp14:editId="5932C990">
            <wp:extent cx="5587884" cy="2797813"/>
            <wp:effectExtent l="0" t="0" r="0" b="2540"/>
            <wp:docPr id="91" name="Image 91" descr="Chart 25 displays percentages on the proportion of housing costs to household gross income for home owners with a mortgage or without a mortgage. Data collected is from 2002-03 to 2019-20.&#10;&#10;For households with a mortgage, there was an increase to 2005-06 then a gradual decline to 2019-20.&#10;&#10;For households without a mortgage, there were minor increases to 2019-20, except for 2007-08 which had a minor decre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hart 25 displays percentages on the proportion of housing costs to household gross income for home owners with a mortgage or without a mortgage. Data collected is from 2002-03 to 2019-20.&#10;&#10;For households with a mortgage, there was an increase to 2005-06 then a gradual decline to 2019-20.&#10;&#10;For households without a mortgage, there were minor increases to 2019-20, except for 2007-08 which had a minor decrease.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587884" cy="2797813"/>
                    </a:xfrm>
                    <a:prstGeom prst="rect">
                      <a:avLst/>
                    </a:prstGeom>
                  </pic:spPr>
                </pic:pic>
              </a:graphicData>
            </a:graphic>
          </wp:inline>
        </w:drawing>
      </w:r>
    </w:p>
    <w:p w14:paraId="69D11B69" w14:textId="77777777" w:rsidR="00811887" w:rsidRDefault="00811887" w:rsidP="00811887">
      <w:pPr>
        <w:spacing w:before="149"/>
        <w:rPr>
          <w:b/>
          <w:sz w:val="20"/>
        </w:rPr>
      </w:pPr>
      <w:r>
        <w:br w:type="column"/>
      </w:r>
    </w:p>
    <w:p w14:paraId="161572C6" w14:textId="77777777" w:rsidR="00811887" w:rsidRDefault="00811887" w:rsidP="00811887">
      <w:pPr>
        <w:jc w:val="right"/>
        <w:rPr>
          <w:sz w:val="20"/>
        </w:rPr>
        <w:sectPr w:rsidR="00811887" w:rsidSect="00811887">
          <w:type w:val="continuous"/>
          <w:pgSz w:w="11910" w:h="16840"/>
          <w:pgMar w:top="1440" w:right="721" w:bottom="560" w:left="740" w:header="0" w:footer="1005" w:gutter="0"/>
          <w:cols w:num="2" w:space="720" w:equalWidth="0">
            <w:col w:w="8952" w:space="245"/>
            <w:col w:w="1252"/>
          </w:cols>
        </w:sectPr>
      </w:pPr>
    </w:p>
    <w:p w14:paraId="4FE0D16C" w14:textId="77777777" w:rsidR="00811887" w:rsidRPr="00630A63" w:rsidRDefault="00811887" w:rsidP="00811887">
      <w:pPr>
        <w:pStyle w:val="Heading6"/>
        <w:rPr>
          <w:i w:val="0"/>
          <w:iCs w:val="0"/>
        </w:rPr>
      </w:pPr>
      <w:r w:rsidRPr="00630A63">
        <w:rPr>
          <w:i w:val="0"/>
          <w:iCs w:val="0"/>
        </w:rPr>
        <w:lastRenderedPageBreak/>
        <w:t>Housing</w:t>
      </w:r>
      <w:r w:rsidRPr="00630A63">
        <w:rPr>
          <w:i w:val="0"/>
          <w:iCs w:val="0"/>
          <w:spacing w:val="-4"/>
        </w:rPr>
        <w:t xml:space="preserve"> </w:t>
      </w:r>
      <w:r w:rsidRPr="00630A63">
        <w:rPr>
          <w:i w:val="0"/>
          <w:iCs w:val="0"/>
          <w:spacing w:val="-2"/>
        </w:rPr>
        <w:t>stress</w:t>
      </w:r>
    </w:p>
    <w:p w14:paraId="7ECEFE9D" w14:textId="77777777" w:rsidR="00811887" w:rsidRDefault="00811887" w:rsidP="00811887">
      <w:pPr>
        <w:spacing w:before="244" w:line="271" w:lineRule="auto"/>
        <w:ind w:left="165"/>
        <w:rPr>
          <w:b/>
          <w:spacing w:val="-2"/>
        </w:rPr>
      </w:pPr>
      <w:r>
        <w:rPr>
          <w:b/>
        </w:rPr>
        <w:t>Chart</w:t>
      </w:r>
      <w:r>
        <w:rPr>
          <w:b/>
          <w:spacing w:val="-3"/>
        </w:rPr>
        <w:t xml:space="preserve"> </w:t>
      </w:r>
      <w:r>
        <w:rPr>
          <w:b/>
        </w:rPr>
        <w:t>16.</w:t>
      </w:r>
      <w:r>
        <w:rPr>
          <w:b/>
          <w:spacing w:val="-5"/>
        </w:rPr>
        <w:t xml:space="preserve"> </w:t>
      </w:r>
      <w:r>
        <w:rPr>
          <w:b/>
        </w:rPr>
        <w:t>Proportion</w:t>
      </w:r>
      <w:r>
        <w:rPr>
          <w:b/>
          <w:spacing w:val="-3"/>
        </w:rPr>
        <w:t xml:space="preserve"> </w:t>
      </w:r>
      <w:r>
        <w:rPr>
          <w:b/>
        </w:rPr>
        <w:t>of</w:t>
      </w:r>
      <w:r>
        <w:rPr>
          <w:b/>
          <w:spacing w:val="-1"/>
        </w:rPr>
        <w:t xml:space="preserve"> </w:t>
      </w:r>
      <w:r>
        <w:rPr>
          <w:b/>
        </w:rPr>
        <w:t>lower</w:t>
      </w:r>
      <w:r>
        <w:rPr>
          <w:b/>
          <w:spacing w:val="-4"/>
        </w:rPr>
        <w:t xml:space="preserve"> </w:t>
      </w:r>
      <w:r>
        <w:rPr>
          <w:b/>
        </w:rPr>
        <w:t>income</w:t>
      </w:r>
      <w:r>
        <w:rPr>
          <w:b/>
          <w:spacing w:val="-1"/>
        </w:rPr>
        <w:t xml:space="preserve"> </w:t>
      </w:r>
      <w:r>
        <w:rPr>
          <w:b/>
        </w:rPr>
        <w:t>renter</w:t>
      </w:r>
      <w:r>
        <w:rPr>
          <w:b/>
          <w:spacing w:val="-4"/>
        </w:rPr>
        <w:t xml:space="preserve"> </w:t>
      </w:r>
      <w:r>
        <w:rPr>
          <w:b/>
        </w:rPr>
        <w:t>households</w:t>
      </w:r>
      <w:r>
        <w:rPr>
          <w:b/>
          <w:spacing w:val="-1"/>
        </w:rPr>
        <w:t xml:space="preserve"> </w:t>
      </w:r>
      <w:r>
        <w:rPr>
          <w:b/>
        </w:rPr>
        <w:t>paying</w:t>
      </w:r>
      <w:r>
        <w:rPr>
          <w:b/>
          <w:spacing w:val="-3"/>
        </w:rPr>
        <w:t xml:space="preserve"> </w:t>
      </w:r>
      <w:r>
        <w:rPr>
          <w:b/>
        </w:rPr>
        <w:t>more</w:t>
      </w:r>
      <w:r>
        <w:rPr>
          <w:b/>
          <w:spacing w:val="-2"/>
        </w:rPr>
        <w:t xml:space="preserve"> </w:t>
      </w:r>
      <w:r>
        <w:rPr>
          <w:b/>
        </w:rPr>
        <w:t>than</w:t>
      </w:r>
      <w:r>
        <w:rPr>
          <w:b/>
          <w:spacing w:val="-2"/>
        </w:rPr>
        <w:t xml:space="preserve"> </w:t>
      </w:r>
      <w:r>
        <w:rPr>
          <w:b/>
        </w:rPr>
        <w:t>30%</w:t>
      </w:r>
      <w:r>
        <w:rPr>
          <w:b/>
          <w:spacing w:val="-9"/>
        </w:rPr>
        <w:t xml:space="preserve"> </w:t>
      </w:r>
      <w:r>
        <w:rPr>
          <w:b/>
        </w:rPr>
        <w:t>of</w:t>
      </w:r>
      <w:r>
        <w:rPr>
          <w:b/>
          <w:spacing w:val="-1"/>
        </w:rPr>
        <w:t xml:space="preserve"> </w:t>
      </w:r>
      <w:r>
        <w:rPr>
          <w:b/>
        </w:rPr>
        <w:t>income</w:t>
      </w:r>
      <w:r>
        <w:rPr>
          <w:b/>
          <w:spacing w:val="-1"/>
        </w:rPr>
        <w:t xml:space="preserve"> </w:t>
      </w:r>
      <w:r>
        <w:rPr>
          <w:b/>
        </w:rPr>
        <w:t xml:space="preserve">on </w:t>
      </w:r>
      <w:r>
        <w:rPr>
          <w:b/>
          <w:spacing w:val="-2"/>
        </w:rPr>
        <w:t>housing</w:t>
      </w:r>
    </w:p>
    <w:p w14:paraId="660AB9D4" w14:textId="77777777" w:rsidR="00811887" w:rsidRDefault="00811887" w:rsidP="00811887">
      <w:pPr>
        <w:spacing w:before="244" w:line="271" w:lineRule="auto"/>
        <w:ind w:left="165"/>
        <w:rPr>
          <w:b/>
        </w:rPr>
      </w:pPr>
      <w:r>
        <w:rPr>
          <w:noProof/>
        </w:rPr>
        <w:drawing>
          <wp:inline distT="0" distB="0" distL="0" distR="0" wp14:anchorId="0C6B7208" wp14:editId="110252C8">
            <wp:extent cx="5245841" cy="2141135"/>
            <wp:effectExtent l="0" t="0" r="0" b="0"/>
            <wp:docPr id="92" name="Image 92" descr="Chart 16 displays the percentage on the proportion of lower income renter households paying more than 30%of income on housing in greater capital city areas compared to the rest of the state. Data collected is from 2007-08 to 2019-20.&#10;&#10;For renter households in capital city areas, there was a fluctuating increase to 2013-14 then a steady decline to 2019-20.&#10;&#10;For renter households in the rest of the state, there was a steady increase to 2015-16 and remained stable to 2019-2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Chart 16 displays the percentage on the proportion of lower income renter households paying more than 30%of income on housing in greater capital city areas compared to the rest of the state. Data collected is from 2007-08 to 2019-20.&#10;&#10;For renter households in capital city areas, there was a fluctuating increase to 2013-14 then a steady decline to 2019-20.&#10;&#10;For renter households in the rest of the state, there was a steady increase to 2015-16 and remained stable to 2019-20&#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45841" cy="2141135"/>
                    </a:xfrm>
                    <a:prstGeom prst="rect">
                      <a:avLst/>
                    </a:prstGeom>
                  </pic:spPr>
                </pic:pic>
              </a:graphicData>
            </a:graphic>
          </wp:inline>
        </w:drawing>
      </w:r>
    </w:p>
    <w:p w14:paraId="4487F054" w14:textId="77777777" w:rsidR="00811887" w:rsidRPr="00485F02" w:rsidRDefault="00811887" w:rsidP="00811887">
      <w:pPr>
        <w:spacing w:line="271" w:lineRule="auto"/>
        <w:ind w:right="278"/>
        <w:jc w:val="right"/>
        <w:rPr>
          <w:i/>
          <w:sz w:val="20"/>
        </w:rPr>
      </w:pPr>
      <w:r>
        <w:rPr>
          <w:i/>
          <w:sz w:val="20"/>
        </w:rPr>
        <w:t xml:space="preserve">Source: </w:t>
      </w:r>
      <w:r w:rsidRPr="00485F02">
        <w:rPr>
          <w:i/>
          <w:sz w:val="20"/>
        </w:rPr>
        <w:t>ABS Housing Occupancy and Costs, 2019-20 financial year</w:t>
      </w:r>
    </w:p>
    <w:p w14:paraId="2E1B9917" w14:textId="77777777" w:rsidR="00811887" w:rsidRPr="00485F02" w:rsidRDefault="00811887" w:rsidP="00811887">
      <w:pPr>
        <w:spacing w:before="201" w:line="271" w:lineRule="auto"/>
        <w:ind w:right="278"/>
        <w:rPr>
          <w:i/>
          <w:sz w:val="20"/>
        </w:rPr>
      </w:pPr>
      <w:r>
        <w:rPr>
          <w:b/>
        </w:rPr>
        <w:t xml:space="preserve">Chart 17. </w:t>
      </w:r>
      <w:r>
        <w:rPr>
          <w:b/>
          <w:spacing w:val="-2"/>
        </w:rPr>
        <w:t xml:space="preserve">Proportion </w:t>
      </w:r>
      <w:r>
        <w:rPr>
          <w:b/>
        </w:rPr>
        <w:t>of</w:t>
      </w:r>
      <w:r>
        <w:rPr>
          <w:b/>
          <w:spacing w:val="-15"/>
        </w:rPr>
        <w:t xml:space="preserve"> </w:t>
      </w:r>
      <w:r>
        <w:rPr>
          <w:b/>
        </w:rPr>
        <w:t>people</w:t>
      </w:r>
      <w:r>
        <w:rPr>
          <w:b/>
          <w:spacing w:val="-15"/>
        </w:rPr>
        <w:t xml:space="preserve"> </w:t>
      </w:r>
      <w:r>
        <w:rPr>
          <w:b/>
        </w:rPr>
        <w:t xml:space="preserve">in </w:t>
      </w:r>
      <w:r>
        <w:rPr>
          <w:b/>
          <w:spacing w:val="-2"/>
        </w:rPr>
        <w:t xml:space="preserve">housing </w:t>
      </w:r>
      <w:r>
        <w:rPr>
          <w:b/>
        </w:rPr>
        <w:t>stress by family type</w:t>
      </w:r>
    </w:p>
    <w:p w14:paraId="73CCC146" w14:textId="77777777" w:rsidR="00811887" w:rsidRDefault="00811887" w:rsidP="00811887">
      <w:pPr>
        <w:pStyle w:val="BodyText"/>
        <w:rPr>
          <w:rFonts w:ascii="Arial"/>
          <w:b/>
        </w:rPr>
      </w:pPr>
    </w:p>
    <w:tbl>
      <w:tblPr>
        <w:tblpPr w:leftFromText="180" w:rightFromText="180"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
        <w:gridCol w:w="1271"/>
        <w:gridCol w:w="1271"/>
        <w:gridCol w:w="805"/>
        <w:gridCol w:w="811"/>
        <w:gridCol w:w="811"/>
        <w:gridCol w:w="811"/>
        <w:gridCol w:w="812"/>
        <w:gridCol w:w="792"/>
        <w:gridCol w:w="937"/>
      </w:tblGrid>
      <w:tr w:rsidR="00811887" w14:paraId="20553B33" w14:textId="77777777" w:rsidTr="00486E22">
        <w:trPr>
          <w:trHeight w:val="245"/>
        </w:trPr>
        <w:tc>
          <w:tcPr>
            <w:tcW w:w="705" w:type="dxa"/>
            <w:shd w:val="clear" w:color="auto" w:fill="234060"/>
          </w:tcPr>
          <w:p w14:paraId="111F83EF" w14:textId="77777777" w:rsidR="00811887" w:rsidRDefault="00811887" w:rsidP="00486E22">
            <w:pPr>
              <w:pStyle w:val="TableParagraph"/>
              <w:spacing w:line="240" w:lineRule="auto"/>
              <w:rPr>
                <w:rFonts w:ascii="Times New Roman"/>
                <w:sz w:val="16"/>
              </w:rPr>
            </w:pPr>
          </w:p>
        </w:tc>
        <w:tc>
          <w:tcPr>
            <w:tcW w:w="8321" w:type="dxa"/>
            <w:gridSpan w:val="9"/>
            <w:shd w:val="clear" w:color="auto" w:fill="234060"/>
          </w:tcPr>
          <w:p w14:paraId="011511B7" w14:textId="77777777" w:rsidR="00811887" w:rsidRDefault="00811887" w:rsidP="00486E22">
            <w:pPr>
              <w:pStyle w:val="TableParagraph"/>
              <w:spacing w:line="225" w:lineRule="exact"/>
              <w:ind w:left="10"/>
              <w:jc w:val="center"/>
              <w:rPr>
                <w:b/>
                <w:sz w:val="20"/>
              </w:rPr>
            </w:pPr>
            <w:r>
              <w:rPr>
                <w:b/>
                <w:color w:val="FFFFFF"/>
                <w:sz w:val="20"/>
              </w:rPr>
              <w:t>Proportion</w:t>
            </w:r>
            <w:r>
              <w:rPr>
                <w:b/>
                <w:color w:val="FFFFFF"/>
                <w:spacing w:val="-4"/>
                <w:sz w:val="20"/>
              </w:rPr>
              <w:t xml:space="preserve"> </w:t>
            </w:r>
            <w:r>
              <w:rPr>
                <w:b/>
                <w:color w:val="FFFFFF"/>
                <w:sz w:val="20"/>
              </w:rPr>
              <w:t>of people</w:t>
            </w:r>
            <w:r>
              <w:rPr>
                <w:b/>
                <w:color w:val="FFFFFF"/>
                <w:spacing w:val="-2"/>
                <w:sz w:val="20"/>
              </w:rPr>
              <w:t xml:space="preserve"> </w:t>
            </w:r>
            <w:r>
              <w:rPr>
                <w:b/>
                <w:color w:val="FFFFFF"/>
                <w:sz w:val="20"/>
              </w:rPr>
              <w:t>in</w:t>
            </w:r>
            <w:r>
              <w:rPr>
                <w:b/>
                <w:color w:val="FFFFFF"/>
                <w:spacing w:val="-4"/>
                <w:sz w:val="20"/>
              </w:rPr>
              <w:t xml:space="preserve"> </w:t>
            </w:r>
            <w:r>
              <w:rPr>
                <w:b/>
                <w:color w:val="FFFFFF"/>
                <w:sz w:val="20"/>
              </w:rPr>
              <w:t>housing</w:t>
            </w:r>
            <w:r>
              <w:rPr>
                <w:b/>
                <w:color w:val="FFFFFF"/>
                <w:spacing w:val="-1"/>
                <w:sz w:val="20"/>
              </w:rPr>
              <w:t xml:space="preserve"> </w:t>
            </w:r>
            <w:r>
              <w:rPr>
                <w:b/>
                <w:color w:val="FFFFFF"/>
                <w:sz w:val="20"/>
              </w:rPr>
              <w:t>stress</w:t>
            </w:r>
            <w:r>
              <w:rPr>
                <w:b/>
                <w:color w:val="FFFFFF"/>
                <w:spacing w:val="-6"/>
                <w:sz w:val="20"/>
              </w:rPr>
              <w:t xml:space="preserve"> </w:t>
            </w:r>
            <w:r>
              <w:rPr>
                <w:b/>
                <w:color w:val="FFFFFF"/>
                <w:sz w:val="20"/>
              </w:rPr>
              <w:t>by</w:t>
            </w:r>
            <w:r>
              <w:rPr>
                <w:b/>
                <w:color w:val="FFFFFF"/>
                <w:spacing w:val="-1"/>
                <w:sz w:val="20"/>
              </w:rPr>
              <w:t xml:space="preserve"> </w:t>
            </w:r>
            <w:r>
              <w:rPr>
                <w:b/>
                <w:color w:val="FFFFFF"/>
                <w:sz w:val="20"/>
              </w:rPr>
              <w:t>family</w:t>
            </w:r>
            <w:r>
              <w:rPr>
                <w:b/>
                <w:color w:val="FFFFFF"/>
                <w:spacing w:val="-1"/>
                <w:sz w:val="20"/>
              </w:rPr>
              <w:t xml:space="preserve"> </w:t>
            </w:r>
            <w:r>
              <w:rPr>
                <w:b/>
                <w:color w:val="FFFFFF"/>
                <w:sz w:val="20"/>
              </w:rPr>
              <w:t>type</w:t>
            </w:r>
            <w:r>
              <w:rPr>
                <w:b/>
                <w:color w:val="FFFFFF"/>
                <w:spacing w:val="5"/>
                <w:sz w:val="20"/>
              </w:rPr>
              <w:t xml:space="preserve"> </w:t>
            </w:r>
            <w:r>
              <w:rPr>
                <w:b/>
                <w:color w:val="FFFFFF"/>
                <w:spacing w:val="-5"/>
                <w:sz w:val="20"/>
              </w:rPr>
              <w:t>(%)</w:t>
            </w:r>
          </w:p>
        </w:tc>
      </w:tr>
      <w:tr w:rsidR="00811887" w14:paraId="197F9E16" w14:textId="77777777" w:rsidTr="00486E22">
        <w:trPr>
          <w:trHeight w:val="975"/>
        </w:trPr>
        <w:tc>
          <w:tcPr>
            <w:tcW w:w="705" w:type="dxa"/>
            <w:shd w:val="clear" w:color="auto" w:fill="234060"/>
          </w:tcPr>
          <w:p w14:paraId="00CCE355" w14:textId="77777777" w:rsidR="00811887" w:rsidRDefault="00811887" w:rsidP="00486E22">
            <w:pPr>
              <w:pStyle w:val="TableParagraph"/>
              <w:ind w:right="97"/>
              <w:jc w:val="center"/>
              <w:rPr>
                <w:b/>
                <w:sz w:val="20"/>
              </w:rPr>
            </w:pPr>
            <w:r>
              <w:rPr>
                <w:b/>
                <w:color w:val="FFFFFF"/>
                <w:spacing w:val="-4"/>
                <w:sz w:val="20"/>
              </w:rPr>
              <w:t>Year</w:t>
            </w:r>
          </w:p>
        </w:tc>
        <w:tc>
          <w:tcPr>
            <w:tcW w:w="1271" w:type="dxa"/>
            <w:shd w:val="clear" w:color="auto" w:fill="234060"/>
          </w:tcPr>
          <w:p w14:paraId="4F39DDA7" w14:textId="77777777" w:rsidR="00811887" w:rsidRDefault="00811887" w:rsidP="00486E22">
            <w:pPr>
              <w:pStyle w:val="TableParagraph"/>
              <w:spacing w:line="240" w:lineRule="auto"/>
              <w:ind w:left="360" w:hanging="215"/>
              <w:rPr>
                <w:b/>
                <w:sz w:val="20"/>
              </w:rPr>
            </w:pPr>
            <w:r>
              <w:rPr>
                <w:b/>
                <w:color w:val="FFFFFF"/>
                <w:spacing w:val="-2"/>
                <w:sz w:val="20"/>
              </w:rPr>
              <w:t>Non-elderly couple</w:t>
            </w:r>
          </w:p>
        </w:tc>
        <w:tc>
          <w:tcPr>
            <w:tcW w:w="1271" w:type="dxa"/>
            <w:shd w:val="clear" w:color="auto" w:fill="234060"/>
          </w:tcPr>
          <w:p w14:paraId="79F9207A" w14:textId="77777777" w:rsidR="00811887" w:rsidRDefault="00811887" w:rsidP="00486E22">
            <w:pPr>
              <w:pStyle w:val="TableParagraph"/>
              <w:spacing w:before="1" w:line="237" w:lineRule="auto"/>
              <w:ind w:left="175" w:right="128" w:hanging="45"/>
              <w:jc w:val="both"/>
              <w:rPr>
                <w:b/>
                <w:sz w:val="20"/>
              </w:rPr>
            </w:pPr>
            <w:r>
              <w:rPr>
                <w:b/>
                <w:color w:val="FFFFFF"/>
                <w:sz w:val="20"/>
              </w:rPr>
              <w:t>Couple</w:t>
            </w:r>
            <w:r>
              <w:rPr>
                <w:b/>
                <w:color w:val="FFFFFF"/>
                <w:spacing w:val="-12"/>
                <w:sz w:val="20"/>
              </w:rPr>
              <w:t xml:space="preserve"> </w:t>
            </w:r>
            <w:r>
              <w:rPr>
                <w:b/>
                <w:color w:val="FFFFFF"/>
                <w:sz w:val="20"/>
              </w:rPr>
              <w:t xml:space="preserve">with </w:t>
            </w:r>
            <w:r>
              <w:rPr>
                <w:b/>
                <w:color w:val="FFFFFF"/>
                <w:spacing w:val="-2"/>
                <w:sz w:val="20"/>
              </w:rPr>
              <w:t>dependent children</w:t>
            </w:r>
          </w:p>
        </w:tc>
        <w:tc>
          <w:tcPr>
            <w:tcW w:w="805" w:type="dxa"/>
            <w:shd w:val="clear" w:color="auto" w:fill="234060"/>
          </w:tcPr>
          <w:p w14:paraId="655FDCFB" w14:textId="77777777" w:rsidR="00811887" w:rsidRDefault="00811887" w:rsidP="00486E22">
            <w:pPr>
              <w:pStyle w:val="TableParagraph"/>
              <w:spacing w:line="240" w:lineRule="auto"/>
              <w:ind w:left="124" w:right="108" w:firstLine="30"/>
              <w:rPr>
                <w:b/>
                <w:sz w:val="20"/>
              </w:rPr>
            </w:pPr>
            <w:r>
              <w:rPr>
                <w:b/>
                <w:color w:val="FFFFFF"/>
                <w:spacing w:val="-2"/>
                <w:sz w:val="20"/>
              </w:rPr>
              <w:t>Single parent</w:t>
            </w:r>
          </w:p>
        </w:tc>
        <w:tc>
          <w:tcPr>
            <w:tcW w:w="811" w:type="dxa"/>
            <w:shd w:val="clear" w:color="auto" w:fill="234060"/>
          </w:tcPr>
          <w:p w14:paraId="29AD8258" w14:textId="77777777" w:rsidR="00811887" w:rsidRDefault="00811887" w:rsidP="00486E22">
            <w:pPr>
              <w:pStyle w:val="TableParagraph"/>
              <w:spacing w:before="1" w:line="237" w:lineRule="auto"/>
              <w:ind w:left="119" w:right="105" w:firstLine="35"/>
              <w:jc w:val="both"/>
              <w:rPr>
                <w:b/>
                <w:sz w:val="20"/>
              </w:rPr>
            </w:pPr>
            <w:r>
              <w:rPr>
                <w:b/>
                <w:color w:val="FFFFFF"/>
                <w:spacing w:val="-2"/>
                <w:sz w:val="20"/>
              </w:rPr>
              <w:t xml:space="preserve">Single </w:t>
            </w:r>
            <w:r>
              <w:rPr>
                <w:b/>
                <w:color w:val="FFFFFF"/>
                <w:spacing w:val="-4"/>
                <w:sz w:val="20"/>
              </w:rPr>
              <w:t xml:space="preserve">non- </w:t>
            </w:r>
            <w:r>
              <w:rPr>
                <w:b/>
                <w:color w:val="FFFFFF"/>
                <w:spacing w:val="-2"/>
                <w:sz w:val="20"/>
              </w:rPr>
              <w:t>elderly</w:t>
            </w:r>
          </w:p>
          <w:p w14:paraId="006E38CC" w14:textId="77777777" w:rsidR="00811887" w:rsidRDefault="00811887" w:rsidP="00486E22">
            <w:pPr>
              <w:pStyle w:val="TableParagraph"/>
              <w:spacing w:before="4" w:line="225" w:lineRule="exact"/>
              <w:ind w:left="199"/>
              <w:rPr>
                <w:b/>
                <w:sz w:val="20"/>
              </w:rPr>
            </w:pPr>
            <w:r>
              <w:rPr>
                <w:b/>
                <w:color w:val="FFFFFF"/>
                <w:spacing w:val="-4"/>
                <w:sz w:val="20"/>
              </w:rPr>
              <w:t>male</w:t>
            </w:r>
          </w:p>
        </w:tc>
        <w:tc>
          <w:tcPr>
            <w:tcW w:w="811" w:type="dxa"/>
            <w:shd w:val="clear" w:color="auto" w:fill="234060"/>
          </w:tcPr>
          <w:p w14:paraId="1F85A0E2" w14:textId="77777777" w:rsidR="00811887" w:rsidRDefault="00811887" w:rsidP="00486E22">
            <w:pPr>
              <w:pStyle w:val="TableParagraph"/>
              <w:spacing w:before="1" w:line="237" w:lineRule="auto"/>
              <w:ind w:left="119" w:right="105" w:firstLine="35"/>
              <w:jc w:val="both"/>
              <w:rPr>
                <w:b/>
                <w:sz w:val="20"/>
              </w:rPr>
            </w:pPr>
            <w:r>
              <w:rPr>
                <w:b/>
                <w:color w:val="FFFFFF"/>
                <w:spacing w:val="-2"/>
                <w:sz w:val="20"/>
              </w:rPr>
              <w:t xml:space="preserve">Single </w:t>
            </w:r>
            <w:r>
              <w:rPr>
                <w:b/>
                <w:color w:val="FFFFFF"/>
                <w:spacing w:val="-4"/>
                <w:sz w:val="20"/>
              </w:rPr>
              <w:t xml:space="preserve">non- </w:t>
            </w:r>
            <w:r>
              <w:rPr>
                <w:b/>
                <w:color w:val="FFFFFF"/>
                <w:spacing w:val="-2"/>
                <w:sz w:val="20"/>
              </w:rPr>
              <w:t>elderly</w:t>
            </w:r>
          </w:p>
          <w:p w14:paraId="6479CF79" w14:textId="77777777" w:rsidR="00811887" w:rsidRDefault="00811887" w:rsidP="00486E22">
            <w:pPr>
              <w:pStyle w:val="TableParagraph"/>
              <w:spacing w:before="4" w:line="225" w:lineRule="exact"/>
              <w:ind w:left="119"/>
              <w:rPr>
                <w:b/>
                <w:sz w:val="20"/>
              </w:rPr>
            </w:pPr>
            <w:r>
              <w:rPr>
                <w:b/>
                <w:color w:val="FFFFFF"/>
                <w:spacing w:val="-2"/>
                <w:sz w:val="20"/>
              </w:rPr>
              <w:t>female</w:t>
            </w:r>
          </w:p>
        </w:tc>
        <w:tc>
          <w:tcPr>
            <w:tcW w:w="811" w:type="dxa"/>
            <w:shd w:val="clear" w:color="auto" w:fill="234060"/>
          </w:tcPr>
          <w:p w14:paraId="30194457" w14:textId="77777777" w:rsidR="00811887" w:rsidRDefault="00811887" w:rsidP="00486E22">
            <w:pPr>
              <w:pStyle w:val="TableParagraph"/>
              <w:spacing w:line="240" w:lineRule="auto"/>
              <w:ind w:left="128" w:right="109" w:firstLine="45"/>
              <w:rPr>
                <w:b/>
                <w:sz w:val="20"/>
              </w:rPr>
            </w:pPr>
            <w:r>
              <w:rPr>
                <w:b/>
                <w:color w:val="FFFFFF"/>
                <w:spacing w:val="-2"/>
                <w:sz w:val="20"/>
              </w:rPr>
              <w:t>Older couple</w:t>
            </w:r>
          </w:p>
        </w:tc>
        <w:tc>
          <w:tcPr>
            <w:tcW w:w="812" w:type="dxa"/>
            <w:shd w:val="clear" w:color="auto" w:fill="234060"/>
          </w:tcPr>
          <w:p w14:paraId="545F84A3" w14:textId="77777777" w:rsidR="00811887" w:rsidRDefault="00811887" w:rsidP="00486E22">
            <w:pPr>
              <w:pStyle w:val="TableParagraph"/>
              <w:spacing w:before="1" w:line="237" w:lineRule="auto"/>
              <w:ind w:left="182" w:right="147" w:hanging="30"/>
              <w:jc w:val="both"/>
              <w:rPr>
                <w:b/>
                <w:sz w:val="20"/>
              </w:rPr>
            </w:pPr>
            <w:r>
              <w:rPr>
                <w:b/>
                <w:color w:val="FFFFFF"/>
                <w:spacing w:val="-2"/>
                <w:sz w:val="20"/>
              </w:rPr>
              <w:t xml:space="preserve">Single older </w:t>
            </w:r>
            <w:r>
              <w:rPr>
                <w:b/>
                <w:color w:val="FFFFFF"/>
                <w:spacing w:val="-4"/>
                <w:sz w:val="20"/>
              </w:rPr>
              <w:t>male</w:t>
            </w:r>
          </w:p>
        </w:tc>
        <w:tc>
          <w:tcPr>
            <w:tcW w:w="792" w:type="dxa"/>
            <w:shd w:val="clear" w:color="auto" w:fill="234060"/>
          </w:tcPr>
          <w:p w14:paraId="6F70428B" w14:textId="77777777" w:rsidR="00811887" w:rsidRDefault="00811887" w:rsidP="00486E22">
            <w:pPr>
              <w:pStyle w:val="TableParagraph"/>
              <w:spacing w:before="1" w:line="237" w:lineRule="auto"/>
              <w:ind w:left="105" w:right="94" w:firstLine="35"/>
              <w:jc w:val="both"/>
              <w:rPr>
                <w:b/>
                <w:sz w:val="20"/>
              </w:rPr>
            </w:pPr>
            <w:r>
              <w:rPr>
                <w:b/>
                <w:color w:val="FFFFFF"/>
                <w:spacing w:val="-2"/>
                <w:sz w:val="20"/>
              </w:rPr>
              <w:t>Single older female</w:t>
            </w:r>
          </w:p>
        </w:tc>
        <w:tc>
          <w:tcPr>
            <w:tcW w:w="937" w:type="dxa"/>
            <w:shd w:val="clear" w:color="auto" w:fill="234060"/>
          </w:tcPr>
          <w:p w14:paraId="40B5CCD3" w14:textId="77777777" w:rsidR="00811887" w:rsidRDefault="00811887" w:rsidP="00486E22">
            <w:pPr>
              <w:pStyle w:val="TableParagraph"/>
              <w:spacing w:line="240" w:lineRule="auto"/>
              <w:ind w:left="134" w:firstLine="220"/>
              <w:rPr>
                <w:b/>
                <w:sz w:val="20"/>
              </w:rPr>
            </w:pPr>
            <w:r>
              <w:rPr>
                <w:b/>
                <w:color w:val="FFFFFF"/>
                <w:spacing w:val="-4"/>
                <w:sz w:val="20"/>
              </w:rPr>
              <w:t xml:space="preserve">All </w:t>
            </w:r>
            <w:r>
              <w:rPr>
                <w:b/>
                <w:color w:val="FFFFFF"/>
                <w:spacing w:val="-2"/>
                <w:sz w:val="20"/>
              </w:rPr>
              <w:t>persons</w:t>
            </w:r>
          </w:p>
        </w:tc>
      </w:tr>
      <w:tr w:rsidR="00811887" w14:paraId="0B222C54" w14:textId="77777777" w:rsidTr="00486E22">
        <w:trPr>
          <w:trHeight w:val="300"/>
        </w:trPr>
        <w:tc>
          <w:tcPr>
            <w:tcW w:w="705" w:type="dxa"/>
            <w:shd w:val="clear" w:color="auto" w:fill="234060"/>
          </w:tcPr>
          <w:p w14:paraId="4FE066E4" w14:textId="77777777" w:rsidR="00811887" w:rsidRDefault="00811887" w:rsidP="00486E22">
            <w:pPr>
              <w:pStyle w:val="TableParagraph"/>
              <w:ind w:left="23" w:right="97"/>
              <w:jc w:val="center"/>
              <w:rPr>
                <w:b/>
                <w:sz w:val="20"/>
              </w:rPr>
            </w:pPr>
            <w:r>
              <w:rPr>
                <w:b/>
                <w:color w:val="FFFFFF"/>
                <w:spacing w:val="-4"/>
                <w:sz w:val="20"/>
              </w:rPr>
              <w:t>2001</w:t>
            </w:r>
          </w:p>
        </w:tc>
        <w:tc>
          <w:tcPr>
            <w:tcW w:w="1271" w:type="dxa"/>
          </w:tcPr>
          <w:p w14:paraId="6ED81BCE" w14:textId="77777777" w:rsidR="00811887" w:rsidRDefault="00811887" w:rsidP="00486E22">
            <w:pPr>
              <w:pStyle w:val="TableParagraph"/>
              <w:ind w:left="11"/>
              <w:jc w:val="center"/>
              <w:rPr>
                <w:sz w:val="20"/>
              </w:rPr>
            </w:pPr>
            <w:r>
              <w:rPr>
                <w:spacing w:val="-5"/>
                <w:sz w:val="20"/>
              </w:rPr>
              <w:t>5.2</w:t>
            </w:r>
          </w:p>
        </w:tc>
        <w:tc>
          <w:tcPr>
            <w:tcW w:w="1271" w:type="dxa"/>
          </w:tcPr>
          <w:p w14:paraId="73AFAC03" w14:textId="77777777" w:rsidR="00811887" w:rsidRDefault="00811887" w:rsidP="00486E22">
            <w:pPr>
              <w:pStyle w:val="TableParagraph"/>
              <w:ind w:left="11" w:right="10"/>
              <w:jc w:val="center"/>
              <w:rPr>
                <w:sz w:val="20"/>
              </w:rPr>
            </w:pPr>
            <w:r>
              <w:rPr>
                <w:spacing w:val="-5"/>
                <w:sz w:val="20"/>
              </w:rPr>
              <w:t>7.9</w:t>
            </w:r>
          </w:p>
        </w:tc>
        <w:tc>
          <w:tcPr>
            <w:tcW w:w="805" w:type="dxa"/>
          </w:tcPr>
          <w:p w14:paraId="3566EACC" w14:textId="77777777" w:rsidR="00811887" w:rsidRDefault="00811887" w:rsidP="00486E22">
            <w:pPr>
              <w:pStyle w:val="TableParagraph"/>
              <w:ind w:left="5"/>
              <w:jc w:val="center"/>
              <w:rPr>
                <w:sz w:val="20"/>
              </w:rPr>
            </w:pPr>
            <w:r>
              <w:rPr>
                <w:spacing w:val="-4"/>
                <w:sz w:val="20"/>
              </w:rPr>
              <w:t>18.0</w:t>
            </w:r>
          </w:p>
        </w:tc>
        <w:tc>
          <w:tcPr>
            <w:tcW w:w="811" w:type="dxa"/>
          </w:tcPr>
          <w:p w14:paraId="484A69C1" w14:textId="77777777" w:rsidR="00811887" w:rsidRDefault="00811887" w:rsidP="00486E22">
            <w:pPr>
              <w:pStyle w:val="TableParagraph"/>
              <w:ind w:left="9"/>
              <w:jc w:val="center"/>
              <w:rPr>
                <w:sz w:val="20"/>
              </w:rPr>
            </w:pPr>
            <w:r>
              <w:rPr>
                <w:spacing w:val="-5"/>
                <w:sz w:val="20"/>
              </w:rPr>
              <w:t>8.5</w:t>
            </w:r>
          </w:p>
        </w:tc>
        <w:tc>
          <w:tcPr>
            <w:tcW w:w="811" w:type="dxa"/>
          </w:tcPr>
          <w:p w14:paraId="69C7DC30" w14:textId="77777777" w:rsidR="00811887" w:rsidRDefault="00811887" w:rsidP="00486E22">
            <w:pPr>
              <w:pStyle w:val="TableParagraph"/>
              <w:ind w:left="9"/>
              <w:jc w:val="center"/>
              <w:rPr>
                <w:sz w:val="20"/>
              </w:rPr>
            </w:pPr>
            <w:r>
              <w:rPr>
                <w:spacing w:val="-4"/>
                <w:sz w:val="20"/>
              </w:rPr>
              <w:t>11.8</w:t>
            </w:r>
          </w:p>
        </w:tc>
        <w:tc>
          <w:tcPr>
            <w:tcW w:w="811" w:type="dxa"/>
          </w:tcPr>
          <w:p w14:paraId="33571DCA" w14:textId="77777777" w:rsidR="00811887" w:rsidRDefault="00811887" w:rsidP="00486E22">
            <w:pPr>
              <w:pStyle w:val="TableParagraph"/>
              <w:ind w:left="9" w:right="2"/>
              <w:jc w:val="center"/>
              <w:rPr>
                <w:sz w:val="20"/>
              </w:rPr>
            </w:pPr>
            <w:r>
              <w:rPr>
                <w:spacing w:val="-5"/>
                <w:sz w:val="20"/>
              </w:rPr>
              <w:t>3.0</w:t>
            </w:r>
          </w:p>
        </w:tc>
        <w:tc>
          <w:tcPr>
            <w:tcW w:w="812" w:type="dxa"/>
          </w:tcPr>
          <w:p w14:paraId="301EADFE" w14:textId="77777777" w:rsidR="00811887" w:rsidRDefault="00811887" w:rsidP="00486E22">
            <w:pPr>
              <w:pStyle w:val="TableParagraph"/>
              <w:ind w:left="6" w:right="1"/>
              <w:jc w:val="center"/>
              <w:rPr>
                <w:sz w:val="20"/>
              </w:rPr>
            </w:pPr>
            <w:r>
              <w:rPr>
                <w:spacing w:val="-5"/>
                <w:sz w:val="20"/>
              </w:rPr>
              <w:t>3.9</w:t>
            </w:r>
          </w:p>
        </w:tc>
        <w:tc>
          <w:tcPr>
            <w:tcW w:w="792" w:type="dxa"/>
          </w:tcPr>
          <w:p w14:paraId="2405BA6C" w14:textId="77777777" w:rsidR="00811887" w:rsidRDefault="00811887" w:rsidP="00486E22">
            <w:pPr>
              <w:pStyle w:val="TableParagraph"/>
              <w:ind w:left="2"/>
              <w:jc w:val="center"/>
              <w:rPr>
                <w:sz w:val="20"/>
              </w:rPr>
            </w:pPr>
            <w:r>
              <w:rPr>
                <w:spacing w:val="-5"/>
                <w:sz w:val="20"/>
              </w:rPr>
              <w:t>6.1</w:t>
            </w:r>
          </w:p>
        </w:tc>
        <w:tc>
          <w:tcPr>
            <w:tcW w:w="937" w:type="dxa"/>
          </w:tcPr>
          <w:p w14:paraId="0ACD9036" w14:textId="77777777" w:rsidR="00811887" w:rsidRDefault="00811887" w:rsidP="00486E22">
            <w:pPr>
              <w:pStyle w:val="TableParagraph"/>
              <w:ind w:right="4"/>
              <w:jc w:val="center"/>
              <w:rPr>
                <w:sz w:val="20"/>
              </w:rPr>
            </w:pPr>
            <w:r>
              <w:rPr>
                <w:spacing w:val="-5"/>
                <w:sz w:val="20"/>
              </w:rPr>
              <w:t>8.2</w:t>
            </w:r>
          </w:p>
        </w:tc>
      </w:tr>
      <w:tr w:rsidR="00811887" w14:paraId="577A94CA" w14:textId="77777777" w:rsidTr="00486E22">
        <w:trPr>
          <w:trHeight w:val="300"/>
        </w:trPr>
        <w:tc>
          <w:tcPr>
            <w:tcW w:w="705" w:type="dxa"/>
            <w:shd w:val="clear" w:color="auto" w:fill="234060"/>
          </w:tcPr>
          <w:p w14:paraId="390B5BA5" w14:textId="77777777" w:rsidR="00811887" w:rsidRDefault="00811887" w:rsidP="00486E22">
            <w:pPr>
              <w:pStyle w:val="TableParagraph"/>
              <w:ind w:left="23" w:right="97"/>
              <w:jc w:val="center"/>
              <w:rPr>
                <w:b/>
                <w:sz w:val="20"/>
              </w:rPr>
            </w:pPr>
            <w:r>
              <w:rPr>
                <w:b/>
                <w:color w:val="FFFFFF"/>
                <w:spacing w:val="-4"/>
                <w:sz w:val="20"/>
              </w:rPr>
              <w:t>2002</w:t>
            </w:r>
          </w:p>
        </w:tc>
        <w:tc>
          <w:tcPr>
            <w:tcW w:w="1271" w:type="dxa"/>
          </w:tcPr>
          <w:p w14:paraId="03C7AD93" w14:textId="77777777" w:rsidR="00811887" w:rsidRDefault="00811887" w:rsidP="00486E22">
            <w:pPr>
              <w:pStyle w:val="TableParagraph"/>
              <w:ind w:left="11"/>
              <w:jc w:val="center"/>
              <w:rPr>
                <w:sz w:val="20"/>
              </w:rPr>
            </w:pPr>
            <w:r>
              <w:rPr>
                <w:spacing w:val="-5"/>
                <w:sz w:val="20"/>
              </w:rPr>
              <w:t>3.9</w:t>
            </w:r>
          </w:p>
        </w:tc>
        <w:tc>
          <w:tcPr>
            <w:tcW w:w="1271" w:type="dxa"/>
          </w:tcPr>
          <w:p w14:paraId="1E5A91B5" w14:textId="77777777" w:rsidR="00811887" w:rsidRDefault="00811887" w:rsidP="00486E22">
            <w:pPr>
              <w:pStyle w:val="TableParagraph"/>
              <w:ind w:left="11" w:right="10"/>
              <w:jc w:val="center"/>
              <w:rPr>
                <w:sz w:val="20"/>
              </w:rPr>
            </w:pPr>
            <w:r>
              <w:rPr>
                <w:spacing w:val="-5"/>
                <w:sz w:val="20"/>
              </w:rPr>
              <w:t>7.6</w:t>
            </w:r>
          </w:p>
        </w:tc>
        <w:tc>
          <w:tcPr>
            <w:tcW w:w="805" w:type="dxa"/>
          </w:tcPr>
          <w:p w14:paraId="1394942A" w14:textId="77777777" w:rsidR="00811887" w:rsidRDefault="00811887" w:rsidP="00486E22">
            <w:pPr>
              <w:pStyle w:val="TableParagraph"/>
              <w:ind w:left="5"/>
              <w:jc w:val="center"/>
              <w:rPr>
                <w:sz w:val="20"/>
              </w:rPr>
            </w:pPr>
            <w:r>
              <w:rPr>
                <w:spacing w:val="-4"/>
                <w:sz w:val="20"/>
              </w:rPr>
              <w:t>18.4</w:t>
            </w:r>
          </w:p>
        </w:tc>
        <w:tc>
          <w:tcPr>
            <w:tcW w:w="811" w:type="dxa"/>
          </w:tcPr>
          <w:p w14:paraId="4604C6B4" w14:textId="77777777" w:rsidR="00811887" w:rsidRDefault="00811887" w:rsidP="00486E22">
            <w:pPr>
              <w:pStyle w:val="TableParagraph"/>
              <w:ind w:left="9"/>
              <w:jc w:val="center"/>
              <w:rPr>
                <w:sz w:val="20"/>
              </w:rPr>
            </w:pPr>
            <w:r>
              <w:rPr>
                <w:spacing w:val="-5"/>
                <w:sz w:val="20"/>
              </w:rPr>
              <w:t>9.1</w:t>
            </w:r>
          </w:p>
        </w:tc>
        <w:tc>
          <w:tcPr>
            <w:tcW w:w="811" w:type="dxa"/>
          </w:tcPr>
          <w:p w14:paraId="4047D11D" w14:textId="77777777" w:rsidR="00811887" w:rsidRDefault="00811887" w:rsidP="00486E22">
            <w:pPr>
              <w:pStyle w:val="TableParagraph"/>
              <w:ind w:left="9"/>
              <w:jc w:val="center"/>
              <w:rPr>
                <w:sz w:val="20"/>
              </w:rPr>
            </w:pPr>
            <w:r>
              <w:rPr>
                <w:spacing w:val="-4"/>
                <w:sz w:val="20"/>
              </w:rPr>
              <w:t>13.8</w:t>
            </w:r>
          </w:p>
        </w:tc>
        <w:tc>
          <w:tcPr>
            <w:tcW w:w="811" w:type="dxa"/>
          </w:tcPr>
          <w:p w14:paraId="1E2E2AB1" w14:textId="77777777" w:rsidR="00811887" w:rsidRDefault="00811887" w:rsidP="00486E22">
            <w:pPr>
              <w:pStyle w:val="TableParagraph"/>
              <w:ind w:left="9" w:right="2"/>
              <w:jc w:val="center"/>
              <w:rPr>
                <w:sz w:val="20"/>
              </w:rPr>
            </w:pPr>
            <w:r>
              <w:rPr>
                <w:spacing w:val="-5"/>
                <w:sz w:val="20"/>
              </w:rPr>
              <w:t>3.4</w:t>
            </w:r>
          </w:p>
        </w:tc>
        <w:tc>
          <w:tcPr>
            <w:tcW w:w="812" w:type="dxa"/>
          </w:tcPr>
          <w:p w14:paraId="6C288404" w14:textId="77777777" w:rsidR="00811887" w:rsidRDefault="00811887" w:rsidP="00486E22">
            <w:pPr>
              <w:pStyle w:val="TableParagraph"/>
              <w:ind w:left="6" w:right="1"/>
              <w:jc w:val="center"/>
              <w:rPr>
                <w:sz w:val="20"/>
              </w:rPr>
            </w:pPr>
            <w:r>
              <w:rPr>
                <w:spacing w:val="-5"/>
                <w:sz w:val="20"/>
              </w:rPr>
              <w:t>5.8</w:t>
            </w:r>
          </w:p>
        </w:tc>
        <w:tc>
          <w:tcPr>
            <w:tcW w:w="792" w:type="dxa"/>
          </w:tcPr>
          <w:p w14:paraId="695D84BD" w14:textId="77777777" w:rsidR="00811887" w:rsidRDefault="00811887" w:rsidP="00486E22">
            <w:pPr>
              <w:pStyle w:val="TableParagraph"/>
              <w:ind w:left="2"/>
              <w:jc w:val="center"/>
              <w:rPr>
                <w:sz w:val="20"/>
              </w:rPr>
            </w:pPr>
            <w:r>
              <w:rPr>
                <w:spacing w:val="-5"/>
                <w:sz w:val="20"/>
              </w:rPr>
              <w:t>4.5</w:t>
            </w:r>
          </w:p>
        </w:tc>
        <w:tc>
          <w:tcPr>
            <w:tcW w:w="937" w:type="dxa"/>
          </w:tcPr>
          <w:p w14:paraId="43BA2718" w14:textId="77777777" w:rsidR="00811887" w:rsidRDefault="00811887" w:rsidP="00486E22">
            <w:pPr>
              <w:pStyle w:val="TableParagraph"/>
              <w:ind w:right="4"/>
              <w:jc w:val="center"/>
              <w:rPr>
                <w:sz w:val="20"/>
              </w:rPr>
            </w:pPr>
            <w:r>
              <w:rPr>
                <w:spacing w:val="-5"/>
                <w:sz w:val="20"/>
              </w:rPr>
              <w:t>8.0</w:t>
            </w:r>
          </w:p>
        </w:tc>
      </w:tr>
      <w:tr w:rsidR="00811887" w14:paraId="754688D2" w14:textId="77777777" w:rsidTr="00486E22">
        <w:trPr>
          <w:trHeight w:val="300"/>
        </w:trPr>
        <w:tc>
          <w:tcPr>
            <w:tcW w:w="705" w:type="dxa"/>
            <w:shd w:val="clear" w:color="auto" w:fill="234060"/>
          </w:tcPr>
          <w:p w14:paraId="14AAF7C1" w14:textId="77777777" w:rsidR="00811887" w:rsidRDefault="00811887" w:rsidP="00486E22">
            <w:pPr>
              <w:pStyle w:val="TableParagraph"/>
              <w:ind w:left="23" w:right="97"/>
              <w:jc w:val="center"/>
              <w:rPr>
                <w:b/>
                <w:sz w:val="20"/>
              </w:rPr>
            </w:pPr>
            <w:r>
              <w:rPr>
                <w:b/>
                <w:color w:val="FFFFFF"/>
                <w:spacing w:val="-4"/>
                <w:sz w:val="20"/>
              </w:rPr>
              <w:t>2003</w:t>
            </w:r>
          </w:p>
        </w:tc>
        <w:tc>
          <w:tcPr>
            <w:tcW w:w="1271" w:type="dxa"/>
          </w:tcPr>
          <w:p w14:paraId="7DEF6FF1" w14:textId="77777777" w:rsidR="00811887" w:rsidRDefault="00811887" w:rsidP="00486E22">
            <w:pPr>
              <w:pStyle w:val="TableParagraph"/>
              <w:ind w:left="11"/>
              <w:jc w:val="center"/>
              <w:rPr>
                <w:sz w:val="20"/>
              </w:rPr>
            </w:pPr>
            <w:r>
              <w:rPr>
                <w:spacing w:val="-5"/>
                <w:sz w:val="20"/>
              </w:rPr>
              <w:t>4.1</w:t>
            </w:r>
          </w:p>
        </w:tc>
        <w:tc>
          <w:tcPr>
            <w:tcW w:w="1271" w:type="dxa"/>
          </w:tcPr>
          <w:p w14:paraId="65A65FAB" w14:textId="77777777" w:rsidR="00811887" w:rsidRDefault="00811887" w:rsidP="00486E22">
            <w:pPr>
              <w:pStyle w:val="TableParagraph"/>
              <w:ind w:left="11" w:right="10"/>
              <w:jc w:val="center"/>
              <w:rPr>
                <w:sz w:val="20"/>
              </w:rPr>
            </w:pPr>
            <w:r>
              <w:rPr>
                <w:spacing w:val="-5"/>
                <w:sz w:val="20"/>
              </w:rPr>
              <w:t>7.8</w:t>
            </w:r>
          </w:p>
        </w:tc>
        <w:tc>
          <w:tcPr>
            <w:tcW w:w="805" w:type="dxa"/>
          </w:tcPr>
          <w:p w14:paraId="3AB10B59" w14:textId="77777777" w:rsidR="00811887" w:rsidRDefault="00811887" w:rsidP="00486E22">
            <w:pPr>
              <w:pStyle w:val="TableParagraph"/>
              <w:ind w:left="5"/>
              <w:jc w:val="center"/>
              <w:rPr>
                <w:sz w:val="20"/>
              </w:rPr>
            </w:pPr>
            <w:r>
              <w:rPr>
                <w:spacing w:val="-4"/>
                <w:sz w:val="20"/>
              </w:rPr>
              <w:t>17.5</w:t>
            </w:r>
          </w:p>
        </w:tc>
        <w:tc>
          <w:tcPr>
            <w:tcW w:w="811" w:type="dxa"/>
          </w:tcPr>
          <w:p w14:paraId="350D2236" w14:textId="77777777" w:rsidR="00811887" w:rsidRDefault="00811887" w:rsidP="00486E22">
            <w:pPr>
              <w:pStyle w:val="TableParagraph"/>
              <w:ind w:left="9"/>
              <w:jc w:val="center"/>
              <w:rPr>
                <w:sz w:val="20"/>
              </w:rPr>
            </w:pPr>
            <w:r>
              <w:rPr>
                <w:spacing w:val="-5"/>
                <w:sz w:val="20"/>
              </w:rPr>
              <w:t>9.9</w:t>
            </w:r>
          </w:p>
        </w:tc>
        <w:tc>
          <w:tcPr>
            <w:tcW w:w="811" w:type="dxa"/>
          </w:tcPr>
          <w:p w14:paraId="53E63307" w14:textId="77777777" w:rsidR="00811887" w:rsidRDefault="00811887" w:rsidP="00486E22">
            <w:pPr>
              <w:pStyle w:val="TableParagraph"/>
              <w:ind w:left="9"/>
              <w:jc w:val="center"/>
              <w:rPr>
                <w:sz w:val="20"/>
              </w:rPr>
            </w:pPr>
            <w:r>
              <w:rPr>
                <w:spacing w:val="-4"/>
                <w:sz w:val="20"/>
              </w:rPr>
              <w:t>12.9</w:t>
            </w:r>
          </w:p>
        </w:tc>
        <w:tc>
          <w:tcPr>
            <w:tcW w:w="811" w:type="dxa"/>
          </w:tcPr>
          <w:p w14:paraId="41408356" w14:textId="77777777" w:rsidR="00811887" w:rsidRDefault="00811887" w:rsidP="00486E22">
            <w:pPr>
              <w:pStyle w:val="TableParagraph"/>
              <w:ind w:left="9" w:right="2"/>
              <w:jc w:val="center"/>
              <w:rPr>
                <w:sz w:val="20"/>
              </w:rPr>
            </w:pPr>
            <w:r>
              <w:rPr>
                <w:spacing w:val="-5"/>
                <w:sz w:val="20"/>
              </w:rPr>
              <w:t>2.4</w:t>
            </w:r>
          </w:p>
        </w:tc>
        <w:tc>
          <w:tcPr>
            <w:tcW w:w="812" w:type="dxa"/>
          </w:tcPr>
          <w:p w14:paraId="62FB5461" w14:textId="77777777" w:rsidR="00811887" w:rsidRDefault="00811887" w:rsidP="00486E22">
            <w:pPr>
              <w:pStyle w:val="TableParagraph"/>
              <w:ind w:left="6" w:right="1"/>
              <w:jc w:val="center"/>
              <w:rPr>
                <w:sz w:val="20"/>
              </w:rPr>
            </w:pPr>
            <w:r>
              <w:rPr>
                <w:spacing w:val="-5"/>
                <w:sz w:val="20"/>
              </w:rPr>
              <w:t>6.8</w:t>
            </w:r>
          </w:p>
        </w:tc>
        <w:tc>
          <w:tcPr>
            <w:tcW w:w="792" w:type="dxa"/>
          </w:tcPr>
          <w:p w14:paraId="5EE0FAC8" w14:textId="77777777" w:rsidR="00811887" w:rsidRDefault="00811887" w:rsidP="00486E22">
            <w:pPr>
              <w:pStyle w:val="TableParagraph"/>
              <w:ind w:left="2"/>
              <w:jc w:val="center"/>
              <w:rPr>
                <w:sz w:val="20"/>
              </w:rPr>
            </w:pPr>
            <w:r>
              <w:rPr>
                <w:spacing w:val="-5"/>
                <w:sz w:val="20"/>
              </w:rPr>
              <w:t>5.5</w:t>
            </w:r>
          </w:p>
        </w:tc>
        <w:tc>
          <w:tcPr>
            <w:tcW w:w="937" w:type="dxa"/>
          </w:tcPr>
          <w:p w14:paraId="7801B9EC" w14:textId="77777777" w:rsidR="00811887" w:rsidRDefault="00811887" w:rsidP="00486E22">
            <w:pPr>
              <w:pStyle w:val="TableParagraph"/>
              <w:ind w:right="4"/>
              <w:jc w:val="center"/>
              <w:rPr>
                <w:sz w:val="20"/>
              </w:rPr>
            </w:pPr>
            <w:r>
              <w:rPr>
                <w:spacing w:val="-5"/>
                <w:sz w:val="20"/>
              </w:rPr>
              <w:t>8.0</w:t>
            </w:r>
          </w:p>
        </w:tc>
      </w:tr>
      <w:tr w:rsidR="00811887" w14:paraId="3C4B21B0" w14:textId="77777777" w:rsidTr="00486E22">
        <w:trPr>
          <w:trHeight w:val="300"/>
        </w:trPr>
        <w:tc>
          <w:tcPr>
            <w:tcW w:w="705" w:type="dxa"/>
            <w:shd w:val="clear" w:color="auto" w:fill="234060"/>
          </w:tcPr>
          <w:p w14:paraId="2DFBC452" w14:textId="77777777" w:rsidR="00811887" w:rsidRDefault="00811887" w:rsidP="00486E22">
            <w:pPr>
              <w:pStyle w:val="TableParagraph"/>
              <w:ind w:left="23" w:right="97"/>
              <w:jc w:val="center"/>
              <w:rPr>
                <w:b/>
                <w:sz w:val="20"/>
              </w:rPr>
            </w:pPr>
            <w:r>
              <w:rPr>
                <w:b/>
                <w:color w:val="FFFFFF"/>
                <w:spacing w:val="-4"/>
                <w:sz w:val="20"/>
              </w:rPr>
              <w:t>2004</w:t>
            </w:r>
          </w:p>
        </w:tc>
        <w:tc>
          <w:tcPr>
            <w:tcW w:w="1271" w:type="dxa"/>
          </w:tcPr>
          <w:p w14:paraId="2EA74426" w14:textId="77777777" w:rsidR="00811887" w:rsidRDefault="00811887" w:rsidP="00486E22">
            <w:pPr>
              <w:pStyle w:val="TableParagraph"/>
              <w:ind w:left="11"/>
              <w:jc w:val="center"/>
              <w:rPr>
                <w:sz w:val="20"/>
              </w:rPr>
            </w:pPr>
            <w:r>
              <w:rPr>
                <w:spacing w:val="-5"/>
                <w:sz w:val="20"/>
              </w:rPr>
              <w:t>4.6</w:t>
            </w:r>
          </w:p>
        </w:tc>
        <w:tc>
          <w:tcPr>
            <w:tcW w:w="1271" w:type="dxa"/>
          </w:tcPr>
          <w:p w14:paraId="61EE2EC8" w14:textId="77777777" w:rsidR="00811887" w:rsidRDefault="00811887" w:rsidP="00486E22">
            <w:pPr>
              <w:pStyle w:val="TableParagraph"/>
              <w:ind w:left="11" w:right="10"/>
              <w:jc w:val="center"/>
              <w:rPr>
                <w:sz w:val="20"/>
              </w:rPr>
            </w:pPr>
            <w:r>
              <w:rPr>
                <w:spacing w:val="-5"/>
                <w:sz w:val="20"/>
              </w:rPr>
              <w:t>7.5</w:t>
            </w:r>
          </w:p>
        </w:tc>
        <w:tc>
          <w:tcPr>
            <w:tcW w:w="805" w:type="dxa"/>
          </w:tcPr>
          <w:p w14:paraId="0985ABB7" w14:textId="77777777" w:rsidR="00811887" w:rsidRDefault="00811887" w:rsidP="00486E22">
            <w:pPr>
              <w:pStyle w:val="TableParagraph"/>
              <w:ind w:left="5"/>
              <w:jc w:val="center"/>
              <w:rPr>
                <w:sz w:val="20"/>
              </w:rPr>
            </w:pPr>
            <w:r>
              <w:rPr>
                <w:spacing w:val="-4"/>
                <w:sz w:val="20"/>
              </w:rPr>
              <w:t>17.1</w:t>
            </w:r>
          </w:p>
        </w:tc>
        <w:tc>
          <w:tcPr>
            <w:tcW w:w="811" w:type="dxa"/>
          </w:tcPr>
          <w:p w14:paraId="68194506" w14:textId="77777777" w:rsidR="00811887" w:rsidRDefault="00811887" w:rsidP="00486E22">
            <w:pPr>
              <w:pStyle w:val="TableParagraph"/>
              <w:ind w:left="9"/>
              <w:jc w:val="center"/>
              <w:rPr>
                <w:sz w:val="20"/>
              </w:rPr>
            </w:pPr>
            <w:r>
              <w:rPr>
                <w:spacing w:val="-4"/>
                <w:sz w:val="20"/>
              </w:rPr>
              <w:t>10.1</w:t>
            </w:r>
          </w:p>
        </w:tc>
        <w:tc>
          <w:tcPr>
            <w:tcW w:w="811" w:type="dxa"/>
          </w:tcPr>
          <w:p w14:paraId="2C79E434" w14:textId="77777777" w:rsidR="00811887" w:rsidRDefault="00811887" w:rsidP="00486E22">
            <w:pPr>
              <w:pStyle w:val="TableParagraph"/>
              <w:ind w:left="9"/>
              <w:jc w:val="center"/>
              <w:rPr>
                <w:sz w:val="20"/>
              </w:rPr>
            </w:pPr>
            <w:r>
              <w:rPr>
                <w:spacing w:val="-4"/>
                <w:sz w:val="20"/>
              </w:rPr>
              <w:t>13.2</w:t>
            </w:r>
          </w:p>
        </w:tc>
        <w:tc>
          <w:tcPr>
            <w:tcW w:w="811" w:type="dxa"/>
          </w:tcPr>
          <w:p w14:paraId="5B345D61" w14:textId="77777777" w:rsidR="00811887" w:rsidRDefault="00811887" w:rsidP="00486E22">
            <w:pPr>
              <w:pStyle w:val="TableParagraph"/>
              <w:ind w:left="9" w:right="2"/>
              <w:jc w:val="center"/>
              <w:rPr>
                <w:sz w:val="20"/>
              </w:rPr>
            </w:pPr>
            <w:r>
              <w:rPr>
                <w:spacing w:val="-5"/>
                <w:sz w:val="20"/>
              </w:rPr>
              <w:t>2.2</w:t>
            </w:r>
          </w:p>
        </w:tc>
        <w:tc>
          <w:tcPr>
            <w:tcW w:w="812" w:type="dxa"/>
          </w:tcPr>
          <w:p w14:paraId="02EF3ED0" w14:textId="77777777" w:rsidR="00811887" w:rsidRDefault="00811887" w:rsidP="00486E22">
            <w:pPr>
              <w:pStyle w:val="TableParagraph"/>
              <w:ind w:left="6" w:right="1"/>
              <w:jc w:val="center"/>
              <w:rPr>
                <w:sz w:val="20"/>
              </w:rPr>
            </w:pPr>
            <w:r>
              <w:rPr>
                <w:spacing w:val="-5"/>
                <w:sz w:val="20"/>
              </w:rPr>
              <w:t>7.2</w:t>
            </w:r>
          </w:p>
        </w:tc>
        <w:tc>
          <w:tcPr>
            <w:tcW w:w="792" w:type="dxa"/>
          </w:tcPr>
          <w:p w14:paraId="2F496C9B" w14:textId="77777777" w:rsidR="00811887" w:rsidRDefault="00811887" w:rsidP="00486E22">
            <w:pPr>
              <w:pStyle w:val="TableParagraph"/>
              <w:ind w:left="2"/>
              <w:jc w:val="center"/>
              <w:rPr>
                <w:sz w:val="20"/>
              </w:rPr>
            </w:pPr>
            <w:r>
              <w:rPr>
                <w:spacing w:val="-5"/>
                <w:sz w:val="20"/>
              </w:rPr>
              <w:t>5.2</w:t>
            </w:r>
          </w:p>
        </w:tc>
        <w:tc>
          <w:tcPr>
            <w:tcW w:w="937" w:type="dxa"/>
          </w:tcPr>
          <w:p w14:paraId="2ED8553F" w14:textId="77777777" w:rsidR="00811887" w:rsidRDefault="00811887" w:rsidP="00486E22">
            <w:pPr>
              <w:pStyle w:val="TableParagraph"/>
              <w:ind w:right="4"/>
              <w:jc w:val="center"/>
              <w:rPr>
                <w:sz w:val="20"/>
              </w:rPr>
            </w:pPr>
            <w:r>
              <w:rPr>
                <w:spacing w:val="-5"/>
                <w:sz w:val="20"/>
              </w:rPr>
              <w:t>8.0</w:t>
            </w:r>
          </w:p>
        </w:tc>
      </w:tr>
      <w:tr w:rsidR="00811887" w14:paraId="05D61A18" w14:textId="77777777" w:rsidTr="00486E22">
        <w:trPr>
          <w:trHeight w:val="300"/>
        </w:trPr>
        <w:tc>
          <w:tcPr>
            <w:tcW w:w="705" w:type="dxa"/>
            <w:shd w:val="clear" w:color="auto" w:fill="234060"/>
          </w:tcPr>
          <w:p w14:paraId="29582193" w14:textId="77777777" w:rsidR="00811887" w:rsidRDefault="00811887" w:rsidP="00486E22">
            <w:pPr>
              <w:pStyle w:val="TableParagraph"/>
              <w:ind w:left="23" w:right="97"/>
              <w:jc w:val="center"/>
              <w:rPr>
                <w:b/>
                <w:sz w:val="20"/>
              </w:rPr>
            </w:pPr>
            <w:r>
              <w:rPr>
                <w:b/>
                <w:color w:val="FFFFFF"/>
                <w:spacing w:val="-4"/>
                <w:sz w:val="20"/>
              </w:rPr>
              <w:t>2005</w:t>
            </w:r>
          </w:p>
        </w:tc>
        <w:tc>
          <w:tcPr>
            <w:tcW w:w="1271" w:type="dxa"/>
          </w:tcPr>
          <w:p w14:paraId="350CC691" w14:textId="77777777" w:rsidR="00811887" w:rsidRDefault="00811887" w:rsidP="00486E22">
            <w:pPr>
              <w:pStyle w:val="TableParagraph"/>
              <w:ind w:left="11"/>
              <w:jc w:val="center"/>
              <w:rPr>
                <w:sz w:val="20"/>
              </w:rPr>
            </w:pPr>
            <w:r>
              <w:rPr>
                <w:spacing w:val="-5"/>
                <w:sz w:val="20"/>
              </w:rPr>
              <w:t>4.7</w:t>
            </w:r>
          </w:p>
        </w:tc>
        <w:tc>
          <w:tcPr>
            <w:tcW w:w="1271" w:type="dxa"/>
          </w:tcPr>
          <w:p w14:paraId="462A6B10" w14:textId="77777777" w:rsidR="00811887" w:rsidRDefault="00811887" w:rsidP="00486E22">
            <w:pPr>
              <w:pStyle w:val="TableParagraph"/>
              <w:ind w:left="11" w:right="10"/>
              <w:jc w:val="center"/>
              <w:rPr>
                <w:sz w:val="20"/>
              </w:rPr>
            </w:pPr>
            <w:r>
              <w:rPr>
                <w:spacing w:val="-5"/>
                <w:sz w:val="20"/>
              </w:rPr>
              <w:t>7.7</w:t>
            </w:r>
          </w:p>
        </w:tc>
        <w:tc>
          <w:tcPr>
            <w:tcW w:w="805" w:type="dxa"/>
          </w:tcPr>
          <w:p w14:paraId="645A1C1A" w14:textId="77777777" w:rsidR="00811887" w:rsidRDefault="00811887" w:rsidP="00486E22">
            <w:pPr>
              <w:pStyle w:val="TableParagraph"/>
              <w:ind w:left="5"/>
              <w:jc w:val="center"/>
              <w:rPr>
                <w:sz w:val="20"/>
              </w:rPr>
            </w:pPr>
            <w:r>
              <w:rPr>
                <w:spacing w:val="-4"/>
                <w:sz w:val="20"/>
              </w:rPr>
              <w:t>18.3</w:t>
            </w:r>
          </w:p>
        </w:tc>
        <w:tc>
          <w:tcPr>
            <w:tcW w:w="811" w:type="dxa"/>
          </w:tcPr>
          <w:p w14:paraId="6FF502BC" w14:textId="77777777" w:rsidR="00811887" w:rsidRDefault="00811887" w:rsidP="00486E22">
            <w:pPr>
              <w:pStyle w:val="TableParagraph"/>
              <w:ind w:left="9"/>
              <w:jc w:val="center"/>
              <w:rPr>
                <w:sz w:val="20"/>
              </w:rPr>
            </w:pPr>
            <w:r>
              <w:rPr>
                <w:spacing w:val="-5"/>
                <w:sz w:val="20"/>
              </w:rPr>
              <w:t>8.2</w:t>
            </w:r>
          </w:p>
        </w:tc>
        <w:tc>
          <w:tcPr>
            <w:tcW w:w="811" w:type="dxa"/>
          </w:tcPr>
          <w:p w14:paraId="2576D8B7" w14:textId="77777777" w:rsidR="00811887" w:rsidRDefault="00811887" w:rsidP="00486E22">
            <w:pPr>
              <w:pStyle w:val="TableParagraph"/>
              <w:ind w:left="9"/>
              <w:jc w:val="center"/>
              <w:rPr>
                <w:sz w:val="20"/>
              </w:rPr>
            </w:pPr>
            <w:r>
              <w:rPr>
                <w:spacing w:val="-4"/>
                <w:sz w:val="20"/>
              </w:rPr>
              <w:t>10.6</w:t>
            </w:r>
          </w:p>
        </w:tc>
        <w:tc>
          <w:tcPr>
            <w:tcW w:w="811" w:type="dxa"/>
          </w:tcPr>
          <w:p w14:paraId="5B64A60B" w14:textId="77777777" w:rsidR="00811887" w:rsidRDefault="00811887" w:rsidP="00486E22">
            <w:pPr>
              <w:pStyle w:val="TableParagraph"/>
              <w:ind w:left="9" w:right="2"/>
              <w:jc w:val="center"/>
              <w:rPr>
                <w:sz w:val="20"/>
              </w:rPr>
            </w:pPr>
            <w:r>
              <w:rPr>
                <w:spacing w:val="-5"/>
                <w:sz w:val="20"/>
              </w:rPr>
              <w:t>3.2</w:t>
            </w:r>
          </w:p>
        </w:tc>
        <w:tc>
          <w:tcPr>
            <w:tcW w:w="812" w:type="dxa"/>
          </w:tcPr>
          <w:p w14:paraId="3F42CB5D" w14:textId="77777777" w:rsidR="00811887" w:rsidRDefault="00811887" w:rsidP="00486E22">
            <w:pPr>
              <w:pStyle w:val="TableParagraph"/>
              <w:ind w:left="6" w:right="1"/>
              <w:jc w:val="center"/>
              <w:rPr>
                <w:sz w:val="20"/>
              </w:rPr>
            </w:pPr>
            <w:r>
              <w:rPr>
                <w:spacing w:val="-5"/>
                <w:sz w:val="20"/>
              </w:rPr>
              <w:t>6.1</w:t>
            </w:r>
          </w:p>
        </w:tc>
        <w:tc>
          <w:tcPr>
            <w:tcW w:w="792" w:type="dxa"/>
          </w:tcPr>
          <w:p w14:paraId="008080B0" w14:textId="77777777" w:rsidR="00811887" w:rsidRDefault="00811887" w:rsidP="00486E22">
            <w:pPr>
              <w:pStyle w:val="TableParagraph"/>
              <w:ind w:left="2" w:right="1"/>
              <w:jc w:val="center"/>
              <w:rPr>
                <w:sz w:val="20"/>
              </w:rPr>
            </w:pPr>
            <w:r>
              <w:rPr>
                <w:spacing w:val="-5"/>
                <w:sz w:val="20"/>
              </w:rPr>
              <w:t>6.0</w:t>
            </w:r>
          </w:p>
        </w:tc>
        <w:tc>
          <w:tcPr>
            <w:tcW w:w="937" w:type="dxa"/>
          </w:tcPr>
          <w:p w14:paraId="5CD58181" w14:textId="77777777" w:rsidR="00811887" w:rsidRDefault="00811887" w:rsidP="00486E22">
            <w:pPr>
              <w:pStyle w:val="TableParagraph"/>
              <w:ind w:right="4"/>
              <w:jc w:val="center"/>
              <w:rPr>
                <w:sz w:val="20"/>
              </w:rPr>
            </w:pPr>
            <w:r>
              <w:rPr>
                <w:spacing w:val="-5"/>
                <w:sz w:val="20"/>
              </w:rPr>
              <w:t>7.8</w:t>
            </w:r>
          </w:p>
        </w:tc>
      </w:tr>
      <w:tr w:rsidR="00811887" w14:paraId="4C5F2E9D" w14:textId="77777777" w:rsidTr="00486E22">
        <w:trPr>
          <w:trHeight w:val="300"/>
        </w:trPr>
        <w:tc>
          <w:tcPr>
            <w:tcW w:w="705" w:type="dxa"/>
            <w:shd w:val="clear" w:color="auto" w:fill="234060"/>
          </w:tcPr>
          <w:p w14:paraId="01B3BCB3" w14:textId="77777777" w:rsidR="00811887" w:rsidRDefault="00811887" w:rsidP="00486E22">
            <w:pPr>
              <w:pStyle w:val="TableParagraph"/>
              <w:spacing w:line="240" w:lineRule="auto"/>
              <w:ind w:left="23" w:right="97"/>
              <w:jc w:val="center"/>
              <w:rPr>
                <w:b/>
                <w:sz w:val="20"/>
              </w:rPr>
            </w:pPr>
            <w:r>
              <w:rPr>
                <w:b/>
                <w:color w:val="FFFFFF"/>
                <w:spacing w:val="-4"/>
                <w:sz w:val="20"/>
              </w:rPr>
              <w:t>2006</w:t>
            </w:r>
          </w:p>
        </w:tc>
        <w:tc>
          <w:tcPr>
            <w:tcW w:w="1271" w:type="dxa"/>
          </w:tcPr>
          <w:p w14:paraId="675AD86C" w14:textId="77777777" w:rsidR="00811887" w:rsidRDefault="00811887" w:rsidP="00486E22">
            <w:pPr>
              <w:pStyle w:val="TableParagraph"/>
              <w:spacing w:line="240" w:lineRule="auto"/>
              <w:ind w:left="11"/>
              <w:jc w:val="center"/>
              <w:rPr>
                <w:sz w:val="20"/>
              </w:rPr>
            </w:pPr>
            <w:r>
              <w:rPr>
                <w:spacing w:val="-5"/>
                <w:sz w:val="20"/>
              </w:rPr>
              <w:t>4.3</w:t>
            </w:r>
          </w:p>
        </w:tc>
        <w:tc>
          <w:tcPr>
            <w:tcW w:w="1271" w:type="dxa"/>
          </w:tcPr>
          <w:p w14:paraId="232D8653" w14:textId="77777777" w:rsidR="00811887" w:rsidRDefault="00811887" w:rsidP="00486E22">
            <w:pPr>
              <w:pStyle w:val="TableParagraph"/>
              <w:spacing w:line="240" w:lineRule="auto"/>
              <w:ind w:left="11" w:right="11"/>
              <w:jc w:val="center"/>
              <w:rPr>
                <w:sz w:val="20"/>
              </w:rPr>
            </w:pPr>
            <w:r>
              <w:rPr>
                <w:spacing w:val="-5"/>
                <w:sz w:val="20"/>
              </w:rPr>
              <w:t>8.0</w:t>
            </w:r>
          </w:p>
        </w:tc>
        <w:tc>
          <w:tcPr>
            <w:tcW w:w="805" w:type="dxa"/>
          </w:tcPr>
          <w:p w14:paraId="2486D587" w14:textId="77777777" w:rsidR="00811887" w:rsidRDefault="00811887" w:rsidP="00486E22">
            <w:pPr>
              <w:pStyle w:val="TableParagraph"/>
              <w:spacing w:line="240" w:lineRule="auto"/>
              <w:ind w:left="5"/>
              <w:jc w:val="center"/>
              <w:rPr>
                <w:sz w:val="20"/>
              </w:rPr>
            </w:pPr>
            <w:r>
              <w:rPr>
                <w:spacing w:val="-4"/>
                <w:sz w:val="20"/>
              </w:rPr>
              <w:t>18.3</w:t>
            </w:r>
          </w:p>
        </w:tc>
        <w:tc>
          <w:tcPr>
            <w:tcW w:w="811" w:type="dxa"/>
          </w:tcPr>
          <w:p w14:paraId="63BA586F" w14:textId="77777777" w:rsidR="00811887" w:rsidRDefault="00811887" w:rsidP="00486E22">
            <w:pPr>
              <w:pStyle w:val="TableParagraph"/>
              <w:spacing w:line="240" w:lineRule="auto"/>
              <w:ind w:left="9"/>
              <w:jc w:val="center"/>
              <w:rPr>
                <w:sz w:val="20"/>
              </w:rPr>
            </w:pPr>
            <w:r>
              <w:rPr>
                <w:spacing w:val="-4"/>
                <w:sz w:val="20"/>
              </w:rPr>
              <w:t>11.0</w:t>
            </w:r>
          </w:p>
        </w:tc>
        <w:tc>
          <w:tcPr>
            <w:tcW w:w="811" w:type="dxa"/>
          </w:tcPr>
          <w:p w14:paraId="7EDF8398" w14:textId="77777777" w:rsidR="00811887" w:rsidRDefault="00811887" w:rsidP="00486E22">
            <w:pPr>
              <w:pStyle w:val="TableParagraph"/>
              <w:spacing w:line="240" w:lineRule="auto"/>
              <w:ind w:left="9"/>
              <w:jc w:val="center"/>
              <w:rPr>
                <w:sz w:val="20"/>
              </w:rPr>
            </w:pPr>
            <w:r>
              <w:rPr>
                <w:spacing w:val="-4"/>
                <w:sz w:val="20"/>
              </w:rPr>
              <w:t>11.4</w:t>
            </w:r>
          </w:p>
        </w:tc>
        <w:tc>
          <w:tcPr>
            <w:tcW w:w="811" w:type="dxa"/>
          </w:tcPr>
          <w:p w14:paraId="5FC86649" w14:textId="77777777" w:rsidR="00811887" w:rsidRDefault="00811887" w:rsidP="00486E22">
            <w:pPr>
              <w:pStyle w:val="TableParagraph"/>
              <w:spacing w:line="240" w:lineRule="auto"/>
              <w:ind w:left="9" w:right="2"/>
              <w:jc w:val="center"/>
              <w:rPr>
                <w:sz w:val="20"/>
              </w:rPr>
            </w:pPr>
            <w:r>
              <w:rPr>
                <w:spacing w:val="-5"/>
                <w:sz w:val="20"/>
              </w:rPr>
              <w:t>4.9</w:t>
            </w:r>
          </w:p>
        </w:tc>
        <w:tc>
          <w:tcPr>
            <w:tcW w:w="812" w:type="dxa"/>
          </w:tcPr>
          <w:p w14:paraId="2608F954" w14:textId="77777777" w:rsidR="00811887" w:rsidRDefault="00811887" w:rsidP="00486E22">
            <w:pPr>
              <w:pStyle w:val="TableParagraph"/>
              <w:spacing w:line="240" w:lineRule="auto"/>
              <w:ind w:left="6" w:right="1"/>
              <w:jc w:val="center"/>
              <w:rPr>
                <w:sz w:val="20"/>
              </w:rPr>
            </w:pPr>
            <w:r>
              <w:rPr>
                <w:spacing w:val="-5"/>
                <w:sz w:val="20"/>
              </w:rPr>
              <w:t>7.7</w:t>
            </w:r>
          </w:p>
        </w:tc>
        <w:tc>
          <w:tcPr>
            <w:tcW w:w="792" w:type="dxa"/>
          </w:tcPr>
          <w:p w14:paraId="4151DA31" w14:textId="77777777" w:rsidR="00811887" w:rsidRDefault="00811887" w:rsidP="00486E22">
            <w:pPr>
              <w:pStyle w:val="TableParagraph"/>
              <w:spacing w:line="240" w:lineRule="auto"/>
              <w:ind w:left="2"/>
              <w:jc w:val="center"/>
              <w:rPr>
                <w:sz w:val="20"/>
              </w:rPr>
            </w:pPr>
            <w:r>
              <w:rPr>
                <w:spacing w:val="-5"/>
                <w:sz w:val="20"/>
              </w:rPr>
              <w:t>6.9</w:t>
            </w:r>
          </w:p>
        </w:tc>
        <w:tc>
          <w:tcPr>
            <w:tcW w:w="937" w:type="dxa"/>
          </w:tcPr>
          <w:p w14:paraId="7C2C58FF" w14:textId="77777777" w:rsidR="00811887" w:rsidRDefault="00811887" w:rsidP="00486E22">
            <w:pPr>
              <w:pStyle w:val="TableParagraph"/>
              <w:spacing w:line="240" w:lineRule="auto"/>
              <w:ind w:right="4"/>
              <w:jc w:val="center"/>
              <w:rPr>
                <w:sz w:val="20"/>
              </w:rPr>
            </w:pPr>
            <w:r>
              <w:rPr>
                <w:spacing w:val="-5"/>
                <w:sz w:val="20"/>
              </w:rPr>
              <w:t>8.4</w:t>
            </w:r>
          </w:p>
        </w:tc>
      </w:tr>
      <w:tr w:rsidR="00811887" w14:paraId="4777E1FE" w14:textId="77777777" w:rsidTr="00486E22">
        <w:trPr>
          <w:trHeight w:val="300"/>
        </w:trPr>
        <w:tc>
          <w:tcPr>
            <w:tcW w:w="705" w:type="dxa"/>
            <w:shd w:val="clear" w:color="auto" w:fill="234060"/>
          </w:tcPr>
          <w:p w14:paraId="7A8C2029" w14:textId="77777777" w:rsidR="00811887" w:rsidRDefault="00811887" w:rsidP="00486E22">
            <w:pPr>
              <w:pStyle w:val="TableParagraph"/>
              <w:ind w:left="23" w:right="97"/>
              <w:jc w:val="center"/>
              <w:rPr>
                <w:b/>
                <w:sz w:val="20"/>
              </w:rPr>
            </w:pPr>
            <w:r>
              <w:rPr>
                <w:b/>
                <w:color w:val="FFFFFF"/>
                <w:spacing w:val="-4"/>
                <w:sz w:val="20"/>
              </w:rPr>
              <w:t>2007</w:t>
            </w:r>
          </w:p>
        </w:tc>
        <w:tc>
          <w:tcPr>
            <w:tcW w:w="1271" w:type="dxa"/>
          </w:tcPr>
          <w:p w14:paraId="6CBAD102" w14:textId="77777777" w:rsidR="00811887" w:rsidRDefault="00811887" w:rsidP="00486E22">
            <w:pPr>
              <w:pStyle w:val="TableParagraph"/>
              <w:ind w:left="11"/>
              <w:jc w:val="center"/>
              <w:rPr>
                <w:sz w:val="20"/>
              </w:rPr>
            </w:pPr>
            <w:r>
              <w:rPr>
                <w:spacing w:val="-5"/>
                <w:sz w:val="20"/>
              </w:rPr>
              <w:t>5.1</w:t>
            </w:r>
          </w:p>
        </w:tc>
        <w:tc>
          <w:tcPr>
            <w:tcW w:w="1271" w:type="dxa"/>
          </w:tcPr>
          <w:p w14:paraId="55F12D57" w14:textId="77777777" w:rsidR="00811887" w:rsidRDefault="00811887" w:rsidP="00486E22">
            <w:pPr>
              <w:pStyle w:val="TableParagraph"/>
              <w:ind w:left="11" w:right="10"/>
              <w:jc w:val="center"/>
              <w:rPr>
                <w:sz w:val="20"/>
              </w:rPr>
            </w:pPr>
            <w:r>
              <w:rPr>
                <w:spacing w:val="-4"/>
                <w:sz w:val="20"/>
              </w:rPr>
              <w:t>10.2</w:t>
            </w:r>
          </w:p>
        </w:tc>
        <w:tc>
          <w:tcPr>
            <w:tcW w:w="805" w:type="dxa"/>
          </w:tcPr>
          <w:p w14:paraId="206546F0" w14:textId="77777777" w:rsidR="00811887" w:rsidRDefault="00811887" w:rsidP="00486E22">
            <w:pPr>
              <w:pStyle w:val="TableParagraph"/>
              <w:ind w:left="5"/>
              <w:jc w:val="center"/>
              <w:rPr>
                <w:sz w:val="20"/>
              </w:rPr>
            </w:pPr>
            <w:r>
              <w:rPr>
                <w:spacing w:val="-4"/>
                <w:sz w:val="20"/>
              </w:rPr>
              <w:t>17.8</w:t>
            </w:r>
          </w:p>
        </w:tc>
        <w:tc>
          <w:tcPr>
            <w:tcW w:w="811" w:type="dxa"/>
          </w:tcPr>
          <w:p w14:paraId="685F20FA" w14:textId="77777777" w:rsidR="00811887" w:rsidRDefault="00811887" w:rsidP="00486E22">
            <w:pPr>
              <w:pStyle w:val="TableParagraph"/>
              <w:ind w:left="9"/>
              <w:jc w:val="center"/>
              <w:rPr>
                <w:sz w:val="20"/>
              </w:rPr>
            </w:pPr>
            <w:r>
              <w:rPr>
                <w:spacing w:val="-4"/>
                <w:sz w:val="20"/>
              </w:rPr>
              <w:t>11.4</w:t>
            </w:r>
          </w:p>
        </w:tc>
        <w:tc>
          <w:tcPr>
            <w:tcW w:w="811" w:type="dxa"/>
          </w:tcPr>
          <w:p w14:paraId="24811514" w14:textId="77777777" w:rsidR="00811887" w:rsidRDefault="00811887" w:rsidP="00486E22">
            <w:pPr>
              <w:pStyle w:val="TableParagraph"/>
              <w:ind w:left="9"/>
              <w:jc w:val="center"/>
              <w:rPr>
                <w:sz w:val="20"/>
              </w:rPr>
            </w:pPr>
            <w:r>
              <w:rPr>
                <w:spacing w:val="-4"/>
                <w:sz w:val="20"/>
              </w:rPr>
              <w:t>12.2</w:t>
            </w:r>
          </w:p>
        </w:tc>
        <w:tc>
          <w:tcPr>
            <w:tcW w:w="811" w:type="dxa"/>
          </w:tcPr>
          <w:p w14:paraId="07125638" w14:textId="77777777" w:rsidR="00811887" w:rsidRDefault="00811887" w:rsidP="00486E22">
            <w:pPr>
              <w:pStyle w:val="TableParagraph"/>
              <w:ind w:left="9" w:right="2"/>
              <w:jc w:val="center"/>
              <w:rPr>
                <w:sz w:val="20"/>
              </w:rPr>
            </w:pPr>
            <w:r>
              <w:rPr>
                <w:spacing w:val="-5"/>
                <w:sz w:val="20"/>
              </w:rPr>
              <w:t>2.1</w:t>
            </w:r>
          </w:p>
        </w:tc>
        <w:tc>
          <w:tcPr>
            <w:tcW w:w="812" w:type="dxa"/>
          </w:tcPr>
          <w:p w14:paraId="65824D6D" w14:textId="77777777" w:rsidR="00811887" w:rsidRDefault="00811887" w:rsidP="00486E22">
            <w:pPr>
              <w:pStyle w:val="TableParagraph"/>
              <w:ind w:left="6" w:right="1"/>
              <w:jc w:val="center"/>
              <w:rPr>
                <w:sz w:val="20"/>
              </w:rPr>
            </w:pPr>
            <w:r>
              <w:rPr>
                <w:spacing w:val="-5"/>
                <w:sz w:val="20"/>
              </w:rPr>
              <w:t>6.6</w:t>
            </w:r>
          </w:p>
        </w:tc>
        <w:tc>
          <w:tcPr>
            <w:tcW w:w="792" w:type="dxa"/>
          </w:tcPr>
          <w:p w14:paraId="52E13972" w14:textId="77777777" w:rsidR="00811887" w:rsidRDefault="00811887" w:rsidP="00486E22">
            <w:pPr>
              <w:pStyle w:val="TableParagraph"/>
              <w:ind w:left="2"/>
              <w:jc w:val="center"/>
              <w:rPr>
                <w:sz w:val="20"/>
              </w:rPr>
            </w:pPr>
            <w:r>
              <w:rPr>
                <w:spacing w:val="-5"/>
                <w:sz w:val="20"/>
              </w:rPr>
              <w:t>6.8</w:t>
            </w:r>
          </w:p>
        </w:tc>
        <w:tc>
          <w:tcPr>
            <w:tcW w:w="937" w:type="dxa"/>
          </w:tcPr>
          <w:p w14:paraId="2565A501" w14:textId="77777777" w:rsidR="00811887" w:rsidRDefault="00811887" w:rsidP="00486E22">
            <w:pPr>
              <w:pStyle w:val="TableParagraph"/>
              <w:ind w:right="4"/>
              <w:jc w:val="center"/>
              <w:rPr>
                <w:sz w:val="20"/>
              </w:rPr>
            </w:pPr>
            <w:r>
              <w:rPr>
                <w:spacing w:val="-5"/>
                <w:sz w:val="20"/>
              </w:rPr>
              <w:t>9.4</w:t>
            </w:r>
          </w:p>
        </w:tc>
      </w:tr>
      <w:tr w:rsidR="00811887" w14:paraId="061A1077" w14:textId="77777777" w:rsidTr="00486E22">
        <w:trPr>
          <w:trHeight w:val="300"/>
        </w:trPr>
        <w:tc>
          <w:tcPr>
            <w:tcW w:w="705" w:type="dxa"/>
            <w:shd w:val="clear" w:color="auto" w:fill="234060"/>
          </w:tcPr>
          <w:p w14:paraId="5D25A3D0" w14:textId="77777777" w:rsidR="00811887" w:rsidRDefault="00811887" w:rsidP="00486E22">
            <w:pPr>
              <w:pStyle w:val="TableParagraph"/>
              <w:ind w:left="23" w:right="97"/>
              <w:jc w:val="center"/>
              <w:rPr>
                <w:b/>
                <w:sz w:val="20"/>
              </w:rPr>
            </w:pPr>
            <w:r>
              <w:rPr>
                <w:b/>
                <w:color w:val="FFFFFF"/>
                <w:spacing w:val="-4"/>
                <w:sz w:val="20"/>
              </w:rPr>
              <w:t>2008</w:t>
            </w:r>
          </w:p>
        </w:tc>
        <w:tc>
          <w:tcPr>
            <w:tcW w:w="1271" w:type="dxa"/>
          </w:tcPr>
          <w:p w14:paraId="080A5AE7" w14:textId="77777777" w:rsidR="00811887" w:rsidRDefault="00811887" w:rsidP="00486E22">
            <w:pPr>
              <w:pStyle w:val="TableParagraph"/>
              <w:ind w:left="11"/>
              <w:jc w:val="center"/>
              <w:rPr>
                <w:sz w:val="20"/>
              </w:rPr>
            </w:pPr>
            <w:r>
              <w:rPr>
                <w:spacing w:val="-5"/>
                <w:sz w:val="20"/>
              </w:rPr>
              <w:t>5.6</w:t>
            </w:r>
          </w:p>
        </w:tc>
        <w:tc>
          <w:tcPr>
            <w:tcW w:w="1271" w:type="dxa"/>
          </w:tcPr>
          <w:p w14:paraId="104DF875" w14:textId="77777777" w:rsidR="00811887" w:rsidRDefault="00811887" w:rsidP="00486E22">
            <w:pPr>
              <w:pStyle w:val="TableParagraph"/>
              <w:ind w:left="11" w:right="10"/>
              <w:jc w:val="center"/>
              <w:rPr>
                <w:sz w:val="20"/>
              </w:rPr>
            </w:pPr>
            <w:r>
              <w:rPr>
                <w:spacing w:val="-5"/>
                <w:sz w:val="20"/>
              </w:rPr>
              <w:t>9.7</w:t>
            </w:r>
          </w:p>
        </w:tc>
        <w:tc>
          <w:tcPr>
            <w:tcW w:w="805" w:type="dxa"/>
          </w:tcPr>
          <w:p w14:paraId="1A415E3F" w14:textId="77777777" w:rsidR="00811887" w:rsidRDefault="00811887" w:rsidP="00486E22">
            <w:pPr>
              <w:pStyle w:val="TableParagraph"/>
              <w:ind w:left="5"/>
              <w:jc w:val="center"/>
              <w:rPr>
                <w:sz w:val="20"/>
              </w:rPr>
            </w:pPr>
            <w:r>
              <w:rPr>
                <w:spacing w:val="-4"/>
                <w:sz w:val="20"/>
              </w:rPr>
              <w:t>20.6</w:t>
            </w:r>
          </w:p>
        </w:tc>
        <w:tc>
          <w:tcPr>
            <w:tcW w:w="811" w:type="dxa"/>
          </w:tcPr>
          <w:p w14:paraId="58C96423" w14:textId="77777777" w:rsidR="00811887" w:rsidRDefault="00811887" w:rsidP="00486E22">
            <w:pPr>
              <w:pStyle w:val="TableParagraph"/>
              <w:ind w:left="9"/>
              <w:jc w:val="center"/>
              <w:rPr>
                <w:sz w:val="20"/>
              </w:rPr>
            </w:pPr>
            <w:r>
              <w:rPr>
                <w:spacing w:val="-4"/>
                <w:sz w:val="20"/>
              </w:rPr>
              <w:t>11.5</w:t>
            </w:r>
          </w:p>
        </w:tc>
        <w:tc>
          <w:tcPr>
            <w:tcW w:w="811" w:type="dxa"/>
          </w:tcPr>
          <w:p w14:paraId="411376F8" w14:textId="77777777" w:rsidR="00811887" w:rsidRDefault="00811887" w:rsidP="00486E22">
            <w:pPr>
              <w:pStyle w:val="TableParagraph"/>
              <w:ind w:left="9"/>
              <w:jc w:val="center"/>
              <w:rPr>
                <w:sz w:val="20"/>
              </w:rPr>
            </w:pPr>
            <w:r>
              <w:rPr>
                <w:spacing w:val="-4"/>
                <w:sz w:val="20"/>
              </w:rPr>
              <w:t>11.5</w:t>
            </w:r>
          </w:p>
        </w:tc>
        <w:tc>
          <w:tcPr>
            <w:tcW w:w="811" w:type="dxa"/>
          </w:tcPr>
          <w:p w14:paraId="22C7E349" w14:textId="77777777" w:rsidR="00811887" w:rsidRDefault="00811887" w:rsidP="00486E22">
            <w:pPr>
              <w:pStyle w:val="TableParagraph"/>
              <w:ind w:left="9" w:right="2"/>
              <w:jc w:val="center"/>
              <w:rPr>
                <w:sz w:val="20"/>
              </w:rPr>
            </w:pPr>
            <w:r>
              <w:rPr>
                <w:spacing w:val="-5"/>
                <w:sz w:val="20"/>
              </w:rPr>
              <w:t>3.2</w:t>
            </w:r>
          </w:p>
        </w:tc>
        <w:tc>
          <w:tcPr>
            <w:tcW w:w="812" w:type="dxa"/>
          </w:tcPr>
          <w:p w14:paraId="69671D2A" w14:textId="77777777" w:rsidR="00811887" w:rsidRDefault="00811887" w:rsidP="00486E22">
            <w:pPr>
              <w:pStyle w:val="TableParagraph"/>
              <w:ind w:left="6" w:right="1"/>
              <w:jc w:val="center"/>
              <w:rPr>
                <w:sz w:val="20"/>
              </w:rPr>
            </w:pPr>
            <w:r>
              <w:rPr>
                <w:spacing w:val="-5"/>
                <w:sz w:val="20"/>
              </w:rPr>
              <w:t>9.5</w:t>
            </w:r>
          </w:p>
        </w:tc>
        <w:tc>
          <w:tcPr>
            <w:tcW w:w="792" w:type="dxa"/>
          </w:tcPr>
          <w:p w14:paraId="33D6D68F" w14:textId="77777777" w:rsidR="00811887" w:rsidRDefault="00811887" w:rsidP="00486E22">
            <w:pPr>
              <w:pStyle w:val="TableParagraph"/>
              <w:ind w:left="2"/>
              <w:jc w:val="center"/>
              <w:rPr>
                <w:sz w:val="20"/>
              </w:rPr>
            </w:pPr>
            <w:r>
              <w:rPr>
                <w:spacing w:val="-5"/>
                <w:sz w:val="20"/>
              </w:rPr>
              <w:t>7.7</w:t>
            </w:r>
          </w:p>
        </w:tc>
        <w:tc>
          <w:tcPr>
            <w:tcW w:w="937" w:type="dxa"/>
          </w:tcPr>
          <w:p w14:paraId="53F200EB" w14:textId="77777777" w:rsidR="00811887" w:rsidRDefault="00811887" w:rsidP="00486E22">
            <w:pPr>
              <w:pStyle w:val="TableParagraph"/>
              <w:ind w:right="4"/>
              <w:jc w:val="center"/>
              <w:rPr>
                <w:sz w:val="20"/>
              </w:rPr>
            </w:pPr>
            <w:r>
              <w:rPr>
                <w:spacing w:val="-5"/>
                <w:sz w:val="20"/>
              </w:rPr>
              <w:t>9.6</w:t>
            </w:r>
          </w:p>
        </w:tc>
      </w:tr>
      <w:tr w:rsidR="00811887" w14:paraId="20769EE8" w14:textId="77777777" w:rsidTr="00486E22">
        <w:trPr>
          <w:trHeight w:val="300"/>
        </w:trPr>
        <w:tc>
          <w:tcPr>
            <w:tcW w:w="705" w:type="dxa"/>
            <w:shd w:val="clear" w:color="auto" w:fill="234060"/>
          </w:tcPr>
          <w:p w14:paraId="30F65795" w14:textId="77777777" w:rsidR="00811887" w:rsidRDefault="00811887" w:rsidP="00486E22">
            <w:pPr>
              <w:pStyle w:val="TableParagraph"/>
              <w:ind w:left="23" w:right="97"/>
              <w:jc w:val="center"/>
              <w:rPr>
                <w:b/>
                <w:sz w:val="20"/>
              </w:rPr>
            </w:pPr>
            <w:r>
              <w:rPr>
                <w:b/>
                <w:color w:val="FFFFFF"/>
                <w:spacing w:val="-4"/>
                <w:sz w:val="20"/>
              </w:rPr>
              <w:t>2009</w:t>
            </w:r>
          </w:p>
        </w:tc>
        <w:tc>
          <w:tcPr>
            <w:tcW w:w="1271" w:type="dxa"/>
          </w:tcPr>
          <w:p w14:paraId="758ACB5D" w14:textId="77777777" w:rsidR="00811887" w:rsidRDefault="00811887" w:rsidP="00486E22">
            <w:pPr>
              <w:pStyle w:val="TableParagraph"/>
              <w:ind w:left="11"/>
              <w:jc w:val="center"/>
              <w:rPr>
                <w:sz w:val="20"/>
              </w:rPr>
            </w:pPr>
            <w:r>
              <w:rPr>
                <w:spacing w:val="-5"/>
                <w:sz w:val="20"/>
              </w:rPr>
              <w:t>4.2</w:t>
            </w:r>
          </w:p>
        </w:tc>
        <w:tc>
          <w:tcPr>
            <w:tcW w:w="1271" w:type="dxa"/>
          </w:tcPr>
          <w:p w14:paraId="68A89FA0" w14:textId="77777777" w:rsidR="00811887" w:rsidRDefault="00811887" w:rsidP="00486E22">
            <w:pPr>
              <w:pStyle w:val="TableParagraph"/>
              <w:ind w:left="11" w:right="10"/>
              <w:jc w:val="center"/>
              <w:rPr>
                <w:sz w:val="20"/>
              </w:rPr>
            </w:pPr>
            <w:r>
              <w:rPr>
                <w:spacing w:val="-5"/>
                <w:sz w:val="20"/>
              </w:rPr>
              <w:t>6.5</w:t>
            </w:r>
          </w:p>
        </w:tc>
        <w:tc>
          <w:tcPr>
            <w:tcW w:w="805" w:type="dxa"/>
          </w:tcPr>
          <w:p w14:paraId="2800AC3F" w14:textId="77777777" w:rsidR="00811887" w:rsidRDefault="00811887" w:rsidP="00486E22">
            <w:pPr>
              <w:pStyle w:val="TableParagraph"/>
              <w:ind w:left="5"/>
              <w:jc w:val="center"/>
              <w:rPr>
                <w:sz w:val="20"/>
              </w:rPr>
            </w:pPr>
            <w:r>
              <w:rPr>
                <w:spacing w:val="-4"/>
                <w:sz w:val="20"/>
              </w:rPr>
              <w:t>17.3</w:t>
            </w:r>
          </w:p>
        </w:tc>
        <w:tc>
          <w:tcPr>
            <w:tcW w:w="811" w:type="dxa"/>
          </w:tcPr>
          <w:p w14:paraId="3CDCAEAD" w14:textId="77777777" w:rsidR="00811887" w:rsidRDefault="00811887" w:rsidP="00486E22">
            <w:pPr>
              <w:pStyle w:val="TableParagraph"/>
              <w:ind w:left="9"/>
              <w:jc w:val="center"/>
              <w:rPr>
                <w:sz w:val="20"/>
              </w:rPr>
            </w:pPr>
            <w:r>
              <w:rPr>
                <w:spacing w:val="-4"/>
                <w:sz w:val="20"/>
              </w:rPr>
              <w:t>11.3</w:t>
            </w:r>
          </w:p>
        </w:tc>
        <w:tc>
          <w:tcPr>
            <w:tcW w:w="811" w:type="dxa"/>
          </w:tcPr>
          <w:p w14:paraId="7925E8C1" w14:textId="77777777" w:rsidR="00811887" w:rsidRDefault="00811887" w:rsidP="00486E22">
            <w:pPr>
              <w:pStyle w:val="TableParagraph"/>
              <w:ind w:left="9"/>
              <w:jc w:val="center"/>
              <w:rPr>
                <w:sz w:val="20"/>
              </w:rPr>
            </w:pPr>
            <w:r>
              <w:rPr>
                <w:spacing w:val="-4"/>
                <w:sz w:val="20"/>
              </w:rPr>
              <w:t>13.3</w:t>
            </w:r>
          </w:p>
        </w:tc>
        <w:tc>
          <w:tcPr>
            <w:tcW w:w="811" w:type="dxa"/>
          </w:tcPr>
          <w:p w14:paraId="3E5F2003" w14:textId="77777777" w:rsidR="00811887" w:rsidRDefault="00811887" w:rsidP="00486E22">
            <w:pPr>
              <w:pStyle w:val="TableParagraph"/>
              <w:ind w:left="9" w:right="2"/>
              <w:jc w:val="center"/>
              <w:rPr>
                <w:sz w:val="20"/>
              </w:rPr>
            </w:pPr>
            <w:r>
              <w:rPr>
                <w:spacing w:val="-5"/>
                <w:sz w:val="20"/>
              </w:rPr>
              <w:t>3.9</w:t>
            </w:r>
          </w:p>
        </w:tc>
        <w:tc>
          <w:tcPr>
            <w:tcW w:w="812" w:type="dxa"/>
          </w:tcPr>
          <w:p w14:paraId="625BDC25" w14:textId="77777777" w:rsidR="00811887" w:rsidRDefault="00811887" w:rsidP="00486E22">
            <w:pPr>
              <w:pStyle w:val="TableParagraph"/>
              <w:ind w:left="6" w:right="1"/>
              <w:jc w:val="center"/>
              <w:rPr>
                <w:sz w:val="20"/>
              </w:rPr>
            </w:pPr>
            <w:r>
              <w:rPr>
                <w:spacing w:val="-5"/>
                <w:sz w:val="20"/>
              </w:rPr>
              <w:t>9.3</w:t>
            </w:r>
          </w:p>
        </w:tc>
        <w:tc>
          <w:tcPr>
            <w:tcW w:w="792" w:type="dxa"/>
          </w:tcPr>
          <w:p w14:paraId="79195519" w14:textId="77777777" w:rsidR="00811887" w:rsidRDefault="00811887" w:rsidP="00486E22">
            <w:pPr>
              <w:pStyle w:val="TableParagraph"/>
              <w:ind w:left="2"/>
              <w:jc w:val="center"/>
              <w:rPr>
                <w:sz w:val="20"/>
              </w:rPr>
            </w:pPr>
            <w:r>
              <w:rPr>
                <w:spacing w:val="-5"/>
                <w:sz w:val="20"/>
              </w:rPr>
              <w:t>8.2</w:t>
            </w:r>
          </w:p>
        </w:tc>
        <w:tc>
          <w:tcPr>
            <w:tcW w:w="937" w:type="dxa"/>
          </w:tcPr>
          <w:p w14:paraId="5BE2A23B" w14:textId="77777777" w:rsidR="00811887" w:rsidRDefault="00811887" w:rsidP="00486E22">
            <w:pPr>
              <w:pStyle w:val="TableParagraph"/>
              <w:ind w:right="4"/>
              <w:jc w:val="center"/>
              <w:rPr>
                <w:sz w:val="20"/>
              </w:rPr>
            </w:pPr>
            <w:r>
              <w:rPr>
                <w:spacing w:val="-5"/>
                <w:sz w:val="20"/>
              </w:rPr>
              <w:t>7.8</w:t>
            </w:r>
          </w:p>
        </w:tc>
      </w:tr>
      <w:tr w:rsidR="00811887" w14:paraId="2F222C51" w14:textId="77777777" w:rsidTr="00486E22">
        <w:trPr>
          <w:trHeight w:val="300"/>
        </w:trPr>
        <w:tc>
          <w:tcPr>
            <w:tcW w:w="705" w:type="dxa"/>
            <w:shd w:val="clear" w:color="auto" w:fill="234060"/>
          </w:tcPr>
          <w:p w14:paraId="01BAEC39" w14:textId="77777777" w:rsidR="00811887" w:rsidRDefault="00811887" w:rsidP="00486E22">
            <w:pPr>
              <w:pStyle w:val="TableParagraph"/>
              <w:ind w:left="23" w:right="97"/>
              <w:jc w:val="center"/>
              <w:rPr>
                <w:b/>
                <w:sz w:val="20"/>
              </w:rPr>
            </w:pPr>
            <w:r>
              <w:rPr>
                <w:b/>
                <w:color w:val="FFFFFF"/>
                <w:spacing w:val="-4"/>
                <w:sz w:val="20"/>
              </w:rPr>
              <w:t>2010</w:t>
            </w:r>
          </w:p>
        </w:tc>
        <w:tc>
          <w:tcPr>
            <w:tcW w:w="1271" w:type="dxa"/>
          </w:tcPr>
          <w:p w14:paraId="7B04F42F" w14:textId="77777777" w:rsidR="00811887" w:rsidRDefault="00811887" w:rsidP="00486E22">
            <w:pPr>
              <w:pStyle w:val="TableParagraph"/>
              <w:ind w:left="11"/>
              <w:jc w:val="center"/>
              <w:rPr>
                <w:sz w:val="20"/>
              </w:rPr>
            </w:pPr>
            <w:r>
              <w:rPr>
                <w:spacing w:val="-5"/>
                <w:sz w:val="20"/>
              </w:rPr>
              <w:t>5.7</w:t>
            </w:r>
          </w:p>
        </w:tc>
        <w:tc>
          <w:tcPr>
            <w:tcW w:w="1271" w:type="dxa"/>
          </w:tcPr>
          <w:p w14:paraId="0818B919" w14:textId="77777777" w:rsidR="00811887" w:rsidRDefault="00811887" w:rsidP="00486E22">
            <w:pPr>
              <w:pStyle w:val="TableParagraph"/>
              <w:ind w:left="11" w:right="10"/>
              <w:jc w:val="center"/>
              <w:rPr>
                <w:sz w:val="20"/>
              </w:rPr>
            </w:pPr>
            <w:r>
              <w:rPr>
                <w:spacing w:val="-5"/>
                <w:sz w:val="20"/>
              </w:rPr>
              <w:t>9.6</w:t>
            </w:r>
          </w:p>
        </w:tc>
        <w:tc>
          <w:tcPr>
            <w:tcW w:w="805" w:type="dxa"/>
          </w:tcPr>
          <w:p w14:paraId="3781AE9A" w14:textId="77777777" w:rsidR="00811887" w:rsidRDefault="00811887" w:rsidP="00486E22">
            <w:pPr>
              <w:pStyle w:val="TableParagraph"/>
              <w:ind w:left="5"/>
              <w:jc w:val="center"/>
              <w:rPr>
                <w:sz w:val="20"/>
              </w:rPr>
            </w:pPr>
            <w:r>
              <w:rPr>
                <w:spacing w:val="-4"/>
                <w:sz w:val="20"/>
              </w:rPr>
              <w:t>25.1</w:t>
            </w:r>
          </w:p>
        </w:tc>
        <w:tc>
          <w:tcPr>
            <w:tcW w:w="811" w:type="dxa"/>
          </w:tcPr>
          <w:p w14:paraId="05141E78" w14:textId="77777777" w:rsidR="00811887" w:rsidRDefault="00811887" w:rsidP="00486E22">
            <w:pPr>
              <w:pStyle w:val="TableParagraph"/>
              <w:ind w:left="9"/>
              <w:jc w:val="center"/>
              <w:rPr>
                <w:sz w:val="20"/>
              </w:rPr>
            </w:pPr>
            <w:r>
              <w:rPr>
                <w:spacing w:val="-4"/>
                <w:sz w:val="20"/>
              </w:rPr>
              <w:t>10.7</w:t>
            </w:r>
          </w:p>
        </w:tc>
        <w:tc>
          <w:tcPr>
            <w:tcW w:w="811" w:type="dxa"/>
          </w:tcPr>
          <w:p w14:paraId="6FE190DF" w14:textId="77777777" w:rsidR="00811887" w:rsidRDefault="00811887" w:rsidP="00486E22">
            <w:pPr>
              <w:pStyle w:val="TableParagraph"/>
              <w:ind w:left="9"/>
              <w:jc w:val="center"/>
              <w:rPr>
                <w:sz w:val="20"/>
              </w:rPr>
            </w:pPr>
            <w:r>
              <w:rPr>
                <w:spacing w:val="-4"/>
                <w:sz w:val="20"/>
              </w:rPr>
              <w:t>11.4</w:t>
            </w:r>
          </w:p>
        </w:tc>
        <w:tc>
          <w:tcPr>
            <w:tcW w:w="811" w:type="dxa"/>
          </w:tcPr>
          <w:p w14:paraId="3B7FAC74" w14:textId="77777777" w:rsidR="00811887" w:rsidRDefault="00811887" w:rsidP="00486E22">
            <w:pPr>
              <w:pStyle w:val="TableParagraph"/>
              <w:ind w:left="9" w:right="2"/>
              <w:jc w:val="center"/>
              <w:rPr>
                <w:sz w:val="20"/>
              </w:rPr>
            </w:pPr>
            <w:r>
              <w:rPr>
                <w:spacing w:val="-5"/>
                <w:sz w:val="20"/>
              </w:rPr>
              <w:t>3.6</w:t>
            </w:r>
          </w:p>
        </w:tc>
        <w:tc>
          <w:tcPr>
            <w:tcW w:w="812" w:type="dxa"/>
          </w:tcPr>
          <w:p w14:paraId="2C07B848" w14:textId="77777777" w:rsidR="00811887" w:rsidRDefault="00811887" w:rsidP="00486E22">
            <w:pPr>
              <w:pStyle w:val="TableParagraph"/>
              <w:ind w:left="6" w:right="1"/>
              <w:jc w:val="center"/>
              <w:rPr>
                <w:sz w:val="20"/>
              </w:rPr>
            </w:pPr>
            <w:r>
              <w:rPr>
                <w:spacing w:val="-5"/>
                <w:sz w:val="20"/>
              </w:rPr>
              <w:t>7.8</w:t>
            </w:r>
          </w:p>
        </w:tc>
        <w:tc>
          <w:tcPr>
            <w:tcW w:w="792" w:type="dxa"/>
          </w:tcPr>
          <w:p w14:paraId="3F356957" w14:textId="77777777" w:rsidR="00811887" w:rsidRDefault="00811887" w:rsidP="00486E22">
            <w:pPr>
              <w:pStyle w:val="TableParagraph"/>
              <w:ind w:left="2"/>
              <w:jc w:val="center"/>
              <w:rPr>
                <w:sz w:val="20"/>
              </w:rPr>
            </w:pPr>
            <w:r>
              <w:rPr>
                <w:spacing w:val="-5"/>
                <w:sz w:val="20"/>
              </w:rPr>
              <w:t>9.5</w:t>
            </w:r>
          </w:p>
        </w:tc>
        <w:tc>
          <w:tcPr>
            <w:tcW w:w="937" w:type="dxa"/>
          </w:tcPr>
          <w:p w14:paraId="7F16F782" w14:textId="77777777" w:rsidR="00811887" w:rsidRDefault="00811887" w:rsidP="00486E22">
            <w:pPr>
              <w:pStyle w:val="TableParagraph"/>
              <w:ind w:right="4"/>
              <w:jc w:val="center"/>
              <w:rPr>
                <w:sz w:val="20"/>
              </w:rPr>
            </w:pPr>
            <w:r>
              <w:rPr>
                <w:spacing w:val="-5"/>
                <w:sz w:val="20"/>
              </w:rPr>
              <w:t>9.8</w:t>
            </w:r>
          </w:p>
        </w:tc>
      </w:tr>
      <w:tr w:rsidR="00811887" w14:paraId="69B4596A" w14:textId="77777777" w:rsidTr="00486E22">
        <w:trPr>
          <w:trHeight w:val="300"/>
        </w:trPr>
        <w:tc>
          <w:tcPr>
            <w:tcW w:w="705" w:type="dxa"/>
            <w:shd w:val="clear" w:color="auto" w:fill="234060"/>
          </w:tcPr>
          <w:p w14:paraId="4D0ADD17" w14:textId="77777777" w:rsidR="00811887" w:rsidRDefault="00811887" w:rsidP="00486E22">
            <w:pPr>
              <w:pStyle w:val="TableParagraph"/>
              <w:ind w:left="23" w:right="97"/>
              <w:jc w:val="center"/>
              <w:rPr>
                <w:b/>
                <w:sz w:val="20"/>
              </w:rPr>
            </w:pPr>
            <w:r>
              <w:rPr>
                <w:b/>
                <w:color w:val="FFFFFF"/>
                <w:spacing w:val="-4"/>
                <w:sz w:val="20"/>
              </w:rPr>
              <w:t>2011</w:t>
            </w:r>
          </w:p>
        </w:tc>
        <w:tc>
          <w:tcPr>
            <w:tcW w:w="1271" w:type="dxa"/>
          </w:tcPr>
          <w:p w14:paraId="34D0A801" w14:textId="77777777" w:rsidR="00811887" w:rsidRDefault="00811887" w:rsidP="00486E22">
            <w:pPr>
              <w:pStyle w:val="TableParagraph"/>
              <w:ind w:left="11"/>
              <w:jc w:val="center"/>
              <w:rPr>
                <w:sz w:val="20"/>
              </w:rPr>
            </w:pPr>
            <w:r>
              <w:rPr>
                <w:spacing w:val="-5"/>
                <w:sz w:val="20"/>
              </w:rPr>
              <w:t>6.0</w:t>
            </w:r>
          </w:p>
        </w:tc>
        <w:tc>
          <w:tcPr>
            <w:tcW w:w="1271" w:type="dxa"/>
          </w:tcPr>
          <w:p w14:paraId="43C9F060" w14:textId="77777777" w:rsidR="00811887" w:rsidRDefault="00811887" w:rsidP="00486E22">
            <w:pPr>
              <w:pStyle w:val="TableParagraph"/>
              <w:ind w:left="11" w:right="10"/>
              <w:jc w:val="center"/>
              <w:rPr>
                <w:sz w:val="20"/>
              </w:rPr>
            </w:pPr>
            <w:r>
              <w:rPr>
                <w:spacing w:val="-4"/>
                <w:sz w:val="20"/>
              </w:rPr>
              <w:t>10.6</w:t>
            </w:r>
          </w:p>
        </w:tc>
        <w:tc>
          <w:tcPr>
            <w:tcW w:w="805" w:type="dxa"/>
          </w:tcPr>
          <w:p w14:paraId="35176DB0" w14:textId="77777777" w:rsidR="00811887" w:rsidRDefault="00811887" w:rsidP="00486E22">
            <w:pPr>
              <w:pStyle w:val="TableParagraph"/>
              <w:ind w:left="5"/>
              <w:jc w:val="center"/>
              <w:rPr>
                <w:sz w:val="20"/>
              </w:rPr>
            </w:pPr>
            <w:r>
              <w:rPr>
                <w:spacing w:val="-4"/>
                <w:sz w:val="20"/>
              </w:rPr>
              <w:t>23.3</w:t>
            </w:r>
          </w:p>
        </w:tc>
        <w:tc>
          <w:tcPr>
            <w:tcW w:w="811" w:type="dxa"/>
          </w:tcPr>
          <w:p w14:paraId="5ED7D878" w14:textId="77777777" w:rsidR="00811887" w:rsidRDefault="00811887" w:rsidP="00486E22">
            <w:pPr>
              <w:pStyle w:val="TableParagraph"/>
              <w:ind w:left="9"/>
              <w:jc w:val="center"/>
              <w:rPr>
                <w:sz w:val="20"/>
              </w:rPr>
            </w:pPr>
            <w:r>
              <w:rPr>
                <w:spacing w:val="-4"/>
                <w:sz w:val="20"/>
              </w:rPr>
              <w:t>13.7</w:t>
            </w:r>
          </w:p>
        </w:tc>
        <w:tc>
          <w:tcPr>
            <w:tcW w:w="811" w:type="dxa"/>
          </w:tcPr>
          <w:p w14:paraId="19986424" w14:textId="77777777" w:rsidR="00811887" w:rsidRDefault="00811887" w:rsidP="00486E22">
            <w:pPr>
              <w:pStyle w:val="TableParagraph"/>
              <w:ind w:left="9"/>
              <w:jc w:val="center"/>
              <w:rPr>
                <w:sz w:val="20"/>
              </w:rPr>
            </w:pPr>
            <w:r>
              <w:rPr>
                <w:spacing w:val="-4"/>
                <w:sz w:val="20"/>
              </w:rPr>
              <w:t>12.7</w:t>
            </w:r>
          </w:p>
        </w:tc>
        <w:tc>
          <w:tcPr>
            <w:tcW w:w="811" w:type="dxa"/>
          </w:tcPr>
          <w:p w14:paraId="064665D0" w14:textId="77777777" w:rsidR="00811887" w:rsidRDefault="00811887" w:rsidP="00486E22">
            <w:pPr>
              <w:pStyle w:val="TableParagraph"/>
              <w:ind w:left="9" w:right="2"/>
              <w:jc w:val="center"/>
              <w:rPr>
                <w:sz w:val="20"/>
              </w:rPr>
            </w:pPr>
            <w:r>
              <w:rPr>
                <w:spacing w:val="-5"/>
                <w:sz w:val="20"/>
              </w:rPr>
              <w:t>4.8</w:t>
            </w:r>
          </w:p>
        </w:tc>
        <w:tc>
          <w:tcPr>
            <w:tcW w:w="812" w:type="dxa"/>
          </w:tcPr>
          <w:p w14:paraId="55BCA0E5" w14:textId="77777777" w:rsidR="00811887" w:rsidRDefault="00811887" w:rsidP="00486E22">
            <w:pPr>
              <w:pStyle w:val="TableParagraph"/>
              <w:ind w:left="6" w:right="1"/>
              <w:jc w:val="center"/>
              <w:rPr>
                <w:sz w:val="20"/>
              </w:rPr>
            </w:pPr>
            <w:r>
              <w:rPr>
                <w:spacing w:val="-5"/>
                <w:sz w:val="20"/>
              </w:rPr>
              <w:t>9.7</w:t>
            </w:r>
          </w:p>
        </w:tc>
        <w:tc>
          <w:tcPr>
            <w:tcW w:w="792" w:type="dxa"/>
          </w:tcPr>
          <w:p w14:paraId="40756435" w14:textId="77777777" w:rsidR="00811887" w:rsidRDefault="00811887" w:rsidP="00486E22">
            <w:pPr>
              <w:pStyle w:val="TableParagraph"/>
              <w:ind w:left="2"/>
              <w:jc w:val="center"/>
              <w:rPr>
                <w:sz w:val="20"/>
              </w:rPr>
            </w:pPr>
            <w:r>
              <w:rPr>
                <w:spacing w:val="-5"/>
                <w:sz w:val="20"/>
              </w:rPr>
              <w:t>9.8</w:t>
            </w:r>
          </w:p>
        </w:tc>
        <w:tc>
          <w:tcPr>
            <w:tcW w:w="937" w:type="dxa"/>
          </w:tcPr>
          <w:p w14:paraId="7292181F" w14:textId="77777777" w:rsidR="00811887" w:rsidRDefault="00811887" w:rsidP="00486E22">
            <w:pPr>
              <w:pStyle w:val="TableParagraph"/>
              <w:ind w:right="4"/>
              <w:jc w:val="center"/>
              <w:rPr>
                <w:sz w:val="20"/>
              </w:rPr>
            </w:pPr>
            <w:r>
              <w:rPr>
                <w:spacing w:val="-4"/>
                <w:sz w:val="20"/>
              </w:rPr>
              <w:t>10.7</w:t>
            </w:r>
          </w:p>
        </w:tc>
      </w:tr>
      <w:tr w:rsidR="00811887" w14:paraId="5AD96C6C" w14:textId="77777777" w:rsidTr="00486E22">
        <w:trPr>
          <w:trHeight w:val="300"/>
        </w:trPr>
        <w:tc>
          <w:tcPr>
            <w:tcW w:w="705" w:type="dxa"/>
            <w:shd w:val="clear" w:color="auto" w:fill="234060"/>
          </w:tcPr>
          <w:p w14:paraId="46D736F6" w14:textId="77777777" w:rsidR="00811887" w:rsidRDefault="00811887" w:rsidP="00486E22">
            <w:pPr>
              <w:pStyle w:val="TableParagraph"/>
              <w:ind w:left="23" w:right="97"/>
              <w:jc w:val="center"/>
              <w:rPr>
                <w:b/>
                <w:sz w:val="20"/>
              </w:rPr>
            </w:pPr>
            <w:r>
              <w:rPr>
                <w:b/>
                <w:color w:val="FFFFFF"/>
                <w:spacing w:val="-4"/>
                <w:sz w:val="20"/>
              </w:rPr>
              <w:t>2012</w:t>
            </w:r>
          </w:p>
        </w:tc>
        <w:tc>
          <w:tcPr>
            <w:tcW w:w="1271" w:type="dxa"/>
          </w:tcPr>
          <w:p w14:paraId="49645415" w14:textId="77777777" w:rsidR="00811887" w:rsidRDefault="00811887" w:rsidP="00486E22">
            <w:pPr>
              <w:pStyle w:val="TableParagraph"/>
              <w:ind w:left="11"/>
              <w:jc w:val="center"/>
              <w:rPr>
                <w:sz w:val="20"/>
              </w:rPr>
            </w:pPr>
            <w:r>
              <w:rPr>
                <w:spacing w:val="-5"/>
                <w:sz w:val="20"/>
              </w:rPr>
              <w:t>6.7</w:t>
            </w:r>
          </w:p>
        </w:tc>
        <w:tc>
          <w:tcPr>
            <w:tcW w:w="1271" w:type="dxa"/>
          </w:tcPr>
          <w:p w14:paraId="28FA85DE" w14:textId="77777777" w:rsidR="00811887" w:rsidRDefault="00811887" w:rsidP="00486E22">
            <w:pPr>
              <w:pStyle w:val="TableParagraph"/>
              <w:ind w:left="11" w:right="10"/>
              <w:jc w:val="center"/>
              <w:rPr>
                <w:sz w:val="20"/>
              </w:rPr>
            </w:pPr>
            <w:r>
              <w:rPr>
                <w:spacing w:val="-4"/>
                <w:sz w:val="20"/>
              </w:rPr>
              <w:t>10.9</w:t>
            </w:r>
          </w:p>
        </w:tc>
        <w:tc>
          <w:tcPr>
            <w:tcW w:w="805" w:type="dxa"/>
          </w:tcPr>
          <w:p w14:paraId="2DEE6021" w14:textId="77777777" w:rsidR="00811887" w:rsidRDefault="00811887" w:rsidP="00486E22">
            <w:pPr>
              <w:pStyle w:val="TableParagraph"/>
              <w:ind w:left="5"/>
              <w:jc w:val="center"/>
              <w:rPr>
                <w:sz w:val="20"/>
              </w:rPr>
            </w:pPr>
            <w:r>
              <w:rPr>
                <w:spacing w:val="-4"/>
                <w:sz w:val="20"/>
              </w:rPr>
              <w:t>22.0</w:t>
            </w:r>
          </w:p>
        </w:tc>
        <w:tc>
          <w:tcPr>
            <w:tcW w:w="811" w:type="dxa"/>
          </w:tcPr>
          <w:p w14:paraId="2CEA9A98" w14:textId="77777777" w:rsidR="00811887" w:rsidRDefault="00811887" w:rsidP="00486E22">
            <w:pPr>
              <w:pStyle w:val="TableParagraph"/>
              <w:ind w:left="9"/>
              <w:jc w:val="center"/>
              <w:rPr>
                <w:sz w:val="20"/>
              </w:rPr>
            </w:pPr>
            <w:r>
              <w:rPr>
                <w:spacing w:val="-4"/>
                <w:sz w:val="20"/>
              </w:rPr>
              <w:t>10.7</w:t>
            </w:r>
          </w:p>
        </w:tc>
        <w:tc>
          <w:tcPr>
            <w:tcW w:w="811" w:type="dxa"/>
          </w:tcPr>
          <w:p w14:paraId="3F39936F" w14:textId="77777777" w:rsidR="00811887" w:rsidRDefault="00811887" w:rsidP="00486E22">
            <w:pPr>
              <w:pStyle w:val="TableParagraph"/>
              <w:ind w:left="9" w:right="1"/>
              <w:jc w:val="center"/>
              <w:rPr>
                <w:sz w:val="20"/>
              </w:rPr>
            </w:pPr>
            <w:r>
              <w:rPr>
                <w:spacing w:val="-4"/>
                <w:sz w:val="20"/>
              </w:rPr>
              <w:t>13.0</w:t>
            </w:r>
          </w:p>
        </w:tc>
        <w:tc>
          <w:tcPr>
            <w:tcW w:w="811" w:type="dxa"/>
          </w:tcPr>
          <w:p w14:paraId="1ED9D77A" w14:textId="77777777" w:rsidR="00811887" w:rsidRDefault="00811887" w:rsidP="00486E22">
            <w:pPr>
              <w:pStyle w:val="TableParagraph"/>
              <w:ind w:left="9" w:right="2"/>
              <w:jc w:val="center"/>
              <w:rPr>
                <w:sz w:val="20"/>
              </w:rPr>
            </w:pPr>
            <w:r>
              <w:rPr>
                <w:spacing w:val="-5"/>
                <w:sz w:val="20"/>
              </w:rPr>
              <w:t>5.8</w:t>
            </w:r>
          </w:p>
        </w:tc>
        <w:tc>
          <w:tcPr>
            <w:tcW w:w="812" w:type="dxa"/>
          </w:tcPr>
          <w:p w14:paraId="262C281B" w14:textId="77777777" w:rsidR="00811887" w:rsidRDefault="00811887" w:rsidP="00486E22">
            <w:pPr>
              <w:pStyle w:val="TableParagraph"/>
              <w:ind w:left="6" w:right="1"/>
              <w:jc w:val="center"/>
              <w:rPr>
                <w:sz w:val="20"/>
              </w:rPr>
            </w:pPr>
            <w:r>
              <w:rPr>
                <w:spacing w:val="-5"/>
                <w:sz w:val="20"/>
              </w:rPr>
              <w:t>9.5</w:t>
            </w:r>
          </w:p>
        </w:tc>
        <w:tc>
          <w:tcPr>
            <w:tcW w:w="792" w:type="dxa"/>
          </w:tcPr>
          <w:p w14:paraId="070B63E9" w14:textId="77777777" w:rsidR="00811887" w:rsidRDefault="00811887" w:rsidP="00486E22">
            <w:pPr>
              <w:pStyle w:val="TableParagraph"/>
              <w:ind w:left="2" w:right="2"/>
              <w:jc w:val="center"/>
              <w:rPr>
                <w:sz w:val="20"/>
              </w:rPr>
            </w:pPr>
            <w:r>
              <w:rPr>
                <w:spacing w:val="-5"/>
                <w:sz w:val="20"/>
              </w:rPr>
              <w:t>10</w:t>
            </w:r>
          </w:p>
        </w:tc>
        <w:tc>
          <w:tcPr>
            <w:tcW w:w="937" w:type="dxa"/>
          </w:tcPr>
          <w:p w14:paraId="5B049BCA" w14:textId="77777777" w:rsidR="00811887" w:rsidRDefault="00811887" w:rsidP="00486E22">
            <w:pPr>
              <w:pStyle w:val="TableParagraph"/>
              <w:ind w:right="4"/>
              <w:jc w:val="center"/>
              <w:rPr>
                <w:sz w:val="20"/>
              </w:rPr>
            </w:pPr>
            <w:r>
              <w:rPr>
                <w:spacing w:val="-4"/>
                <w:sz w:val="20"/>
              </w:rPr>
              <w:t>10.7</w:t>
            </w:r>
          </w:p>
        </w:tc>
      </w:tr>
      <w:tr w:rsidR="00811887" w14:paraId="52148CB7" w14:textId="77777777" w:rsidTr="00486E22">
        <w:trPr>
          <w:trHeight w:val="300"/>
        </w:trPr>
        <w:tc>
          <w:tcPr>
            <w:tcW w:w="705" w:type="dxa"/>
            <w:shd w:val="clear" w:color="auto" w:fill="234060"/>
          </w:tcPr>
          <w:p w14:paraId="6221557B" w14:textId="77777777" w:rsidR="00811887" w:rsidRDefault="00811887" w:rsidP="00486E22">
            <w:pPr>
              <w:pStyle w:val="TableParagraph"/>
              <w:ind w:left="23" w:right="97"/>
              <w:jc w:val="center"/>
              <w:rPr>
                <w:b/>
                <w:sz w:val="20"/>
              </w:rPr>
            </w:pPr>
            <w:r>
              <w:rPr>
                <w:b/>
                <w:color w:val="FFFFFF"/>
                <w:spacing w:val="-4"/>
                <w:sz w:val="20"/>
              </w:rPr>
              <w:t>2013</w:t>
            </w:r>
          </w:p>
        </w:tc>
        <w:tc>
          <w:tcPr>
            <w:tcW w:w="1271" w:type="dxa"/>
          </w:tcPr>
          <w:p w14:paraId="33D93F41" w14:textId="77777777" w:rsidR="00811887" w:rsidRDefault="00811887" w:rsidP="00486E22">
            <w:pPr>
              <w:pStyle w:val="TableParagraph"/>
              <w:ind w:left="11"/>
              <w:jc w:val="center"/>
              <w:rPr>
                <w:sz w:val="20"/>
              </w:rPr>
            </w:pPr>
            <w:r>
              <w:rPr>
                <w:spacing w:val="-5"/>
                <w:sz w:val="20"/>
              </w:rPr>
              <w:t>5.3</w:t>
            </w:r>
          </w:p>
        </w:tc>
        <w:tc>
          <w:tcPr>
            <w:tcW w:w="1271" w:type="dxa"/>
          </w:tcPr>
          <w:p w14:paraId="305C65D9" w14:textId="77777777" w:rsidR="00811887" w:rsidRDefault="00811887" w:rsidP="00486E22">
            <w:pPr>
              <w:pStyle w:val="TableParagraph"/>
              <w:ind w:left="11" w:right="11"/>
              <w:jc w:val="center"/>
              <w:rPr>
                <w:sz w:val="20"/>
              </w:rPr>
            </w:pPr>
            <w:r>
              <w:rPr>
                <w:spacing w:val="-5"/>
                <w:sz w:val="20"/>
              </w:rPr>
              <w:t>9.0</w:t>
            </w:r>
          </w:p>
        </w:tc>
        <w:tc>
          <w:tcPr>
            <w:tcW w:w="805" w:type="dxa"/>
          </w:tcPr>
          <w:p w14:paraId="63BC0960" w14:textId="77777777" w:rsidR="00811887" w:rsidRDefault="00811887" w:rsidP="00486E22">
            <w:pPr>
              <w:pStyle w:val="TableParagraph"/>
              <w:ind w:left="5"/>
              <w:jc w:val="center"/>
              <w:rPr>
                <w:sz w:val="20"/>
              </w:rPr>
            </w:pPr>
            <w:r>
              <w:rPr>
                <w:spacing w:val="-4"/>
                <w:sz w:val="20"/>
              </w:rPr>
              <w:t>20.3</w:t>
            </w:r>
          </w:p>
        </w:tc>
        <w:tc>
          <w:tcPr>
            <w:tcW w:w="811" w:type="dxa"/>
          </w:tcPr>
          <w:p w14:paraId="3FC09605" w14:textId="77777777" w:rsidR="00811887" w:rsidRDefault="00811887" w:rsidP="00486E22">
            <w:pPr>
              <w:pStyle w:val="TableParagraph"/>
              <w:ind w:left="9"/>
              <w:jc w:val="center"/>
              <w:rPr>
                <w:sz w:val="20"/>
              </w:rPr>
            </w:pPr>
            <w:r>
              <w:rPr>
                <w:spacing w:val="-4"/>
                <w:sz w:val="20"/>
              </w:rPr>
              <w:t>12.1</w:t>
            </w:r>
          </w:p>
        </w:tc>
        <w:tc>
          <w:tcPr>
            <w:tcW w:w="811" w:type="dxa"/>
          </w:tcPr>
          <w:p w14:paraId="5A48181B" w14:textId="77777777" w:rsidR="00811887" w:rsidRDefault="00811887" w:rsidP="00486E22">
            <w:pPr>
              <w:pStyle w:val="TableParagraph"/>
              <w:ind w:left="9"/>
              <w:jc w:val="center"/>
              <w:rPr>
                <w:sz w:val="20"/>
              </w:rPr>
            </w:pPr>
            <w:r>
              <w:rPr>
                <w:spacing w:val="-4"/>
                <w:sz w:val="20"/>
              </w:rPr>
              <w:t>12.5</w:t>
            </w:r>
          </w:p>
        </w:tc>
        <w:tc>
          <w:tcPr>
            <w:tcW w:w="811" w:type="dxa"/>
          </w:tcPr>
          <w:p w14:paraId="1AD198EE" w14:textId="77777777" w:rsidR="00811887" w:rsidRDefault="00811887" w:rsidP="00486E22">
            <w:pPr>
              <w:pStyle w:val="TableParagraph"/>
              <w:ind w:left="9" w:right="2"/>
              <w:jc w:val="center"/>
              <w:rPr>
                <w:sz w:val="20"/>
              </w:rPr>
            </w:pPr>
            <w:r>
              <w:rPr>
                <w:spacing w:val="-5"/>
                <w:sz w:val="20"/>
              </w:rPr>
              <w:t>4.8</w:t>
            </w:r>
          </w:p>
        </w:tc>
        <w:tc>
          <w:tcPr>
            <w:tcW w:w="812" w:type="dxa"/>
          </w:tcPr>
          <w:p w14:paraId="75E4A31F" w14:textId="77777777" w:rsidR="00811887" w:rsidRDefault="00811887" w:rsidP="00486E22">
            <w:pPr>
              <w:pStyle w:val="TableParagraph"/>
              <w:ind w:left="6"/>
              <w:jc w:val="center"/>
              <w:rPr>
                <w:sz w:val="20"/>
              </w:rPr>
            </w:pPr>
            <w:r>
              <w:rPr>
                <w:spacing w:val="-4"/>
                <w:sz w:val="20"/>
              </w:rPr>
              <w:t>11.4</w:t>
            </w:r>
          </w:p>
        </w:tc>
        <w:tc>
          <w:tcPr>
            <w:tcW w:w="792" w:type="dxa"/>
          </w:tcPr>
          <w:p w14:paraId="5F52D319" w14:textId="77777777" w:rsidR="00811887" w:rsidRDefault="00811887" w:rsidP="00486E22">
            <w:pPr>
              <w:pStyle w:val="TableParagraph"/>
              <w:ind w:left="2" w:right="1"/>
              <w:jc w:val="center"/>
              <w:rPr>
                <w:sz w:val="20"/>
              </w:rPr>
            </w:pPr>
            <w:r>
              <w:rPr>
                <w:spacing w:val="-5"/>
                <w:sz w:val="20"/>
              </w:rPr>
              <w:t>9.0</w:t>
            </w:r>
          </w:p>
        </w:tc>
        <w:tc>
          <w:tcPr>
            <w:tcW w:w="937" w:type="dxa"/>
          </w:tcPr>
          <w:p w14:paraId="07794339" w14:textId="77777777" w:rsidR="00811887" w:rsidRDefault="00811887" w:rsidP="00486E22">
            <w:pPr>
              <w:pStyle w:val="TableParagraph"/>
              <w:ind w:right="4"/>
              <w:jc w:val="center"/>
              <w:rPr>
                <w:sz w:val="20"/>
              </w:rPr>
            </w:pPr>
            <w:r>
              <w:rPr>
                <w:spacing w:val="-5"/>
                <w:sz w:val="20"/>
              </w:rPr>
              <w:t>9.6</w:t>
            </w:r>
          </w:p>
        </w:tc>
      </w:tr>
      <w:tr w:rsidR="00811887" w14:paraId="6DA19F12" w14:textId="77777777" w:rsidTr="00486E22">
        <w:trPr>
          <w:trHeight w:val="300"/>
        </w:trPr>
        <w:tc>
          <w:tcPr>
            <w:tcW w:w="705" w:type="dxa"/>
            <w:shd w:val="clear" w:color="auto" w:fill="234060"/>
          </w:tcPr>
          <w:p w14:paraId="79672C5B" w14:textId="77777777" w:rsidR="00811887" w:rsidRDefault="00811887" w:rsidP="00486E22">
            <w:pPr>
              <w:pStyle w:val="TableParagraph"/>
              <w:ind w:left="23" w:right="97"/>
              <w:jc w:val="center"/>
              <w:rPr>
                <w:b/>
                <w:sz w:val="20"/>
              </w:rPr>
            </w:pPr>
            <w:r>
              <w:rPr>
                <w:b/>
                <w:color w:val="FFFFFF"/>
                <w:spacing w:val="-4"/>
                <w:sz w:val="20"/>
              </w:rPr>
              <w:t>2014</w:t>
            </w:r>
          </w:p>
        </w:tc>
        <w:tc>
          <w:tcPr>
            <w:tcW w:w="1271" w:type="dxa"/>
          </w:tcPr>
          <w:p w14:paraId="061DA423" w14:textId="77777777" w:rsidR="00811887" w:rsidRDefault="00811887" w:rsidP="00486E22">
            <w:pPr>
              <w:pStyle w:val="TableParagraph"/>
              <w:ind w:left="11"/>
              <w:jc w:val="center"/>
              <w:rPr>
                <w:sz w:val="20"/>
              </w:rPr>
            </w:pPr>
            <w:r>
              <w:rPr>
                <w:spacing w:val="-5"/>
                <w:sz w:val="20"/>
              </w:rPr>
              <w:t>5.2</w:t>
            </w:r>
          </w:p>
        </w:tc>
        <w:tc>
          <w:tcPr>
            <w:tcW w:w="1271" w:type="dxa"/>
          </w:tcPr>
          <w:p w14:paraId="3A2E769B" w14:textId="77777777" w:rsidR="00811887" w:rsidRDefault="00811887" w:rsidP="00486E22">
            <w:pPr>
              <w:pStyle w:val="TableParagraph"/>
              <w:ind w:left="11" w:right="10"/>
              <w:jc w:val="center"/>
              <w:rPr>
                <w:sz w:val="20"/>
              </w:rPr>
            </w:pPr>
            <w:r>
              <w:rPr>
                <w:spacing w:val="-5"/>
                <w:sz w:val="20"/>
              </w:rPr>
              <w:t>9.9</w:t>
            </w:r>
          </w:p>
        </w:tc>
        <w:tc>
          <w:tcPr>
            <w:tcW w:w="805" w:type="dxa"/>
          </w:tcPr>
          <w:p w14:paraId="2388F260" w14:textId="77777777" w:rsidR="00811887" w:rsidRDefault="00811887" w:rsidP="00486E22">
            <w:pPr>
              <w:pStyle w:val="TableParagraph"/>
              <w:ind w:left="5"/>
              <w:jc w:val="center"/>
              <w:rPr>
                <w:sz w:val="20"/>
              </w:rPr>
            </w:pPr>
            <w:r>
              <w:rPr>
                <w:spacing w:val="-4"/>
                <w:sz w:val="20"/>
              </w:rPr>
              <w:t>21.4</w:t>
            </w:r>
          </w:p>
        </w:tc>
        <w:tc>
          <w:tcPr>
            <w:tcW w:w="811" w:type="dxa"/>
          </w:tcPr>
          <w:p w14:paraId="57C70D16" w14:textId="77777777" w:rsidR="00811887" w:rsidRDefault="00811887" w:rsidP="00486E22">
            <w:pPr>
              <w:pStyle w:val="TableParagraph"/>
              <w:ind w:left="9"/>
              <w:jc w:val="center"/>
              <w:rPr>
                <w:sz w:val="20"/>
              </w:rPr>
            </w:pPr>
            <w:r>
              <w:rPr>
                <w:spacing w:val="-4"/>
                <w:sz w:val="20"/>
              </w:rPr>
              <w:t>11.6</w:t>
            </w:r>
          </w:p>
        </w:tc>
        <w:tc>
          <w:tcPr>
            <w:tcW w:w="811" w:type="dxa"/>
          </w:tcPr>
          <w:p w14:paraId="0A4DF863" w14:textId="77777777" w:rsidR="00811887" w:rsidRDefault="00811887" w:rsidP="00486E22">
            <w:pPr>
              <w:pStyle w:val="TableParagraph"/>
              <w:ind w:left="9"/>
              <w:jc w:val="center"/>
              <w:rPr>
                <w:sz w:val="20"/>
              </w:rPr>
            </w:pPr>
            <w:r>
              <w:rPr>
                <w:spacing w:val="-4"/>
                <w:sz w:val="20"/>
              </w:rPr>
              <w:t>11.6</w:t>
            </w:r>
          </w:p>
        </w:tc>
        <w:tc>
          <w:tcPr>
            <w:tcW w:w="811" w:type="dxa"/>
          </w:tcPr>
          <w:p w14:paraId="6C3E96F3" w14:textId="77777777" w:rsidR="00811887" w:rsidRDefault="00811887" w:rsidP="00486E22">
            <w:pPr>
              <w:pStyle w:val="TableParagraph"/>
              <w:ind w:left="9" w:right="2"/>
              <w:jc w:val="center"/>
              <w:rPr>
                <w:sz w:val="20"/>
              </w:rPr>
            </w:pPr>
            <w:r>
              <w:rPr>
                <w:spacing w:val="-5"/>
                <w:sz w:val="20"/>
              </w:rPr>
              <w:t>4.7</w:t>
            </w:r>
          </w:p>
        </w:tc>
        <w:tc>
          <w:tcPr>
            <w:tcW w:w="812" w:type="dxa"/>
          </w:tcPr>
          <w:p w14:paraId="3831CFD4" w14:textId="77777777" w:rsidR="00811887" w:rsidRDefault="00811887" w:rsidP="00486E22">
            <w:pPr>
              <w:pStyle w:val="TableParagraph"/>
              <w:ind w:left="6"/>
              <w:jc w:val="center"/>
              <w:rPr>
                <w:sz w:val="20"/>
              </w:rPr>
            </w:pPr>
            <w:r>
              <w:rPr>
                <w:spacing w:val="-4"/>
                <w:sz w:val="20"/>
              </w:rPr>
              <w:t>11.3</w:t>
            </w:r>
          </w:p>
        </w:tc>
        <w:tc>
          <w:tcPr>
            <w:tcW w:w="792" w:type="dxa"/>
          </w:tcPr>
          <w:p w14:paraId="69FED30D" w14:textId="77777777" w:rsidR="00811887" w:rsidRDefault="00811887" w:rsidP="00486E22">
            <w:pPr>
              <w:pStyle w:val="TableParagraph"/>
              <w:ind w:left="2"/>
              <w:jc w:val="center"/>
              <w:rPr>
                <w:sz w:val="20"/>
              </w:rPr>
            </w:pPr>
            <w:r>
              <w:rPr>
                <w:spacing w:val="-5"/>
                <w:sz w:val="20"/>
              </w:rPr>
              <w:t>8.1</w:t>
            </w:r>
          </w:p>
        </w:tc>
        <w:tc>
          <w:tcPr>
            <w:tcW w:w="937" w:type="dxa"/>
          </w:tcPr>
          <w:p w14:paraId="6FF38E29" w14:textId="77777777" w:rsidR="00811887" w:rsidRDefault="00811887" w:rsidP="00486E22">
            <w:pPr>
              <w:pStyle w:val="TableParagraph"/>
              <w:ind w:right="4"/>
              <w:jc w:val="center"/>
              <w:rPr>
                <w:sz w:val="20"/>
              </w:rPr>
            </w:pPr>
            <w:r>
              <w:rPr>
                <w:spacing w:val="-5"/>
                <w:sz w:val="20"/>
              </w:rPr>
              <w:t>9.8</w:t>
            </w:r>
          </w:p>
        </w:tc>
      </w:tr>
      <w:tr w:rsidR="00811887" w14:paraId="0227E797" w14:textId="77777777" w:rsidTr="00486E22">
        <w:trPr>
          <w:trHeight w:val="300"/>
        </w:trPr>
        <w:tc>
          <w:tcPr>
            <w:tcW w:w="705" w:type="dxa"/>
            <w:shd w:val="clear" w:color="auto" w:fill="234060"/>
          </w:tcPr>
          <w:p w14:paraId="6C607032" w14:textId="77777777" w:rsidR="00811887" w:rsidRDefault="00811887" w:rsidP="00486E22">
            <w:pPr>
              <w:pStyle w:val="TableParagraph"/>
              <w:ind w:left="23" w:right="97"/>
              <w:jc w:val="center"/>
              <w:rPr>
                <w:b/>
                <w:sz w:val="20"/>
              </w:rPr>
            </w:pPr>
            <w:r>
              <w:rPr>
                <w:b/>
                <w:color w:val="FFFFFF"/>
                <w:spacing w:val="-4"/>
                <w:sz w:val="20"/>
              </w:rPr>
              <w:t>2015</w:t>
            </w:r>
          </w:p>
        </w:tc>
        <w:tc>
          <w:tcPr>
            <w:tcW w:w="1271" w:type="dxa"/>
          </w:tcPr>
          <w:p w14:paraId="4ABD1557" w14:textId="77777777" w:rsidR="00811887" w:rsidRDefault="00811887" w:rsidP="00486E22">
            <w:pPr>
              <w:pStyle w:val="TableParagraph"/>
              <w:ind w:left="11"/>
              <w:jc w:val="center"/>
              <w:rPr>
                <w:sz w:val="20"/>
              </w:rPr>
            </w:pPr>
            <w:r>
              <w:rPr>
                <w:spacing w:val="-5"/>
                <w:sz w:val="20"/>
              </w:rPr>
              <w:t>7.2</w:t>
            </w:r>
          </w:p>
        </w:tc>
        <w:tc>
          <w:tcPr>
            <w:tcW w:w="1271" w:type="dxa"/>
          </w:tcPr>
          <w:p w14:paraId="52E88917" w14:textId="77777777" w:rsidR="00811887" w:rsidRDefault="00811887" w:rsidP="00486E22">
            <w:pPr>
              <w:pStyle w:val="TableParagraph"/>
              <w:ind w:left="11" w:right="10"/>
              <w:jc w:val="center"/>
              <w:rPr>
                <w:sz w:val="20"/>
              </w:rPr>
            </w:pPr>
            <w:r>
              <w:rPr>
                <w:spacing w:val="-5"/>
                <w:sz w:val="20"/>
              </w:rPr>
              <w:t>9.4</w:t>
            </w:r>
          </w:p>
        </w:tc>
        <w:tc>
          <w:tcPr>
            <w:tcW w:w="805" w:type="dxa"/>
          </w:tcPr>
          <w:p w14:paraId="3DE01311" w14:textId="77777777" w:rsidR="00811887" w:rsidRDefault="00811887" w:rsidP="00486E22">
            <w:pPr>
              <w:pStyle w:val="TableParagraph"/>
              <w:ind w:left="5"/>
              <w:jc w:val="center"/>
              <w:rPr>
                <w:sz w:val="20"/>
              </w:rPr>
            </w:pPr>
            <w:r>
              <w:rPr>
                <w:spacing w:val="-4"/>
                <w:sz w:val="20"/>
              </w:rPr>
              <w:t>23.0</w:t>
            </w:r>
          </w:p>
        </w:tc>
        <w:tc>
          <w:tcPr>
            <w:tcW w:w="811" w:type="dxa"/>
          </w:tcPr>
          <w:p w14:paraId="5848599A" w14:textId="77777777" w:rsidR="00811887" w:rsidRDefault="00811887" w:rsidP="00486E22">
            <w:pPr>
              <w:pStyle w:val="TableParagraph"/>
              <w:ind w:left="9"/>
              <w:jc w:val="center"/>
              <w:rPr>
                <w:sz w:val="20"/>
              </w:rPr>
            </w:pPr>
            <w:r>
              <w:rPr>
                <w:spacing w:val="-4"/>
                <w:sz w:val="20"/>
              </w:rPr>
              <w:t>14.1</w:t>
            </w:r>
          </w:p>
        </w:tc>
        <w:tc>
          <w:tcPr>
            <w:tcW w:w="811" w:type="dxa"/>
          </w:tcPr>
          <w:p w14:paraId="6AA24E65" w14:textId="77777777" w:rsidR="00811887" w:rsidRDefault="00811887" w:rsidP="00486E22">
            <w:pPr>
              <w:pStyle w:val="TableParagraph"/>
              <w:ind w:left="9" w:right="1"/>
              <w:jc w:val="center"/>
              <w:rPr>
                <w:sz w:val="20"/>
              </w:rPr>
            </w:pPr>
            <w:r>
              <w:rPr>
                <w:spacing w:val="-4"/>
                <w:sz w:val="20"/>
              </w:rPr>
              <w:t>13.0</w:t>
            </w:r>
          </w:p>
        </w:tc>
        <w:tc>
          <w:tcPr>
            <w:tcW w:w="811" w:type="dxa"/>
          </w:tcPr>
          <w:p w14:paraId="6FA676A5" w14:textId="77777777" w:rsidR="00811887" w:rsidRDefault="00811887" w:rsidP="00486E22">
            <w:pPr>
              <w:pStyle w:val="TableParagraph"/>
              <w:ind w:left="9" w:right="2"/>
              <w:jc w:val="center"/>
              <w:rPr>
                <w:sz w:val="20"/>
              </w:rPr>
            </w:pPr>
            <w:r>
              <w:rPr>
                <w:spacing w:val="-5"/>
                <w:sz w:val="20"/>
              </w:rPr>
              <w:t>5.2</w:t>
            </w:r>
          </w:p>
        </w:tc>
        <w:tc>
          <w:tcPr>
            <w:tcW w:w="812" w:type="dxa"/>
          </w:tcPr>
          <w:p w14:paraId="60227EBE" w14:textId="77777777" w:rsidR="00811887" w:rsidRDefault="00811887" w:rsidP="00486E22">
            <w:pPr>
              <w:pStyle w:val="TableParagraph"/>
              <w:ind w:left="6"/>
              <w:jc w:val="center"/>
              <w:rPr>
                <w:sz w:val="20"/>
              </w:rPr>
            </w:pPr>
            <w:r>
              <w:rPr>
                <w:spacing w:val="-4"/>
                <w:sz w:val="20"/>
              </w:rPr>
              <w:t>12.3</w:t>
            </w:r>
          </w:p>
        </w:tc>
        <w:tc>
          <w:tcPr>
            <w:tcW w:w="792" w:type="dxa"/>
          </w:tcPr>
          <w:p w14:paraId="266520F5" w14:textId="77777777" w:rsidR="00811887" w:rsidRDefault="00811887" w:rsidP="00486E22">
            <w:pPr>
              <w:pStyle w:val="TableParagraph"/>
              <w:ind w:left="2" w:right="1"/>
              <w:jc w:val="center"/>
              <w:rPr>
                <w:sz w:val="20"/>
              </w:rPr>
            </w:pPr>
            <w:r>
              <w:rPr>
                <w:spacing w:val="-4"/>
                <w:sz w:val="20"/>
              </w:rPr>
              <w:t>10.3</w:t>
            </w:r>
          </w:p>
        </w:tc>
        <w:tc>
          <w:tcPr>
            <w:tcW w:w="937" w:type="dxa"/>
          </w:tcPr>
          <w:p w14:paraId="10AE19FE" w14:textId="77777777" w:rsidR="00811887" w:rsidRDefault="00811887" w:rsidP="00486E22">
            <w:pPr>
              <w:pStyle w:val="TableParagraph"/>
              <w:ind w:right="4"/>
              <w:jc w:val="center"/>
              <w:rPr>
                <w:sz w:val="20"/>
              </w:rPr>
            </w:pPr>
            <w:r>
              <w:rPr>
                <w:spacing w:val="-4"/>
                <w:sz w:val="20"/>
              </w:rPr>
              <w:t>10.6</w:t>
            </w:r>
          </w:p>
        </w:tc>
      </w:tr>
      <w:tr w:rsidR="00811887" w14:paraId="70DBE25F" w14:textId="77777777" w:rsidTr="00486E22">
        <w:trPr>
          <w:trHeight w:val="300"/>
        </w:trPr>
        <w:tc>
          <w:tcPr>
            <w:tcW w:w="705" w:type="dxa"/>
            <w:shd w:val="clear" w:color="auto" w:fill="234060"/>
          </w:tcPr>
          <w:p w14:paraId="4FEC35D1" w14:textId="77777777" w:rsidR="00811887" w:rsidRDefault="00811887" w:rsidP="00486E22">
            <w:pPr>
              <w:pStyle w:val="TableParagraph"/>
              <w:ind w:left="23" w:right="97"/>
              <w:jc w:val="center"/>
              <w:rPr>
                <w:b/>
                <w:sz w:val="20"/>
              </w:rPr>
            </w:pPr>
            <w:r>
              <w:rPr>
                <w:b/>
                <w:color w:val="FFFFFF"/>
                <w:spacing w:val="-4"/>
                <w:sz w:val="20"/>
              </w:rPr>
              <w:t>2016</w:t>
            </w:r>
          </w:p>
        </w:tc>
        <w:tc>
          <w:tcPr>
            <w:tcW w:w="1271" w:type="dxa"/>
          </w:tcPr>
          <w:p w14:paraId="33D961FB" w14:textId="77777777" w:rsidR="00811887" w:rsidRDefault="00811887" w:rsidP="00486E22">
            <w:pPr>
              <w:pStyle w:val="TableParagraph"/>
              <w:ind w:left="11"/>
              <w:jc w:val="center"/>
              <w:rPr>
                <w:sz w:val="20"/>
              </w:rPr>
            </w:pPr>
            <w:r>
              <w:rPr>
                <w:spacing w:val="-5"/>
                <w:sz w:val="20"/>
              </w:rPr>
              <w:t>6.1</w:t>
            </w:r>
          </w:p>
        </w:tc>
        <w:tc>
          <w:tcPr>
            <w:tcW w:w="1271" w:type="dxa"/>
          </w:tcPr>
          <w:p w14:paraId="35909680" w14:textId="77777777" w:rsidR="00811887" w:rsidRDefault="00811887" w:rsidP="00486E22">
            <w:pPr>
              <w:pStyle w:val="TableParagraph"/>
              <w:ind w:left="11" w:right="10"/>
              <w:jc w:val="center"/>
              <w:rPr>
                <w:sz w:val="20"/>
              </w:rPr>
            </w:pPr>
            <w:r>
              <w:rPr>
                <w:spacing w:val="-5"/>
                <w:sz w:val="20"/>
              </w:rPr>
              <w:t>8.9</w:t>
            </w:r>
          </w:p>
        </w:tc>
        <w:tc>
          <w:tcPr>
            <w:tcW w:w="805" w:type="dxa"/>
          </w:tcPr>
          <w:p w14:paraId="06EA8ECF" w14:textId="77777777" w:rsidR="00811887" w:rsidRDefault="00811887" w:rsidP="00486E22">
            <w:pPr>
              <w:pStyle w:val="TableParagraph"/>
              <w:ind w:left="5"/>
              <w:jc w:val="center"/>
              <w:rPr>
                <w:sz w:val="20"/>
              </w:rPr>
            </w:pPr>
            <w:r>
              <w:rPr>
                <w:spacing w:val="-4"/>
                <w:sz w:val="20"/>
              </w:rPr>
              <w:t>22.2</w:t>
            </w:r>
          </w:p>
        </w:tc>
        <w:tc>
          <w:tcPr>
            <w:tcW w:w="811" w:type="dxa"/>
          </w:tcPr>
          <w:p w14:paraId="6F755AA9" w14:textId="77777777" w:rsidR="00811887" w:rsidRDefault="00811887" w:rsidP="00486E22">
            <w:pPr>
              <w:pStyle w:val="TableParagraph"/>
              <w:ind w:left="9"/>
              <w:jc w:val="center"/>
              <w:rPr>
                <w:sz w:val="20"/>
              </w:rPr>
            </w:pPr>
            <w:r>
              <w:rPr>
                <w:spacing w:val="-4"/>
                <w:sz w:val="20"/>
              </w:rPr>
              <w:t>11.5</w:t>
            </w:r>
          </w:p>
        </w:tc>
        <w:tc>
          <w:tcPr>
            <w:tcW w:w="811" w:type="dxa"/>
          </w:tcPr>
          <w:p w14:paraId="0423FFD5" w14:textId="77777777" w:rsidR="00811887" w:rsidRDefault="00811887" w:rsidP="00486E22">
            <w:pPr>
              <w:pStyle w:val="TableParagraph"/>
              <w:ind w:left="9"/>
              <w:jc w:val="center"/>
              <w:rPr>
                <w:sz w:val="20"/>
              </w:rPr>
            </w:pPr>
            <w:r>
              <w:rPr>
                <w:spacing w:val="-4"/>
                <w:sz w:val="20"/>
              </w:rPr>
              <w:t>13.2</w:t>
            </w:r>
          </w:p>
        </w:tc>
        <w:tc>
          <w:tcPr>
            <w:tcW w:w="811" w:type="dxa"/>
          </w:tcPr>
          <w:p w14:paraId="741A3A5C" w14:textId="77777777" w:rsidR="00811887" w:rsidRDefault="00811887" w:rsidP="00486E22">
            <w:pPr>
              <w:pStyle w:val="TableParagraph"/>
              <w:ind w:left="9" w:right="2"/>
              <w:jc w:val="center"/>
              <w:rPr>
                <w:sz w:val="20"/>
              </w:rPr>
            </w:pPr>
            <w:r>
              <w:rPr>
                <w:spacing w:val="-5"/>
                <w:sz w:val="20"/>
              </w:rPr>
              <w:t>6.2</w:t>
            </w:r>
          </w:p>
        </w:tc>
        <w:tc>
          <w:tcPr>
            <w:tcW w:w="812" w:type="dxa"/>
          </w:tcPr>
          <w:p w14:paraId="2D3DCD2A" w14:textId="77777777" w:rsidR="00811887" w:rsidRDefault="00811887" w:rsidP="00486E22">
            <w:pPr>
              <w:pStyle w:val="TableParagraph"/>
              <w:ind w:left="6"/>
              <w:jc w:val="center"/>
              <w:rPr>
                <w:sz w:val="20"/>
              </w:rPr>
            </w:pPr>
            <w:r>
              <w:rPr>
                <w:spacing w:val="-4"/>
                <w:sz w:val="20"/>
              </w:rPr>
              <w:t>12.2</w:t>
            </w:r>
          </w:p>
        </w:tc>
        <w:tc>
          <w:tcPr>
            <w:tcW w:w="792" w:type="dxa"/>
          </w:tcPr>
          <w:p w14:paraId="36F493E8" w14:textId="77777777" w:rsidR="00811887" w:rsidRDefault="00811887" w:rsidP="00486E22">
            <w:pPr>
              <w:pStyle w:val="TableParagraph"/>
              <w:ind w:left="2"/>
              <w:jc w:val="center"/>
              <w:rPr>
                <w:sz w:val="20"/>
              </w:rPr>
            </w:pPr>
            <w:r>
              <w:rPr>
                <w:spacing w:val="-5"/>
                <w:sz w:val="20"/>
              </w:rPr>
              <w:t>9.3</w:t>
            </w:r>
          </w:p>
        </w:tc>
        <w:tc>
          <w:tcPr>
            <w:tcW w:w="937" w:type="dxa"/>
          </w:tcPr>
          <w:p w14:paraId="5FDB0857" w14:textId="77777777" w:rsidR="00811887" w:rsidRDefault="00811887" w:rsidP="00486E22">
            <w:pPr>
              <w:pStyle w:val="TableParagraph"/>
              <w:ind w:right="4"/>
              <w:jc w:val="center"/>
              <w:rPr>
                <w:sz w:val="20"/>
              </w:rPr>
            </w:pPr>
            <w:r>
              <w:rPr>
                <w:spacing w:val="-5"/>
                <w:sz w:val="20"/>
              </w:rPr>
              <w:t>9.9</w:t>
            </w:r>
          </w:p>
        </w:tc>
      </w:tr>
      <w:tr w:rsidR="00811887" w14:paraId="4B55E451" w14:textId="77777777" w:rsidTr="00486E22">
        <w:trPr>
          <w:trHeight w:val="300"/>
        </w:trPr>
        <w:tc>
          <w:tcPr>
            <w:tcW w:w="705" w:type="dxa"/>
            <w:shd w:val="clear" w:color="auto" w:fill="234060"/>
          </w:tcPr>
          <w:p w14:paraId="3E883E83" w14:textId="77777777" w:rsidR="00811887" w:rsidRDefault="00811887" w:rsidP="00486E22">
            <w:pPr>
              <w:pStyle w:val="TableParagraph"/>
              <w:spacing w:line="240" w:lineRule="auto"/>
              <w:ind w:left="23" w:right="97"/>
              <w:jc w:val="center"/>
              <w:rPr>
                <w:b/>
                <w:sz w:val="20"/>
              </w:rPr>
            </w:pPr>
            <w:r>
              <w:rPr>
                <w:b/>
                <w:color w:val="FFFFFF"/>
                <w:spacing w:val="-4"/>
                <w:sz w:val="20"/>
              </w:rPr>
              <w:t>2017</w:t>
            </w:r>
          </w:p>
        </w:tc>
        <w:tc>
          <w:tcPr>
            <w:tcW w:w="1271" w:type="dxa"/>
          </w:tcPr>
          <w:p w14:paraId="0BD305EE" w14:textId="77777777" w:rsidR="00811887" w:rsidRDefault="00811887" w:rsidP="00486E22">
            <w:pPr>
              <w:pStyle w:val="TableParagraph"/>
              <w:spacing w:line="240" w:lineRule="auto"/>
              <w:ind w:left="11"/>
              <w:jc w:val="center"/>
              <w:rPr>
                <w:sz w:val="20"/>
              </w:rPr>
            </w:pPr>
            <w:r>
              <w:rPr>
                <w:spacing w:val="-5"/>
                <w:sz w:val="20"/>
              </w:rPr>
              <w:t>6.1</w:t>
            </w:r>
          </w:p>
        </w:tc>
        <w:tc>
          <w:tcPr>
            <w:tcW w:w="1271" w:type="dxa"/>
          </w:tcPr>
          <w:p w14:paraId="399722E0" w14:textId="77777777" w:rsidR="00811887" w:rsidRDefault="00811887" w:rsidP="00486E22">
            <w:pPr>
              <w:pStyle w:val="TableParagraph"/>
              <w:spacing w:line="240" w:lineRule="auto"/>
              <w:ind w:left="11" w:right="10"/>
              <w:jc w:val="center"/>
              <w:rPr>
                <w:sz w:val="20"/>
              </w:rPr>
            </w:pPr>
            <w:r>
              <w:rPr>
                <w:spacing w:val="-5"/>
                <w:sz w:val="20"/>
              </w:rPr>
              <w:t>9.5</w:t>
            </w:r>
          </w:p>
        </w:tc>
        <w:tc>
          <w:tcPr>
            <w:tcW w:w="805" w:type="dxa"/>
          </w:tcPr>
          <w:p w14:paraId="7621B3AE" w14:textId="77777777" w:rsidR="00811887" w:rsidRDefault="00811887" w:rsidP="00486E22">
            <w:pPr>
              <w:pStyle w:val="TableParagraph"/>
              <w:spacing w:line="240" w:lineRule="auto"/>
              <w:ind w:left="5"/>
              <w:jc w:val="center"/>
              <w:rPr>
                <w:sz w:val="20"/>
              </w:rPr>
            </w:pPr>
            <w:r>
              <w:rPr>
                <w:spacing w:val="-4"/>
                <w:sz w:val="20"/>
              </w:rPr>
              <w:t>28.0</w:t>
            </w:r>
          </w:p>
        </w:tc>
        <w:tc>
          <w:tcPr>
            <w:tcW w:w="811" w:type="dxa"/>
          </w:tcPr>
          <w:p w14:paraId="05F6FEEB" w14:textId="77777777" w:rsidR="00811887" w:rsidRDefault="00811887" w:rsidP="00486E22">
            <w:pPr>
              <w:pStyle w:val="TableParagraph"/>
              <w:spacing w:line="240" w:lineRule="auto"/>
              <w:ind w:left="9"/>
              <w:jc w:val="center"/>
              <w:rPr>
                <w:sz w:val="20"/>
              </w:rPr>
            </w:pPr>
            <w:r>
              <w:rPr>
                <w:spacing w:val="-4"/>
                <w:sz w:val="20"/>
              </w:rPr>
              <w:t>12.9</w:t>
            </w:r>
          </w:p>
        </w:tc>
        <w:tc>
          <w:tcPr>
            <w:tcW w:w="811" w:type="dxa"/>
          </w:tcPr>
          <w:p w14:paraId="6F9E35A4" w14:textId="77777777" w:rsidR="00811887" w:rsidRDefault="00811887" w:rsidP="00486E22">
            <w:pPr>
              <w:pStyle w:val="TableParagraph"/>
              <w:spacing w:line="240" w:lineRule="auto"/>
              <w:ind w:left="9"/>
              <w:jc w:val="center"/>
              <w:rPr>
                <w:sz w:val="20"/>
              </w:rPr>
            </w:pPr>
            <w:r>
              <w:rPr>
                <w:spacing w:val="-4"/>
                <w:sz w:val="20"/>
              </w:rPr>
              <w:t>10.5</w:t>
            </w:r>
          </w:p>
        </w:tc>
        <w:tc>
          <w:tcPr>
            <w:tcW w:w="811" w:type="dxa"/>
          </w:tcPr>
          <w:p w14:paraId="237CBE3B" w14:textId="77777777" w:rsidR="00811887" w:rsidRDefault="00811887" w:rsidP="00486E22">
            <w:pPr>
              <w:pStyle w:val="TableParagraph"/>
              <w:spacing w:line="240" w:lineRule="auto"/>
              <w:ind w:left="9" w:right="2"/>
              <w:jc w:val="center"/>
              <w:rPr>
                <w:sz w:val="20"/>
              </w:rPr>
            </w:pPr>
            <w:r>
              <w:rPr>
                <w:spacing w:val="-5"/>
                <w:sz w:val="20"/>
              </w:rPr>
              <w:t>3.6</w:t>
            </w:r>
          </w:p>
        </w:tc>
        <w:tc>
          <w:tcPr>
            <w:tcW w:w="812" w:type="dxa"/>
          </w:tcPr>
          <w:p w14:paraId="039A9569" w14:textId="77777777" w:rsidR="00811887" w:rsidRDefault="00811887" w:rsidP="00486E22">
            <w:pPr>
              <w:pStyle w:val="TableParagraph"/>
              <w:spacing w:line="240" w:lineRule="auto"/>
              <w:ind w:left="6"/>
              <w:jc w:val="center"/>
              <w:rPr>
                <w:sz w:val="20"/>
              </w:rPr>
            </w:pPr>
            <w:r>
              <w:rPr>
                <w:spacing w:val="-4"/>
                <w:sz w:val="20"/>
              </w:rPr>
              <w:t>13.1</w:t>
            </w:r>
          </w:p>
        </w:tc>
        <w:tc>
          <w:tcPr>
            <w:tcW w:w="792" w:type="dxa"/>
          </w:tcPr>
          <w:p w14:paraId="5C62848E" w14:textId="77777777" w:rsidR="00811887" w:rsidRDefault="00811887" w:rsidP="00486E22">
            <w:pPr>
              <w:pStyle w:val="TableParagraph"/>
              <w:spacing w:line="240" w:lineRule="auto"/>
              <w:ind w:left="2"/>
              <w:jc w:val="center"/>
              <w:rPr>
                <w:sz w:val="20"/>
              </w:rPr>
            </w:pPr>
            <w:r>
              <w:rPr>
                <w:spacing w:val="-5"/>
                <w:sz w:val="20"/>
              </w:rPr>
              <w:t>9.1</w:t>
            </w:r>
          </w:p>
        </w:tc>
        <w:tc>
          <w:tcPr>
            <w:tcW w:w="937" w:type="dxa"/>
          </w:tcPr>
          <w:p w14:paraId="4A842A41" w14:textId="77777777" w:rsidR="00811887" w:rsidRDefault="00811887" w:rsidP="00486E22">
            <w:pPr>
              <w:pStyle w:val="TableParagraph"/>
              <w:spacing w:line="240" w:lineRule="auto"/>
              <w:ind w:right="4"/>
              <w:jc w:val="center"/>
              <w:rPr>
                <w:sz w:val="20"/>
              </w:rPr>
            </w:pPr>
            <w:r>
              <w:rPr>
                <w:spacing w:val="-4"/>
                <w:sz w:val="20"/>
              </w:rPr>
              <w:t>10.3</w:t>
            </w:r>
          </w:p>
        </w:tc>
      </w:tr>
      <w:tr w:rsidR="00811887" w14:paraId="6896EC1F" w14:textId="77777777" w:rsidTr="00486E22">
        <w:trPr>
          <w:trHeight w:val="300"/>
        </w:trPr>
        <w:tc>
          <w:tcPr>
            <w:tcW w:w="705" w:type="dxa"/>
            <w:shd w:val="clear" w:color="auto" w:fill="234060"/>
          </w:tcPr>
          <w:p w14:paraId="3924D610" w14:textId="77777777" w:rsidR="00811887" w:rsidRDefault="00811887" w:rsidP="00486E22">
            <w:pPr>
              <w:pStyle w:val="TableParagraph"/>
              <w:ind w:left="23" w:right="97"/>
              <w:jc w:val="center"/>
              <w:rPr>
                <w:b/>
                <w:sz w:val="20"/>
              </w:rPr>
            </w:pPr>
            <w:r>
              <w:rPr>
                <w:b/>
                <w:color w:val="FFFFFF"/>
                <w:spacing w:val="-4"/>
                <w:sz w:val="20"/>
              </w:rPr>
              <w:t>2018</w:t>
            </w:r>
          </w:p>
        </w:tc>
        <w:tc>
          <w:tcPr>
            <w:tcW w:w="1271" w:type="dxa"/>
          </w:tcPr>
          <w:p w14:paraId="5534E719" w14:textId="77777777" w:rsidR="00811887" w:rsidRDefault="00811887" w:rsidP="00486E22">
            <w:pPr>
              <w:pStyle w:val="TableParagraph"/>
              <w:ind w:left="11"/>
              <w:jc w:val="center"/>
              <w:rPr>
                <w:sz w:val="20"/>
              </w:rPr>
            </w:pPr>
            <w:r>
              <w:rPr>
                <w:spacing w:val="-5"/>
                <w:sz w:val="20"/>
              </w:rPr>
              <w:t>5.9</w:t>
            </w:r>
          </w:p>
        </w:tc>
        <w:tc>
          <w:tcPr>
            <w:tcW w:w="1271" w:type="dxa"/>
          </w:tcPr>
          <w:p w14:paraId="69928844" w14:textId="77777777" w:rsidR="00811887" w:rsidRDefault="00811887" w:rsidP="00486E22">
            <w:pPr>
              <w:pStyle w:val="TableParagraph"/>
              <w:ind w:left="11" w:right="10"/>
              <w:jc w:val="center"/>
              <w:rPr>
                <w:sz w:val="20"/>
              </w:rPr>
            </w:pPr>
            <w:r>
              <w:rPr>
                <w:spacing w:val="-4"/>
                <w:sz w:val="20"/>
              </w:rPr>
              <w:t>10.3</w:t>
            </w:r>
          </w:p>
        </w:tc>
        <w:tc>
          <w:tcPr>
            <w:tcW w:w="805" w:type="dxa"/>
          </w:tcPr>
          <w:p w14:paraId="35827EE8" w14:textId="77777777" w:rsidR="00811887" w:rsidRDefault="00811887" w:rsidP="00486E22">
            <w:pPr>
              <w:pStyle w:val="TableParagraph"/>
              <w:ind w:left="5"/>
              <w:jc w:val="center"/>
              <w:rPr>
                <w:sz w:val="20"/>
              </w:rPr>
            </w:pPr>
            <w:r>
              <w:rPr>
                <w:spacing w:val="-4"/>
                <w:sz w:val="20"/>
              </w:rPr>
              <w:t>26.6</w:t>
            </w:r>
          </w:p>
        </w:tc>
        <w:tc>
          <w:tcPr>
            <w:tcW w:w="811" w:type="dxa"/>
          </w:tcPr>
          <w:p w14:paraId="6A4B5AD4" w14:textId="77777777" w:rsidR="00811887" w:rsidRDefault="00811887" w:rsidP="00486E22">
            <w:pPr>
              <w:pStyle w:val="TableParagraph"/>
              <w:ind w:left="9"/>
              <w:jc w:val="center"/>
              <w:rPr>
                <w:sz w:val="20"/>
              </w:rPr>
            </w:pPr>
            <w:r>
              <w:rPr>
                <w:spacing w:val="-4"/>
                <w:sz w:val="20"/>
              </w:rPr>
              <w:t>11.8</w:t>
            </w:r>
          </w:p>
        </w:tc>
        <w:tc>
          <w:tcPr>
            <w:tcW w:w="811" w:type="dxa"/>
          </w:tcPr>
          <w:p w14:paraId="67E85AF8" w14:textId="77777777" w:rsidR="00811887" w:rsidRDefault="00811887" w:rsidP="00486E22">
            <w:pPr>
              <w:pStyle w:val="TableParagraph"/>
              <w:ind w:left="9"/>
              <w:jc w:val="center"/>
              <w:rPr>
                <w:sz w:val="20"/>
              </w:rPr>
            </w:pPr>
            <w:r>
              <w:rPr>
                <w:spacing w:val="-4"/>
                <w:sz w:val="20"/>
              </w:rPr>
              <w:t>12.2</w:t>
            </w:r>
          </w:p>
        </w:tc>
        <w:tc>
          <w:tcPr>
            <w:tcW w:w="811" w:type="dxa"/>
          </w:tcPr>
          <w:p w14:paraId="57F6C1C5" w14:textId="77777777" w:rsidR="00811887" w:rsidRDefault="00811887" w:rsidP="00486E22">
            <w:pPr>
              <w:pStyle w:val="TableParagraph"/>
              <w:ind w:left="9" w:right="2"/>
              <w:jc w:val="center"/>
              <w:rPr>
                <w:sz w:val="20"/>
              </w:rPr>
            </w:pPr>
            <w:r>
              <w:rPr>
                <w:spacing w:val="-5"/>
                <w:sz w:val="20"/>
              </w:rPr>
              <w:t>6.1</w:t>
            </w:r>
          </w:p>
        </w:tc>
        <w:tc>
          <w:tcPr>
            <w:tcW w:w="812" w:type="dxa"/>
          </w:tcPr>
          <w:p w14:paraId="30748F10" w14:textId="77777777" w:rsidR="00811887" w:rsidRDefault="00811887" w:rsidP="00486E22">
            <w:pPr>
              <w:pStyle w:val="TableParagraph"/>
              <w:ind w:left="6" w:right="1"/>
              <w:jc w:val="center"/>
              <w:rPr>
                <w:sz w:val="20"/>
              </w:rPr>
            </w:pPr>
            <w:r>
              <w:rPr>
                <w:spacing w:val="-4"/>
                <w:sz w:val="20"/>
              </w:rPr>
              <w:t>13.0</w:t>
            </w:r>
          </w:p>
        </w:tc>
        <w:tc>
          <w:tcPr>
            <w:tcW w:w="792" w:type="dxa"/>
          </w:tcPr>
          <w:p w14:paraId="02A13341" w14:textId="77777777" w:rsidR="00811887" w:rsidRDefault="00811887" w:rsidP="00486E22">
            <w:pPr>
              <w:pStyle w:val="TableParagraph"/>
              <w:ind w:left="2"/>
              <w:jc w:val="center"/>
              <w:rPr>
                <w:sz w:val="20"/>
              </w:rPr>
            </w:pPr>
            <w:r>
              <w:rPr>
                <w:spacing w:val="-5"/>
                <w:sz w:val="20"/>
              </w:rPr>
              <w:t>9.8</w:t>
            </w:r>
          </w:p>
        </w:tc>
        <w:tc>
          <w:tcPr>
            <w:tcW w:w="937" w:type="dxa"/>
          </w:tcPr>
          <w:p w14:paraId="7D38014D" w14:textId="77777777" w:rsidR="00811887" w:rsidRDefault="00811887" w:rsidP="00486E22">
            <w:pPr>
              <w:pStyle w:val="TableParagraph"/>
              <w:ind w:right="4"/>
              <w:jc w:val="center"/>
              <w:rPr>
                <w:sz w:val="20"/>
              </w:rPr>
            </w:pPr>
            <w:r>
              <w:rPr>
                <w:spacing w:val="-4"/>
                <w:sz w:val="20"/>
              </w:rPr>
              <w:t>10.7</w:t>
            </w:r>
          </w:p>
        </w:tc>
      </w:tr>
      <w:tr w:rsidR="00811887" w14:paraId="7A065C51" w14:textId="77777777" w:rsidTr="00486E22">
        <w:trPr>
          <w:trHeight w:val="300"/>
        </w:trPr>
        <w:tc>
          <w:tcPr>
            <w:tcW w:w="705" w:type="dxa"/>
            <w:shd w:val="clear" w:color="auto" w:fill="234060"/>
          </w:tcPr>
          <w:p w14:paraId="00ED497E" w14:textId="77777777" w:rsidR="00811887" w:rsidRDefault="00811887" w:rsidP="00486E22">
            <w:pPr>
              <w:pStyle w:val="TableParagraph"/>
              <w:ind w:left="23" w:right="97"/>
              <w:jc w:val="center"/>
              <w:rPr>
                <w:b/>
                <w:sz w:val="20"/>
              </w:rPr>
            </w:pPr>
            <w:r>
              <w:rPr>
                <w:b/>
                <w:color w:val="FFFFFF"/>
                <w:spacing w:val="-4"/>
                <w:sz w:val="20"/>
              </w:rPr>
              <w:t>2019</w:t>
            </w:r>
          </w:p>
        </w:tc>
        <w:tc>
          <w:tcPr>
            <w:tcW w:w="1271" w:type="dxa"/>
          </w:tcPr>
          <w:p w14:paraId="2A290D4A" w14:textId="77777777" w:rsidR="00811887" w:rsidRDefault="00811887" w:rsidP="00486E22">
            <w:pPr>
              <w:pStyle w:val="TableParagraph"/>
              <w:ind w:left="11"/>
              <w:jc w:val="center"/>
              <w:rPr>
                <w:sz w:val="20"/>
              </w:rPr>
            </w:pPr>
            <w:r>
              <w:rPr>
                <w:spacing w:val="-5"/>
                <w:sz w:val="20"/>
              </w:rPr>
              <w:t>5.6</w:t>
            </w:r>
          </w:p>
        </w:tc>
        <w:tc>
          <w:tcPr>
            <w:tcW w:w="1271" w:type="dxa"/>
          </w:tcPr>
          <w:p w14:paraId="03EF914D" w14:textId="77777777" w:rsidR="00811887" w:rsidRDefault="00811887" w:rsidP="00486E22">
            <w:pPr>
              <w:pStyle w:val="TableParagraph"/>
              <w:ind w:left="11" w:right="10"/>
              <w:jc w:val="center"/>
              <w:rPr>
                <w:sz w:val="20"/>
              </w:rPr>
            </w:pPr>
            <w:r>
              <w:rPr>
                <w:spacing w:val="-5"/>
                <w:sz w:val="20"/>
              </w:rPr>
              <w:t>7.7</w:t>
            </w:r>
          </w:p>
        </w:tc>
        <w:tc>
          <w:tcPr>
            <w:tcW w:w="805" w:type="dxa"/>
          </w:tcPr>
          <w:p w14:paraId="18A5E58B" w14:textId="77777777" w:rsidR="00811887" w:rsidRDefault="00811887" w:rsidP="00486E22">
            <w:pPr>
              <w:pStyle w:val="TableParagraph"/>
              <w:ind w:left="5"/>
              <w:jc w:val="center"/>
              <w:rPr>
                <w:sz w:val="20"/>
              </w:rPr>
            </w:pPr>
            <w:r>
              <w:rPr>
                <w:spacing w:val="-4"/>
                <w:sz w:val="20"/>
              </w:rPr>
              <w:t>24.4</w:t>
            </w:r>
          </w:p>
        </w:tc>
        <w:tc>
          <w:tcPr>
            <w:tcW w:w="811" w:type="dxa"/>
          </w:tcPr>
          <w:p w14:paraId="2F63C7EC" w14:textId="77777777" w:rsidR="00811887" w:rsidRDefault="00811887" w:rsidP="00486E22">
            <w:pPr>
              <w:pStyle w:val="TableParagraph"/>
              <w:ind w:left="9"/>
              <w:jc w:val="center"/>
              <w:rPr>
                <w:sz w:val="20"/>
              </w:rPr>
            </w:pPr>
            <w:r>
              <w:rPr>
                <w:spacing w:val="-4"/>
                <w:sz w:val="20"/>
              </w:rPr>
              <w:t>12.5</w:t>
            </w:r>
          </w:p>
        </w:tc>
        <w:tc>
          <w:tcPr>
            <w:tcW w:w="811" w:type="dxa"/>
          </w:tcPr>
          <w:p w14:paraId="21F97055" w14:textId="77777777" w:rsidR="00811887" w:rsidRDefault="00811887" w:rsidP="00486E22">
            <w:pPr>
              <w:pStyle w:val="TableParagraph"/>
              <w:ind w:left="9"/>
              <w:jc w:val="center"/>
              <w:rPr>
                <w:sz w:val="20"/>
              </w:rPr>
            </w:pPr>
            <w:r>
              <w:rPr>
                <w:spacing w:val="-4"/>
                <w:sz w:val="20"/>
              </w:rPr>
              <w:t>12.1</w:t>
            </w:r>
          </w:p>
        </w:tc>
        <w:tc>
          <w:tcPr>
            <w:tcW w:w="811" w:type="dxa"/>
          </w:tcPr>
          <w:p w14:paraId="79572290" w14:textId="77777777" w:rsidR="00811887" w:rsidRDefault="00811887" w:rsidP="00486E22">
            <w:pPr>
              <w:pStyle w:val="TableParagraph"/>
              <w:ind w:left="9" w:right="2"/>
              <w:jc w:val="center"/>
              <w:rPr>
                <w:sz w:val="20"/>
              </w:rPr>
            </w:pPr>
            <w:r>
              <w:rPr>
                <w:spacing w:val="-5"/>
                <w:sz w:val="20"/>
              </w:rPr>
              <w:t>4.6</w:t>
            </w:r>
          </w:p>
        </w:tc>
        <w:tc>
          <w:tcPr>
            <w:tcW w:w="812" w:type="dxa"/>
          </w:tcPr>
          <w:p w14:paraId="1ED5E0EB" w14:textId="77777777" w:rsidR="00811887" w:rsidRDefault="00811887" w:rsidP="00486E22">
            <w:pPr>
              <w:pStyle w:val="TableParagraph"/>
              <w:ind w:left="6"/>
              <w:jc w:val="center"/>
              <w:rPr>
                <w:sz w:val="20"/>
              </w:rPr>
            </w:pPr>
            <w:r>
              <w:rPr>
                <w:spacing w:val="-4"/>
                <w:sz w:val="20"/>
              </w:rPr>
              <w:t>10.9</w:t>
            </w:r>
          </w:p>
        </w:tc>
        <w:tc>
          <w:tcPr>
            <w:tcW w:w="792" w:type="dxa"/>
          </w:tcPr>
          <w:p w14:paraId="0E225723" w14:textId="77777777" w:rsidR="00811887" w:rsidRDefault="00811887" w:rsidP="00486E22">
            <w:pPr>
              <w:pStyle w:val="TableParagraph"/>
              <w:ind w:left="2"/>
              <w:jc w:val="center"/>
              <w:rPr>
                <w:sz w:val="20"/>
              </w:rPr>
            </w:pPr>
            <w:r>
              <w:rPr>
                <w:spacing w:val="-5"/>
                <w:sz w:val="20"/>
              </w:rPr>
              <w:t>9.7</w:t>
            </w:r>
          </w:p>
        </w:tc>
        <w:tc>
          <w:tcPr>
            <w:tcW w:w="937" w:type="dxa"/>
          </w:tcPr>
          <w:p w14:paraId="5675A34B" w14:textId="77777777" w:rsidR="00811887" w:rsidRDefault="00811887" w:rsidP="00486E22">
            <w:pPr>
              <w:pStyle w:val="TableParagraph"/>
              <w:ind w:right="4"/>
              <w:jc w:val="center"/>
              <w:rPr>
                <w:sz w:val="20"/>
              </w:rPr>
            </w:pPr>
            <w:r>
              <w:rPr>
                <w:spacing w:val="-5"/>
                <w:sz w:val="20"/>
              </w:rPr>
              <w:t>9.3</w:t>
            </w:r>
          </w:p>
        </w:tc>
      </w:tr>
      <w:tr w:rsidR="00811887" w14:paraId="2C20F8F8" w14:textId="77777777" w:rsidTr="00486E22">
        <w:trPr>
          <w:trHeight w:val="300"/>
        </w:trPr>
        <w:tc>
          <w:tcPr>
            <w:tcW w:w="705" w:type="dxa"/>
            <w:shd w:val="clear" w:color="auto" w:fill="234060"/>
          </w:tcPr>
          <w:p w14:paraId="61109B17" w14:textId="77777777" w:rsidR="00811887" w:rsidRDefault="00811887" w:rsidP="00486E22">
            <w:pPr>
              <w:pStyle w:val="TableParagraph"/>
              <w:ind w:left="23" w:right="97"/>
              <w:jc w:val="center"/>
              <w:rPr>
                <w:b/>
                <w:sz w:val="20"/>
              </w:rPr>
            </w:pPr>
            <w:r>
              <w:rPr>
                <w:b/>
                <w:color w:val="FFFFFF"/>
                <w:spacing w:val="-4"/>
                <w:sz w:val="20"/>
              </w:rPr>
              <w:t>2020</w:t>
            </w:r>
          </w:p>
        </w:tc>
        <w:tc>
          <w:tcPr>
            <w:tcW w:w="1271" w:type="dxa"/>
          </w:tcPr>
          <w:p w14:paraId="551AB15F" w14:textId="77777777" w:rsidR="00811887" w:rsidRDefault="00811887" w:rsidP="00486E22">
            <w:pPr>
              <w:pStyle w:val="TableParagraph"/>
              <w:ind w:left="11"/>
              <w:jc w:val="center"/>
              <w:rPr>
                <w:sz w:val="20"/>
              </w:rPr>
            </w:pPr>
            <w:r>
              <w:rPr>
                <w:spacing w:val="-5"/>
                <w:sz w:val="20"/>
              </w:rPr>
              <w:t>4.6</w:t>
            </w:r>
          </w:p>
        </w:tc>
        <w:tc>
          <w:tcPr>
            <w:tcW w:w="1271" w:type="dxa"/>
          </w:tcPr>
          <w:p w14:paraId="7C13788D" w14:textId="77777777" w:rsidR="00811887" w:rsidRDefault="00811887" w:rsidP="00486E22">
            <w:pPr>
              <w:pStyle w:val="TableParagraph"/>
              <w:ind w:left="11" w:right="10"/>
              <w:jc w:val="center"/>
              <w:rPr>
                <w:sz w:val="20"/>
              </w:rPr>
            </w:pPr>
            <w:r>
              <w:rPr>
                <w:spacing w:val="-5"/>
                <w:sz w:val="20"/>
              </w:rPr>
              <w:t>7.1</w:t>
            </w:r>
          </w:p>
        </w:tc>
        <w:tc>
          <w:tcPr>
            <w:tcW w:w="805" w:type="dxa"/>
          </w:tcPr>
          <w:p w14:paraId="1204C0C5" w14:textId="77777777" w:rsidR="00811887" w:rsidRDefault="00811887" w:rsidP="00486E22">
            <w:pPr>
              <w:pStyle w:val="TableParagraph"/>
              <w:ind w:left="5"/>
              <w:jc w:val="center"/>
              <w:rPr>
                <w:sz w:val="20"/>
              </w:rPr>
            </w:pPr>
            <w:r>
              <w:rPr>
                <w:spacing w:val="-4"/>
                <w:sz w:val="20"/>
              </w:rPr>
              <w:t>24.6</w:t>
            </w:r>
          </w:p>
        </w:tc>
        <w:tc>
          <w:tcPr>
            <w:tcW w:w="811" w:type="dxa"/>
          </w:tcPr>
          <w:p w14:paraId="5B640FAB" w14:textId="77777777" w:rsidR="00811887" w:rsidRDefault="00811887" w:rsidP="00486E22">
            <w:pPr>
              <w:pStyle w:val="TableParagraph"/>
              <w:ind w:left="9"/>
              <w:jc w:val="center"/>
              <w:rPr>
                <w:sz w:val="20"/>
              </w:rPr>
            </w:pPr>
            <w:r>
              <w:rPr>
                <w:spacing w:val="-4"/>
                <w:sz w:val="20"/>
              </w:rPr>
              <w:t>12.0</w:t>
            </w:r>
          </w:p>
        </w:tc>
        <w:tc>
          <w:tcPr>
            <w:tcW w:w="811" w:type="dxa"/>
          </w:tcPr>
          <w:p w14:paraId="28BA059D" w14:textId="77777777" w:rsidR="00811887" w:rsidRDefault="00811887" w:rsidP="00486E22">
            <w:pPr>
              <w:pStyle w:val="TableParagraph"/>
              <w:ind w:left="9"/>
              <w:jc w:val="center"/>
              <w:rPr>
                <w:sz w:val="20"/>
              </w:rPr>
            </w:pPr>
            <w:r>
              <w:rPr>
                <w:spacing w:val="-4"/>
                <w:sz w:val="20"/>
              </w:rPr>
              <w:t>11.6</w:t>
            </w:r>
          </w:p>
        </w:tc>
        <w:tc>
          <w:tcPr>
            <w:tcW w:w="811" w:type="dxa"/>
          </w:tcPr>
          <w:p w14:paraId="0376207F" w14:textId="77777777" w:rsidR="00811887" w:rsidRDefault="00811887" w:rsidP="00486E22">
            <w:pPr>
              <w:pStyle w:val="TableParagraph"/>
              <w:ind w:left="9" w:right="2"/>
              <w:jc w:val="center"/>
              <w:rPr>
                <w:sz w:val="20"/>
              </w:rPr>
            </w:pPr>
            <w:r>
              <w:rPr>
                <w:spacing w:val="-5"/>
                <w:sz w:val="20"/>
              </w:rPr>
              <w:t>4.2</w:t>
            </w:r>
          </w:p>
        </w:tc>
        <w:tc>
          <w:tcPr>
            <w:tcW w:w="812" w:type="dxa"/>
          </w:tcPr>
          <w:p w14:paraId="65C94E0C" w14:textId="77777777" w:rsidR="00811887" w:rsidRDefault="00811887" w:rsidP="00486E22">
            <w:pPr>
              <w:pStyle w:val="TableParagraph"/>
              <w:ind w:left="6"/>
              <w:jc w:val="center"/>
              <w:rPr>
                <w:sz w:val="20"/>
              </w:rPr>
            </w:pPr>
            <w:r>
              <w:rPr>
                <w:spacing w:val="-4"/>
                <w:sz w:val="20"/>
              </w:rPr>
              <w:t>13.9</w:t>
            </w:r>
          </w:p>
        </w:tc>
        <w:tc>
          <w:tcPr>
            <w:tcW w:w="792" w:type="dxa"/>
          </w:tcPr>
          <w:p w14:paraId="76C41F1D" w14:textId="77777777" w:rsidR="00811887" w:rsidRDefault="00811887" w:rsidP="00486E22">
            <w:pPr>
              <w:pStyle w:val="TableParagraph"/>
              <w:ind w:left="2"/>
              <w:jc w:val="center"/>
              <w:rPr>
                <w:sz w:val="20"/>
              </w:rPr>
            </w:pPr>
            <w:r>
              <w:rPr>
                <w:spacing w:val="-5"/>
                <w:sz w:val="20"/>
              </w:rPr>
              <w:t>9.9</w:t>
            </w:r>
          </w:p>
        </w:tc>
        <w:tc>
          <w:tcPr>
            <w:tcW w:w="937" w:type="dxa"/>
          </w:tcPr>
          <w:p w14:paraId="5CEA85EF" w14:textId="77777777" w:rsidR="00811887" w:rsidRDefault="00811887" w:rsidP="00486E22">
            <w:pPr>
              <w:pStyle w:val="TableParagraph"/>
              <w:ind w:right="4"/>
              <w:jc w:val="center"/>
              <w:rPr>
                <w:sz w:val="20"/>
              </w:rPr>
            </w:pPr>
            <w:r>
              <w:rPr>
                <w:spacing w:val="-5"/>
                <w:sz w:val="20"/>
              </w:rPr>
              <w:t>8.7</w:t>
            </w:r>
          </w:p>
        </w:tc>
      </w:tr>
      <w:tr w:rsidR="00811887" w14:paraId="72DE98DE" w14:textId="77777777" w:rsidTr="00486E22">
        <w:trPr>
          <w:trHeight w:val="300"/>
        </w:trPr>
        <w:tc>
          <w:tcPr>
            <w:tcW w:w="705" w:type="dxa"/>
            <w:shd w:val="clear" w:color="auto" w:fill="234060"/>
          </w:tcPr>
          <w:p w14:paraId="07FBFF17" w14:textId="77777777" w:rsidR="00811887" w:rsidRDefault="00811887" w:rsidP="00486E22">
            <w:pPr>
              <w:pStyle w:val="TableParagraph"/>
              <w:ind w:left="23" w:right="97"/>
              <w:jc w:val="center"/>
              <w:rPr>
                <w:b/>
                <w:sz w:val="20"/>
              </w:rPr>
            </w:pPr>
            <w:r>
              <w:rPr>
                <w:b/>
                <w:color w:val="FFFFFF"/>
                <w:spacing w:val="-4"/>
                <w:sz w:val="20"/>
              </w:rPr>
              <w:t>2021</w:t>
            </w:r>
          </w:p>
        </w:tc>
        <w:tc>
          <w:tcPr>
            <w:tcW w:w="1271" w:type="dxa"/>
          </w:tcPr>
          <w:p w14:paraId="6975C349" w14:textId="77777777" w:rsidR="00811887" w:rsidRDefault="00811887" w:rsidP="00486E22">
            <w:pPr>
              <w:pStyle w:val="TableParagraph"/>
              <w:ind w:left="11"/>
              <w:jc w:val="center"/>
              <w:rPr>
                <w:sz w:val="20"/>
              </w:rPr>
            </w:pPr>
            <w:r>
              <w:rPr>
                <w:spacing w:val="-5"/>
                <w:sz w:val="20"/>
              </w:rPr>
              <w:t>4.4</w:t>
            </w:r>
          </w:p>
        </w:tc>
        <w:tc>
          <w:tcPr>
            <w:tcW w:w="1271" w:type="dxa"/>
          </w:tcPr>
          <w:p w14:paraId="65D1AE9E" w14:textId="77777777" w:rsidR="00811887" w:rsidRDefault="00811887" w:rsidP="00486E22">
            <w:pPr>
              <w:pStyle w:val="TableParagraph"/>
              <w:ind w:left="11" w:right="11"/>
              <w:jc w:val="center"/>
              <w:rPr>
                <w:sz w:val="20"/>
              </w:rPr>
            </w:pPr>
            <w:r>
              <w:rPr>
                <w:spacing w:val="-5"/>
                <w:sz w:val="20"/>
              </w:rPr>
              <w:t>5.0</w:t>
            </w:r>
          </w:p>
        </w:tc>
        <w:tc>
          <w:tcPr>
            <w:tcW w:w="805" w:type="dxa"/>
          </w:tcPr>
          <w:p w14:paraId="3824E134" w14:textId="77777777" w:rsidR="00811887" w:rsidRDefault="00811887" w:rsidP="00486E22">
            <w:pPr>
              <w:pStyle w:val="TableParagraph"/>
              <w:ind w:left="5"/>
              <w:jc w:val="center"/>
              <w:rPr>
                <w:sz w:val="20"/>
              </w:rPr>
            </w:pPr>
            <w:r>
              <w:rPr>
                <w:spacing w:val="-4"/>
                <w:sz w:val="20"/>
              </w:rPr>
              <w:t>20.8</w:t>
            </w:r>
          </w:p>
        </w:tc>
        <w:tc>
          <w:tcPr>
            <w:tcW w:w="811" w:type="dxa"/>
          </w:tcPr>
          <w:p w14:paraId="79E060C1" w14:textId="77777777" w:rsidR="00811887" w:rsidRDefault="00811887" w:rsidP="00486E22">
            <w:pPr>
              <w:pStyle w:val="TableParagraph"/>
              <w:ind w:left="9"/>
              <w:jc w:val="center"/>
              <w:rPr>
                <w:sz w:val="20"/>
              </w:rPr>
            </w:pPr>
            <w:r>
              <w:rPr>
                <w:spacing w:val="-4"/>
                <w:sz w:val="20"/>
              </w:rPr>
              <w:t>10.7</w:t>
            </w:r>
          </w:p>
        </w:tc>
        <w:tc>
          <w:tcPr>
            <w:tcW w:w="811" w:type="dxa"/>
          </w:tcPr>
          <w:p w14:paraId="2FECB64A" w14:textId="77777777" w:rsidR="00811887" w:rsidRDefault="00811887" w:rsidP="00486E22">
            <w:pPr>
              <w:pStyle w:val="TableParagraph"/>
              <w:ind w:left="9"/>
              <w:jc w:val="center"/>
              <w:rPr>
                <w:sz w:val="20"/>
              </w:rPr>
            </w:pPr>
            <w:r>
              <w:rPr>
                <w:spacing w:val="-4"/>
                <w:sz w:val="20"/>
              </w:rPr>
              <w:t>10.8</w:t>
            </w:r>
          </w:p>
        </w:tc>
        <w:tc>
          <w:tcPr>
            <w:tcW w:w="811" w:type="dxa"/>
          </w:tcPr>
          <w:p w14:paraId="2719F732" w14:textId="77777777" w:rsidR="00811887" w:rsidRDefault="00811887" w:rsidP="00486E22">
            <w:pPr>
              <w:pStyle w:val="TableParagraph"/>
              <w:ind w:left="9" w:right="2"/>
              <w:jc w:val="center"/>
              <w:rPr>
                <w:sz w:val="20"/>
              </w:rPr>
            </w:pPr>
            <w:r>
              <w:rPr>
                <w:spacing w:val="-5"/>
                <w:sz w:val="20"/>
              </w:rPr>
              <w:t>3.9</w:t>
            </w:r>
          </w:p>
        </w:tc>
        <w:tc>
          <w:tcPr>
            <w:tcW w:w="812" w:type="dxa"/>
          </w:tcPr>
          <w:p w14:paraId="2A2D097D" w14:textId="77777777" w:rsidR="00811887" w:rsidRDefault="00811887" w:rsidP="00486E22">
            <w:pPr>
              <w:pStyle w:val="TableParagraph"/>
              <w:ind w:left="6"/>
              <w:jc w:val="center"/>
              <w:rPr>
                <w:sz w:val="20"/>
              </w:rPr>
            </w:pPr>
            <w:r>
              <w:rPr>
                <w:spacing w:val="-4"/>
                <w:sz w:val="20"/>
              </w:rPr>
              <w:t>14.2</w:t>
            </w:r>
          </w:p>
        </w:tc>
        <w:tc>
          <w:tcPr>
            <w:tcW w:w="792" w:type="dxa"/>
          </w:tcPr>
          <w:p w14:paraId="1CD1CF76" w14:textId="77777777" w:rsidR="00811887" w:rsidRDefault="00811887" w:rsidP="00486E22">
            <w:pPr>
              <w:pStyle w:val="TableParagraph"/>
              <w:ind w:left="2" w:right="1"/>
              <w:jc w:val="center"/>
              <w:rPr>
                <w:sz w:val="20"/>
              </w:rPr>
            </w:pPr>
            <w:r>
              <w:rPr>
                <w:spacing w:val="-4"/>
                <w:sz w:val="20"/>
              </w:rPr>
              <w:t>10.2</w:t>
            </w:r>
          </w:p>
        </w:tc>
        <w:tc>
          <w:tcPr>
            <w:tcW w:w="937" w:type="dxa"/>
          </w:tcPr>
          <w:p w14:paraId="3810AD8C" w14:textId="77777777" w:rsidR="00811887" w:rsidRDefault="00811887" w:rsidP="00486E22">
            <w:pPr>
              <w:pStyle w:val="TableParagraph"/>
              <w:ind w:right="4"/>
              <w:jc w:val="center"/>
              <w:rPr>
                <w:sz w:val="20"/>
              </w:rPr>
            </w:pPr>
            <w:r>
              <w:rPr>
                <w:spacing w:val="-5"/>
                <w:sz w:val="20"/>
              </w:rPr>
              <w:t>7.3</w:t>
            </w:r>
          </w:p>
        </w:tc>
      </w:tr>
    </w:tbl>
    <w:p w14:paraId="609B61A6" w14:textId="77777777" w:rsidR="00811887" w:rsidRDefault="00811887" w:rsidP="00811887">
      <w:pPr>
        <w:pStyle w:val="BodyText"/>
        <w:spacing w:before="31"/>
        <w:rPr>
          <w:rFonts w:ascii="Arial"/>
          <w:b/>
        </w:rPr>
      </w:pPr>
    </w:p>
    <w:p w14:paraId="43FE17D0" w14:textId="77777777" w:rsidR="00811887" w:rsidRDefault="00811887" w:rsidP="00811887">
      <w:pPr>
        <w:spacing w:before="223"/>
        <w:rPr>
          <w:i/>
          <w:sz w:val="20"/>
        </w:rPr>
      </w:pPr>
    </w:p>
    <w:p w14:paraId="05E45FBB" w14:textId="77777777" w:rsidR="00811887" w:rsidRDefault="00811887" w:rsidP="00811887">
      <w:pPr>
        <w:spacing w:before="223"/>
        <w:rPr>
          <w:i/>
          <w:sz w:val="20"/>
        </w:rPr>
      </w:pPr>
    </w:p>
    <w:p w14:paraId="25394241" w14:textId="77777777" w:rsidR="00811887" w:rsidRDefault="00811887" w:rsidP="00811887">
      <w:pPr>
        <w:spacing w:before="223"/>
        <w:rPr>
          <w:i/>
          <w:sz w:val="20"/>
        </w:rPr>
      </w:pPr>
    </w:p>
    <w:p w14:paraId="20AF8FBB" w14:textId="77777777" w:rsidR="00811887" w:rsidRDefault="00811887" w:rsidP="00811887">
      <w:pPr>
        <w:spacing w:before="223"/>
        <w:rPr>
          <w:i/>
          <w:sz w:val="20"/>
        </w:rPr>
      </w:pPr>
    </w:p>
    <w:p w14:paraId="0A29C3CA" w14:textId="77777777" w:rsidR="00811887" w:rsidRDefault="00811887" w:rsidP="00811887">
      <w:pPr>
        <w:spacing w:before="223"/>
        <w:rPr>
          <w:i/>
          <w:sz w:val="20"/>
        </w:rPr>
      </w:pPr>
    </w:p>
    <w:p w14:paraId="7F48E177" w14:textId="77777777" w:rsidR="00811887" w:rsidRDefault="00811887" w:rsidP="00811887">
      <w:pPr>
        <w:spacing w:before="223"/>
        <w:rPr>
          <w:i/>
          <w:sz w:val="20"/>
        </w:rPr>
      </w:pPr>
    </w:p>
    <w:p w14:paraId="29FE7E34" w14:textId="77777777" w:rsidR="00811887" w:rsidRDefault="00811887" w:rsidP="00811887">
      <w:pPr>
        <w:spacing w:before="223"/>
        <w:rPr>
          <w:i/>
          <w:sz w:val="20"/>
        </w:rPr>
      </w:pPr>
    </w:p>
    <w:p w14:paraId="233C60FE" w14:textId="77777777" w:rsidR="00811887" w:rsidRDefault="00811887" w:rsidP="00811887">
      <w:pPr>
        <w:spacing w:before="223"/>
        <w:rPr>
          <w:i/>
          <w:sz w:val="20"/>
        </w:rPr>
      </w:pPr>
    </w:p>
    <w:p w14:paraId="5E61AA6B" w14:textId="77777777" w:rsidR="00811887" w:rsidRDefault="00811887" w:rsidP="00811887">
      <w:pPr>
        <w:spacing w:before="223"/>
        <w:rPr>
          <w:i/>
          <w:sz w:val="20"/>
        </w:rPr>
      </w:pPr>
    </w:p>
    <w:p w14:paraId="63D3A2E9" w14:textId="77777777" w:rsidR="00811887" w:rsidRDefault="00811887" w:rsidP="00811887">
      <w:pPr>
        <w:spacing w:before="223"/>
        <w:rPr>
          <w:i/>
          <w:sz w:val="20"/>
        </w:rPr>
      </w:pPr>
    </w:p>
    <w:p w14:paraId="491DAEE5" w14:textId="77777777" w:rsidR="00811887" w:rsidRDefault="00811887" w:rsidP="00811887">
      <w:pPr>
        <w:spacing w:before="223"/>
        <w:rPr>
          <w:i/>
          <w:sz w:val="20"/>
        </w:rPr>
      </w:pPr>
    </w:p>
    <w:p w14:paraId="12CB5066" w14:textId="77777777" w:rsidR="00811887" w:rsidRDefault="00811887" w:rsidP="00811887">
      <w:pPr>
        <w:spacing w:before="223"/>
        <w:rPr>
          <w:i/>
          <w:sz w:val="20"/>
        </w:rPr>
      </w:pPr>
    </w:p>
    <w:p w14:paraId="1CD81E4A" w14:textId="77777777" w:rsidR="00811887" w:rsidRDefault="00811887" w:rsidP="00811887">
      <w:pPr>
        <w:spacing w:before="223"/>
        <w:rPr>
          <w:i/>
          <w:sz w:val="20"/>
        </w:rPr>
      </w:pPr>
    </w:p>
    <w:p w14:paraId="2A0ED06E" w14:textId="77777777" w:rsidR="00811887" w:rsidRDefault="00811887" w:rsidP="00811887">
      <w:pPr>
        <w:spacing w:before="223"/>
        <w:rPr>
          <w:i/>
          <w:sz w:val="20"/>
        </w:rPr>
      </w:pPr>
    </w:p>
    <w:p w14:paraId="155ED3BF" w14:textId="77777777" w:rsidR="00811887" w:rsidRDefault="00811887" w:rsidP="00811887">
      <w:pPr>
        <w:spacing w:before="223"/>
        <w:rPr>
          <w:i/>
          <w:sz w:val="20"/>
        </w:rPr>
      </w:pPr>
    </w:p>
    <w:p w14:paraId="71EDFA4F" w14:textId="77777777" w:rsidR="00811887" w:rsidRDefault="00811887" w:rsidP="00811887">
      <w:pPr>
        <w:spacing w:before="223"/>
        <w:rPr>
          <w:i/>
          <w:sz w:val="20"/>
        </w:rPr>
      </w:pPr>
    </w:p>
    <w:p w14:paraId="51A8A42E" w14:textId="77777777" w:rsidR="00811887" w:rsidRPr="00485F02" w:rsidRDefault="00811887" w:rsidP="00811887">
      <w:pPr>
        <w:spacing w:before="223"/>
        <w:rPr>
          <w:i/>
          <w:spacing w:val="-2"/>
          <w:sz w:val="20"/>
        </w:rPr>
      </w:pPr>
      <w:r>
        <w:rPr>
          <w:i/>
          <w:sz w:val="20"/>
        </w:rPr>
        <w:t xml:space="preserve">                 Source: Figure</w:t>
      </w:r>
      <w:r>
        <w:rPr>
          <w:i/>
          <w:spacing w:val="-3"/>
          <w:sz w:val="20"/>
        </w:rPr>
        <w:t xml:space="preserve"> </w:t>
      </w:r>
      <w:r>
        <w:rPr>
          <w:i/>
          <w:sz w:val="20"/>
        </w:rPr>
        <w:t>3.13,</w:t>
      </w:r>
      <w:r>
        <w:rPr>
          <w:i/>
          <w:spacing w:val="-2"/>
          <w:sz w:val="20"/>
        </w:rPr>
        <w:t xml:space="preserve"> </w:t>
      </w:r>
      <w:r>
        <w:rPr>
          <w:i/>
          <w:sz w:val="20"/>
        </w:rPr>
        <w:t>HILDA</w:t>
      </w:r>
      <w:r>
        <w:rPr>
          <w:i/>
          <w:spacing w:val="-3"/>
          <w:sz w:val="20"/>
        </w:rPr>
        <w:t xml:space="preserve"> </w:t>
      </w:r>
      <w:r>
        <w:rPr>
          <w:i/>
          <w:sz w:val="20"/>
        </w:rPr>
        <w:t>Statistical</w:t>
      </w:r>
      <w:r>
        <w:rPr>
          <w:i/>
          <w:spacing w:val="-3"/>
          <w:sz w:val="20"/>
        </w:rPr>
        <w:t xml:space="preserve"> </w:t>
      </w:r>
      <w:r>
        <w:rPr>
          <w:i/>
          <w:sz w:val="20"/>
        </w:rPr>
        <w:t>Report</w:t>
      </w:r>
      <w:r>
        <w:rPr>
          <w:i/>
          <w:spacing w:val="-4"/>
          <w:sz w:val="20"/>
        </w:rPr>
        <w:t xml:space="preserve"> </w:t>
      </w:r>
      <w:r>
        <w:rPr>
          <w:i/>
          <w:sz w:val="20"/>
        </w:rPr>
        <w:t>Waves</w:t>
      </w:r>
      <w:r>
        <w:rPr>
          <w:i/>
          <w:spacing w:val="-1"/>
          <w:sz w:val="20"/>
        </w:rPr>
        <w:t xml:space="preserve"> </w:t>
      </w:r>
      <w:r>
        <w:rPr>
          <w:i/>
          <w:sz w:val="20"/>
        </w:rPr>
        <w:t>1</w:t>
      </w:r>
      <w:r>
        <w:rPr>
          <w:i/>
          <w:spacing w:val="-4"/>
          <w:sz w:val="20"/>
        </w:rPr>
        <w:t xml:space="preserve"> </w:t>
      </w:r>
      <w:r>
        <w:rPr>
          <w:i/>
          <w:sz w:val="20"/>
        </w:rPr>
        <w:t>to 21</w:t>
      </w:r>
      <w:r>
        <w:rPr>
          <w:i/>
          <w:spacing w:val="-4"/>
          <w:sz w:val="20"/>
        </w:rPr>
        <w:t xml:space="preserve"> </w:t>
      </w:r>
      <w:r>
        <w:rPr>
          <w:i/>
          <w:sz w:val="20"/>
        </w:rPr>
        <w:t>(HILDA,</w:t>
      </w:r>
      <w:r>
        <w:rPr>
          <w:i/>
          <w:spacing w:val="-1"/>
          <w:sz w:val="20"/>
        </w:rPr>
        <w:t xml:space="preserve"> </w:t>
      </w:r>
      <w:r>
        <w:rPr>
          <w:i/>
          <w:spacing w:val="-2"/>
          <w:sz w:val="20"/>
        </w:rPr>
        <w:t>2023)</w:t>
      </w:r>
    </w:p>
    <w:p w14:paraId="4DAF5FBD" w14:textId="77777777" w:rsidR="00811887" w:rsidRDefault="00811887" w:rsidP="00811887">
      <w:pPr>
        <w:rPr>
          <w:sz w:val="20"/>
        </w:rPr>
        <w:sectPr w:rsidR="00811887" w:rsidSect="00811887">
          <w:pgSz w:w="11910" w:h="16840"/>
          <w:pgMar w:top="1340" w:right="721" w:bottom="1200" w:left="740" w:header="0" w:footer="1005" w:gutter="0"/>
          <w:cols w:space="720"/>
        </w:sectPr>
      </w:pPr>
    </w:p>
    <w:p w14:paraId="5BF8A622" w14:textId="77777777" w:rsidR="00811887" w:rsidRDefault="00811887" w:rsidP="00811887">
      <w:pPr>
        <w:spacing w:before="79"/>
        <w:ind w:left="165"/>
        <w:rPr>
          <w:rFonts w:ascii="Cambria"/>
          <w:sz w:val="28"/>
        </w:rPr>
      </w:pPr>
      <w:r>
        <w:rPr>
          <w:rFonts w:ascii="Cambria"/>
          <w:color w:val="365F91"/>
          <w:sz w:val="28"/>
        </w:rPr>
        <w:lastRenderedPageBreak/>
        <w:t>Analysis</w:t>
      </w:r>
      <w:r>
        <w:rPr>
          <w:rFonts w:ascii="Cambria"/>
          <w:color w:val="365F91"/>
          <w:spacing w:val="-11"/>
          <w:sz w:val="28"/>
        </w:rPr>
        <w:t xml:space="preserve"> </w:t>
      </w:r>
      <w:r>
        <w:rPr>
          <w:rFonts w:ascii="Cambria"/>
          <w:color w:val="365F91"/>
          <w:spacing w:val="-4"/>
          <w:sz w:val="28"/>
        </w:rPr>
        <w:t>Notes</w:t>
      </w:r>
    </w:p>
    <w:p w14:paraId="6D0A4356" w14:textId="77777777" w:rsidR="00811887" w:rsidRDefault="00811887" w:rsidP="00811887">
      <w:pPr>
        <w:spacing w:before="159" w:line="264" w:lineRule="auto"/>
        <w:ind w:left="165"/>
      </w:pPr>
      <w:r>
        <w:t>Income</w:t>
      </w:r>
      <w:r>
        <w:rPr>
          <w:spacing w:val="-3"/>
        </w:rPr>
        <w:t xml:space="preserve"> </w:t>
      </w:r>
      <w:r>
        <w:t>support</w:t>
      </w:r>
      <w:r>
        <w:rPr>
          <w:spacing w:val="-2"/>
        </w:rPr>
        <w:t xml:space="preserve"> </w:t>
      </w:r>
      <w:r>
        <w:t>payment</w:t>
      </w:r>
      <w:r>
        <w:rPr>
          <w:spacing w:val="-2"/>
        </w:rPr>
        <w:t xml:space="preserve"> </w:t>
      </w:r>
      <w:r>
        <w:t>rate</w:t>
      </w:r>
      <w:r>
        <w:rPr>
          <w:spacing w:val="-3"/>
        </w:rPr>
        <w:t xml:space="preserve"> </w:t>
      </w:r>
      <w:r>
        <w:t>comparisons</w:t>
      </w:r>
      <w:r>
        <w:rPr>
          <w:spacing w:val="-5"/>
        </w:rPr>
        <w:t xml:space="preserve"> </w:t>
      </w:r>
      <w:r>
        <w:t>with</w:t>
      </w:r>
      <w:r>
        <w:rPr>
          <w:spacing w:val="-4"/>
        </w:rPr>
        <w:t xml:space="preserve"> </w:t>
      </w:r>
      <w:r>
        <w:t>wellbeing</w:t>
      </w:r>
      <w:r>
        <w:rPr>
          <w:spacing w:val="-2"/>
        </w:rPr>
        <w:t xml:space="preserve"> </w:t>
      </w:r>
      <w:r>
        <w:t>indicators</w:t>
      </w:r>
      <w:r>
        <w:rPr>
          <w:spacing w:val="-5"/>
        </w:rPr>
        <w:t xml:space="preserve"> </w:t>
      </w:r>
      <w:r>
        <w:t>are</w:t>
      </w:r>
      <w:r>
        <w:rPr>
          <w:spacing w:val="-3"/>
        </w:rPr>
        <w:t xml:space="preserve"> </w:t>
      </w:r>
      <w:r>
        <w:t>as</w:t>
      </w:r>
      <w:r>
        <w:rPr>
          <w:spacing w:val="-5"/>
        </w:rPr>
        <w:t xml:space="preserve"> </w:t>
      </w:r>
      <w:r>
        <w:t>at</w:t>
      </w:r>
      <w:r>
        <w:rPr>
          <w:spacing w:val="-3"/>
        </w:rPr>
        <w:t xml:space="preserve"> </w:t>
      </w:r>
      <w:r>
        <w:t>their</w:t>
      </w:r>
      <w:r>
        <w:rPr>
          <w:spacing w:val="-5"/>
        </w:rPr>
        <w:t xml:space="preserve"> </w:t>
      </w:r>
      <w:r>
        <w:t>respective</w:t>
      </w:r>
      <w:r>
        <w:rPr>
          <w:spacing w:val="-3"/>
        </w:rPr>
        <w:t xml:space="preserve"> </w:t>
      </w:r>
      <w:r>
        <w:t>reference</w:t>
      </w:r>
      <w:r>
        <w:rPr>
          <w:spacing w:val="-3"/>
        </w:rPr>
        <w:t xml:space="preserve"> </w:t>
      </w:r>
      <w:r>
        <w:t>date,</w:t>
      </w:r>
      <w:r>
        <w:rPr>
          <w:spacing w:val="-3"/>
        </w:rPr>
        <w:t xml:space="preserve"> </w:t>
      </w:r>
      <w:r>
        <w:t>as outlined below, to ensure rates that applied at the time the measure was produced are reflected. All figures are fortnightly and are as at December 2023 prices.</w:t>
      </w:r>
    </w:p>
    <w:p w14:paraId="3DC6240B" w14:textId="77777777" w:rsidR="00811887" w:rsidRDefault="00811887" w:rsidP="00811887">
      <w:pPr>
        <w:spacing w:before="119"/>
        <w:ind w:left="165"/>
        <w:rPr>
          <w:i/>
        </w:rPr>
      </w:pPr>
      <w:r>
        <w:rPr>
          <w:i/>
        </w:rPr>
        <w:t>Poverty</w:t>
      </w:r>
      <w:r>
        <w:rPr>
          <w:i/>
          <w:spacing w:val="-1"/>
        </w:rPr>
        <w:t xml:space="preserve"> </w:t>
      </w:r>
      <w:r>
        <w:rPr>
          <w:i/>
          <w:spacing w:val="-2"/>
        </w:rPr>
        <w:t>measures</w:t>
      </w:r>
    </w:p>
    <w:p w14:paraId="75617FC0" w14:textId="77777777" w:rsidR="00811887" w:rsidRDefault="00811887" w:rsidP="00811887">
      <w:pPr>
        <w:spacing w:before="146" w:line="264" w:lineRule="auto"/>
        <w:ind w:left="165" w:right="200"/>
      </w:pPr>
      <w:r>
        <w:t>HILDA</w:t>
      </w:r>
      <w:r>
        <w:rPr>
          <w:spacing w:val="-5"/>
        </w:rPr>
        <w:t xml:space="preserve"> </w:t>
      </w:r>
      <w:r>
        <w:t>50</w:t>
      </w:r>
      <w:r>
        <w:rPr>
          <w:spacing w:val="-4"/>
        </w:rPr>
        <w:t xml:space="preserve"> </w:t>
      </w:r>
      <w:r>
        <w:t>per</w:t>
      </w:r>
      <w:r>
        <w:rPr>
          <w:spacing w:val="-4"/>
        </w:rPr>
        <w:t xml:space="preserve"> </w:t>
      </w:r>
      <w:r>
        <w:t>cent</w:t>
      </w:r>
      <w:r>
        <w:rPr>
          <w:spacing w:val="-1"/>
        </w:rPr>
        <w:t xml:space="preserve"> </w:t>
      </w:r>
      <w:r>
        <w:t>median</w:t>
      </w:r>
      <w:r>
        <w:rPr>
          <w:spacing w:val="-3"/>
        </w:rPr>
        <w:t xml:space="preserve"> </w:t>
      </w:r>
      <w:r>
        <w:t>EDHI</w:t>
      </w:r>
      <w:r>
        <w:rPr>
          <w:spacing w:val="-2"/>
        </w:rPr>
        <w:t xml:space="preserve"> </w:t>
      </w:r>
      <w:r>
        <w:t>figures</w:t>
      </w:r>
      <w:r>
        <w:rPr>
          <w:spacing w:val="-3"/>
        </w:rPr>
        <w:t xml:space="preserve"> </w:t>
      </w:r>
      <w:r>
        <w:t>were</w:t>
      </w:r>
      <w:r>
        <w:rPr>
          <w:spacing w:val="-2"/>
        </w:rPr>
        <w:t xml:space="preserve"> </w:t>
      </w:r>
      <w:r>
        <w:t>derived</w:t>
      </w:r>
      <w:r>
        <w:rPr>
          <w:spacing w:val="-3"/>
        </w:rPr>
        <w:t xml:space="preserve"> </w:t>
      </w:r>
      <w:r>
        <w:t>from Table</w:t>
      </w:r>
      <w:r>
        <w:rPr>
          <w:spacing w:val="-2"/>
        </w:rPr>
        <w:t xml:space="preserve"> </w:t>
      </w:r>
      <w:r>
        <w:t>3.2 of</w:t>
      </w:r>
      <w:r>
        <w:rPr>
          <w:spacing w:val="-4"/>
        </w:rPr>
        <w:t xml:space="preserve"> </w:t>
      </w:r>
      <w:r>
        <w:t>the</w:t>
      </w:r>
      <w:r>
        <w:rPr>
          <w:spacing w:val="-2"/>
        </w:rPr>
        <w:t xml:space="preserve"> </w:t>
      </w:r>
      <w:r>
        <w:t>HILDA</w:t>
      </w:r>
      <w:r>
        <w:rPr>
          <w:spacing w:val="-5"/>
        </w:rPr>
        <w:t xml:space="preserve"> </w:t>
      </w:r>
      <w:r>
        <w:t>Survey:</w:t>
      </w:r>
      <w:r>
        <w:rPr>
          <w:spacing w:val="-1"/>
        </w:rPr>
        <w:t xml:space="preserve"> </w:t>
      </w:r>
      <w:r>
        <w:t>Selected</w:t>
      </w:r>
      <w:r>
        <w:rPr>
          <w:spacing w:val="-3"/>
        </w:rPr>
        <w:t xml:space="preserve"> </w:t>
      </w:r>
      <w:r>
        <w:t>Findings</w:t>
      </w:r>
      <w:r>
        <w:rPr>
          <w:spacing w:val="-4"/>
        </w:rPr>
        <w:t xml:space="preserve"> </w:t>
      </w:r>
      <w:r>
        <w:t>from Waves 1 to 21 (2023), with the annual median EDHI (total income) divided by 26 to obtain the fortnightly rates and then halved to obtain the 50 per cent median EDHI figures.</w:t>
      </w:r>
    </w:p>
    <w:p w14:paraId="386EED13" w14:textId="77777777" w:rsidR="00811887" w:rsidRDefault="00811887" w:rsidP="00811887">
      <w:pPr>
        <w:spacing w:before="119" w:line="264" w:lineRule="auto"/>
        <w:ind w:left="165" w:right="200"/>
      </w:pPr>
      <w:r>
        <w:t>ABS</w:t>
      </w:r>
      <w:r>
        <w:rPr>
          <w:spacing w:val="-3"/>
        </w:rPr>
        <w:t xml:space="preserve"> </w:t>
      </w:r>
      <w:r>
        <w:t>50</w:t>
      </w:r>
      <w:r>
        <w:rPr>
          <w:spacing w:val="-4"/>
        </w:rPr>
        <w:t xml:space="preserve"> </w:t>
      </w:r>
      <w:r>
        <w:t>per</w:t>
      </w:r>
      <w:r>
        <w:rPr>
          <w:spacing w:val="-4"/>
        </w:rPr>
        <w:t xml:space="preserve"> </w:t>
      </w:r>
      <w:r>
        <w:t>cent</w:t>
      </w:r>
      <w:r>
        <w:rPr>
          <w:spacing w:val="-1"/>
        </w:rPr>
        <w:t xml:space="preserve"> </w:t>
      </w:r>
      <w:r>
        <w:t>median</w:t>
      </w:r>
      <w:r>
        <w:rPr>
          <w:spacing w:val="-3"/>
        </w:rPr>
        <w:t xml:space="preserve"> </w:t>
      </w:r>
      <w:r>
        <w:t>EDHI figures</w:t>
      </w:r>
      <w:r>
        <w:rPr>
          <w:spacing w:val="-3"/>
        </w:rPr>
        <w:t xml:space="preserve"> </w:t>
      </w:r>
      <w:r>
        <w:t>were</w:t>
      </w:r>
      <w:r>
        <w:rPr>
          <w:spacing w:val="-2"/>
        </w:rPr>
        <w:t xml:space="preserve"> </w:t>
      </w:r>
      <w:r>
        <w:t>derived</w:t>
      </w:r>
      <w:r>
        <w:rPr>
          <w:spacing w:val="-3"/>
        </w:rPr>
        <w:t xml:space="preserve"> </w:t>
      </w:r>
      <w:r>
        <w:t>from</w:t>
      </w:r>
      <w:r>
        <w:rPr>
          <w:spacing w:val="-3"/>
        </w:rPr>
        <w:t xml:space="preserve"> </w:t>
      </w:r>
      <w:r>
        <w:t>the</w:t>
      </w:r>
      <w:r>
        <w:rPr>
          <w:spacing w:val="-2"/>
        </w:rPr>
        <w:t xml:space="preserve"> </w:t>
      </w:r>
      <w:r>
        <w:t>ABS’s</w:t>
      </w:r>
      <w:r>
        <w:rPr>
          <w:spacing w:val="-4"/>
        </w:rPr>
        <w:t xml:space="preserve"> </w:t>
      </w:r>
      <w:r>
        <w:t>2019-20</w:t>
      </w:r>
      <w:r>
        <w:rPr>
          <w:spacing w:val="-4"/>
        </w:rPr>
        <w:t xml:space="preserve"> </w:t>
      </w:r>
      <w:r>
        <w:t>financial</w:t>
      </w:r>
      <w:r>
        <w:rPr>
          <w:spacing w:val="-2"/>
        </w:rPr>
        <w:t xml:space="preserve"> </w:t>
      </w:r>
      <w:r>
        <w:t>year</w:t>
      </w:r>
      <w:r>
        <w:rPr>
          <w:spacing w:val="-4"/>
        </w:rPr>
        <w:t xml:space="preserve"> </w:t>
      </w:r>
      <w:r>
        <w:t>Household</w:t>
      </w:r>
      <w:r>
        <w:rPr>
          <w:spacing w:val="-4"/>
        </w:rPr>
        <w:t xml:space="preserve"> </w:t>
      </w:r>
      <w:r>
        <w:t>Income</w:t>
      </w:r>
      <w:r>
        <w:rPr>
          <w:spacing w:val="-2"/>
        </w:rPr>
        <w:t xml:space="preserve"> </w:t>
      </w:r>
      <w:r>
        <w:t>and Wealth, Australia (2022). The median EDHI was halved to calculate the relative income poverty rate of 50 per cent EDHI (including housing) for a single adult.</w:t>
      </w:r>
    </w:p>
    <w:p w14:paraId="1289C35A" w14:textId="77777777" w:rsidR="00811887" w:rsidRDefault="00811887" w:rsidP="00811887">
      <w:pPr>
        <w:spacing w:before="119" w:line="264" w:lineRule="auto"/>
        <w:ind w:left="165" w:right="224"/>
        <w:rPr>
          <w:sz w:val="24"/>
        </w:rPr>
      </w:pPr>
      <w:r>
        <w:t>Budget Standards figures are based on the 2019 Social Policy Research Centre Submission to the Senate Community Affairs References Committee Inquiry into the Adequacy of Newstart and related payments and alternative mechanisms to determine the level of income support payments in Australia. The individual components</w:t>
      </w:r>
      <w:r>
        <w:rPr>
          <w:spacing w:val="-3"/>
        </w:rPr>
        <w:t xml:space="preserve"> </w:t>
      </w:r>
      <w:r>
        <w:t>of</w:t>
      </w:r>
      <w:r>
        <w:rPr>
          <w:spacing w:val="-4"/>
        </w:rPr>
        <w:t xml:space="preserve"> </w:t>
      </w:r>
      <w:r>
        <w:t>the</w:t>
      </w:r>
      <w:r>
        <w:rPr>
          <w:spacing w:val="-1"/>
        </w:rPr>
        <w:t xml:space="preserve"> </w:t>
      </w:r>
      <w:r>
        <w:t>Budget Standard for</w:t>
      </w:r>
      <w:r>
        <w:rPr>
          <w:spacing w:val="-3"/>
        </w:rPr>
        <w:t xml:space="preserve"> </w:t>
      </w:r>
      <w:r>
        <w:t>a</w:t>
      </w:r>
      <w:r>
        <w:rPr>
          <w:spacing w:val="-2"/>
        </w:rPr>
        <w:t xml:space="preserve"> </w:t>
      </w:r>
      <w:r>
        <w:t>single</w:t>
      </w:r>
      <w:r>
        <w:rPr>
          <w:spacing w:val="-1"/>
        </w:rPr>
        <w:t xml:space="preserve"> </w:t>
      </w:r>
      <w:r>
        <w:t>unemployed</w:t>
      </w:r>
      <w:r>
        <w:rPr>
          <w:spacing w:val="-2"/>
        </w:rPr>
        <w:t xml:space="preserve"> </w:t>
      </w:r>
      <w:r>
        <w:t>person were</w:t>
      </w:r>
      <w:r>
        <w:rPr>
          <w:spacing w:val="-1"/>
        </w:rPr>
        <w:t xml:space="preserve"> </w:t>
      </w:r>
      <w:r>
        <w:t>indexed</w:t>
      </w:r>
      <w:r>
        <w:rPr>
          <w:spacing w:val="-2"/>
        </w:rPr>
        <w:t xml:space="preserve"> </w:t>
      </w:r>
      <w:r>
        <w:t>to</w:t>
      </w:r>
      <w:r>
        <w:rPr>
          <w:spacing w:val="-2"/>
        </w:rPr>
        <w:t xml:space="preserve"> </w:t>
      </w:r>
      <w:r>
        <w:t>their</w:t>
      </w:r>
      <w:r>
        <w:rPr>
          <w:spacing w:val="-3"/>
        </w:rPr>
        <w:t xml:space="preserve"> </w:t>
      </w:r>
      <w:r>
        <w:t>respective</w:t>
      </w:r>
      <w:r>
        <w:rPr>
          <w:spacing w:val="-1"/>
        </w:rPr>
        <w:t xml:space="preserve"> </w:t>
      </w:r>
      <w:r>
        <w:t xml:space="preserve">Consumer Price Index group, using the latest December 2023 prices. </w:t>
      </w:r>
      <w:r>
        <w:rPr>
          <w:sz w:val="24"/>
        </w:rPr>
        <w:t>Care should be taken in assessing the comparisons with Budget Standards, as noted in the most recent report of the Social Policy Research Centre</w:t>
      </w:r>
      <w:r>
        <w:rPr>
          <w:spacing w:val="-1"/>
          <w:sz w:val="24"/>
        </w:rPr>
        <w:t xml:space="preserve"> </w:t>
      </w:r>
      <w:r>
        <w:rPr>
          <w:sz w:val="24"/>
        </w:rPr>
        <w:t>for</w:t>
      </w:r>
      <w:r>
        <w:rPr>
          <w:spacing w:val="-1"/>
          <w:sz w:val="24"/>
        </w:rPr>
        <w:t xml:space="preserve"> </w:t>
      </w:r>
      <w:r>
        <w:rPr>
          <w:sz w:val="24"/>
        </w:rPr>
        <w:t xml:space="preserve">the </w:t>
      </w:r>
      <w:hyperlink r:id="rId64">
        <w:r>
          <w:rPr>
            <w:color w:val="0000FF"/>
            <w:sz w:val="24"/>
            <w:u w:val="single" w:color="0000FF"/>
          </w:rPr>
          <w:t>Research</w:t>
        </w:r>
        <w:r>
          <w:rPr>
            <w:color w:val="0000FF"/>
            <w:spacing w:val="-3"/>
            <w:sz w:val="24"/>
            <w:u w:val="single" w:color="0000FF"/>
          </w:rPr>
          <w:t xml:space="preserve"> </w:t>
        </w:r>
        <w:r>
          <w:rPr>
            <w:color w:val="0000FF"/>
            <w:sz w:val="24"/>
            <w:u w:val="single" w:color="0000FF"/>
          </w:rPr>
          <w:t>for</w:t>
        </w:r>
        <w:r>
          <w:rPr>
            <w:color w:val="0000FF"/>
            <w:spacing w:val="-1"/>
            <w:sz w:val="24"/>
            <w:u w:val="single" w:color="0000FF"/>
          </w:rPr>
          <w:t xml:space="preserve"> </w:t>
        </w:r>
        <w:r>
          <w:rPr>
            <w:color w:val="0000FF"/>
            <w:sz w:val="24"/>
            <w:u w:val="single" w:color="0000FF"/>
          </w:rPr>
          <w:t>the</w:t>
        </w:r>
        <w:r>
          <w:rPr>
            <w:color w:val="0000FF"/>
            <w:spacing w:val="-1"/>
            <w:sz w:val="24"/>
            <w:u w:val="single" w:color="0000FF"/>
          </w:rPr>
          <w:t xml:space="preserve"> </w:t>
        </w:r>
        <w:r>
          <w:rPr>
            <w:color w:val="0000FF"/>
            <w:sz w:val="24"/>
            <w:u w:val="single" w:color="0000FF"/>
          </w:rPr>
          <w:t>Annual</w:t>
        </w:r>
        <w:r>
          <w:rPr>
            <w:color w:val="0000FF"/>
            <w:spacing w:val="-2"/>
            <w:sz w:val="24"/>
            <w:u w:val="single" w:color="0000FF"/>
          </w:rPr>
          <w:t xml:space="preserve"> </w:t>
        </w:r>
        <w:r>
          <w:rPr>
            <w:color w:val="0000FF"/>
            <w:sz w:val="24"/>
            <w:u w:val="single" w:color="0000FF"/>
          </w:rPr>
          <w:t>Wage</w:t>
        </w:r>
        <w:r>
          <w:rPr>
            <w:color w:val="0000FF"/>
            <w:spacing w:val="-6"/>
            <w:sz w:val="24"/>
            <w:u w:val="single" w:color="0000FF"/>
          </w:rPr>
          <w:t xml:space="preserve"> </w:t>
        </w:r>
        <w:r>
          <w:rPr>
            <w:color w:val="0000FF"/>
            <w:sz w:val="24"/>
            <w:u w:val="single" w:color="0000FF"/>
          </w:rPr>
          <w:t>Review</w:t>
        </w:r>
        <w:r>
          <w:rPr>
            <w:color w:val="0000FF"/>
            <w:spacing w:val="-4"/>
            <w:sz w:val="24"/>
            <w:u w:val="single" w:color="0000FF"/>
          </w:rPr>
          <w:t xml:space="preserve"> </w:t>
        </w:r>
        <w:r>
          <w:rPr>
            <w:color w:val="0000FF"/>
            <w:sz w:val="24"/>
            <w:u w:val="single" w:color="0000FF"/>
          </w:rPr>
          <w:t>2022–23</w:t>
        </w:r>
        <w:r>
          <w:rPr>
            <w:color w:val="0000FF"/>
            <w:spacing w:val="-4"/>
            <w:sz w:val="24"/>
            <w:u w:val="single" w:color="0000FF"/>
          </w:rPr>
          <w:t xml:space="preserve"> </w:t>
        </w:r>
        <w:r>
          <w:rPr>
            <w:color w:val="0000FF"/>
            <w:sz w:val="24"/>
            <w:u w:val="single" w:color="0000FF"/>
          </w:rPr>
          <w:t>|</w:t>
        </w:r>
        <w:r>
          <w:rPr>
            <w:color w:val="0000FF"/>
            <w:spacing w:val="-3"/>
            <w:sz w:val="24"/>
            <w:u w:val="single" w:color="0000FF"/>
          </w:rPr>
          <w:t xml:space="preserve"> </w:t>
        </w:r>
        <w:r>
          <w:rPr>
            <w:color w:val="0000FF"/>
            <w:sz w:val="24"/>
            <w:u w:val="single" w:color="0000FF"/>
          </w:rPr>
          <w:t>Fair</w:t>
        </w:r>
        <w:r>
          <w:rPr>
            <w:color w:val="0000FF"/>
            <w:spacing w:val="-1"/>
            <w:sz w:val="24"/>
            <w:u w:val="single" w:color="0000FF"/>
          </w:rPr>
          <w:t xml:space="preserve"> </w:t>
        </w:r>
        <w:r>
          <w:rPr>
            <w:color w:val="0000FF"/>
            <w:sz w:val="24"/>
            <w:u w:val="single" w:color="0000FF"/>
          </w:rPr>
          <w:t>Work</w:t>
        </w:r>
        <w:r>
          <w:rPr>
            <w:color w:val="0000FF"/>
            <w:spacing w:val="-1"/>
            <w:sz w:val="24"/>
            <w:u w:val="single" w:color="0000FF"/>
          </w:rPr>
          <w:t xml:space="preserve"> </w:t>
        </w:r>
        <w:r>
          <w:rPr>
            <w:color w:val="0000FF"/>
            <w:sz w:val="24"/>
            <w:u w:val="single" w:color="0000FF"/>
          </w:rPr>
          <w:t>Commission</w:t>
        </w:r>
        <w:r>
          <w:rPr>
            <w:color w:val="0000FF"/>
            <w:spacing w:val="-3"/>
            <w:sz w:val="24"/>
            <w:u w:val="single" w:color="0000FF"/>
          </w:rPr>
          <w:t xml:space="preserve"> </w:t>
        </w:r>
        <w:r>
          <w:rPr>
            <w:color w:val="0000FF"/>
            <w:sz w:val="24"/>
            <w:u w:val="single" w:color="0000FF"/>
          </w:rPr>
          <w:t>(fwc.gov.au)</w:t>
        </w:r>
      </w:hyperlink>
      <w:r>
        <w:rPr>
          <w:sz w:val="24"/>
        </w:rPr>
        <w:t>,</w:t>
      </w:r>
      <w:r>
        <w:rPr>
          <w:spacing w:val="-2"/>
          <w:sz w:val="24"/>
        </w:rPr>
        <w:t xml:space="preserve"> </w:t>
      </w:r>
      <w:r>
        <w:rPr>
          <w:sz w:val="24"/>
        </w:rPr>
        <w:t>as ‘beyond the seven-year time horizon, it is preferable</w:t>
      </w:r>
      <w:r>
        <w:rPr>
          <w:spacing w:val="-3"/>
          <w:sz w:val="24"/>
        </w:rPr>
        <w:t xml:space="preserve"> </w:t>
      </w:r>
      <w:r>
        <w:rPr>
          <w:sz w:val="24"/>
        </w:rPr>
        <w:t>to review and revise the</w:t>
      </w:r>
      <w:r>
        <w:rPr>
          <w:spacing w:val="-2"/>
          <w:sz w:val="24"/>
        </w:rPr>
        <w:t xml:space="preserve"> </w:t>
      </w:r>
      <w:r>
        <w:rPr>
          <w:sz w:val="24"/>
        </w:rPr>
        <w:t>entire budgets to ensure that items, quantities and lifetimes as well as prices are reviewed and adjusted to reflect changes in community norms and average living standards’).</w:t>
      </w:r>
      <w:r>
        <w:rPr>
          <w:sz w:val="24"/>
          <w:vertAlign w:val="superscript"/>
        </w:rPr>
        <w:t>2</w:t>
      </w:r>
    </w:p>
    <w:p w14:paraId="4A18182E" w14:textId="77777777" w:rsidR="00811887" w:rsidRDefault="00811887" w:rsidP="00811887">
      <w:pPr>
        <w:spacing w:before="121" w:line="268" w:lineRule="auto"/>
        <w:ind w:left="165"/>
      </w:pPr>
      <w:r>
        <w:t>The</w:t>
      </w:r>
      <w:r>
        <w:rPr>
          <w:spacing w:val="-3"/>
        </w:rPr>
        <w:t xml:space="preserve"> </w:t>
      </w:r>
      <w:r>
        <w:t>Henderson</w:t>
      </w:r>
      <w:r>
        <w:rPr>
          <w:spacing w:val="-4"/>
        </w:rPr>
        <w:t xml:space="preserve"> </w:t>
      </w:r>
      <w:r>
        <w:t>Poverty</w:t>
      </w:r>
      <w:r>
        <w:rPr>
          <w:spacing w:val="-3"/>
        </w:rPr>
        <w:t xml:space="preserve"> </w:t>
      </w:r>
      <w:r>
        <w:t>Line</w:t>
      </w:r>
      <w:r>
        <w:rPr>
          <w:spacing w:val="-3"/>
        </w:rPr>
        <w:t xml:space="preserve"> </w:t>
      </w:r>
      <w:r>
        <w:t>figures</w:t>
      </w:r>
      <w:r>
        <w:rPr>
          <w:spacing w:val="-4"/>
        </w:rPr>
        <w:t xml:space="preserve"> </w:t>
      </w:r>
      <w:r>
        <w:t>are</w:t>
      </w:r>
      <w:r>
        <w:rPr>
          <w:spacing w:val="-3"/>
        </w:rPr>
        <w:t xml:space="preserve"> </w:t>
      </w:r>
      <w:r>
        <w:t>based</w:t>
      </w:r>
      <w:r>
        <w:rPr>
          <w:spacing w:val="-4"/>
        </w:rPr>
        <w:t xml:space="preserve"> </w:t>
      </w:r>
      <w:r>
        <w:t>on</w:t>
      </w:r>
      <w:r>
        <w:rPr>
          <w:spacing w:val="-4"/>
        </w:rPr>
        <w:t xml:space="preserve"> </w:t>
      </w:r>
      <w:r>
        <w:t>the</w:t>
      </w:r>
      <w:r>
        <w:rPr>
          <w:spacing w:val="-3"/>
        </w:rPr>
        <w:t xml:space="preserve"> </w:t>
      </w:r>
      <w:r>
        <w:t>quarterly</w:t>
      </w:r>
      <w:r>
        <w:rPr>
          <w:spacing w:val="-3"/>
        </w:rPr>
        <w:t xml:space="preserve"> </w:t>
      </w:r>
      <w:r>
        <w:t>figures</w:t>
      </w:r>
      <w:r>
        <w:rPr>
          <w:spacing w:val="-4"/>
        </w:rPr>
        <w:t xml:space="preserve"> </w:t>
      </w:r>
      <w:r>
        <w:t>released</w:t>
      </w:r>
      <w:r>
        <w:rPr>
          <w:spacing w:val="-4"/>
        </w:rPr>
        <w:t xml:space="preserve"> </w:t>
      </w:r>
      <w:r>
        <w:t>by</w:t>
      </w:r>
      <w:r>
        <w:rPr>
          <w:spacing w:val="-3"/>
        </w:rPr>
        <w:t xml:space="preserve"> </w:t>
      </w:r>
      <w:r>
        <w:t>the</w:t>
      </w:r>
      <w:r>
        <w:rPr>
          <w:spacing w:val="-3"/>
        </w:rPr>
        <w:t xml:space="preserve"> </w:t>
      </w:r>
      <w:r>
        <w:t>Melbourne</w:t>
      </w:r>
      <w:r>
        <w:rPr>
          <w:spacing w:val="-3"/>
        </w:rPr>
        <w:t xml:space="preserve"> </w:t>
      </w:r>
      <w:r>
        <w:t>Institute</w:t>
      </w:r>
      <w:r>
        <w:rPr>
          <w:spacing w:val="-3"/>
        </w:rPr>
        <w:t xml:space="preserve"> </w:t>
      </w:r>
      <w:r>
        <w:t>of Applied Economics and Social Research, for a single person, head not in workforce, before housing costs.</w:t>
      </w:r>
    </w:p>
    <w:p w14:paraId="1964774D" w14:textId="77777777" w:rsidR="00811887" w:rsidRDefault="00811887" w:rsidP="00811887">
      <w:pPr>
        <w:spacing w:before="113"/>
        <w:ind w:left="165"/>
      </w:pPr>
      <w:r>
        <w:t>All</w:t>
      </w:r>
      <w:r>
        <w:rPr>
          <w:spacing w:val="-3"/>
        </w:rPr>
        <w:t xml:space="preserve"> </w:t>
      </w:r>
      <w:r>
        <w:t>scenarios</w:t>
      </w:r>
      <w:r>
        <w:rPr>
          <w:spacing w:val="-4"/>
        </w:rPr>
        <w:t xml:space="preserve"> </w:t>
      </w:r>
      <w:r>
        <w:t>are</w:t>
      </w:r>
      <w:r>
        <w:rPr>
          <w:spacing w:val="-2"/>
        </w:rPr>
        <w:t xml:space="preserve"> </w:t>
      </w:r>
      <w:r>
        <w:t>for</w:t>
      </w:r>
      <w:r>
        <w:rPr>
          <w:spacing w:val="-4"/>
        </w:rPr>
        <w:t xml:space="preserve"> </w:t>
      </w:r>
      <w:r>
        <w:t>a</w:t>
      </w:r>
      <w:r>
        <w:rPr>
          <w:spacing w:val="-2"/>
        </w:rPr>
        <w:t xml:space="preserve"> </w:t>
      </w:r>
      <w:r>
        <w:t>single</w:t>
      </w:r>
      <w:r>
        <w:rPr>
          <w:spacing w:val="-2"/>
        </w:rPr>
        <w:t xml:space="preserve"> </w:t>
      </w:r>
      <w:r>
        <w:t>adult</w:t>
      </w:r>
      <w:r>
        <w:rPr>
          <w:spacing w:val="-1"/>
        </w:rPr>
        <w:t xml:space="preserve"> </w:t>
      </w:r>
      <w:r>
        <w:t>with</w:t>
      </w:r>
      <w:r>
        <w:rPr>
          <w:spacing w:val="-3"/>
        </w:rPr>
        <w:t xml:space="preserve"> </w:t>
      </w:r>
      <w:r>
        <w:t>no</w:t>
      </w:r>
      <w:r>
        <w:rPr>
          <w:spacing w:val="-2"/>
        </w:rPr>
        <w:t xml:space="preserve"> children.</w:t>
      </w:r>
    </w:p>
    <w:p w14:paraId="3E418F9A" w14:textId="77777777" w:rsidR="00811887" w:rsidRDefault="00811887" w:rsidP="00811887">
      <w:pPr>
        <w:spacing w:before="147" w:line="264" w:lineRule="auto"/>
        <w:ind w:left="165"/>
      </w:pPr>
      <w:r>
        <w:t>The</w:t>
      </w:r>
      <w:r>
        <w:rPr>
          <w:spacing w:val="-2"/>
        </w:rPr>
        <w:t xml:space="preserve"> </w:t>
      </w:r>
      <w:r>
        <w:t>ABS</w:t>
      </w:r>
      <w:r>
        <w:rPr>
          <w:spacing w:val="-3"/>
        </w:rPr>
        <w:t xml:space="preserve"> </w:t>
      </w:r>
      <w:r>
        <w:t>50</w:t>
      </w:r>
      <w:r>
        <w:rPr>
          <w:spacing w:val="-3"/>
        </w:rPr>
        <w:t xml:space="preserve"> </w:t>
      </w:r>
      <w:r>
        <w:t>per</w:t>
      </w:r>
      <w:r>
        <w:rPr>
          <w:spacing w:val="-4"/>
        </w:rPr>
        <w:t xml:space="preserve"> </w:t>
      </w:r>
      <w:r>
        <w:t>cent</w:t>
      </w:r>
      <w:r>
        <w:rPr>
          <w:spacing w:val="-1"/>
        </w:rPr>
        <w:t xml:space="preserve"> </w:t>
      </w:r>
      <w:r>
        <w:t>EDHI</w:t>
      </w:r>
      <w:r>
        <w:rPr>
          <w:spacing w:val="-2"/>
        </w:rPr>
        <w:t xml:space="preserve"> </w:t>
      </w:r>
      <w:r>
        <w:t>is</w:t>
      </w:r>
      <w:r>
        <w:rPr>
          <w:spacing w:val="-4"/>
        </w:rPr>
        <w:t xml:space="preserve"> </w:t>
      </w:r>
      <w:r>
        <w:t>updated</w:t>
      </w:r>
      <w:r>
        <w:rPr>
          <w:spacing w:val="-3"/>
        </w:rPr>
        <w:t xml:space="preserve"> </w:t>
      </w:r>
      <w:r>
        <w:t>each</w:t>
      </w:r>
      <w:r>
        <w:rPr>
          <w:spacing w:val="-3"/>
        </w:rPr>
        <w:t xml:space="preserve"> </w:t>
      </w:r>
      <w:r>
        <w:t>financial</w:t>
      </w:r>
      <w:r>
        <w:rPr>
          <w:spacing w:val="-2"/>
        </w:rPr>
        <w:t xml:space="preserve"> </w:t>
      </w:r>
      <w:r>
        <w:t>year while</w:t>
      </w:r>
      <w:r>
        <w:rPr>
          <w:spacing w:val="-2"/>
        </w:rPr>
        <w:t xml:space="preserve"> </w:t>
      </w:r>
      <w:r>
        <w:t>HILDA</w:t>
      </w:r>
      <w:r>
        <w:rPr>
          <w:spacing w:val="-5"/>
        </w:rPr>
        <w:t xml:space="preserve"> </w:t>
      </w:r>
      <w:r>
        <w:t>50 per</w:t>
      </w:r>
      <w:r>
        <w:rPr>
          <w:spacing w:val="-4"/>
        </w:rPr>
        <w:t xml:space="preserve"> </w:t>
      </w:r>
      <w:r>
        <w:t>cent EDHI</w:t>
      </w:r>
      <w:r>
        <w:rPr>
          <w:spacing w:val="-2"/>
        </w:rPr>
        <w:t xml:space="preserve"> </w:t>
      </w:r>
      <w:r>
        <w:t>is</w:t>
      </w:r>
      <w:r>
        <w:rPr>
          <w:spacing w:val="-4"/>
        </w:rPr>
        <w:t xml:space="preserve"> </w:t>
      </w:r>
      <w:r>
        <w:t>updated</w:t>
      </w:r>
      <w:r>
        <w:rPr>
          <w:spacing w:val="-3"/>
        </w:rPr>
        <w:t xml:space="preserve"> </w:t>
      </w:r>
      <w:r>
        <w:t>each</w:t>
      </w:r>
      <w:r>
        <w:rPr>
          <w:spacing w:val="-3"/>
        </w:rPr>
        <w:t xml:space="preserve"> </w:t>
      </w:r>
      <w:r>
        <w:t>calendar year. Where data for these measures are missing, the latest available measure has been used.</w:t>
      </w:r>
    </w:p>
    <w:p w14:paraId="742EDD7C" w14:textId="77777777" w:rsidR="00811887" w:rsidRDefault="00811887" w:rsidP="00811887">
      <w:pPr>
        <w:spacing w:before="120"/>
        <w:ind w:left="165"/>
      </w:pPr>
      <w:r>
        <w:t>The</w:t>
      </w:r>
      <w:r>
        <w:rPr>
          <w:spacing w:val="-5"/>
        </w:rPr>
        <w:t xml:space="preserve"> </w:t>
      </w:r>
      <w:r>
        <w:t>most</w:t>
      </w:r>
      <w:r>
        <w:rPr>
          <w:spacing w:val="-2"/>
        </w:rPr>
        <w:t xml:space="preserve"> </w:t>
      </w:r>
      <w:r>
        <w:t>recent</w:t>
      </w:r>
      <w:r>
        <w:rPr>
          <w:spacing w:val="-1"/>
        </w:rPr>
        <w:t xml:space="preserve"> </w:t>
      </w:r>
      <w:r>
        <w:t>figures</w:t>
      </w:r>
      <w:r>
        <w:rPr>
          <w:spacing w:val="-4"/>
        </w:rPr>
        <w:t xml:space="preserve"> </w:t>
      </w:r>
      <w:r>
        <w:t>for</w:t>
      </w:r>
      <w:r>
        <w:rPr>
          <w:spacing w:val="-4"/>
        </w:rPr>
        <w:t xml:space="preserve"> </w:t>
      </w:r>
      <w:r>
        <w:t>poverty</w:t>
      </w:r>
      <w:r>
        <w:rPr>
          <w:spacing w:val="-3"/>
        </w:rPr>
        <w:t xml:space="preserve"> </w:t>
      </w:r>
      <w:r>
        <w:t>measures</w:t>
      </w:r>
      <w:r>
        <w:rPr>
          <w:spacing w:val="-3"/>
        </w:rPr>
        <w:t xml:space="preserve"> </w:t>
      </w:r>
      <w:r>
        <w:t>were</w:t>
      </w:r>
      <w:r>
        <w:rPr>
          <w:spacing w:val="-2"/>
        </w:rPr>
        <w:t xml:space="preserve"> </w:t>
      </w:r>
      <w:r>
        <w:t>used,</w:t>
      </w:r>
      <w:r>
        <w:rPr>
          <w:spacing w:val="-3"/>
        </w:rPr>
        <w:t xml:space="preserve"> </w:t>
      </w:r>
      <w:r>
        <w:t>where</w:t>
      </w:r>
      <w:r>
        <w:rPr>
          <w:spacing w:val="-2"/>
        </w:rPr>
        <w:t xml:space="preserve"> possible.</w:t>
      </w:r>
    </w:p>
    <w:p w14:paraId="44F3D662" w14:textId="77777777" w:rsidR="00811887" w:rsidRDefault="00811887" w:rsidP="00811887">
      <w:pPr>
        <w:spacing w:before="146"/>
        <w:ind w:left="165"/>
        <w:rPr>
          <w:i/>
        </w:rPr>
      </w:pPr>
      <w:r>
        <w:rPr>
          <w:i/>
        </w:rPr>
        <w:t>Income</w:t>
      </w:r>
      <w:r>
        <w:rPr>
          <w:i/>
          <w:spacing w:val="-4"/>
        </w:rPr>
        <w:t xml:space="preserve"> </w:t>
      </w:r>
      <w:r>
        <w:rPr>
          <w:i/>
        </w:rPr>
        <w:t>support</w:t>
      </w:r>
      <w:r>
        <w:rPr>
          <w:i/>
          <w:spacing w:val="-1"/>
        </w:rPr>
        <w:t xml:space="preserve"> </w:t>
      </w:r>
      <w:r>
        <w:rPr>
          <w:i/>
          <w:spacing w:val="-2"/>
        </w:rPr>
        <w:t>rates</w:t>
      </w:r>
    </w:p>
    <w:p w14:paraId="59743CA6" w14:textId="77777777" w:rsidR="00811887" w:rsidRDefault="00811887" w:rsidP="00811887">
      <w:pPr>
        <w:spacing w:before="146" w:line="264" w:lineRule="auto"/>
        <w:ind w:left="165"/>
      </w:pPr>
      <w:r>
        <w:t>Income</w:t>
      </w:r>
      <w:r>
        <w:rPr>
          <w:spacing w:val="-3"/>
        </w:rPr>
        <w:t xml:space="preserve"> </w:t>
      </w:r>
      <w:r>
        <w:t>support</w:t>
      </w:r>
      <w:r>
        <w:rPr>
          <w:spacing w:val="-2"/>
        </w:rPr>
        <w:t xml:space="preserve"> </w:t>
      </w:r>
      <w:r>
        <w:t>payment</w:t>
      </w:r>
      <w:r>
        <w:rPr>
          <w:spacing w:val="-2"/>
        </w:rPr>
        <w:t xml:space="preserve"> </w:t>
      </w:r>
      <w:r>
        <w:t>components</w:t>
      </w:r>
      <w:r>
        <w:rPr>
          <w:spacing w:val="-5"/>
        </w:rPr>
        <w:t xml:space="preserve"> </w:t>
      </w:r>
      <w:r>
        <w:t>that</w:t>
      </w:r>
      <w:r>
        <w:rPr>
          <w:spacing w:val="-2"/>
        </w:rPr>
        <w:t xml:space="preserve"> </w:t>
      </w:r>
      <w:r>
        <w:t>were</w:t>
      </w:r>
      <w:r>
        <w:rPr>
          <w:spacing w:val="-3"/>
        </w:rPr>
        <w:t xml:space="preserve"> </w:t>
      </w:r>
      <w:r>
        <w:t>used</w:t>
      </w:r>
      <w:r>
        <w:rPr>
          <w:spacing w:val="-4"/>
        </w:rPr>
        <w:t xml:space="preserve"> </w:t>
      </w:r>
      <w:r>
        <w:t>to</w:t>
      </w:r>
      <w:r>
        <w:rPr>
          <w:spacing w:val="-4"/>
        </w:rPr>
        <w:t xml:space="preserve"> </w:t>
      </w:r>
      <w:r>
        <w:t>calculate</w:t>
      </w:r>
      <w:r>
        <w:rPr>
          <w:spacing w:val="-3"/>
        </w:rPr>
        <w:t xml:space="preserve"> </w:t>
      </w:r>
      <w:r>
        <w:t>the</w:t>
      </w:r>
      <w:r>
        <w:rPr>
          <w:spacing w:val="-3"/>
        </w:rPr>
        <w:t xml:space="preserve"> </w:t>
      </w:r>
      <w:r>
        <w:t>rate</w:t>
      </w:r>
      <w:r>
        <w:rPr>
          <w:spacing w:val="-3"/>
        </w:rPr>
        <w:t xml:space="preserve"> </w:t>
      </w:r>
      <w:r>
        <w:t>for</w:t>
      </w:r>
      <w:r>
        <w:rPr>
          <w:spacing w:val="-5"/>
        </w:rPr>
        <w:t xml:space="preserve"> </w:t>
      </w:r>
      <w:r>
        <w:t>each</w:t>
      </w:r>
      <w:r>
        <w:rPr>
          <w:spacing w:val="-4"/>
        </w:rPr>
        <w:t xml:space="preserve"> </w:t>
      </w:r>
      <w:r>
        <w:t>payment</w:t>
      </w:r>
      <w:r>
        <w:rPr>
          <w:spacing w:val="-2"/>
        </w:rPr>
        <w:t xml:space="preserve"> </w:t>
      </w:r>
      <w:r>
        <w:t>are</w:t>
      </w:r>
      <w:r>
        <w:rPr>
          <w:spacing w:val="-3"/>
        </w:rPr>
        <w:t xml:space="preserve"> </w:t>
      </w:r>
      <w:r>
        <w:t>provided</w:t>
      </w:r>
      <w:r>
        <w:rPr>
          <w:spacing w:val="-4"/>
        </w:rPr>
        <w:t xml:space="preserve"> </w:t>
      </w:r>
      <w:r>
        <w:t>in</w:t>
      </w:r>
      <w:r>
        <w:rPr>
          <w:spacing w:val="-4"/>
        </w:rPr>
        <w:t xml:space="preserve"> </w:t>
      </w:r>
      <w:r>
        <w:t>the table below. The temporary Coronavirus Supplement and one-off Economic Support Payments have not been included in income support rates.</w:t>
      </w:r>
    </w:p>
    <w:p w14:paraId="5B479E58" w14:textId="77777777" w:rsidR="00811887" w:rsidRDefault="00811887" w:rsidP="00811887">
      <w:pPr>
        <w:pStyle w:val="BodyText"/>
      </w:pPr>
    </w:p>
    <w:p w14:paraId="65928157" w14:textId="77777777" w:rsidR="00811887" w:rsidRDefault="00811887" w:rsidP="00811887">
      <w:pPr>
        <w:pStyle w:val="BodyText"/>
        <w:spacing w:before="96"/>
      </w:pPr>
    </w:p>
    <w:tbl>
      <w:tblPr>
        <w:tblW w:w="0" w:type="auto"/>
        <w:tblInd w:w="192" w:type="dxa"/>
        <w:tblLayout w:type="fixed"/>
        <w:tblCellMar>
          <w:left w:w="0" w:type="dxa"/>
          <w:right w:w="0" w:type="dxa"/>
        </w:tblCellMar>
        <w:tblLook w:val="01E0" w:firstRow="1" w:lastRow="1" w:firstColumn="1" w:lastColumn="1" w:noHBand="0" w:noVBand="0"/>
      </w:tblPr>
      <w:tblGrid>
        <w:gridCol w:w="2356"/>
        <w:gridCol w:w="6023"/>
      </w:tblGrid>
      <w:tr w:rsidR="00811887" w14:paraId="18C17218" w14:textId="77777777" w:rsidTr="00486E22">
        <w:trPr>
          <w:trHeight w:val="360"/>
        </w:trPr>
        <w:tc>
          <w:tcPr>
            <w:tcW w:w="2356" w:type="dxa"/>
            <w:tcBorders>
              <w:right w:val="single" w:sz="8" w:space="0" w:color="FFFFFF"/>
            </w:tcBorders>
            <w:shd w:val="clear" w:color="auto" w:fill="005A6F"/>
          </w:tcPr>
          <w:p w14:paraId="4078CB9C" w14:textId="77777777" w:rsidR="00811887" w:rsidRDefault="00811887" w:rsidP="00486E22">
            <w:pPr>
              <w:pStyle w:val="TableParagraph"/>
              <w:spacing w:before="2" w:line="240" w:lineRule="auto"/>
              <w:ind w:left="5"/>
              <w:jc w:val="center"/>
              <w:rPr>
                <w:b/>
                <w:sz w:val="16"/>
              </w:rPr>
            </w:pPr>
            <w:r>
              <w:rPr>
                <w:b/>
                <w:color w:val="FFFFFF"/>
                <w:spacing w:val="-2"/>
                <w:sz w:val="16"/>
              </w:rPr>
              <w:t>Payment</w:t>
            </w:r>
          </w:p>
        </w:tc>
        <w:tc>
          <w:tcPr>
            <w:tcW w:w="6023" w:type="dxa"/>
            <w:tcBorders>
              <w:left w:val="single" w:sz="8" w:space="0" w:color="FFFFFF"/>
            </w:tcBorders>
            <w:shd w:val="clear" w:color="auto" w:fill="005A6F"/>
          </w:tcPr>
          <w:p w14:paraId="7527F3D0" w14:textId="77777777" w:rsidR="00811887" w:rsidRDefault="00811887" w:rsidP="00486E22">
            <w:pPr>
              <w:pStyle w:val="TableParagraph"/>
              <w:spacing w:before="2" w:line="240" w:lineRule="auto"/>
              <w:ind w:right="10"/>
              <w:jc w:val="center"/>
              <w:rPr>
                <w:b/>
                <w:sz w:val="16"/>
              </w:rPr>
            </w:pPr>
            <w:r>
              <w:rPr>
                <w:b/>
                <w:color w:val="FFFFFF"/>
                <w:sz w:val="16"/>
              </w:rPr>
              <w:t>Components</w:t>
            </w:r>
            <w:r>
              <w:rPr>
                <w:b/>
                <w:color w:val="FFFFFF"/>
                <w:spacing w:val="-3"/>
                <w:sz w:val="16"/>
              </w:rPr>
              <w:t xml:space="preserve"> </w:t>
            </w:r>
            <w:r>
              <w:rPr>
                <w:b/>
                <w:color w:val="FFFFFF"/>
                <w:sz w:val="16"/>
              </w:rPr>
              <w:t>for</w:t>
            </w:r>
            <w:r>
              <w:rPr>
                <w:b/>
                <w:color w:val="FFFFFF"/>
                <w:spacing w:val="-4"/>
                <w:sz w:val="16"/>
              </w:rPr>
              <w:t xml:space="preserve"> </w:t>
            </w:r>
            <w:r>
              <w:rPr>
                <w:b/>
                <w:color w:val="FFFFFF"/>
                <w:sz w:val="16"/>
              </w:rPr>
              <w:t>rate</w:t>
            </w:r>
            <w:r>
              <w:rPr>
                <w:b/>
                <w:color w:val="FFFFFF"/>
                <w:spacing w:val="1"/>
                <w:sz w:val="16"/>
              </w:rPr>
              <w:t xml:space="preserve"> </w:t>
            </w:r>
            <w:r>
              <w:rPr>
                <w:b/>
                <w:color w:val="FFFFFF"/>
                <w:sz w:val="16"/>
              </w:rPr>
              <w:t>used</w:t>
            </w:r>
            <w:r>
              <w:rPr>
                <w:b/>
                <w:color w:val="FFFFFF"/>
                <w:spacing w:val="-5"/>
                <w:sz w:val="16"/>
              </w:rPr>
              <w:t xml:space="preserve"> </w:t>
            </w:r>
            <w:r>
              <w:rPr>
                <w:b/>
                <w:color w:val="FFFFFF"/>
                <w:sz w:val="16"/>
              </w:rPr>
              <w:t>to</w:t>
            </w:r>
            <w:r>
              <w:rPr>
                <w:b/>
                <w:color w:val="FFFFFF"/>
                <w:spacing w:val="1"/>
                <w:sz w:val="16"/>
              </w:rPr>
              <w:t xml:space="preserve"> </w:t>
            </w:r>
            <w:r>
              <w:rPr>
                <w:b/>
                <w:color w:val="FFFFFF"/>
                <w:sz w:val="16"/>
              </w:rPr>
              <w:t>compare</w:t>
            </w:r>
            <w:r>
              <w:rPr>
                <w:b/>
                <w:color w:val="FFFFFF"/>
                <w:spacing w:val="-4"/>
                <w:sz w:val="16"/>
              </w:rPr>
              <w:t xml:space="preserve"> </w:t>
            </w:r>
            <w:r>
              <w:rPr>
                <w:b/>
                <w:color w:val="FFFFFF"/>
                <w:sz w:val="16"/>
              </w:rPr>
              <w:t>to</w:t>
            </w:r>
            <w:r>
              <w:rPr>
                <w:b/>
                <w:color w:val="FFFFFF"/>
                <w:spacing w:val="1"/>
                <w:sz w:val="16"/>
              </w:rPr>
              <w:t xml:space="preserve"> </w:t>
            </w:r>
            <w:r>
              <w:rPr>
                <w:b/>
                <w:color w:val="FFFFFF"/>
                <w:sz w:val="16"/>
              </w:rPr>
              <w:t>ABS</w:t>
            </w:r>
            <w:r>
              <w:rPr>
                <w:b/>
                <w:color w:val="FFFFFF"/>
                <w:spacing w:val="-4"/>
                <w:sz w:val="16"/>
              </w:rPr>
              <w:t xml:space="preserve"> </w:t>
            </w:r>
            <w:r>
              <w:rPr>
                <w:b/>
                <w:color w:val="FFFFFF"/>
                <w:sz w:val="16"/>
              </w:rPr>
              <w:t>50%</w:t>
            </w:r>
            <w:r>
              <w:rPr>
                <w:b/>
                <w:color w:val="FFFFFF"/>
                <w:spacing w:val="-4"/>
                <w:sz w:val="16"/>
              </w:rPr>
              <w:t xml:space="preserve"> </w:t>
            </w:r>
            <w:r>
              <w:rPr>
                <w:b/>
                <w:color w:val="FFFFFF"/>
                <w:sz w:val="16"/>
              </w:rPr>
              <w:t>EDHI</w:t>
            </w:r>
            <w:r>
              <w:rPr>
                <w:b/>
                <w:color w:val="FFFFFF"/>
                <w:spacing w:val="-1"/>
                <w:sz w:val="16"/>
              </w:rPr>
              <w:t xml:space="preserve"> </w:t>
            </w:r>
            <w:r>
              <w:rPr>
                <w:b/>
                <w:color w:val="FFFFFF"/>
                <w:sz w:val="16"/>
              </w:rPr>
              <w:t>and</w:t>
            </w:r>
            <w:r>
              <w:rPr>
                <w:b/>
                <w:color w:val="FFFFFF"/>
                <w:spacing w:val="-4"/>
                <w:sz w:val="16"/>
              </w:rPr>
              <w:t xml:space="preserve"> </w:t>
            </w:r>
            <w:r>
              <w:rPr>
                <w:b/>
                <w:color w:val="FFFFFF"/>
                <w:sz w:val="16"/>
              </w:rPr>
              <w:t>HILDA</w:t>
            </w:r>
            <w:r>
              <w:rPr>
                <w:b/>
                <w:color w:val="FFFFFF"/>
                <w:spacing w:val="-1"/>
                <w:sz w:val="16"/>
              </w:rPr>
              <w:t xml:space="preserve"> </w:t>
            </w:r>
            <w:r>
              <w:rPr>
                <w:b/>
                <w:color w:val="FFFFFF"/>
                <w:sz w:val="16"/>
              </w:rPr>
              <w:t>50%</w:t>
            </w:r>
            <w:r>
              <w:rPr>
                <w:b/>
                <w:color w:val="FFFFFF"/>
                <w:spacing w:val="-4"/>
                <w:sz w:val="16"/>
              </w:rPr>
              <w:t xml:space="preserve"> EDHI</w:t>
            </w:r>
          </w:p>
        </w:tc>
      </w:tr>
      <w:tr w:rsidR="00811887" w14:paraId="7A079B62" w14:textId="77777777" w:rsidTr="00486E22">
        <w:trPr>
          <w:trHeight w:val="360"/>
        </w:trPr>
        <w:tc>
          <w:tcPr>
            <w:tcW w:w="2356" w:type="dxa"/>
            <w:shd w:val="clear" w:color="auto" w:fill="005A6F"/>
          </w:tcPr>
          <w:p w14:paraId="5042BC30" w14:textId="77777777" w:rsidR="00811887" w:rsidRDefault="00811887" w:rsidP="00486E22">
            <w:pPr>
              <w:pStyle w:val="TableParagraph"/>
              <w:spacing w:before="13" w:line="240" w:lineRule="auto"/>
              <w:ind w:left="100"/>
              <w:rPr>
                <w:b/>
                <w:sz w:val="16"/>
              </w:rPr>
            </w:pPr>
            <w:r>
              <w:rPr>
                <w:b/>
                <w:color w:val="FFFFFF"/>
                <w:sz w:val="16"/>
              </w:rPr>
              <w:t>JobSeeker</w:t>
            </w:r>
            <w:r>
              <w:rPr>
                <w:b/>
                <w:color w:val="FFFFFF"/>
                <w:spacing w:val="-9"/>
                <w:sz w:val="16"/>
              </w:rPr>
              <w:t xml:space="preserve"> </w:t>
            </w:r>
            <w:r>
              <w:rPr>
                <w:b/>
                <w:color w:val="FFFFFF"/>
                <w:sz w:val="16"/>
              </w:rPr>
              <w:t>single</w:t>
            </w:r>
            <w:r>
              <w:rPr>
                <w:b/>
                <w:color w:val="FFFFFF"/>
                <w:spacing w:val="-1"/>
                <w:sz w:val="16"/>
              </w:rPr>
              <w:t xml:space="preserve"> </w:t>
            </w:r>
            <w:r>
              <w:rPr>
                <w:b/>
                <w:color w:val="FFFFFF"/>
                <w:sz w:val="16"/>
              </w:rPr>
              <w:t>no</w:t>
            </w:r>
            <w:r>
              <w:rPr>
                <w:b/>
                <w:color w:val="FFFFFF"/>
                <w:spacing w:val="-1"/>
                <w:sz w:val="16"/>
              </w:rPr>
              <w:t xml:space="preserve"> </w:t>
            </w:r>
            <w:r>
              <w:rPr>
                <w:b/>
                <w:color w:val="FFFFFF"/>
                <w:spacing w:val="-4"/>
                <w:sz w:val="16"/>
              </w:rPr>
              <w:t>child</w:t>
            </w:r>
          </w:p>
        </w:tc>
        <w:tc>
          <w:tcPr>
            <w:tcW w:w="6023" w:type="dxa"/>
          </w:tcPr>
          <w:p w14:paraId="2B3A637E" w14:textId="77777777" w:rsidR="00811887" w:rsidRDefault="00811887" w:rsidP="00486E22">
            <w:pPr>
              <w:pStyle w:val="TableParagraph"/>
              <w:spacing w:before="13" w:line="240" w:lineRule="auto"/>
              <w:ind w:left="8"/>
              <w:jc w:val="center"/>
              <w:rPr>
                <w:sz w:val="16"/>
              </w:rPr>
            </w:pPr>
            <w:r>
              <w:rPr>
                <w:sz w:val="16"/>
              </w:rPr>
              <w:t>JobSeeker,</w:t>
            </w:r>
            <w:r>
              <w:rPr>
                <w:spacing w:val="-4"/>
                <w:sz w:val="16"/>
              </w:rPr>
              <w:t xml:space="preserve"> </w:t>
            </w:r>
            <w:r>
              <w:rPr>
                <w:sz w:val="16"/>
              </w:rPr>
              <w:t>single</w:t>
            </w:r>
            <w:r>
              <w:rPr>
                <w:spacing w:val="-3"/>
                <w:sz w:val="16"/>
              </w:rPr>
              <w:t xml:space="preserve"> </w:t>
            </w:r>
            <w:r>
              <w:rPr>
                <w:sz w:val="16"/>
              </w:rPr>
              <w:t>no</w:t>
            </w:r>
            <w:r>
              <w:rPr>
                <w:spacing w:val="-3"/>
                <w:sz w:val="16"/>
              </w:rPr>
              <w:t xml:space="preserve"> </w:t>
            </w:r>
            <w:r>
              <w:rPr>
                <w:sz w:val="16"/>
              </w:rPr>
              <w:t>children</w:t>
            </w:r>
            <w:r>
              <w:rPr>
                <w:spacing w:val="-3"/>
                <w:sz w:val="16"/>
              </w:rPr>
              <w:t xml:space="preserve"> </w:t>
            </w:r>
            <w:r>
              <w:rPr>
                <w:sz w:val="16"/>
              </w:rPr>
              <w:t>base</w:t>
            </w:r>
            <w:r>
              <w:rPr>
                <w:spacing w:val="-3"/>
                <w:sz w:val="16"/>
              </w:rPr>
              <w:t xml:space="preserve"> </w:t>
            </w:r>
            <w:r>
              <w:rPr>
                <w:sz w:val="16"/>
              </w:rPr>
              <w:t>rate,</w:t>
            </w:r>
            <w:r>
              <w:rPr>
                <w:spacing w:val="-3"/>
                <w:sz w:val="16"/>
              </w:rPr>
              <w:t xml:space="preserve"> </w:t>
            </w:r>
            <w:r>
              <w:rPr>
                <w:sz w:val="16"/>
              </w:rPr>
              <w:t>Energy</w:t>
            </w:r>
            <w:r>
              <w:rPr>
                <w:spacing w:val="-2"/>
                <w:sz w:val="16"/>
              </w:rPr>
              <w:t xml:space="preserve"> </w:t>
            </w:r>
            <w:r>
              <w:rPr>
                <w:sz w:val="16"/>
              </w:rPr>
              <w:t>Supplement,</w:t>
            </w:r>
            <w:r>
              <w:rPr>
                <w:spacing w:val="-4"/>
                <w:sz w:val="16"/>
              </w:rPr>
              <w:t xml:space="preserve"> </w:t>
            </w:r>
            <w:r>
              <w:rPr>
                <w:sz w:val="16"/>
              </w:rPr>
              <w:t>Income</w:t>
            </w:r>
            <w:r>
              <w:rPr>
                <w:spacing w:val="-3"/>
                <w:sz w:val="16"/>
              </w:rPr>
              <w:t xml:space="preserve"> </w:t>
            </w:r>
            <w:r>
              <w:rPr>
                <w:sz w:val="16"/>
              </w:rPr>
              <w:t>Support</w:t>
            </w:r>
            <w:r>
              <w:rPr>
                <w:spacing w:val="-1"/>
                <w:sz w:val="16"/>
              </w:rPr>
              <w:t xml:space="preserve"> </w:t>
            </w:r>
            <w:r>
              <w:rPr>
                <w:spacing w:val="-2"/>
                <w:sz w:val="16"/>
              </w:rPr>
              <w:t>Bonus</w:t>
            </w:r>
          </w:p>
        </w:tc>
      </w:tr>
      <w:tr w:rsidR="00811887" w14:paraId="50DC41CF" w14:textId="77777777" w:rsidTr="00486E22">
        <w:trPr>
          <w:trHeight w:val="355"/>
        </w:trPr>
        <w:tc>
          <w:tcPr>
            <w:tcW w:w="2356" w:type="dxa"/>
            <w:shd w:val="clear" w:color="auto" w:fill="005A6F"/>
          </w:tcPr>
          <w:p w14:paraId="10E0EACD" w14:textId="77777777" w:rsidR="00811887" w:rsidRDefault="00811887" w:rsidP="00486E22">
            <w:pPr>
              <w:pStyle w:val="TableParagraph"/>
              <w:spacing w:before="7" w:line="240" w:lineRule="auto"/>
              <w:ind w:left="100"/>
              <w:rPr>
                <w:b/>
                <w:sz w:val="16"/>
              </w:rPr>
            </w:pPr>
            <w:r>
              <w:rPr>
                <w:b/>
                <w:color w:val="FFFFFF"/>
                <w:sz w:val="16"/>
              </w:rPr>
              <w:t>Austudy</w:t>
            </w:r>
            <w:r>
              <w:rPr>
                <w:b/>
                <w:color w:val="FFFFFF"/>
                <w:spacing w:val="-5"/>
                <w:sz w:val="16"/>
              </w:rPr>
              <w:t xml:space="preserve"> </w:t>
            </w:r>
            <w:r>
              <w:rPr>
                <w:b/>
                <w:color w:val="FFFFFF"/>
                <w:sz w:val="16"/>
              </w:rPr>
              <w:t>single no</w:t>
            </w:r>
            <w:r>
              <w:rPr>
                <w:b/>
                <w:color w:val="FFFFFF"/>
                <w:spacing w:val="-5"/>
                <w:sz w:val="16"/>
              </w:rPr>
              <w:t xml:space="preserve"> </w:t>
            </w:r>
            <w:r>
              <w:rPr>
                <w:b/>
                <w:color w:val="FFFFFF"/>
                <w:spacing w:val="-2"/>
                <w:sz w:val="16"/>
              </w:rPr>
              <w:t>child</w:t>
            </w:r>
          </w:p>
        </w:tc>
        <w:tc>
          <w:tcPr>
            <w:tcW w:w="6023" w:type="dxa"/>
          </w:tcPr>
          <w:p w14:paraId="1F9C790A" w14:textId="77777777" w:rsidR="00811887" w:rsidRDefault="00811887" w:rsidP="00486E22">
            <w:pPr>
              <w:pStyle w:val="TableParagraph"/>
              <w:spacing w:before="7" w:line="240" w:lineRule="auto"/>
              <w:ind w:left="8" w:right="4"/>
              <w:jc w:val="center"/>
              <w:rPr>
                <w:sz w:val="16"/>
              </w:rPr>
            </w:pPr>
            <w:r>
              <w:rPr>
                <w:sz w:val="16"/>
              </w:rPr>
              <w:t>Austudy,</w:t>
            </w:r>
            <w:r>
              <w:rPr>
                <w:spacing w:val="-9"/>
                <w:sz w:val="16"/>
              </w:rPr>
              <w:t xml:space="preserve"> </w:t>
            </w:r>
            <w:r>
              <w:rPr>
                <w:sz w:val="16"/>
              </w:rPr>
              <w:t>single</w:t>
            </w:r>
            <w:r>
              <w:rPr>
                <w:spacing w:val="-2"/>
                <w:sz w:val="16"/>
              </w:rPr>
              <w:t xml:space="preserve"> </w:t>
            </w:r>
            <w:r>
              <w:rPr>
                <w:sz w:val="16"/>
              </w:rPr>
              <w:t>no</w:t>
            </w:r>
            <w:r>
              <w:rPr>
                <w:spacing w:val="-1"/>
                <w:sz w:val="16"/>
              </w:rPr>
              <w:t xml:space="preserve"> </w:t>
            </w:r>
            <w:r>
              <w:rPr>
                <w:sz w:val="16"/>
              </w:rPr>
              <w:t>children</w:t>
            </w:r>
            <w:r>
              <w:rPr>
                <w:spacing w:val="-2"/>
                <w:sz w:val="16"/>
              </w:rPr>
              <w:t xml:space="preserve"> </w:t>
            </w:r>
            <w:r>
              <w:rPr>
                <w:sz w:val="16"/>
              </w:rPr>
              <w:t>base</w:t>
            </w:r>
            <w:r>
              <w:rPr>
                <w:spacing w:val="-2"/>
                <w:sz w:val="16"/>
              </w:rPr>
              <w:t xml:space="preserve"> </w:t>
            </w:r>
            <w:r>
              <w:rPr>
                <w:sz w:val="16"/>
              </w:rPr>
              <w:t>rate,</w:t>
            </w:r>
            <w:r>
              <w:rPr>
                <w:spacing w:val="-3"/>
                <w:sz w:val="16"/>
              </w:rPr>
              <w:t xml:space="preserve"> </w:t>
            </w:r>
            <w:r>
              <w:rPr>
                <w:sz w:val="16"/>
              </w:rPr>
              <w:t>Energy</w:t>
            </w:r>
            <w:r>
              <w:rPr>
                <w:spacing w:val="-1"/>
                <w:sz w:val="16"/>
              </w:rPr>
              <w:t xml:space="preserve"> </w:t>
            </w:r>
            <w:r>
              <w:rPr>
                <w:sz w:val="16"/>
              </w:rPr>
              <w:t>Supplement,</w:t>
            </w:r>
            <w:r>
              <w:rPr>
                <w:spacing w:val="-4"/>
                <w:sz w:val="16"/>
              </w:rPr>
              <w:t xml:space="preserve"> </w:t>
            </w:r>
            <w:r>
              <w:rPr>
                <w:sz w:val="16"/>
              </w:rPr>
              <w:t>Income</w:t>
            </w:r>
            <w:r>
              <w:rPr>
                <w:spacing w:val="-2"/>
                <w:sz w:val="16"/>
              </w:rPr>
              <w:t xml:space="preserve"> </w:t>
            </w:r>
            <w:r>
              <w:rPr>
                <w:sz w:val="16"/>
              </w:rPr>
              <w:t>Support</w:t>
            </w:r>
            <w:r>
              <w:rPr>
                <w:spacing w:val="-1"/>
                <w:sz w:val="16"/>
              </w:rPr>
              <w:t xml:space="preserve"> </w:t>
            </w:r>
            <w:r>
              <w:rPr>
                <w:spacing w:val="-2"/>
                <w:sz w:val="16"/>
              </w:rPr>
              <w:t>Bonus</w:t>
            </w:r>
          </w:p>
        </w:tc>
      </w:tr>
      <w:tr w:rsidR="00811887" w14:paraId="342359B2" w14:textId="77777777" w:rsidTr="00486E22">
        <w:trPr>
          <w:trHeight w:val="560"/>
        </w:trPr>
        <w:tc>
          <w:tcPr>
            <w:tcW w:w="2356" w:type="dxa"/>
            <w:shd w:val="clear" w:color="auto" w:fill="005A6F"/>
          </w:tcPr>
          <w:p w14:paraId="2CD57F7D" w14:textId="77777777" w:rsidR="00811887" w:rsidRDefault="00811887" w:rsidP="00486E22">
            <w:pPr>
              <w:pStyle w:val="TableParagraph"/>
              <w:spacing w:before="112" w:line="240" w:lineRule="auto"/>
              <w:ind w:left="100"/>
              <w:rPr>
                <w:b/>
                <w:sz w:val="16"/>
              </w:rPr>
            </w:pPr>
            <w:r>
              <w:rPr>
                <w:b/>
                <w:color w:val="FFFFFF"/>
                <w:sz w:val="16"/>
              </w:rPr>
              <w:t>Age</w:t>
            </w:r>
            <w:r>
              <w:rPr>
                <w:b/>
                <w:color w:val="FFFFFF"/>
                <w:spacing w:val="-9"/>
                <w:sz w:val="16"/>
              </w:rPr>
              <w:t xml:space="preserve"> </w:t>
            </w:r>
            <w:r>
              <w:rPr>
                <w:b/>
                <w:color w:val="FFFFFF"/>
                <w:sz w:val="16"/>
              </w:rPr>
              <w:t>Pension</w:t>
            </w:r>
            <w:r>
              <w:rPr>
                <w:b/>
                <w:color w:val="FFFFFF"/>
                <w:spacing w:val="-6"/>
                <w:sz w:val="16"/>
              </w:rPr>
              <w:t xml:space="preserve"> </w:t>
            </w:r>
            <w:r>
              <w:rPr>
                <w:b/>
                <w:color w:val="FFFFFF"/>
                <w:spacing w:val="-2"/>
                <w:sz w:val="16"/>
              </w:rPr>
              <w:t>single</w:t>
            </w:r>
          </w:p>
        </w:tc>
        <w:tc>
          <w:tcPr>
            <w:tcW w:w="6023" w:type="dxa"/>
          </w:tcPr>
          <w:p w14:paraId="1588975C" w14:textId="77777777" w:rsidR="00811887" w:rsidRDefault="00811887" w:rsidP="00486E22">
            <w:pPr>
              <w:pStyle w:val="TableParagraph"/>
              <w:spacing w:before="7" w:line="264" w:lineRule="auto"/>
              <w:ind w:left="1515" w:hanging="1301"/>
              <w:rPr>
                <w:sz w:val="16"/>
              </w:rPr>
            </w:pPr>
            <w:r>
              <w:rPr>
                <w:sz w:val="16"/>
              </w:rPr>
              <w:t>Pension,</w:t>
            </w:r>
            <w:r>
              <w:rPr>
                <w:spacing w:val="-5"/>
                <w:sz w:val="16"/>
              </w:rPr>
              <w:t xml:space="preserve"> </w:t>
            </w:r>
            <w:r>
              <w:rPr>
                <w:sz w:val="16"/>
              </w:rPr>
              <w:t>single</w:t>
            </w:r>
            <w:r>
              <w:rPr>
                <w:spacing w:val="-4"/>
                <w:sz w:val="16"/>
              </w:rPr>
              <w:t xml:space="preserve"> </w:t>
            </w:r>
            <w:r>
              <w:rPr>
                <w:sz w:val="16"/>
              </w:rPr>
              <w:t>base</w:t>
            </w:r>
            <w:r>
              <w:rPr>
                <w:spacing w:val="-4"/>
                <w:sz w:val="16"/>
              </w:rPr>
              <w:t xml:space="preserve"> </w:t>
            </w:r>
            <w:r>
              <w:rPr>
                <w:sz w:val="16"/>
              </w:rPr>
              <w:t>rate,</w:t>
            </w:r>
            <w:r>
              <w:rPr>
                <w:spacing w:val="-4"/>
                <w:sz w:val="16"/>
              </w:rPr>
              <w:t xml:space="preserve"> </w:t>
            </w:r>
            <w:r>
              <w:rPr>
                <w:sz w:val="16"/>
              </w:rPr>
              <w:t>maximum</w:t>
            </w:r>
            <w:r>
              <w:rPr>
                <w:spacing w:val="-3"/>
                <w:sz w:val="16"/>
              </w:rPr>
              <w:t xml:space="preserve"> </w:t>
            </w:r>
            <w:r>
              <w:rPr>
                <w:sz w:val="16"/>
              </w:rPr>
              <w:t>pension</w:t>
            </w:r>
            <w:r>
              <w:rPr>
                <w:spacing w:val="-4"/>
                <w:sz w:val="16"/>
              </w:rPr>
              <w:t xml:space="preserve"> </w:t>
            </w:r>
            <w:r>
              <w:rPr>
                <w:sz w:val="16"/>
              </w:rPr>
              <w:t>supplement</w:t>
            </w:r>
            <w:r>
              <w:rPr>
                <w:spacing w:val="-3"/>
                <w:sz w:val="16"/>
              </w:rPr>
              <w:t xml:space="preserve"> </w:t>
            </w:r>
            <w:r>
              <w:rPr>
                <w:sz w:val="16"/>
              </w:rPr>
              <w:t>(single),</w:t>
            </w:r>
            <w:r>
              <w:rPr>
                <w:spacing w:val="-5"/>
                <w:sz w:val="16"/>
              </w:rPr>
              <w:t xml:space="preserve"> </w:t>
            </w:r>
            <w:r>
              <w:rPr>
                <w:sz w:val="16"/>
              </w:rPr>
              <w:t>Energy</w:t>
            </w:r>
            <w:r>
              <w:rPr>
                <w:spacing w:val="-3"/>
                <w:sz w:val="16"/>
              </w:rPr>
              <w:t xml:space="preserve"> </w:t>
            </w:r>
            <w:r>
              <w:rPr>
                <w:sz w:val="16"/>
              </w:rPr>
              <w:t>Supplement,</w:t>
            </w:r>
            <w:r>
              <w:rPr>
                <w:spacing w:val="40"/>
                <w:sz w:val="16"/>
              </w:rPr>
              <w:t xml:space="preserve"> </w:t>
            </w:r>
            <w:r>
              <w:rPr>
                <w:sz w:val="16"/>
              </w:rPr>
              <w:t>Utilities Allowance, Pharmaceutical Allowance</w:t>
            </w:r>
          </w:p>
        </w:tc>
      </w:tr>
    </w:tbl>
    <w:p w14:paraId="4B34E11F" w14:textId="77777777" w:rsidR="00811887" w:rsidRDefault="00811887" w:rsidP="00811887">
      <w:pPr>
        <w:pStyle w:val="BodyText"/>
      </w:pPr>
    </w:p>
    <w:p w14:paraId="46AD4BD6" w14:textId="77777777" w:rsidR="00811887" w:rsidRDefault="00811887" w:rsidP="00811887">
      <w:pPr>
        <w:pStyle w:val="BodyText"/>
      </w:pPr>
    </w:p>
    <w:p w14:paraId="014327F6" w14:textId="77777777" w:rsidR="00811887" w:rsidRDefault="00811887" w:rsidP="00811887">
      <w:pPr>
        <w:pStyle w:val="BodyText"/>
        <w:spacing w:before="14"/>
      </w:pPr>
      <w:r>
        <w:rPr>
          <w:noProof/>
        </w:rPr>
        <mc:AlternateContent>
          <mc:Choice Requires="wps">
            <w:drawing>
              <wp:anchor distT="0" distB="0" distL="0" distR="0" simplePos="0" relativeHeight="251724800" behindDoc="1" locked="0" layoutInCell="1" allowOverlap="1" wp14:anchorId="212E8D23" wp14:editId="11E94053">
                <wp:simplePos x="0" y="0"/>
                <wp:positionH relativeFrom="page">
                  <wp:posOffset>574992</wp:posOffset>
                </wp:positionH>
                <wp:positionV relativeFrom="paragraph">
                  <wp:posOffset>179653</wp:posOffset>
                </wp:positionV>
                <wp:extent cx="1829435" cy="9525"/>
                <wp:effectExtent l="0" t="0" r="0" b="0"/>
                <wp:wrapTopAndBottom/>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524"/>
                              </a:lnTo>
                              <a:lnTo>
                                <a:pt x="1829435" y="952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1D72B" id="Graphic 94" o:spid="_x0000_s1026" alt="&quot;&quot;" style="position:absolute;margin-left:45.25pt;margin-top:14.15pt;width:144.05pt;height:.75pt;z-index:-2515916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" path="m1829435,l,,,9524r1829435,l1829435,xe" fillcolor="black" stroked="f">
                <v:path arrowok="t"/>
                <w10:wrap type="topAndBottom" anchorx="page"/>
              </v:shape>
            </w:pict>
          </mc:Fallback>
        </mc:AlternateContent>
      </w:r>
    </w:p>
    <w:p w14:paraId="0860CC55" w14:textId="77777777" w:rsidR="00811887" w:rsidRDefault="00811887" w:rsidP="00811887">
      <w:pPr>
        <w:spacing w:before="291" w:line="271" w:lineRule="auto"/>
        <w:ind w:left="165"/>
        <w:rPr>
          <w:sz w:val="24"/>
        </w:rPr>
      </w:pPr>
      <w:r>
        <w:rPr>
          <w:b/>
          <w:sz w:val="24"/>
          <w:vertAlign w:val="superscript"/>
        </w:rPr>
        <w:lastRenderedPageBreak/>
        <w:t>2</w:t>
      </w:r>
      <w:r>
        <w:rPr>
          <w:b/>
          <w:spacing w:val="-9"/>
          <w:sz w:val="24"/>
        </w:rPr>
        <w:t xml:space="preserve"> </w:t>
      </w:r>
      <w:r>
        <w:rPr>
          <w:sz w:val="24"/>
        </w:rPr>
        <w:t>Bradbury,</w:t>
      </w:r>
      <w:r>
        <w:rPr>
          <w:spacing w:val="-3"/>
          <w:sz w:val="24"/>
        </w:rPr>
        <w:t xml:space="preserve"> </w:t>
      </w:r>
      <w:r>
        <w:rPr>
          <w:sz w:val="24"/>
        </w:rPr>
        <w:t>B.,</w:t>
      </w:r>
      <w:r>
        <w:rPr>
          <w:spacing w:val="-3"/>
          <w:sz w:val="24"/>
        </w:rPr>
        <w:t xml:space="preserve"> </w:t>
      </w:r>
      <w:r>
        <w:rPr>
          <w:sz w:val="24"/>
        </w:rPr>
        <w:t>M.</w:t>
      </w:r>
      <w:r>
        <w:rPr>
          <w:spacing w:val="-4"/>
          <w:sz w:val="24"/>
        </w:rPr>
        <w:t xml:space="preserve"> </w:t>
      </w:r>
      <w:r>
        <w:rPr>
          <w:sz w:val="24"/>
        </w:rPr>
        <w:t>Bedford</w:t>
      </w:r>
      <w:r>
        <w:rPr>
          <w:spacing w:val="-4"/>
          <w:sz w:val="24"/>
        </w:rPr>
        <w:t xml:space="preserve"> </w:t>
      </w:r>
      <w:r>
        <w:rPr>
          <w:sz w:val="24"/>
        </w:rPr>
        <w:t>and</w:t>
      </w:r>
      <w:r>
        <w:rPr>
          <w:spacing w:val="-4"/>
          <w:sz w:val="24"/>
        </w:rPr>
        <w:t xml:space="preserve"> </w:t>
      </w:r>
      <w:r>
        <w:rPr>
          <w:sz w:val="24"/>
        </w:rPr>
        <w:t>Y.</w:t>
      </w:r>
      <w:r>
        <w:rPr>
          <w:spacing w:val="-4"/>
          <w:sz w:val="24"/>
        </w:rPr>
        <w:t xml:space="preserve"> </w:t>
      </w:r>
      <w:r>
        <w:rPr>
          <w:sz w:val="24"/>
        </w:rPr>
        <w:t>Naidoo</w:t>
      </w:r>
      <w:r>
        <w:rPr>
          <w:spacing w:val="-5"/>
          <w:sz w:val="24"/>
        </w:rPr>
        <w:t xml:space="preserve"> </w:t>
      </w:r>
      <w:r>
        <w:rPr>
          <w:sz w:val="24"/>
        </w:rPr>
        <w:t xml:space="preserve">(2023), </w:t>
      </w:r>
      <w:r>
        <w:rPr>
          <w:color w:val="002F3B"/>
          <w:sz w:val="24"/>
        </w:rPr>
        <w:t>Budget</w:t>
      </w:r>
      <w:r>
        <w:rPr>
          <w:color w:val="002F3B"/>
          <w:spacing w:val="-3"/>
          <w:sz w:val="24"/>
        </w:rPr>
        <w:t xml:space="preserve"> </w:t>
      </w:r>
      <w:r>
        <w:rPr>
          <w:color w:val="002F3B"/>
          <w:sz w:val="24"/>
        </w:rPr>
        <w:t>standards</w:t>
      </w:r>
      <w:r>
        <w:rPr>
          <w:color w:val="002F3B"/>
          <w:spacing w:val="-2"/>
          <w:sz w:val="24"/>
        </w:rPr>
        <w:t xml:space="preserve"> </w:t>
      </w:r>
      <w:r>
        <w:rPr>
          <w:color w:val="002F3B"/>
          <w:sz w:val="24"/>
        </w:rPr>
        <w:t>for</w:t>
      </w:r>
      <w:r>
        <w:rPr>
          <w:color w:val="002F3B"/>
          <w:spacing w:val="-2"/>
          <w:sz w:val="24"/>
        </w:rPr>
        <w:t xml:space="preserve"> </w:t>
      </w:r>
      <w:r>
        <w:rPr>
          <w:color w:val="002F3B"/>
          <w:sz w:val="24"/>
        </w:rPr>
        <w:t>low-paid</w:t>
      </w:r>
      <w:r>
        <w:rPr>
          <w:color w:val="002F3B"/>
          <w:spacing w:val="-4"/>
          <w:sz w:val="24"/>
        </w:rPr>
        <w:t xml:space="preserve"> </w:t>
      </w:r>
      <w:r>
        <w:rPr>
          <w:color w:val="002F3B"/>
          <w:sz w:val="24"/>
        </w:rPr>
        <w:t>families,</w:t>
      </w:r>
      <w:r>
        <w:rPr>
          <w:color w:val="002F3B"/>
          <w:spacing w:val="-3"/>
          <w:sz w:val="24"/>
        </w:rPr>
        <w:t xml:space="preserve"> </w:t>
      </w:r>
      <w:r>
        <w:rPr>
          <w:color w:val="002F3B"/>
          <w:sz w:val="24"/>
        </w:rPr>
        <w:t>Social</w:t>
      </w:r>
      <w:r>
        <w:rPr>
          <w:color w:val="002F3B"/>
          <w:spacing w:val="-3"/>
          <w:sz w:val="24"/>
        </w:rPr>
        <w:t xml:space="preserve"> </w:t>
      </w:r>
      <w:r>
        <w:rPr>
          <w:color w:val="002F3B"/>
          <w:sz w:val="24"/>
        </w:rPr>
        <w:t>Policy Research Centre, University of New South Wales.</w:t>
      </w:r>
    </w:p>
    <w:p w14:paraId="048B82B2" w14:textId="77777777" w:rsidR="00811887" w:rsidRDefault="00811887" w:rsidP="00811887">
      <w:pPr>
        <w:spacing w:line="271" w:lineRule="auto"/>
        <w:rPr>
          <w:sz w:val="24"/>
        </w:rPr>
        <w:sectPr w:rsidR="00811887" w:rsidSect="00811887">
          <w:pgSz w:w="11910" w:h="16840"/>
          <w:pgMar w:top="880" w:right="721" w:bottom="1200" w:left="740" w:header="0" w:footer="1005" w:gutter="0"/>
          <w:cols w:space="720"/>
        </w:sectPr>
      </w:pPr>
    </w:p>
    <w:p w14:paraId="77218CE9" w14:textId="77777777" w:rsidR="00811887" w:rsidRDefault="00811887" w:rsidP="00811887">
      <w:pPr>
        <w:pStyle w:val="BodyText"/>
      </w:pPr>
      <w:r>
        <w:rPr>
          <w:noProof/>
        </w:rPr>
        <w:lastRenderedPageBreak/>
        <mc:AlternateContent>
          <mc:Choice Requires="wpg">
            <w:drawing>
              <wp:anchor distT="0" distB="0" distL="0" distR="0" simplePos="0" relativeHeight="251689984" behindDoc="1" locked="0" layoutInCell="1" allowOverlap="1" wp14:anchorId="3C556401" wp14:editId="32EA4884">
                <wp:simplePos x="0" y="0"/>
                <wp:positionH relativeFrom="page">
                  <wp:posOffset>0</wp:posOffset>
                </wp:positionH>
                <wp:positionV relativeFrom="page">
                  <wp:posOffset>0</wp:posOffset>
                </wp:positionV>
                <wp:extent cx="7559040" cy="10689590"/>
                <wp:effectExtent l="0" t="0" r="0" b="0"/>
                <wp:wrapNone/>
                <wp:docPr id="95" name="Group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6" name="Image 96"/>
                          <pic:cNvPicPr/>
                        </pic:nvPicPr>
                        <pic:blipFill>
                          <a:blip r:embed="rId65" cstate="print"/>
                          <a:stretch>
                            <a:fillRect/>
                          </a:stretch>
                        </pic:blipFill>
                        <pic:spPr>
                          <a:xfrm>
                            <a:off x="0" y="0"/>
                            <a:ext cx="7559040" cy="10689037"/>
                          </a:xfrm>
                          <a:prstGeom prst="rect">
                            <a:avLst/>
                          </a:prstGeom>
                        </pic:spPr>
                      </pic:pic>
                      <wps:wsp>
                        <wps:cNvPr id="97" name="Graphic 97"/>
                        <wps:cNvSpPr/>
                        <wps:spPr>
                          <a:xfrm>
                            <a:off x="792784" y="2341498"/>
                            <a:ext cx="5973445" cy="12700"/>
                          </a:xfrm>
                          <a:custGeom>
                            <a:avLst/>
                            <a:gdLst/>
                            <a:ahLst/>
                            <a:cxnLst/>
                            <a:rect l="l" t="t" r="r" b="b"/>
                            <a:pathLst>
                              <a:path w="5973445" h="12700">
                                <a:moveTo>
                                  <a:pt x="5973445" y="0"/>
                                </a:moveTo>
                                <a:lnTo>
                                  <a:pt x="0" y="0"/>
                                </a:lnTo>
                                <a:lnTo>
                                  <a:pt x="0" y="12192"/>
                                </a:lnTo>
                                <a:lnTo>
                                  <a:pt x="5973445" y="12192"/>
                                </a:lnTo>
                                <a:lnTo>
                                  <a:pt x="5973445" y="0"/>
                                </a:lnTo>
                                <a:close/>
                              </a:path>
                            </a:pathLst>
                          </a:custGeom>
                          <a:solidFill>
                            <a:srgbClr val="4D665B"/>
                          </a:solidFill>
                        </wps:spPr>
                        <wps:bodyPr wrap="square" lIns="0" tIns="0" rIns="0" bIns="0" rtlCol="0">
                          <a:prstTxWarp prst="textNoShape">
                            <a:avLst/>
                          </a:prstTxWarp>
                          <a:noAutofit/>
                        </wps:bodyPr>
                      </wps:wsp>
                    </wpg:wgp>
                  </a:graphicData>
                </a:graphic>
              </wp:anchor>
            </w:drawing>
          </mc:Choice>
          <mc:Fallback>
            <w:pict>
              <v:group w14:anchorId="25FBBE8B" id="Group 95" o:spid="_x0000_s1026" alt="&quot;&quot;" style="position:absolute;margin-left:0;margin-top:0;width:595.2pt;height:841.7pt;z-index:-251626496;mso-wrap-distance-left:0;mso-wrap-distance-right:0;mso-position-horizontal-relative:page;mso-position-vertical-relative:page" coordsize="75590,106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2iiitT5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lS2ndfliamujI+1l2UwGUUUUgCiiigAoop6QyzfcVnoA&#10;ZRUrwyw/fVkqKgAooooAKKKKACinojO21V3097OdF/1TUGhDRRRQZhRRRQAUUUUAFFS/Y59u7y2q&#10;J0ZG2tTAKKKKQBRRRQAUUVKltLN91WegCKinPC8P3lZK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9pX+vP+7WvWPpT/6Vt/2a2KDQKKKKBkGo/wDH&#10;k1YNbepPssnrEoEFOh/1qL/tU2np8jo9MzOiooopGoUUUUAc7N8krr/tUynzfPK7f32plMyCt7Tv&#10;+PJawa29NffZp/s0jQtUUUUDCsfVf+PhP92tisfVf+Pj/cWgClRRRQZGho/+tl/3a1aytHf966/7&#10;NatBoFFFFAyrqv8Ax6/8CrErb1V/9F/4FWJQAVNbf6+L/eqGprZ9lxE3+1QI36KKKBhR/BRQ/wAi&#10;O9AHNUUUUG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G9v4Waiiig1CiiigyCiiigAooooNQooooM&#10;gooooAKKKKACje38TUUUGoUUUUGQUUUUAFFFFACb3/vUtFFBqFFFFBkFFFFABRvZPu0UUGoUUUUA&#10;FFFFB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&#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yin0UAMop9FADKKfRQAyin0UA&#10;Mop9FADKKfRQAyin0UAMop9FADKKfRQAyin0UAMop9FADKKfRQAUUUU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2inUUANop1FADaKdRQA2inUUANop1FADaKdRQA2inUUANop1FADaKdRQA2inU&#10;UANop1FADaKd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P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LFh/wAfSVq1j2b7&#10;LpK26ZtEZRT6KRRDc/8AHu3+7WLWxePsgesegykFFFFBBvfwUlNhffEjf7NS0HQMop9FAGJc/wCv&#10;l/3qip0z75Xb/aptBmFath/x7/8AAqyq0tNf906/7VAQLdFPooNBlUNR+9FWlWZqT/vVX+6tApFK&#10;iiigwLWm/wDHw3+7WnWZYvsuv9+tag2iMop9FBRWvf8Aj1esitW/f/R/96sqgykFPT7yUyigo3aK&#10;VH3pup1BYyin0fcoEYM3+tb/AHqbQ/zvuooM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0;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iii&#10;gy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ciM7bVXe9ADaK0E0dtvzSqlRXOmyw/P99KDQqUUUUGYUUUUA&#10;FFFXYdNlmTe3yUGpSoq7No7Ivytvql9x9rUAFFFFBkFFFFABRVi2s5bn7v3P79WP7HbZ/rf/AB2g&#10;1M+inzQvbNtZaZQAUUUUGQUUU5IWmfaq0ANorQTR22/NL/47Ve5sJbb5vvpQaFeiiigzCiiigAoo&#10;q7DpUrpuZtlBqUqKuzaVKnzK2+qVABRRRQ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178Es1BnIJaLGdzkFkq&#10;//Nn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7" type="#_x0000_t75" style="position:absolute;width:75590;height:10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">
                  <v:imagedata r:id="rId66" o:title=""/>
                </v:shape>
                <v:shape id="Graphic 97" o:spid="_x0000_s1028" style="position:absolute;left:7927;top:23414;width:59735;height:127;visibility:visible;mso-wrap-style:square;v-text-anchor:top" coordsize="59734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" path="m5973445,l,,,12192r5973445,l5973445,xe" fillcolor="#4d665b" stroked="f">
                  <v:path arrowok="t"/>
                </v:shape>
                <w10:wrap anchorx="page" anchory="page"/>
              </v:group>
            </w:pict>
          </mc:Fallback>
        </mc:AlternateContent>
      </w:r>
    </w:p>
    <w:p w14:paraId="5D27CF93" w14:textId="77777777" w:rsidR="00811887" w:rsidRDefault="00811887" w:rsidP="00811887">
      <w:pPr>
        <w:pStyle w:val="BodyText"/>
      </w:pPr>
    </w:p>
    <w:p w14:paraId="5B532579" w14:textId="77777777" w:rsidR="00811887" w:rsidRDefault="00811887" w:rsidP="00811887">
      <w:pPr>
        <w:pStyle w:val="BodyText"/>
      </w:pPr>
    </w:p>
    <w:p w14:paraId="1FD18274" w14:textId="77777777" w:rsidR="00811887" w:rsidRDefault="00811887" w:rsidP="00811887">
      <w:pPr>
        <w:pStyle w:val="BodyText"/>
      </w:pPr>
    </w:p>
    <w:p w14:paraId="43865A68" w14:textId="77777777" w:rsidR="00811887" w:rsidRDefault="00811887" w:rsidP="00811887">
      <w:pPr>
        <w:pStyle w:val="BodyText"/>
      </w:pPr>
    </w:p>
    <w:p w14:paraId="14471F73" w14:textId="77777777" w:rsidR="00811887" w:rsidRDefault="00811887" w:rsidP="00811887">
      <w:pPr>
        <w:pStyle w:val="BodyText"/>
      </w:pPr>
    </w:p>
    <w:p w14:paraId="078E4630" w14:textId="77777777" w:rsidR="00811887" w:rsidRDefault="00811887" w:rsidP="00811887">
      <w:pPr>
        <w:pStyle w:val="BodyText"/>
      </w:pPr>
    </w:p>
    <w:p w14:paraId="782756E2" w14:textId="77777777" w:rsidR="00811887" w:rsidRDefault="00811887" w:rsidP="00811887">
      <w:pPr>
        <w:pStyle w:val="BodyText"/>
      </w:pPr>
    </w:p>
    <w:p w14:paraId="183D05D4" w14:textId="77777777" w:rsidR="00811887" w:rsidRDefault="00811887" w:rsidP="00811887">
      <w:pPr>
        <w:pStyle w:val="BodyText"/>
        <w:spacing w:before="14" w:after="1"/>
      </w:pPr>
    </w:p>
    <w:tbl>
      <w:tblPr>
        <w:tblW w:w="0" w:type="auto"/>
        <w:tblInd w:w="515" w:type="dxa"/>
        <w:tblLayout w:type="fixed"/>
        <w:tblCellMar>
          <w:left w:w="0" w:type="dxa"/>
          <w:right w:w="0" w:type="dxa"/>
        </w:tblCellMar>
        <w:tblLook w:val="01E0" w:firstRow="1" w:lastRow="1" w:firstColumn="1" w:lastColumn="1" w:noHBand="0" w:noVBand="0"/>
      </w:tblPr>
      <w:tblGrid>
        <w:gridCol w:w="9407"/>
      </w:tblGrid>
      <w:tr w:rsidR="00811887" w:rsidRPr="00FD40B8" w14:paraId="656624C9" w14:textId="77777777" w:rsidTr="00486E22">
        <w:trPr>
          <w:trHeight w:val="2844"/>
        </w:trPr>
        <w:tc>
          <w:tcPr>
            <w:tcW w:w="9407" w:type="dxa"/>
            <w:tcBorders>
              <w:bottom w:val="single" w:sz="8" w:space="0" w:color="4D665B"/>
            </w:tcBorders>
          </w:tcPr>
          <w:p w14:paraId="781554E1" w14:textId="77777777" w:rsidR="00811887" w:rsidRPr="00FD40B8" w:rsidRDefault="00811887" w:rsidP="00486E22">
            <w:pPr>
              <w:pStyle w:val="TableParagraph"/>
              <w:spacing w:before="14" w:line="228" w:lineRule="auto"/>
              <w:ind w:left="287" w:right="322" w:hanging="9"/>
              <w:jc w:val="center"/>
              <w:rPr>
                <w:rFonts w:ascii="Arial Black"/>
                <w:color w:val="131727" w:themeColor="text1"/>
                <w:sz w:val="60"/>
              </w:rPr>
            </w:pPr>
            <w:r w:rsidRPr="00FD40B8">
              <w:rPr>
                <w:rFonts w:ascii="Arial Black"/>
                <w:color w:val="131727" w:themeColor="text1"/>
                <w:spacing w:val="25"/>
                <w:w w:val="90"/>
                <w:sz w:val="60"/>
              </w:rPr>
              <w:t xml:space="preserve">ABORIGINAL </w:t>
            </w:r>
            <w:r w:rsidRPr="00FD40B8">
              <w:rPr>
                <w:rFonts w:ascii="Arial Black"/>
                <w:color w:val="131727" w:themeColor="text1"/>
                <w:spacing w:val="20"/>
                <w:w w:val="90"/>
                <w:sz w:val="60"/>
              </w:rPr>
              <w:t xml:space="preserve">AND </w:t>
            </w:r>
            <w:r w:rsidRPr="00FD40B8">
              <w:rPr>
                <w:rFonts w:ascii="Arial Black"/>
                <w:color w:val="131727" w:themeColor="text1"/>
                <w:spacing w:val="24"/>
                <w:w w:val="90"/>
                <w:sz w:val="60"/>
              </w:rPr>
              <w:t xml:space="preserve">TORRES </w:t>
            </w:r>
            <w:r w:rsidRPr="00FD40B8">
              <w:rPr>
                <w:rFonts w:ascii="Arial Black"/>
                <w:color w:val="131727" w:themeColor="text1"/>
                <w:spacing w:val="23"/>
                <w:w w:val="85"/>
                <w:sz w:val="60"/>
              </w:rPr>
              <w:t xml:space="preserve">STRAIT </w:t>
            </w:r>
            <w:r w:rsidRPr="00FD40B8">
              <w:rPr>
                <w:rFonts w:ascii="Arial Black"/>
                <w:color w:val="131727" w:themeColor="text1"/>
                <w:spacing w:val="25"/>
                <w:w w:val="85"/>
                <w:sz w:val="60"/>
              </w:rPr>
              <w:t xml:space="preserve">ISLANDER </w:t>
            </w:r>
            <w:r w:rsidRPr="00FD40B8">
              <w:rPr>
                <w:rFonts w:ascii="Arial Black"/>
                <w:color w:val="131727" w:themeColor="text1"/>
                <w:spacing w:val="24"/>
                <w:w w:val="85"/>
                <w:sz w:val="60"/>
              </w:rPr>
              <w:t xml:space="preserve">HOUSING </w:t>
            </w:r>
            <w:r w:rsidRPr="00FD40B8">
              <w:rPr>
                <w:rFonts w:ascii="Arial Black"/>
                <w:color w:val="131727" w:themeColor="text1"/>
                <w:spacing w:val="20"/>
                <w:w w:val="90"/>
                <w:sz w:val="60"/>
              </w:rPr>
              <w:t xml:space="preserve">DATA </w:t>
            </w:r>
            <w:r w:rsidRPr="00FD40B8">
              <w:rPr>
                <w:rFonts w:ascii="Arial Black"/>
                <w:color w:val="131727" w:themeColor="text1"/>
                <w:spacing w:val="23"/>
                <w:w w:val="90"/>
                <w:sz w:val="60"/>
              </w:rPr>
              <w:t>REVIEW</w:t>
            </w:r>
          </w:p>
        </w:tc>
      </w:tr>
      <w:tr w:rsidR="00811887" w:rsidRPr="00FD40B8" w14:paraId="403179A0" w14:textId="77777777" w:rsidTr="00486E22">
        <w:trPr>
          <w:trHeight w:val="737"/>
        </w:trPr>
        <w:tc>
          <w:tcPr>
            <w:tcW w:w="9407" w:type="dxa"/>
            <w:tcBorders>
              <w:top w:val="single" w:sz="8" w:space="0" w:color="4D665B"/>
            </w:tcBorders>
          </w:tcPr>
          <w:p w14:paraId="1A9E2656" w14:textId="77777777" w:rsidR="00811887" w:rsidRPr="00FD40B8" w:rsidRDefault="00811887" w:rsidP="00486E22">
            <w:pPr>
              <w:pStyle w:val="TableParagraph"/>
              <w:spacing w:before="65" w:line="326" w:lineRule="exact"/>
              <w:ind w:left="3865" w:right="485" w:hanging="2574"/>
              <w:rPr>
                <w:rFonts w:ascii="Arial Black"/>
                <w:color w:val="131727" w:themeColor="text1"/>
                <w:sz w:val="24"/>
              </w:rPr>
            </w:pPr>
            <w:r w:rsidRPr="00FD40B8">
              <w:rPr>
                <w:rFonts w:ascii="Arial Black"/>
                <w:color w:val="131727" w:themeColor="text1"/>
                <w:spacing w:val="15"/>
                <w:w w:val="85"/>
                <w:sz w:val="24"/>
              </w:rPr>
              <w:t xml:space="preserve">EQUITY </w:t>
            </w:r>
            <w:r w:rsidRPr="00FD40B8">
              <w:rPr>
                <w:rFonts w:ascii="Arial Black"/>
                <w:color w:val="131727" w:themeColor="text1"/>
                <w:spacing w:val="17"/>
                <w:w w:val="85"/>
                <w:sz w:val="24"/>
              </w:rPr>
              <w:t xml:space="preserve">ECONOMICS </w:t>
            </w:r>
            <w:r w:rsidRPr="00FD40B8">
              <w:rPr>
                <w:rFonts w:ascii="Arial Black"/>
                <w:color w:val="131727" w:themeColor="text1"/>
                <w:spacing w:val="12"/>
                <w:w w:val="85"/>
                <w:sz w:val="24"/>
              </w:rPr>
              <w:t xml:space="preserve">AND </w:t>
            </w:r>
            <w:r w:rsidRPr="00FD40B8">
              <w:rPr>
                <w:rFonts w:ascii="Arial Black"/>
                <w:color w:val="131727" w:themeColor="text1"/>
                <w:spacing w:val="17"/>
                <w:w w:val="85"/>
                <w:sz w:val="24"/>
              </w:rPr>
              <w:t xml:space="preserve">DEVELOPMENT </w:t>
            </w:r>
            <w:r w:rsidRPr="00FD40B8">
              <w:rPr>
                <w:rFonts w:ascii="Arial Black"/>
                <w:color w:val="131727" w:themeColor="text1"/>
                <w:spacing w:val="16"/>
                <w:w w:val="85"/>
                <w:sz w:val="24"/>
              </w:rPr>
              <w:t xml:space="preserve">PARTNERS </w:t>
            </w:r>
            <w:r w:rsidRPr="00FD40B8">
              <w:rPr>
                <w:rFonts w:ascii="Arial Black"/>
                <w:color w:val="131727" w:themeColor="text1"/>
                <w:spacing w:val="15"/>
                <w:w w:val="95"/>
                <w:sz w:val="24"/>
              </w:rPr>
              <w:t>MARCH 2024</w:t>
            </w:r>
          </w:p>
        </w:tc>
      </w:tr>
    </w:tbl>
    <w:p w14:paraId="4513B46F" w14:textId="77777777" w:rsidR="00811887" w:rsidRPr="00FD40B8" w:rsidRDefault="00811887" w:rsidP="00811887">
      <w:pPr>
        <w:spacing w:line="326" w:lineRule="exact"/>
        <w:rPr>
          <w:rFonts w:ascii="Arial Black"/>
          <w:color w:val="131727" w:themeColor="text1"/>
          <w:sz w:val="24"/>
        </w:rPr>
        <w:sectPr w:rsidR="00811887" w:rsidRPr="00FD40B8" w:rsidSect="00811887">
          <w:footerReference w:type="default" r:id="rId67"/>
          <w:pgSz w:w="11910" w:h="16840"/>
          <w:pgMar w:top="1920" w:right="720" w:bottom="280" w:left="740" w:header="0" w:footer="0" w:gutter="0"/>
          <w:cols w:space="720"/>
        </w:sectPr>
      </w:pPr>
    </w:p>
    <w:p w14:paraId="1FFDE0D7"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rPr>
        <w:lastRenderedPageBreak/>
        <mc:AlternateContent>
          <mc:Choice Requires="wps">
            <w:drawing>
              <wp:anchor distT="0" distB="0" distL="0" distR="0" simplePos="0" relativeHeight="251691008" behindDoc="1" locked="0" layoutInCell="1" allowOverlap="1" wp14:anchorId="60ECB4BC" wp14:editId="73DE86C1">
                <wp:simplePos x="0" y="0"/>
                <wp:positionH relativeFrom="page">
                  <wp:posOffset>0</wp:posOffset>
                </wp:positionH>
                <wp:positionV relativeFrom="page">
                  <wp:posOffset>0</wp:posOffset>
                </wp:positionV>
                <wp:extent cx="7559040" cy="10692765"/>
                <wp:effectExtent l="0" t="0" r="0" b="0"/>
                <wp:wrapNone/>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3"/>
                              </a:lnTo>
                              <a:lnTo>
                                <a:pt x="7559040" y="10692383"/>
                              </a:lnTo>
                              <a:lnTo>
                                <a:pt x="7559040" y="0"/>
                              </a:lnTo>
                              <a:close/>
                            </a:path>
                          </a:pathLst>
                        </a:custGeom>
                        <a:solidFill>
                          <a:srgbClr val="D7E4E2">
                            <a:alpha val="74900"/>
                          </a:srgbClr>
                        </a:solidFill>
                      </wps:spPr>
                      <wps:bodyPr wrap="square" lIns="0" tIns="0" rIns="0" bIns="0" rtlCol="0">
                        <a:prstTxWarp prst="textNoShape">
                          <a:avLst/>
                        </a:prstTxWarp>
                        <a:noAutofit/>
                      </wps:bodyPr>
                    </wps:wsp>
                  </a:graphicData>
                </a:graphic>
              </wp:anchor>
            </w:drawing>
          </mc:Choice>
          <mc:Fallback>
            <w:pict>
              <v:shape w14:anchorId="159E19B6" id="Graphic 98" o:spid="_x0000_s1026" alt="&quot;&quot;" style="position:absolute;margin-left:0;margin-top:0;width:595.2pt;height:841.95pt;z-index:-251625472;visibility:visible;mso-wrap-style:square;mso-wrap-distance-left:0;mso-wrap-distance-top:0;mso-wrap-distance-right:0;mso-wrap-distance-bottom:0;mso-position-horizontal:absolute;mso-position-horizontal-relative:page;mso-position-vertical:absolute;mso-position-vertical-relative:page;v-text-anchor:top" coordsize="755904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" path="m7559040,l,,,10692383r7559040,l7559040,xe" fillcolor="#d7e4e2" stroked="f">
                <v:fill opacity="49087f"/>
                <v:path arrowok="t"/>
                <w10:wrap anchorx="page" anchory="page"/>
              </v:shape>
            </w:pict>
          </mc:Fallback>
        </mc:AlternateContent>
      </w:r>
      <w:r w:rsidRPr="00FD40B8">
        <w:rPr>
          <w:noProof/>
          <w:color w:val="131727" w:themeColor="text1"/>
          <w:sz w:val="2"/>
        </w:rPr>
        <mc:AlternateContent>
          <mc:Choice Requires="wpg">
            <w:drawing>
              <wp:inline distT="0" distB="0" distL="0" distR="0" wp14:anchorId="3AE4A0FC" wp14:editId="7000BB96">
                <wp:extent cx="6016625" cy="6350"/>
                <wp:effectExtent l="0" t="0" r="0" b="0"/>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00" name="Graphic 100"/>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7AA054FE" id="Group 99"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">
                <v:shape id="Graphic 100"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" path="m6016117,l,,,6096r6016117,l6016117,xe" fillcolor="#4d665b" stroked="f">
                  <v:path arrowok="t"/>
                </v:shape>
                <w10:anchorlock/>
              </v:group>
            </w:pict>
          </mc:Fallback>
        </mc:AlternateContent>
      </w:r>
    </w:p>
    <w:p w14:paraId="69A75BC3" w14:textId="77777777" w:rsidR="00811887" w:rsidRPr="00FD40B8" w:rsidRDefault="00811887" w:rsidP="00811887">
      <w:pPr>
        <w:pStyle w:val="Heading1"/>
        <w:rPr>
          <w:color w:val="131727" w:themeColor="text1"/>
        </w:rPr>
      </w:pPr>
      <w:r w:rsidRPr="00FD40B8">
        <w:rPr>
          <w:color w:val="131727" w:themeColor="text1"/>
        </w:rPr>
        <w:t>About</w:t>
      </w:r>
      <w:r w:rsidRPr="00FD40B8">
        <w:rPr>
          <w:color w:val="131727" w:themeColor="text1"/>
          <w:spacing w:val="19"/>
        </w:rPr>
        <w:t xml:space="preserve"> </w:t>
      </w:r>
      <w:r w:rsidRPr="00FD40B8">
        <w:rPr>
          <w:color w:val="131727" w:themeColor="text1"/>
          <w:spacing w:val="-5"/>
        </w:rPr>
        <w:t>us</w:t>
      </w:r>
    </w:p>
    <w:p w14:paraId="547848DE" w14:textId="77777777" w:rsidR="00811887" w:rsidRPr="00FD40B8" w:rsidRDefault="00811887" w:rsidP="00811887">
      <w:pPr>
        <w:pStyle w:val="BodyText"/>
        <w:spacing w:before="92"/>
        <w:rPr>
          <w:rFonts w:ascii="Book Antiqua"/>
          <w:color w:val="131727" w:themeColor="text1"/>
        </w:rPr>
      </w:pPr>
      <w:r w:rsidRPr="00FD40B8">
        <w:rPr>
          <w:noProof/>
          <w:color w:val="131727" w:themeColor="text1"/>
        </w:rPr>
        <mc:AlternateContent>
          <mc:Choice Requires="wps">
            <w:drawing>
              <wp:anchor distT="0" distB="0" distL="0" distR="0" simplePos="0" relativeHeight="251725824" behindDoc="1" locked="0" layoutInCell="1" allowOverlap="1" wp14:anchorId="672953BD" wp14:editId="377E6961">
                <wp:simplePos x="0" y="0"/>
                <wp:positionH relativeFrom="page">
                  <wp:posOffset>774496</wp:posOffset>
                </wp:positionH>
                <wp:positionV relativeFrom="paragraph">
                  <wp:posOffset>231728</wp:posOffset>
                </wp:positionV>
                <wp:extent cx="6016625" cy="6350"/>
                <wp:effectExtent l="0" t="0" r="0" b="0"/>
                <wp:wrapTopAndBottom/>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3FE5CDE1" id="Graphic 101" o:spid="_x0000_s1026" alt="&quot;&quot;" style="position:absolute;margin-left:61pt;margin-top:18.25pt;width:473.75pt;height:.5pt;z-index:-251590656;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" path="m6016117,l,,,6096r6016117,l6016117,xe" fillcolor="#4d665b" stroked="f">
                <v:path arrowok="t"/>
                <w10:wrap type="topAndBottom" anchorx="page"/>
              </v:shape>
            </w:pict>
          </mc:Fallback>
        </mc:AlternateContent>
      </w:r>
    </w:p>
    <w:p w14:paraId="25903E3F" w14:textId="77777777" w:rsidR="00811887" w:rsidRPr="00FD40B8" w:rsidRDefault="00811887" w:rsidP="00811887">
      <w:pPr>
        <w:pStyle w:val="BodyText"/>
        <w:spacing w:before="46" w:after="1"/>
        <w:rPr>
          <w:rFonts w:ascii="Book Antiqua"/>
          <w:color w:val="131727" w:themeColor="text1"/>
        </w:rPr>
      </w:pPr>
    </w:p>
    <w:tbl>
      <w:tblPr>
        <w:tblW w:w="0" w:type="auto"/>
        <w:tblInd w:w="465" w:type="dxa"/>
        <w:tblLayout w:type="fixed"/>
        <w:tblCellMar>
          <w:left w:w="0" w:type="dxa"/>
          <w:right w:w="0" w:type="dxa"/>
        </w:tblCellMar>
        <w:tblLook w:val="01E0" w:firstRow="1" w:lastRow="1" w:firstColumn="1" w:lastColumn="1" w:noHBand="0" w:noVBand="0"/>
      </w:tblPr>
      <w:tblGrid>
        <w:gridCol w:w="6475"/>
        <w:gridCol w:w="2757"/>
      </w:tblGrid>
      <w:tr w:rsidR="00811887" w:rsidRPr="00FD40B8" w14:paraId="7DE2DB85" w14:textId="77777777" w:rsidTr="00486E22">
        <w:trPr>
          <w:trHeight w:val="3012"/>
        </w:trPr>
        <w:tc>
          <w:tcPr>
            <w:tcW w:w="6475" w:type="dxa"/>
          </w:tcPr>
          <w:p w14:paraId="29B0C94F" w14:textId="77777777" w:rsidR="00811887" w:rsidRPr="00FD40B8" w:rsidRDefault="00811887" w:rsidP="00486E22">
            <w:pPr>
              <w:pStyle w:val="TableParagraph"/>
              <w:spacing w:line="331" w:lineRule="exact"/>
              <w:ind w:left="50"/>
              <w:rPr>
                <w:rFonts w:ascii="Arial Black"/>
                <w:color w:val="131727" w:themeColor="text1"/>
                <w:sz w:val="24"/>
              </w:rPr>
            </w:pPr>
            <w:r w:rsidRPr="00FD40B8">
              <w:rPr>
                <w:rFonts w:ascii="Arial Black"/>
                <w:color w:val="131727" w:themeColor="text1"/>
                <w:spacing w:val="18"/>
                <w:w w:val="85"/>
                <w:sz w:val="24"/>
              </w:rPr>
              <w:t>ABO</w:t>
            </w:r>
            <w:r w:rsidRPr="00FD40B8">
              <w:rPr>
                <w:rFonts w:ascii="Arial Black"/>
                <w:color w:val="131727" w:themeColor="text1"/>
                <w:spacing w:val="-35"/>
                <w:w w:val="85"/>
                <w:sz w:val="24"/>
              </w:rPr>
              <w:t xml:space="preserve"> </w:t>
            </w:r>
            <w:r w:rsidRPr="00FD40B8">
              <w:rPr>
                <w:rFonts w:ascii="Arial Black"/>
                <w:color w:val="131727" w:themeColor="text1"/>
                <w:spacing w:val="14"/>
                <w:w w:val="85"/>
                <w:sz w:val="24"/>
              </w:rPr>
              <w:t>UT</w:t>
            </w:r>
            <w:r w:rsidRPr="00FD40B8">
              <w:rPr>
                <w:rFonts w:ascii="Arial Black"/>
                <w:color w:val="131727" w:themeColor="text1"/>
                <w:spacing w:val="47"/>
                <w:sz w:val="24"/>
              </w:rPr>
              <w:t xml:space="preserve"> </w:t>
            </w:r>
            <w:r w:rsidRPr="00FD40B8">
              <w:rPr>
                <w:rFonts w:ascii="Arial Black"/>
                <w:color w:val="131727" w:themeColor="text1"/>
                <w:w w:val="85"/>
                <w:sz w:val="24"/>
              </w:rPr>
              <w:t>E</w:t>
            </w:r>
            <w:r w:rsidRPr="00FD40B8">
              <w:rPr>
                <w:rFonts w:ascii="Arial Black"/>
                <w:color w:val="131727" w:themeColor="text1"/>
                <w:spacing w:val="-32"/>
                <w:w w:val="85"/>
                <w:sz w:val="24"/>
              </w:rPr>
              <w:t xml:space="preserve"> </w:t>
            </w:r>
            <w:r w:rsidRPr="00FD40B8">
              <w:rPr>
                <w:rFonts w:ascii="Arial Black"/>
                <w:color w:val="131727" w:themeColor="text1"/>
                <w:spacing w:val="13"/>
                <w:w w:val="85"/>
                <w:sz w:val="24"/>
              </w:rPr>
              <w:t>QU</w:t>
            </w:r>
            <w:r w:rsidRPr="00FD40B8">
              <w:rPr>
                <w:rFonts w:ascii="Arial Black"/>
                <w:color w:val="131727" w:themeColor="text1"/>
                <w:spacing w:val="-34"/>
                <w:w w:val="85"/>
                <w:sz w:val="24"/>
              </w:rPr>
              <w:t xml:space="preserve"> </w:t>
            </w:r>
            <w:r w:rsidRPr="00FD40B8">
              <w:rPr>
                <w:rFonts w:ascii="Arial Black"/>
                <w:color w:val="131727" w:themeColor="text1"/>
                <w:spacing w:val="18"/>
                <w:w w:val="85"/>
                <w:sz w:val="24"/>
              </w:rPr>
              <w:t>ITY</w:t>
            </w:r>
            <w:r w:rsidRPr="00FD40B8">
              <w:rPr>
                <w:rFonts w:ascii="Arial Black"/>
                <w:color w:val="131727" w:themeColor="text1"/>
                <w:spacing w:val="56"/>
                <w:sz w:val="24"/>
              </w:rPr>
              <w:t xml:space="preserve"> </w:t>
            </w:r>
            <w:r w:rsidRPr="00FD40B8">
              <w:rPr>
                <w:rFonts w:ascii="Arial Black"/>
                <w:color w:val="131727" w:themeColor="text1"/>
                <w:spacing w:val="14"/>
                <w:w w:val="85"/>
                <w:sz w:val="24"/>
              </w:rPr>
              <w:t>EC</w:t>
            </w:r>
            <w:r w:rsidRPr="00FD40B8">
              <w:rPr>
                <w:rFonts w:ascii="Arial Black"/>
                <w:color w:val="131727" w:themeColor="text1"/>
                <w:spacing w:val="-35"/>
                <w:w w:val="85"/>
                <w:sz w:val="24"/>
              </w:rPr>
              <w:t xml:space="preserve"> </w:t>
            </w:r>
            <w:r w:rsidRPr="00FD40B8">
              <w:rPr>
                <w:rFonts w:ascii="Arial Black"/>
                <w:color w:val="131727" w:themeColor="text1"/>
                <w:w w:val="85"/>
                <w:sz w:val="24"/>
              </w:rPr>
              <w:t>O</w:t>
            </w:r>
            <w:r w:rsidRPr="00FD40B8">
              <w:rPr>
                <w:rFonts w:ascii="Arial Black"/>
                <w:color w:val="131727" w:themeColor="text1"/>
                <w:spacing w:val="-35"/>
                <w:w w:val="85"/>
                <w:sz w:val="24"/>
              </w:rPr>
              <w:t xml:space="preserve"> </w:t>
            </w:r>
            <w:r w:rsidRPr="00FD40B8">
              <w:rPr>
                <w:rFonts w:ascii="Arial Black"/>
                <w:color w:val="131727" w:themeColor="text1"/>
                <w:spacing w:val="13"/>
                <w:w w:val="85"/>
                <w:sz w:val="24"/>
              </w:rPr>
              <w:t>NO</w:t>
            </w:r>
            <w:r w:rsidRPr="00FD40B8">
              <w:rPr>
                <w:rFonts w:ascii="Arial Black"/>
                <w:color w:val="131727" w:themeColor="text1"/>
                <w:spacing w:val="-34"/>
                <w:w w:val="85"/>
                <w:sz w:val="24"/>
              </w:rPr>
              <w:t xml:space="preserve"> </w:t>
            </w:r>
            <w:r w:rsidRPr="00FD40B8">
              <w:rPr>
                <w:rFonts w:ascii="Arial Black"/>
                <w:color w:val="131727" w:themeColor="text1"/>
                <w:spacing w:val="18"/>
                <w:w w:val="85"/>
                <w:sz w:val="24"/>
              </w:rPr>
              <w:t>MIC</w:t>
            </w:r>
            <w:r w:rsidRPr="00FD40B8">
              <w:rPr>
                <w:rFonts w:ascii="Arial Black"/>
                <w:color w:val="131727" w:themeColor="text1"/>
                <w:spacing w:val="-36"/>
                <w:w w:val="85"/>
                <w:sz w:val="24"/>
              </w:rPr>
              <w:t xml:space="preserve"> </w:t>
            </w:r>
            <w:r w:rsidRPr="00FD40B8">
              <w:rPr>
                <w:rFonts w:ascii="Arial Black"/>
                <w:color w:val="131727" w:themeColor="text1"/>
                <w:spacing w:val="-10"/>
                <w:w w:val="85"/>
                <w:sz w:val="24"/>
              </w:rPr>
              <w:t>S</w:t>
            </w:r>
          </w:p>
          <w:p w14:paraId="7E27AE0B" w14:textId="77777777" w:rsidR="00811887" w:rsidRPr="00FD40B8" w:rsidRDefault="00811887" w:rsidP="00486E22">
            <w:pPr>
              <w:pStyle w:val="TableParagraph"/>
              <w:spacing w:before="39" w:line="228" w:lineRule="auto"/>
              <w:ind w:left="50"/>
              <w:rPr>
                <w:rFonts w:ascii="Book Antiqua"/>
                <w:b/>
                <w:i/>
                <w:color w:val="131727" w:themeColor="text1"/>
              </w:rPr>
            </w:pPr>
            <w:r w:rsidRPr="00FD40B8">
              <w:rPr>
                <w:rFonts w:ascii="Book Antiqua"/>
                <w:b/>
                <w:i/>
                <w:color w:val="131727" w:themeColor="text1"/>
              </w:rPr>
              <w:t>Equity</w:t>
            </w:r>
            <w:r w:rsidRPr="00FD40B8">
              <w:rPr>
                <w:rFonts w:ascii="Book Antiqua"/>
                <w:b/>
                <w:i/>
                <w:color w:val="131727" w:themeColor="text1"/>
                <w:spacing w:val="-5"/>
              </w:rPr>
              <w:t xml:space="preserve"> </w:t>
            </w:r>
            <w:r w:rsidRPr="00FD40B8">
              <w:rPr>
                <w:rFonts w:ascii="Book Antiqua"/>
                <w:b/>
                <w:i/>
                <w:color w:val="131727" w:themeColor="text1"/>
              </w:rPr>
              <w:t>Economics</w:t>
            </w:r>
            <w:r w:rsidRPr="00FD40B8">
              <w:rPr>
                <w:rFonts w:ascii="Book Antiqua"/>
                <w:b/>
                <w:i/>
                <w:color w:val="131727" w:themeColor="text1"/>
                <w:spacing w:val="-5"/>
              </w:rPr>
              <w:t xml:space="preserve"> </w:t>
            </w:r>
            <w:r w:rsidRPr="00FD40B8">
              <w:rPr>
                <w:rFonts w:ascii="Book Antiqua"/>
                <w:b/>
                <w:i/>
                <w:color w:val="131727" w:themeColor="text1"/>
              </w:rPr>
              <w:t>is</w:t>
            </w:r>
            <w:r w:rsidRPr="00FD40B8">
              <w:rPr>
                <w:rFonts w:ascii="Book Antiqua"/>
                <w:b/>
                <w:i/>
                <w:color w:val="131727" w:themeColor="text1"/>
                <w:spacing w:val="-5"/>
              </w:rPr>
              <w:t xml:space="preserve"> </w:t>
            </w:r>
            <w:r w:rsidRPr="00FD40B8">
              <w:rPr>
                <w:rFonts w:ascii="Book Antiqua"/>
                <w:b/>
                <w:i/>
                <w:color w:val="131727" w:themeColor="text1"/>
              </w:rPr>
              <w:t>an</w:t>
            </w:r>
            <w:r w:rsidRPr="00FD40B8">
              <w:rPr>
                <w:rFonts w:ascii="Book Antiqua"/>
                <w:b/>
                <w:i/>
                <w:color w:val="131727" w:themeColor="text1"/>
                <w:spacing w:val="-6"/>
              </w:rPr>
              <w:t xml:space="preserve"> </w:t>
            </w:r>
            <w:r w:rsidRPr="00FD40B8">
              <w:rPr>
                <w:rFonts w:ascii="Book Antiqua"/>
                <w:b/>
                <w:i/>
                <w:color w:val="131727" w:themeColor="text1"/>
              </w:rPr>
              <w:t>economic</w:t>
            </w:r>
            <w:r w:rsidRPr="00FD40B8">
              <w:rPr>
                <w:rFonts w:ascii="Book Antiqua"/>
                <w:b/>
                <w:i/>
                <w:color w:val="131727" w:themeColor="text1"/>
                <w:spacing w:val="-5"/>
              </w:rPr>
              <w:t xml:space="preserve"> </w:t>
            </w:r>
            <w:r w:rsidRPr="00FD40B8">
              <w:rPr>
                <w:rFonts w:ascii="Book Antiqua"/>
                <w:b/>
                <w:i/>
                <w:color w:val="131727" w:themeColor="text1"/>
              </w:rPr>
              <w:t>and</w:t>
            </w:r>
            <w:r w:rsidRPr="00FD40B8">
              <w:rPr>
                <w:rFonts w:ascii="Book Antiqua"/>
                <w:b/>
                <w:i/>
                <w:color w:val="131727" w:themeColor="text1"/>
                <w:spacing w:val="-6"/>
              </w:rPr>
              <w:t xml:space="preserve"> </w:t>
            </w:r>
            <w:r w:rsidRPr="00FD40B8">
              <w:rPr>
                <w:rFonts w:ascii="Book Antiqua"/>
                <w:b/>
                <w:i/>
                <w:color w:val="131727" w:themeColor="text1"/>
              </w:rPr>
              <w:t>social</w:t>
            </w:r>
            <w:r w:rsidRPr="00FD40B8">
              <w:rPr>
                <w:rFonts w:ascii="Book Antiqua"/>
                <w:b/>
                <w:i/>
                <w:color w:val="131727" w:themeColor="text1"/>
                <w:spacing w:val="-9"/>
              </w:rPr>
              <w:t xml:space="preserve"> </w:t>
            </w:r>
            <w:r w:rsidRPr="00FD40B8">
              <w:rPr>
                <w:rFonts w:ascii="Book Antiqua"/>
                <w:b/>
                <w:i/>
                <w:color w:val="131727" w:themeColor="text1"/>
              </w:rPr>
              <w:t>policy</w:t>
            </w:r>
            <w:r w:rsidRPr="00FD40B8">
              <w:rPr>
                <w:rFonts w:ascii="Book Antiqua"/>
                <w:b/>
                <w:i/>
                <w:color w:val="131727" w:themeColor="text1"/>
                <w:spacing w:val="-1"/>
              </w:rPr>
              <w:t xml:space="preserve"> </w:t>
            </w:r>
            <w:r w:rsidRPr="00FD40B8">
              <w:rPr>
                <w:rFonts w:ascii="Book Antiqua"/>
                <w:b/>
                <w:i/>
                <w:color w:val="131727" w:themeColor="text1"/>
              </w:rPr>
              <w:t>consulting firm, providing analysis, policy development, design and evaluation services to government, private sector and non- government clients.</w:t>
            </w:r>
          </w:p>
          <w:p w14:paraId="534CCDBD" w14:textId="77777777" w:rsidR="00811887" w:rsidRPr="00FD40B8" w:rsidRDefault="00811887" w:rsidP="00486E22">
            <w:pPr>
              <w:pStyle w:val="TableParagraph"/>
              <w:spacing w:before="190" w:line="233" w:lineRule="auto"/>
              <w:ind w:left="51" w:right="386"/>
              <w:rPr>
                <w:rFonts w:ascii="Book Antiqua"/>
                <w:color w:val="131727" w:themeColor="text1"/>
                <w:sz w:val="20"/>
              </w:rPr>
            </w:pPr>
            <w:r w:rsidRPr="00FD40B8">
              <w:rPr>
                <w:rFonts w:ascii="Book Antiqua"/>
                <w:color w:val="131727" w:themeColor="text1"/>
                <w:sz w:val="20"/>
              </w:rPr>
              <w:t>We specialise</w:t>
            </w:r>
            <w:r w:rsidRPr="00FD40B8">
              <w:rPr>
                <w:rFonts w:ascii="Book Antiqua"/>
                <w:color w:val="131727" w:themeColor="text1"/>
                <w:spacing w:val="-1"/>
                <w:sz w:val="20"/>
              </w:rPr>
              <w:t xml:space="preserve"> </w:t>
            </w:r>
            <w:r w:rsidRPr="00FD40B8">
              <w:rPr>
                <w:rFonts w:ascii="Book Antiqua"/>
                <w:color w:val="131727" w:themeColor="text1"/>
                <w:sz w:val="20"/>
              </w:rPr>
              <w:t>in economic and social</w:t>
            </w:r>
            <w:r w:rsidRPr="00FD40B8">
              <w:rPr>
                <w:rFonts w:ascii="Book Antiqua"/>
                <w:color w:val="131727" w:themeColor="text1"/>
                <w:spacing w:val="-2"/>
                <w:sz w:val="20"/>
              </w:rPr>
              <w:t xml:space="preserve"> </w:t>
            </w:r>
            <w:r w:rsidRPr="00FD40B8">
              <w:rPr>
                <w:rFonts w:ascii="Book Antiqua"/>
                <w:color w:val="131727" w:themeColor="text1"/>
                <w:sz w:val="20"/>
              </w:rPr>
              <w:t>policy, applied</w:t>
            </w:r>
            <w:r w:rsidRPr="00FD40B8">
              <w:rPr>
                <w:rFonts w:ascii="Book Antiqua"/>
                <w:color w:val="131727" w:themeColor="text1"/>
                <w:spacing w:val="-4"/>
                <w:sz w:val="20"/>
              </w:rPr>
              <w:t xml:space="preserve"> </w:t>
            </w:r>
            <w:r w:rsidRPr="00FD40B8">
              <w:rPr>
                <w:rFonts w:ascii="Book Antiqua"/>
                <w:color w:val="131727" w:themeColor="text1"/>
                <w:sz w:val="20"/>
              </w:rPr>
              <w:t>domestically and internationally across the Asia Pacific region. We combine technical</w:t>
            </w:r>
            <w:r w:rsidRPr="00FD40B8">
              <w:rPr>
                <w:rFonts w:ascii="Book Antiqua"/>
                <w:color w:val="131727" w:themeColor="text1"/>
                <w:spacing w:val="-8"/>
                <w:sz w:val="20"/>
              </w:rPr>
              <w:t xml:space="preserve"> </w:t>
            </w:r>
            <w:r w:rsidRPr="00FD40B8">
              <w:rPr>
                <w:rFonts w:ascii="Book Antiqua"/>
                <w:color w:val="131727" w:themeColor="text1"/>
                <w:sz w:val="20"/>
              </w:rPr>
              <w:t>economic</w:t>
            </w:r>
            <w:r w:rsidRPr="00FD40B8">
              <w:rPr>
                <w:rFonts w:ascii="Book Antiqua"/>
                <w:color w:val="131727" w:themeColor="text1"/>
                <w:spacing w:val="-5"/>
                <w:sz w:val="20"/>
              </w:rPr>
              <w:t xml:space="preserve"> </w:t>
            </w:r>
            <w:r w:rsidRPr="00FD40B8">
              <w:rPr>
                <w:rFonts w:ascii="Book Antiqua"/>
                <w:color w:val="131727" w:themeColor="text1"/>
                <w:sz w:val="20"/>
              </w:rPr>
              <w:t>skills</w:t>
            </w:r>
            <w:r w:rsidRPr="00FD40B8">
              <w:rPr>
                <w:rFonts w:ascii="Book Antiqua"/>
                <w:color w:val="131727" w:themeColor="text1"/>
                <w:spacing w:val="-2"/>
                <w:sz w:val="20"/>
              </w:rPr>
              <w:t xml:space="preserve"> </w:t>
            </w:r>
            <w:r w:rsidRPr="00FD40B8">
              <w:rPr>
                <w:rFonts w:ascii="Book Antiqua"/>
                <w:color w:val="131727" w:themeColor="text1"/>
                <w:sz w:val="20"/>
              </w:rPr>
              <w:t>with</w:t>
            </w:r>
            <w:r w:rsidRPr="00FD40B8">
              <w:rPr>
                <w:rFonts w:ascii="Book Antiqua"/>
                <w:color w:val="131727" w:themeColor="text1"/>
                <w:spacing w:val="-4"/>
                <w:sz w:val="20"/>
              </w:rPr>
              <w:t xml:space="preserve"> </w:t>
            </w:r>
            <w:r w:rsidRPr="00FD40B8">
              <w:rPr>
                <w:rFonts w:ascii="Book Antiqua"/>
                <w:color w:val="131727" w:themeColor="text1"/>
                <w:sz w:val="20"/>
              </w:rPr>
              <w:t>policy</w:t>
            </w:r>
            <w:r w:rsidRPr="00FD40B8">
              <w:rPr>
                <w:rFonts w:ascii="Book Antiqua"/>
                <w:color w:val="131727" w:themeColor="text1"/>
                <w:spacing w:val="-4"/>
                <w:sz w:val="20"/>
              </w:rPr>
              <w:t xml:space="preserve"> </w:t>
            </w:r>
            <w:r w:rsidRPr="00FD40B8">
              <w:rPr>
                <w:rFonts w:ascii="Book Antiqua"/>
                <w:color w:val="131727" w:themeColor="text1"/>
                <w:sz w:val="20"/>
              </w:rPr>
              <w:t>expertise,</w:t>
            </w:r>
            <w:r w:rsidRPr="00FD40B8">
              <w:rPr>
                <w:rFonts w:ascii="Book Antiqua"/>
                <w:color w:val="131727" w:themeColor="text1"/>
                <w:spacing w:val="-5"/>
                <w:sz w:val="20"/>
              </w:rPr>
              <w:t xml:space="preserve"> </w:t>
            </w:r>
            <w:r w:rsidRPr="00FD40B8">
              <w:rPr>
                <w:rFonts w:ascii="Book Antiqua"/>
                <w:color w:val="131727" w:themeColor="text1"/>
                <w:sz w:val="20"/>
              </w:rPr>
              <w:t>helping</w:t>
            </w:r>
            <w:r w:rsidRPr="00FD40B8">
              <w:rPr>
                <w:rFonts w:ascii="Book Antiqua"/>
                <w:color w:val="131727" w:themeColor="text1"/>
                <w:spacing w:val="-8"/>
                <w:sz w:val="20"/>
              </w:rPr>
              <w:t xml:space="preserve"> </w:t>
            </w:r>
            <w:r w:rsidRPr="00FD40B8">
              <w:rPr>
                <w:rFonts w:ascii="Book Antiqua"/>
                <w:color w:val="131727" w:themeColor="text1"/>
                <w:sz w:val="20"/>
              </w:rPr>
              <w:t>our</w:t>
            </w:r>
            <w:r w:rsidRPr="00FD40B8">
              <w:rPr>
                <w:rFonts w:ascii="Book Antiqua"/>
                <w:color w:val="131727" w:themeColor="text1"/>
                <w:spacing w:val="-5"/>
                <w:sz w:val="20"/>
              </w:rPr>
              <w:t xml:space="preserve"> </w:t>
            </w:r>
            <w:r w:rsidRPr="00FD40B8">
              <w:rPr>
                <w:rFonts w:ascii="Book Antiqua"/>
                <w:color w:val="131727" w:themeColor="text1"/>
                <w:sz w:val="20"/>
              </w:rPr>
              <w:t>clients contribute to a more inclusive, equitable society. Our work addresses the persistent challenge of social and economic</w:t>
            </w:r>
          </w:p>
          <w:p w14:paraId="447D9B4F" w14:textId="77777777" w:rsidR="00811887" w:rsidRPr="00FD40B8" w:rsidRDefault="00811887" w:rsidP="00486E22">
            <w:pPr>
              <w:pStyle w:val="TableParagraph"/>
              <w:spacing w:line="218" w:lineRule="exact"/>
              <w:ind w:left="50"/>
              <w:rPr>
                <w:rFonts w:ascii="Book Antiqua"/>
                <w:color w:val="131727" w:themeColor="text1"/>
                <w:sz w:val="20"/>
              </w:rPr>
            </w:pPr>
            <w:r w:rsidRPr="00FD40B8">
              <w:rPr>
                <w:rFonts w:ascii="Book Antiqua"/>
                <w:color w:val="131727" w:themeColor="text1"/>
                <w:sz w:val="20"/>
              </w:rPr>
              <w:t>disadvantage,</w:t>
            </w:r>
            <w:r w:rsidRPr="00FD40B8">
              <w:rPr>
                <w:rFonts w:ascii="Book Antiqua"/>
                <w:color w:val="131727" w:themeColor="text1"/>
                <w:spacing w:val="-8"/>
                <w:sz w:val="20"/>
              </w:rPr>
              <w:t xml:space="preserve"> </w:t>
            </w:r>
            <w:r w:rsidRPr="00FD40B8">
              <w:rPr>
                <w:rFonts w:ascii="Book Antiqua"/>
                <w:color w:val="131727" w:themeColor="text1"/>
                <w:sz w:val="20"/>
              </w:rPr>
              <w:t>through</w:t>
            </w:r>
            <w:r w:rsidRPr="00FD40B8">
              <w:rPr>
                <w:rFonts w:ascii="Book Antiqua"/>
                <w:color w:val="131727" w:themeColor="text1"/>
                <w:spacing w:val="-12"/>
                <w:sz w:val="20"/>
              </w:rPr>
              <w:t xml:space="preserve"> </w:t>
            </w:r>
            <w:r w:rsidRPr="00FD40B8">
              <w:rPr>
                <w:rFonts w:ascii="Book Antiqua"/>
                <w:color w:val="131727" w:themeColor="text1"/>
                <w:sz w:val="20"/>
              </w:rPr>
              <w:t>new</w:t>
            </w:r>
            <w:r w:rsidRPr="00FD40B8">
              <w:rPr>
                <w:rFonts w:ascii="Book Antiqua"/>
                <w:color w:val="131727" w:themeColor="text1"/>
                <w:spacing w:val="-7"/>
                <w:sz w:val="20"/>
              </w:rPr>
              <w:t xml:space="preserve"> </w:t>
            </w:r>
            <w:r w:rsidRPr="00FD40B8">
              <w:rPr>
                <w:rFonts w:ascii="Book Antiqua"/>
                <w:color w:val="131727" w:themeColor="text1"/>
                <w:sz w:val="20"/>
              </w:rPr>
              <w:t>and</w:t>
            </w:r>
            <w:r w:rsidRPr="00FD40B8">
              <w:rPr>
                <w:rFonts w:ascii="Book Antiqua"/>
                <w:color w:val="131727" w:themeColor="text1"/>
                <w:spacing w:val="-4"/>
                <w:sz w:val="20"/>
              </w:rPr>
              <w:t xml:space="preserve"> </w:t>
            </w:r>
            <w:r w:rsidRPr="00FD40B8">
              <w:rPr>
                <w:rFonts w:ascii="Book Antiqua"/>
                <w:color w:val="131727" w:themeColor="text1"/>
                <w:sz w:val="20"/>
              </w:rPr>
              <w:t>practical</w:t>
            </w:r>
            <w:r w:rsidRPr="00FD40B8">
              <w:rPr>
                <w:rFonts w:ascii="Book Antiqua"/>
                <w:color w:val="131727" w:themeColor="text1"/>
                <w:spacing w:val="-11"/>
                <w:sz w:val="20"/>
              </w:rPr>
              <w:t xml:space="preserve"> </w:t>
            </w:r>
            <w:r w:rsidRPr="00FD40B8">
              <w:rPr>
                <w:rFonts w:ascii="Book Antiqua"/>
                <w:color w:val="131727" w:themeColor="text1"/>
                <w:spacing w:val="-2"/>
                <w:sz w:val="20"/>
              </w:rPr>
              <w:t>solutions.</w:t>
            </w:r>
          </w:p>
        </w:tc>
        <w:tc>
          <w:tcPr>
            <w:tcW w:w="2757" w:type="dxa"/>
          </w:tcPr>
          <w:p w14:paraId="21BC02C3" w14:textId="77777777" w:rsidR="00811887" w:rsidRPr="00FD40B8" w:rsidRDefault="00811887" w:rsidP="00486E22">
            <w:pPr>
              <w:pStyle w:val="TableParagraph"/>
              <w:spacing w:before="1" w:line="240" w:lineRule="auto"/>
              <w:rPr>
                <w:rFonts w:ascii="Book Antiqua"/>
                <w:color w:val="131727" w:themeColor="text1"/>
                <w:sz w:val="5"/>
              </w:rPr>
            </w:pPr>
          </w:p>
          <w:p w14:paraId="44C2BD3E" w14:textId="77777777" w:rsidR="00811887" w:rsidRPr="00FD40B8" w:rsidRDefault="00811887" w:rsidP="00486E22">
            <w:pPr>
              <w:pStyle w:val="TableParagraph"/>
              <w:spacing w:line="240" w:lineRule="auto"/>
              <w:ind w:left="354"/>
              <w:rPr>
                <w:rFonts w:ascii="Book Antiqua"/>
                <w:color w:val="131727" w:themeColor="text1"/>
                <w:sz w:val="20"/>
              </w:rPr>
            </w:pPr>
            <w:r w:rsidRPr="00FD40B8">
              <w:rPr>
                <w:rFonts w:ascii="Book Antiqua"/>
                <w:noProof/>
                <w:color w:val="131727" w:themeColor="text1"/>
                <w:sz w:val="20"/>
              </w:rPr>
              <w:drawing>
                <wp:inline distT="0" distB="0" distL="0" distR="0" wp14:anchorId="079D816A" wp14:editId="407A6473">
                  <wp:extent cx="1489237" cy="896112"/>
                  <wp:effectExtent l="0" t="0" r="0" b="0"/>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1489237" cy="896112"/>
                          </a:xfrm>
                          <a:prstGeom prst="rect">
                            <a:avLst/>
                          </a:prstGeom>
                        </pic:spPr>
                      </pic:pic>
                    </a:graphicData>
                  </a:graphic>
                </wp:inline>
              </w:drawing>
            </w:r>
          </w:p>
        </w:tc>
      </w:tr>
    </w:tbl>
    <w:p w14:paraId="030C8205" w14:textId="77777777" w:rsidR="00811887" w:rsidRPr="00FD40B8" w:rsidRDefault="00811887" w:rsidP="00811887">
      <w:pPr>
        <w:pStyle w:val="BodyText"/>
        <w:rPr>
          <w:rFonts w:ascii="Book Antiqua"/>
          <w:color w:val="131727" w:themeColor="text1"/>
        </w:rPr>
      </w:pPr>
    </w:p>
    <w:p w14:paraId="11E4A14F" w14:textId="77777777" w:rsidR="00811887" w:rsidRPr="00FD40B8" w:rsidRDefault="00811887" w:rsidP="00811887">
      <w:pPr>
        <w:pStyle w:val="BodyText"/>
        <w:rPr>
          <w:rFonts w:ascii="Book Antiqua"/>
          <w:color w:val="131727" w:themeColor="text1"/>
        </w:rPr>
      </w:pPr>
    </w:p>
    <w:p w14:paraId="0B0CFC9E" w14:textId="77777777" w:rsidR="00811887" w:rsidRPr="00FD40B8" w:rsidRDefault="00811887" w:rsidP="00811887">
      <w:pPr>
        <w:pStyle w:val="BodyText"/>
        <w:rPr>
          <w:rFonts w:ascii="Book Antiqua"/>
          <w:color w:val="131727" w:themeColor="text1"/>
        </w:rPr>
      </w:pPr>
    </w:p>
    <w:p w14:paraId="0C43E443" w14:textId="77777777" w:rsidR="00811887" w:rsidRPr="00FD40B8" w:rsidRDefault="00811887" w:rsidP="00811887">
      <w:pPr>
        <w:pStyle w:val="BodyText"/>
        <w:spacing w:before="14"/>
        <w:rPr>
          <w:rFonts w:ascii="Book Antiqua"/>
          <w:color w:val="131727" w:themeColor="text1"/>
        </w:rPr>
      </w:pPr>
    </w:p>
    <w:p w14:paraId="23988DEC" w14:textId="77777777" w:rsidR="00811887" w:rsidRPr="00C36DB9" w:rsidRDefault="00811887" w:rsidP="00811887">
      <w:pPr>
        <w:spacing w:before="65"/>
        <w:ind w:left="567"/>
        <w:rPr>
          <w:rFonts w:ascii="Arial Black"/>
        </w:rPr>
      </w:pPr>
      <w:r w:rsidRPr="00C36DB9">
        <w:rPr>
          <w:rFonts w:ascii="Arial Black"/>
          <w:spacing w:val="17"/>
          <w:w w:val="85"/>
        </w:rPr>
        <w:t>ACKNOWLEDGEMENT</w:t>
      </w:r>
      <w:r w:rsidRPr="00C36DB9">
        <w:rPr>
          <w:rFonts w:ascii="Arial Black"/>
          <w:spacing w:val="55"/>
        </w:rPr>
        <w:t xml:space="preserve"> </w:t>
      </w:r>
      <w:r w:rsidRPr="00C36DB9">
        <w:rPr>
          <w:rFonts w:ascii="Arial Black"/>
          <w:w w:val="85"/>
        </w:rPr>
        <w:t>OF</w:t>
      </w:r>
      <w:r w:rsidRPr="00C36DB9">
        <w:rPr>
          <w:rFonts w:ascii="Arial Black"/>
          <w:spacing w:val="57"/>
        </w:rPr>
        <w:t xml:space="preserve"> </w:t>
      </w:r>
      <w:r w:rsidRPr="00C36DB9">
        <w:rPr>
          <w:rFonts w:ascii="Arial Black"/>
          <w:spacing w:val="13"/>
          <w:w w:val="85"/>
        </w:rPr>
        <w:t>COUNTRY</w:t>
      </w:r>
    </w:p>
    <w:p w14:paraId="2E895753" w14:textId="77777777" w:rsidR="00811887" w:rsidRPr="00C36DB9" w:rsidRDefault="00811887" w:rsidP="00811887">
      <w:pPr>
        <w:spacing w:before="110" w:line="257" w:lineRule="auto"/>
        <w:ind w:left="567" w:right="3969"/>
        <w:rPr>
          <w:rFonts w:ascii="Book Antiqua" w:hAnsi="Book Antiqua"/>
          <w:sz w:val="18"/>
        </w:rPr>
      </w:pPr>
      <w:r w:rsidRPr="00C36DB9">
        <w:rPr>
          <w:rFonts w:ascii="Book Antiqua" w:hAnsi="Book Antiqua"/>
          <w:sz w:val="18"/>
        </w:rPr>
        <w:t>Equity Economics acknowledges Aboriginal and Torres Strait Islander peoples</w:t>
      </w:r>
      <w:r w:rsidRPr="00C36DB9">
        <w:rPr>
          <w:rFonts w:ascii="Book Antiqua" w:hAnsi="Book Antiqua"/>
          <w:spacing w:val="-2"/>
          <w:sz w:val="18"/>
        </w:rPr>
        <w:t xml:space="preserve"> </w:t>
      </w:r>
      <w:r w:rsidRPr="00C36DB9">
        <w:rPr>
          <w:rFonts w:ascii="Book Antiqua" w:hAnsi="Book Antiqua"/>
          <w:sz w:val="18"/>
        </w:rPr>
        <w:t>as the</w:t>
      </w:r>
      <w:r w:rsidRPr="00C36DB9">
        <w:rPr>
          <w:rFonts w:ascii="Book Antiqua" w:hAnsi="Book Antiqua"/>
          <w:spacing w:val="-3"/>
          <w:sz w:val="18"/>
        </w:rPr>
        <w:t xml:space="preserve"> </w:t>
      </w:r>
      <w:r w:rsidRPr="00C36DB9">
        <w:rPr>
          <w:rFonts w:ascii="Book Antiqua" w:hAnsi="Book Antiqua"/>
          <w:sz w:val="18"/>
        </w:rPr>
        <w:t>Traditional</w:t>
      </w:r>
      <w:r w:rsidRPr="00C36DB9">
        <w:rPr>
          <w:rFonts w:ascii="Book Antiqua" w:hAnsi="Book Antiqua"/>
          <w:spacing w:val="-2"/>
          <w:sz w:val="18"/>
        </w:rPr>
        <w:t xml:space="preserve"> </w:t>
      </w:r>
      <w:r w:rsidRPr="00C36DB9">
        <w:rPr>
          <w:rFonts w:ascii="Book Antiqua" w:hAnsi="Book Antiqua"/>
          <w:sz w:val="18"/>
        </w:rPr>
        <w:t>Owners</w:t>
      </w:r>
      <w:r w:rsidRPr="00C36DB9">
        <w:rPr>
          <w:rFonts w:ascii="Book Antiqua" w:hAnsi="Book Antiqua"/>
          <w:spacing w:val="-2"/>
          <w:sz w:val="18"/>
        </w:rPr>
        <w:t xml:space="preserve"> </w:t>
      </w:r>
      <w:r w:rsidRPr="00C36DB9">
        <w:rPr>
          <w:rFonts w:ascii="Book Antiqua" w:hAnsi="Book Antiqua"/>
          <w:sz w:val="18"/>
        </w:rPr>
        <w:t>of Country throughout</w:t>
      </w:r>
      <w:r w:rsidRPr="00C36DB9">
        <w:rPr>
          <w:rFonts w:ascii="Book Antiqua" w:hAnsi="Book Antiqua"/>
          <w:spacing w:val="-3"/>
          <w:sz w:val="18"/>
        </w:rPr>
        <w:t xml:space="preserve"> </w:t>
      </w:r>
      <w:r w:rsidRPr="00C36DB9">
        <w:rPr>
          <w:rFonts w:ascii="Book Antiqua" w:hAnsi="Book Antiqua"/>
          <w:sz w:val="18"/>
        </w:rPr>
        <w:t>Australia</w:t>
      </w:r>
      <w:r w:rsidRPr="00C36DB9">
        <w:rPr>
          <w:rFonts w:ascii="Book Antiqua" w:hAnsi="Book Antiqua"/>
          <w:spacing w:val="-1"/>
          <w:sz w:val="18"/>
        </w:rPr>
        <w:t xml:space="preserve"> </w:t>
      </w:r>
      <w:r w:rsidRPr="00C36DB9">
        <w:rPr>
          <w:rFonts w:ascii="Book Antiqua" w:hAnsi="Book Antiqua"/>
          <w:sz w:val="18"/>
        </w:rPr>
        <w:t>and their continuing</w:t>
      </w:r>
      <w:r w:rsidRPr="00C36DB9">
        <w:rPr>
          <w:rFonts w:ascii="Book Antiqua" w:hAnsi="Book Antiqua"/>
          <w:spacing w:val="-5"/>
          <w:sz w:val="18"/>
        </w:rPr>
        <w:t xml:space="preserve"> </w:t>
      </w:r>
      <w:r w:rsidRPr="00C36DB9">
        <w:rPr>
          <w:rFonts w:ascii="Book Antiqua" w:hAnsi="Book Antiqua"/>
          <w:sz w:val="18"/>
        </w:rPr>
        <w:t>connection to both</w:t>
      </w:r>
      <w:r w:rsidRPr="00C36DB9">
        <w:rPr>
          <w:rFonts w:ascii="Book Antiqua" w:hAnsi="Book Antiqua"/>
          <w:spacing w:val="-5"/>
          <w:sz w:val="18"/>
        </w:rPr>
        <w:t xml:space="preserve"> </w:t>
      </w:r>
      <w:r w:rsidRPr="00C36DB9">
        <w:rPr>
          <w:rFonts w:ascii="Book Antiqua" w:hAnsi="Book Antiqua"/>
          <w:sz w:val="18"/>
        </w:rPr>
        <w:t>their</w:t>
      </w:r>
      <w:r w:rsidRPr="00C36DB9">
        <w:rPr>
          <w:rFonts w:ascii="Book Antiqua" w:hAnsi="Book Antiqua"/>
          <w:spacing w:val="-5"/>
          <w:sz w:val="18"/>
        </w:rPr>
        <w:t xml:space="preserve"> </w:t>
      </w:r>
      <w:r w:rsidRPr="00C36DB9">
        <w:rPr>
          <w:rFonts w:ascii="Book Antiqua" w:hAnsi="Book Antiqua"/>
          <w:sz w:val="18"/>
        </w:rPr>
        <w:t>land</w:t>
      </w:r>
      <w:r w:rsidRPr="00C36DB9">
        <w:rPr>
          <w:rFonts w:ascii="Book Antiqua" w:hAnsi="Book Antiqua"/>
          <w:spacing w:val="-6"/>
          <w:sz w:val="18"/>
        </w:rPr>
        <w:t xml:space="preserve"> </w:t>
      </w:r>
      <w:r w:rsidRPr="00C36DB9">
        <w:rPr>
          <w:rFonts w:ascii="Book Antiqua" w:hAnsi="Book Antiqua"/>
          <w:sz w:val="18"/>
        </w:rPr>
        <w:t>and</w:t>
      </w:r>
      <w:r w:rsidRPr="00C36DB9">
        <w:rPr>
          <w:rFonts w:ascii="Book Antiqua" w:hAnsi="Book Antiqua"/>
          <w:spacing w:val="-6"/>
          <w:sz w:val="18"/>
        </w:rPr>
        <w:t xml:space="preserve"> </w:t>
      </w:r>
      <w:r w:rsidRPr="00C36DB9">
        <w:rPr>
          <w:rFonts w:ascii="Book Antiqua" w:hAnsi="Book Antiqua"/>
          <w:sz w:val="18"/>
        </w:rPr>
        <w:t>seas.</w:t>
      </w:r>
      <w:r w:rsidRPr="00C36DB9">
        <w:rPr>
          <w:rFonts w:ascii="Book Antiqua" w:hAnsi="Book Antiqua"/>
          <w:spacing w:val="40"/>
          <w:sz w:val="18"/>
        </w:rPr>
        <w:t xml:space="preserve"> </w:t>
      </w:r>
      <w:r w:rsidRPr="00C36DB9">
        <w:rPr>
          <w:rFonts w:ascii="Book Antiqua" w:hAnsi="Book Antiqua"/>
          <w:sz w:val="18"/>
        </w:rPr>
        <w:t>We</w:t>
      </w:r>
      <w:r w:rsidRPr="00C36DB9">
        <w:rPr>
          <w:rFonts w:ascii="Book Antiqua" w:hAnsi="Book Antiqua"/>
          <w:spacing w:val="-5"/>
          <w:sz w:val="18"/>
        </w:rPr>
        <w:t xml:space="preserve"> </w:t>
      </w:r>
      <w:r w:rsidRPr="00C36DB9">
        <w:rPr>
          <w:rFonts w:ascii="Book Antiqua" w:hAnsi="Book Antiqua"/>
          <w:sz w:val="18"/>
        </w:rPr>
        <w:t>also</w:t>
      </w:r>
      <w:r w:rsidRPr="00C36DB9">
        <w:rPr>
          <w:rFonts w:ascii="Book Antiqua" w:hAnsi="Book Antiqua"/>
          <w:spacing w:val="-3"/>
          <w:sz w:val="18"/>
        </w:rPr>
        <w:t xml:space="preserve"> </w:t>
      </w:r>
      <w:r w:rsidRPr="00C36DB9">
        <w:rPr>
          <w:rFonts w:ascii="Book Antiqua" w:hAnsi="Book Antiqua"/>
          <w:sz w:val="18"/>
        </w:rPr>
        <w:t>pay</w:t>
      </w:r>
      <w:r w:rsidRPr="00C36DB9">
        <w:rPr>
          <w:rFonts w:ascii="Book Antiqua" w:hAnsi="Book Antiqua"/>
          <w:spacing w:val="-5"/>
          <w:sz w:val="18"/>
        </w:rPr>
        <w:t xml:space="preserve"> </w:t>
      </w:r>
      <w:r w:rsidRPr="00C36DB9">
        <w:rPr>
          <w:rFonts w:ascii="Book Antiqua" w:hAnsi="Book Antiqua"/>
          <w:sz w:val="18"/>
        </w:rPr>
        <w:t>our respects to Elders – past, present and emerging – and generations of Aboriginal and Torres Strait Islander peoples now and into the future.</w:t>
      </w:r>
    </w:p>
    <w:p w14:paraId="65E7D4A8" w14:textId="77777777" w:rsidR="00811887" w:rsidRPr="00FD40B8" w:rsidRDefault="00811887" w:rsidP="00811887">
      <w:pPr>
        <w:pStyle w:val="BodyText"/>
        <w:rPr>
          <w:rFonts w:ascii="Book Antiqua"/>
          <w:color w:val="131727" w:themeColor="text1"/>
        </w:rPr>
      </w:pPr>
    </w:p>
    <w:p w14:paraId="09D61224" w14:textId="77777777" w:rsidR="00811887" w:rsidRPr="00FD40B8" w:rsidRDefault="00811887" w:rsidP="00811887">
      <w:pPr>
        <w:pStyle w:val="BodyText"/>
        <w:rPr>
          <w:rFonts w:ascii="Book Antiqua"/>
          <w:color w:val="131727" w:themeColor="text1"/>
        </w:rPr>
      </w:pPr>
    </w:p>
    <w:p w14:paraId="7482B223" w14:textId="77777777" w:rsidR="00811887" w:rsidRPr="00FD40B8" w:rsidRDefault="00811887" w:rsidP="00811887">
      <w:pPr>
        <w:pStyle w:val="BodyText"/>
        <w:rPr>
          <w:rFonts w:ascii="Book Antiqua"/>
          <w:color w:val="131727" w:themeColor="text1"/>
        </w:rPr>
      </w:pPr>
    </w:p>
    <w:p w14:paraId="54F8D85B" w14:textId="77777777" w:rsidR="00811887" w:rsidRPr="00FD40B8" w:rsidRDefault="00811887" w:rsidP="00811887">
      <w:pPr>
        <w:pStyle w:val="BodyText"/>
        <w:rPr>
          <w:rFonts w:ascii="Book Antiqua"/>
          <w:color w:val="131727" w:themeColor="text1"/>
        </w:rPr>
      </w:pPr>
    </w:p>
    <w:p w14:paraId="69910DC6" w14:textId="77777777" w:rsidR="00811887" w:rsidRPr="00FD40B8" w:rsidRDefault="00811887" w:rsidP="00811887">
      <w:pPr>
        <w:pStyle w:val="BodyText"/>
        <w:rPr>
          <w:rFonts w:ascii="Book Antiqua"/>
          <w:color w:val="131727" w:themeColor="text1"/>
        </w:rPr>
      </w:pPr>
    </w:p>
    <w:p w14:paraId="7CCA4249" w14:textId="77777777" w:rsidR="00811887" w:rsidRPr="00FD40B8" w:rsidRDefault="00811887" w:rsidP="00811887">
      <w:pPr>
        <w:pStyle w:val="BodyText"/>
        <w:rPr>
          <w:rFonts w:ascii="Book Antiqua"/>
          <w:color w:val="131727" w:themeColor="text1"/>
        </w:rPr>
      </w:pPr>
    </w:p>
    <w:p w14:paraId="765DF728" w14:textId="77777777" w:rsidR="00811887" w:rsidRPr="00FD40B8" w:rsidRDefault="00811887" w:rsidP="00811887">
      <w:pPr>
        <w:pStyle w:val="BodyText"/>
        <w:rPr>
          <w:rFonts w:ascii="Book Antiqua"/>
          <w:color w:val="131727" w:themeColor="text1"/>
        </w:rPr>
      </w:pPr>
    </w:p>
    <w:p w14:paraId="0DDFB77D" w14:textId="77777777" w:rsidR="00811887" w:rsidRPr="00FD40B8" w:rsidRDefault="00811887" w:rsidP="00811887">
      <w:pPr>
        <w:pStyle w:val="BodyText"/>
        <w:rPr>
          <w:rFonts w:ascii="Book Antiqua"/>
          <w:color w:val="131727" w:themeColor="text1"/>
        </w:rPr>
      </w:pPr>
    </w:p>
    <w:p w14:paraId="5A8EF6EC" w14:textId="77777777" w:rsidR="00811887" w:rsidRPr="00FD40B8" w:rsidRDefault="00811887" w:rsidP="00811887">
      <w:pPr>
        <w:pStyle w:val="BodyText"/>
        <w:rPr>
          <w:rFonts w:ascii="Book Antiqua"/>
          <w:color w:val="131727" w:themeColor="text1"/>
        </w:rPr>
      </w:pPr>
    </w:p>
    <w:p w14:paraId="39A3A4A2" w14:textId="77777777" w:rsidR="00811887" w:rsidRPr="00FD40B8" w:rsidRDefault="00811887" w:rsidP="00811887">
      <w:pPr>
        <w:pStyle w:val="BodyText"/>
        <w:rPr>
          <w:rFonts w:ascii="Book Antiqua"/>
          <w:color w:val="131727" w:themeColor="text1"/>
        </w:rPr>
      </w:pPr>
    </w:p>
    <w:p w14:paraId="55EFC014" w14:textId="77777777" w:rsidR="00811887" w:rsidRPr="00FD40B8" w:rsidRDefault="00811887" w:rsidP="00811887">
      <w:pPr>
        <w:pStyle w:val="BodyText"/>
        <w:rPr>
          <w:rFonts w:ascii="Book Antiqua"/>
          <w:color w:val="131727" w:themeColor="text1"/>
        </w:rPr>
      </w:pPr>
    </w:p>
    <w:p w14:paraId="69A8A850" w14:textId="77777777" w:rsidR="00811887" w:rsidRPr="00FD40B8" w:rsidRDefault="00811887" w:rsidP="00811887">
      <w:pPr>
        <w:pStyle w:val="BodyText"/>
        <w:rPr>
          <w:rFonts w:ascii="Book Antiqua"/>
          <w:color w:val="131727" w:themeColor="text1"/>
        </w:rPr>
      </w:pPr>
    </w:p>
    <w:p w14:paraId="064DF83B" w14:textId="77777777" w:rsidR="00811887" w:rsidRPr="00FD40B8" w:rsidRDefault="00811887" w:rsidP="00811887">
      <w:pPr>
        <w:pStyle w:val="BodyText"/>
        <w:rPr>
          <w:rFonts w:ascii="Book Antiqua"/>
          <w:color w:val="131727" w:themeColor="text1"/>
        </w:rPr>
      </w:pPr>
    </w:p>
    <w:p w14:paraId="7838A9E0" w14:textId="77777777" w:rsidR="00811887" w:rsidRPr="00FD40B8" w:rsidRDefault="00811887" w:rsidP="00811887">
      <w:pPr>
        <w:pStyle w:val="BodyText"/>
        <w:rPr>
          <w:rFonts w:ascii="Book Antiqua"/>
          <w:color w:val="131727" w:themeColor="text1"/>
        </w:rPr>
      </w:pPr>
    </w:p>
    <w:p w14:paraId="30D9EA4A" w14:textId="77777777" w:rsidR="00811887" w:rsidRPr="00FD40B8" w:rsidRDefault="00811887" w:rsidP="00811887">
      <w:pPr>
        <w:pStyle w:val="BodyText"/>
        <w:rPr>
          <w:rFonts w:ascii="Book Antiqua"/>
          <w:color w:val="131727" w:themeColor="text1"/>
        </w:rPr>
      </w:pPr>
    </w:p>
    <w:p w14:paraId="32FDF2B9" w14:textId="77777777" w:rsidR="00811887" w:rsidRPr="00FD40B8" w:rsidRDefault="00811887" w:rsidP="00811887">
      <w:pPr>
        <w:pStyle w:val="BodyText"/>
        <w:rPr>
          <w:rFonts w:ascii="Book Antiqua"/>
          <w:color w:val="131727" w:themeColor="text1"/>
        </w:rPr>
      </w:pPr>
    </w:p>
    <w:p w14:paraId="535574E1" w14:textId="77777777" w:rsidR="00811887" w:rsidRPr="00FD40B8" w:rsidRDefault="00811887" w:rsidP="00811887">
      <w:pPr>
        <w:pStyle w:val="BodyText"/>
        <w:rPr>
          <w:rFonts w:ascii="Book Antiqua"/>
          <w:color w:val="131727" w:themeColor="text1"/>
        </w:rPr>
      </w:pPr>
    </w:p>
    <w:p w14:paraId="1071B522" w14:textId="77777777" w:rsidR="00811887" w:rsidRPr="00FD40B8" w:rsidRDefault="00811887" w:rsidP="00811887">
      <w:pPr>
        <w:pStyle w:val="BodyText"/>
        <w:rPr>
          <w:rFonts w:ascii="Book Antiqua"/>
          <w:color w:val="131727" w:themeColor="text1"/>
        </w:rPr>
      </w:pPr>
    </w:p>
    <w:p w14:paraId="753E8136" w14:textId="77777777" w:rsidR="00811887" w:rsidRPr="00FD40B8" w:rsidRDefault="00811887" w:rsidP="00811887">
      <w:pPr>
        <w:pStyle w:val="BodyText"/>
        <w:rPr>
          <w:rFonts w:ascii="Book Antiqua"/>
          <w:color w:val="131727" w:themeColor="text1"/>
        </w:rPr>
      </w:pPr>
    </w:p>
    <w:p w14:paraId="79EFE6BB" w14:textId="77777777" w:rsidR="00811887" w:rsidRPr="00FD40B8" w:rsidRDefault="00811887" w:rsidP="00811887">
      <w:pPr>
        <w:pStyle w:val="BodyText"/>
        <w:rPr>
          <w:rFonts w:ascii="Book Antiqua"/>
          <w:color w:val="131727" w:themeColor="text1"/>
        </w:rPr>
      </w:pPr>
    </w:p>
    <w:p w14:paraId="0373865A" w14:textId="77777777" w:rsidR="00811887" w:rsidRPr="00FD40B8" w:rsidRDefault="00811887" w:rsidP="00811887">
      <w:pPr>
        <w:pStyle w:val="BodyText"/>
        <w:rPr>
          <w:rFonts w:ascii="Book Antiqua"/>
          <w:color w:val="131727" w:themeColor="text1"/>
        </w:rPr>
      </w:pPr>
    </w:p>
    <w:p w14:paraId="01F5EC43" w14:textId="77777777" w:rsidR="00811887" w:rsidRPr="00FD40B8" w:rsidRDefault="00811887" w:rsidP="00811887">
      <w:pPr>
        <w:pStyle w:val="BodyText"/>
        <w:rPr>
          <w:rFonts w:ascii="Book Antiqua"/>
          <w:color w:val="131727" w:themeColor="text1"/>
        </w:rPr>
      </w:pPr>
    </w:p>
    <w:p w14:paraId="52757758" w14:textId="77777777" w:rsidR="00811887" w:rsidRPr="00FD40B8" w:rsidRDefault="00811887" w:rsidP="00811887">
      <w:pPr>
        <w:pStyle w:val="BodyText"/>
        <w:spacing w:before="186"/>
        <w:rPr>
          <w:rFonts w:ascii="Book Antiqua"/>
          <w:color w:val="131727" w:themeColor="text1"/>
        </w:rPr>
      </w:pPr>
      <w:r w:rsidRPr="00FD40B8">
        <w:rPr>
          <w:noProof/>
          <w:color w:val="131727" w:themeColor="text1"/>
        </w:rPr>
        <mc:AlternateContent>
          <mc:Choice Requires="wps">
            <w:drawing>
              <wp:anchor distT="0" distB="0" distL="0" distR="0" simplePos="0" relativeHeight="251726848" behindDoc="1" locked="0" layoutInCell="1" allowOverlap="1" wp14:anchorId="326C584F" wp14:editId="0184A1F3">
                <wp:simplePos x="0" y="0"/>
                <wp:positionH relativeFrom="page">
                  <wp:posOffset>792784</wp:posOffset>
                </wp:positionH>
                <wp:positionV relativeFrom="paragraph">
                  <wp:posOffset>291513</wp:posOffset>
                </wp:positionV>
                <wp:extent cx="5973445" cy="6350"/>
                <wp:effectExtent l="0" t="0" r="0" b="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6350"/>
                        </a:xfrm>
                        <a:custGeom>
                          <a:avLst/>
                          <a:gdLst/>
                          <a:ahLst/>
                          <a:cxnLst/>
                          <a:rect l="l" t="t" r="r" b="b"/>
                          <a:pathLst>
                            <a:path w="5973445" h="6350">
                              <a:moveTo>
                                <a:pt x="5973445" y="0"/>
                              </a:moveTo>
                              <a:lnTo>
                                <a:pt x="0" y="0"/>
                              </a:lnTo>
                              <a:lnTo>
                                <a:pt x="0" y="6095"/>
                              </a:lnTo>
                              <a:lnTo>
                                <a:pt x="5973445" y="6095"/>
                              </a:lnTo>
                              <a:lnTo>
                                <a:pt x="597344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46071681" id="Graphic 104" o:spid="_x0000_s1026" alt="&quot;&quot;" style="position:absolute;margin-left:62.4pt;margin-top:22.95pt;width:470.35pt;height:.5pt;z-index:-251589632;visibility:visible;mso-wrap-style:square;mso-wrap-distance-left:0;mso-wrap-distance-top:0;mso-wrap-distance-right:0;mso-wrap-distance-bottom:0;mso-position-horizontal:absolute;mso-position-horizontal-relative:page;mso-position-vertical:absolute;mso-position-vertical-relative:text;v-text-anchor:top" coordsize="5973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" path="m5973445,l,,,6095r5973445,l5973445,xe" fillcolor="#4d665b" stroked="f">
                <v:path arrowok="t"/>
                <w10:wrap type="topAndBottom" anchorx="page"/>
              </v:shape>
            </w:pict>
          </mc:Fallback>
        </mc:AlternateContent>
      </w:r>
    </w:p>
    <w:p w14:paraId="7F703CDD" w14:textId="77777777" w:rsidR="00811887" w:rsidRPr="00FD40B8" w:rsidRDefault="00811887" w:rsidP="00811887">
      <w:pPr>
        <w:tabs>
          <w:tab w:val="right" w:pos="9905"/>
        </w:tabs>
        <w:spacing w:before="42" w:line="238" w:lineRule="exact"/>
        <w:ind w:left="508"/>
        <w:rPr>
          <w:rFonts w:ascii="Book Antiqua"/>
          <w:b/>
          <w:color w:val="131727" w:themeColor="text1"/>
          <w:sz w:val="20"/>
        </w:rPr>
      </w:pPr>
      <w:r w:rsidRPr="00FD40B8">
        <w:rPr>
          <w:rFonts w:ascii="Arial Black"/>
          <w:color w:val="131727" w:themeColor="text1"/>
          <w:w w:val="85"/>
          <w:sz w:val="14"/>
        </w:rPr>
        <w:t>ABORIGINAL</w:t>
      </w:r>
      <w:r w:rsidRPr="00FD40B8">
        <w:rPr>
          <w:rFonts w:ascii="Arial Black"/>
          <w:color w:val="131727" w:themeColor="text1"/>
          <w:spacing w:val="55"/>
          <w:sz w:val="14"/>
        </w:rPr>
        <w:t xml:space="preserve"> </w:t>
      </w:r>
      <w:r w:rsidRPr="00FD40B8">
        <w:rPr>
          <w:rFonts w:ascii="Arial Black"/>
          <w:color w:val="131727" w:themeColor="text1"/>
          <w:w w:val="85"/>
          <w:sz w:val="14"/>
        </w:rPr>
        <w:t>AND</w:t>
      </w:r>
      <w:r w:rsidRPr="00FD40B8">
        <w:rPr>
          <w:rFonts w:ascii="Arial Black"/>
          <w:color w:val="131727" w:themeColor="text1"/>
          <w:spacing w:val="59"/>
          <w:sz w:val="14"/>
        </w:rPr>
        <w:t xml:space="preserve"> </w:t>
      </w:r>
      <w:r w:rsidRPr="00FD40B8">
        <w:rPr>
          <w:rFonts w:ascii="Arial Black"/>
          <w:color w:val="131727" w:themeColor="text1"/>
          <w:w w:val="85"/>
          <w:sz w:val="14"/>
        </w:rPr>
        <w:t>TORRES</w:t>
      </w:r>
      <w:r w:rsidRPr="00FD40B8">
        <w:rPr>
          <w:rFonts w:ascii="Arial Black"/>
          <w:color w:val="131727" w:themeColor="text1"/>
          <w:spacing w:val="53"/>
          <w:sz w:val="14"/>
        </w:rPr>
        <w:t xml:space="preserve"> </w:t>
      </w:r>
      <w:r w:rsidRPr="00FD40B8">
        <w:rPr>
          <w:rFonts w:ascii="Arial Black"/>
          <w:color w:val="131727" w:themeColor="text1"/>
          <w:w w:val="85"/>
          <w:sz w:val="14"/>
        </w:rPr>
        <w:t>STRAIT</w:t>
      </w:r>
      <w:r w:rsidRPr="00FD40B8">
        <w:rPr>
          <w:rFonts w:ascii="Arial Black"/>
          <w:color w:val="131727" w:themeColor="text1"/>
          <w:spacing w:val="48"/>
          <w:sz w:val="14"/>
        </w:rPr>
        <w:t xml:space="preserve"> </w:t>
      </w:r>
      <w:r w:rsidRPr="00FD40B8">
        <w:rPr>
          <w:rFonts w:ascii="Arial Black"/>
          <w:color w:val="131727" w:themeColor="text1"/>
          <w:w w:val="85"/>
          <w:sz w:val="14"/>
        </w:rPr>
        <w:t>ISLANDER</w:t>
      </w:r>
      <w:r w:rsidRPr="00FD40B8">
        <w:rPr>
          <w:rFonts w:ascii="Arial Black"/>
          <w:color w:val="131727" w:themeColor="text1"/>
          <w:spacing w:val="56"/>
          <w:sz w:val="14"/>
        </w:rPr>
        <w:t xml:space="preserve"> </w:t>
      </w:r>
      <w:r w:rsidRPr="00FD40B8">
        <w:rPr>
          <w:rFonts w:ascii="Arial Black"/>
          <w:color w:val="131727" w:themeColor="text1"/>
          <w:w w:val="85"/>
          <w:sz w:val="14"/>
        </w:rPr>
        <w:t>HOUSING</w:t>
      </w:r>
      <w:r w:rsidRPr="00FD40B8">
        <w:rPr>
          <w:rFonts w:ascii="Arial Black"/>
          <w:color w:val="131727" w:themeColor="text1"/>
          <w:spacing w:val="52"/>
          <w:sz w:val="14"/>
        </w:rPr>
        <w:t xml:space="preserve"> </w:t>
      </w:r>
      <w:r w:rsidRPr="00FD40B8">
        <w:rPr>
          <w:rFonts w:ascii="Arial Black"/>
          <w:color w:val="131727" w:themeColor="text1"/>
          <w:w w:val="85"/>
          <w:sz w:val="14"/>
        </w:rPr>
        <w:t>DATA</w:t>
      </w:r>
      <w:r w:rsidRPr="00FD40B8">
        <w:rPr>
          <w:rFonts w:ascii="Arial Black"/>
          <w:color w:val="131727" w:themeColor="text1"/>
          <w:spacing w:val="51"/>
          <w:sz w:val="14"/>
        </w:rPr>
        <w:t xml:space="preserve"> </w:t>
      </w:r>
      <w:r w:rsidRPr="00FD40B8">
        <w:rPr>
          <w:rFonts w:ascii="Arial Black"/>
          <w:color w:val="131727" w:themeColor="text1"/>
          <w:spacing w:val="-2"/>
          <w:w w:val="85"/>
          <w:sz w:val="14"/>
        </w:rPr>
        <w:t>REVIEW</w:t>
      </w:r>
      <w:r w:rsidRPr="00FD40B8">
        <w:rPr>
          <w:rFonts w:ascii="Arial Black"/>
          <w:color w:val="131727" w:themeColor="text1"/>
          <w:sz w:val="14"/>
        </w:rPr>
        <w:tab/>
      </w:r>
      <w:r w:rsidRPr="00FD40B8">
        <w:rPr>
          <w:rFonts w:ascii="Book Antiqua"/>
          <w:b/>
          <w:color w:val="131727" w:themeColor="text1"/>
          <w:spacing w:val="-10"/>
          <w:w w:val="95"/>
          <w:sz w:val="20"/>
        </w:rPr>
        <w:t>2</w:t>
      </w:r>
    </w:p>
    <w:p w14:paraId="0FDBEF96" w14:textId="77777777" w:rsidR="00811887" w:rsidRPr="00FD40B8" w:rsidRDefault="00811887" w:rsidP="00811887">
      <w:pPr>
        <w:spacing w:line="162" w:lineRule="exact"/>
        <w:ind w:left="508"/>
        <w:rPr>
          <w:rFonts w:ascii="Lucida Sans"/>
          <w:color w:val="131727" w:themeColor="text1"/>
          <w:sz w:val="14"/>
        </w:rPr>
      </w:pPr>
      <w:r w:rsidRPr="00FD40B8">
        <w:rPr>
          <w:rFonts w:ascii="Lucida Sans"/>
          <w:color w:val="131727" w:themeColor="text1"/>
          <w:sz w:val="14"/>
        </w:rPr>
        <w:t>EQUITY</w:t>
      </w:r>
      <w:r w:rsidRPr="00FD40B8">
        <w:rPr>
          <w:rFonts w:ascii="Lucida Sans"/>
          <w:color w:val="131727" w:themeColor="text1"/>
          <w:spacing w:val="16"/>
          <w:sz w:val="14"/>
        </w:rPr>
        <w:t xml:space="preserve"> </w:t>
      </w:r>
      <w:r w:rsidRPr="00FD40B8">
        <w:rPr>
          <w:rFonts w:ascii="Lucida Sans"/>
          <w:color w:val="131727" w:themeColor="text1"/>
          <w:spacing w:val="9"/>
          <w:sz w:val="14"/>
        </w:rPr>
        <w:t>ECONOMICS</w:t>
      </w:r>
      <w:r w:rsidRPr="00FD40B8">
        <w:rPr>
          <w:rFonts w:ascii="Lucida Sans"/>
          <w:color w:val="131727" w:themeColor="text1"/>
          <w:spacing w:val="22"/>
          <w:sz w:val="14"/>
        </w:rPr>
        <w:t xml:space="preserve"> </w:t>
      </w:r>
      <w:r w:rsidRPr="00FD40B8">
        <w:rPr>
          <w:rFonts w:ascii="Lucida Sans"/>
          <w:color w:val="131727" w:themeColor="text1"/>
          <w:spacing w:val="7"/>
          <w:sz w:val="14"/>
        </w:rPr>
        <w:t>2024</w:t>
      </w:r>
    </w:p>
    <w:p w14:paraId="0383065E" w14:textId="77777777" w:rsidR="00811887" w:rsidRPr="00FD40B8" w:rsidRDefault="00811887" w:rsidP="00811887">
      <w:pPr>
        <w:spacing w:line="162" w:lineRule="exact"/>
        <w:rPr>
          <w:rFonts w:ascii="Lucida Sans"/>
          <w:color w:val="131727" w:themeColor="text1"/>
          <w:sz w:val="14"/>
        </w:rPr>
        <w:sectPr w:rsidR="00811887" w:rsidRPr="00FD40B8" w:rsidSect="00811887">
          <w:footerReference w:type="default" r:id="rId69"/>
          <w:pgSz w:w="11910" w:h="16840"/>
          <w:pgMar w:top="1400" w:right="720" w:bottom="280" w:left="740" w:header="0" w:footer="0" w:gutter="0"/>
          <w:cols w:space="720"/>
        </w:sectPr>
      </w:pPr>
    </w:p>
    <w:p w14:paraId="5497F274" w14:textId="77777777" w:rsidR="00811887" w:rsidRPr="00FD40B8" w:rsidRDefault="00811887" w:rsidP="00811887">
      <w:pPr>
        <w:pStyle w:val="Heading1"/>
        <w:spacing w:before="367"/>
        <w:rPr>
          <w:color w:val="131727" w:themeColor="text1"/>
        </w:rPr>
      </w:pPr>
      <w:r w:rsidRPr="00FD40B8">
        <w:rPr>
          <w:noProof/>
          <w:color w:val="131727" w:themeColor="text1"/>
        </w:rPr>
        <w:lastRenderedPageBreak/>
        <mc:AlternateContent>
          <mc:Choice Requires="wps">
            <w:drawing>
              <wp:anchor distT="0" distB="0" distL="0" distR="0" simplePos="0" relativeHeight="251692032" behindDoc="1" locked="0" layoutInCell="1" allowOverlap="1" wp14:anchorId="5845932F" wp14:editId="002C5CDA">
                <wp:simplePos x="0" y="0"/>
                <wp:positionH relativeFrom="page">
                  <wp:posOffset>0</wp:posOffset>
                </wp:positionH>
                <wp:positionV relativeFrom="page">
                  <wp:posOffset>0</wp:posOffset>
                </wp:positionV>
                <wp:extent cx="7559040" cy="10692765"/>
                <wp:effectExtent l="0" t="0" r="0" b="0"/>
                <wp:wrapNone/>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10692765"/>
                        </a:xfrm>
                        <a:custGeom>
                          <a:avLst/>
                          <a:gdLst/>
                          <a:ahLst/>
                          <a:cxnLst/>
                          <a:rect l="l" t="t" r="r" b="b"/>
                          <a:pathLst>
                            <a:path w="7559040" h="10692765">
                              <a:moveTo>
                                <a:pt x="7559040" y="0"/>
                              </a:moveTo>
                              <a:lnTo>
                                <a:pt x="0" y="0"/>
                              </a:lnTo>
                              <a:lnTo>
                                <a:pt x="0" y="10692383"/>
                              </a:lnTo>
                              <a:lnTo>
                                <a:pt x="7559040" y="10692383"/>
                              </a:lnTo>
                              <a:lnTo>
                                <a:pt x="7559040" y="0"/>
                              </a:lnTo>
                              <a:close/>
                            </a:path>
                          </a:pathLst>
                        </a:custGeom>
                        <a:solidFill>
                          <a:srgbClr val="D7E4E2">
                            <a:alpha val="74900"/>
                          </a:srgbClr>
                        </a:solidFill>
                      </wps:spPr>
                      <wps:bodyPr wrap="square" lIns="0" tIns="0" rIns="0" bIns="0" rtlCol="0">
                        <a:prstTxWarp prst="textNoShape">
                          <a:avLst/>
                        </a:prstTxWarp>
                        <a:noAutofit/>
                      </wps:bodyPr>
                    </wps:wsp>
                  </a:graphicData>
                </a:graphic>
              </wp:anchor>
            </w:drawing>
          </mc:Choice>
          <mc:Fallback>
            <w:pict>
              <v:shape w14:anchorId="6D2914F3" id="Graphic 105" o:spid="_x0000_s1026" alt="&quot;&quot;" style="position:absolute;margin-left:0;margin-top:0;width:595.2pt;height:841.95pt;z-index:-251624448;visibility:visible;mso-wrap-style:square;mso-wrap-distance-left:0;mso-wrap-distance-top:0;mso-wrap-distance-right:0;mso-wrap-distance-bottom:0;mso-position-horizontal:absolute;mso-position-horizontal-relative:page;mso-position-vertical:absolute;mso-position-vertical-relative:page;v-text-anchor:top" coordsize="7559040,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" path="m7559040,l,,,10692383r7559040,l7559040,xe" fillcolor="#d7e4e2" stroked="f">
                <v:fill opacity="49087f"/>
                <v:path arrowok="t"/>
                <w10:wrap anchorx="page" anchory="page"/>
              </v:shape>
            </w:pict>
          </mc:Fallback>
        </mc:AlternateContent>
      </w:r>
      <w:r w:rsidRPr="00FD40B8">
        <w:rPr>
          <w:noProof/>
          <w:color w:val="131727" w:themeColor="text1"/>
        </w:rPr>
        <mc:AlternateContent>
          <mc:Choice Requires="wps">
            <w:drawing>
              <wp:anchor distT="0" distB="0" distL="0" distR="0" simplePos="0" relativeHeight="251688960" behindDoc="0" locked="0" layoutInCell="1" allowOverlap="1" wp14:anchorId="40F2CFEB" wp14:editId="3E1F311B">
                <wp:simplePos x="0" y="0"/>
                <wp:positionH relativeFrom="page">
                  <wp:posOffset>774496</wp:posOffset>
                </wp:positionH>
                <wp:positionV relativeFrom="paragraph">
                  <wp:posOffset>-1270</wp:posOffset>
                </wp:positionV>
                <wp:extent cx="6016625" cy="6350"/>
                <wp:effectExtent l="0" t="0" r="0" b="0"/>
                <wp:wrapNone/>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4A9B15CC" id="Graphic 106" o:spid="_x0000_s1026" alt="&quot;&quot;" style="position:absolute;margin-left:61pt;margin-top:-.1pt;width:473.75pt;height:.5pt;z-index:251688960;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" path="m6016117,l,,,6096r6016117,l6016117,xe" fillcolor="#4d665b" stroked="f">
                <v:path arrowok="t"/>
                <w10:wrap anchorx="page"/>
              </v:shape>
            </w:pict>
          </mc:Fallback>
        </mc:AlternateContent>
      </w:r>
      <w:r w:rsidRPr="00FD40B8">
        <w:rPr>
          <w:color w:val="131727" w:themeColor="text1"/>
          <w:spacing w:val="-2"/>
        </w:rPr>
        <w:t>Contents</w:t>
      </w:r>
    </w:p>
    <w:p w14:paraId="643D2FB8" w14:textId="77777777" w:rsidR="00811887" w:rsidRPr="00FD40B8" w:rsidRDefault="00811887" w:rsidP="00811887">
      <w:pPr>
        <w:pStyle w:val="BodyText"/>
        <w:spacing w:before="92"/>
        <w:rPr>
          <w:rFonts w:ascii="Book Antiqua"/>
          <w:color w:val="131727" w:themeColor="text1"/>
        </w:rPr>
      </w:pPr>
      <w:r w:rsidRPr="00FD40B8">
        <w:rPr>
          <w:noProof/>
          <w:color w:val="131727" w:themeColor="text1"/>
        </w:rPr>
        <mc:AlternateContent>
          <mc:Choice Requires="wps">
            <w:drawing>
              <wp:anchor distT="0" distB="0" distL="0" distR="0" simplePos="0" relativeHeight="251727872" behindDoc="1" locked="0" layoutInCell="1" allowOverlap="1" wp14:anchorId="4DABACA7" wp14:editId="4E0B6652">
                <wp:simplePos x="0" y="0"/>
                <wp:positionH relativeFrom="page">
                  <wp:posOffset>774496</wp:posOffset>
                </wp:positionH>
                <wp:positionV relativeFrom="paragraph">
                  <wp:posOffset>231728</wp:posOffset>
                </wp:positionV>
                <wp:extent cx="6016625" cy="6350"/>
                <wp:effectExtent l="0" t="0" r="0" b="0"/>
                <wp:wrapTopAndBottom/>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354DB6AF" id="Graphic 107" o:spid="_x0000_s1026" alt="&quot;&quot;" style="position:absolute;margin-left:61pt;margin-top:18.25pt;width:473.75pt;height:.5pt;z-index:-251588608;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" path="m6016117,l,,,6096r6016117,l6016117,xe" fillcolor="#4d665b" stroked="f">
                <v:path arrowok="t"/>
                <w10:wrap type="topAndBottom" anchorx="page"/>
              </v:shape>
            </w:pict>
          </mc:Fallback>
        </mc:AlternateContent>
      </w:r>
    </w:p>
    <w:p w14:paraId="1A5C8F0C" w14:textId="77777777" w:rsidR="00811887" w:rsidRPr="00FD40B8" w:rsidRDefault="00811887" w:rsidP="00811887">
      <w:pPr>
        <w:pStyle w:val="BodyText"/>
        <w:rPr>
          <w:rFonts w:ascii="Book Antiqua"/>
          <w:color w:val="131727" w:themeColor="text1"/>
          <w:sz w:val="24"/>
        </w:rPr>
      </w:pPr>
    </w:p>
    <w:p w14:paraId="6BE873BB" w14:textId="77777777" w:rsidR="00811887" w:rsidRPr="00FD40B8" w:rsidRDefault="00811887" w:rsidP="00811887">
      <w:pPr>
        <w:pStyle w:val="BodyText"/>
        <w:spacing w:before="80"/>
        <w:rPr>
          <w:rFonts w:ascii="Book Antiqua"/>
          <w:color w:val="131727" w:themeColor="text1"/>
          <w:sz w:val="24"/>
        </w:rPr>
      </w:pPr>
    </w:p>
    <w:p w14:paraId="4FACCBDD" w14:textId="77777777" w:rsidR="00811887" w:rsidRPr="00FD40B8" w:rsidRDefault="00811887" w:rsidP="00811887">
      <w:pPr>
        <w:tabs>
          <w:tab w:val="left" w:pos="9766"/>
        </w:tabs>
        <w:ind w:left="508"/>
        <w:rPr>
          <w:rFonts w:ascii="Book Antiqua"/>
          <w:b/>
          <w:color w:val="131727" w:themeColor="text1"/>
          <w:sz w:val="24"/>
        </w:rPr>
      </w:pPr>
      <w:hyperlink w:anchor="_bookmark0" w:history="1">
        <w:r w:rsidRPr="00FD40B8">
          <w:rPr>
            <w:rFonts w:ascii="Book Antiqua"/>
            <w:b/>
            <w:color w:val="131727" w:themeColor="text1"/>
            <w:spacing w:val="14"/>
            <w:sz w:val="24"/>
          </w:rPr>
          <w:t>CO</w:t>
        </w:r>
        <w:r w:rsidRPr="00FD40B8">
          <w:rPr>
            <w:rFonts w:ascii="Book Antiqua"/>
            <w:b/>
            <w:color w:val="131727" w:themeColor="text1"/>
            <w:spacing w:val="-30"/>
            <w:sz w:val="24"/>
          </w:rPr>
          <w:t xml:space="preserve"> </w:t>
        </w:r>
        <w:r w:rsidRPr="00FD40B8">
          <w:rPr>
            <w:rFonts w:ascii="Book Antiqua"/>
            <w:b/>
            <w:color w:val="131727" w:themeColor="text1"/>
            <w:sz w:val="24"/>
          </w:rPr>
          <w:t>N</w:t>
        </w:r>
        <w:r w:rsidRPr="00FD40B8">
          <w:rPr>
            <w:rFonts w:ascii="Book Antiqua"/>
            <w:b/>
            <w:color w:val="131727" w:themeColor="text1"/>
            <w:spacing w:val="-30"/>
            <w:sz w:val="24"/>
          </w:rPr>
          <w:t xml:space="preserve"> </w:t>
        </w:r>
        <w:r w:rsidRPr="00FD40B8">
          <w:rPr>
            <w:rFonts w:ascii="Book Antiqua"/>
            <w:b/>
            <w:color w:val="131727" w:themeColor="text1"/>
            <w:spacing w:val="13"/>
            <w:sz w:val="24"/>
          </w:rPr>
          <w:t>TE</w:t>
        </w:r>
        <w:r w:rsidRPr="00FD40B8">
          <w:rPr>
            <w:rFonts w:ascii="Book Antiqua"/>
            <w:b/>
            <w:color w:val="131727" w:themeColor="text1"/>
            <w:spacing w:val="-30"/>
            <w:sz w:val="24"/>
          </w:rPr>
          <w:t xml:space="preserve"> </w:t>
        </w:r>
        <w:r w:rsidRPr="00FD40B8">
          <w:rPr>
            <w:rFonts w:ascii="Book Antiqua"/>
            <w:b/>
            <w:color w:val="131727" w:themeColor="text1"/>
            <w:sz w:val="24"/>
          </w:rPr>
          <w:t>X</w:t>
        </w:r>
        <w:r w:rsidRPr="00FD40B8">
          <w:rPr>
            <w:rFonts w:ascii="Book Antiqua"/>
            <w:b/>
            <w:color w:val="131727" w:themeColor="text1"/>
            <w:spacing w:val="-29"/>
            <w:sz w:val="24"/>
          </w:rPr>
          <w:t xml:space="preserve"> </w:t>
        </w:r>
        <w:r w:rsidRPr="00FD40B8">
          <w:rPr>
            <w:rFonts w:ascii="Book Antiqua"/>
            <w:b/>
            <w:color w:val="131727" w:themeColor="text1"/>
            <w:spacing w:val="-10"/>
            <w:sz w:val="24"/>
          </w:rPr>
          <w:t>T</w:t>
        </w:r>
        <w:r w:rsidRPr="00FD40B8">
          <w:rPr>
            <w:rFonts w:ascii="Book Antiqua"/>
            <w:b/>
            <w:color w:val="131727" w:themeColor="text1"/>
            <w:sz w:val="24"/>
          </w:rPr>
          <w:tab/>
        </w:r>
        <w:r w:rsidRPr="00FD40B8">
          <w:rPr>
            <w:rFonts w:ascii="Book Antiqua"/>
            <w:b/>
            <w:color w:val="131727" w:themeColor="text1"/>
            <w:spacing w:val="-10"/>
            <w:sz w:val="24"/>
          </w:rPr>
          <w:t>4</w:t>
        </w:r>
      </w:hyperlink>
    </w:p>
    <w:p w14:paraId="3315ABBC" w14:textId="77777777" w:rsidR="00811887" w:rsidRPr="00FD40B8" w:rsidRDefault="00811887" w:rsidP="00811887">
      <w:pPr>
        <w:pStyle w:val="BodyText"/>
        <w:tabs>
          <w:tab w:val="left" w:leader="dot" w:pos="9800"/>
        </w:tabs>
        <w:spacing w:before="53"/>
        <w:ind w:left="537"/>
        <w:rPr>
          <w:color w:val="131727" w:themeColor="text1"/>
        </w:rPr>
      </w:pPr>
      <w:hyperlink w:anchor="_bookmark1" w:history="1">
        <w:r w:rsidRPr="00FD40B8">
          <w:rPr>
            <w:color w:val="131727" w:themeColor="text1"/>
            <w:w w:val="110"/>
          </w:rPr>
          <w:t>The</w:t>
        </w:r>
        <w:r w:rsidRPr="00FD40B8">
          <w:rPr>
            <w:color w:val="131727" w:themeColor="text1"/>
            <w:spacing w:val="3"/>
            <w:w w:val="110"/>
          </w:rPr>
          <w:t xml:space="preserve"> </w:t>
        </w:r>
        <w:r w:rsidRPr="00FD40B8">
          <w:rPr>
            <w:color w:val="131727" w:themeColor="text1"/>
            <w:spacing w:val="-2"/>
            <w:w w:val="110"/>
          </w:rPr>
          <w:t>project</w:t>
        </w:r>
        <w:r w:rsidRPr="00FD40B8">
          <w:rPr>
            <w:color w:val="131727" w:themeColor="text1"/>
          </w:rPr>
          <w:tab/>
        </w:r>
        <w:r w:rsidRPr="00FD40B8">
          <w:rPr>
            <w:color w:val="131727" w:themeColor="text1"/>
            <w:spacing w:val="-10"/>
            <w:w w:val="110"/>
          </w:rPr>
          <w:t>4</w:t>
        </w:r>
      </w:hyperlink>
    </w:p>
    <w:p w14:paraId="616A2BF4" w14:textId="77777777" w:rsidR="00811887" w:rsidRPr="00FD40B8" w:rsidRDefault="00811887" w:rsidP="00811887">
      <w:pPr>
        <w:pStyle w:val="BodyText"/>
        <w:tabs>
          <w:tab w:val="left" w:leader="dot" w:pos="9800"/>
        </w:tabs>
        <w:spacing w:before="59"/>
        <w:ind w:left="537"/>
        <w:rPr>
          <w:color w:val="131727" w:themeColor="text1"/>
        </w:rPr>
      </w:pPr>
      <w:hyperlink w:anchor="_bookmark2" w:history="1">
        <w:r w:rsidRPr="00FD40B8">
          <w:rPr>
            <w:color w:val="131727" w:themeColor="text1"/>
            <w:w w:val="110"/>
          </w:rPr>
          <w:t>Report</w:t>
        </w:r>
        <w:r w:rsidRPr="00FD40B8">
          <w:rPr>
            <w:color w:val="131727" w:themeColor="text1"/>
            <w:spacing w:val="-5"/>
            <w:w w:val="110"/>
          </w:rPr>
          <w:t xml:space="preserve"> </w:t>
        </w:r>
        <w:r w:rsidRPr="00FD40B8">
          <w:rPr>
            <w:color w:val="131727" w:themeColor="text1"/>
            <w:spacing w:val="-2"/>
            <w:w w:val="110"/>
          </w:rPr>
          <w:t>structure</w:t>
        </w:r>
        <w:r w:rsidRPr="00FD40B8">
          <w:rPr>
            <w:color w:val="131727" w:themeColor="text1"/>
          </w:rPr>
          <w:tab/>
        </w:r>
        <w:r w:rsidRPr="00FD40B8">
          <w:rPr>
            <w:color w:val="131727" w:themeColor="text1"/>
            <w:spacing w:val="-10"/>
            <w:w w:val="110"/>
          </w:rPr>
          <w:t>4</w:t>
        </w:r>
      </w:hyperlink>
    </w:p>
    <w:p w14:paraId="4125159E" w14:textId="77777777" w:rsidR="00811887" w:rsidRPr="00FD40B8" w:rsidRDefault="00811887" w:rsidP="00811887">
      <w:pPr>
        <w:pStyle w:val="BodyText"/>
        <w:tabs>
          <w:tab w:val="left" w:leader="dot" w:pos="9800"/>
        </w:tabs>
        <w:spacing w:before="53"/>
        <w:ind w:left="537"/>
        <w:rPr>
          <w:color w:val="131727" w:themeColor="text1"/>
        </w:rPr>
      </w:pPr>
      <w:hyperlink w:anchor="_bookmark6" w:history="1">
        <w:r w:rsidRPr="00FD40B8">
          <w:rPr>
            <w:color w:val="131727" w:themeColor="text1"/>
            <w:w w:val="110"/>
          </w:rPr>
          <w:t>Project</w:t>
        </w:r>
        <w:r w:rsidRPr="00FD40B8">
          <w:rPr>
            <w:color w:val="131727" w:themeColor="text1"/>
            <w:spacing w:val="-3"/>
            <w:w w:val="110"/>
          </w:rPr>
          <w:t xml:space="preserve"> </w:t>
        </w:r>
        <w:r w:rsidRPr="00FD40B8">
          <w:rPr>
            <w:color w:val="131727" w:themeColor="text1"/>
            <w:spacing w:val="-2"/>
            <w:w w:val="110"/>
          </w:rPr>
          <w:t>approach</w:t>
        </w:r>
        <w:r w:rsidRPr="00FD40B8">
          <w:rPr>
            <w:color w:val="131727" w:themeColor="text1"/>
          </w:rPr>
          <w:tab/>
        </w:r>
        <w:r w:rsidRPr="00FD40B8">
          <w:rPr>
            <w:color w:val="131727" w:themeColor="text1"/>
            <w:spacing w:val="-10"/>
            <w:w w:val="110"/>
          </w:rPr>
          <w:t>5</w:t>
        </w:r>
      </w:hyperlink>
    </w:p>
    <w:p w14:paraId="46BB3068" w14:textId="77777777" w:rsidR="00811887" w:rsidRPr="00FD40B8" w:rsidRDefault="00811887" w:rsidP="00811887">
      <w:pPr>
        <w:tabs>
          <w:tab w:val="left" w:pos="9766"/>
        </w:tabs>
        <w:spacing w:before="177"/>
        <w:ind w:left="508"/>
        <w:rPr>
          <w:rFonts w:ascii="Book Antiqua"/>
          <w:b/>
          <w:color w:val="131727" w:themeColor="text1"/>
          <w:sz w:val="24"/>
        </w:rPr>
      </w:pPr>
      <w:hyperlink w:anchor="_bookmark9" w:history="1">
        <w:r w:rsidRPr="00FD40B8">
          <w:rPr>
            <w:rFonts w:ascii="Book Antiqua"/>
            <w:b/>
            <w:color w:val="131727" w:themeColor="text1"/>
            <w:sz w:val="24"/>
          </w:rPr>
          <w:t>S</w:t>
        </w:r>
        <w:r w:rsidRPr="00FD40B8">
          <w:rPr>
            <w:rFonts w:ascii="Book Antiqua"/>
            <w:b/>
            <w:color w:val="131727" w:themeColor="text1"/>
            <w:spacing w:val="-30"/>
            <w:sz w:val="24"/>
          </w:rPr>
          <w:t xml:space="preserve"> </w:t>
        </w:r>
        <w:r w:rsidRPr="00FD40B8">
          <w:rPr>
            <w:rFonts w:ascii="Book Antiqua"/>
            <w:b/>
            <w:color w:val="131727" w:themeColor="text1"/>
            <w:spacing w:val="23"/>
            <w:sz w:val="24"/>
          </w:rPr>
          <w:t>UMMARY</w:t>
        </w:r>
        <w:r w:rsidRPr="00FD40B8">
          <w:rPr>
            <w:rFonts w:ascii="Book Antiqua"/>
            <w:b/>
            <w:color w:val="131727" w:themeColor="text1"/>
            <w:spacing w:val="58"/>
            <w:sz w:val="24"/>
          </w:rPr>
          <w:t xml:space="preserve"> </w:t>
        </w:r>
        <w:r w:rsidRPr="00FD40B8">
          <w:rPr>
            <w:rFonts w:ascii="Book Antiqua"/>
            <w:b/>
            <w:color w:val="131727" w:themeColor="text1"/>
            <w:sz w:val="24"/>
          </w:rPr>
          <w:t>F</w:t>
        </w:r>
        <w:r w:rsidRPr="00FD40B8">
          <w:rPr>
            <w:rFonts w:ascii="Book Antiqua"/>
            <w:b/>
            <w:color w:val="131727" w:themeColor="text1"/>
            <w:spacing w:val="-26"/>
            <w:sz w:val="24"/>
          </w:rPr>
          <w:t xml:space="preserve"> </w:t>
        </w:r>
        <w:r w:rsidRPr="00FD40B8">
          <w:rPr>
            <w:rFonts w:ascii="Book Antiqua"/>
            <w:b/>
            <w:color w:val="131727" w:themeColor="text1"/>
            <w:spacing w:val="13"/>
            <w:sz w:val="24"/>
          </w:rPr>
          <w:t>IN</w:t>
        </w:r>
        <w:r w:rsidRPr="00FD40B8">
          <w:rPr>
            <w:rFonts w:ascii="Book Antiqua"/>
            <w:b/>
            <w:color w:val="131727" w:themeColor="text1"/>
            <w:spacing w:val="-29"/>
            <w:sz w:val="24"/>
          </w:rPr>
          <w:t xml:space="preserve"> </w:t>
        </w:r>
        <w:r w:rsidRPr="00FD40B8">
          <w:rPr>
            <w:rFonts w:ascii="Book Antiqua"/>
            <w:b/>
            <w:color w:val="131727" w:themeColor="text1"/>
            <w:sz w:val="24"/>
          </w:rPr>
          <w:t>D</w:t>
        </w:r>
        <w:r w:rsidRPr="00FD40B8">
          <w:rPr>
            <w:rFonts w:ascii="Book Antiqua"/>
            <w:b/>
            <w:color w:val="131727" w:themeColor="text1"/>
            <w:spacing w:val="-30"/>
            <w:sz w:val="24"/>
          </w:rPr>
          <w:t xml:space="preserve"> </w:t>
        </w:r>
        <w:r w:rsidRPr="00FD40B8">
          <w:rPr>
            <w:rFonts w:ascii="Book Antiqua"/>
            <w:b/>
            <w:color w:val="131727" w:themeColor="text1"/>
            <w:spacing w:val="13"/>
            <w:sz w:val="24"/>
          </w:rPr>
          <w:t>IN</w:t>
        </w:r>
        <w:r w:rsidRPr="00FD40B8">
          <w:rPr>
            <w:rFonts w:ascii="Book Antiqua"/>
            <w:b/>
            <w:color w:val="131727" w:themeColor="text1"/>
            <w:spacing w:val="-30"/>
            <w:sz w:val="24"/>
          </w:rPr>
          <w:t xml:space="preserve"> </w:t>
        </w:r>
        <w:r w:rsidRPr="00FD40B8">
          <w:rPr>
            <w:rFonts w:ascii="Book Antiqua"/>
            <w:b/>
            <w:color w:val="131727" w:themeColor="text1"/>
            <w:sz w:val="24"/>
          </w:rPr>
          <w:t>G</w:t>
        </w:r>
        <w:r w:rsidRPr="00FD40B8">
          <w:rPr>
            <w:rFonts w:ascii="Book Antiqua"/>
            <w:b/>
            <w:color w:val="131727" w:themeColor="text1"/>
            <w:spacing w:val="-29"/>
            <w:sz w:val="24"/>
          </w:rPr>
          <w:t xml:space="preserve"> </w:t>
        </w:r>
        <w:r w:rsidRPr="00FD40B8">
          <w:rPr>
            <w:rFonts w:ascii="Book Antiqua"/>
            <w:b/>
            <w:color w:val="131727" w:themeColor="text1"/>
            <w:sz w:val="24"/>
          </w:rPr>
          <w:t>S</w:t>
        </w:r>
        <w:r w:rsidRPr="00FD40B8">
          <w:rPr>
            <w:rFonts w:ascii="Book Antiqua"/>
            <w:b/>
            <w:color w:val="131727" w:themeColor="text1"/>
            <w:spacing w:val="62"/>
            <w:sz w:val="24"/>
          </w:rPr>
          <w:t xml:space="preserve"> </w:t>
        </w:r>
        <w:r w:rsidRPr="00FD40B8">
          <w:rPr>
            <w:rFonts w:ascii="Book Antiqua"/>
            <w:b/>
            <w:color w:val="131727" w:themeColor="text1"/>
            <w:spacing w:val="14"/>
            <w:sz w:val="24"/>
          </w:rPr>
          <w:t>AN</w:t>
        </w:r>
        <w:r w:rsidRPr="00FD40B8">
          <w:rPr>
            <w:rFonts w:ascii="Book Antiqua"/>
            <w:b/>
            <w:color w:val="131727" w:themeColor="text1"/>
            <w:spacing w:val="-30"/>
            <w:sz w:val="24"/>
          </w:rPr>
          <w:t xml:space="preserve"> </w:t>
        </w:r>
        <w:r w:rsidRPr="00FD40B8">
          <w:rPr>
            <w:rFonts w:ascii="Book Antiqua"/>
            <w:b/>
            <w:color w:val="131727" w:themeColor="text1"/>
            <w:sz w:val="24"/>
          </w:rPr>
          <w:t>D</w:t>
        </w:r>
        <w:r w:rsidRPr="00FD40B8">
          <w:rPr>
            <w:rFonts w:ascii="Book Antiqua"/>
            <w:b/>
            <w:color w:val="131727" w:themeColor="text1"/>
            <w:spacing w:val="62"/>
            <w:sz w:val="24"/>
          </w:rPr>
          <w:t xml:space="preserve"> </w:t>
        </w:r>
        <w:r w:rsidRPr="00FD40B8">
          <w:rPr>
            <w:rFonts w:ascii="Book Antiqua"/>
            <w:b/>
            <w:color w:val="131727" w:themeColor="text1"/>
            <w:spacing w:val="14"/>
            <w:sz w:val="24"/>
          </w:rPr>
          <w:t>RE</w:t>
        </w:r>
        <w:r w:rsidRPr="00FD40B8">
          <w:rPr>
            <w:rFonts w:ascii="Book Antiqua"/>
            <w:b/>
            <w:color w:val="131727" w:themeColor="text1"/>
            <w:spacing w:val="-29"/>
            <w:sz w:val="24"/>
          </w:rPr>
          <w:t xml:space="preserve"> </w:t>
        </w:r>
        <w:r w:rsidRPr="00FD40B8">
          <w:rPr>
            <w:rFonts w:ascii="Book Antiqua"/>
            <w:b/>
            <w:color w:val="131727" w:themeColor="text1"/>
            <w:spacing w:val="14"/>
            <w:sz w:val="24"/>
          </w:rPr>
          <w:t>CO</w:t>
        </w:r>
        <w:r w:rsidRPr="00FD40B8">
          <w:rPr>
            <w:rFonts w:ascii="Book Antiqua"/>
            <w:b/>
            <w:color w:val="131727" w:themeColor="text1"/>
            <w:spacing w:val="-25"/>
            <w:sz w:val="24"/>
          </w:rPr>
          <w:t xml:space="preserve"> </w:t>
        </w:r>
        <w:r w:rsidRPr="00FD40B8">
          <w:rPr>
            <w:rFonts w:ascii="Book Antiqua"/>
            <w:b/>
            <w:color w:val="131727" w:themeColor="text1"/>
            <w:spacing w:val="18"/>
            <w:sz w:val="24"/>
          </w:rPr>
          <w:t>MME</w:t>
        </w:r>
        <w:r w:rsidRPr="00FD40B8">
          <w:rPr>
            <w:rFonts w:ascii="Book Antiqua"/>
            <w:b/>
            <w:color w:val="131727" w:themeColor="text1"/>
            <w:spacing w:val="-30"/>
            <w:sz w:val="24"/>
          </w:rPr>
          <w:t xml:space="preserve"> </w:t>
        </w:r>
        <w:r w:rsidRPr="00FD40B8">
          <w:rPr>
            <w:rFonts w:ascii="Book Antiqua"/>
            <w:b/>
            <w:color w:val="131727" w:themeColor="text1"/>
            <w:sz w:val="24"/>
          </w:rPr>
          <w:t>N</w:t>
        </w:r>
        <w:r w:rsidRPr="00FD40B8">
          <w:rPr>
            <w:rFonts w:ascii="Book Antiqua"/>
            <w:b/>
            <w:color w:val="131727" w:themeColor="text1"/>
            <w:spacing w:val="-29"/>
            <w:sz w:val="24"/>
          </w:rPr>
          <w:t xml:space="preserve"> </w:t>
        </w:r>
        <w:r w:rsidRPr="00FD40B8">
          <w:rPr>
            <w:rFonts w:ascii="Book Antiqua"/>
            <w:b/>
            <w:color w:val="131727" w:themeColor="text1"/>
            <w:sz w:val="24"/>
          </w:rPr>
          <w:t>D</w:t>
        </w:r>
        <w:r w:rsidRPr="00FD40B8">
          <w:rPr>
            <w:rFonts w:ascii="Book Antiqua"/>
            <w:b/>
            <w:color w:val="131727" w:themeColor="text1"/>
            <w:spacing w:val="-30"/>
            <w:sz w:val="24"/>
          </w:rPr>
          <w:t xml:space="preserve"> </w:t>
        </w:r>
        <w:r w:rsidRPr="00FD40B8">
          <w:rPr>
            <w:rFonts w:ascii="Book Antiqua"/>
            <w:b/>
            <w:color w:val="131727" w:themeColor="text1"/>
            <w:spacing w:val="20"/>
            <w:sz w:val="24"/>
          </w:rPr>
          <w:t>ATIO</w:t>
        </w:r>
        <w:r w:rsidRPr="00FD40B8">
          <w:rPr>
            <w:rFonts w:ascii="Book Antiqua"/>
            <w:b/>
            <w:color w:val="131727" w:themeColor="text1"/>
            <w:spacing w:val="-30"/>
            <w:sz w:val="24"/>
          </w:rPr>
          <w:t xml:space="preserve"> </w:t>
        </w:r>
        <w:r w:rsidRPr="00FD40B8">
          <w:rPr>
            <w:rFonts w:ascii="Book Antiqua"/>
            <w:b/>
            <w:color w:val="131727" w:themeColor="text1"/>
            <w:sz w:val="24"/>
          </w:rPr>
          <w:t>N</w:t>
        </w:r>
        <w:r w:rsidRPr="00FD40B8">
          <w:rPr>
            <w:rFonts w:ascii="Book Antiqua"/>
            <w:b/>
            <w:color w:val="131727" w:themeColor="text1"/>
            <w:spacing w:val="-29"/>
            <w:sz w:val="24"/>
          </w:rPr>
          <w:t xml:space="preserve"> </w:t>
        </w:r>
        <w:r w:rsidRPr="00FD40B8">
          <w:rPr>
            <w:rFonts w:ascii="Book Antiqua"/>
            <w:b/>
            <w:color w:val="131727" w:themeColor="text1"/>
            <w:spacing w:val="-10"/>
            <w:sz w:val="24"/>
          </w:rPr>
          <w:t>S</w:t>
        </w:r>
        <w:r w:rsidRPr="00FD40B8">
          <w:rPr>
            <w:rFonts w:ascii="Book Antiqua"/>
            <w:b/>
            <w:color w:val="131727" w:themeColor="text1"/>
            <w:sz w:val="24"/>
          </w:rPr>
          <w:tab/>
        </w:r>
        <w:r w:rsidRPr="00FD40B8">
          <w:rPr>
            <w:rFonts w:ascii="Book Antiqua"/>
            <w:b/>
            <w:color w:val="131727" w:themeColor="text1"/>
            <w:spacing w:val="-10"/>
            <w:sz w:val="24"/>
          </w:rPr>
          <w:t>6</w:t>
        </w:r>
      </w:hyperlink>
    </w:p>
    <w:p w14:paraId="163CCFBD" w14:textId="77777777" w:rsidR="00811887" w:rsidRPr="00FD40B8" w:rsidRDefault="00811887" w:rsidP="00811887">
      <w:pPr>
        <w:tabs>
          <w:tab w:val="left" w:pos="9617"/>
        </w:tabs>
        <w:spacing w:before="171"/>
        <w:ind w:left="508"/>
        <w:rPr>
          <w:rFonts w:ascii="Book Antiqua"/>
          <w:b/>
          <w:color w:val="131727" w:themeColor="text1"/>
          <w:sz w:val="24"/>
        </w:rPr>
      </w:pPr>
      <w:hyperlink w:anchor="_bookmark17" w:history="1">
        <w:r w:rsidRPr="00FD40B8">
          <w:rPr>
            <w:rFonts w:ascii="Book Antiqua"/>
            <w:b/>
            <w:color w:val="131727" w:themeColor="text1"/>
            <w:sz w:val="24"/>
          </w:rPr>
          <w:t>H</w:t>
        </w:r>
        <w:r w:rsidRPr="00FD40B8">
          <w:rPr>
            <w:rFonts w:ascii="Book Antiqua"/>
            <w:b/>
            <w:color w:val="131727" w:themeColor="text1"/>
            <w:spacing w:val="-32"/>
            <w:sz w:val="24"/>
          </w:rPr>
          <w:t xml:space="preserve"> </w:t>
        </w:r>
        <w:r w:rsidRPr="00FD40B8">
          <w:rPr>
            <w:rFonts w:ascii="Book Antiqua"/>
            <w:b/>
            <w:color w:val="131727" w:themeColor="text1"/>
            <w:sz w:val="24"/>
          </w:rPr>
          <w:t>O</w:t>
        </w:r>
        <w:r w:rsidRPr="00FD40B8">
          <w:rPr>
            <w:rFonts w:ascii="Book Antiqua"/>
            <w:b/>
            <w:color w:val="131727" w:themeColor="text1"/>
            <w:spacing w:val="-30"/>
            <w:sz w:val="24"/>
          </w:rPr>
          <w:t xml:space="preserve"> </w:t>
        </w:r>
        <w:r w:rsidRPr="00FD40B8">
          <w:rPr>
            <w:rFonts w:ascii="Book Antiqua"/>
            <w:b/>
            <w:color w:val="131727" w:themeColor="text1"/>
            <w:spacing w:val="14"/>
            <w:sz w:val="24"/>
          </w:rPr>
          <w:t>US</w:t>
        </w:r>
        <w:r w:rsidRPr="00FD40B8">
          <w:rPr>
            <w:rFonts w:ascii="Book Antiqua"/>
            <w:b/>
            <w:color w:val="131727" w:themeColor="text1"/>
            <w:spacing w:val="-30"/>
            <w:sz w:val="24"/>
          </w:rPr>
          <w:t xml:space="preserve"> </w:t>
        </w:r>
        <w:r w:rsidRPr="00FD40B8">
          <w:rPr>
            <w:rFonts w:ascii="Book Antiqua"/>
            <w:b/>
            <w:color w:val="131727" w:themeColor="text1"/>
            <w:spacing w:val="13"/>
            <w:sz w:val="24"/>
          </w:rPr>
          <w:t>IN</w:t>
        </w:r>
        <w:r w:rsidRPr="00FD40B8">
          <w:rPr>
            <w:rFonts w:ascii="Book Antiqua"/>
            <w:b/>
            <w:color w:val="131727" w:themeColor="text1"/>
            <w:spacing w:val="-30"/>
            <w:sz w:val="24"/>
          </w:rPr>
          <w:t xml:space="preserve"> </w:t>
        </w:r>
        <w:r w:rsidRPr="00FD40B8">
          <w:rPr>
            <w:rFonts w:ascii="Book Antiqua"/>
            <w:b/>
            <w:color w:val="131727" w:themeColor="text1"/>
            <w:sz w:val="24"/>
          </w:rPr>
          <w:t>G</w:t>
        </w:r>
        <w:r w:rsidRPr="00FD40B8">
          <w:rPr>
            <w:rFonts w:ascii="Book Antiqua"/>
            <w:b/>
            <w:color w:val="131727" w:themeColor="text1"/>
            <w:spacing w:val="62"/>
            <w:sz w:val="24"/>
          </w:rPr>
          <w:t xml:space="preserve"> </w:t>
        </w:r>
        <w:r w:rsidRPr="00FD40B8">
          <w:rPr>
            <w:rFonts w:ascii="Book Antiqua"/>
            <w:b/>
            <w:color w:val="131727" w:themeColor="text1"/>
            <w:sz w:val="24"/>
          </w:rPr>
          <w:t>N</w:t>
        </w:r>
        <w:r w:rsidRPr="00FD40B8">
          <w:rPr>
            <w:rFonts w:ascii="Book Antiqua"/>
            <w:b/>
            <w:color w:val="131727" w:themeColor="text1"/>
            <w:spacing w:val="-30"/>
            <w:sz w:val="24"/>
          </w:rPr>
          <w:t xml:space="preserve"> </w:t>
        </w:r>
        <w:r w:rsidRPr="00FD40B8">
          <w:rPr>
            <w:rFonts w:ascii="Book Antiqua"/>
            <w:b/>
            <w:color w:val="131727" w:themeColor="text1"/>
            <w:sz w:val="24"/>
          </w:rPr>
          <w:t>E</w:t>
        </w:r>
        <w:r w:rsidRPr="00FD40B8">
          <w:rPr>
            <w:rFonts w:ascii="Book Antiqua"/>
            <w:b/>
            <w:color w:val="131727" w:themeColor="text1"/>
            <w:spacing w:val="-30"/>
            <w:sz w:val="24"/>
          </w:rPr>
          <w:t xml:space="preserve"> </w:t>
        </w:r>
        <w:r w:rsidRPr="00FD40B8">
          <w:rPr>
            <w:rFonts w:ascii="Book Antiqua"/>
            <w:b/>
            <w:color w:val="131727" w:themeColor="text1"/>
            <w:sz w:val="24"/>
          </w:rPr>
          <w:t>E</w:t>
        </w:r>
        <w:r w:rsidRPr="00FD40B8">
          <w:rPr>
            <w:rFonts w:ascii="Book Antiqua"/>
            <w:b/>
            <w:color w:val="131727" w:themeColor="text1"/>
            <w:spacing w:val="-30"/>
            <w:sz w:val="24"/>
          </w:rPr>
          <w:t xml:space="preserve"> </w:t>
        </w:r>
        <w:r w:rsidRPr="00FD40B8">
          <w:rPr>
            <w:rFonts w:ascii="Book Antiqua"/>
            <w:b/>
            <w:color w:val="131727" w:themeColor="text1"/>
            <w:sz w:val="24"/>
          </w:rPr>
          <w:t>D</w:t>
        </w:r>
        <w:r w:rsidRPr="00FD40B8">
          <w:rPr>
            <w:rFonts w:ascii="Book Antiqua"/>
            <w:b/>
            <w:color w:val="131727" w:themeColor="text1"/>
            <w:spacing w:val="62"/>
            <w:sz w:val="24"/>
          </w:rPr>
          <w:t xml:space="preserve"> </w:t>
        </w:r>
        <w:r w:rsidRPr="00FD40B8">
          <w:rPr>
            <w:rFonts w:ascii="Book Antiqua"/>
            <w:b/>
            <w:color w:val="131727" w:themeColor="text1"/>
            <w:spacing w:val="14"/>
            <w:sz w:val="24"/>
          </w:rPr>
          <w:t>AN</w:t>
        </w:r>
        <w:r w:rsidRPr="00FD40B8">
          <w:rPr>
            <w:rFonts w:ascii="Book Antiqua"/>
            <w:b/>
            <w:color w:val="131727" w:themeColor="text1"/>
            <w:spacing w:val="-30"/>
            <w:sz w:val="24"/>
          </w:rPr>
          <w:t xml:space="preserve"> </w:t>
        </w:r>
        <w:r w:rsidRPr="00FD40B8">
          <w:rPr>
            <w:rFonts w:ascii="Book Antiqua"/>
            <w:b/>
            <w:color w:val="131727" w:themeColor="text1"/>
            <w:spacing w:val="14"/>
            <w:sz w:val="24"/>
          </w:rPr>
          <w:t>AL</w:t>
        </w:r>
        <w:r w:rsidRPr="00FD40B8">
          <w:rPr>
            <w:rFonts w:ascii="Book Antiqua"/>
            <w:b/>
            <w:color w:val="131727" w:themeColor="text1"/>
            <w:spacing w:val="-30"/>
            <w:sz w:val="24"/>
          </w:rPr>
          <w:t xml:space="preserve"> </w:t>
        </w:r>
        <w:r w:rsidRPr="00FD40B8">
          <w:rPr>
            <w:rFonts w:ascii="Book Antiqua"/>
            <w:b/>
            <w:color w:val="131727" w:themeColor="text1"/>
            <w:spacing w:val="13"/>
            <w:sz w:val="24"/>
          </w:rPr>
          <w:t>YS</w:t>
        </w:r>
        <w:r w:rsidRPr="00FD40B8">
          <w:rPr>
            <w:rFonts w:ascii="Book Antiqua"/>
            <w:b/>
            <w:color w:val="131727" w:themeColor="text1"/>
            <w:spacing w:val="-29"/>
            <w:sz w:val="24"/>
          </w:rPr>
          <w:t xml:space="preserve"> </w:t>
        </w:r>
        <w:r w:rsidRPr="00FD40B8">
          <w:rPr>
            <w:rFonts w:ascii="Book Antiqua"/>
            <w:b/>
            <w:color w:val="131727" w:themeColor="text1"/>
            <w:spacing w:val="8"/>
            <w:sz w:val="24"/>
          </w:rPr>
          <w:t>IS</w:t>
        </w:r>
        <w:r w:rsidRPr="00FD40B8">
          <w:rPr>
            <w:rFonts w:ascii="Book Antiqua"/>
            <w:b/>
            <w:color w:val="131727" w:themeColor="text1"/>
            <w:sz w:val="24"/>
          </w:rPr>
          <w:tab/>
        </w:r>
        <w:r w:rsidRPr="00FD40B8">
          <w:rPr>
            <w:rFonts w:ascii="Book Antiqua"/>
            <w:b/>
            <w:color w:val="131727" w:themeColor="text1"/>
            <w:spacing w:val="9"/>
            <w:sz w:val="24"/>
          </w:rPr>
          <w:t xml:space="preserve">10 </w:t>
        </w:r>
      </w:hyperlink>
    </w:p>
    <w:p w14:paraId="35FA43DA" w14:textId="77777777" w:rsidR="00811887" w:rsidRPr="00FD40B8" w:rsidRDefault="00811887" w:rsidP="00811887">
      <w:pPr>
        <w:pStyle w:val="BodyText"/>
        <w:tabs>
          <w:tab w:val="left" w:leader="dot" w:pos="9685"/>
        </w:tabs>
        <w:spacing w:before="49"/>
        <w:ind w:left="537"/>
        <w:rPr>
          <w:color w:val="131727" w:themeColor="text1"/>
        </w:rPr>
      </w:pPr>
      <w:hyperlink w:anchor="_bookmark18" w:history="1">
        <w:r w:rsidRPr="00FD40B8">
          <w:rPr>
            <w:color w:val="131727" w:themeColor="text1"/>
            <w:w w:val="110"/>
          </w:rPr>
          <w:t>The importance</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stable and appropriate</w:t>
        </w:r>
        <w:r w:rsidRPr="00FD40B8">
          <w:rPr>
            <w:color w:val="131727" w:themeColor="text1"/>
            <w:spacing w:val="-5"/>
            <w:w w:val="110"/>
          </w:rPr>
          <w:t xml:space="preserve"> </w:t>
        </w:r>
        <w:r w:rsidRPr="00FD40B8">
          <w:rPr>
            <w:color w:val="131727" w:themeColor="text1"/>
            <w:spacing w:val="-2"/>
            <w:w w:val="110"/>
          </w:rPr>
          <w:t>housing</w:t>
        </w:r>
        <w:r w:rsidRPr="00FD40B8">
          <w:rPr>
            <w:color w:val="131727" w:themeColor="text1"/>
          </w:rPr>
          <w:tab/>
        </w:r>
        <w:r w:rsidRPr="00FD40B8">
          <w:rPr>
            <w:color w:val="131727" w:themeColor="text1"/>
            <w:spacing w:val="-5"/>
            <w:w w:val="110"/>
          </w:rPr>
          <w:t>10</w:t>
        </w:r>
      </w:hyperlink>
    </w:p>
    <w:p w14:paraId="5D09D2E4" w14:textId="77777777" w:rsidR="00811887" w:rsidRPr="00FD40B8" w:rsidRDefault="00811887" w:rsidP="00811887">
      <w:pPr>
        <w:pStyle w:val="BodyText"/>
        <w:tabs>
          <w:tab w:val="left" w:leader="dot" w:pos="9685"/>
        </w:tabs>
        <w:spacing w:before="58"/>
        <w:ind w:left="537"/>
        <w:rPr>
          <w:color w:val="131727" w:themeColor="text1"/>
        </w:rPr>
      </w:pPr>
      <w:hyperlink w:anchor="_bookmark27" w:history="1">
        <w:r w:rsidRPr="00FD40B8">
          <w:rPr>
            <w:color w:val="131727" w:themeColor="text1"/>
            <w:w w:val="110"/>
          </w:rPr>
          <w:t>Current</w:t>
        </w:r>
        <w:r w:rsidRPr="00FD40B8">
          <w:rPr>
            <w:color w:val="131727" w:themeColor="text1"/>
            <w:spacing w:val="7"/>
            <w:w w:val="110"/>
          </w:rPr>
          <w:t xml:space="preserve"> </w:t>
        </w:r>
        <w:r w:rsidRPr="00FD40B8">
          <w:rPr>
            <w:color w:val="131727" w:themeColor="text1"/>
            <w:w w:val="110"/>
          </w:rPr>
          <w:t>picture</w:t>
        </w:r>
        <w:r w:rsidRPr="00FD40B8">
          <w:rPr>
            <w:color w:val="131727" w:themeColor="text1"/>
            <w:spacing w:val="1"/>
            <w:w w:val="110"/>
          </w:rPr>
          <w:t xml:space="preserve"> </w:t>
        </w:r>
        <w:r w:rsidRPr="00FD40B8">
          <w:rPr>
            <w:color w:val="131727" w:themeColor="text1"/>
            <w:w w:val="110"/>
          </w:rPr>
          <w:t>of</w:t>
        </w:r>
        <w:r w:rsidRPr="00FD40B8">
          <w:rPr>
            <w:color w:val="131727" w:themeColor="text1"/>
            <w:spacing w:val="9"/>
            <w:w w:val="110"/>
          </w:rPr>
          <w:t xml:space="preserve"> </w:t>
        </w:r>
        <w:r w:rsidRPr="00FD40B8">
          <w:rPr>
            <w:color w:val="131727" w:themeColor="text1"/>
            <w:w w:val="110"/>
          </w:rPr>
          <w:t>homelessness</w:t>
        </w:r>
        <w:r w:rsidRPr="00FD40B8">
          <w:rPr>
            <w:color w:val="131727" w:themeColor="text1"/>
            <w:spacing w:val="9"/>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spacing w:val="-2"/>
            <w:w w:val="110"/>
          </w:rPr>
          <w:t>overcrowding</w:t>
        </w:r>
        <w:r w:rsidRPr="00FD40B8">
          <w:rPr>
            <w:color w:val="131727" w:themeColor="text1"/>
          </w:rPr>
          <w:tab/>
        </w:r>
        <w:r w:rsidRPr="00FD40B8">
          <w:rPr>
            <w:color w:val="131727" w:themeColor="text1"/>
            <w:spacing w:val="-5"/>
            <w:w w:val="110"/>
          </w:rPr>
          <w:t>11</w:t>
        </w:r>
      </w:hyperlink>
    </w:p>
    <w:p w14:paraId="5CEC66B8" w14:textId="77777777" w:rsidR="00811887" w:rsidRPr="00FD40B8" w:rsidRDefault="00811887" w:rsidP="00811887">
      <w:pPr>
        <w:pStyle w:val="BodyText"/>
        <w:tabs>
          <w:tab w:val="left" w:leader="dot" w:pos="9685"/>
        </w:tabs>
        <w:spacing w:before="54"/>
        <w:ind w:left="537"/>
        <w:rPr>
          <w:color w:val="131727" w:themeColor="text1"/>
        </w:rPr>
      </w:pPr>
      <w:hyperlink w:anchor="_bookmark36" w:history="1">
        <w:r w:rsidRPr="00FD40B8">
          <w:rPr>
            <w:color w:val="131727" w:themeColor="text1"/>
            <w:w w:val="110"/>
          </w:rPr>
          <w:t>Estimating</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7"/>
            <w:w w:val="110"/>
          </w:rPr>
          <w:t xml:space="preserve"> </w:t>
        </w:r>
        <w:r w:rsidRPr="00FD40B8">
          <w:rPr>
            <w:color w:val="131727" w:themeColor="text1"/>
            <w:spacing w:val="-4"/>
            <w:w w:val="110"/>
          </w:rPr>
          <w:t>need</w:t>
        </w:r>
        <w:r w:rsidRPr="00FD40B8">
          <w:rPr>
            <w:color w:val="131727" w:themeColor="text1"/>
          </w:rPr>
          <w:tab/>
        </w:r>
        <w:r w:rsidRPr="00FD40B8">
          <w:rPr>
            <w:color w:val="131727" w:themeColor="text1"/>
            <w:spacing w:val="-5"/>
            <w:w w:val="110"/>
          </w:rPr>
          <w:t>12</w:t>
        </w:r>
      </w:hyperlink>
    </w:p>
    <w:p w14:paraId="742D7E47" w14:textId="77777777" w:rsidR="00811887" w:rsidRPr="00FD40B8" w:rsidRDefault="00811887" w:rsidP="00811887">
      <w:pPr>
        <w:pStyle w:val="BodyText"/>
        <w:tabs>
          <w:tab w:val="left" w:leader="dot" w:pos="9685"/>
        </w:tabs>
        <w:spacing w:before="58"/>
        <w:ind w:left="537"/>
        <w:rPr>
          <w:color w:val="131727" w:themeColor="text1"/>
        </w:rPr>
      </w:pPr>
      <w:hyperlink w:anchor="_bookmark47" w:history="1">
        <w:r w:rsidRPr="00FD40B8">
          <w:rPr>
            <w:color w:val="131727" w:themeColor="text1"/>
            <w:w w:val="110"/>
          </w:rPr>
          <w:t>Estimating</w:t>
        </w:r>
        <w:r w:rsidRPr="00FD40B8">
          <w:rPr>
            <w:color w:val="131727" w:themeColor="text1"/>
            <w:spacing w:val="-9"/>
            <w:w w:val="110"/>
          </w:rPr>
          <w:t xml:space="preserve"> </w:t>
        </w:r>
        <w:r w:rsidRPr="00FD40B8">
          <w:rPr>
            <w:color w:val="131727" w:themeColor="text1"/>
            <w:w w:val="110"/>
          </w:rPr>
          <w:t>exitsing</w:t>
        </w:r>
        <w:r w:rsidRPr="00FD40B8">
          <w:rPr>
            <w:color w:val="131727" w:themeColor="text1"/>
            <w:spacing w:val="-8"/>
            <w:w w:val="110"/>
          </w:rPr>
          <w:t xml:space="preserve"> </w:t>
        </w:r>
        <w:r w:rsidRPr="00FD40B8">
          <w:rPr>
            <w:color w:val="131727" w:themeColor="text1"/>
            <w:w w:val="110"/>
          </w:rPr>
          <w:t>efforts</w:t>
        </w:r>
        <w:r w:rsidRPr="00FD40B8">
          <w:rPr>
            <w:color w:val="131727" w:themeColor="text1"/>
            <w:spacing w:val="-8"/>
            <w:w w:val="110"/>
          </w:rPr>
          <w:t xml:space="preserve"> </w:t>
        </w:r>
        <w:r w:rsidRPr="00FD40B8">
          <w:rPr>
            <w:color w:val="131727" w:themeColor="text1"/>
            <w:w w:val="110"/>
          </w:rPr>
          <w:t>against</w:t>
        </w:r>
        <w:r w:rsidRPr="00FD40B8">
          <w:rPr>
            <w:color w:val="131727" w:themeColor="text1"/>
            <w:spacing w:val="-12"/>
            <w:w w:val="110"/>
          </w:rPr>
          <w:t xml:space="preserve"> </w:t>
        </w:r>
        <w:r w:rsidRPr="00FD40B8">
          <w:rPr>
            <w:color w:val="131727" w:themeColor="text1"/>
            <w:spacing w:val="-4"/>
            <w:w w:val="110"/>
          </w:rPr>
          <w:t>need</w:t>
        </w:r>
        <w:r w:rsidRPr="00FD40B8">
          <w:rPr>
            <w:color w:val="131727" w:themeColor="text1"/>
          </w:rPr>
          <w:tab/>
        </w:r>
        <w:r w:rsidRPr="00FD40B8">
          <w:rPr>
            <w:color w:val="131727" w:themeColor="text1"/>
            <w:spacing w:val="-5"/>
            <w:w w:val="110"/>
          </w:rPr>
          <w:t>17</w:t>
        </w:r>
      </w:hyperlink>
    </w:p>
    <w:p w14:paraId="1052570B" w14:textId="77777777" w:rsidR="00811887" w:rsidRPr="00517A32" w:rsidRDefault="00811887" w:rsidP="00811887">
      <w:pPr>
        <w:tabs>
          <w:tab w:val="left" w:pos="9617"/>
        </w:tabs>
        <w:spacing w:before="172"/>
        <w:ind w:left="508"/>
        <w:rPr>
          <w:rFonts w:ascii="Book Antiqua"/>
          <w:b/>
          <w:color w:val="131727" w:themeColor="text1"/>
          <w:sz w:val="24"/>
          <w:lang w:val="it-IT"/>
        </w:rPr>
      </w:pPr>
      <w:hyperlink w:anchor="_bookmark68" w:history="1">
        <w:r w:rsidRPr="00517A32">
          <w:rPr>
            <w:rFonts w:ascii="Book Antiqua"/>
            <w:b/>
            <w:color w:val="131727" w:themeColor="text1"/>
            <w:spacing w:val="22"/>
            <w:sz w:val="24"/>
            <w:lang w:val="it-IT"/>
          </w:rPr>
          <w:t>CURRE</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N</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T</w:t>
        </w:r>
        <w:r w:rsidRPr="00517A32">
          <w:rPr>
            <w:rFonts w:ascii="Book Antiqua"/>
            <w:b/>
            <w:color w:val="131727" w:themeColor="text1"/>
            <w:spacing w:val="58"/>
            <w:sz w:val="24"/>
            <w:lang w:val="it-IT"/>
          </w:rPr>
          <w:t xml:space="preserve"> </w:t>
        </w:r>
        <w:r w:rsidRPr="00517A32">
          <w:rPr>
            <w:rFonts w:ascii="Book Antiqua"/>
            <w:b/>
            <w:color w:val="131727" w:themeColor="text1"/>
            <w:sz w:val="24"/>
            <w:lang w:val="it-IT"/>
          </w:rPr>
          <w:t>H</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O</w:t>
        </w:r>
        <w:r w:rsidRPr="00517A32">
          <w:rPr>
            <w:rFonts w:ascii="Book Antiqua"/>
            <w:b/>
            <w:color w:val="131727" w:themeColor="text1"/>
            <w:spacing w:val="-30"/>
            <w:sz w:val="24"/>
            <w:lang w:val="it-IT"/>
          </w:rPr>
          <w:t xml:space="preserve"> </w:t>
        </w:r>
        <w:r w:rsidRPr="00517A32">
          <w:rPr>
            <w:rFonts w:ascii="Book Antiqua"/>
            <w:b/>
            <w:color w:val="131727" w:themeColor="text1"/>
            <w:spacing w:val="14"/>
            <w:sz w:val="24"/>
            <w:lang w:val="it-IT"/>
          </w:rPr>
          <w:t>US</w:t>
        </w:r>
        <w:r w:rsidRPr="00517A32">
          <w:rPr>
            <w:rFonts w:ascii="Book Antiqua"/>
            <w:b/>
            <w:color w:val="131727" w:themeColor="text1"/>
            <w:spacing w:val="-25"/>
            <w:sz w:val="24"/>
            <w:lang w:val="it-IT"/>
          </w:rPr>
          <w:t xml:space="preserve"> </w:t>
        </w:r>
        <w:r w:rsidRPr="00517A32">
          <w:rPr>
            <w:rFonts w:ascii="Book Antiqua"/>
            <w:b/>
            <w:color w:val="131727" w:themeColor="text1"/>
            <w:spacing w:val="13"/>
            <w:sz w:val="24"/>
            <w:lang w:val="it-IT"/>
          </w:rPr>
          <w:t>IN</w:t>
        </w:r>
        <w:r w:rsidRPr="00517A32">
          <w:rPr>
            <w:rFonts w:ascii="Book Antiqua"/>
            <w:b/>
            <w:color w:val="131727" w:themeColor="text1"/>
            <w:spacing w:val="-29"/>
            <w:sz w:val="24"/>
            <w:lang w:val="it-IT"/>
          </w:rPr>
          <w:t xml:space="preserve"> </w:t>
        </w:r>
        <w:r w:rsidRPr="00517A32">
          <w:rPr>
            <w:rFonts w:ascii="Book Antiqua"/>
            <w:b/>
            <w:color w:val="131727" w:themeColor="text1"/>
            <w:sz w:val="24"/>
            <w:lang w:val="it-IT"/>
          </w:rPr>
          <w:t>G</w:t>
        </w:r>
        <w:r w:rsidRPr="00517A32">
          <w:rPr>
            <w:rFonts w:ascii="Book Antiqua"/>
            <w:b/>
            <w:color w:val="131727" w:themeColor="text1"/>
            <w:spacing w:val="62"/>
            <w:sz w:val="24"/>
            <w:lang w:val="it-IT"/>
          </w:rPr>
          <w:t xml:space="preserve"> </w:t>
        </w:r>
        <w:r w:rsidRPr="00517A32">
          <w:rPr>
            <w:rFonts w:ascii="Book Antiqua"/>
            <w:b/>
            <w:color w:val="131727" w:themeColor="text1"/>
            <w:sz w:val="24"/>
            <w:lang w:val="it-IT"/>
          </w:rPr>
          <w:t>D</w:t>
        </w:r>
        <w:r w:rsidRPr="00517A32">
          <w:rPr>
            <w:rFonts w:ascii="Book Antiqua"/>
            <w:b/>
            <w:color w:val="131727" w:themeColor="text1"/>
            <w:spacing w:val="-30"/>
            <w:sz w:val="24"/>
            <w:lang w:val="it-IT"/>
          </w:rPr>
          <w:t xml:space="preserve"> </w:t>
        </w:r>
        <w:r w:rsidRPr="00517A32">
          <w:rPr>
            <w:rFonts w:ascii="Book Antiqua"/>
            <w:b/>
            <w:color w:val="131727" w:themeColor="text1"/>
            <w:spacing w:val="18"/>
            <w:sz w:val="24"/>
            <w:lang w:val="it-IT"/>
          </w:rPr>
          <w:t>ATA</w:t>
        </w:r>
        <w:r w:rsidRPr="00517A32">
          <w:rPr>
            <w:rFonts w:ascii="Book Antiqua"/>
            <w:b/>
            <w:color w:val="131727" w:themeColor="text1"/>
            <w:spacing w:val="61"/>
            <w:sz w:val="24"/>
            <w:lang w:val="it-IT"/>
          </w:rPr>
          <w:t xml:space="preserve"> </w:t>
        </w:r>
        <w:r w:rsidRPr="00517A32">
          <w:rPr>
            <w:rFonts w:ascii="Book Antiqua"/>
            <w:b/>
            <w:color w:val="131727" w:themeColor="text1"/>
            <w:spacing w:val="14"/>
            <w:sz w:val="24"/>
            <w:lang w:val="it-IT"/>
          </w:rPr>
          <w:t>CO</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L</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L</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E</w:t>
        </w:r>
        <w:r w:rsidRPr="00517A32">
          <w:rPr>
            <w:rFonts w:ascii="Book Antiqua"/>
            <w:b/>
            <w:color w:val="131727" w:themeColor="text1"/>
            <w:spacing w:val="-29"/>
            <w:sz w:val="24"/>
            <w:lang w:val="it-IT"/>
          </w:rPr>
          <w:t xml:space="preserve"> </w:t>
        </w:r>
        <w:r w:rsidRPr="00517A32">
          <w:rPr>
            <w:rFonts w:ascii="Book Antiqua"/>
            <w:b/>
            <w:color w:val="131727" w:themeColor="text1"/>
            <w:spacing w:val="20"/>
            <w:sz w:val="24"/>
            <w:lang w:val="it-IT"/>
          </w:rPr>
          <w:t>CTIO</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N</w:t>
        </w:r>
        <w:r w:rsidRPr="00517A32">
          <w:rPr>
            <w:rFonts w:ascii="Book Antiqua"/>
            <w:b/>
            <w:color w:val="131727" w:themeColor="text1"/>
            <w:spacing w:val="62"/>
            <w:sz w:val="24"/>
            <w:lang w:val="it-IT"/>
          </w:rPr>
          <w:t xml:space="preserve"> </w:t>
        </w:r>
        <w:r w:rsidRPr="00517A32">
          <w:rPr>
            <w:rFonts w:ascii="Book Antiqua"/>
            <w:b/>
            <w:color w:val="131727" w:themeColor="text1"/>
            <w:spacing w:val="14"/>
            <w:sz w:val="24"/>
            <w:lang w:val="it-IT"/>
          </w:rPr>
          <w:t>AD</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E</w:t>
        </w:r>
        <w:r w:rsidRPr="00517A32">
          <w:rPr>
            <w:rFonts w:ascii="Book Antiqua"/>
            <w:b/>
            <w:color w:val="131727" w:themeColor="text1"/>
            <w:spacing w:val="-30"/>
            <w:sz w:val="24"/>
            <w:lang w:val="it-IT"/>
          </w:rPr>
          <w:t xml:space="preserve"> </w:t>
        </w:r>
        <w:r w:rsidRPr="00517A32">
          <w:rPr>
            <w:rFonts w:ascii="Book Antiqua"/>
            <w:b/>
            <w:color w:val="131727" w:themeColor="text1"/>
            <w:sz w:val="24"/>
            <w:lang w:val="it-IT"/>
          </w:rPr>
          <w:t>Q</w:t>
        </w:r>
        <w:r w:rsidRPr="00517A32">
          <w:rPr>
            <w:rFonts w:ascii="Book Antiqua"/>
            <w:b/>
            <w:color w:val="131727" w:themeColor="text1"/>
            <w:spacing w:val="-30"/>
            <w:sz w:val="24"/>
            <w:lang w:val="it-IT"/>
          </w:rPr>
          <w:t xml:space="preserve"> </w:t>
        </w:r>
        <w:r w:rsidRPr="00517A32">
          <w:rPr>
            <w:rFonts w:ascii="Book Antiqua"/>
            <w:b/>
            <w:color w:val="131727" w:themeColor="text1"/>
            <w:spacing w:val="19"/>
            <w:sz w:val="24"/>
            <w:lang w:val="it-IT"/>
          </w:rPr>
          <w:t>UAC</w:t>
        </w:r>
        <w:r w:rsidRPr="00517A32">
          <w:rPr>
            <w:rFonts w:ascii="Book Antiqua"/>
            <w:b/>
            <w:color w:val="131727" w:themeColor="text1"/>
            <w:spacing w:val="-27"/>
            <w:sz w:val="24"/>
            <w:lang w:val="it-IT"/>
          </w:rPr>
          <w:t xml:space="preserve"> </w:t>
        </w:r>
        <w:r w:rsidRPr="00517A32">
          <w:rPr>
            <w:rFonts w:ascii="Book Antiqua"/>
            <w:b/>
            <w:color w:val="131727" w:themeColor="text1"/>
            <w:spacing w:val="-10"/>
            <w:sz w:val="24"/>
            <w:lang w:val="it-IT"/>
          </w:rPr>
          <w:t>Y</w:t>
        </w:r>
        <w:r w:rsidRPr="00517A32">
          <w:rPr>
            <w:rFonts w:ascii="Book Antiqua"/>
            <w:b/>
            <w:color w:val="131727" w:themeColor="text1"/>
            <w:sz w:val="24"/>
            <w:lang w:val="it-IT"/>
          </w:rPr>
          <w:tab/>
        </w:r>
        <w:r w:rsidRPr="00517A32">
          <w:rPr>
            <w:rFonts w:ascii="Book Antiqua"/>
            <w:b/>
            <w:color w:val="131727" w:themeColor="text1"/>
            <w:spacing w:val="9"/>
            <w:sz w:val="24"/>
            <w:lang w:val="it-IT"/>
          </w:rPr>
          <w:t xml:space="preserve">23 </w:t>
        </w:r>
      </w:hyperlink>
    </w:p>
    <w:p w14:paraId="41E1EE2E" w14:textId="77777777" w:rsidR="00811887" w:rsidRPr="00FD40B8" w:rsidRDefault="00811887" w:rsidP="00811887">
      <w:pPr>
        <w:pStyle w:val="BodyText"/>
        <w:tabs>
          <w:tab w:val="left" w:leader="dot" w:pos="9685"/>
        </w:tabs>
        <w:spacing w:before="53"/>
        <w:ind w:left="537"/>
        <w:rPr>
          <w:color w:val="131727" w:themeColor="text1"/>
        </w:rPr>
      </w:pPr>
      <w:hyperlink w:anchor="_bookmark69" w:history="1">
        <w:r w:rsidRPr="00FD40B8">
          <w:rPr>
            <w:color w:val="131727" w:themeColor="text1"/>
            <w:w w:val="110"/>
          </w:rPr>
          <w:t>The current</w:t>
        </w:r>
        <w:r w:rsidRPr="00FD40B8">
          <w:rPr>
            <w:color w:val="131727" w:themeColor="text1"/>
            <w:spacing w:val="1"/>
            <w:w w:val="110"/>
          </w:rPr>
          <w:t xml:space="preserve"> </w:t>
        </w:r>
        <w:r w:rsidRPr="00FD40B8">
          <w:rPr>
            <w:color w:val="131727" w:themeColor="text1"/>
            <w:w w:val="110"/>
          </w:rPr>
          <w:t>data</w:t>
        </w:r>
        <w:r w:rsidRPr="00FD40B8">
          <w:rPr>
            <w:color w:val="131727" w:themeColor="text1"/>
            <w:spacing w:val="-5"/>
            <w:w w:val="110"/>
          </w:rPr>
          <w:t xml:space="preserve"> </w:t>
        </w:r>
        <w:r w:rsidRPr="00FD40B8">
          <w:rPr>
            <w:color w:val="131727" w:themeColor="text1"/>
            <w:spacing w:val="-2"/>
            <w:w w:val="110"/>
          </w:rPr>
          <w:t>landscape</w:t>
        </w:r>
        <w:r w:rsidRPr="00FD40B8">
          <w:rPr>
            <w:color w:val="131727" w:themeColor="text1"/>
          </w:rPr>
          <w:tab/>
        </w:r>
        <w:r w:rsidRPr="00FD40B8">
          <w:rPr>
            <w:color w:val="131727" w:themeColor="text1"/>
            <w:spacing w:val="-5"/>
            <w:w w:val="110"/>
          </w:rPr>
          <w:t>23</w:t>
        </w:r>
      </w:hyperlink>
    </w:p>
    <w:p w14:paraId="137B227F" w14:textId="77777777" w:rsidR="00811887" w:rsidRPr="00FD40B8" w:rsidRDefault="00811887" w:rsidP="00811887">
      <w:pPr>
        <w:pStyle w:val="BodyText"/>
        <w:tabs>
          <w:tab w:val="left" w:leader="dot" w:pos="9685"/>
        </w:tabs>
        <w:spacing w:before="59"/>
        <w:ind w:left="537"/>
        <w:rPr>
          <w:color w:val="131727" w:themeColor="text1"/>
        </w:rPr>
      </w:pPr>
      <w:hyperlink w:anchor="_bookmark86" w:history="1">
        <w:r w:rsidRPr="00FD40B8">
          <w:rPr>
            <w:color w:val="131727" w:themeColor="text1"/>
            <w:w w:val="110"/>
          </w:rPr>
          <w:t>Reform</w:t>
        </w:r>
        <w:r w:rsidRPr="00FD40B8">
          <w:rPr>
            <w:color w:val="131727" w:themeColor="text1"/>
            <w:spacing w:val="-4"/>
            <w:w w:val="110"/>
          </w:rPr>
          <w:t xml:space="preserve"> </w:t>
        </w:r>
        <w:r w:rsidRPr="00FD40B8">
          <w:rPr>
            <w:color w:val="131727" w:themeColor="text1"/>
            <w:spacing w:val="-2"/>
            <w:w w:val="110"/>
          </w:rPr>
          <w:t>efforts</w:t>
        </w:r>
        <w:r w:rsidRPr="00FD40B8">
          <w:rPr>
            <w:color w:val="131727" w:themeColor="text1"/>
          </w:rPr>
          <w:tab/>
        </w:r>
        <w:r w:rsidRPr="00FD40B8">
          <w:rPr>
            <w:color w:val="131727" w:themeColor="text1"/>
            <w:spacing w:val="-5"/>
            <w:w w:val="110"/>
          </w:rPr>
          <w:t>31</w:t>
        </w:r>
      </w:hyperlink>
    </w:p>
    <w:p w14:paraId="75E7160F" w14:textId="77777777" w:rsidR="00811887" w:rsidRPr="00FD40B8" w:rsidRDefault="00811887" w:rsidP="00811887">
      <w:pPr>
        <w:tabs>
          <w:tab w:val="left" w:pos="9617"/>
        </w:tabs>
        <w:spacing w:before="172"/>
        <w:ind w:left="508"/>
        <w:rPr>
          <w:rFonts w:ascii="Book Antiqua"/>
          <w:b/>
          <w:color w:val="131727" w:themeColor="text1"/>
          <w:sz w:val="24"/>
        </w:rPr>
      </w:pPr>
      <w:hyperlink w:anchor="_bookmark95" w:history="1">
        <w:r w:rsidRPr="00FD40B8">
          <w:rPr>
            <w:rFonts w:ascii="Book Antiqua"/>
            <w:b/>
            <w:color w:val="131727" w:themeColor="text1"/>
            <w:spacing w:val="18"/>
            <w:sz w:val="24"/>
          </w:rPr>
          <w:t>IMP</w:t>
        </w:r>
        <w:r w:rsidRPr="00FD40B8">
          <w:rPr>
            <w:rFonts w:ascii="Book Antiqua"/>
            <w:b/>
            <w:color w:val="131727" w:themeColor="text1"/>
            <w:spacing w:val="-32"/>
            <w:sz w:val="24"/>
          </w:rPr>
          <w:t xml:space="preserve"> </w:t>
        </w:r>
        <w:r w:rsidRPr="00FD40B8">
          <w:rPr>
            <w:rFonts w:ascii="Book Antiqua"/>
            <w:b/>
            <w:color w:val="131727" w:themeColor="text1"/>
            <w:spacing w:val="14"/>
            <w:sz w:val="24"/>
          </w:rPr>
          <w:t>RO</w:t>
        </w:r>
        <w:r w:rsidRPr="00FD40B8">
          <w:rPr>
            <w:rFonts w:ascii="Book Antiqua"/>
            <w:b/>
            <w:color w:val="131727" w:themeColor="text1"/>
            <w:spacing w:val="-30"/>
            <w:sz w:val="24"/>
          </w:rPr>
          <w:t xml:space="preserve"> </w:t>
        </w:r>
        <w:r w:rsidRPr="00FD40B8">
          <w:rPr>
            <w:rFonts w:ascii="Book Antiqua"/>
            <w:b/>
            <w:color w:val="131727" w:themeColor="text1"/>
            <w:sz w:val="24"/>
          </w:rPr>
          <w:t>V</w:t>
        </w:r>
        <w:r w:rsidRPr="00FD40B8">
          <w:rPr>
            <w:rFonts w:ascii="Book Antiqua"/>
            <w:b/>
            <w:color w:val="131727" w:themeColor="text1"/>
            <w:spacing w:val="-27"/>
            <w:sz w:val="24"/>
          </w:rPr>
          <w:t xml:space="preserve"> </w:t>
        </w:r>
        <w:r w:rsidRPr="00FD40B8">
          <w:rPr>
            <w:rFonts w:ascii="Book Antiqua"/>
            <w:b/>
            <w:color w:val="131727" w:themeColor="text1"/>
            <w:spacing w:val="13"/>
            <w:sz w:val="24"/>
          </w:rPr>
          <w:t>IN</w:t>
        </w:r>
        <w:r w:rsidRPr="00FD40B8">
          <w:rPr>
            <w:rFonts w:ascii="Book Antiqua"/>
            <w:b/>
            <w:color w:val="131727" w:themeColor="text1"/>
            <w:spacing w:val="-30"/>
            <w:sz w:val="24"/>
          </w:rPr>
          <w:t xml:space="preserve"> </w:t>
        </w:r>
        <w:r w:rsidRPr="00FD40B8">
          <w:rPr>
            <w:rFonts w:ascii="Book Antiqua"/>
            <w:b/>
            <w:color w:val="131727" w:themeColor="text1"/>
            <w:sz w:val="24"/>
          </w:rPr>
          <w:t>G</w:t>
        </w:r>
        <w:r w:rsidRPr="00FD40B8">
          <w:rPr>
            <w:rFonts w:ascii="Book Antiqua"/>
            <w:b/>
            <w:color w:val="131727" w:themeColor="text1"/>
            <w:spacing w:val="61"/>
            <w:sz w:val="24"/>
          </w:rPr>
          <w:t xml:space="preserve"> </w:t>
        </w:r>
        <w:r w:rsidRPr="00FD40B8">
          <w:rPr>
            <w:rFonts w:ascii="Book Antiqua"/>
            <w:b/>
            <w:color w:val="131727" w:themeColor="text1"/>
            <w:sz w:val="24"/>
          </w:rPr>
          <w:t>D</w:t>
        </w:r>
        <w:r w:rsidRPr="00FD40B8">
          <w:rPr>
            <w:rFonts w:ascii="Book Antiqua"/>
            <w:b/>
            <w:color w:val="131727" w:themeColor="text1"/>
            <w:spacing w:val="-30"/>
            <w:sz w:val="24"/>
          </w:rPr>
          <w:t xml:space="preserve"> </w:t>
        </w:r>
        <w:r w:rsidRPr="00FD40B8">
          <w:rPr>
            <w:rFonts w:ascii="Book Antiqua"/>
            <w:b/>
            <w:color w:val="131727" w:themeColor="text1"/>
            <w:spacing w:val="18"/>
            <w:sz w:val="24"/>
          </w:rPr>
          <w:t>ATA</w:t>
        </w:r>
        <w:r w:rsidRPr="00FD40B8">
          <w:rPr>
            <w:rFonts w:ascii="Book Antiqua"/>
            <w:b/>
            <w:color w:val="131727" w:themeColor="text1"/>
            <w:spacing w:val="61"/>
            <w:sz w:val="24"/>
          </w:rPr>
          <w:t xml:space="preserve"> </w:t>
        </w:r>
        <w:r w:rsidRPr="00FD40B8">
          <w:rPr>
            <w:rFonts w:ascii="Book Antiqua"/>
            <w:b/>
            <w:color w:val="131727" w:themeColor="text1"/>
            <w:spacing w:val="14"/>
            <w:sz w:val="24"/>
          </w:rPr>
          <w:t>CO</w:t>
        </w:r>
        <w:r w:rsidRPr="00FD40B8">
          <w:rPr>
            <w:rFonts w:ascii="Book Antiqua"/>
            <w:b/>
            <w:color w:val="131727" w:themeColor="text1"/>
            <w:spacing w:val="-30"/>
            <w:sz w:val="24"/>
          </w:rPr>
          <w:t xml:space="preserve"> </w:t>
        </w:r>
        <w:r w:rsidRPr="00FD40B8">
          <w:rPr>
            <w:rFonts w:ascii="Book Antiqua"/>
            <w:b/>
            <w:color w:val="131727" w:themeColor="text1"/>
            <w:sz w:val="24"/>
          </w:rPr>
          <w:t>L</w:t>
        </w:r>
        <w:r w:rsidRPr="00FD40B8">
          <w:rPr>
            <w:rFonts w:ascii="Book Antiqua"/>
            <w:b/>
            <w:color w:val="131727" w:themeColor="text1"/>
            <w:spacing w:val="-30"/>
            <w:sz w:val="24"/>
          </w:rPr>
          <w:t xml:space="preserve"> </w:t>
        </w:r>
        <w:r w:rsidRPr="00FD40B8">
          <w:rPr>
            <w:rFonts w:ascii="Book Antiqua"/>
            <w:b/>
            <w:color w:val="131727" w:themeColor="text1"/>
            <w:sz w:val="24"/>
          </w:rPr>
          <w:t>L</w:t>
        </w:r>
        <w:r w:rsidRPr="00FD40B8">
          <w:rPr>
            <w:rFonts w:ascii="Book Antiqua"/>
            <w:b/>
            <w:color w:val="131727" w:themeColor="text1"/>
            <w:spacing w:val="-30"/>
            <w:sz w:val="24"/>
          </w:rPr>
          <w:t xml:space="preserve"> </w:t>
        </w:r>
        <w:r w:rsidRPr="00FD40B8">
          <w:rPr>
            <w:rFonts w:ascii="Book Antiqua"/>
            <w:b/>
            <w:color w:val="131727" w:themeColor="text1"/>
            <w:sz w:val="24"/>
          </w:rPr>
          <w:t>E</w:t>
        </w:r>
        <w:r w:rsidRPr="00FD40B8">
          <w:rPr>
            <w:rFonts w:ascii="Book Antiqua"/>
            <w:b/>
            <w:color w:val="131727" w:themeColor="text1"/>
            <w:spacing w:val="-30"/>
            <w:sz w:val="24"/>
          </w:rPr>
          <w:t xml:space="preserve"> </w:t>
        </w:r>
        <w:r w:rsidRPr="00FD40B8">
          <w:rPr>
            <w:rFonts w:ascii="Book Antiqua"/>
            <w:b/>
            <w:color w:val="131727" w:themeColor="text1"/>
            <w:spacing w:val="14"/>
            <w:sz w:val="24"/>
          </w:rPr>
          <w:t>CT</w:t>
        </w:r>
        <w:r w:rsidRPr="00FD40B8">
          <w:rPr>
            <w:rFonts w:ascii="Book Antiqua"/>
            <w:b/>
            <w:color w:val="131727" w:themeColor="text1"/>
            <w:spacing w:val="-29"/>
            <w:sz w:val="24"/>
          </w:rPr>
          <w:t xml:space="preserve"> </w:t>
        </w:r>
        <w:r w:rsidRPr="00FD40B8">
          <w:rPr>
            <w:rFonts w:ascii="Book Antiqua"/>
            <w:b/>
            <w:color w:val="131727" w:themeColor="text1"/>
            <w:spacing w:val="13"/>
            <w:sz w:val="24"/>
          </w:rPr>
          <w:t>IO</w:t>
        </w:r>
        <w:r w:rsidRPr="00FD40B8">
          <w:rPr>
            <w:rFonts w:ascii="Book Antiqua"/>
            <w:b/>
            <w:color w:val="131727" w:themeColor="text1"/>
            <w:spacing w:val="-30"/>
            <w:sz w:val="24"/>
          </w:rPr>
          <w:t xml:space="preserve"> </w:t>
        </w:r>
        <w:r w:rsidRPr="00FD40B8">
          <w:rPr>
            <w:rFonts w:ascii="Book Antiqua"/>
            <w:b/>
            <w:color w:val="131727" w:themeColor="text1"/>
            <w:sz w:val="24"/>
          </w:rPr>
          <w:t>N</w:t>
        </w:r>
        <w:r w:rsidRPr="00FD40B8">
          <w:rPr>
            <w:rFonts w:ascii="Book Antiqua"/>
            <w:b/>
            <w:color w:val="131727" w:themeColor="text1"/>
            <w:spacing w:val="67"/>
            <w:sz w:val="24"/>
          </w:rPr>
          <w:t xml:space="preserve"> </w:t>
        </w:r>
        <w:r w:rsidRPr="00FD40B8">
          <w:rPr>
            <w:rFonts w:ascii="Book Antiqua"/>
            <w:b/>
            <w:color w:val="131727" w:themeColor="text1"/>
            <w:spacing w:val="14"/>
            <w:sz w:val="24"/>
          </w:rPr>
          <w:t>AN</w:t>
        </w:r>
        <w:r w:rsidRPr="00FD40B8">
          <w:rPr>
            <w:rFonts w:ascii="Book Antiqua"/>
            <w:b/>
            <w:color w:val="131727" w:themeColor="text1"/>
            <w:spacing w:val="-30"/>
            <w:sz w:val="24"/>
          </w:rPr>
          <w:t xml:space="preserve"> </w:t>
        </w:r>
        <w:r w:rsidRPr="00FD40B8">
          <w:rPr>
            <w:rFonts w:ascii="Book Antiqua"/>
            <w:b/>
            <w:color w:val="131727" w:themeColor="text1"/>
            <w:sz w:val="24"/>
          </w:rPr>
          <w:t>D</w:t>
        </w:r>
        <w:r w:rsidRPr="00FD40B8">
          <w:rPr>
            <w:rFonts w:ascii="Book Antiqua"/>
            <w:b/>
            <w:color w:val="131727" w:themeColor="text1"/>
            <w:spacing w:val="61"/>
            <w:sz w:val="24"/>
          </w:rPr>
          <w:t xml:space="preserve"> </w:t>
        </w:r>
        <w:r w:rsidRPr="00FD40B8">
          <w:rPr>
            <w:rFonts w:ascii="Book Antiqua"/>
            <w:b/>
            <w:color w:val="131727" w:themeColor="text1"/>
            <w:spacing w:val="14"/>
            <w:sz w:val="24"/>
          </w:rPr>
          <w:t>US</w:t>
        </w:r>
        <w:r w:rsidRPr="00FD40B8">
          <w:rPr>
            <w:rFonts w:ascii="Book Antiqua"/>
            <w:b/>
            <w:color w:val="131727" w:themeColor="text1"/>
            <w:spacing w:val="-29"/>
            <w:sz w:val="24"/>
          </w:rPr>
          <w:t xml:space="preserve"> </w:t>
        </w:r>
        <w:r w:rsidRPr="00FD40B8">
          <w:rPr>
            <w:rFonts w:ascii="Book Antiqua"/>
            <w:b/>
            <w:color w:val="131727" w:themeColor="text1"/>
            <w:spacing w:val="-10"/>
            <w:sz w:val="24"/>
          </w:rPr>
          <w:t>E</w:t>
        </w:r>
        <w:r w:rsidRPr="00FD40B8">
          <w:rPr>
            <w:rFonts w:ascii="Book Antiqua"/>
            <w:b/>
            <w:color w:val="131727" w:themeColor="text1"/>
            <w:sz w:val="24"/>
          </w:rPr>
          <w:tab/>
        </w:r>
        <w:r w:rsidRPr="00FD40B8">
          <w:rPr>
            <w:rFonts w:ascii="Book Antiqua"/>
            <w:b/>
            <w:color w:val="131727" w:themeColor="text1"/>
            <w:spacing w:val="9"/>
            <w:sz w:val="24"/>
          </w:rPr>
          <w:t xml:space="preserve">34 </w:t>
        </w:r>
      </w:hyperlink>
    </w:p>
    <w:p w14:paraId="3D4638EE" w14:textId="77777777" w:rsidR="00811887" w:rsidRPr="00FD40B8" w:rsidRDefault="00811887" w:rsidP="00811887">
      <w:pPr>
        <w:pStyle w:val="BodyText"/>
        <w:tabs>
          <w:tab w:val="left" w:leader="dot" w:pos="9685"/>
        </w:tabs>
        <w:spacing w:before="53"/>
        <w:ind w:left="537"/>
        <w:rPr>
          <w:color w:val="131727" w:themeColor="text1"/>
        </w:rPr>
      </w:pPr>
      <w:hyperlink w:anchor="_bookmark96" w:history="1">
        <w:r w:rsidRPr="00FD40B8">
          <w:rPr>
            <w:color w:val="131727" w:themeColor="text1"/>
            <w:w w:val="110"/>
          </w:rPr>
          <w:t>National</w:t>
        </w:r>
        <w:r w:rsidRPr="00FD40B8">
          <w:rPr>
            <w:color w:val="131727" w:themeColor="text1"/>
            <w:spacing w:val="-1"/>
            <w:w w:val="110"/>
          </w:rPr>
          <w:t xml:space="preserve"> </w:t>
        </w:r>
        <w:r w:rsidRPr="00FD40B8">
          <w:rPr>
            <w:color w:val="131727" w:themeColor="text1"/>
            <w:w w:val="110"/>
          </w:rPr>
          <w:t>Aboriginal and</w:t>
        </w:r>
        <w:r w:rsidRPr="00FD40B8">
          <w:rPr>
            <w:color w:val="131727" w:themeColor="text1"/>
            <w:spacing w:val="-2"/>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w:t>
        </w:r>
        <w:r w:rsidRPr="00FD40B8">
          <w:rPr>
            <w:color w:val="131727" w:themeColor="text1"/>
            <w:spacing w:val="-7"/>
            <w:w w:val="110"/>
          </w:rPr>
          <w:t xml:space="preserve"> </w:t>
        </w:r>
        <w:r w:rsidRPr="00FD40B8">
          <w:rPr>
            <w:color w:val="131727" w:themeColor="text1"/>
            <w:w w:val="110"/>
          </w:rPr>
          <w:t>Islander</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11"/>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spacing w:val="-2"/>
            <w:w w:val="110"/>
          </w:rPr>
          <w:t>Register</w:t>
        </w:r>
        <w:r w:rsidRPr="00FD40B8">
          <w:rPr>
            <w:color w:val="131727" w:themeColor="text1"/>
          </w:rPr>
          <w:tab/>
        </w:r>
        <w:r w:rsidRPr="00FD40B8">
          <w:rPr>
            <w:color w:val="131727" w:themeColor="text1"/>
            <w:spacing w:val="-5"/>
            <w:w w:val="110"/>
          </w:rPr>
          <w:t>34</w:t>
        </w:r>
      </w:hyperlink>
    </w:p>
    <w:p w14:paraId="4A02E97D" w14:textId="77777777" w:rsidR="00811887" w:rsidRPr="00FD40B8" w:rsidRDefault="00811887" w:rsidP="00811887">
      <w:pPr>
        <w:pStyle w:val="BodyText"/>
        <w:tabs>
          <w:tab w:val="left" w:leader="dot" w:pos="9685"/>
        </w:tabs>
        <w:spacing w:before="58"/>
        <w:ind w:left="537"/>
        <w:rPr>
          <w:color w:val="131727" w:themeColor="text1"/>
        </w:rPr>
      </w:pPr>
      <w:hyperlink w:anchor="_bookmark97" w:history="1">
        <w:r w:rsidRPr="00FD40B8">
          <w:rPr>
            <w:color w:val="131727" w:themeColor="text1"/>
            <w:w w:val="110"/>
          </w:rPr>
          <w:t>New</w:t>
        </w:r>
        <w:r w:rsidRPr="00FD40B8">
          <w:rPr>
            <w:color w:val="131727" w:themeColor="text1"/>
            <w:spacing w:val="-11"/>
            <w:w w:val="110"/>
          </w:rPr>
          <w:t xml:space="preserve"> </w:t>
        </w:r>
        <w:r w:rsidRPr="00FD40B8">
          <w:rPr>
            <w:color w:val="131727" w:themeColor="text1"/>
            <w:w w:val="110"/>
          </w:rPr>
          <w:t>contributing</w:t>
        </w:r>
        <w:r w:rsidRPr="00FD40B8">
          <w:rPr>
            <w:color w:val="131727" w:themeColor="text1"/>
            <w:spacing w:val="-8"/>
            <w:w w:val="110"/>
          </w:rPr>
          <w:t xml:space="preserve"> </w:t>
        </w:r>
        <w:r w:rsidRPr="00FD40B8">
          <w:rPr>
            <w:color w:val="131727" w:themeColor="text1"/>
            <w:w w:val="110"/>
          </w:rPr>
          <w:t>data</w:t>
        </w:r>
        <w:r w:rsidRPr="00FD40B8">
          <w:rPr>
            <w:color w:val="131727" w:themeColor="text1"/>
            <w:spacing w:val="-13"/>
            <w:w w:val="110"/>
          </w:rPr>
          <w:t xml:space="preserve"> </w:t>
        </w:r>
        <w:r w:rsidRPr="00FD40B8">
          <w:rPr>
            <w:color w:val="131727" w:themeColor="text1"/>
            <w:spacing w:val="-2"/>
            <w:w w:val="110"/>
          </w:rPr>
          <w:t>sources</w:t>
        </w:r>
        <w:r w:rsidRPr="00FD40B8">
          <w:rPr>
            <w:color w:val="131727" w:themeColor="text1"/>
          </w:rPr>
          <w:tab/>
        </w:r>
        <w:r w:rsidRPr="00FD40B8">
          <w:rPr>
            <w:color w:val="131727" w:themeColor="text1"/>
            <w:spacing w:val="-5"/>
            <w:w w:val="110"/>
          </w:rPr>
          <w:t>36</w:t>
        </w:r>
      </w:hyperlink>
    </w:p>
    <w:p w14:paraId="6CC430E1" w14:textId="77777777" w:rsidR="00811887" w:rsidRPr="00FD40B8" w:rsidRDefault="00811887" w:rsidP="00811887">
      <w:pPr>
        <w:pStyle w:val="BodyText"/>
        <w:tabs>
          <w:tab w:val="left" w:leader="dot" w:pos="9685"/>
        </w:tabs>
        <w:spacing w:before="54"/>
        <w:ind w:left="537"/>
        <w:rPr>
          <w:color w:val="131727" w:themeColor="text1"/>
        </w:rPr>
      </w:pPr>
      <w:hyperlink w:anchor="_bookmark98" w:history="1">
        <w:r w:rsidRPr="00FD40B8">
          <w:rPr>
            <w:color w:val="131727" w:themeColor="text1"/>
            <w:w w:val="110"/>
          </w:rPr>
          <w:t>developing</w:t>
        </w:r>
        <w:r w:rsidRPr="00FD40B8">
          <w:rPr>
            <w:color w:val="131727" w:themeColor="text1"/>
            <w:spacing w:val="-13"/>
            <w:w w:val="110"/>
          </w:rPr>
          <w:t xml:space="preserve"> </w:t>
        </w:r>
        <w:r w:rsidRPr="00FD40B8">
          <w:rPr>
            <w:color w:val="131727" w:themeColor="text1"/>
            <w:w w:val="110"/>
          </w:rPr>
          <w:t>new</w:t>
        </w:r>
        <w:r w:rsidRPr="00FD40B8">
          <w:rPr>
            <w:color w:val="131727" w:themeColor="text1"/>
            <w:spacing w:val="-12"/>
            <w:w w:val="110"/>
          </w:rPr>
          <w:t xml:space="preserve"> </w:t>
        </w:r>
        <w:r w:rsidRPr="00FD40B8">
          <w:rPr>
            <w:color w:val="131727" w:themeColor="text1"/>
            <w:w w:val="110"/>
          </w:rPr>
          <w:t>policy</w:t>
        </w:r>
        <w:r w:rsidRPr="00FD40B8">
          <w:rPr>
            <w:color w:val="131727" w:themeColor="text1"/>
            <w:spacing w:val="-12"/>
            <w:w w:val="110"/>
          </w:rPr>
          <w:t xml:space="preserve"> </w:t>
        </w:r>
        <w:r w:rsidRPr="00FD40B8">
          <w:rPr>
            <w:color w:val="131727" w:themeColor="text1"/>
            <w:spacing w:val="-2"/>
            <w:w w:val="110"/>
          </w:rPr>
          <w:t>proposals</w:t>
        </w:r>
        <w:r w:rsidRPr="00FD40B8">
          <w:rPr>
            <w:color w:val="131727" w:themeColor="text1"/>
          </w:rPr>
          <w:tab/>
        </w:r>
        <w:r w:rsidRPr="00FD40B8">
          <w:rPr>
            <w:color w:val="131727" w:themeColor="text1"/>
            <w:spacing w:val="-5"/>
            <w:w w:val="110"/>
          </w:rPr>
          <w:t>39</w:t>
        </w:r>
      </w:hyperlink>
    </w:p>
    <w:p w14:paraId="3D942B17" w14:textId="77777777" w:rsidR="00811887" w:rsidRPr="00FD40B8" w:rsidRDefault="00811887" w:rsidP="00811887">
      <w:pPr>
        <w:tabs>
          <w:tab w:val="left" w:pos="9617"/>
        </w:tabs>
        <w:spacing w:before="176"/>
        <w:ind w:left="508"/>
        <w:rPr>
          <w:rFonts w:ascii="Book Antiqua"/>
          <w:b/>
          <w:color w:val="131727" w:themeColor="text1"/>
          <w:sz w:val="24"/>
        </w:rPr>
      </w:pPr>
      <w:hyperlink w:anchor="_bookmark99" w:history="1">
        <w:r w:rsidRPr="00FD40B8">
          <w:rPr>
            <w:rFonts w:ascii="Book Antiqua"/>
            <w:b/>
            <w:color w:val="131727" w:themeColor="text1"/>
            <w:spacing w:val="14"/>
            <w:sz w:val="24"/>
          </w:rPr>
          <w:t>AP</w:t>
        </w:r>
        <w:r w:rsidRPr="00FD40B8">
          <w:rPr>
            <w:rFonts w:ascii="Book Antiqua"/>
            <w:b/>
            <w:color w:val="131727" w:themeColor="text1"/>
            <w:spacing w:val="-30"/>
            <w:sz w:val="24"/>
          </w:rPr>
          <w:t xml:space="preserve"> </w:t>
        </w:r>
        <w:r w:rsidRPr="00FD40B8">
          <w:rPr>
            <w:rFonts w:ascii="Book Antiqua"/>
            <w:b/>
            <w:color w:val="131727" w:themeColor="text1"/>
            <w:sz w:val="24"/>
          </w:rPr>
          <w:t>P</w:t>
        </w:r>
        <w:r w:rsidRPr="00FD40B8">
          <w:rPr>
            <w:rFonts w:ascii="Book Antiqua"/>
            <w:b/>
            <w:color w:val="131727" w:themeColor="text1"/>
            <w:spacing w:val="-30"/>
            <w:sz w:val="24"/>
          </w:rPr>
          <w:t xml:space="preserve"> </w:t>
        </w:r>
        <w:r w:rsidRPr="00FD40B8">
          <w:rPr>
            <w:rFonts w:ascii="Book Antiqua"/>
            <w:b/>
            <w:color w:val="131727" w:themeColor="text1"/>
            <w:sz w:val="24"/>
          </w:rPr>
          <w:t>E</w:t>
        </w:r>
        <w:r w:rsidRPr="00FD40B8">
          <w:rPr>
            <w:rFonts w:ascii="Book Antiqua"/>
            <w:b/>
            <w:color w:val="131727" w:themeColor="text1"/>
            <w:spacing w:val="-30"/>
            <w:sz w:val="24"/>
          </w:rPr>
          <w:t xml:space="preserve"> </w:t>
        </w:r>
        <w:r w:rsidRPr="00FD40B8">
          <w:rPr>
            <w:rFonts w:ascii="Book Antiqua"/>
            <w:b/>
            <w:color w:val="131727" w:themeColor="text1"/>
            <w:sz w:val="24"/>
          </w:rPr>
          <w:t>N</w:t>
        </w:r>
        <w:r w:rsidRPr="00FD40B8">
          <w:rPr>
            <w:rFonts w:ascii="Book Antiqua"/>
            <w:b/>
            <w:color w:val="131727" w:themeColor="text1"/>
            <w:spacing w:val="-30"/>
            <w:sz w:val="24"/>
          </w:rPr>
          <w:t xml:space="preserve"> </w:t>
        </w:r>
        <w:r w:rsidRPr="00FD40B8">
          <w:rPr>
            <w:rFonts w:ascii="Book Antiqua"/>
            <w:b/>
            <w:color w:val="131727" w:themeColor="text1"/>
            <w:sz w:val="24"/>
          </w:rPr>
          <w:t>D</w:t>
        </w:r>
        <w:r w:rsidRPr="00FD40B8">
          <w:rPr>
            <w:rFonts w:ascii="Book Antiqua"/>
            <w:b/>
            <w:color w:val="131727" w:themeColor="text1"/>
            <w:spacing w:val="-30"/>
            <w:sz w:val="24"/>
          </w:rPr>
          <w:t xml:space="preserve"> </w:t>
        </w:r>
        <w:r w:rsidRPr="00FD40B8">
          <w:rPr>
            <w:rFonts w:ascii="Book Antiqua"/>
            <w:b/>
            <w:color w:val="131727" w:themeColor="text1"/>
            <w:spacing w:val="18"/>
            <w:sz w:val="24"/>
          </w:rPr>
          <w:t>ICE</w:t>
        </w:r>
        <w:r w:rsidRPr="00FD40B8">
          <w:rPr>
            <w:rFonts w:ascii="Book Antiqua"/>
            <w:b/>
            <w:color w:val="131727" w:themeColor="text1"/>
            <w:spacing w:val="-29"/>
            <w:sz w:val="24"/>
          </w:rPr>
          <w:t xml:space="preserve"> </w:t>
        </w:r>
        <w:r w:rsidRPr="00FD40B8">
          <w:rPr>
            <w:rFonts w:ascii="Book Antiqua"/>
            <w:b/>
            <w:color w:val="131727" w:themeColor="text1"/>
            <w:spacing w:val="-10"/>
            <w:sz w:val="24"/>
          </w:rPr>
          <w:t>S</w:t>
        </w:r>
        <w:r w:rsidRPr="00FD40B8">
          <w:rPr>
            <w:rFonts w:ascii="Book Antiqua"/>
            <w:b/>
            <w:color w:val="131727" w:themeColor="text1"/>
            <w:sz w:val="24"/>
          </w:rPr>
          <w:tab/>
        </w:r>
        <w:r w:rsidRPr="00FD40B8">
          <w:rPr>
            <w:rFonts w:ascii="Book Antiqua"/>
            <w:b/>
            <w:color w:val="131727" w:themeColor="text1"/>
            <w:spacing w:val="9"/>
            <w:sz w:val="24"/>
          </w:rPr>
          <w:t xml:space="preserve">40 </w:t>
        </w:r>
      </w:hyperlink>
    </w:p>
    <w:p w14:paraId="7845D4DD" w14:textId="77777777" w:rsidR="00811887" w:rsidRPr="00FD40B8" w:rsidRDefault="00811887" w:rsidP="00FB2FE9">
      <w:pPr>
        <w:pStyle w:val="ListParagraph"/>
        <w:widowControl w:val="0"/>
        <w:numPr>
          <w:ilvl w:val="0"/>
          <w:numId w:val="70"/>
        </w:numPr>
        <w:tabs>
          <w:tab w:val="left" w:pos="756"/>
          <w:tab w:val="left" w:leader="dot" w:pos="9685"/>
        </w:tabs>
        <w:autoSpaceDE w:val="0"/>
        <w:autoSpaceDN w:val="0"/>
        <w:spacing w:before="49" w:after="0"/>
        <w:ind w:left="756" w:hanging="219"/>
        <w:contextualSpacing w:val="0"/>
        <w:rPr>
          <w:color w:val="131727" w:themeColor="text1"/>
          <w:sz w:val="20"/>
        </w:rPr>
      </w:pPr>
      <w:hyperlink w:anchor="_bookmark100" w:history="1">
        <w:r w:rsidRPr="00FD40B8">
          <w:rPr>
            <w:color w:val="131727" w:themeColor="text1"/>
            <w:w w:val="110"/>
            <w:sz w:val="20"/>
          </w:rPr>
          <w:t>List</w:t>
        </w:r>
        <w:r w:rsidRPr="00FD40B8">
          <w:rPr>
            <w:color w:val="131727" w:themeColor="text1"/>
            <w:spacing w:val="-2"/>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agencies</w:t>
        </w:r>
        <w:r w:rsidRPr="00FD40B8">
          <w:rPr>
            <w:color w:val="131727" w:themeColor="text1"/>
            <w:spacing w:val="6"/>
            <w:w w:val="110"/>
            <w:sz w:val="20"/>
          </w:rPr>
          <w:t xml:space="preserve"> </w:t>
        </w:r>
        <w:r w:rsidRPr="00FD40B8">
          <w:rPr>
            <w:color w:val="131727" w:themeColor="text1"/>
            <w:w w:val="110"/>
            <w:sz w:val="20"/>
          </w:rPr>
          <w:t>and</w:t>
        </w:r>
        <w:r w:rsidRPr="00FD40B8">
          <w:rPr>
            <w:color w:val="131727" w:themeColor="text1"/>
            <w:spacing w:val="4"/>
            <w:w w:val="110"/>
            <w:sz w:val="20"/>
          </w:rPr>
          <w:t xml:space="preserve"> </w:t>
        </w:r>
        <w:r w:rsidRPr="00FD40B8">
          <w:rPr>
            <w:color w:val="131727" w:themeColor="text1"/>
            <w:w w:val="110"/>
            <w:sz w:val="20"/>
          </w:rPr>
          <w:t>organisations</w:t>
        </w:r>
        <w:r w:rsidRPr="00FD40B8">
          <w:rPr>
            <w:color w:val="131727" w:themeColor="text1"/>
            <w:spacing w:val="6"/>
            <w:w w:val="110"/>
            <w:sz w:val="20"/>
          </w:rPr>
          <w:t xml:space="preserve"> </w:t>
        </w:r>
        <w:r w:rsidRPr="00FD40B8">
          <w:rPr>
            <w:color w:val="131727" w:themeColor="text1"/>
            <w:spacing w:val="-2"/>
            <w:w w:val="110"/>
            <w:sz w:val="20"/>
          </w:rPr>
          <w:t>consulted</w:t>
        </w:r>
        <w:r w:rsidRPr="00FD40B8">
          <w:rPr>
            <w:color w:val="131727" w:themeColor="text1"/>
            <w:sz w:val="20"/>
          </w:rPr>
          <w:tab/>
        </w:r>
        <w:r w:rsidRPr="00FD40B8">
          <w:rPr>
            <w:color w:val="131727" w:themeColor="text1"/>
            <w:spacing w:val="-5"/>
            <w:w w:val="110"/>
            <w:sz w:val="20"/>
          </w:rPr>
          <w:t>40</w:t>
        </w:r>
      </w:hyperlink>
    </w:p>
    <w:p w14:paraId="2A041560" w14:textId="77777777" w:rsidR="00811887" w:rsidRPr="00FD40B8" w:rsidRDefault="00811887" w:rsidP="00FB2FE9">
      <w:pPr>
        <w:pStyle w:val="ListParagraph"/>
        <w:widowControl w:val="0"/>
        <w:numPr>
          <w:ilvl w:val="0"/>
          <w:numId w:val="70"/>
        </w:numPr>
        <w:tabs>
          <w:tab w:val="left" w:pos="761"/>
          <w:tab w:val="left" w:leader="dot" w:pos="9685"/>
        </w:tabs>
        <w:autoSpaceDE w:val="0"/>
        <w:autoSpaceDN w:val="0"/>
        <w:spacing w:before="58" w:after="0"/>
        <w:ind w:left="761" w:hanging="224"/>
        <w:contextualSpacing w:val="0"/>
        <w:rPr>
          <w:color w:val="131727" w:themeColor="text1"/>
          <w:sz w:val="20"/>
        </w:rPr>
      </w:pPr>
      <w:hyperlink w:anchor="_bookmark101" w:history="1">
        <w:r w:rsidRPr="00FD40B8">
          <w:rPr>
            <w:color w:val="131727" w:themeColor="text1"/>
            <w:w w:val="110"/>
            <w:sz w:val="20"/>
          </w:rPr>
          <w:t>Housing</w:t>
        </w:r>
        <w:r w:rsidRPr="00FD40B8">
          <w:rPr>
            <w:color w:val="131727" w:themeColor="text1"/>
            <w:spacing w:val="-3"/>
            <w:w w:val="110"/>
            <w:sz w:val="20"/>
          </w:rPr>
          <w:t xml:space="preserve"> </w:t>
        </w:r>
        <w:r w:rsidRPr="00FD40B8">
          <w:rPr>
            <w:color w:val="131727" w:themeColor="text1"/>
            <w:w w:val="110"/>
            <w:sz w:val="20"/>
          </w:rPr>
          <w:t>need</w:t>
        </w:r>
        <w:r w:rsidRPr="00FD40B8">
          <w:rPr>
            <w:color w:val="131727" w:themeColor="text1"/>
            <w:spacing w:val="2"/>
            <w:w w:val="110"/>
            <w:sz w:val="20"/>
          </w:rPr>
          <w:t xml:space="preserve"> </w:t>
        </w:r>
        <w:r w:rsidRPr="00FD40B8">
          <w:rPr>
            <w:color w:val="131727" w:themeColor="text1"/>
            <w:w w:val="110"/>
            <w:sz w:val="20"/>
          </w:rPr>
          <w:t>analysis</w:t>
        </w:r>
        <w:r w:rsidRPr="00FD40B8">
          <w:rPr>
            <w:color w:val="131727" w:themeColor="text1"/>
            <w:spacing w:val="7"/>
            <w:w w:val="110"/>
            <w:sz w:val="20"/>
          </w:rPr>
          <w:t xml:space="preserve"> </w:t>
        </w:r>
        <w:r w:rsidRPr="00FD40B8">
          <w:rPr>
            <w:color w:val="131727" w:themeColor="text1"/>
            <w:w w:val="110"/>
            <w:sz w:val="20"/>
          </w:rPr>
          <w:t>–</w:t>
        </w:r>
        <w:r w:rsidRPr="00FD40B8">
          <w:rPr>
            <w:color w:val="131727" w:themeColor="text1"/>
            <w:spacing w:val="2"/>
            <w:w w:val="110"/>
            <w:sz w:val="20"/>
          </w:rPr>
          <w:t xml:space="preserve"> </w:t>
        </w:r>
        <w:r w:rsidRPr="00FD40B8">
          <w:rPr>
            <w:color w:val="131727" w:themeColor="text1"/>
            <w:spacing w:val="-2"/>
            <w:w w:val="110"/>
            <w:sz w:val="20"/>
          </w:rPr>
          <w:t>Methodology</w:t>
        </w:r>
        <w:r w:rsidRPr="00FD40B8">
          <w:rPr>
            <w:color w:val="131727" w:themeColor="text1"/>
            <w:sz w:val="20"/>
          </w:rPr>
          <w:tab/>
        </w:r>
        <w:r w:rsidRPr="00FD40B8">
          <w:rPr>
            <w:color w:val="131727" w:themeColor="text1"/>
            <w:spacing w:val="-5"/>
            <w:w w:val="110"/>
            <w:sz w:val="20"/>
          </w:rPr>
          <w:t>41</w:t>
        </w:r>
      </w:hyperlink>
    </w:p>
    <w:p w14:paraId="79B4DDB6" w14:textId="77777777" w:rsidR="00811887" w:rsidRPr="00FD40B8" w:rsidRDefault="00811887" w:rsidP="00FB2FE9">
      <w:pPr>
        <w:pStyle w:val="ListParagraph"/>
        <w:widowControl w:val="0"/>
        <w:numPr>
          <w:ilvl w:val="0"/>
          <w:numId w:val="70"/>
        </w:numPr>
        <w:tabs>
          <w:tab w:val="left" w:pos="762"/>
          <w:tab w:val="left" w:leader="dot" w:pos="9685"/>
        </w:tabs>
        <w:autoSpaceDE w:val="0"/>
        <w:autoSpaceDN w:val="0"/>
        <w:spacing w:before="53" w:after="0"/>
        <w:ind w:left="762" w:hanging="225"/>
        <w:contextualSpacing w:val="0"/>
        <w:rPr>
          <w:color w:val="131727" w:themeColor="text1"/>
          <w:sz w:val="20"/>
        </w:rPr>
      </w:pPr>
      <w:hyperlink w:anchor="_bookmark107" w:history="1">
        <w:r w:rsidRPr="00FD40B8">
          <w:rPr>
            <w:color w:val="131727" w:themeColor="text1"/>
            <w:w w:val="110"/>
            <w:sz w:val="20"/>
          </w:rPr>
          <w:t>Housing</w:t>
        </w:r>
        <w:r w:rsidRPr="00FD40B8">
          <w:rPr>
            <w:color w:val="131727" w:themeColor="text1"/>
            <w:spacing w:val="1"/>
            <w:w w:val="110"/>
            <w:sz w:val="20"/>
          </w:rPr>
          <w:t xml:space="preserve"> </w:t>
        </w:r>
        <w:r w:rsidRPr="00FD40B8">
          <w:rPr>
            <w:color w:val="131727" w:themeColor="text1"/>
            <w:w w:val="110"/>
            <w:sz w:val="20"/>
          </w:rPr>
          <w:t>need</w:t>
        </w:r>
        <w:r w:rsidRPr="00FD40B8">
          <w:rPr>
            <w:color w:val="131727" w:themeColor="text1"/>
            <w:spacing w:val="1"/>
            <w:w w:val="110"/>
            <w:sz w:val="20"/>
          </w:rPr>
          <w:t xml:space="preserve"> </w:t>
        </w:r>
        <w:r w:rsidRPr="00FD40B8">
          <w:rPr>
            <w:color w:val="131727" w:themeColor="text1"/>
            <w:w w:val="110"/>
            <w:sz w:val="20"/>
          </w:rPr>
          <w:t>by</w:t>
        </w:r>
        <w:r w:rsidRPr="00FD40B8">
          <w:rPr>
            <w:color w:val="131727" w:themeColor="text1"/>
            <w:spacing w:val="6"/>
            <w:w w:val="110"/>
            <w:sz w:val="20"/>
          </w:rPr>
          <w:t xml:space="preserve"> </w:t>
        </w:r>
        <w:r w:rsidRPr="00FD40B8">
          <w:rPr>
            <w:color w:val="131727" w:themeColor="text1"/>
            <w:w w:val="110"/>
            <w:sz w:val="20"/>
          </w:rPr>
          <w:t>Indigenous</w:t>
        </w:r>
        <w:r w:rsidRPr="00FD40B8">
          <w:rPr>
            <w:color w:val="131727" w:themeColor="text1"/>
            <w:spacing w:val="10"/>
            <w:w w:val="110"/>
            <w:sz w:val="20"/>
          </w:rPr>
          <w:t xml:space="preserve"> </w:t>
        </w:r>
        <w:r w:rsidRPr="00FD40B8">
          <w:rPr>
            <w:color w:val="131727" w:themeColor="text1"/>
            <w:spacing w:val="-2"/>
            <w:w w:val="110"/>
            <w:sz w:val="20"/>
          </w:rPr>
          <w:t>Region</w:t>
        </w:r>
        <w:r w:rsidRPr="00FD40B8">
          <w:rPr>
            <w:color w:val="131727" w:themeColor="text1"/>
            <w:sz w:val="20"/>
          </w:rPr>
          <w:tab/>
        </w:r>
        <w:r w:rsidRPr="00FD40B8">
          <w:rPr>
            <w:color w:val="131727" w:themeColor="text1"/>
            <w:spacing w:val="-5"/>
            <w:w w:val="110"/>
            <w:sz w:val="20"/>
          </w:rPr>
          <w:t>44</w:t>
        </w:r>
      </w:hyperlink>
    </w:p>
    <w:p w14:paraId="2AAA8727" w14:textId="77777777" w:rsidR="00811887" w:rsidRPr="00FD40B8" w:rsidRDefault="00811887" w:rsidP="00FB2FE9">
      <w:pPr>
        <w:pStyle w:val="ListParagraph"/>
        <w:widowControl w:val="0"/>
        <w:numPr>
          <w:ilvl w:val="0"/>
          <w:numId w:val="70"/>
        </w:numPr>
        <w:tabs>
          <w:tab w:val="left" w:pos="780"/>
          <w:tab w:val="left" w:leader="dot" w:pos="9685"/>
        </w:tabs>
        <w:autoSpaceDE w:val="0"/>
        <w:autoSpaceDN w:val="0"/>
        <w:spacing w:before="59" w:after="0"/>
        <w:ind w:left="780" w:hanging="243"/>
        <w:contextualSpacing w:val="0"/>
        <w:rPr>
          <w:color w:val="131727" w:themeColor="text1"/>
          <w:sz w:val="20"/>
        </w:rPr>
      </w:pPr>
      <w:hyperlink w:anchor="_bookmark108" w:history="1">
        <w:r w:rsidRPr="00FD40B8">
          <w:rPr>
            <w:color w:val="131727" w:themeColor="text1"/>
            <w:w w:val="110"/>
            <w:sz w:val="20"/>
          </w:rPr>
          <w:t>Housing</w:t>
        </w:r>
        <w:r w:rsidRPr="00FD40B8">
          <w:rPr>
            <w:color w:val="131727" w:themeColor="text1"/>
            <w:spacing w:val="-1"/>
            <w:w w:val="110"/>
            <w:sz w:val="20"/>
          </w:rPr>
          <w:t xml:space="preserve"> </w:t>
        </w:r>
        <w:r w:rsidRPr="00FD40B8">
          <w:rPr>
            <w:color w:val="131727" w:themeColor="text1"/>
            <w:w w:val="110"/>
            <w:sz w:val="20"/>
          </w:rPr>
          <w:t>need by</w:t>
        </w:r>
        <w:r w:rsidRPr="00FD40B8">
          <w:rPr>
            <w:color w:val="131727" w:themeColor="text1"/>
            <w:spacing w:val="-6"/>
            <w:w w:val="110"/>
            <w:sz w:val="20"/>
          </w:rPr>
          <w:t xml:space="preserve"> </w:t>
        </w:r>
        <w:r w:rsidRPr="00FD40B8">
          <w:rPr>
            <w:color w:val="131727" w:themeColor="text1"/>
            <w:w w:val="110"/>
            <w:sz w:val="20"/>
          </w:rPr>
          <w:t>Indigenous</w:t>
        </w:r>
        <w:r w:rsidRPr="00FD40B8">
          <w:rPr>
            <w:color w:val="131727" w:themeColor="text1"/>
            <w:spacing w:val="-3"/>
            <w:w w:val="110"/>
            <w:sz w:val="20"/>
          </w:rPr>
          <w:t xml:space="preserve"> </w:t>
        </w:r>
        <w:r w:rsidRPr="00FD40B8">
          <w:rPr>
            <w:color w:val="131727" w:themeColor="text1"/>
            <w:w w:val="110"/>
            <w:sz w:val="20"/>
          </w:rPr>
          <w:t>Area</w:t>
        </w:r>
        <w:r w:rsidRPr="00FD40B8">
          <w:rPr>
            <w:color w:val="131727" w:themeColor="text1"/>
            <w:spacing w:val="-2"/>
            <w:w w:val="110"/>
            <w:sz w:val="20"/>
          </w:rPr>
          <w:t xml:space="preserve"> </w:t>
        </w:r>
        <w:r w:rsidRPr="00FD40B8">
          <w:rPr>
            <w:color w:val="131727" w:themeColor="text1"/>
            <w:w w:val="110"/>
            <w:sz w:val="20"/>
          </w:rPr>
          <w:t>(top 50 by</w:t>
        </w:r>
        <w:r w:rsidRPr="00FD40B8">
          <w:rPr>
            <w:color w:val="131727" w:themeColor="text1"/>
            <w:spacing w:val="-1"/>
            <w:w w:val="110"/>
            <w:sz w:val="20"/>
          </w:rPr>
          <w:t xml:space="preserve"> </w:t>
        </w:r>
        <w:r w:rsidRPr="00FD40B8">
          <w:rPr>
            <w:color w:val="131727" w:themeColor="text1"/>
            <w:w w:val="110"/>
            <w:sz w:val="20"/>
          </w:rPr>
          <w:t>proportion in</w:t>
        </w:r>
        <w:r w:rsidRPr="00FD40B8">
          <w:rPr>
            <w:color w:val="131727" w:themeColor="text1"/>
            <w:spacing w:val="1"/>
            <w:w w:val="110"/>
            <w:sz w:val="20"/>
          </w:rPr>
          <w:t xml:space="preserve"> </w:t>
        </w:r>
        <w:r w:rsidRPr="00FD40B8">
          <w:rPr>
            <w:color w:val="131727" w:themeColor="text1"/>
            <w:spacing w:val="-2"/>
            <w:w w:val="110"/>
            <w:sz w:val="20"/>
          </w:rPr>
          <w:t>need)</w:t>
        </w:r>
        <w:r w:rsidRPr="00FD40B8">
          <w:rPr>
            <w:color w:val="131727" w:themeColor="text1"/>
            <w:sz w:val="20"/>
          </w:rPr>
          <w:tab/>
        </w:r>
        <w:r w:rsidRPr="00FD40B8">
          <w:rPr>
            <w:color w:val="131727" w:themeColor="text1"/>
            <w:spacing w:val="-5"/>
            <w:w w:val="110"/>
            <w:sz w:val="20"/>
          </w:rPr>
          <w:t>45</w:t>
        </w:r>
      </w:hyperlink>
    </w:p>
    <w:p w14:paraId="6B0FBCB4" w14:textId="77777777" w:rsidR="00811887" w:rsidRPr="00FD40B8" w:rsidRDefault="00811887" w:rsidP="00FB2FE9">
      <w:pPr>
        <w:pStyle w:val="ListParagraph"/>
        <w:widowControl w:val="0"/>
        <w:numPr>
          <w:ilvl w:val="0"/>
          <w:numId w:val="70"/>
        </w:numPr>
        <w:tabs>
          <w:tab w:val="left" w:pos="747"/>
          <w:tab w:val="left" w:leader="dot" w:pos="9685"/>
        </w:tabs>
        <w:autoSpaceDE w:val="0"/>
        <w:autoSpaceDN w:val="0"/>
        <w:spacing w:before="54" w:after="0"/>
        <w:ind w:left="747" w:hanging="210"/>
        <w:contextualSpacing w:val="0"/>
        <w:rPr>
          <w:color w:val="131727" w:themeColor="text1"/>
          <w:sz w:val="20"/>
        </w:rPr>
      </w:pPr>
      <w:hyperlink w:anchor="_bookmark109" w:history="1">
        <w:r w:rsidRPr="00FD40B8">
          <w:rPr>
            <w:color w:val="131727" w:themeColor="text1"/>
            <w:w w:val="110"/>
            <w:sz w:val="20"/>
          </w:rPr>
          <w:t>Housing</w:t>
        </w:r>
        <w:r w:rsidRPr="00FD40B8">
          <w:rPr>
            <w:color w:val="131727" w:themeColor="text1"/>
            <w:spacing w:val="2"/>
            <w:w w:val="110"/>
            <w:sz w:val="20"/>
          </w:rPr>
          <w:t xml:space="preserve"> </w:t>
        </w:r>
        <w:r w:rsidRPr="00FD40B8">
          <w:rPr>
            <w:color w:val="131727" w:themeColor="text1"/>
            <w:w w:val="110"/>
            <w:sz w:val="20"/>
          </w:rPr>
          <w:t>need</w:t>
        </w:r>
        <w:r w:rsidRPr="00FD40B8">
          <w:rPr>
            <w:color w:val="131727" w:themeColor="text1"/>
            <w:spacing w:val="3"/>
            <w:w w:val="110"/>
            <w:sz w:val="20"/>
          </w:rPr>
          <w:t xml:space="preserve"> </w:t>
        </w:r>
        <w:r w:rsidRPr="00FD40B8">
          <w:rPr>
            <w:color w:val="131727" w:themeColor="text1"/>
            <w:w w:val="110"/>
            <w:sz w:val="20"/>
          </w:rPr>
          <w:t>by</w:t>
        </w:r>
        <w:r w:rsidRPr="00FD40B8">
          <w:rPr>
            <w:color w:val="131727" w:themeColor="text1"/>
            <w:spacing w:val="8"/>
            <w:w w:val="110"/>
            <w:sz w:val="20"/>
          </w:rPr>
          <w:t xml:space="preserve"> </w:t>
        </w:r>
        <w:r w:rsidRPr="00FD40B8">
          <w:rPr>
            <w:color w:val="131727" w:themeColor="text1"/>
            <w:spacing w:val="-2"/>
            <w:w w:val="110"/>
            <w:sz w:val="20"/>
          </w:rPr>
          <w:t>Remoteness</w:t>
        </w:r>
        <w:r w:rsidRPr="00FD40B8">
          <w:rPr>
            <w:color w:val="131727" w:themeColor="text1"/>
            <w:sz w:val="20"/>
          </w:rPr>
          <w:tab/>
        </w:r>
        <w:r w:rsidRPr="00FD40B8">
          <w:rPr>
            <w:color w:val="131727" w:themeColor="text1"/>
            <w:spacing w:val="-5"/>
            <w:w w:val="110"/>
            <w:sz w:val="20"/>
          </w:rPr>
          <w:t>46</w:t>
        </w:r>
      </w:hyperlink>
    </w:p>
    <w:p w14:paraId="55C747EA" w14:textId="77777777" w:rsidR="00811887" w:rsidRPr="00FD40B8" w:rsidRDefault="00811887" w:rsidP="00FB2FE9">
      <w:pPr>
        <w:pStyle w:val="ListParagraph"/>
        <w:widowControl w:val="0"/>
        <w:numPr>
          <w:ilvl w:val="0"/>
          <w:numId w:val="70"/>
        </w:numPr>
        <w:tabs>
          <w:tab w:val="left" w:pos="738"/>
          <w:tab w:val="left" w:leader="dot" w:pos="9685"/>
        </w:tabs>
        <w:autoSpaceDE w:val="0"/>
        <w:autoSpaceDN w:val="0"/>
        <w:spacing w:before="62" w:after="0" w:line="235" w:lineRule="auto"/>
        <w:ind w:left="537" w:right="526" w:firstLine="0"/>
        <w:contextualSpacing w:val="0"/>
        <w:rPr>
          <w:color w:val="131727" w:themeColor="text1"/>
          <w:sz w:val="20"/>
        </w:rPr>
      </w:pPr>
      <w:hyperlink w:anchor="_bookmark110" w:history="1">
        <w:r w:rsidRPr="00FD40B8">
          <w:rPr>
            <w:color w:val="131727" w:themeColor="text1"/>
            <w:w w:val="110"/>
            <w:sz w:val="20"/>
          </w:rPr>
          <w:t>Comparison</w:t>
        </w:r>
        <w:r w:rsidRPr="00FD40B8">
          <w:rPr>
            <w:color w:val="131727" w:themeColor="text1"/>
            <w:spacing w:val="40"/>
            <w:w w:val="110"/>
            <w:sz w:val="20"/>
          </w:rPr>
          <w:t xml:space="preserve"> </w:t>
        </w:r>
        <w:r w:rsidRPr="00FD40B8">
          <w:rPr>
            <w:color w:val="131727" w:themeColor="text1"/>
            <w:w w:val="110"/>
            <w:sz w:val="20"/>
          </w:rPr>
          <w:t>of</w:t>
        </w:r>
        <w:r w:rsidRPr="00FD40B8">
          <w:rPr>
            <w:color w:val="131727" w:themeColor="text1"/>
            <w:spacing w:val="40"/>
            <w:w w:val="110"/>
            <w:sz w:val="20"/>
          </w:rPr>
          <w:t xml:space="preserve"> </w:t>
        </w:r>
        <w:r w:rsidRPr="00FD40B8">
          <w:rPr>
            <w:color w:val="131727" w:themeColor="text1"/>
            <w:w w:val="110"/>
            <w:sz w:val="20"/>
          </w:rPr>
          <w:t>primary</w:t>
        </w:r>
        <w:r w:rsidRPr="00FD40B8">
          <w:rPr>
            <w:color w:val="131727" w:themeColor="text1"/>
            <w:spacing w:val="40"/>
            <w:w w:val="110"/>
            <w:sz w:val="20"/>
          </w:rPr>
          <w:t xml:space="preserve"> </w:t>
        </w:r>
        <w:r w:rsidRPr="00FD40B8">
          <w:rPr>
            <w:color w:val="131727" w:themeColor="text1"/>
            <w:w w:val="110"/>
            <w:sz w:val="20"/>
          </w:rPr>
          <w:t>ABS</w:t>
        </w:r>
        <w:r w:rsidRPr="00FD40B8">
          <w:rPr>
            <w:color w:val="131727" w:themeColor="text1"/>
            <w:spacing w:val="40"/>
            <w:w w:val="110"/>
            <w:sz w:val="20"/>
          </w:rPr>
          <w:t xml:space="preserve"> </w:t>
        </w:r>
        <w:r w:rsidRPr="00FD40B8">
          <w:rPr>
            <w:color w:val="131727" w:themeColor="text1"/>
            <w:w w:val="110"/>
            <w:sz w:val="20"/>
          </w:rPr>
          <w:t>sources</w:t>
        </w:r>
        <w:r w:rsidRPr="00FD40B8">
          <w:rPr>
            <w:color w:val="131727" w:themeColor="text1"/>
            <w:spacing w:val="40"/>
            <w:w w:val="110"/>
            <w:sz w:val="20"/>
          </w:rPr>
          <w:t xml:space="preserve"> </w:t>
        </w:r>
        <w:r w:rsidRPr="00FD40B8">
          <w:rPr>
            <w:color w:val="131727" w:themeColor="text1"/>
            <w:w w:val="110"/>
            <w:sz w:val="20"/>
          </w:rPr>
          <w:t>that</w:t>
        </w:r>
        <w:r w:rsidRPr="00FD40B8">
          <w:rPr>
            <w:color w:val="131727" w:themeColor="text1"/>
            <w:spacing w:val="40"/>
            <w:w w:val="110"/>
            <w:sz w:val="20"/>
          </w:rPr>
          <w:t xml:space="preserve"> </w:t>
        </w:r>
        <w:r w:rsidRPr="00FD40B8">
          <w:rPr>
            <w:color w:val="131727" w:themeColor="text1"/>
            <w:w w:val="110"/>
            <w:sz w:val="20"/>
          </w:rPr>
          <w:t>collect</w:t>
        </w:r>
        <w:r w:rsidRPr="00FD40B8">
          <w:rPr>
            <w:color w:val="131727" w:themeColor="text1"/>
            <w:spacing w:val="40"/>
            <w:w w:val="110"/>
            <w:sz w:val="20"/>
          </w:rPr>
          <w:t xml:space="preserve"> </w:t>
        </w:r>
        <w:r w:rsidRPr="00FD40B8">
          <w:rPr>
            <w:color w:val="131727" w:themeColor="text1"/>
            <w:w w:val="110"/>
            <w:sz w:val="20"/>
          </w:rPr>
          <w:t>data</w:t>
        </w:r>
        <w:r w:rsidRPr="00FD40B8">
          <w:rPr>
            <w:color w:val="131727" w:themeColor="text1"/>
            <w:spacing w:val="40"/>
            <w:w w:val="110"/>
            <w:sz w:val="20"/>
          </w:rPr>
          <w:t xml:space="preserve"> </w:t>
        </w:r>
        <w:r w:rsidRPr="00FD40B8">
          <w:rPr>
            <w:color w:val="131727" w:themeColor="text1"/>
            <w:w w:val="110"/>
            <w:sz w:val="20"/>
          </w:rPr>
          <w:t>on</w:t>
        </w:r>
        <w:r w:rsidRPr="00FD40B8">
          <w:rPr>
            <w:color w:val="131727" w:themeColor="text1"/>
            <w:spacing w:val="40"/>
            <w:w w:val="110"/>
            <w:sz w:val="20"/>
          </w:rPr>
          <w:t xml:space="preserve"> </w:t>
        </w:r>
        <w:r w:rsidRPr="00FD40B8">
          <w:rPr>
            <w:color w:val="131727" w:themeColor="text1"/>
            <w:w w:val="110"/>
            <w:sz w:val="20"/>
          </w:rPr>
          <w:t>Aboriginal</w:t>
        </w:r>
        <w:r w:rsidRPr="00FD40B8">
          <w:rPr>
            <w:color w:val="131727" w:themeColor="text1"/>
            <w:spacing w:val="40"/>
            <w:w w:val="110"/>
            <w:sz w:val="20"/>
          </w:rPr>
          <w:t xml:space="preserve"> </w:t>
        </w:r>
        <w:r w:rsidRPr="00FD40B8">
          <w:rPr>
            <w:color w:val="131727" w:themeColor="text1"/>
            <w:w w:val="110"/>
            <w:sz w:val="20"/>
          </w:rPr>
          <w:t>and</w:t>
        </w:r>
        <w:r w:rsidRPr="00FD40B8">
          <w:rPr>
            <w:color w:val="131727" w:themeColor="text1"/>
            <w:spacing w:val="40"/>
            <w:w w:val="110"/>
            <w:sz w:val="20"/>
          </w:rPr>
          <w:t xml:space="preserve"> </w:t>
        </w:r>
        <w:r w:rsidRPr="00FD40B8">
          <w:rPr>
            <w:color w:val="131727" w:themeColor="text1"/>
            <w:w w:val="110"/>
            <w:sz w:val="20"/>
          </w:rPr>
          <w:t>Torres</w:t>
        </w:r>
        <w:r w:rsidRPr="00FD40B8">
          <w:rPr>
            <w:color w:val="131727" w:themeColor="text1"/>
            <w:spacing w:val="40"/>
            <w:w w:val="110"/>
            <w:sz w:val="20"/>
          </w:rPr>
          <w:t xml:space="preserve"> </w:t>
        </w:r>
        <w:r w:rsidRPr="00FD40B8">
          <w:rPr>
            <w:color w:val="131727" w:themeColor="text1"/>
            <w:w w:val="110"/>
            <w:sz w:val="20"/>
          </w:rPr>
          <w:t>Strait</w:t>
        </w:r>
        <w:r w:rsidRPr="00FD40B8">
          <w:rPr>
            <w:color w:val="131727" w:themeColor="text1"/>
            <w:spacing w:val="40"/>
            <w:w w:val="110"/>
            <w:sz w:val="20"/>
          </w:rPr>
          <w:t xml:space="preserve"> </w:t>
        </w:r>
        <w:r w:rsidRPr="00FD40B8">
          <w:rPr>
            <w:color w:val="131727" w:themeColor="text1"/>
            <w:w w:val="110"/>
            <w:sz w:val="20"/>
          </w:rPr>
          <w:t>Islander</w:t>
        </w:r>
      </w:hyperlink>
      <w:r w:rsidRPr="00FD40B8">
        <w:rPr>
          <w:color w:val="131727" w:themeColor="text1"/>
          <w:w w:val="110"/>
          <w:sz w:val="20"/>
        </w:rPr>
        <w:t xml:space="preserve"> </w:t>
      </w:r>
      <w:hyperlink w:anchor="_bookmark110" w:history="1">
        <w:r w:rsidRPr="00FD40B8">
          <w:rPr>
            <w:color w:val="131727" w:themeColor="text1"/>
            <w:spacing w:val="-2"/>
            <w:w w:val="110"/>
            <w:sz w:val="20"/>
          </w:rPr>
          <w:t>Housing</w:t>
        </w:r>
        <w:r w:rsidRPr="00FD40B8">
          <w:rPr>
            <w:color w:val="131727" w:themeColor="text1"/>
            <w:sz w:val="20"/>
          </w:rPr>
          <w:tab/>
        </w:r>
        <w:r w:rsidRPr="00FD40B8">
          <w:rPr>
            <w:color w:val="131727" w:themeColor="text1"/>
            <w:spacing w:val="-5"/>
            <w:w w:val="110"/>
            <w:sz w:val="20"/>
          </w:rPr>
          <w:t>47</w:t>
        </w:r>
      </w:hyperlink>
    </w:p>
    <w:p w14:paraId="591EC608" w14:textId="77777777" w:rsidR="00811887" w:rsidRPr="00FD40B8" w:rsidRDefault="00811887" w:rsidP="00FB2FE9">
      <w:pPr>
        <w:pStyle w:val="ListParagraph"/>
        <w:widowControl w:val="0"/>
        <w:numPr>
          <w:ilvl w:val="0"/>
          <w:numId w:val="70"/>
        </w:numPr>
        <w:tabs>
          <w:tab w:val="left" w:pos="780"/>
          <w:tab w:val="left" w:leader="dot" w:pos="9685"/>
        </w:tabs>
        <w:autoSpaceDE w:val="0"/>
        <w:autoSpaceDN w:val="0"/>
        <w:spacing w:before="55" w:after="0"/>
        <w:ind w:left="780" w:hanging="243"/>
        <w:contextualSpacing w:val="0"/>
        <w:rPr>
          <w:color w:val="131727" w:themeColor="text1"/>
          <w:sz w:val="20"/>
        </w:rPr>
      </w:pPr>
      <w:hyperlink w:anchor="_bookmark117" w:history="1">
        <w:r w:rsidRPr="00FD40B8">
          <w:rPr>
            <w:color w:val="131727" w:themeColor="text1"/>
            <w:w w:val="110"/>
            <w:sz w:val="20"/>
          </w:rPr>
          <w:t>The Community</w:t>
        </w:r>
        <w:r w:rsidRPr="00FD40B8">
          <w:rPr>
            <w:color w:val="131727" w:themeColor="text1"/>
            <w:spacing w:val="-2"/>
            <w:w w:val="110"/>
            <w:sz w:val="20"/>
          </w:rPr>
          <w:t xml:space="preserve"> </w:t>
        </w:r>
        <w:r w:rsidRPr="00FD40B8">
          <w:rPr>
            <w:color w:val="131727" w:themeColor="text1"/>
            <w:w w:val="110"/>
            <w:sz w:val="20"/>
          </w:rPr>
          <w:t>Housing Infrastructure</w:t>
        </w:r>
        <w:r w:rsidRPr="00FD40B8">
          <w:rPr>
            <w:color w:val="131727" w:themeColor="text1"/>
            <w:spacing w:val="-5"/>
            <w:w w:val="110"/>
            <w:sz w:val="20"/>
          </w:rPr>
          <w:t xml:space="preserve"> </w:t>
        </w:r>
        <w:r w:rsidRPr="00FD40B8">
          <w:rPr>
            <w:color w:val="131727" w:themeColor="text1"/>
            <w:w w:val="110"/>
            <w:sz w:val="20"/>
          </w:rPr>
          <w:t>Needs</w:t>
        </w:r>
        <w:r w:rsidRPr="00FD40B8">
          <w:rPr>
            <w:color w:val="131727" w:themeColor="text1"/>
            <w:spacing w:val="3"/>
            <w:w w:val="110"/>
            <w:sz w:val="20"/>
          </w:rPr>
          <w:t xml:space="preserve"> </w:t>
        </w:r>
        <w:r w:rsidRPr="00FD40B8">
          <w:rPr>
            <w:color w:val="131727" w:themeColor="text1"/>
            <w:spacing w:val="-2"/>
            <w:w w:val="110"/>
            <w:sz w:val="20"/>
          </w:rPr>
          <w:t>Survey</w:t>
        </w:r>
        <w:r w:rsidRPr="00FD40B8">
          <w:rPr>
            <w:color w:val="131727" w:themeColor="text1"/>
            <w:sz w:val="20"/>
          </w:rPr>
          <w:tab/>
        </w:r>
        <w:r w:rsidRPr="00FD40B8">
          <w:rPr>
            <w:color w:val="131727" w:themeColor="text1"/>
            <w:spacing w:val="-5"/>
            <w:w w:val="110"/>
            <w:sz w:val="20"/>
          </w:rPr>
          <w:t>50</w:t>
        </w:r>
      </w:hyperlink>
    </w:p>
    <w:p w14:paraId="0C9FFB93" w14:textId="77777777" w:rsidR="00811887" w:rsidRPr="00FD40B8" w:rsidRDefault="00811887" w:rsidP="00FB2FE9">
      <w:pPr>
        <w:pStyle w:val="ListParagraph"/>
        <w:widowControl w:val="0"/>
        <w:numPr>
          <w:ilvl w:val="0"/>
          <w:numId w:val="70"/>
        </w:numPr>
        <w:tabs>
          <w:tab w:val="left" w:pos="780"/>
          <w:tab w:val="left" w:leader="dot" w:pos="9685"/>
        </w:tabs>
        <w:autoSpaceDE w:val="0"/>
        <w:autoSpaceDN w:val="0"/>
        <w:spacing w:before="62" w:after="0" w:line="235" w:lineRule="auto"/>
        <w:ind w:left="537" w:right="526" w:firstLine="0"/>
        <w:contextualSpacing w:val="0"/>
        <w:rPr>
          <w:color w:val="131727" w:themeColor="text1"/>
          <w:sz w:val="20"/>
        </w:rPr>
      </w:pPr>
      <w:hyperlink w:anchor="_bookmark119" w:history="1">
        <w:r w:rsidRPr="00FD40B8">
          <w:rPr>
            <w:color w:val="131727" w:themeColor="text1"/>
            <w:w w:val="110"/>
            <w:sz w:val="20"/>
          </w:rPr>
          <w:t>Reporting requirements for Commonwealth social housing investments and Closing the Gap</w:t>
        </w:r>
      </w:hyperlink>
      <w:r w:rsidRPr="00FD40B8">
        <w:rPr>
          <w:color w:val="131727" w:themeColor="text1"/>
          <w:spacing w:val="80"/>
          <w:w w:val="110"/>
          <w:sz w:val="20"/>
        </w:rPr>
        <w:t xml:space="preserve"> </w:t>
      </w:r>
      <w:hyperlink w:anchor="_bookmark119" w:history="1">
        <w:r w:rsidRPr="00FD40B8">
          <w:rPr>
            <w:color w:val="131727" w:themeColor="text1"/>
            <w:spacing w:val="-2"/>
            <w:w w:val="110"/>
            <w:sz w:val="20"/>
          </w:rPr>
          <w:t>indicators</w:t>
        </w:r>
        <w:r w:rsidRPr="00FD40B8">
          <w:rPr>
            <w:color w:val="131727" w:themeColor="text1"/>
            <w:sz w:val="20"/>
          </w:rPr>
          <w:tab/>
        </w:r>
        <w:r w:rsidRPr="00FD40B8">
          <w:rPr>
            <w:color w:val="131727" w:themeColor="text1"/>
            <w:spacing w:val="-5"/>
            <w:w w:val="110"/>
            <w:sz w:val="20"/>
          </w:rPr>
          <w:t>56</w:t>
        </w:r>
      </w:hyperlink>
    </w:p>
    <w:p w14:paraId="7082E1A2" w14:textId="77777777" w:rsidR="00811887" w:rsidRPr="00FD40B8" w:rsidRDefault="00811887" w:rsidP="00811887">
      <w:pPr>
        <w:pStyle w:val="BodyText"/>
        <w:rPr>
          <w:color w:val="131727" w:themeColor="text1"/>
        </w:rPr>
      </w:pPr>
    </w:p>
    <w:p w14:paraId="6816FCA2" w14:textId="77777777" w:rsidR="00811887" w:rsidRPr="00FD40B8" w:rsidRDefault="00811887" w:rsidP="00811887">
      <w:pPr>
        <w:pStyle w:val="BodyText"/>
        <w:rPr>
          <w:color w:val="131727" w:themeColor="text1"/>
        </w:rPr>
      </w:pPr>
    </w:p>
    <w:p w14:paraId="54E6CB8F" w14:textId="77777777" w:rsidR="00811887" w:rsidRPr="00FD40B8" w:rsidRDefault="00811887" w:rsidP="00811887">
      <w:pPr>
        <w:pStyle w:val="BodyText"/>
        <w:rPr>
          <w:color w:val="131727" w:themeColor="text1"/>
        </w:rPr>
      </w:pPr>
    </w:p>
    <w:p w14:paraId="351C1EB1" w14:textId="77777777" w:rsidR="00811887" w:rsidRPr="00FD40B8" w:rsidRDefault="00811887" w:rsidP="00811887">
      <w:pPr>
        <w:pStyle w:val="BodyText"/>
        <w:rPr>
          <w:color w:val="131727" w:themeColor="text1"/>
        </w:rPr>
      </w:pPr>
    </w:p>
    <w:p w14:paraId="12D23BCE" w14:textId="77777777" w:rsidR="00811887" w:rsidRPr="00FD40B8" w:rsidRDefault="00811887" w:rsidP="00811887">
      <w:pPr>
        <w:pStyle w:val="BodyText"/>
        <w:rPr>
          <w:color w:val="131727" w:themeColor="text1"/>
        </w:rPr>
      </w:pPr>
    </w:p>
    <w:p w14:paraId="264CF699" w14:textId="77777777" w:rsidR="00811887" w:rsidRPr="00FD40B8" w:rsidRDefault="00811887" w:rsidP="00811887">
      <w:pPr>
        <w:pStyle w:val="BodyText"/>
        <w:rPr>
          <w:color w:val="131727" w:themeColor="text1"/>
        </w:rPr>
      </w:pPr>
    </w:p>
    <w:p w14:paraId="719D1E3A" w14:textId="77777777" w:rsidR="00811887" w:rsidRPr="00FD40B8" w:rsidRDefault="00811887" w:rsidP="00811887">
      <w:pPr>
        <w:pStyle w:val="BodyText"/>
        <w:rPr>
          <w:color w:val="131727" w:themeColor="text1"/>
        </w:rPr>
      </w:pPr>
    </w:p>
    <w:p w14:paraId="339D7E53" w14:textId="77777777" w:rsidR="00811887" w:rsidRPr="00FD40B8" w:rsidRDefault="00811887" w:rsidP="00811887">
      <w:pPr>
        <w:pStyle w:val="BodyText"/>
        <w:rPr>
          <w:color w:val="131727" w:themeColor="text1"/>
        </w:rPr>
      </w:pPr>
    </w:p>
    <w:p w14:paraId="3C03F551" w14:textId="77777777" w:rsidR="00811887" w:rsidRPr="00FD40B8" w:rsidRDefault="00811887" w:rsidP="00811887">
      <w:pPr>
        <w:pStyle w:val="BodyText"/>
        <w:rPr>
          <w:color w:val="131727" w:themeColor="text1"/>
        </w:rPr>
      </w:pPr>
    </w:p>
    <w:p w14:paraId="7EE702FB" w14:textId="77777777" w:rsidR="00811887" w:rsidRPr="00FD40B8" w:rsidRDefault="00811887" w:rsidP="00811887">
      <w:pPr>
        <w:pStyle w:val="BodyText"/>
        <w:rPr>
          <w:color w:val="131727" w:themeColor="text1"/>
        </w:rPr>
      </w:pPr>
    </w:p>
    <w:p w14:paraId="7F6A6039" w14:textId="77777777" w:rsidR="00811887" w:rsidRPr="00FD40B8" w:rsidRDefault="00811887" w:rsidP="00811887">
      <w:pPr>
        <w:pStyle w:val="BodyText"/>
        <w:rPr>
          <w:color w:val="131727" w:themeColor="text1"/>
        </w:rPr>
      </w:pPr>
    </w:p>
    <w:p w14:paraId="2EFA7374" w14:textId="77777777" w:rsidR="00811887" w:rsidRPr="00FD40B8" w:rsidRDefault="00811887" w:rsidP="00811887">
      <w:pPr>
        <w:pStyle w:val="BodyText"/>
        <w:spacing w:before="24"/>
        <w:rPr>
          <w:color w:val="131727" w:themeColor="text1"/>
        </w:rPr>
      </w:pPr>
      <w:r w:rsidRPr="00FD40B8">
        <w:rPr>
          <w:noProof/>
          <w:color w:val="131727" w:themeColor="text1"/>
        </w:rPr>
        <mc:AlternateContent>
          <mc:Choice Requires="wps">
            <w:drawing>
              <wp:anchor distT="0" distB="0" distL="0" distR="0" simplePos="0" relativeHeight="251728896" behindDoc="1" locked="0" layoutInCell="1" allowOverlap="1" wp14:anchorId="266147F5" wp14:editId="7D12589E">
                <wp:simplePos x="0" y="0"/>
                <wp:positionH relativeFrom="page">
                  <wp:posOffset>792784</wp:posOffset>
                </wp:positionH>
                <wp:positionV relativeFrom="paragraph">
                  <wp:posOffset>185871</wp:posOffset>
                </wp:positionV>
                <wp:extent cx="5973445" cy="6350"/>
                <wp:effectExtent l="0" t="0" r="0" b="0"/>
                <wp:wrapTopAndBottom/>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6350"/>
                        </a:xfrm>
                        <a:custGeom>
                          <a:avLst/>
                          <a:gdLst/>
                          <a:ahLst/>
                          <a:cxnLst/>
                          <a:rect l="l" t="t" r="r" b="b"/>
                          <a:pathLst>
                            <a:path w="5973445" h="6350">
                              <a:moveTo>
                                <a:pt x="5973445" y="0"/>
                              </a:moveTo>
                              <a:lnTo>
                                <a:pt x="0" y="0"/>
                              </a:lnTo>
                              <a:lnTo>
                                <a:pt x="0" y="6095"/>
                              </a:lnTo>
                              <a:lnTo>
                                <a:pt x="5973445" y="6095"/>
                              </a:lnTo>
                              <a:lnTo>
                                <a:pt x="597344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6AEE59D7" id="Graphic 108" o:spid="_x0000_s1026" alt="&quot;&quot;" style="position:absolute;margin-left:62.4pt;margin-top:14.65pt;width:470.35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59734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" path="m5973445,l,,,6095r5973445,l5973445,xe" fillcolor="#4d665b" stroked="f">
                <v:path arrowok="t"/>
                <w10:wrap type="topAndBottom" anchorx="page"/>
              </v:shape>
            </w:pict>
          </mc:Fallback>
        </mc:AlternateContent>
      </w:r>
    </w:p>
    <w:p w14:paraId="592BEFA6" w14:textId="77777777" w:rsidR="00811887" w:rsidRPr="00FD40B8" w:rsidRDefault="00811887" w:rsidP="00811887">
      <w:pPr>
        <w:tabs>
          <w:tab w:val="left" w:pos="9805"/>
        </w:tabs>
        <w:spacing w:before="42" w:line="238" w:lineRule="exact"/>
        <w:ind w:left="508"/>
        <w:rPr>
          <w:rFonts w:ascii="Book Antiqua"/>
          <w:b/>
          <w:color w:val="131727" w:themeColor="text1"/>
          <w:sz w:val="20"/>
        </w:rPr>
      </w:pPr>
      <w:r w:rsidRPr="00FD40B8">
        <w:rPr>
          <w:rFonts w:ascii="Arial Black"/>
          <w:color w:val="131727" w:themeColor="text1"/>
          <w:w w:val="85"/>
          <w:sz w:val="14"/>
        </w:rPr>
        <w:t>ABORIGINAL</w:t>
      </w:r>
      <w:r w:rsidRPr="00FD40B8">
        <w:rPr>
          <w:rFonts w:ascii="Arial Black"/>
          <w:color w:val="131727" w:themeColor="text1"/>
          <w:spacing w:val="55"/>
          <w:sz w:val="14"/>
        </w:rPr>
        <w:t xml:space="preserve"> </w:t>
      </w:r>
      <w:r w:rsidRPr="00FD40B8">
        <w:rPr>
          <w:rFonts w:ascii="Arial Black"/>
          <w:color w:val="131727" w:themeColor="text1"/>
          <w:w w:val="85"/>
          <w:sz w:val="14"/>
        </w:rPr>
        <w:t>AND</w:t>
      </w:r>
      <w:r w:rsidRPr="00FD40B8">
        <w:rPr>
          <w:rFonts w:ascii="Arial Black"/>
          <w:color w:val="131727" w:themeColor="text1"/>
          <w:spacing w:val="59"/>
          <w:sz w:val="14"/>
        </w:rPr>
        <w:t xml:space="preserve"> </w:t>
      </w:r>
      <w:r w:rsidRPr="00FD40B8">
        <w:rPr>
          <w:rFonts w:ascii="Arial Black"/>
          <w:color w:val="131727" w:themeColor="text1"/>
          <w:w w:val="85"/>
          <w:sz w:val="14"/>
        </w:rPr>
        <w:t>TORRES</w:t>
      </w:r>
      <w:r w:rsidRPr="00FD40B8">
        <w:rPr>
          <w:rFonts w:ascii="Arial Black"/>
          <w:color w:val="131727" w:themeColor="text1"/>
          <w:spacing w:val="53"/>
          <w:sz w:val="14"/>
        </w:rPr>
        <w:t xml:space="preserve"> </w:t>
      </w:r>
      <w:r w:rsidRPr="00FD40B8">
        <w:rPr>
          <w:rFonts w:ascii="Arial Black"/>
          <w:color w:val="131727" w:themeColor="text1"/>
          <w:w w:val="85"/>
          <w:sz w:val="14"/>
        </w:rPr>
        <w:t>STRAIT</w:t>
      </w:r>
      <w:r w:rsidRPr="00FD40B8">
        <w:rPr>
          <w:rFonts w:ascii="Arial Black"/>
          <w:color w:val="131727" w:themeColor="text1"/>
          <w:spacing w:val="48"/>
          <w:sz w:val="14"/>
        </w:rPr>
        <w:t xml:space="preserve"> </w:t>
      </w:r>
      <w:r w:rsidRPr="00FD40B8">
        <w:rPr>
          <w:rFonts w:ascii="Arial Black"/>
          <w:color w:val="131727" w:themeColor="text1"/>
          <w:w w:val="85"/>
          <w:sz w:val="14"/>
        </w:rPr>
        <w:t>ISLANDER</w:t>
      </w:r>
      <w:r w:rsidRPr="00FD40B8">
        <w:rPr>
          <w:rFonts w:ascii="Arial Black"/>
          <w:color w:val="131727" w:themeColor="text1"/>
          <w:spacing w:val="56"/>
          <w:sz w:val="14"/>
        </w:rPr>
        <w:t xml:space="preserve"> </w:t>
      </w:r>
      <w:r w:rsidRPr="00FD40B8">
        <w:rPr>
          <w:rFonts w:ascii="Arial Black"/>
          <w:color w:val="131727" w:themeColor="text1"/>
          <w:w w:val="85"/>
          <w:sz w:val="14"/>
        </w:rPr>
        <w:t>HOUSING</w:t>
      </w:r>
      <w:r w:rsidRPr="00FD40B8">
        <w:rPr>
          <w:rFonts w:ascii="Arial Black"/>
          <w:color w:val="131727" w:themeColor="text1"/>
          <w:spacing w:val="52"/>
          <w:sz w:val="14"/>
        </w:rPr>
        <w:t xml:space="preserve"> </w:t>
      </w:r>
      <w:r w:rsidRPr="00FD40B8">
        <w:rPr>
          <w:rFonts w:ascii="Arial Black"/>
          <w:color w:val="131727" w:themeColor="text1"/>
          <w:w w:val="85"/>
          <w:sz w:val="14"/>
        </w:rPr>
        <w:t>DATA</w:t>
      </w:r>
      <w:r w:rsidRPr="00FD40B8">
        <w:rPr>
          <w:rFonts w:ascii="Arial Black"/>
          <w:color w:val="131727" w:themeColor="text1"/>
          <w:spacing w:val="51"/>
          <w:sz w:val="14"/>
        </w:rPr>
        <w:t xml:space="preserve"> </w:t>
      </w:r>
      <w:r w:rsidRPr="00FD40B8">
        <w:rPr>
          <w:rFonts w:ascii="Arial Black"/>
          <w:color w:val="131727" w:themeColor="text1"/>
          <w:spacing w:val="-2"/>
          <w:w w:val="85"/>
          <w:sz w:val="14"/>
        </w:rPr>
        <w:t>REVIEW</w:t>
      </w:r>
      <w:r w:rsidRPr="00FD40B8">
        <w:rPr>
          <w:rFonts w:ascii="Arial Black"/>
          <w:color w:val="131727" w:themeColor="text1"/>
          <w:sz w:val="14"/>
        </w:rPr>
        <w:tab/>
      </w:r>
      <w:r w:rsidRPr="00FD40B8">
        <w:rPr>
          <w:rFonts w:ascii="Book Antiqua"/>
          <w:b/>
          <w:color w:val="131727" w:themeColor="text1"/>
          <w:spacing w:val="-10"/>
          <w:w w:val="95"/>
          <w:sz w:val="20"/>
        </w:rPr>
        <w:t>3</w:t>
      </w:r>
    </w:p>
    <w:p w14:paraId="05958A3A" w14:textId="77777777" w:rsidR="00811887" w:rsidRPr="00FD40B8" w:rsidRDefault="00811887" w:rsidP="00811887">
      <w:pPr>
        <w:spacing w:line="162" w:lineRule="exact"/>
        <w:ind w:left="508"/>
        <w:rPr>
          <w:rFonts w:ascii="Lucida Sans"/>
          <w:color w:val="131727" w:themeColor="text1"/>
          <w:sz w:val="14"/>
        </w:rPr>
      </w:pPr>
      <w:r w:rsidRPr="00FD40B8">
        <w:rPr>
          <w:rFonts w:ascii="Lucida Sans"/>
          <w:color w:val="131727" w:themeColor="text1"/>
          <w:sz w:val="14"/>
        </w:rPr>
        <w:t>EQUITY</w:t>
      </w:r>
      <w:r w:rsidRPr="00FD40B8">
        <w:rPr>
          <w:rFonts w:ascii="Lucida Sans"/>
          <w:color w:val="131727" w:themeColor="text1"/>
          <w:spacing w:val="16"/>
          <w:sz w:val="14"/>
        </w:rPr>
        <w:t xml:space="preserve"> </w:t>
      </w:r>
      <w:r w:rsidRPr="00FD40B8">
        <w:rPr>
          <w:rFonts w:ascii="Lucida Sans"/>
          <w:color w:val="131727" w:themeColor="text1"/>
          <w:spacing w:val="9"/>
          <w:sz w:val="14"/>
        </w:rPr>
        <w:t>ECONOMICS</w:t>
      </w:r>
      <w:r w:rsidRPr="00FD40B8">
        <w:rPr>
          <w:rFonts w:ascii="Lucida Sans"/>
          <w:color w:val="131727" w:themeColor="text1"/>
          <w:spacing w:val="22"/>
          <w:sz w:val="14"/>
        </w:rPr>
        <w:t xml:space="preserve"> </w:t>
      </w:r>
      <w:r w:rsidRPr="00FD40B8">
        <w:rPr>
          <w:rFonts w:ascii="Lucida Sans"/>
          <w:color w:val="131727" w:themeColor="text1"/>
          <w:spacing w:val="7"/>
          <w:sz w:val="14"/>
        </w:rPr>
        <w:t>2024</w:t>
      </w:r>
    </w:p>
    <w:p w14:paraId="54E47B28" w14:textId="77777777" w:rsidR="00811887" w:rsidRPr="00FD40B8" w:rsidRDefault="00811887" w:rsidP="00811887">
      <w:pPr>
        <w:spacing w:line="162" w:lineRule="exact"/>
        <w:rPr>
          <w:rFonts w:ascii="Lucida Sans"/>
          <w:color w:val="131727" w:themeColor="text1"/>
          <w:sz w:val="14"/>
        </w:rPr>
        <w:sectPr w:rsidR="00811887" w:rsidRPr="00FD40B8" w:rsidSect="00811887">
          <w:footerReference w:type="default" r:id="rId70"/>
          <w:pgSz w:w="11910" w:h="16840"/>
          <w:pgMar w:top="1400" w:right="720" w:bottom="280" w:left="740" w:header="0" w:footer="0" w:gutter="0"/>
          <w:cols w:space="720"/>
        </w:sectPr>
      </w:pPr>
    </w:p>
    <w:p w14:paraId="5C558E30" w14:textId="77777777" w:rsidR="00811887" w:rsidRPr="00FD40B8" w:rsidRDefault="00811887" w:rsidP="00811887">
      <w:pPr>
        <w:pStyle w:val="BodyText"/>
        <w:spacing w:line="20" w:lineRule="exact"/>
        <w:ind w:left="479"/>
        <w:rPr>
          <w:rFonts w:ascii="Lucida Sans"/>
          <w:color w:val="131727" w:themeColor="text1"/>
          <w:sz w:val="2"/>
        </w:rPr>
      </w:pPr>
      <w:r w:rsidRPr="00FD40B8">
        <w:rPr>
          <w:rFonts w:ascii="Lucida Sans"/>
          <w:noProof/>
          <w:color w:val="131727" w:themeColor="text1"/>
          <w:sz w:val="2"/>
        </w:rPr>
        <w:lastRenderedPageBreak/>
        <mc:AlternateContent>
          <mc:Choice Requires="wpg">
            <w:drawing>
              <wp:inline distT="0" distB="0" distL="0" distR="0" wp14:anchorId="43DEA4B4" wp14:editId="4F61583E">
                <wp:extent cx="6016625" cy="6350"/>
                <wp:effectExtent l="0" t="0" r="0" b="0"/>
                <wp:docPr id="112" name="Group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13" name="Graphic 113"/>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71AF5878" id="Group 112"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">
                <v:shape id="Graphic 113"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" path="m6016117,l,,,6096r6016117,l6016117,xe" fillcolor="#4d665b" stroked="f">
                  <v:path arrowok="t"/>
                </v:shape>
                <w10:anchorlock/>
              </v:group>
            </w:pict>
          </mc:Fallback>
        </mc:AlternateContent>
      </w:r>
    </w:p>
    <w:p w14:paraId="593CAD6A" w14:textId="77777777" w:rsidR="00811887" w:rsidRPr="00FD40B8" w:rsidRDefault="00811887" w:rsidP="00811887">
      <w:pPr>
        <w:pStyle w:val="Heading1"/>
        <w:rPr>
          <w:color w:val="131727" w:themeColor="text1"/>
        </w:rPr>
      </w:pPr>
      <w:bookmarkStart w:id="111" w:name="_bookmark0"/>
      <w:bookmarkEnd w:id="111"/>
      <w:r w:rsidRPr="00FD40B8">
        <w:rPr>
          <w:color w:val="131727" w:themeColor="text1"/>
          <w:spacing w:val="-2"/>
        </w:rPr>
        <w:t>Context</w:t>
      </w:r>
    </w:p>
    <w:p w14:paraId="07D59D85" w14:textId="77777777" w:rsidR="00811887" w:rsidRPr="00FD40B8" w:rsidRDefault="00811887" w:rsidP="00811887">
      <w:pPr>
        <w:pStyle w:val="BodyText"/>
        <w:spacing w:before="92"/>
        <w:rPr>
          <w:rFonts w:ascii="Book Antiqua"/>
          <w:color w:val="131727" w:themeColor="text1"/>
        </w:rPr>
      </w:pPr>
      <w:r w:rsidRPr="00FD40B8">
        <w:rPr>
          <w:noProof/>
          <w:color w:val="131727" w:themeColor="text1"/>
        </w:rPr>
        <mc:AlternateContent>
          <mc:Choice Requires="wps">
            <w:drawing>
              <wp:anchor distT="0" distB="0" distL="0" distR="0" simplePos="0" relativeHeight="251729920" behindDoc="1" locked="0" layoutInCell="1" allowOverlap="1" wp14:anchorId="64832DF8" wp14:editId="17876F11">
                <wp:simplePos x="0" y="0"/>
                <wp:positionH relativeFrom="page">
                  <wp:posOffset>774496</wp:posOffset>
                </wp:positionH>
                <wp:positionV relativeFrom="paragraph">
                  <wp:posOffset>231728</wp:posOffset>
                </wp:positionV>
                <wp:extent cx="6016625" cy="6350"/>
                <wp:effectExtent l="0" t="0" r="0" b="0"/>
                <wp:wrapTopAndBottom/>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36CE7B6B" id="Graphic 114" o:spid="_x0000_s1026" alt="&quot;&quot;" style="position:absolute;margin-left:61pt;margin-top:18.25pt;width:473.75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" path="m6016117,l,,,6096r6016117,l6016117,xe" fillcolor="#4d665b" stroked="f">
                <v:path arrowok="t"/>
                <w10:wrap type="topAndBottom" anchorx="page"/>
              </v:shape>
            </w:pict>
          </mc:Fallback>
        </mc:AlternateContent>
      </w:r>
    </w:p>
    <w:p w14:paraId="29089AE9" w14:textId="77777777" w:rsidR="00811887" w:rsidRPr="00FD40B8" w:rsidRDefault="00811887" w:rsidP="00811887">
      <w:pPr>
        <w:pStyle w:val="Heading9"/>
        <w:spacing w:before="168"/>
        <w:rPr>
          <w:color w:val="131727" w:themeColor="text1"/>
        </w:rPr>
      </w:pPr>
      <w:bookmarkStart w:id="112" w:name="_bookmark1"/>
      <w:bookmarkEnd w:id="112"/>
      <w:r w:rsidRPr="00FD40B8">
        <w:rPr>
          <w:color w:val="131727" w:themeColor="text1"/>
          <w:spacing w:val="13"/>
          <w:w w:val="80"/>
        </w:rPr>
        <w:t>TH</w:t>
      </w:r>
      <w:r w:rsidRPr="00FD40B8">
        <w:rPr>
          <w:color w:val="131727" w:themeColor="text1"/>
          <w:spacing w:val="-34"/>
          <w:w w:val="80"/>
        </w:rPr>
        <w:t xml:space="preserve"> </w:t>
      </w:r>
      <w:r w:rsidRPr="00FD40B8">
        <w:rPr>
          <w:color w:val="131727" w:themeColor="text1"/>
          <w:w w:val="80"/>
        </w:rPr>
        <w:t>E</w:t>
      </w:r>
      <w:r w:rsidRPr="00FD40B8">
        <w:rPr>
          <w:color w:val="131727" w:themeColor="text1"/>
          <w:spacing w:val="34"/>
        </w:rPr>
        <w:t xml:space="preserve"> </w:t>
      </w:r>
      <w:r w:rsidRPr="00FD40B8">
        <w:rPr>
          <w:color w:val="131727" w:themeColor="text1"/>
          <w:spacing w:val="14"/>
          <w:w w:val="80"/>
        </w:rPr>
        <w:t>PR</w:t>
      </w:r>
      <w:r w:rsidRPr="00FD40B8">
        <w:rPr>
          <w:color w:val="131727" w:themeColor="text1"/>
          <w:spacing w:val="-31"/>
          <w:w w:val="80"/>
        </w:rPr>
        <w:t xml:space="preserve"> </w:t>
      </w:r>
      <w:r w:rsidRPr="00FD40B8">
        <w:rPr>
          <w:color w:val="131727" w:themeColor="text1"/>
          <w:spacing w:val="20"/>
          <w:w w:val="80"/>
        </w:rPr>
        <w:t>OJEC</w:t>
      </w:r>
      <w:r w:rsidRPr="00FD40B8">
        <w:rPr>
          <w:color w:val="131727" w:themeColor="text1"/>
          <w:spacing w:val="-34"/>
          <w:w w:val="80"/>
        </w:rPr>
        <w:t xml:space="preserve"> </w:t>
      </w:r>
      <w:r w:rsidRPr="00FD40B8">
        <w:rPr>
          <w:color w:val="131727" w:themeColor="text1"/>
          <w:spacing w:val="-10"/>
          <w:w w:val="80"/>
        </w:rPr>
        <w:t>T</w:t>
      </w:r>
    </w:p>
    <w:p w14:paraId="4A2B9AD6" w14:textId="77777777" w:rsidR="00811887" w:rsidRPr="00FD40B8" w:rsidRDefault="00811887" w:rsidP="00811887">
      <w:pPr>
        <w:pStyle w:val="BodyText"/>
        <w:spacing w:before="56" w:line="268" w:lineRule="auto"/>
        <w:ind w:left="508" w:right="598"/>
        <w:rPr>
          <w:color w:val="131727" w:themeColor="text1"/>
        </w:rPr>
      </w:pPr>
      <w:r w:rsidRPr="00FD40B8">
        <w:rPr>
          <w:color w:val="131727" w:themeColor="text1"/>
          <w:w w:val="110"/>
        </w:rPr>
        <w:t>The Economic Inclusion Advisory Committee (the Committee)</w:t>
      </w:r>
      <w:r w:rsidRPr="00FD40B8">
        <w:rPr>
          <w:color w:val="131727" w:themeColor="text1"/>
          <w:spacing w:val="-3"/>
          <w:w w:val="110"/>
        </w:rPr>
        <w:t xml:space="preserve"> </w:t>
      </w:r>
      <w:r w:rsidRPr="00FD40B8">
        <w:rPr>
          <w:color w:val="131727" w:themeColor="text1"/>
          <w:w w:val="110"/>
        </w:rPr>
        <w:t>is responsible</w:t>
      </w:r>
      <w:r w:rsidRPr="00FD40B8">
        <w:rPr>
          <w:color w:val="131727" w:themeColor="text1"/>
          <w:spacing w:val="-1"/>
          <w:w w:val="110"/>
        </w:rPr>
        <w:t xml:space="preserve"> </w:t>
      </w:r>
      <w:r w:rsidRPr="00FD40B8">
        <w:rPr>
          <w:color w:val="131727" w:themeColor="text1"/>
          <w:w w:val="110"/>
        </w:rPr>
        <w:t>for</w:t>
      </w:r>
      <w:r w:rsidRPr="00FD40B8">
        <w:rPr>
          <w:color w:val="131727" w:themeColor="text1"/>
          <w:spacing w:val="-2"/>
          <w:w w:val="110"/>
        </w:rPr>
        <w:t xml:space="preserve"> </w:t>
      </w:r>
      <w:r w:rsidRPr="00FD40B8">
        <w:rPr>
          <w:color w:val="131727" w:themeColor="text1"/>
          <w:w w:val="110"/>
        </w:rPr>
        <w:t>providing</w:t>
      </w:r>
      <w:r w:rsidRPr="00FD40B8">
        <w:rPr>
          <w:color w:val="131727" w:themeColor="text1"/>
          <w:spacing w:val="-1"/>
          <w:w w:val="110"/>
        </w:rPr>
        <w:t xml:space="preserve"> </w:t>
      </w:r>
      <w:r w:rsidRPr="00FD40B8">
        <w:rPr>
          <w:color w:val="131727" w:themeColor="text1"/>
          <w:w w:val="110"/>
        </w:rPr>
        <w:t>independent advice to the Australian Government ahead of every Federal Budget on opportunities and reforms to tackle</w:t>
      </w:r>
      <w:r w:rsidRPr="00FD40B8">
        <w:rPr>
          <w:color w:val="131727" w:themeColor="text1"/>
          <w:spacing w:val="-6"/>
          <w:w w:val="110"/>
        </w:rPr>
        <w:t xml:space="preserve"> </w:t>
      </w:r>
      <w:r w:rsidRPr="00FD40B8">
        <w:rPr>
          <w:color w:val="131727" w:themeColor="text1"/>
          <w:w w:val="110"/>
        </w:rPr>
        <w:t>systemic</w:t>
      </w:r>
      <w:r w:rsidRPr="00FD40B8">
        <w:rPr>
          <w:color w:val="131727" w:themeColor="text1"/>
          <w:spacing w:val="-6"/>
          <w:w w:val="110"/>
        </w:rPr>
        <w:t xml:space="preserve"> </w:t>
      </w:r>
      <w:r w:rsidRPr="00FD40B8">
        <w:rPr>
          <w:color w:val="131727" w:themeColor="text1"/>
          <w:w w:val="110"/>
        </w:rPr>
        <w:t>disadvantage</w:t>
      </w:r>
      <w:r w:rsidRPr="00FD40B8">
        <w:rPr>
          <w:color w:val="131727" w:themeColor="text1"/>
          <w:spacing w:val="-6"/>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boost</w:t>
      </w:r>
      <w:r w:rsidRPr="00FD40B8">
        <w:rPr>
          <w:color w:val="131727" w:themeColor="text1"/>
          <w:spacing w:val="-6"/>
          <w:w w:val="110"/>
        </w:rPr>
        <w:t xml:space="preserve"> </w:t>
      </w:r>
      <w:r w:rsidRPr="00FD40B8">
        <w:rPr>
          <w:color w:val="131727" w:themeColor="text1"/>
          <w:w w:val="110"/>
        </w:rPr>
        <w:t>economic</w:t>
      </w:r>
      <w:r w:rsidRPr="00FD40B8">
        <w:rPr>
          <w:color w:val="131727" w:themeColor="text1"/>
          <w:spacing w:val="-1"/>
          <w:w w:val="110"/>
        </w:rPr>
        <w:t xml:space="preserve"> </w:t>
      </w:r>
      <w:r w:rsidRPr="00FD40B8">
        <w:rPr>
          <w:color w:val="131727" w:themeColor="text1"/>
          <w:w w:val="110"/>
        </w:rPr>
        <w:t>inclusion and</w:t>
      </w:r>
      <w:r w:rsidRPr="00FD40B8">
        <w:rPr>
          <w:color w:val="131727" w:themeColor="text1"/>
          <w:spacing w:val="-6"/>
          <w:w w:val="110"/>
        </w:rPr>
        <w:t xml:space="preserve"> </w:t>
      </w:r>
      <w:r w:rsidRPr="00FD40B8">
        <w:rPr>
          <w:color w:val="131727" w:themeColor="text1"/>
          <w:w w:val="110"/>
        </w:rPr>
        <w:t>participation,</w:t>
      </w:r>
      <w:r w:rsidRPr="00FD40B8">
        <w:rPr>
          <w:color w:val="131727" w:themeColor="text1"/>
          <w:spacing w:val="-1"/>
          <w:w w:val="110"/>
        </w:rPr>
        <w:t xml:space="preserve"> </w:t>
      </w:r>
      <w:r w:rsidRPr="00FD40B8">
        <w:rPr>
          <w:color w:val="131727" w:themeColor="text1"/>
          <w:w w:val="110"/>
        </w:rPr>
        <w:t>particularly</w:t>
      </w:r>
      <w:r w:rsidRPr="00FD40B8">
        <w:rPr>
          <w:color w:val="131727" w:themeColor="text1"/>
          <w:spacing w:val="-7"/>
          <w:w w:val="110"/>
        </w:rPr>
        <w:t xml:space="preserve"> </w:t>
      </w:r>
      <w:r w:rsidRPr="00FD40B8">
        <w:rPr>
          <w:color w:val="131727" w:themeColor="text1"/>
          <w:w w:val="110"/>
        </w:rPr>
        <w:t>for</w:t>
      </w:r>
      <w:r w:rsidRPr="00FD40B8">
        <w:rPr>
          <w:color w:val="131727" w:themeColor="text1"/>
          <w:spacing w:val="-7"/>
          <w:w w:val="110"/>
        </w:rPr>
        <w:t xml:space="preserve"> </w:t>
      </w:r>
      <w:r w:rsidRPr="00FD40B8">
        <w:rPr>
          <w:color w:val="131727" w:themeColor="text1"/>
          <w:w w:val="110"/>
        </w:rPr>
        <w:t>long-term unemployed and disadvantaged groups.</w:t>
      </w:r>
    </w:p>
    <w:p w14:paraId="05DFD472" w14:textId="77777777" w:rsidR="00811887" w:rsidRPr="00FD40B8" w:rsidRDefault="00811887" w:rsidP="00811887">
      <w:pPr>
        <w:pStyle w:val="BodyText"/>
        <w:spacing w:before="6"/>
        <w:rPr>
          <w:color w:val="131727" w:themeColor="text1"/>
          <w:sz w:val="5"/>
        </w:rPr>
      </w:pPr>
    </w:p>
    <w:p w14:paraId="76E5BE93" w14:textId="77777777" w:rsidR="00811887" w:rsidRDefault="00811887" w:rsidP="00811887">
      <w:pPr>
        <w:pStyle w:val="BodyText"/>
        <w:spacing w:before="360" w:line="269" w:lineRule="auto"/>
        <w:ind w:left="567" w:right="680"/>
        <w:rPr>
          <w:color w:val="000000"/>
        </w:rPr>
      </w:pPr>
      <w:r>
        <w:rPr>
          <w:noProof/>
          <w14:ligatures w14:val="standardContextual"/>
        </w:rPr>
        <mc:AlternateContent>
          <mc:Choice Requires="wps">
            <w:drawing>
              <wp:anchor distT="0" distB="0" distL="114300" distR="114300" simplePos="0" relativeHeight="251681792" behindDoc="1" locked="0" layoutInCell="1" allowOverlap="1" wp14:anchorId="41BCAF33" wp14:editId="7E9A1110">
                <wp:simplePos x="0" y="0"/>
                <wp:positionH relativeFrom="margin">
                  <wp:posOffset>254494</wp:posOffset>
                </wp:positionH>
                <wp:positionV relativeFrom="paragraph">
                  <wp:posOffset>78427</wp:posOffset>
                </wp:positionV>
                <wp:extent cx="5997039" cy="2541319"/>
                <wp:effectExtent l="0" t="0" r="3810" b="0"/>
                <wp:wrapNone/>
                <wp:docPr id="1444245538"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7039" cy="2541319"/>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BFEBB" id="Rectangle 3" o:spid="_x0000_s1026" alt="&quot;&quot;" style="position:absolute;margin-left:20.05pt;margin-top:6.2pt;width:472.2pt;height:200.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" fillcolor="#cfdfdd" stroked="f" strokeweight=".5pt">
                <w10:wrap anchorx="margin"/>
              </v:rect>
            </w:pict>
          </mc:Fallback>
        </mc:AlternateContent>
      </w:r>
      <w:r>
        <w:rPr>
          <w:color w:val="000000"/>
          <w:w w:val="110"/>
        </w:rPr>
        <w:t>In</w:t>
      </w:r>
      <w:r>
        <w:rPr>
          <w:color w:val="000000"/>
          <w:spacing w:val="-3"/>
          <w:w w:val="110"/>
        </w:rPr>
        <w:t xml:space="preserve"> </w:t>
      </w:r>
      <w:r>
        <w:rPr>
          <w:color w:val="000000"/>
          <w:w w:val="110"/>
        </w:rPr>
        <w:t>its</w:t>
      </w:r>
      <w:r>
        <w:rPr>
          <w:color w:val="000000"/>
          <w:spacing w:val="-2"/>
          <w:w w:val="110"/>
        </w:rPr>
        <w:t xml:space="preserve"> </w:t>
      </w:r>
      <w:r>
        <w:rPr>
          <w:color w:val="000000"/>
          <w:w w:val="110"/>
        </w:rPr>
        <w:t>2023-2024 report, the</w:t>
      </w:r>
      <w:r>
        <w:rPr>
          <w:color w:val="000000"/>
          <w:spacing w:val="-4"/>
          <w:w w:val="110"/>
        </w:rPr>
        <w:t xml:space="preserve"> </w:t>
      </w:r>
      <w:r>
        <w:rPr>
          <w:color w:val="000000"/>
          <w:w w:val="110"/>
        </w:rPr>
        <w:t>Committee focussed</w:t>
      </w:r>
      <w:r>
        <w:rPr>
          <w:color w:val="000000"/>
          <w:spacing w:val="-3"/>
          <w:w w:val="110"/>
        </w:rPr>
        <w:t xml:space="preserve"> </w:t>
      </w:r>
      <w:r>
        <w:rPr>
          <w:color w:val="000000"/>
          <w:w w:val="110"/>
        </w:rPr>
        <w:t>on</w:t>
      </w:r>
      <w:r>
        <w:rPr>
          <w:color w:val="000000"/>
          <w:spacing w:val="-3"/>
          <w:w w:val="110"/>
        </w:rPr>
        <w:t xml:space="preserve"> </w:t>
      </w:r>
      <w:r>
        <w:rPr>
          <w:color w:val="000000"/>
          <w:w w:val="110"/>
        </w:rPr>
        <w:t>measures that would target</w:t>
      </w:r>
      <w:r>
        <w:rPr>
          <w:color w:val="000000"/>
          <w:spacing w:val="-5"/>
          <w:w w:val="110"/>
        </w:rPr>
        <w:t xml:space="preserve"> </w:t>
      </w:r>
      <w:r>
        <w:rPr>
          <w:color w:val="000000"/>
          <w:w w:val="110"/>
        </w:rPr>
        <w:t>the</w:t>
      </w:r>
      <w:r>
        <w:rPr>
          <w:color w:val="000000"/>
          <w:spacing w:val="-4"/>
          <w:w w:val="110"/>
        </w:rPr>
        <w:t xml:space="preserve"> </w:t>
      </w:r>
      <w:r>
        <w:rPr>
          <w:color w:val="000000"/>
          <w:w w:val="110"/>
        </w:rPr>
        <w:t>largest number</w:t>
      </w:r>
      <w:r>
        <w:rPr>
          <w:color w:val="000000"/>
          <w:spacing w:val="-5"/>
          <w:w w:val="110"/>
        </w:rPr>
        <w:t xml:space="preserve"> </w:t>
      </w:r>
      <w:r>
        <w:rPr>
          <w:color w:val="000000"/>
          <w:w w:val="110"/>
        </w:rPr>
        <w:t>of Australians experiencing poverty and disadvantage. This included recommending an increase to the Commonwealth Rent Assistance (CRA) to support people living in the private rental market. The Australian Government’s increase to the CRA is welcome. However, Aboriginal and Torres Strait Islander</w:t>
      </w:r>
      <w:r>
        <w:rPr>
          <w:color w:val="000000"/>
          <w:spacing w:val="-3"/>
          <w:w w:val="110"/>
        </w:rPr>
        <w:t xml:space="preserve"> </w:t>
      </w:r>
      <w:r>
        <w:rPr>
          <w:color w:val="000000"/>
          <w:w w:val="110"/>
        </w:rPr>
        <w:t>people, who have</w:t>
      </w:r>
      <w:r>
        <w:rPr>
          <w:color w:val="000000"/>
          <w:spacing w:val="-1"/>
          <w:w w:val="110"/>
        </w:rPr>
        <w:t xml:space="preserve"> </w:t>
      </w:r>
      <w:r>
        <w:rPr>
          <w:color w:val="000000"/>
          <w:w w:val="110"/>
        </w:rPr>
        <w:t>significantly worse</w:t>
      </w:r>
      <w:r>
        <w:rPr>
          <w:color w:val="000000"/>
          <w:spacing w:val="-1"/>
          <w:w w:val="110"/>
        </w:rPr>
        <w:t xml:space="preserve"> </w:t>
      </w:r>
      <w:r>
        <w:rPr>
          <w:color w:val="000000"/>
          <w:w w:val="110"/>
        </w:rPr>
        <w:t>life</w:t>
      </w:r>
      <w:r>
        <w:rPr>
          <w:color w:val="000000"/>
          <w:spacing w:val="-1"/>
          <w:w w:val="110"/>
        </w:rPr>
        <w:t xml:space="preserve"> </w:t>
      </w:r>
      <w:r>
        <w:rPr>
          <w:color w:val="000000"/>
          <w:w w:val="110"/>
        </w:rPr>
        <w:t>outcomes than other Australians, are</w:t>
      </w:r>
      <w:r>
        <w:rPr>
          <w:color w:val="000000"/>
          <w:spacing w:val="-1"/>
          <w:w w:val="110"/>
        </w:rPr>
        <w:t xml:space="preserve"> </w:t>
      </w:r>
      <w:r>
        <w:rPr>
          <w:color w:val="000000"/>
          <w:w w:val="110"/>
        </w:rPr>
        <w:t>likely to have benefited least.</w:t>
      </w:r>
    </w:p>
    <w:p w14:paraId="66CD1133" w14:textId="77777777" w:rsidR="00811887" w:rsidRDefault="00811887" w:rsidP="00FB2FE9">
      <w:pPr>
        <w:pStyle w:val="BodyText"/>
        <w:numPr>
          <w:ilvl w:val="0"/>
          <w:numId w:val="69"/>
        </w:numPr>
        <w:tabs>
          <w:tab w:val="left" w:pos="1560"/>
        </w:tabs>
        <w:spacing w:before="91" w:line="244" w:lineRule="auto"/>
        <w:ind w:left="1418" w:right="839"/>
        <w:rPr>
          <w:rFonts w:ascii="Symbol" w:hAnsi="Symbol"/>
          <w:color w:val="91A9A2"/>
          <w:sz w:val="22"/>
        </w:rPr>
      </w:pPr>
      <w:r>
        <w:rPr>
          <w:color w:val="000000"/>
          <w:w w:val="110"/>
        </w:rPr>
        <w:t>In</w:t>
      </w:r>
      <w:r>
        <w:rPr>
          <w:color w:val="000000"/>
          <w:spacing w:val="-3"/>
          <w:w w:val="110"/>
        </w:rPr>
        <w:t xml:space="preserve"> </w:t>
      </w:r>
      <w:r>
        <w:rPr>
          <w:color w:val="000000"/>
          <w:w w:val="110"/>
        </w:rPr>
        <w:t>2022,</w:t>
      </w:r>
      <w:r>
        <w:rPr>
          <w:color w:val="000000"/>
          <w:spacing w:val="-7"/>
          <w:w w:val="110"/>
        </w:rPr>
        <w:t xml:space="preserve"> </w:t>
      </w:r>
      <w:r>
        <w:rPr>
          <w:color w:val="000000"/>
          <w:w w:val="110"/>
        </w:rPr>
        <w:t>only</w:t>
      </w:r>
      <w:r>
        <w:rPr>
          <w:color w:val="000000"/>
          <w:spacing w:val="-6"/>
          <w:w w:val="110"/>
        </w:rPr>
        <w:t xml:space="preserve"> </w:t>
      </w:r>
      <w:r>
        <w:rPr>
          <w:color w:val="000000"/>
          <w:w w:val="110"/>
        </w:rPr>
        <w:t>6.6%</w:t>
      </w:r>
      <w:r>
        <w:rPr>
          <w:color w:val="000000"/>
          <w:spacing w:val="-7"/>
          <w:w w:val="110"/>
        </w:rPr>
        <w:t xml:space="preserve"> </w:t>
      </w:r>
      <w:r>
        <w:rPr>
          <w:color w:val="000000"/>
          <w:w w:val="110"/>
        </w:rPr>
        <w:t>of</w:t>
      </w:r>
      <w:r>
        <w:rPr>
          <w:color w:val="000000"/>
          <w:spacing w:val="-2"/>
          <w:w w:val="110"/>
        </w:rPr>
        <w:t xml:space="preserve"> </w:t>
      </w:r>
      <w:r>
        <w:rPr>
          <w:color w:val="000000"/>
          <w:w w:val="110"/>
        </w:rPr>
        <w:t>CRA</w:t>
      </w:r>
      <w:r>
        <w:rPr>
          <w:color w:val="000000"/>
          <w:spacing w:val="-2"/>
          <w:w w:val="110"/>
        </w:rPr>
        <w:t xml:space="preserve"> </w:t>
      </w:r>
      <w:r>
        <w:rPr>
          <w:color w:val="000000"/>
          <w:w w:val="110"/>
        </w:rPr>
        <w:t>recipients</w:t>
      </w:r>
      <w:r>
        <w:rPr>
          <w:color w:val="000000"/>
          <w:spacing w:val="-6"/>
          <w:w w:val="110"/>
        </w:rPr>
        <w:t xml:space="preserve"> </w:t>
      </w:r>
      <w:r>
        <w:rPr>
          <w:color w:val="000000"/>
          <w:w w:val="110"/>
        </w:rPr>
        <w:t>reported</w:t>
      </w:r>
      <w:r>
        <w:rPr>
          <w:color w:val="000000"/>
          <w:spacing w:val="-4"/>
          <w:w w:val="110"/>
        </w:rPr>
        <w:t xml:space="preserve"> </w:t>
      </w:r>
      <w:r>
        <w:rPr>
          <w:color w:val="000000"/>
          <w:w w:val="110"/>
        </w:rPr>
        <w:t>having</w:t>
      </w:r>
      <w:r>
        <w:rPr>
          <w:color w:val="000000"/>
          <w:spacing w:val="-4"/>
          <w:w w:val="110"/>
        </w:rPr>
        <w:t xml:space="preserve"> </w:t>
      </w:r>
      <w:r>
        <w:rPr>
          <w:color w:val="000000"/>
          <w:w w:val="110"/>
        </w:rPr>
        <w:t>an</w:t>
      </w:r>
      <w:r>
        <w:rPr>
          <w:color w:val="000000"/>
          <w:spacing w:val="-3"/>
          <w:w w:val="110"/>
        </w:rPr>
        <w:t xml:space="preserve"> </w:t>
      </w:r>
      <w:r>
        <w:rPr>
          <w:color w:val="000000"/>
          <w:w w:val="110"/>
        </w:rPr>
        <w:t>Aboriginal</w:t>
      </w:r>
      <w:r>
        <w:rPr>
          <w:color w:val="000000"/>
          <w:spacing w:val="-2"/>
          <w:w w:val="110"/>
        </w:rPr>
        <w:t xml:space="preserve"> </w:t>
      </w:r>
      <w:r>
        <w:rPr>
          <w:color w:val="000000"/>
          <w:w w:val="110"/>
        </w:rPr>
        <w:t>and/or</w:t>
      </w:r>
      <w:r>
        <w:rPr>
          <w:color w:val="000000"/>
          <w:spacing w:val="-5"/>
          <w:w w:val="110"/>
        </w:rPr>
        <w:t xml:space="preserve"> </w:t>
      </w:r>
      <w:r>
        <w:rPr>
          <w:color w:val="000000"/>
          <w:w w:val="110"/>
        </w:rPr>
        <w:t>Torres</w:t>
      </w:r>
      <w:r>
        <w:rPr>
          <w:color w:val="000000"/>
          <w:spacing w:val="-2"/>
          <w:w w:val="110"/>
        </w:rPr>
        <w:t xml:space="preserve"> </w:t>
      </w:r>
      <w:r>
        <w:rPr>
          <w:color w:val="000000"/>
          <w:w w:val="110"/>
        </w:rPr>
        <w:t>Strait Islander person as a household member</w:t>
      </w:r>
      <w:hyperlink w:anchor="_bookmark3" w:history="1">
        <w:r>
          <w:rPr>
            <w:color w:val="000000"/>
            <w:w w:val="110"/>
          </w:rPr>
          <w:t>.</w:t>
        </w:r>
        <w:r>
          <w:rPr>
            <w:rFonts w:ascii="Calibri Light" w:hAnsi="Calibri Light"/>
            <w:color w:val="000000"/>
            <w:w w:val="110"/>
            <w:position w:val="8"/>
            <w:sz w:val="14"/>
          </w:rPr>
          <w:t>1</w:t>
        </w:r>
      </w:hyperlink>
    </w:p>
    <w:p w14:paraId="6419BED9" w14:textId="77777777" w:rsidR="00811887" w:rsidRDefault="00811887" w:rsidP="00FB2FE9">
      <w:pPr>
        <w:pStyle w:val="BodyText"/>
        <w:numPr>
          <w:ilvl w:val="0"/>
          <w:numId w:val="69"/>
        </w:numPr>
        <w:tabs>
          <w:tab w:val="left" w:pos="1560"/>
        </w:tabs>
        <w:spacing w:before="126" w:line="254" w:lineRule="auto"/>
        <w:ind w:left="1418" w:right="308"/>
        <w:rPr>
          <w:rFonts w:ascii="Symbol" w:hAnsi="Symbol"/>
          <w:color w:val="91A9A2"/>
          <w:sz w:val="21"/>
        </w:rPr>
      </w:pPr>
      <w:r>
        <w:rPr>
          <w:color w:val="000000"/>
          <w:w w:val="110"/>
        </w:rPr>
        <w:t>This is particularly pronounced in remote areas where Aboriginal and Torres Strait Islander people</w:t>
      </w:r>
      <w:r>
        <w:rPr>
          <w:color w:val="000000"/>
          <w:spacing w:val="-1"/>
          <w:w w:val="110"/>
        </w:rPr>
        <w:t xml:space="preserve"> </w:t>
      </w:r>
      <w:r>
        <w:rPr>
          <w:color w:val="000000"/>
          <w:w w:val="110"/>
        </w:rPr>
        <w:t>are</w:t>
      </w:r>
      <w:r>
        <w:rPr>
          <w:color w:val="000000"/>
          <w:spacing w:val="-1"/>
          <w:w w:val="110"/>
        </w:rPr>
        <w:t xml:space="preserve"> </w:t>
      </w:r>
      <w:r>
        <w:rPr>
          <w:color w:val="000000"/>
          <w:w w:val="110"/>
        </w:rPr>
        <w:t>more</w:t>
      </w:r>
      <w:r>
        <w:rPr>
          <w:color w:val="000000"/>
          <w:spacing w:val="-6"/>
          <w:w w:val="110"/>
        </w:rPr>
        <w:t xml:space="preserve"> </w:t>
      </w:r>
      <w:r>
        <w:rPr>
          <w:color w:val="000000"/>
          <w:w w:val="110"/>
        </w:rPr>
        <w:t>likely</w:t>
      </w:r>
      <w:r>
        <w:rPr>
          <w:color w:val="000000"/>
          <w:spacing w:val="-3"/>
          <w:w w:val="110"/>
        </w:rPr>
        <w:t xml:space="preserve"> </w:t>
      </w:r>
      <w:r>
        <w:rPr>
          <w:color w:val="000000"/>
          <w:w w:val="110"/>
        </w:rPr>
        <w:t>to</w:t>
      </w:r>
      <w:r>
        <w:rPr>
          <w:color w:val="000000"/>
          <w:spacing w:val="-4"/>
          <w:w w:val="110"/>
        </w:rPr>
        <w:t xml:space="preserve"> </w:t>
      </w:r>
      <w:r>
        <w:rPr>
          <w:color w:val="000000"/>
          <w:w w:val="110"/>
        </w:rPr>
        <w:t>be</w:t>
      </w:r>
      <w:r>
        <w:rPr>
          <w:color w:val="000000"/>
          <w:spacing w:val="-5"/>
          <w:w w:val="110"/>
        </w:rPr>
        <w:t xml:space="preserve"> </w:t>
      </w:r>
      <w:r>
        <w:rPr>
          <w:color w:val="000000"/>
          <w:w w:val="110"/>
        </w:rPr>
        <w:t>living</w:t>
      </w:r>
      <w:r>
        <w:rPr>
          <w:color w:val="000000"/>
          <w:spacing w:val="-6"/>
          <w:w w:val="110"/>
        </w:rPr>
        <w:t xml:space="preserve"> </w:t>
      </w:r>
      <w:r>
        <w:rPr>
          <w:color w:val="000000"/>
          <w:w w:val="110"/>
        </w:rPr>
        <w:t>in social</w:t>
      </w:r>
      <w:r>
        <w:rPr>
          <w:color w:val="000000"/>
          <w:spacing w:val="-4"/>
          <w:w w:val="110"/>
        </w:rPr>
        <w:t xml:space="preserve"> </w:t>
      </w:r>
      <w:r>
        <w:rPr>
          <w:color w:val="000000"/>
          <w:w w:val="110"/>
        </w:rPr>
        <w:t>housing</w:t>
      </w:r>
      <w:r>
        <w:rPr>
          <w:color w:val="000000"/>
          <w:spacing w:val="-1"/>
          <w:w w:val="110"/>
        </w:rPr>
        <w:t xml:space="preserve"> </w:t>
      </w:r>
      <w:r>
        <w:rPr>
          <w:color w:val="000000"/>
          <w:w w:val="110"/>
        </w:rPr>
        <w:t>than Aboriginal and</w:t>
      </w:r>
      <w:r>
        <w:rPr>
          <w:color w:val="000000"/>
          <w:spacing w:val="-6"/>
          <w:w w:val="110"/>
        </w:rPr>
        <w:t xml:space="preserve"> </w:t>
      </w:r>
      <w:r>
        <w:rPr>
          <w:color w:val="000000"/>
          <w:w w:val="110"/>
        </w:rPr>
        <w:t>Torres</w:t>
      </w:r>
      <w:r>
        <w:rPr>
          <w:color w:val="000000"/>
          <w:spacing w:val="-4"/>
          <w:w w:val="110"/>
        </w:rPr>
        <w:t xml:space="preserve"> </w:t>
      </w:r>
      <w:r>
        <w:rPr>
          <w:color w:val="000000"/>
          <w:w w:val="110"/>
        </w:rPr>
        <w:t>Strait</w:t>
      </w:r>
      <w:r>
        <w:rPr>
          <w:color w:val="000000"/>
          <w:spacing w:val="-6"/>
          <w:w w:val="110"/>
        </w:rPr>
        <w:t xml:space="preserve"> </w:t>
      </w:r>
      <w:r>
        <w:rPr>
          <w:color w:val="000000"/>
          <w:w w:val="110"/>
        </w:rPr>
        <w:t>Islander people living in non-remote areas (54% of households compared to 15%)</w:t>
      </w:r>
      <w:hyperlink w:anchor="_bookmark4" w:history="1">
        <w:r>
          <w:rPr>
            <w:rFonts w:ascii="Calibri Light" w:hAnsi="Calibri Light"/>
            <w:color w:val="000000"/>
            <w:w w:val="110"/>
            <w:position w:val="8"/>
            <w:sz w:val="14"/>
          </w:rPr>
          <w:t>2</w:t>
        </w:r>
        <w:r>
          <w:rPr>
            <w:color w:val="000000"/>
            <w:w w:val="110"/>
          </w:rPr>
          <w:t>,</w:t>
        </w:r>
      </w:hyperlink>
      <w:r>
        <w:rPr>
          <w:color w:val="000000"/>
          <w:w w:val="110"/>
        </w:rPr>
        <w:t xml:space="preserve"> and while still required to pay rent are not eligible for CRA</w:t>
      </w:r>
      <w:hyperlink w:anchor="_bookmark5" w:history="1">
        <w:r>
          <w:rPr>
            <w:color w:val="000000"/>
            <w:w w:val="110"/>
          </w:rPr>
          <w:t>.</w:t>
        </w:r>
        <w:r>
          <w:rPr>
            <w:color w:val="000000"/>
            <w:w w:val="110"/>
            <w:position w:val="8"/>
            <w:sz w:val="13"/>
          </w:rPr>
          <w:t>3</w:t>
        </w:r>
      </w:hyperlink>
    </w:p>
    <w:p w14:paraId="4ABB6532" w14:textId="77777777" w:rsidR="00811887" w:rsidRPr="00FD40B8" w:rsidRDefault="00811887" w:rsidP="00811887">
      <w:pPr>
        <w:pStyle w:val="BodyText"/>
        <w:spacing w:before="26"/>
        <w:rPr>
          <w:color w:val="131727" w:themeColor="text1"/>
        </w:rPr>
      </w:pPr>
    </w:p>
    <w:p w14:paraId="12260B41" w14:textId="77777777" w:rsidR="00811887" w:rsidRPr="00FD40B8" w:rsidRDefault="00811887" w:rsidP="00811887">
      <w:pPr>
        <w:pStyle w:val="BodyText"/>
        <w:spacing w:before="240" w:line="269" w:lineRule="auto"/>
        <w:ind w:left="510" w:right="595"/>
        <w:rPr>
          <w:color w:val="131727" w:themeColor="text1"/>
        </w:rPr>
      </w:pPr>
      <w:r w:rsidRPr="00FD40B8">
        <w:rPr>
          <w:color w:val="131727" w:themeColor="text1"/>
          <w:w w:val="110"/>
        </w:rPr>
        <w:t>As part of its upcoming report ahead of the 2024-25 Budget, Members of the Committee are seeking advice</w:t>
      </w:r>
      <w:r w:rsidRPr="00FD40B8">
        <w:rPr>
          <w:color w:val="131727" w:themeColor="text1"/>
          <w:spacing w:val="-4"/>
          <w:w w:val="110"/>
        </w:rPr>
        <w:t xml:space="preserve"> </w:t>
      </w:r>
      <w:r w:rsidRPr="00FD40B8">
        <w:rPr>
          <w:color w:val="131727" w:themeColor="text1"/>
          <w:w w:val="110"/>
        </w:rPr>
        <w:t>on the</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and related</w:t>
      </w:r>
      <w:r w:rsidRPr="00FD40B8">
        <w:rPr>
          <w:color w:val="131727" w:themeColor="text1"/>
          <w:spacing w:val="-5"/>
          <w:w w:val="110"/>
        </w:rPr>
        <w:t xml:space="preserve"> </w:t>
      </w:r>
      <w:r w:rsidRPr="00FD40B8">
        <w:rPr>
          <w:color w:val="131727" w:themeColor="text1"/>
          <w:w w:val="110"/>
        </w:rPr>
        <w:t>infrastructure,</w:t>
      </w:r>
      <w:r w:rsidRPr="00FD40B8">
        <w:rPr>
          <w:color w:val="131727" w:themeColor="text1"/>
          <w:spacing w:val="-3"/>
          <w:w w:val="110"/>
        </w:rPr>
        <w:t xml:space="preserve"> </w:t>
      </w:r>
      <w:r w:rsidRPr="00FD40B8">
        <w:rPr>
          <w:color w:val="131727" w:themeColor="text1"/>
          <w:w w:val="110"/>
        </w:rPr>
        <w:t>needs</w:t>
      </w:r>
      <w:r w:rsidRPr="00FD40B8">
        <w:rPr>
          <w:color w:val="131727" w:themeColor="text1"/>
          <w:spacing w:val="-3"/>
          <w:w w:val="110"/>
        </w:rPr>
        <w:t xml:space="preserve"> </w:t>
      </w:r>
      <w:r w:rsidRPr="00FD40B8">
        <w:rPr>
          <w:color w:val="131727" w:themeColor="text1"/>
          <w:w w:val="110"/>
        </w:rPr>
        <w:t>of Aboriginal and Torres</w:t>
      </w:r>
      <w:r w:rsidRPr="00FD40B8">
        <w:rPr>
          <w:color w:val="131727" w:themeColor="text1"/>
          <w:spacing w:val="-3"/>
          <w:w w:val="110"/>
        </w:rPr>
        <w:t xml:space="preserve"> </w:t>
      </w:r>
      <w:r w:rsidRPr="00FD40B8">
        <w:rPr>
          <w:color w:val="131727" w:themeColor="text1"/>
          <w:w w:val="110"/>
        </w:rPr>
        <w:t>Strait</w:t>
      </w:r>
      <w:r w:rsidRPr="00FD40B8">
        <w:rPr>
          <w:color w:val="131727" w:themeColor="text1"/>
          <w:spacing w:val="-5"/>
          <w:w w:val="110"/>
        </w:rPr>
        <w:t xml:space="preserve"> </w:t>
      </w:r>
      <w:r w:rsidRPr="00FD40B8">
        <w:rPr>
          <w:color w:val="131727" w:themeColor="text1"/>
          <w:w w:val="110"/>
        </w:rPr>
        <w:t>Islander</w:t>
      </w:r>
      <w:r w:rsidRPr="00FD40B8">
        <w:rPr>
          <w:color w:val="131727" w:themeColor="text1"/>
          <w:spacing w:val="-2"/>
          <w:w w:val="110"/>
        </w:rPr>
        <w:t xml:space="preserve"> </w:t>
      </w:r>
      <w:r w:rsidRPr="00FD40B8">
        <w:rPr>
          <w:color w:val="131727" w:themeColor="text1"/>
          <w:w w:val="110"/>
        </w:rPr>
        <w:t>people, and on the data needed to inform targeted government investment decisions. Equity Economics have been engaged to provide advice on:</w:t>
      </w:r>
    </w:p>
    <w:p w14:paraId="588A7927" w14:textId="77777777" w:rsidR="00811887" w:rsidRPr="00FD40B8" w:rsidRDefault="00811887" w:rsidP="00FB2FE9">
      <w:pPr>
        <w:pStyle w:val="ListParagraph"/>
        <w:widowControl w:val="0"/>
        <w:numPr>
          <w:ilvl w:val="0"/>
          <w:numId w:val="68"/>
        </w:numPr>
        <w:tabs>
          <w:tab w:val="left" w:pos="1228"/>
        </w:tabs>
        <w:autoSpaceDE w:val="0"/>
        <w:autoSpaceDN w:val="0"/>
        <w:spacing w:before="106" w:after="0" w:line="268" w:lineRule="auto"/>
        <w:ind w:right="604"/>
        <w:contextualSpacing w:val="0"/>
        <w:rPr>
          <w:rFonts w:ascii="Symbol" w:hAnsi="Symbol"/>
          <w:color w:val="131727" w:themeColor="text1"/>
          <w:sz w:val="20"/>
        </w:rPr>
      </w:pPr>
      <w:r w:rsidRPr="00FD40B8">
        <w:rPr>
          <w:color w:val="131727" w:themeColor="text1"/>
          <w:w w:val="110"/>
          <w:sz w:val="20"/>
        </w:rPr>
        <w:t>an estimate of housing need in remote Aboriginal and Torres Strait Islander communities using existing</w:t>
      </w:r>
      <w:r w:rsidRPr="00FD40B8">
        <w:rPr>
          <w:color w:val="131727" w:themeColor="text1"/>
          <w:spacing w:val="-3"/>
          <w:w w:val="110"/>
          <w:sz w:val="20"/>
        </w:rPr>
        <w:t xml:space="preserve"> </w:t>
      </w:r>
      <w:r w:rsidRPr="00FD40B8">
        <w:rPr>
          <w:color w:val="131727" w:themeColor="text1"/>
          <w:w w:val="110"/>
          <w:sz w:val="20"/>
        </w:rPr>
        <w:t>data</w:t>
      </w:r>
      <w:r w:rsidRPr="00FD40B8">
        <w:rPr>
          <w:color w:val="131727" w:themeColor="text1"/>
          <w:spacing w:val="-9"/>
          <w:w w:val="110"/>
          <w:sz w:val="20"/>
        </w:rPr>
        <w:t xml:space="preserve"> </w:t>
      </w:r>
      <w:r w:rsidRPr="00FD40B8">
        <w:rPr>
          <w:color w:val="131727" w:themeColor="text1"/>
          <w:w w:val="110"/>
          <w:sz w:val="20"/>
        </w:rPr>
        <w:t>sources,</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8"/>
          <w:w w:val="110"/>
          <w:sz w:val="20"/>
        </w:rPr>
        <w:t xml:space="preserve"> </w:t>
      </w:r>
      <w:r w:rsidRPr="00FD40B8">
        <w:rPr>
          <w:color w:val="131727" w:themeColor="text1"/>
          <w:w w:val="110"/>
          <w:sz w:val="20"/>
        </w:rPr>
        <w:t>an</w:t>
      </w:r>
      <w:r w:rsidRPr="00FD40B8">
        <w:rPr>
          <w:color w:val="131727" w:themeColor="text1"/>
          <w:spacing w:val="-7"/>
          <w:w w:val="110"/>
          <w:sz w:val="20"/>
        </w:rPr>
        <w:t xml:space="preserve"> </w:t>
      </w:r>
      <w:r w:rsidRPr="00FD40B8">
        <w:rPr>
          <w:color w:val="131727" w:themeColor="text1"/>
          <w:w w:val="110"/>
          <w:sz w:val="20"/>
        </w:rPr>
        <w:t>indication</w:t>
      </w:r>
      <w:r w:rsidRPr="00FD40B8">
        <w:rPr>
          <w:color w:val="131727" w:themeColor="text1"/>
          <w:spacing w:val="-2"/>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whether</w:t>
      </w:r>
      <w:r w:rsidRPr="00FD40B8">
        <w:rPr>
          <w:color w:val="131727" w:themeColor="text1"/>
          <w:spacing w:val="-5"/>
          <w:w w:val="110"/>
          <w:sz w:val="20"/>
        </w:rPr>
        <w:t xml:space="preserve"> </w:t>
      </w:r>
      <w:r w:rsidRPr="00FD40B8">
        <w:rPr>
          <w:color w:val="131727" w:themeColor="text1"/>
          <w:w w:val="110"/>
          <w:sz w:val="20"/>
        </w:rPr>
        <w:t>existing</w:t>
      </w:r>
      <w:r w:rsidRPr="00FD40B8">
        <w:rPr>
          <w:color w:val="131727" w:themeColor="text1"/>
          <w:spacing w:val="-3"/>
          <w:w w:val="110"/>
          <w:sz w:val="20"/>
        </w:rPr>
        <w:t xml:space="preserve"> </w:t>
      </w:r>
      <w:r w:rsidRPr="00FD40B8">
        <w:rPr>
          <w:color w:val="131727" w:themeColor="text1"/>
          <w:w w:val="110"/>
          <w:sz w:val="20"/>
        </w:rPr>
        <w:t>efforts</w:t>
      </w:r>
      <w:r w:rsidRPr="00FD40B8">
        <w:rPr>
          <w:color w:val="131727" w:themeColor="text1"/>
          <w:spacing w:val="-6"/>
          <w:w w:val="110"/>
          <w:sz w:val="20"/>
        </w:rPr>
        <w:t xml:space="preserve"> </w:t>
      </w:r>
      <w:r w:rsidRPr="00FD40B8">
        <w:rPr>
          <w:color w:val="131727" w:themeColor="text1"/>
          <w:w w:val="110"/>
          <w:sz w:val="20"/>
        </w:rPr>
        <w:t>by</w:t>
      </w:r>
      <w:r w:rsidRPr="00FD40B8">
        <w:rPr>
          <w:color w:val="131727" w:themeColor="text1"/>
          <w:spacing w:val="-4"/>
          <w:w w:val="110"/>
          <w:sz w:val="20"/>
        </w:rPr>
        <w:t xml:space="preserve"> </w:t>
      </w:r>
      <w:r w:rsidRPr="00FD40B8">
        <w:rPr>
          <w:color w:val="131727" w:themeColor="text1"/>
          <w:w w:val="110"/>
          <w:sz w:val="20"/>
        </w:rPr>
        <w:t>Australian</w:t>
      </w:r>
      <w:r w:rsidRPr="00FD40B8">
        <w:rPr>
          <w:color w:val="131727" w:themeColor="text1"/>
          <w:spacing w:val="-2"/>
          <w:w w:val="110"/>
          <w:sz w:val="20"/>
        </w:rPr>
        <w:t xml:space="preserve"> </w:t>
      </w:r>
      <w:r w:rsidRPr="00FD40B8">
        <w:rPr>
          <w:color w:val="131727" w:themeColor="text1"/>
          <w:w w:val="110"/>
          <w:sz w:val="20"/>
        </w:rPr>
        <w:t>governments</w:t>
      </w:r>
      <w:r w:rsidRPr="00FD40B8">
        <w:rPr>
          <w:color w:val="131727" w:themeColor="text1"/>
          <w:spacing w:val="-1"/>
          <w:w w:val="110"/>
          <w:sz w:val="20"/>
        </w:rPr>
        <w:t xml:space="preserve"> </w:t>
      </w:r>
      <w:r w:rsidRPr="00FD40B8">
        <w:rPr>
          <w:color w:val="131727" w:themeColor="text1"/>
          <w:w w:val="110"/>
          <w:sz w:val="20"/>
        </w:rPr>
        <w:t>to increase supply are likely to meet demand</w:t>
      </w:r>
    </w:p>
    <w:p w14:paraId="5356C461" w14:textId="77777777" w:rsidR="00811887" w:rsidRPr="00FD40B8" w:rsidRDefault="00811887" w:rsidP="00FB2FE9">
      <w:pPr>
        <w:pStyle w:val="ListParagraph"/>
        <w:widowControl w:val="0"/>
        <w:numPr>
          <w:ilvl w:val="0"/>
          <w:numId w:val="68"/>
        </w:numPr>
        <w:tabs>
          <w:tab w:val="left" w:pos="1228"/>
        </w:tabs>
        <w:autoSpaceDE w:val="0"/>
        <w:autoSpaceDN w:val="0"/>
        <w:spacing w:before="110" w:after="0" w:line="264" w:lineRule="auto"/>
        <w:ind w:right="1440"/>
        <w:contextualSpacing w:val="0"/>
        <w:rPr>
          <w:rFonts w:ascii="Symbol" w:hAnsi="Symbol"/>
          <w:color w:val="131727" w:themeColor="text1"/>
          <w:sz w:val="20"/>
        </w:rPr>
      </w:pPr>
      <w:r w:rsidRPr="00FD40B8">
        <w:rPr>
          <w:color w:val="131727" w:themeColor="text1"/>
          <w:w w:val="110"/>
          <w:sz w:val="20"/>
        </w:rPr>
        <w:t>new</w:t>
      </w:r>
      <w:r w:rsidRPr="00FD40B8">
        <w:rPr>
          <w:color w:val="131727" w:themeColor="text1"/>
          <w:spacing w:val="-1"/>
          <w:w w:val="110"/>
          <w:sz w:val="20"/>
        </w:rPr>
        <w:t xml:space="preserve"> </w:t>
      </w:r>
      <w:r w:rsidRPr="00FD40B8">
        <w:rPr>
          <w:color w:val="131727" w:themeColor="text1"/>
          <w:w w:val="110"/>
          <w:sz w:val="20"/>
        </w:rPr>
        <w:t>data</w:t>
      </w:r>
      <w:r w:rsidRPr="00FD40B8">
        <w:rPr>
          <w:color w:val="131727" w:themeColor="text1"/>
          <w:spacing w:val="-1"/>
          <w:w w:val="110"/>
          <w:sz w:val="20"/>
        </w:rPr>
        <w:t xml:space="preserve"> </w:t>
      </w:r>
      <w:r w:rsidRPr="00FD40B8">
        <w:rPr>
          <w:color w:val="131727" w:themeColor="text1"/>
          <w:w w:val="110"/>
          <w:sz w:val="20"/>
        </w:rPr>
        <w:t>required</w:t>
      </w:r>
      <w:r w:rsidRPr="00FD40B8">
        <w:rPr>
          <w:color w:val="131727" w:themeColor="text1"/>
          <w:spacing w:val="-4"/>
          <w:w w:val="110"/>
          <w:sz w:val="20"/>
        </w:rPr>
        <w:t xml:space="preserve"> </w:t>
      </w:r>
      <w:r w:rsidRPr="00FD40B8">
        <w:rPr>
          <w:color w:val="131727" w:themeColor="text1"/>
          <w:w w:val="110"/>
          <w:sz w:val="20"/>
        </w:rPr>
        <w:t>on</w:t>
      </w:r>
      <w:r w:rsidRPr="00FD40B8">
        <w:rPr>
          <w:color w:val="131727" w:themeColor="text1"/>
          <w:spacing w:val="-3"/>
          <w:w w:val="110"/>
          <w:sz w:val="20"/>
        </w:rPr>
        <w:t xml:space="preserve"> </w:t>
      </w:r>
      <w:r w:rsidRPr="00FD40B8">
        <w:rPr>
          <w:color w:val="131727" w:themeColor="text1"/>
          <w:w w:val="110"/>
          <w:sz w:val="20"/>
        </w:rPr>
        <w:t>remote</w:t>
      </w:r>
      <w:r w:rsidRPr="00FD40B8">
        <w:rPr>
          <w:color w:val="131727" w:themeColor="text1"/>
          <w:spacing w:val="-2"/>
          <w:w w:val="110"/>
          <w:sz w:val="20"/>
        </w:rPr>
        <w:t xml:space="preserve"> </w:t>
      </w:r>
      <w:r w:rsidRPr="00FD40B8">
        <w:rPr>
          <w:color w:val="131727" w:themeColor="text1"/>
          <w:w w:val="110"/>
          <w:sz w:val="20"/>
        </w:rPr>
        <w:t>Aboriginal and</w:t>
      </w:r>
      <w:r w:rsidRPr="00FD40B8">
        <w:rPr>
          <w:color w:val="131727" w:themeColor="text1"/>
          <w:spacing w:val="-4"/>
          <w:w w:val="110"/>
          <w:sz w:val="20"/>
        </w:rPr>
        <w:t xml:space="preserve"> </w:t>
      </w:r>
      <w:r w:rsidRPr="00FD40B8">
        <w:rPr>
          <w:color w:val="131727" w:themeColor="text1"/>
          <w:w w:val="110"/>
          <w:sz w:val="20"/>
        </w:rPr>
        <w:t>Torres Strait Islander housing and related infrastructure needs, and recommendations for its collection.</w:t>
      </w:r>
    </w:p>
    <w:p w14:paraId="42B896B4" w14:textId="77777777" w:rsidR="00811887" w:rsidRPr="00FD40B8" w:rsidRDefault="00811887" w:rsidP="00811887">
      <w:pPr>
        <w:pStyle w:val="BodyText"/>
        <w:spacing w:before="215"/>
        <w:rPr>
          <w:color w:val="131727" w:themeColor="text1"/>
        </w:rPr>
      </w:pPr>
    </w:p>
    <w:p w14:paraId="3E7A4C96" w14:textId="77777777" w:rsidR="00811887" w:rsidRPr="00FD40B8" w:rsidRDefault="00811887" w:rsidP="00811887">
      <w:pPr>
        <w:pStyle w:val="Heading9"/>
        <w:rPr>
          <w:color w:val="131727" w:themeColor="text1"/>
        </w:rPr>
      </w:pPr>
      <w:bookmarkStart w:id="113" w:name="_bookmark2"/>
      <w:bookmarkEnd w:id="113"/>
      <w:r w:rsidRPr="00FD40B8">
        <w:rPr>
          <w:color w:val="131727" w:themeColor="text1"/>
          <w:spacing w:val="22"/>
          <w:w w:val="80"/>
        </w:rPr>
        <w:t>REPOR</w:t>
      </w:r>
      <w:r w:rsidRPr="00FD40B8">
        <w:rPr>
          <w:color w:val="131727" w:themeColor="text1"/>
          <w:spacing w:val="-26"/>
          <w:w w:val="80"/>
        </w:rPr>
        <w:t xml:space="preserve"> </w:t>
      </w:r>
      <w:r w:rsidRPr="00FD40B8">
        <w:rPr>
          <w:color w:val="131727" w:themeColor="text1"/>
          <w:w w:val="80"/>
        </w:rPr>
        <w:t>T</w:t>
      </w:r>
      <w:r w:rsidRPr="00FD40B8">
        <w:rPr>
          <w:color w:val="131727" w:themeColor="text1"/>
          <w:spacing w:val="61"/>
        </w:rPr>
        <w:t xml:space="preserve"> </w:t>
      </w:r>
      <w:r w:rsidRPr="00FD40B8">
        <w:rPr>
          <w:color w:val="131727" w:themeColor="text1"/>
          <w:w w:val="80"/>
        </w:rPr>
        <w:t>S</w:t>
      </w:r>
      <w:r w:rsidRPr="00FD40B8">
        <w:rPr>
          <w:color w:val="131727" w:themeColor="text1"/>
          <w:spacing w:val="-29"/>
          <w:w w:val="80"/>
        </w:rPr>
        <w:t xml:space="preserve"> </w:t>
      </w:r>
      <w:r w:rsidRPr="00FD40B8">
        <w:rPr>
          <w:color w:val="131727" w:themeColor="text1"/>
          <w:spacing w:val="13"/>
          <w:w w:val="80"/>
        </w:rPr>
        <w:t>TR</w:t>
      </w:r>
      <w:r w:rsidRPr="00FD40B8">
        <w:rPr>
          <w:color w:val="131727" w:themeColor="text1"/>
          <w:spacing w:val="-25"/>
          <w:w w:val="80"/>
        </w:rPr>
        <w:t xml:space="preserve"> </w:t>
      </w:r>
      <w:r w:rsidRPr="00FD40B8">
        <w:rPr>
          <w:color w:val="131727" w:themeColor="text1"/>
          <w:spacing w:val="14"/>
          <w:w w:val="80"/>
        </w:rPr>
        <w:t>UC</w:t>
      </w:r>
      <w:r w:rsidRPr="00FD40B8">
        <w:rPr>
          <w:color w:val="131727" w:themeColor="text1"/>
          <w:spacing w:val="-29"/>
          <w:w w:val="80"/>
        </w:rPr>
        <w:t xml:space="preserve"> </w:t>
      </w:r>
      <w:r w:rsidRPr="00FD40B8">
        <w:rPr>
          <w:color w:val="131727" w:themeColor="text1"/>
          <w:w w:val="80"/>
        </w:rPr>
        <w:t>T</w:t>
      </w:r>
      <w:r w:rsidRPr="00FD40B8">
        <w:rPr>
          <w:color w:val="131727" w:themeColor="text1"/>
          <w:spacing w:val="-27"/>
          <w:w w:val="80"/>
        </w:rPr>
        <w:t xml:space="preserve"> </w:t>
      </w:r>
      <w:r w:rsidRPr="00FD40B8">
        <w:rPr>
          <w:color w:val="131727" w:themeColor="text1"/>
          <w:spacing w:val="13"/>
          <w:w w:val="80"/>
        </w:rPr>
        <w:t>URE</w:t>
      </w:r>
    </w:p>
    <w:p w14:paraId="74D8DE1F" w14:textId="77777777" w:rsidR="00811887" w:rsidRPr="00FD40B8" w:rsidRDefault="00811887" w:rsidP="00811887">
      <w:pPr>
        <w:pStyle w:val="BodyText"/>
        <w:spacing w:before="57"/>
        <w:ind w:left="508"/>
        <w:rPr>
          <w:color w:val="131727" w:themeColor="text1"/>
        </w:rPr>
      </w:pPr>
      <w:r w:rsidRPr="00FD40B8">
        <w:rPr>
          <w:color w:val="131727" w:themeColor="text1"/>
          <w:w w:val="110"/>
        </w:rPr>
        <w:t>This</w:t>
      </w:r>
      <w:r w:rsidRPr="00FD40B8">
        <w:rPr>
          <w:color w:val="131727" w:themeColor="text1"/>
          <w:spacing w:val="4"/>
          <w:w w:val="110"/>
        </w:rPr>
        <w:t xml:space="preserve"> </w:t>
      </w:r>
      <w:r w:rsidRPr="00FD40B8">
        <w:rPr>
          <w:color w:val="131727" w:themeColor="text1"/>
          <w:w w:val="110"/>
        </w:rPr>
        <w:t>report</w:t>
      </w:r>
      <w:r w:rsidRPr="00FD40B8">
        <w:rPr>
          <w:color w:val="131727" w:themeColor="text1"/>
          <w:spacing w:val="2"/>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structured</w:t>
      </w:r>
      <w:r w:rsidRPr="00FD40B8">
        <w:rPr>
          <w:color w:val="131727" w:themeColor="text1"/>
          <w:spacing w:val="2"/>
          <w:w w:val="110"/>
        </w:rPr>
        <w:t xml:space="preserve"> </w:t>
      </w:r>
      <w:r w:rsidRPr="00FD40B8">
        <w:rPr>
          <w:color w:val="131727" w:themeColor="text1"/>
          <w:w w:val="110"/>
        </w:rPr>
        <w:t>as</w:t>
      </w:r>
      <w:r w:rsidRPr="00FD40B8">
        <w:rPr>
          <w:color w:val="131727" w:themeColor="text1"/>
          <w:spacing w:val="-1"/>
          <w:w w:val="110"/>
        </w:rPr>
        <w:t xml:space="preserve"> </w:t>
      </w:r>
      <w:r w:rsidRPr="00FD40B8">
        <w:rPr>
          <w:color w:val="131727" w:themeColor="text1"/>
          <w:spacing w:val="-2"/>
          <w:w w:val="110"/>
        </w:rPr>
        <w:t>follows:</w:t>
      </w:r>
    </w:p>
    <w:p w14:paraId="3ECE3DFA" w14:textId="77777777" w:rsidR="00811887" w:rsidRPr="00FD40B8" w:rsidRDefault="00811887" w:rsidP="00FB2FE9">
      <w:pPr>
        <w:pStyle w:val="ListParagraph"/>
        <w:widowControl w:val="0"/>
        <w:numPr>
          <w:ilvl w:val="0"/>
          <w:numId w:val="68"/>
        </w:numPr>
        <w:tabs>
          <w:tab w:val="left" w:pos="1228"/>
        </w:tabs>
        <w:autoSpaceDE w:val="0"/>
        <w:autoSpaceDN w:val="0"/>
        <w:spacing w:before="139" w:after="0"/>
        <w:ind w:hanging="360"/>
        <w:contextualSpacing w:val="0"/>
        <w:rPr>
          <w:rFonts w:ascii="Symbol" w:hAnsi="Symbol"/>
          <w:color w:val="131727" w:themeColor="text1"/>
          <w:sz w:val="20"/>
        </w:rPr>
      </w:pPr>
      <w:r w:rsidRPr="00FD40B8">
        <w:rPr>
          <w:color w:val="131727" w:themeColor="text1"/>
          <w:w w:val="110"/>
          <w:sz w:val="20"/>
        </w:rPr>
        <w:t>A</w:t>
      </w:r>
      <w:r w:rsidRPr="00FD40B8">
        <w:rPr>
          <w:color w:val="131727" w:themeColor="text1"/>
          <w:spacing w:val="-4"/>
          <w:w w:val="110"/>
          <w:sz w:val="20"/>
        </w:rPr>
        <w:t xml:space="preserve"> </w:t>
      </w:r>
      <w:r w:rsidRPr="00FD40B8">
        <w:rPr>
          <w:color w:val="131727" w:themeColor="text1"/>
          <w:w w:val="110"/>
          <w:sz w:val="20"/>
        </w:rPr>
        <w:t>summary</w:t>
      </w:r>
      <w:r w:rsidRPr="00FD40B8">
        <w:rPr>
          <w:color w:val="131727" w:themeColor="text1"/>
          <w:spacing w:val="-4"/>
          <w:w w:val="110"/>
          <w:sz w:val="20"/>
        </w:rPr>
        <w:t xml:space="preserve"> </w:t>
      </w:r>
      <w:r w:rsidRPr="00FD40B8">
        <w:rPr>
          <w:color w:val="131727" w:themeColor="text1"/>
          <w:w w:val="110"/>
          <w:sz w:val="20"/>
        </w:rPr>
        <w:t>of key</w:t>
      </w:r>
      <w:r w:rsidRPr="00FD40B8">
        <w:rPr>
          <w:color w:val="131727" w:themeColor="text1"/>
          <w:spacing w:val="-5"/>
          <w:w w:val="110"/>
          <w:sz w:val="20"/>
        </w:rPr>
        <w:t xml:space="preserve"> </w:t>
      </w:r>
      <w:r w:rsidRPr="00FD40B8">
        <w:rPr>
          <w:color w:val="131727" w:themeColor="text1"/>
          <w:w w:val="110"/>
          <w:sz w:val="20"/>
        </w:rPr>
        <w:t>findings and</w:t>
      </w:r>
      <w:r w:rsidRPr="00FD40B8">
        <w:rPr>
          <w:color w:val="131727" w:themeColor="text1"/>
          <w:spacing w:val="-3"/>
          <w:w w:val="110"/>
          <w:sz w:val="20"/>
        </w:rPr>
        <w:t xml:space="preserve"> </w:t>
      </w:r>
      <w:r w:rsidRPr="00FD40B8">
        <w:rPr>
          <w:color w:val="131727" w:themeColor="text1"/>
          <w:spacing w:val="-2"/>
          <w:w w:val="110"/>
          <w:sz w:val="20"/>
        </w:rPr>
        <w:t>recommendations</w:t>
      </w:r>
    </w:p>
    <w:p w14:paraId="092C7D42" w14:textId="77777777" w:rsidR="00811887" w:rsidRPr="00FD40B8" w:rsidRDefault="00811887" w:rsidP="00FB2FE9">
      <w:pPr>
        <w:pStyle w:val="ListParagraph"/>
        <w:widowControl w:val="0"/>
        <w:numPr>
          <w:ilvl w:val="0"/>
          <w:numId w:val="68"/>
        </w:numPr>
        <w:tabs>
          <w:tab w:val="left" w:pos="1228"/>
        </w:tabs>
        <w:autoSpaceDE w:val="0"/>
        <w:autoSpaceDN w:val="0"/>
        <w:spacing w:before="77" w:after="0"/>
        <w:ind w:hanging="360"/>
        <w:contextualSpacing w:val="0"/>
        <w:rPr>
          <w:rFonts w:ascii="Symbol" w:hAnsi="Symbol"/>
          <w:color w:val="131727" w:themeColor="text1"/>
          <w:sz w:val="20"/>
        </w:rPr>
      </w:pPr>
      <w:r w:rsidRPr="00FD40B8">
        <w:rPr>
          <w:color w:val="131727" w:themeColor="text1"/>
          <w:w w:val="110"/>
          <w:sz w:val="20"/>
        </w:rPr>
        <w:t>An analysis</w:t>
      </w:r>
      <w:r w:rsidRPr="00FD40B8">
        <w:rPr>
          <w:color w:val="131727" w:themeColor="text1"/>
          <w:spacing w:val="-3"/>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Aboriginal</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5"/>
          <w:w w:val="110"/>
          <w:sz w:val="20"/>
        </w:rPr>
        <w:t xml:space="preserve"> </w:t>
      </w:r>
      <w:r w:rsidRPr="00FD40B8">
        <w:rPr>
          <w:color w:val="131727" w:themeColor="text1"/>
          <w:w w:val="110"/>
          <w:sz w:val="20"/>
        </w:rPr>
        <w:t>Torres</w:t>
      </w:r>
      <w:r w:rsidRPr="00FD40B8">
        <w:rPr>
          <w:color w:val="131727" w:themeColor="text1"/>
          <w:spacing w:val="-4"/>
          <w:w w:val="110"/>
          <w:sz w:val="20"/>
        </w:rPr>
        <w:t xml:space="preserve"> </w:t>
      </w:r>
      <w:r w:rsidRPr="00FD40B8">
        <w:rPr>
          <w:color w:val="131727" w:themeColor="text1"/>
          <w:w w:val="110"/>
          <w:sz w:val="20"/>
        </w:rPr>
        <w:t>Strait</w:t>
      </w:r>
      <w:r w:rsidRPr="00FD40B8">
        <w:rPr>
          <w:color w:val="131727" w:themeColor="text1"/>
          <w:spacing w:val="-5"/>
          <w:w w:val="110"/>
          <w:sz w:val="20"/>
        </w:rPr>
        <w:t xml:space="preserve"> </w:t>
      </w:r>
      <w:r w:rsidRPr="00FD40B8">
        <w:rPr>
          <w:color w:val="131727" w:themeColor="text1"/>
          <w:w w:val="110"/>
          <w:sz w:val="20"/>
        </w:rPr>
        <w:t>Islander</w:t>
      </w:r>
      <w:r w:rsidRPr="00FD40B8">
        <w:rPr>
          <w:color w:val="131727" w:themeColor="text1"/>
          <w:spacing w:val="2"/>
          <w:w w:val="110"/>
          <w:sz w:val="20"/>
        </w:rPr>
        <w:t xml:space="preserve"> </w:t>
      </w:r>
      <w:r w:rsidRPr="00FD40B8">
        <w:rPr>
          <w:color w:val="131727" w:themeColor="text1"/>
          <w:w w:val="110"/>
          <w:sz w:val="20"/>
        </w:rPr>
        <w:t>housing</w:t>
      </w:r>
      <w:r w:rsidRPr="00FD40B8">
        <w:rPr>
          <w:color w:val="131727" w:themeColor="text1"/>
          <w:spacing w:val="-1"/>
          <w:w w:val="110"/>
          <w:sz w:val="20"/>
        </w:rPr>
        <w:t xml:space="preserve"> </w:t>
      </w:r>
      <w:r w:rsidRPr="00FD40B8">
        <w:rPr>
          <w:color w:val="131727" w:themeColor="text1"/>
          <w:spacing w:val="-4"/>
          <w:w w:val="110"/>
          <w:sz w:val="20"/>
        </w:rPr>
        <w:t>need</w:t>
      </w:r>
    </w:p>
    <w:p w14:paraId="0ACE13DD" w14:textId="77777777" w:rsidR="00811887" w:rsidRPr="00FD40B8" w:rsidRDefault="00811887" w:rsidP="00FB2FE9">
      <w:pPr>
        <w:pStyle w:val="ListParagraph"/>
        <w:widowControl w:val="0"/>
        <w:numPr>
          <w:ilvl w:val="0"/>
          <w:numId w:val="68"/>
        </w:numPr>
        <w:tabs>
          <w:tab w:val="left" w:pos="1228"/>
        </w:tabs>
        <w:autoSpaceDE w:val="0"/>
        <w:autoSpaceDN w:val="0"/>
        <w:spacing w:before="76" w:after="0"/>
        <w:ind w:hanging="360"/>
        <w:contextualSpacing w:val="0"/>
        <w:rPr>
          <w:rFonts w:ascii="Symbol" w:hAnsi="Symbol"/>
          <w:color w:val="131727" w:themeColor="text1"/>
          <w:sz w:val="20"/>
        </w:rPr>
      </w:pPr>
      <w:r w:rsidRPr="00FD40B8">
        <w:rPr>
          <w:color w:val="131727" w:themeColor="text1"/>
          <w:w w:val="110"/>
          <w:sz w:val="20"/>
        </w:rPr>
        <w:t>A</w:t>
      </w:r>
      <w:r w:rsidRPr="00FD40B8">
        <w:rPr>
          <w:color w:val="131727" w:themeColor="text1"/>
          <w:spacing w:val="-6"/>
          <w:w w:val="110"/>
          <w:sz w:val="20"/>
        </w:rPr>
        <w:t xml:space="preserve"> </w:t>
      </w:r>
      <w:r w:rsidRPr="00FD40B8">
        <w:rPr>
          <w:color w:val="131727" w:themeColor="text1"/>
          <w:w w:val="110"/>
          <w:sz w:val="20"/>
        </w:rPr>
        <w:t>review</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current</w:t>
      </w:r>
      <w:r w:rsidRPr="00FD40B8">
        <w:rPr>
          <w:color w:val="131727" w:themeColor="text1"/>
          <w:spacing w:val="-4"/>
          <w:w w:val="110"/>
          <w:sz w:val="20"/>
        </w:rPr>
        <w:t xml:space="preserve"> </w:t>
      </w:r>
      <w:r w:rsidRPr="00FD40B8">
        <w:rPr>
          <w:color w:val="131727" w:themeColor="text1"/>
          <w:w w:val="110"/>
          <w:sz w:val="20"/>
        </w:rPr>
        <w:t>data</w:t>
      </w:r>
      <w:r w:rsidRPr="00FD40B8">
        <w:rPr>
          <w:color w:val="131727" w:themeColor="text1"/>
          <w:spacing w:val="-9"/>
          <w:w w:val="110"/>
          <w:sz w:val="20"/>
        </w:rPr>
        <w:t xml:space="preserve"> </w:t>
      </w:r>
      <w:r w:rsidRPr="00FD40B8">
        <w:rPr>
          <w:color w:val="131727" w:themeColor="text1"/>
          <w:w w:val="110"/>
          <w:sz w:val="20"/>
        </w:rPr>
        <w:t>collection</w:t>
      </w:r>
      <w:r w:rsidRPr="00FD40B8">
        <w:rPr>
          <w:color w:val="131727" w:themeColor="text1"/>
          <w:spacing w:val="-8"/>
          <w:w w:val="110"/>
          <w:sz w:val="20"/>
        </w:rPr>
        <w:t xml:space="preserve"> </w:t>
      </w:r>
      <w:r w:rsidRPr="00FD40B8">
        <w:rPr>
          <w:color w:val="131727" w:themeColor="text1"/>
          <w:w w:val="110"/>
          <w:sz w:val="20"/>
        </w:rPr>
        <w:t>methods</w:t>
      </w:r>
      <w:r w:rsidRPr="00FD40B8">
        <w:rPr>
          <w:color w:val="131727" w:themeColor="text1"/>
          <w:spacing w:val="-2"/>
          <w:w w:val="110"/>
          <w:sz w:val="20"/>
        </w:rPr>
        <w:t xml:space="preserve"> </w:t>
      </w:r>
      <w:r w:rsidRPr="00FD40B8">
        <w:rPr>
          <w:color w:val="131727" w:themeColor="text1"/>
          <w:w w:val="110"/>
          <w:sz w:val="20"/>
        </w:rPr>
        <w:t>and</w:t>
      </w:r>
      <w:r w:rsidRPr="00FD40B8">
        <w:rPr>
          <w:color w:val="131727" w:themeColor="text1"/>
          <w:spacing w:val="-9"/>
          <w:w w:val="110"/>
          <w:sz w:val="20"/>
        </w:rPr>
        <w:t xml:space="preserve"> </w:t>
      </w:r>
      <w:r w:rsidRPr="00FD40B8">
        <w:rPr>
          <w:color w:val="131727" w:themeColor="text1"/>
          <w:spacing w:val="-2"/>
          <w:w w:val="110"/>
          <w:sz w:val="20"/>
        </w:rPr>
        <w:t>coverage</w:t>
      </w:r>
    </w:p>
    <w:p w14:paraId="1EDCB252" w14:textId="77777777" w:rsidR="00811887" w:rsidRPr="00FD40B8" w:rsidRDefault="00811887" w:rsidP="00811887">
      <w:pPr>
        <w:pStyle w:val="BodyText"/>
        <w:spacing w:before="163"/>
        <w:rPr>
          <w:color w:val="131727" w:themeColor="text1"/>
        </w:rPr>
      </w:pPr>
      <w:r w:rsidRPr="00FD40B8">
        <w:rPr>
          <w:noProof/>
          <w:color w:val="131727" w:themeColor="text1"/>
        </w:rPr>
        <mc:AlternateContent>
          <mc:Choice Requires="wps">
            <w:drawing>
              <wp:anchor distT="0" distB="0" distL="0" distR="0" simplePos="0" relativeHeight="251730944" behindDoc="1" locked="0" layoutInCell="1" allowOverlap="1" wp14:anchorId="778D9556" wp14:editId="0DA6EE45">
                <wp:simplePos x="0" y="0"/>
                <wp:positionH relativeFrom="page">
                  <wp:posOffset>792784</wp:posOffset>
                </wp:positionH>
                <wp:positionV relativeFrom="paragraph">
                  <wp:posOffset>274022</wp:posOffset>
                </wp:positionV>
                <wp:extent cx="1830070" cy="6350"/>
                <wp:effectExtent l="0" t="0" r="0" b="0"/>
                <wp:wrapTopAndBottom/>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F7D9A" id="Graphic 116" o:spid="_x0000_s1026" alt="&quot;&quot;" style="position:absolute;margin-left:62.4pt;margin-top:21.6pt;width:144.1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rYLS2t4AAAAJAQAADwAAAAAAAAAAAAAAAAB9BAAAZHJzL2Rvd25y&#10;ZXYueG1sUEsFBgAAAAAEAAQA8wAAAIgFAAAAAA==&#10;" path="m1829689,l,,,6095r1829689,l1829689,xe" fillcolor="black" stroked="f">
                <v:path arrowok="t"/>
                <w10:wrap type="topAndBottom" anchorx="page"/>
              </v:shape>
            </w:pict>
          </mc:Fallback>
        </mc:AlternateContent>
      </w:r>
    </w:p>
    <w:p w14:paraId="13B1ADA3" w14:textId="77777777" w:rsidR="00811887" w:rsidRPr="00FD40B8" w:rsidRDefault="00811887" w:rsidP="00811887">
      <w:pPr>
        <w:spacing w:before="124" w:line="266" w:lineRule="auto"/>
        <w:ind w:left="508" w:right="823"/>
        <w:rPr>
          <w:color w:val="131727" w:themeColor="text1"/>
          <w:sz w:val="15"/>
        </w:rPr>
      </w:pPr>
      <w:bookmarkStart w:id="114" w:name="_bookmark3"/>
      <w:bookmarkEnd w:id="114"/>
      <w:r w:rsidRPr="00FD40B8">
        <w:rPr>
          <w:color w:val="131727" w:themeColor="text1"/>
          <w:w w:val="105"/>
          <w:position w:val="5"/>
          <w:sz w:val="10"/>
        </w:rPr>
        <w:t>1</w:t>
      </w:r>
      <w:r w:rsidRPr="00FD40B8">
        <w:rPr>
          <w:color w:val="131727" w:themeColor="text1"/>
          <w:spacing w:val="28"/>
          <w:w w:val="105"/>
          <w:position w:val="5"/>
          <w:sz w:val="10"/>
        </w:rPr>
        <w:t xml:space="preserve"> </w:t>
      </w:r>
      <w:r w:rsidRPr="00FD40B8">
        <w:rPr>
          <w:color w:val="131727" w:themeColor="text1"/>
          <w:w w:val="105"/>
          <w:sz w:val="15"/>
        </w:rPr>
        <w:t>Australian</w:t>
      </w:r>
      <w:r w:rsidRPr="00FD40B8">
        <w:rPr>
          <w:color w:val="131727" w:themeColor="text1"/>
          <w:spacing w:val="15"/>
          <w:w w:val="105"/>
          <w:sz w:val="15"/>
        </w:rPr>
        <w:t xml:space="preserve"> </w:t>
      </w:r>
      <w:r w:rsidRPr="00FD40B8">
        <w:rPr>
          <w:color w:val="131727" w:themeColor="text1"/>
          <w:w w:val="105"/>
          <w:sz w:val="15"/>
        </w:rPr>
        <w:t>Institute</w:t>
      </w:r>
      <w:r w:rsidRPr="00FD40B8">
        <w:rPr>
          <w:color w:val="131727" w:themeColor="text1"/>
          <w:spacing w:val="24"/>
          <w:w w:val="105"/>
          <w:sz w:val="15"/>
        </w:rPr>
        <w:t xml:space="preserve"> </w:t>
      </w:r>
      <w:r w:rsidRPr="00FD40B8">
        <w:rPr>
          <w:color w:val="131727" w:themeColor="text1"/>
          <w:w w:val="105"/>
          <w:sz w:val="15"/>
        </w:rPr>
        <w:t>of</w:t>
      </w:r>
      <w:r w:rsidRPr="00FD40B8">
        <w:rPr>
          <w:color w:val="131727" w:themeColor="text1"/>
          <w:spacing w:val="21"/>
          <w:w w:val="105"/>
          <w:sz w:val="15"/>
        </w:rPr>
        <w:t xml:space="preserve"> </w:t>
      </w:r>
      <w:r w:rsidRPr="00FD40B8">
        <w:rPr>
          <w:color w:val="131727" w:themeColor="text1"/>
          <w:w w:val="105"/>
          <w:sz w:val="15"/>
        </w:rPr>
        <w:t>Health</w:t>
      </w:r>
      <w:r w:rsidRPr="00FD40B8">
        <w:rPr>
          <w:color w:val="131727" w:themeColor="text1"/>
          <w:spacing w:val="21"/>
          <w:w w:val="105"/>
          <w:sz w:val="15"/>
        </w:rPr>
        <w:t xml:space="preserve"> </w:t>
      </w:r>
      <w:r w:rsidRPr="00FD40B8">
        <w:rPr>
          <w:color w:val="131727" w:themeColor="text1"/>
          <w:w w:val="105"/>
          <w:sz w:val="15"/>
        </w:rPr>
        <w:t>and Welfare</w:t>
      </w:r>
      <w:r w:rsidRPr="00FD40B8">
        <w:rPr>
          <w:color w:val="131727" w:themeColor="text1"/>
          <w:spacing w:val="22"/>
          <w:w w:val="105"/>
          <w:sz w:val="15"/>
        </w:rPr>
        <w:t xml:space="preserve"> </w:t>
      </w:r>
      <w:r w:rsidRPr="00FD40B8">
        <w:rPr>
          <w:color w:val="131727" w:themeColor="text1"/>
          <w:w w:val="105"/>
          <w:sz w:val="15"/>
        </w:rPr>
        <w:t>(AIHW)</w:t>
      </w:r>
      <w:r w:rsidRPr="00FD40B8">
        <w:rPr>
          <w:color w:val="131727" w:themeColor="text1"/>
          <w:spacing w:val="21"/>
          <w:w w:val="105"/>
          <w:sz w:val="15"/>
        </w:rPr>
        <w:t xml:space="preserve"> </w:t>
      </w:r>
      <w:r w:rsidRPr="00FD40B8">
        <w:rPr>
          <w:color w:val="131727" w:themeColor="text1"/>
          <w:w w:val="105"/>
          <w:sz w:val="15"/>
        </w:rPr>
        <w:t>2023,</w:t>
      </w:r>
      <w:r w:rsidRPr="00FD40B8">
        <w:rPr>
          <w:color w:val="131727" w:themeColor="text1"/>
          <w:spacing w:val="20"/>
          <w:w w:val="105"/>
          <w:sz w:val="15"/>
        </w:rPr>
        <w:t xml:space="preserve"> </w:t>
      </w:r>
      <w:r w:rsidRPr="00FD40B8">
        <w:rPr>
          <w:color w:val="131727" w:themeColor="text1"/>
          <w:w w:val="105"/>
          <w:sz w:val="15"/>
        </w:rPr>
        <w:t>Aboriginal</w:t>
      </w:r>
      <w:r w:rsidRPr="00FD40B8">
        <w:rPr>
          <w:color w:val="131727" w:themeColor="text1"/>
          <w:spacing w:val="24"/>
          <w:w w:val="105"/>
          <w:sz w:val="15"/>
        </w:rPr>
        <w:t xml:space="preserve"> </w:t>
      </w:r>
      <w:r w:rsidRPr="00FD40B8">
        <w:rPr>
          <w:color w:val="131727" w:themeColor="text1"/>
          <w:w w:val="105"/>
          <w:sz w:val="15"/>
        </w:rPr>
        <w:t>and Torres Strait Islander</w:t>
      </w:r>
      <w:r w:rsidRPr="00FD40B8">
        <w:rPr>
          <w:color w:val="131727" w:themeColor="text1"/>
          <w:spacing w:val="17"/>
          <w:w w:val="105"/>
          <w:sz w:val="15"/>
        </w:rPr>
        <w:t xml:space="preserve"> </w:t>
      </w:r>
      <w:r w:rsidRPr="00FD40B8">
        <w:rPr>
          <w:color w:val="131727" w:themeColor="text1"/>
          <w:w w:val="105"/>
          <w:sz w:val="15"/>
        </w:rPr>
        <w:t>Health</w:t>
      </w:r>
      <w:r w:rsidRPr="00FD40B8">
        <w:rPr>
          <w:color w:val="131727" w:themeColor="text1"/>
          <w:spacing w:val="15"/>
          <w:w w:val="105"/>
          <w:sz w:val="15"/>
        </w:rPr>
        <w:t xml:space="preserve"> </w:t>
      </w:r>
      <w:r w:rsidRPr="00FD40B8">
        <w:rPr>
          <w:color w:val="131727" w:themeColor="text1"/>
          <w:w w:val="105"/>
          <w:sz w:val="15"/>
        </w:rPr>
        <w:t>Performance</w:t>
      </w:r>
      <w:r w:rsidRPr="00FD40B8">
        <w:rPr>
          <w:color w:val="131727" w:themeColor="text1"/>
          <w:spacing w:val="17"/>
          <w:w w:val="105"/>
          <w:sz w:val="15"/>
        </w:rPr>
        <w:t xml:space="preserve"> </w:t>
      </w:r>
      <w:r w:rsidRPr="00FD40B8">
        <w:rPr>
          <w:color w:val="131727" w:themeColor="text1"/>
          <w:w w:val="105"/>
          <w:sz w:val="15"/>
        </w:rPr>
        <w:t>Framework;</w:t>
      </w:r>
      <w:r w:rsidRPr="00FD40B8">
        <w:rPr>
          <w:color w:val="131727" w:themeColor="text1"/>
          <w:spacing w:val="21"/>
          <w:w w:val="105"/>
          <w:sz w:val="15"/>
        </w:rPr>
        <w:t xml:space="preserve"> </w:t>
      </w:r>
      <w:r w:rsidRPr="00FD40B8">
        <w:rPr>
          <w:color w:val="131727" w:themeColor="text1"/>
          <w:w w:val="105"/>
          <w:sz w:val="15"/>
        </w:rPr>
        <w:t>summary</w:t>
      </w:r>
      <w:r w:rsidRPr="00FD40B8">
        <w:rPr>
          <w:color w:val="131727" w:themeColor="text1"/>
          <w:spacing w:val="40"/>
          <w:w w:val="105"/>
          <w:sz w:val="15"/>
        </w:rPr>
        <w:t xml:space="preserve"> </w:t>
      </w:r>
      <w:r w:rsidRPr="00FD40B8">
        <w:rPr>
          <w:color w:val="131727" w:themeColor="text1"/>
          <w:w w:val="105"/>
          <w:sz w:val="15"/>
        </w:rPr>
        <w:t>report</w:t>
      </w:r>
      <w:r w:rsidRPr="00FD40B8">
        <w:rPr>
          <w:color w:val="131727" w:themeColor="text1"/>
          <w:spacing w:val="33"/>
          <w:w w:val="105"/>
          <w:sz w:val="15"/>
        </w:rPr>
        <w:t xml:space="preserve"> </w:t>
      </w:r>
      <w:r w:rsidRPr="00FD40B8">
        <w:rPr>
          <w:color w:val="131727" w:themeColor="text1"/>
          <w:w w:val="105"/>
          <w:sz w:val="15"/>
        </w:rPr>
        <w:t>2023.</w:t>
      </w:r>
      <w:r w:rsidRPr="00FD40B8">
        <w:rPr>
          <w:color w:val="131727" w:themeColor="text1"/>
          <w:spacing w:val="33"/>
          <w:w w:val="105"/>
          <w:sz w:val="15"/>
        </w:rPr>
        <w:t xml:space="preserve"> </w:t>
      </w:r>
      <w:r w:rsidRPr="00FD40B8">
        <w:rPr>
          <w:color w:val="131727" w:themeColor="text1"/>
          <w:w w:val="105"/>
          <w:sz w:val="15"/>
        </w:rPr>
        <w:t>Canberra:</w:t>
      </w:r>
      <w:r w:rsidRPr="00FD40B8">
        <w:rPr>
          <w:color w:val="131727" w:themeColor="text1"/>
          <w:spacing w:val="33"/>
          <w:w w:val="105"/>
          <w:sz w:val="15"/>
        </w:rPr>
        <w:t xml:space="preserve"> </w:t>
      </w:r>
      <w:r w:rsidRPr="00FD40B8">
        <w:rPr>
          <w:color w:val="131727" w:themeColor="text1"/>
          <w:w w:val="105"/>
          <w:sz w:val="15"/>
        </w:rPr>
        <w:t>AIHW.</w:t>
      </w:r>
      <w:r w:rsidRPr="00FD40B8">
        <w:rPr>
          <w:color w:val="131727" w:themeColor="text1"/>
          <w:spacing w:val="33"/>
          <w:w w:val="105"/>
          <w:sz w:val="15"/>
        </w:rPr>
        <w:t xml:space="preserve"> </w:t>
      </w:r>
      <w:r w:rsidRPr="00FD40B8">
        <w:rPr>
          <w:color w:val="131727" w:themeColor="text1"/>
          <w:w w:val="105"/>
          <w:sz w:val="15"/>
        </w:rPr>
        <w:t>Viewed</w:t>
      </w:r>
      <w:r w:rsidRPr="00FD40B8">
        <w:rPr>
          <w:color w:val="131727" w:themeColor="text1"/>
          <w:spacing w:val="40"/>
          <w:w w:val="105"/>
          <w:sz w:val="15"/>
        </w:rPr>
        <w:t xml:space="preserve"> </w:t>
      </w:r>
      <w:r w:rsidRPr="00FD40B8">
        <w:rPr>
          <w:color w:val="131727" w:themeColor="text1"/>
          <w:w w:val="105"/>
          <w:sz w:val="15"/>
        </w:rPr>
        <w:t>19</w:t>
      </w:r>
      <w:r w:rsidRPr="00FD40B8">
        <w:rPr>
          <w:color w:val="131727" w:themeColor="text1"/>
          <w:spacing w:val="39"/>
          <w:w w:val="105"/>
          <w:sz w:val="15"/>
        </w:rPr>
        <w:t xml:space="preserve"> </w:t>
      </w:r>
      <w:r w:rsidRPr="00FD40B8">
        <w:rPr>
          <w:color w:val="131727" w:themeColor="text1"/>
          <w:w w:val="105"/>
          <w:sz w:val="15"/>
        </w:rPr>
        <w:t>February</w:t>
      </w:r>
      <w:r w:rsidRPr="00FD40B8">
        <w:rPr>
          <w:color w:val="131727" w:themeColor="text1"/>
          <w:spacing w:val="40"/>
          <w:w w:val="105"/>
          <w:sz w:val="15"/>
        </w:rPr>
        <w:t xml:space="preserve"> </w:t>
      </w:r>
      <w:r w:rsidRPr="00FD40B8">
        <w:rPr>
          <w:color w:val="131727" w:themeColor="text1"/>
          <w:w w:val="105"/>
          <w:sz w:val="15"/>
        </w:rPr>
        <w:t>2024.</w:t>
      </w:r>
      <w:r w:rsidRPr="00FD40B8">
        <w:rPr>
          <w:color w:val="131727" w:themeColor="text1"/>
          <w:spacing w:val="40"/>
          <w:w w:val="105"/>
          <w:sz w:val="15"/>
        </w:rPr>
        <w:t xml:space="preserve"> </w:t>
      </w:r>
      <w:r w:rsidRPr="00FD40B8">
        <w:rPr>
          <w:color w:val="131727" w:themeColor="text1"/>
          <w:w w:val="105"/>
          <w:sz w:val="15"/>
        </w:rPr>
        <w:t>Available</w:t>
      </w:r>
      <w:r w:rsidRPr="00FD40B8">
        <w:rPr>
          <w:color w:val="131727" w:themeColor="text1"/>
          <w:spacing w:val="35"/>
          <w:w w:val="105"/>
          <w:sz w:val="15"/>
        </w:rPr>
        <w:t xml:space="preserve"> </w:t>
      </w:r>
      <w:r w:rsidRPr="00FD40B8">
        <w:rPr>
          <w:color w:val="131727" w:themeColor="text1"/>
          <w:w w:val="105"/>
          <w:sz w:val="15"/>
        </w:rPr>
        <w:t>at:</w:t>
      </w:r>
      <w:r w:rsidRPr="00FD40B8">
        <w:rPr>
          <w:color w:val="131727" w:themeColor="text1"/>
          <w:spacing w:val="33"/>
          <w:w w:val="105"/>
          <w:sz w:val="15"/>
        </w:rPr>
        <w:t xml:space="preserve"> </w:t>
      </w:r>
      <w:hyperlink r:id="rId71">
        <w:r w:rsidRPr="00FD40B8">
          <w:rPr>
            <w:color w:val="131727" w:themeColor="text1"/>
            <w:w w:val="105"/>
            <w:sz w:val="15"/>
          </w:rPr>
          <w:t>indigenoushpf.gov.au/getattachment/4a44660b-5db7-48d0-bcec-</w:t>
        </w:r>
      </w:hyperlink>
      <w:r w:rsidRPr="00FD40B8">
        <w:rPr>
          <w:color w:val="131727" w:themeColor="text1"/>
          <w:spacing w:val="40"/>
          <w:w w:val="105"/>
          <w:sz w:val="15"/>
        </w:rPr>
        <w:t xml:space="preserve"> </w:t>
      </w:r>
      <w:hyperlink r:id="rId72">
        <w:r w:rsidRPr="00FD40B8">
          <w:rPr>
            <w:color w:val="131727" w:themeColor="text1"/>
            <w:spacing w:val="-2"/>
            <w:w w:val="105"/>
            <w:sz w:val="15"/>
          </w:rPr>
          <w:t>1e0a49b587fc/2023-july-ihpf-summary-report.pdf</w:t>
        </w:r>
      </w:hyperlink>
    </w:p>
    <w:p w14:paraId="225F0262" w14:textId="77777777" w:rsidR="00811887" w:rsidRPr="00FD40B8" w:rsidRDefault="00811887" w:rsidP="00811887">
      <w:pPr>
        <w:spacing w:line="271" w:lineRule="auto"/>
        <w:ind w:left="508" w:right="598"/>
        <w:rPr>
          <w:color w:val="131727" w:themeColor="text1"/>
          <w:sz w:val="15"/>
        </w:rPr>
      </w:pPr>
      <w:bookmarkStart w:id="115" w:name="_bookmark4"/>
      <w:bookmarkEnd w:id="115"/>
      <w:r w:rsidRPr="00FD40B8">
        <w:rPr>
          <w:color w:val="131727" w:themeColor="text1"/>
          <w:w w:val="105"/>
          <w:position w:val="5"/>
          <w:sz w:val="10"/>
        </w:rPr>
        <w:t>2</w:t>
      </w:r>
      <w:r w:rsidRPr="00FD40B8">
        <w:rPr>
          <w:color w:val="131727" w:themeColor="text1"/>
          <w:spacing w:val="33"/>
          <w:w w:val="105"/>
          <w:position w:val="5"/>
          <w:sz w:val="10"/>
        </w:rPr>
        <w:t xml:space="preserve"> </w:t>
      </w:r>
      <w:r w:rsidRPr="00FD40B8">
        <w:rPr>
          <w:color w:val="131727" w:themeColor="text1"/>
          <w:w w:val="105"/>
          <w:sz w:val="15"/>
        </w:rPr>
        <w:t>AIHW</w:t>
      </w:r>
      <w:r w:rsidRPr="00FD40B8">
        <w:rPr>
          <w:color w:val="131727" w:themeColor="text1"/>
          <w:spacing w:val="25"/>
          <w:w w:val="105"/>
          <w:sz w:val="15"/>
        </w:rPr>
        <w:t xml:space="preserve"> </w:t>
      </w:r>
      <w:r w:rsidRPr="00FD40B8">
        <w:rPr>
          <w:color w:val="131727" w:themeColor="text1"/>
          <w:w w:val="105"/>
          <w:sz w:val="15"/>
        </w:rPr>
        <w:t>2021,</w:t>
      </w:r>
      <w:r w:rsidRPr="00FD40B8">
        <w:rPr>
          <w:color w:val="131727" w:themeColor="text1"/>
          <w:spacing w:val="25"/>
          <w:w w:val="105"/>
          <w:sz w:val="15"/>
        </w:rPr>
        <w:t xml:space="preserve"> </w:t>
      </w:r>
      <w:r w:rsidRPr="00FD40B8">
        <w:rPr>
          <w:color w:val="131727" w:themeColor="text1"/>
          <w:w w:val="105"/>
          <w:sz w:val="15"/>
        </w:rPr>
        <w:t>Housing</w:t>
      </w:r>
      <w:r w:rsidRPr="00FD40B8">
        <w:rPr>
          <w:color w:val="131727" w:themeColor="text1"/>
          <w:spacing w:val="21"/>
          <w:w w:val="105"/>
          <w:sz w:val="15"/>
        </w:rPr>
        <w:t xml:space="preserve"> </w:t>
      </w:r>
      <w:r w:rsidRPr="00FD40B8">
        <w:rPr>
          <w:color w:val="131727" w:themeColor="text1"/>
          <w:w w:val="105"/>
          <w:sz w:val="15"/>
        </w:rPr>
        <w:t>circumstances</w:t>
      </w:r>
      <w:r w:rsidRPr="00FD40B8">
        <w:rPr>
          <w:color w:val="131727" w:themeColor="text1"/>
          <w:spacing w:val="20"/>
          <w:w w:val="105"/>
          <w:sz w:val="15"/>
        </w:rPr>
        <w:t xml:space="preserve"> </w:t>
      </w:r>
      <w:r w:rsidRPr="00FD40B8">
        <w:rPr>
          <w:color w:val="131727" w:themeColor="text1"/>
          <w:w w:val="105"/>
          <w:sz w:val="15"/>
        </w:rPr>
        <w:t>for</w:t>
      </w:r>
      <w:r w:rsidRPr="00FD40B8">
        <w:rPr>
          <w:color w:val="131727" w:themeColor="text1"/>
          <w:spacing w:val="21"/>
          <w:w w:val="105"/>
          <w:sz w:val="15"/>
        </w:rPr>
        <w:t xml:space="preserve"> </w:t>
      </w:r>
      <w:r w:rsidRPr="00FD40B8">
        <w:rPr>
          <w:color w:val="131727" w:themeColor="text1"/>
          <w:w w:val="105"/>
          <w:sz w:val="15"/>
        </w:rPr>
        <w:t>First</w:t>
      </w:r>
      <w:r w:rsidRPr="00FD40B8">
        <w:rPr>
          <w:color w:val="131727" w:themeColor="text1"/>
          <w:spacing w:val="20"/>
          <w:w w:val="105"/>
          <w:sz w:val="15"/>
        </w:rPr>
        <w:t xml:space="preserve"> </w:t>
      </w:r>
      <w:r w:rsidRPr="00FD40B8">
        <w:rPr>
          <w:color w:val="131727" w:themeColor="text1"/>
          <w:w w:val="105"/>
          <w:sz w:val="15"/>
        </w:rPr>
        <w:t>Nations</w:t>
      </w:r>
      <w:r w:rsidRPr="00FD40B8">
        <w:rPr>
          <w:color w:val="131727" w:themeColor="text1"/>
          <w:spacing w:val="18"/>
          <w:w w:val="105"/>
          <w:sz w:val="15"/>
        </w:rPr>
        <w:t xml:space="preserve"> </w:t>
      </w:r>
      <w:r w:rsidRPr="00FD40B8">
        <w:rPr>
          <w:color w:val="131727" w:themeColor="text1"/>
          <w:w w:val="105"/>
          <w:sz w:val="15"/>
        </w:rPr>
        <w:t>people,</w:t>
      </w:r>
      <w:r w:rsidRPr="00FD40B8">
        <w:rPr>
          <w:color w:val="131727" w:themeColor="text1"/>
          <w:spacing w:val="25"/>
          <w:w w:val="105"/>
          <w:sz w:val="15"/>
        </w:rPr>
        <w:t xml:space="preserve"> </w:t>
      </w:r>
      <w:r w:rsidRPr="00FD40B8">
        <w:rPr>
          <w:color w:val="131727" w:themeColor="text1"/>
          <w:w w:val="105"/>
          <w:sz w:val="15"/>
        </w:rPr>
        <w:t>Analysis</w:t>
      </w:r>
      <w:r w:rsidRPr="00FD40B8">
        <w:rPr>
          <w:color w:val="131727" w:themeColor="text1"/>
          <w:spacing w:val="18"/>
          <w:w w:val="105"/>
          <w:sz w:val="15"/>
        </w:rPr>
        <w:t xml:space="preserve"> </w:t>
      </w:r>
      <w:r w:rsidRPr="00FD40B8">
        <w:rPr>
          <w:color w:val="131727" w:themeColor="text1"/>
          <w:w w:val="105"/>
          <w:sz w:val="15"/>
        </w:rPr>
        <w:t>of</w:t>
      </w:r>
      <w:r w:rsidRPr="00FD40B8">
        <w:rPr>
          <w:color w:val="131727" w:themeColor="text1"/>
          <w:spacing w:val="34"/>
          <w:w w:val="105"/>
          <w:sz w:val="15"/>
        </w:rPr>
        <w:t xml:space="preserve"> </w:t>
      </w:r>
      <w:r w:rsidRPr="00FD40B8">
        <w:rPr>
          <w:color w:val="131727" w:themeColor="text1"/>
          <w:w w:val="105"/>
          <w:sz w:val="15"/>
        </w:rPr>
        <w:t>ABS</w:t>
      </w:r>
      <w:r w:rsidRPr="00FD40B8">
        <w:rPr>
          <w:color w:val="131727" w:themeColor="text1"/>
          <w:spacing w:val="23"/>
          <w:w w:val="105"/>
          <w:sz w:val="15"/>
        </w:rPr>
        <w:t xml:space="preserve"> </w:t>
      </w:r>
      <w:r w:rsidRPr="00FD40B8">
        <w:rPr>
          <w:color w:val="131727" w:themeColor="text1"/>
          <w:w w:val="105"/>
          <w:sz w:val="15"/>
        </w:rPr>
        <w:t>Census</w:t>
      </w:r>
      <w:r w:rsidRPr="00FD40B8">
        <w:rPr>
          <w:color w:val="131727" w:themeColor="text1"/>
          <w:spacing w:val="18"/>
          <w:w w:val="105"/>
          <w:sz w:val="15"/>
        </w:rPr>
        <w:t xml:space="preserve"> </w:t>
      </w:r>
      <w:r w:rsidRPr="00FD40B8">
        <w:rPr>
          <w:color w:val="131727" w:themeColor="text1"/>
          <w:w w:val="105"/>
          <w:sz w:val="15"/>
        </w:rPr>
        <w:t>Population</w:t>
      </w:r>
      <w:r w:rsidRPr="00FD40B8">
        <w:rPr>
          <w:color w:val="131727" w:themeColor="text1"/>
          <w:spacing w:val="20"/>
          <w:w w:val="105"/>
          <w:sz w:val="15"/>
        </w:rPr>
        <w:t xml:space="preserve"> </w:t>
      </w:r>
      <w:r w:rsidRPr="00FD40B8">
        <w:rPr>
          <w:color w:val="131727" w:themeColor="text1"/>
          <w:w w:val="105"/>
          <w:sz w:val="15"/>
        </w:rPr>
        <w:t>and</w:t>
      </w:r>
      <w:r w:rsidRPr="00FD40B8">
        <w:rPr>
          <w:color w:val="131727" w:themeColor="text1"/>
          <w:spacing w:val="25"/>
          <w:w w:val="105"/>
          <w:sz w:val="15"/>
        </w:rPr>
        <w:t xml:space="preserve"> </w:t>
      </w:r>
      <w:r w:rsidRPr="00FD40B8">
        <w:rPr>
          <w:color w:val="131727" w:themeColor="text1"/>
          <w:w w:val="105"/>
          <w:sz w:val="15"/>
        </w:rPr>
        <w:t>Housing</w:t>
      </w:r>
      <w:r w:rsidRPr="00FD40B8">
        <w:rPr>
          <w:color w:val="131727" w:themeColor="text1"/>
          <w:spacing w:val="20"/>
          <w:w w:val="105"/>
          <w:sz w:val="15"/>
        </w:rPr>
        <w:t xml:space="preserve"> </w:t>
      </w:r>
      <w:r w:rsidRPr="00FD40B8">
        <w:rPr>
          <w:color w:val="131727" w:themeColor="text1"/>
          <w:w w:val="105"/>
          <w:sz w:val="15"/>
        </w:rPr>
        <w:t>2021.</w:t>
      </w:r>
      <w:r w:rsidRPr="00FD40B8">
        <w:rPr>
          <w:color w:val="131727" w:themeColor="text1"/>
          <w:spacing w:val="20"/>
          <w:w w:val="105"/>
          <w:sz w:val="15"/>
        </w:rPr>
        <w:t xml:space="preserve"> </w:t>
      </w:r>
      <w:r w:rsidRPr="00FD40B8">
        <w:rPr>
          <w:color w:val="131727" w:themeColor="text1"/>
          <w:w w:val="105"/>
          <w:sz w:val="15"/>
        </w:rPr>
        <w:t>Canberra:</w:t>
      </w:r>
      <w:r w:rsidRPr="00FD40B8">
        <w:rPr>
          <w:color w:val="131727" w:themeColor="text1"/>
          <w:spacing w:val="26"/>
          <w:w w:val="105"/>
          <w:sz w:val="15"/>
        </w:rPr>
        <w:t xml:space="preserve"> </w:t>
      </w:r>
      <w:r w:rsidRPr="00FD40B8">
        <w:rPr>
          <w:color w:val="131727" w:themeColor="text1"/>
          <w:w w:val="105"/>
          <w:sz w:val="15"/>
        </w:rPr>
        <w:t>AIHW.</w:t>
      </w:r>
      <w:r w:rsidRPr="00FD40B8">
        <w:rPr>
          <w:color w:val="131727" w:themeColor="text1"/>
          <w:spacing w:val="40"/>
          <w:w w:val="105"/>
          <w:sz w:val="15"/>
        </w:rPr>
        <w:t xml:space="preserve"> </w:t>
      </w:r>
      <w:bookmarkStart w:id="116" w:name="_bookmark5"/>
      <w:bookmarkEnd w:id="116"/>
      <w:r w:rsidRPr="00FD40B8">
        <w:rPr>
          <w:color w:val="131727" w:themeColor="text1"/>
          <w:w w:val="105"/>
          <w:sz w:val="15"/>
        </w:rPr>
        <w:t>Viewed 19 February 2024. Available at: https://</w:t>
      </w:r>
      <w:hyperlink r:id="rId73">
        <w:r w:rsidRPr="00FD40B8">
          <w:rPr>
            <w:color w:val="131727" w:themeColor="text1"/>
            <w:w w:val="105"/>
            <w:sz w:val="15"/>
          </w:rPr>
          <w:t>www.aihw.gov.au/reports/australias-welfare/indigenous-housing</w:t>
        </w:r>
      </w:hyperlink>
    </w:p>
    <w:p w14:paraId="31EB3DF9" w14:textId="77777777" w:rsidR="00811887" w:rsidRPr="00FD40B8" w:rsidRDefault="00811887" w:rsidP="00811887">
      <w:pPr>
        <w:spacing w:line="182" w:lineRule="exact"/>
        <w:ind w:left="508"/>
        <w:rPr>
          <w:color w:val="131727" w:themeColor="text1"/>
          <w:sz w:val="15"/>
        </w:rPr>
      </w:pPr>
      <w:r w:rsidRPr="00FD40B8">
        <w:rPr>
          <w:color w:val="131727" w:themeColor="text1"/>
          <w:w w:val="105"/>
          <w:position w:val="5"/>
          <w:sz w:val="10"/>
        </w:rPr>
        <w:lastRenderedPageBreak/>
        <w:t>3</w:t>
      </w:r>
      <w:r w:rsidRPr="00FD40B8">
        <w:rPr>
          <w:color w:val="131727" w:themeColor="text1"/>
          <w:spacing w:val="24"/>
          <w:w w:val="105"/>
          <w:position w:val="5"/>
          <w:sz w:val="10"/>
        </w:rPr>
        <w:t xml:space="preserve"> </w:t>
      </w:r>
      <w:r w:rsidRPr="00FD40B8">
        <w:rPr>
          <w:color w:val="131727" w:themeColor="text1"/>
          <w:w w:val="105"/>
          <w:sz w:val="15"/>
        </w:rPr>
        <w:t>Remote</w:t>
      </w:r>
      <w:r w:rsidRPr="00FD40B8">
        <w:rPr>
          <w:color w:val="131727" w:themeColor="text1"/>
          <w:spacing w:val="19"/>
          <w:w w:val="105"/>
          <w:sz w:val="15"/>
        </w:rPr>
        <w:t xml:space="preserve"> </w:t>
      </w:r>
      <w:r w:rsidRPr="00FD40B8">
        <w:rPr>
          <w:color w:val="131727" w:themeColor="text1"/>
          <w:w w:val="105"/>
          <w:sz w:val="15"/>
        </w:rPr>
        <w:t>residents</w:t>
      </w:r>
      <w:r w:rsidRPr="00FD40B8">
        <w:rPr>
          <w:color w:val="131727" w:themeColor="text1"/>
          <w:spacing w:val="11"/>
          <w:w w:val="105"/>
          <w:sz w:val="15"/>
        </w:rPr>
        <w:t xml:space="preserve"> </w:t>
      </w:r>
      <w:r w:rsidRPr="00FD40B8">
        <w:rPr>
          <w:color w:val="131727" w:themeColor="text1"/>
          <w:w w:val="105"/>
          <w:sz w:val="15"/>
        </w:rPr>
        <w:t>living</w:t>
      </w:r>
      <w:r w:rsidRPr="00FD40B8">
        <w:rPr>
          <w:color w:val="131727" w:themeColor="text1"/>
          <w:spacing w:val="11"/>
          <w:w w:val="105"/>
          <w:sz w:val="15"/>
        </w:rPr>
        <w:t xml:space="preserve"> </w:t>
      </w:r>
      <w:r w:rsidRPr="00FD40B8">
        <w:rPr>
          <w:color w:val="131727" w:themeColor="text1"/>
          <w:w w:val="105"/>
          <w:sz w:val="15"/>
        </w:rPr>
        <w:t>in</w:t>
      </w:r>
      <w:r w:rsidRPr="00FD40B8">
        <w:rPr>
          <w:color w:val="131727" w:themeColor="text1"/>
          <w:spacing w:val="12"/>
          <w:w w:val="105"/>
          <w:sz w:val="15"/>
        </w:rPr>
        <w:t xml:space="preserve"> </w:t>
      </w:r>
      <w:r w:rsidRPr="00FD40B8">
        <w:rPr>
          <w:color w:val="131727" w:themeColor="text1"/>
          <w:w w:val="105"/>
          <w:sz w:val="15"/>
        </w:rPr>
        <w:t>housing</w:t>
      </w:r>
      <w:r w:rsidRPr="00FD40B8">
        <w:rPr>
          <w:color w:val="131727" w:themeColor="text1"/>
          <w:spacing w:val="19"/>
          <w:w w:val="105"/>
          <w:sz w:val="15"/>
        </w:rPr>
        <w:t xml:space="preserve"> </w:t>
      </w:r>
      <w:r w:rsidRPr="00FD40B8">
        <w:rPr>
          <w:color w:val="131727" w:themeColor="text1"/>
          <w:w w:val="105"/>
          <w:sz w:val="15"/>
        </w:rPr>
        <w:t>owned</w:t>
      </w:r>
      <w:r w:rsidRPr="00FD40B8">
        <w:rPr>
          <w:color w:val="131727" w:themeColor="text1"/>
          <w:spacing w:val="16"/>
          <w:w w:val="105"/>
          <w:sz w:val="15"/>
        </w:rPr>
        <w:t xml:space="preserve"> </w:t>
      </w:r>
      <w:r w:rsidRPr="00FD40B8">
        <w:rPr>
          <w:color w:val="131727" w:themeColor="text1"/>
          <w:w w:val="105"/>
          <w:sz w:val="15"/>
        </w:rPr>
        <w:t>by</w:t>
      </w:r>
      <w:r w:rsidRPr="00FD40B8">
        <w:rPr>
          <w:color w:val="131727" w:themeColor="text1"/>
          <w:spacing w:val="12"/>
          <w:w w:val="105"/>
          <w:sz w:val="15"/>
        </w:rPr>
        <w:t xml:space="preserve"> </w:t>
      </w:r>
      <w:r w:rsidRPr="00FD40B8">
        <w:rPr>
          <w:color w:val="131727" w:themeColor="text1"/>
          <w:w w:val="105"/>
          <w:sz w:val="15"/>
        </w:rPr>
        <w:t>community</w:t>
      </w:r>
      <w:r w:rsidRPr="00FD40B8">
        <w:rPr>
          <w:color w:val="131727" w:themeColor="text1"/>
          <w:spacing w:val="11"/>
          <w:w w:val="105"/>
          <w:sz w:val="15"/>
        </w:rPr>
        <w:t xml:space="preserve"> </w:t>
      </w:r>
      <w:r w:rsidRPr="00FD40B8">
        <w:rPr>
          <w:color w:val="131727" w:themeColor="text1"/>
          <w:w w:val="105"/>
          <w:sz w:val="15"/>
        </w:rPr>
        <w:t>housing</w:t>
      </w:r>
      <w:r w:rsidRPr="00FD40B8">
        <w:rPr>
          <w:color w:val="131727" w:themeColor="text1"/>
          <w:spacing w:val="19"/>
          <w:w w:val="105"/>
          <w:sz w:val="15"/>
        </w:rPr>
        <w:t xml:space="preserve"> </w:t>
      </w:r>
      <w:r w:rsidRPr="00FD40B8">
        <w:rPr>
          <w:color w:val="131727" w:themeColor="text1"/>
          <w:w w:val="105"/>
          <w:sz w:val="15"/>
        </w:rPr>
        <w:t>associations</w:t>
      </w:r>
      <w:r w:rsidRPr="00FD40B8">
        <w:rPr>
          <w:color w:val="131727" w:themeColor="text1"/>
          <w:spacing w:val="17"/>
          <w:w w:val="105"/>
          <w:sz w:val="15"/>
        </w:rPr>
        <w:t xml:space="preserve"> </w:t>
      </w:r>
      <w:r w:rsidRPr="00FD40B8">
        <w:rPr>
          <w:color w:val="131727" w:themeColor="text1"/>
          <w:w w:val="105"/>
          <w:sz w:val="15"/>
        </w:rPr>
        <w:t>have</w:t>
      </w:r>
      <w:r w:rsidRPr="00FD40B8">
        <w:rPr>
          <w:color w:val="131727" w:themeColor="text1"/>
          <w:spacing w:val="19"/>
          <w:w w:val="105"/>
          <w:sz w:val="15"/>
        </w:rPr>
        <w:t xml:space="preserve"> </w:t>
      </w:r>
      <w:r w:rsidRPr="00FD40B8">
        <w:rPr>
          <w:color w:val="131727" w:themeColor="text1"/>
          <w:w w:val="105"/>
          <w:sz w:val="15"/>
        </w:rPr>
        <w:t>access</w:t>
      </w:r>
      <w:r w:rsidRPr="00FD40B8">
        <w:rPr>
          <w:color w:val="131727" w:themeColor="text1"/>
          <w:spacing w:val="10"/>
          <w:w w:val="105"/>
          <w:sz w:val="15"/>
        </w:rPr>
        <w:t xml:space="preserve"> </w:t>
      </w:r>
      <w:r w:rsidRPr="00FD40B8">
        <w:rPr>
          <w:color w:val="131727" w:themeColor="text1"/>
          <w:w w:val="105"/>
          <w:sz w:val="15"/>
        </w:rPr>
        <w:t>to</w:t>
      </w:r>
      <w:r w:rsidRPr="00FD40B8">
        <w:rPr>
          <w:color w:val="131727" w:themeColor="text1"/>
          <w:spacing w:val="17"/>
          <w:w w:val="105"/>
          <w:sz w:val="15"/>
        </w:rPr>
        <w:t xml:space="preserve"> </w:t>
      </w:r>
      <w:r w:rsidRPr="00FD40B8">
        <w:rPr>
          <w:color w:val="131727" w:themeColor="text1"/>
          <w:w w:val="105"/>
          <w:sz w:val="15"/>
        </w:rPr>
        <w:t>CRA,</w:t>
      </w:r>
      <w:r w:rsidRPr="00FD40B8">
        <w:rPr>
          <w:color w:val="131727" w:themeColor="text1"/>
          <w:spacing w:val="16"/>
          <w:w w:val="105"/>
          <w:sz w:val="15"/>
        </w:rPr>
        <w:t xml:space="preserve"> </w:t>
      </w:r>
      <w:r w:rsidRPr="00FD40B8">
        <w:rPr>
          <w:color w:val="131727" w:themeColor="text1"/>
          <w:w w:val="105"/>
          <w:sz w:val="15"/>
        </w:rPr>
        <w:t>however</w:t>
      </w:r>
      <w:r w:rsidRPr="00FD40B8">
        <w:rPr>
          <w:color w:val="131727" w:themeColor="text1"/>
          <w:spacing w:val="21"/>
          <w:w w:val="105"/>
          <w:sz w:val="15"/>
        </w:rPr>
        <w:t xml:space="preserve"> </w:t>
      </w:r>
      <w:r w:rsidRPr="00FD40B8">
        <w:rPr>
          <w:color w:val="131727" w:themeColor="text1"/>
          <w:w w:val="105"/>
          <w:sz w:val="15"/>
        </w:rPr>
        <w:t>this</w:t>
      </w:r>
      <w:r w:rsidRPr="00FD40B8">
        <w:rPr>
          <w:color w:val="131727" w:themeColor="text1"/>
          <w:spacing w:val="10"/>
          <w:w w:val="105"/>
          <w:sz w:val="15"/>
        </w:rPr>
        <w:t xml:space="preserve"> </w:t>
      </w:r>
      <w:r w:rsidRPr="00FD40B8">
        <w:rPr>
          <w:color w:val="131727" w:themeColor="text1"/>
          <w:w w:val="105"/>
          <w:sz w:val="15"/>
        </w:rPr>
        <w:t>is</w:t>
      </w:r>
      <w:r w:rsidRPr="00FD40B8">
        <w:rPr>
          <w:color w:val="131727" w:themeColor="text1"/>
          <w:spacing w:val="10"/>
          <w:w w:val="105"/>
          <w:sz w:val="15"/>
        </w:rPr>
        <w:t xml:space="preserve"> </w:t>
      </w:r>
      <w:r w:rsidRPr="00FD40B8">
        <w:rPr>
          <w:color w:val="131727" w:themeColor="text1"/>
          <w:w w:val="105"/>
          <w:sz w:val="15"/>
        </w:rPr>
        <w:t>a</w:t>
      </w:r>
      <w:r w:rsidRPr="00FD40B8">
        <w:rPr>
          <w:color w:val="131727" w:themeColor="text1"/>
          <w:spacing w:val="16"/>
          <w:w w:val="105"/>
          <w:sz w:val="15"/>
        </w:rPr>
        <w:t xml:space="preserve"> </w:t>
      </w:r>
      <w:r w:rsidRPr="00FD40B8">
        <w:rPr>
          <w:color w:val="131727" w:themeColor="text1"/>
          <w:w w:val="105"/>
          <w:sz w:val="15"/>
        </w:rPr>
        <w:t>very</w:t>
      </w:r>
      <w:r w:rsidRPr="00FD40B8">
        <w:rPr>
          <w:color w:val="131727" w:themeColor="text1"/>
          <w:spacing w:val="16"/>
          <w:w w:val="105"/>
          <w:sz w:val="15"/>
        </w:rPr>
        <w:t xml:space="preserve"> </w:t>
      </w:r>
      <w:r w:rsidRPr="00FD40B8">
        <w:rPr>
          <w:color w:val="131727" w:themeColor="text1"/>
          <w:w w:val="105"/>
          <w:sz w:val="15"/>
        </w:rPr>
        <w:t>small</w:t>
      </w:r>
      <w:r w:rsidRPr="00FD40B8">
        <w:rPr>
          <w:color w:val="131727" w:themeColor="text1"/>
          <w:spacing w:val="19"/>
          <w:w w:val="105"/>
          <w:sz w:val="15"/>
        </w:rPr>
        <w:t xml:space="preserve"> </w:t>
      </w:r>
      <w:r w:rsidRPr="00FD40B8">
        <w:rPr>
          <w:color w:val="131727" w:themeColor="text1"/>
          <w:spacing w:val="-2"/>
          <w:w w:val="105"/>
          <w:sz w:val="15"/>
        </w:rPr>
        <w:t>proportion.</w:t>
      </w:r>
    </w:p>
    <w:p w14:paraId="28B5412A" w14:textId="77777777" w:rsidR="00811887" w:rsidRPr="00FD40B8" w:rsidRDefault="00811887" w:rsidP="00811887">
      <w:pPr>
        <w:spacing w:line="182" w:lineRule="exact"/>
        <w:rPr>
          <w:color w:val="131727" w:themeColor="text1"/>
          <w:sz w:val="15"/>
        </w:rPr>
        <w:sectPr w:rsidR="00811887" w:rsidRPr="00FD40B8" w:rsidSect="00811887">
          <w:footerReference w:type="default" r:id="rId74"/>
          <w:pgSz w:w="11910" w:h="16840"/>
          <w:pgMar w:top="1400" w:right="720" w:bottom="1080" w:left="740" w:header="0" w:footer="885" w:gutter="0"/>
          <w:pgNumType w:start="4"/>
          <w:cols w:space="720"/>
        </w:sectPr>
      </w:pPr>
    </w:p>
    <w:p w14:paraId="4C91BB94" w14:textId="77777777" w:rsidR="00811887" w:rsidRPr="00FD40B8" w:rsidRDefault="00811887" w:rsidP="00FB2FE9">
      <w:pPr>
        <w:pStyle w:val="ListParagraph"/>
        <w:widowControl w:val="0"/>
        <w:numPr>
          <w:ilvl w:val="0"/>
          <w:numId w:val="68"/>
        </w:numPr>
        <w:tabs>
          <w:tab w:val="left" w:pos="1228"/>
        </w:tabs>
        <w:autoSpaceDE w:val="0"/>
        <w:autoSpaceDN w:val="0"/>
        <w:spacing w:before="93" w:after="0"/>
        <w:ind w:hanging="360"/>
        <w:contextualSpacing w:val="0"/>
        <w:rPr>
          <w:rFonts w:ascii="Symbol" w:hAnsi="Symbol"/>
          <w:color w:val="131727" w:themeColor="text1"/>
          <w:sz w:val="20"/>
        </w:rPr>
      </w:pPr>
      <w:r w:rsidRPr="00FD40B8">
        <w:rPr>
          <w:color w:val="131727" w:themeColor="text1"/>
          <w:w w:val="110"/>
          <w:sz w:val="20"/>
        </w:rPr>
        <w:lastRenderedPageBreak/>
        <w:t>Options to</w:t>
      </w:r>
      <w:r w:rsidRPr="00FD40B8">
        <w:rPr>
          <w:color w:val="131727" w:themeColor="text1"/>
          <w:spacing w:val="-4"/>
          <w:w w:val="110"/>
          <w:sz w:val="20"/>
        </w:rPr>
        <w:t xml:space="preserve"> </w:t>
      </w:r>
      <w:r w:rsidRPr="00FD40B8">
        <w:rPr>
          <w:color w:val="131727" w:themeColor="text1"/>
          <w:w w:val="110"/>
          <w:sz w:val="20"/>
        </w:rPr>
        <w:t>improve Aboriginal and</w:t>
      </w:r>
      <w:r w:rsidRPr="00FD40B8">
        <w:rPr>
          <w:color w:val="131727" w:themeColor="text1"/>
          <w:spacing w:val="-1"/>
          <w:w w:val="110"/>
          <w:sz w:val="20"/>
        </w:rPr>
        <w:t xml:space="preserve"> </w:t>
      </w:r>
      <w:r w:rsidRPr="00FD40B8">
        <w:rPr>
          <w:color w:val="131727" w:themeColor="text1"/>
          <w:w w:val="110"/>
          <w:sz w:val="20"/>
        </w:rPr>
        <w:t>Torres</w:t>
      </w:r>
      <w:r w:rsidRPr="00FD40B8">
        <w:rPr>
          <w:color w:val="131727" w:themeColor="text1"/>
          <w:spacing w:val="-4"/>
          <w:w w:val="110"/>
          <w:sz w:val="20"/>
        </w:rPr>
        <w:t xml:space="preserve"> </w:t>
      </w:r>
      <w:r w:rsidRPr="00FD40B8">
        <w:rPr>
          <w:color w:val="131727" w:themeColor="text1"/>
          <w:w w:val="110"/>
          <w:sz w:val="20"/>
        </w:rPr>
        <w:t>Strait</w:t>
      </w:r>
      <w:r w:rsidRPr="00FD40B8">
        <w:rPr>
          <w:color w:val="131727" w:themeColor="text1"/>
          <w:spacing w:val="-6"/>
          <w:w w:val="110"/>
          <w:sz w:val="20"/>
        </w:rPr>
        <w:t xml:space="preserve"> </w:t>
      </w:r>
      <w:r w:rsidRPr="00FD40B8">
        <w:rPr>
          <w:color w:val="131727" w:themeColor="text1"/>
          <w:w w:val="110"/>
          <w:sz w:val="20"/>
        </w:rPr>
        <w:t>Islander</w:t>
      </w:r>
      <w:r w:rsidRPr="00FD40B8">
        <w:rPr>
          <w:color w:val="131727" w:themeColor="text1"/>
          <w:spacing w:val="1"/>
          <w:w w:val="110"/>
          <w:sz w:val="20"/>
        </w:rPr>
        <w:t xml:space="preserve"> </w:t>
      </w:r>
      <w:r w:rsidRPr="00FD40B8">
        <w:rPr>
          <w:color w:val="131727" w:themeColor="text1"/>
          <w:w w:val="110"/>
          <w:sz w:val="20"/>
        </w:rPr>
        <w:t>housing</w:t>
      </w:r>
      <w:r w:rsidRPr="00FD40B8">
        <w:rPr>
          <w:color w:val="131727" w:themeColor="text1"/>
          <w:spacing w:val="-6"/>
          <w:w w:val="110"/>
          <w:sz w:val="20"/>
        </w:rPr>
        <w:t xml:space="preserve"> </w:t>
      </w:r>
      <w:r w:rsidRPr="00FD40B8">
        <w:rPr>
          <w:color w:val="131727" w:themeColor="text1"/>
          <w:w w:val="110"/>
          <w:sz w:val="20"/>
        </w:rPr>
        <w:t>data</w:t>
      </w:r>
      <w:r w:rsidRPr="00FD40B8">
        <w:rPr>
          <w:color w:val="131727" w:themeColor="text1"/>
          <w:spacing w:val="-4"/>
          <w:w w:val="110"/>
          <w:sz w:val="20"/>
        </w:rPr>
        <w:t xml:space="preserve"> </w:t>
      </w:r>
      <w:r w:rsidRPr="00FD40B8">
        <w:rPr>
          <w:color w:val="131727" w:themeColor="text1"/>
          <w:spacing w:val="-2"/>
          <w:w w:val="110"/>
          <w:sz w:val="20"/>
        </w:rPr>
        <w:t>collection.</w:t>
      </w:r>
    </w:p>
    <w:p w14:paraId="0DD5F602" w14:textId="77777777" w:rsidR="00811887" w:rsidRPr="00FD40B8" w:rsidRDefault="00811887" w:rsidP="00811887">
      <w:pPr>
        <w:pStyle w:val="BodyText"/>
        <w:spacing w:before="81"/>
        <w:rPr>
          <w:color w:val="131727" w:themeColor="text1"/>
        </w:rPr>
      </w:pPr>
    </w:p>
    <w:p w14:paraId="644B6B03" w14:textId="77777777" w:rsidR="00811887" w:rsidRPr="00FD40B8" w:rsidRDefault="00811887" w:rsidP="00811887">
      <w:pPr>
        <w:pStyle w:val="Heading9"/>
        <w:rPr>
          <w:color w:val="131727" w:themeColor="text1"/>
        </w:rPr>
      </w:pPr>
      <w:bookmarkStart w:id="117" w:name="_bookmark6"/>
      <w:bookmarkEnd w:id="117"/>
      <w:r w:rsidRPr="00FD40B8">
        <w:rPr>
          <w:color w:val="131727" w:themeColor="text1"/>
          <w:w w:val="80"/>
        </w:rPr>
        <w:t>P</w:t>
      </w:r>
      <w:r w:rsidRPr="00FD40B8">
        <w:rPr>
          <w:color w:val="131727" w:themeColor="text1"/>
          <w:spacing w:val="-30"/>
          <w:w w:val="80"/>
        </w:rPr>
        <w:t xml:space="preserve"> </w:t>
      </w:r>
      <w:r w:rsidRPr="00FD40B8">
        <w:rPr>
          <w:color w:val="131727" w:themeColor="text1"/>
          <w:spacing w:val="22"/>
          <w:w w:val="80"/>
        </w:rPr>
        <w:t>ROJEC</w:t>
      </w:r>
      <w:r w:rsidRPr="00FD40B8">
        <w:rPr>
          <w:color w:val="131727" w:themeColor="text1"/>
          <w:spacing w:val="-24"/>
          <w:w w:val="80"/>
        </w:rPr>
        <w:t xml:space="preserve"> </w:t>
      </w:r>
      <w:r w:rsidRPr="00FD40B8">
        <w:rPr>
          <w:color w:val="131727" w:themeColor="text1"/>
          <w:w w:val="80"/>
        </w:rPr>
        <w:t>T</w:t>
      </w:r>
      <w:r w:rsidRPr="00FD40B8">
        <w:rPr>
          <w:color w:val="131727" w:themeColor="text1"/>
          <w:spacing w:val="60"/>
        </w:rPr>
        <w:t xml:space="preserve"> </w:t>
      </w:r>
      <w:r w:rsidRPr="00FD40B8">
        <w:rPr>
          <w:color w:val="131727" w:themeColor="text1"/>
          <w:spacing w:val="21"/>
          <w:w w:val="80"/>
        </w:rPr>
        <w:t>APPR</w:t>
      </w:r>
      <w:r w:rsidRPr="00FD40B8">
        <w:rPr>
          <w:color w:val="131727" w:themeColor="text1"/>
          <w:spacing w:val="-25"/>
          <w:w w:val="80"/>
        </w:rPr>
        <w:t xml:space="preserve"> </w:t>
      </w:r>
      <w:r w:rsidRPr="00FD40B8">
        <w:rPr>
          <w:color w:val="131727" w:themeColor="text1"/>
          <w:spacing w:val="18"/>
          <w:w w:val="80"/>
        </w:rPr>
        <w:t>OAC</w:t>
      </w:r>
      <w:r w:rsidRPr="00FD40B8">
        <w:rPr>
          <w:color w:val="131727" w:themeColor="text1"/>
          <w:spacing w:val="-29"/>
          <w:w w:val="80"/>
        </w:rPr>
        <w:t xml:space="preserve"> </w:t>
      </w:r>
      <w:r w:rsidRPr="00FD40B8">
        <w:rPr>
          <w:color w:val="131727" w:themeColor="text1"/>
          <w:spacing w:val="-10"/>
          <w:w w:val="80"/>
        </w:rPr>
        <w:t>H</w:t>
      </w:r>
    </w:p>
    <w:p w14:paraId="3C554C73" w14:textId="77777777" w:rsidR="00811887" w:rsidRPr="00FD40B8" w:rsidRDefault="00811887" w:rsidP="00811887">
      <w:pPr>
        <w:pStyle w:val="BodyText"/>
        <w:spacing w:before="57" w:line="268" w:lineRule="auto"/>
        <w:ind w:left="508" w:right="598"/>
        <w:rPr>
          <w:color w:val="131727" w:themeColor="text1"/>
        </w:rPr>
      </w:pPr>
      <w:r w:rsidRPr="00FD40B8">
        <w:rPr>
          <w:color w:val="131727" w:themeColor="text1"/>
          <w:w w:val="110"/>
        </w:rPr>
        <w:t>Analysis in the report relied on publicly available data and was completed in the time constraints of the project. In shaping its analysis and recommendations, Equity Economics consulted with the Coalition of Aboriginal and Torres Strait Islander Community-Controlled Peak Organisations (Coalition of Peaks), the Department of Social Services (DSS), the Australian Bureau of Statistics (ABS), the Productivity Commission (PC), the National Indigenous Australians Agency (NIAA), the Australian</w:t>
      </w:r>
      <w:r w:rsidRPr="00FD40B8">
        <w:rPr>
          <w:color w:val="131727" w:themeColor="text1"/>
          <w:spacing w:val="-1"/>
          <w:w w:val="110"/>
        </w:rPr>
        <w:t xml:space="preserve"> </w:t>
      </w:r>
      <w:r w:rsidRPr="00FD40B8">
        <w:rPr>
          <w:color w:val="131727" w:themeColor="text1"/>
          <w:w w:val="110"/>
        </w:rPr>
        <w:t>Institute</w:t>
      </w:r>
      <w:r w:rsidRPr="00FD40B8">
        <w:rPr>
          <w:color w:val="131727" w:themeColor="text1"/>
          <w:spacing w:val="-2"/>
          <w:w w:val="110"/>
        </w:rPr>
        <w:t xml:space="preserve"> </w:t>
      </w:r>
      <w:r w:rsidRPr="00FD40B8">
        <w:rPr>
          <w:color w:val="131727" w:themeColor="text1"/>
          <w:w w:val="110"/>
        </w:rPr>
        <w:t>of Health and</w:t>
      </w:r>
      <w:r w:rsidRPr="00FD40B8">
        <w:rPr>
          <w:color w:val="131727" w:themeColor="text1"/>
          <w:spacing w:val="-1"/>
          <w:w w:val="110"/>
        </w:rPr>
        <w:t xml:space="preserve"> </w:t>
      </w:r>
      <w:r w:rsidRPr="00FD40B8">
        <w:rPr>
          <w:color w:val="131727" w:themeColor="text1"/>
          <w:w w:val="110"/>
        </w:rPr>
        <w:t>Welfare (AIHW), and</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1"/>
          <w:w w:val="110"/>
        </w:rPr>
        <w:t xml:space="preserve"> </w:t>
      </w:r>
      <w:r w:rsidRPr="00FD40B8">
        <w:rPr>
          <w:color w:val="131727" w:themeColor="text1"/>
          <w:w w:val="110"/>
        </w:rPr>
        <w:t>Department</w:t>
      </w:r>
      <w:r w:rsidRPr="00FD40B8">
        <w:rPr>
          <w:color w:val="131727" w:themeColor="text1"/>
          <w:spacing w:val="-1"/>
          <w:w w:val="110"/>
        </w:rPr>
        <w:t xml:space="preserve"> </w:t>
      </w:r>
      <w:r w:rsidRPr="00FD40B8">
        <w:rPr>
          <w:color w:val="131727" w:themeColor="text1"/>
          <w:w w:val="110"/>
        </w:rPr>
        <w:t>of Infrastructure, Transport,</w:t>
      </w:r>
      <w:r w:rsidRPr="00FD40B8">
        <w:rPr>
          <w:color w:val="131727" w:themeColor="text1"/>
          <w:spacing w:val="-1"/>
          <w:w w:val="110"/>
        </w:rPr>
        <w:t xml:space="preserve"> </w:t>
      </w:r>
      <w:r w:rsidRPr="00FD40B8">
        <w:rPr>
          <w:color w:val="131727" w:themeColor="text1"/>
          <w:w w:val="110"/>
        </w:rPr>
        <w:t>Regional Development, Communications, and the Arts (DITRDCA). The National Aboriginal and Torres Strait Islander Housing Association</w:t>
      </w:r>
      <w:r w:rsidRPr="00FD40B8">
        <w:rPr>
          <w:color w:val="131727" w:themeColor="text1"/>
          <w:spacing w:val="-6"/>
          <w:w w:val="110"/>
        </w:rPr>
        <w:t xml:space="preserve"> </w:t>
      </w:r>
      <w:r w:rsidRPr="00FD40B8">
        <w:rPr>
          <w:color w:val="131727" w:themeColor="text1"/>
          <w:w w:val="110"/>
        </w:rPr>
        <w:t>(NATSIHA)</w:t>
      </w:r>
      <w:r w:rsidRPr="00FD40B8">
        <w:rPr>
          <w:color w:val="131727" w:themeColor="text1"/>
          <w:spacing w:val="-6"/>
          <w:w w:val="110"/>
        </w:rPr>
        <w:t xml:space="preserve"> </w:t>
      </w:r>
      <w:r w:rsidRPr="00FD40B8">
        <w:rPr>
          <w:color w:val="131727" w:themeColor="text1"/>
          <w:w w:val="110"/>
        </w:rPr>
        <w:t>were</w:t>
      </w:r>
      <w:r w:rsidRPr="00FD40B8">
        <w:rPr>
          <w:color w:val="131727" w:themeColor="text1"/>
          <w:spacing w:val="-7"/>
          <w:w w:val="110"/>
        </w:rPr>
        <w:t xml:space="preserve"> </w:t>
      </w:r>
      <w:r w:rsidRPr="00FD40B8">
        <w:rPr>
          <w:color w:val="131727" w:themeColor="text1"/>
          <w:w w:val="110"/>
        </w:rPr>
        <w:t>invited</w:t>
      </w:r>
      <w:r w:rsidRPr="00FD40B8">
        <w:rPr>
          <w:color w:val="131727" w:themeColor="text1"/>
          <w:spacing w:val="-7"/>
          <w:w w:val="110"/>
        </w:rPr>
        <w:t xml:space="preserve"> </w:t>
      </w:r>
      <w:r w:rsidRPr="00FD40B8">
        <w:rPr>
          <w:color w:val="131727" w:themeColor="text1"/>
          <w:w w:val="110"/>
        </w:rPr>
        <w:t>to</w:t>
      </w:r>
      <w:r w:rsidRPr="00FD40B8">
        <w:rPr>
          <w:color w:val="131727" w:themeColor="text1"/>
          <w:spacing w:val="-6"/>
          <w:w w:val="110"/>
        </w:rPr>
        <w:t xml:space="preserve"> </w:t>
      </w:r>
      <w:r w:rsidRPr="00FD40B8">
        <w:rPr>
          <w:color w:val="131727" w:themeColor="text1"/>
          <w:w w:val="110"/>
        </w:rPr>
        <w:t>participate</w:t>
      </w:r>
      <w:r w:rsidRPr="00FD40B8">
        <w:rPr>
          <w:color w:val="131727" w:themeColor="text1"/>
          <w:spacing w:val="-9"/>
          <w:w w:val="110"/>
        </w:rPr>
        <w:t xml:space="preserve"> </w:t>
      </w:r>
      <w:r w:rsidRPr="00FD40B8">
        <w:rPr>
          <w:color w:val="131727" w:themeColor="text1"/>
          <w:w w:val="110"/>
        </w:rPr>
        <w:t>but</w:t>
      </w:r>
      <w:r w:rsidRPr="00FD40B8">
        <w:rPr>
          <w:color w:val="131727" w:themeColor="text1"/>
          <w:spacing w:val="-11"/>
          <w:w w:val="110"/>
        </w:rPr>
        <w:t xml:space="preserve"> </w:t>
      </w:r>
      <w:r w:rsidRPr="00FD40B8">
        <w:rPr>
          <w:color w:val="131727" w:themeColor="text1"/>
          <w:w w:val="110"/>
        </w:rPr>
        <w:t>did</w:t>
      </w:r>
      <w:r w:rsidRPr="00FD40B8">
        <w:rPr>
          <w:color w:val="131727" w:themeColor="text1"/>
          <w:spacing w:val="-7"/>
          <w:w w:val="110"/>
        </w:rPr>
        <w:t xml:space="preserve"> </w:t>
      </w:r>
      <w:r w:rsidRPr="00FD40B8">
        <w:rPr>
          <w:color w:val="131727" w:themeColor="text1"/>
          <w:w w:val="110"/>
        </w:rPr>
        <w:t>not</w:t>
      </w:r>
      <w:r w:rsidRPr="00FD40B8">
        <w:rPr>
          <w:color w:val="131727" w:themeColor="text1"/>
          <w:spacing w:val="-7"/>
          <w:w w:val="110"/>
        </w:rPr>
        <w:t xml:space="preserve"> </w:t>
      </w:r>
      <w:r w:rsidRPr="00FD40B8">
        <w:rPr>
          <w:color w:val="131727" w:themeColor="text1"/>
          <w:w w:val="110"/>
        </w:rPr>
        <w:t>make</w:t>
      </w:r>
      <w:r w:rsidRPr="00FD40B8">
        <w:rPr>
          <w:color w:val="131727" w:themeColor="text1"/>
          <w:spacing w:val="-11"/>
          <w:w w:val="110"/>
        </w:rPr>
        <w:t xml:space="preserve"> </w:t>
      </w:r>
      <w:r w:rsidRPr="00FD40B8">
        <w:rPr>
          <w:color w:val="131727" w:themeColor="text1"/>
          <w:w w:val="110"/>
        </w:rPr>
        <w:t>themselves</w:t>
      </w:r>
      <w:r w:rsidRPr="00FD40B8">
        <w:rPr>
          <w:color w:val="131727" w:themeColor="text1"/>
          <w:spacing w:val="-6"/>
          <w:w w:val="110"/>
        </w:rPr>
        <w:t xml:space="preserve"> </w:t>
      </w:r>
      <w:r w:rsidRPr="00FD40B8">
        <w:rPr>
          <w:color w:val="131727" w:themeColor="text1"/>
          <w:w w:val="110"/>
        </w:rPr>
        <w:t>available.</w:t>
      </w:r>
      <w:r w:rsidRPr="00FD40B8">
        <w:rPr>
          <w:color w:val="131727" w:themeColor="text1"/>
          <w:spacing w:val="-11"/>
          <w:w w:val="110"/>
        </w:rPr>
        <w:t xml:space="preserve"> </w:t>
      </w:r>
      <w:r w:rsidRPr="00FD40B8">
        <w:rPr>
          <w:color w:val="131727" w:themeColor="text1"/>
          <w:w w:val="110"/>
        </w:rPr>
        <w:t>See</w:t>
      </w:r>
      <w:r w:rsidRPr="00FD40B8">
        <w:rPr>
          <w:color w:val="131727" w:themeColor="text1"/>
          <w:spacing w:val="-7"/>
          <w:w w:val="110"/>
        </w:rPr>
        <w:t xml:space="preserve"> </w:t>
      </w:r>
      <w:r w:rsidRPr="00FD40B8">
        <w:rPr>
          <w:color w:val="131727" w:themeColor="text1"/>
          <w:w w:val="110"/>
        </w:rPr>
        <w:t>Appendix</w:t>
      </w:r>
      <w:r w:rsidRPr="00FD40B8">
        <w:rPr>
          <w:color w:val="131727" w:themeColor="text1"/>
          <w:spacing w:val="-7"/>
          <w:w w:val="110"/>
        </w:rPr>
        <w:t xml:space="preserve"> </w:t>
      </w:r>
      <w:r w:rsidRPr="00FD40B8">
        <w:rPr>
          <w:color w:val="131727" w:themeColor="text1"/>
          <w:w w:val="110"/>
        </w:rPr>
        <w:t>A for a list of those consulted.</w:t>
      </w:r>
    </w:p>
    <w:p w14:paraId="2F62A302" w14:textId="77777777" w:rsidR="00811887" w:rsidRDefault="00811887" w:rsidP="00811887">
      <w:pPr>
        <w:pStyle w:val="BodyText"/>
        <w:spacing w:before="113" w:line="268" w:lineRule="auto"/>
        <w:ind w:left="508" w:right="598"/>
        <w:rPr>
          <w:color w:val="131727" w:themeColor="text1"/>
          <w:spacing w:val="-2"/>
          <w:w w:val="110"/>
        </w:rPr>
      </w:pPr>
      <w:r w:rsidRPr="00FD40B8">
        <w:rPr>
          <w:color w:val="131727" w:themeColor="text1"/>
          <w:w w:val="110"/>
        </w:rPr>
        <w:t>An</w:t>
      </w:r>
      <w:r w:rsidRPr="00FD40B8">
        <w:rPr>
          <w:color w:val="131727" w:themeColor="text1"/>
          <w:spacing w:val="-1"/>
          <w:w w:val="110"/>
        </w:rPr>
        <w:t xml:space="preserve"> </w:t>
      </w:r>
      <w:r w:rsidRPr="00FD40B8">
        <w:rPr>
          <w:color w:val="131727" w:themeColor="text1"/>
          <w:w w:val="110"/>
        </w:rPr>
        <w:t>interim</w:t>
      </w:r>
      <w:r w:rsidRPr="00FD40B8">
        <w:rPr>
          <w:color w:val="131727" w:themeColor="text1"/>
          <w:spacing w:val="-6"/>
          <w:w w:val="110"/>
        </w:rPr>
        <w:t xml:space="preserve"> </w:t>
      </w:r>
      <w:r w:rsidRPr="00FD40B8">
        <w:rPr>
          <w:color w:val="131727" w:themeColor="text1"/>
          <w:w w:val="110"/>
        </w:rPr>
        <w:t>report</w:t>
      </w:r>
      <w:r w:rsidRPr="00FD40B8">
        <w:rPr>
          <w:color w:val="131727" w:themeColor="text1"/>
          <w:spacing w:val="-2"/>
          <w:w w:val="110"/>
        </w:rPr>
        <w:t xml:space="preserve"> </w:t>
      </w:r>
      <w:r w:rsidRPr="00FD40B8">
        <w:rPr>
          <w:color w:val="131727" w:themeColor="text1"/>
          <w:w w:val="110"/>
        </w:rPr>
        <w:t>was provided</w:t>
      </w:r>
      <w:r w:rsidRPr="00FD40B8">
        <w:rPr>
          <w:color w:val="131727" w:themeColor="text1"/>
          <w:spacing w:val="-6"/>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Committee</w:t>
      </w:r>
      <w:r w:rsidRPr="00FD40B8">
        <w:rPr>
          <w:color w:val="131727" w:themeColor="text1"/>
          <w:spacing w:val="-7"/>
          <w:w w:val="110"/>
        </w:rPr>
        <w:t xml:space="preserve"> </w:t>
      </w:r>
      <w:r w:rsidRPr="00FD40B8">
        <w:rPr>
          <w:color w:val="131727" w:themeColor="text1"/>
          <w:w w:val="110"/>
        </w:rPr>
        <w:t>on</w:t>
      </w:r>
      <w:r w:rsidRPr="00FD40B8">
        <w:rPr>
          <w:color w:val="131727" w:themeColor="text1"/>
          <w:spacing w:val="-1"/>
          <w:w w:val="110"/>
        </w:rPr>
        <w:t xml:space="preserve"> </w:t>
      </w:r>
      <w:r w:rsidRPr="00FD40B8">
        <w:rPr>
          <w:color w:val="131727" w:themeColor="text1"/>
          <w:w w:val="110"/>
        </w:rPr>
        <w:t>26</w:t>
      </w:r>
      <w:r w:rsidRPr="00FD40B8">
        <w:rPr>
          <w:color w:val="131727" w:themeColor="text1"/>
          <w:spacing w:val="-2"/>
          <w:w w:val="110"/>
        </w:rPr>
        <w:t xml:space="preserve"> </w:t>
      </w:r>
      <w:r w:rsidRPr="00FD40B8">
        <w:rPr>
          <w:color w:val="131727" w:themeColor="text1"/>
          <w:w w:val="110"/>
        </w:rPr>
        <w:t>February</w:t>
      </w:r>
      <w:r w:rsidRPr="00FD40B8">
        <w:rPr>
          <w:color w:val="131727" w:themeColor="text1"/>
          <w:spacing w:val="-4"/>
          <w:w w:val="110"/>
        </w:rPr>
        <w:t xml:space="preserve"> </w:t>
      </w:r>
      <w:r w:rsidRPr="00FD40B8">
        <w:rPr>
          <w:color w:val="131727" w:themeColor="text1"/>
          <w:w w:val="110"/>
        </w:rPr>
        <w:t>2024</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inform their</w:t>
      </w:r>
      <w:r w:rsidRPr="00FD40B8">
        <w:rPr>
          <w:color w:val="131727" w:themeColor="text1"/>
          <w:spacing w:val="-7"/>
          <w:w w:val="110"/>
        </w:rPr>
        <w:t xml:space="preserve"> </w:t>
      </w:r>
      <w:r w:rsidRPr="00FD40B8">
        <w:rPr>
          <w:color w:val="131727" w:themeColor="text1"/>
          <w:w w:val="110"/>
        </w:rPr>
        <w:t xml:space="preserve">ongoing </w:t>
      </w:r>
      <w:r w:rsidRPr="00FD40B8">
        <w:rPr>
          <w:color w:val="131727" w:themeColor="text1"/>
          <w:spacing w:val="-2"/>
          <w:w w:val="110"/>
        </w:rPr>
        <w:t>deliberations.</w:t>
      </w:r>
    </w:p>
    <w:p w14:paraId="76144549" w14:textId="77777777" w:rsidR="00811887" w:rsidRPr="00D84FC3" w:rsidRDefault="00811887" w:rsidP="00811887">
      <w:pPr>
        <w:pStyle w:val="BodyText"/>
        <w:spacing w:before="240" w:line="269" w:lineRule="auto"/>
        <w:ind w:left="567" w:right="567"/>
        <w:rPr>
          <w:color w:val="131727" w:themeColor="text1"/>
        </w:rPr>
      </w:pPr>
      <w:r>
        <w:rPr>
          <w:noProof/>
          <w14:ligatures w14:val="standardContextual"/>
        </w:rPr>
        <mc:AlternateContent>
          <mc:Choice Requires="wps">
            <w:drawing>
              <wp:anchor distT="0" distB="0" distL="114300" distR="114300" simplePos="0" relativeHeight="251786240" behindDoc="1" locked="0" layoutInCell="1" allowOverlap="1" wp14:anchorId="580F8171" wp14:editId="65E5A49D">
                <wp:simplePos x="0" y="0"/>
                <wp:positionH relativeFrom="page">
                  <wp:posOffset>783771</wp:posOffset>
                </wp:positionH>
                <wp:positionV relativeFrom="paragraph">
                  <wp:posOffset>82286</wp:posOffset>
                </wp:positionV>
                <wp:extent cx="5997039" cy="1425039"/>
                <wp:effectExtent l="0" t="0" r="3810" b="3810"/>
                <wp:wrapNone/>
                <wp:docPr id="2139755872"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97039" cy="1425039"/>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D2CB8" id="Rectangle 3" o:spid="_x0000_s1026" alt="&quot;&quot;" style="position:absolute;margin-left:61.7pt;margin-top:6.5pt;width:472.2pt;height:112.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" fillcolor="#cfdfdd" stroked="f" strokeweight=".5pt">
                <w10:wrap anchorx="page"/>
              </v:rect>
            </w:pict>
          </mc:Fallback>
        </mc:AlternateContent>
      </w:r>
      <w:r w:rsidRPr="00D84FC3">
        <w:rPr>
          <w:color w:val="131727" w:themeColor="text1"/>
        </w:rPr>
        <w:t>While finalising this report, on 12 March 2024, the Australian and Northern Territory (NT) governments announced a jointly funded $4 billion ten-year project that aims to build up to 270 houses annually in remote Aboriginal communities and halve overcrowding in the NT. Also providing support for repairs and maintenance, the project will be supported by a Partnership Agreement between the Australian and Northern Territory governments and Aboriginal Housing NT.4</w:t>
      </w:r>
    </w:p>
    <w:p w14:paraId="02B2FF41" w14:textId="77777777" w:rsidR="00811887" w:rsidRPr="00FD40B8" w:rsidRDefault="00811887" w:rsidP="00811887">
      <w:pPr>
        <w:pStyle w:val="BodyText"/>
        <w:spacing w:before="113" w:line="268" w:lineRule="auto"/>
        <w:ind w:left="567" w:right="567"/>
        <w:rPr>
          <w:color w:val="131727" w:themeColor="text1"/>
        </w:rPr>
      </w:pPr>
      <w:r w:rsidRPr="00D84FC3">
        <w:rPr>
          <w:color w:val="131727" w:themeColor="text1"/>
        </w:rPr>
        <w:t>This announcement is around double that of the previous five years and has implications for the analysis, particularly whether existing efforts by Australian governments to increase supply are likely to meet demand.</w:t>
      </w:r>
    </w:p>
    <w:p w14:paraId="27F70C4C" w14:textId="77777777" w:rsidR="00811887" w:rsidRPr="00FD40B8" w:rsidRDefault="00811887" w:rsidP="00811887">
      <w:pPr>
        <w:pStyle w:val="BodyText"/>
        <w:spacing w:before="9"/>
        <w:rPr>
          <w:color w:val="131727" w:themeColor="text1"/>
          <w:sz w:val="5"/>
        </w:rPr>
      </w:pPr>
    </w:p>
    <w:p w14:paraId="4B9F957B" w14:textId="77777777" w:rsidR="00811887" w:rsidRPr="00FD40B8" w:rsidRDefault="00811887" w:rsidP="00811887">
      <w:pPr>
        <w:pStyle w:val="BodyText"/>
        <w:spacing w:before="145" w:line="264" w:lineRule="auto"/>
        <w:ind w:left="508" w:right="598"/>
        <w:rPr>
          <w:color w:val="131727" w:themeColor="text1"/>
          <w:sz w:val="13"/>
        </w:rPr>
      </w:pPr>
      <w:r w:rsidRPr="00FD40B8">
        <w:rPr>
          <w:color w:val="131727" w:themeColor="text1"/>
          <w:w w:val="110"/>
        </w:rPr>
        <w:t>For</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purposes</w:t>
      </w:r>
      <w:r w:rsidRPr="00FD40B8">
        <w:rPr>
          <w:color w:val="131727" w:themeColor="text1"/>
          <w:spacing w:val="-2"/>
          <w:w w:val="110"/>
        </w:rPr>
        <w:t xml:space="preserve"> </w:t>
      </w:r>
      <w:r w:rsidRPr="00FD40B8">
        <w:rPr>
          <w:color w:val="131727" w:themeColor="text1"/>
          <w:w w:val="110"/>
        </w:rPr>
        <w:t>of this report, we</w:t>
      </w:r>
      <w:r w:rsidRPr="00FD40B8">
        <w:rPr>
          <w:color w:val="131727" w:themeColor="text1"/>
          <w:spacing w:val="-4"/>
          <w:w w:val="110"/>
        </w:rPr>
        <w:t xml:space="preserve"> </w:t>
      </w:r>
      <w:r w:rsidRPr="00FD40B8">
        <w:rPr>
          <w:color w:val="131727" w:themeColor="text1"/>
          <w:w w:val="110"/>
        </w:rPr>
        <w:t>use</w:t>
      </w:r>
      <w:r w:rsidRPr="00FD40B8">
        <w:rPr>
          <w:color w:val="131727" w:themeColor="text1"/>
          <w:spacing w:val="-4"/>
          <w:w w:val="110"/>
        </w:rPr>
        <w:t xml:space="preserve"> </w:t>
      </w:r>
      <w:r w:rsidRPr="00FD40B8">
        <w:rPr>
          <w:color w:val="131727" w:themeColor="text1"/>
          <w:w w:val="110"/>
        </w:rPr>
        <w:t>the term ‘social</w:t>
      </w:r>
      <w:r w:rsidRPr="00FD40B8">
        <w:rPr>
          <w:color w:val="131727" w:themeColor="text1"/>
          <w:spacing w:val="-2"/>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encompass</w:t>
      </w:r>
      <w:r w:rsidRPr="00FD40B8">
        <w:rPr>
          <w:color w:val="131727" w:themeColor="text1"/>
          <w:spacing w:val="-2"/>
          <w:w w:val="110"/>
        </w:rPr>
        <w:t xml:space="preserve"> </w:t>
      </w:r>
      <w:r w:rsidRPr="00FD40B8">
        <w:rPr>
          <w:color w:val="131727" w:themeColor="text1"/>
          <w:w w:val="110"/>
        </w:rPr>
        <w:t>public housing managed by the relevant state or territory government housing authority and community housing managed by community housing providers including Indigenous providers. While we recognise there is no agreed definition of what it means to be homeless, we have adopted</w:t>
      </w:r>
      <w:r w:rsidRPr="00FD40B8">
        <w:rPr>
          <w:color w:val="131727" w:themeColor="text1"/>
          <w:spacing w:val="-1"/>
          <w:w w:val="110"/>
        </w:rPr>
        <w:t xml:space="preserve"> </w:t>
      </w:r>
      <w:r w:rsidRPr="00FD40B8">
        <w:rPr>
          <w:color w:val="131727" w:themeColor="text1"/>
          <w:w w:val="110"/>
        </w:rPr>
        <w:t>the ABS definition for this report</w:t>
      </w:r>
      <w:hyperlink w:anchor="_bookmark8" w:history="1">
        <w:r w:rsidRPr="00FD40B8">
          <w:rPr>
            <w:color w:val="131727" w:themeColor="text1"/>
            <w:w w:val="110"/>
          </w:rPr>
          <w:t>.</w:t>
        </w:r>
        <w:r w:rsidRPr="00FD40B8">
          <w:rPr>
            <w:color w:val="131727" w:themeColor="text1"/>
            <w:w w:val="110"/>
            <w:position w:val="8"/>
            <w:sz w:val="13"/>
          </w:rPr>
          <w:t>5</w:t>
        </w:r>
      </w:hyperlink>
    </w:p>
    <w:p w14:paraId="4436604E" w14:textId="77777777" w:rsidR="00811887" w:rsidRPr="00FD40B8" w:rsidRDefault="00811887" w:rsidP="00811887">
      <w:pPr>
        <w:pStyle w:val="BodyText"/>
        <w:rPr>
          <w:color w:val="131727" w:themeColor="text1"/>
        </w:rPr>
      </w:pPr>
    </w:p>
    <w:p w14:paraId="75197B41" w14:textId="77777777" w:rsidR="00811887" w:rsidRPr="00FD40B8" w:rsidRDefault="00811887" w:rsidP="00811887">
      <w:pPr>
        <w:pStyle w:val="BodyText"/>
        <w:rPr>
          <w:color w:val="131727" w:themeColor="text1"/>
        </w:rPr>
      </w:pPr>
    </w:p>
    <w:p w14:paraId="6D9A7488" w14:textId="77777777" w:rsidR="00811887" w:rsidRPr="00FD40B8" w:rsidRDefault="00811887" w:rsidP="00811887">
      <w:pPr>
        <w:pStyle w:val="BodyText"/>
        <w:rPr>
          <w:color w:val="131727" w:themeColor="text1"/>
        </w:rPr>
      </w:pPr>
    </w:p>
    <w:p w14:paraId="5975726D" w14:textId="77777777" w:rsidR="00811887" w:rsidRPr="00FD40B8" w:rsidRDefault="00811887" w:rsidP="00811887">
      <w:pPr>
        <w:pStyle w:val="BodyText"/>
        <w:rPr>
          <w:color w:val="131727" w:themeColor="text1"/>
        </w:rPr>
      </w:pPr>
    </w:p>
    <w:p w14:paraId="09B3A488" w14:textId="77777777" w:rsidR="00811887" w:rsidRPr="00FD40B8" w:rsidRDefault="00811887" w:rsidP="00811887">
      <w:pPr>
        <w:pStyle w:val="BodyText"/>
        <w:rPr>
          <w:color w:val="131727" w:themeColor="text1"/>
        </w:rPr>
      </w:pPr>
    </w:p>
    <w:p w14:paraId="4BBB9C38" w14:textId="77777777" w:rsidR="00811887" w:rsidRPr="00FD40B8" w:rsidRDefault="00811887" w:rsidP="00811887">
      <w:pPr>
        <w:pStyle w:val="BodyText"/>
        <w:rPr>
          <w:color w:val="131727" w:themeColor="text1"/>
        </w:rPr>
      </w:pPr>
    </w:p>
    <w:p w14:paraId="7764EDA0" w14:textId="77777777" w:rsidR="00811887" w:rsidRPr="00FD40B8" w:rsidRDefault="00811887" w:rsidP="00811887">
      <w:pPr>
        <w:pStyle w:val="BodyText"/>
        <w:rPr>
          <w:color w:val="131727" w:themeColor="text1"/>
        </w:rPr>
      </w:pPr>
    </w:p>
    <w:p w14:paraId="75FD18CB" w14:textId="77777777" w:rsidR="00811887" w:rsidRPr="00FD40B8" w:rsidRDefault="00811887" w:rsidP="00811887">
      <w:pPr>
        <w:pStyle w:val="BodyText"/>
        <w:rPr>
          <w:color w:val="131727" w:themeColor="text1"/>
        </w:rPr>
      </w:pPr>
    </w:p>
    <w:p w14:paraId="09AD25C0" w14:textId="77777777" w:rsidR="00811887" w:rsidRPr="00FD40B8" w:rsidRDefault="00811887" w:rsidP="00811887">
      <w:pPr>
        <w:pStyle w:val="BodyText"/>
        <w:rPr>
          <w:color w:val="131727" w:themeColor="text1"/>
        </w:rPr>
      </w:pPr>
    </w:p>
    <w:p w14:paraId="528DEFEB" w14:textId="77777777" w:rsidR="00811887" w:rsidRPr="00FD40B8" w:rsidRDefault="00811887" w:rsidP="00811887">
      <w:pPr>
        <w:pStyle w:val="BodyText"/>
        <w:rPr>
          <w:color w:val="131727" w:themeColor="text1"/>
        </w:rPr>
      </w:pPr>
    </w:p>
    <w:p w14:paraId="2A39FAEA" w14:textId="77777777" w:rsidR="00811887" w:rsidRPr="00FD40B8" w:rsidRDefault="00811887" w:rsidP="00811887">
      <w:pPr>
        <w:pStyle w:val="BodyText"/>
        <w:rPr>
          <w:color w:val="131727" w:themeColor="text1"/>
        </w:rPr>
      </w:pPr>
    </w:p>
    <w:p w14:paraId="0D5BB61B" w14:textId="77777777" w:rsidR="00811887" w:rsidRPr="00FD40B8" w:rsidRDefault="00811887" w:rsidP="00811887">
      <w:pPr>
        <w:pStyle w:val="BodyText"/>
        <w:rPr>
          <w:color w:val="131727" w:themeColor="text1"/>
        </w:rPr>
      </w:pPr>
    </w:p>
    <w:p w14:paraId="1265EE25" w14:textId="77777777" w:rsidR="00811887" w:rsidRPr="00FD40B8" w:rsidRDefault="00811887" w:rsidP="00811887">
      <w:pPr>
        <w:pStyle w:val="BodyText"/>
        <w:rPr>
          <w:color w:val="131727" w:themeColor="text1"/>
        </w:rPr>
      </w:pPr>
    </w:p>
    <w:p w14:paraId="6B6DCE17" w14:textId="77777777" w:rsidR="00811887" w:rsidRPr="00FD40B8" w:rsidRDefault="00811887" w:rsidP="00811887">
      <w:pPr>
        <w:pStyle w:val="BodyText"/>
        <w:rPr>
          <w:color w:val="131727" w:themeColor="text1"/>
        </w:rPr>
      </w:pPr>
    </w:p>
    <w:p w14:paraId="6E884196" w14:textId="77777777" w:rsidR="00811887" w:rsidRPr="00FD40B8" w:rsidRDefault="00811887" w:rsidP="00811887">
      <w:pPr>
        <w:pStyle w:val="BodyText"/>
        <w:rPr>
          <w:color w:val="131727" w:themeColor="text1"/>
        </w:rPr>
      </w:pPr>
    </w:p>
    <w:p w14:paraId="7C4913CB" w14:textId="77777777" w:rsidR="00811887" w:rsidRPr="00FD40B8" w:rsidRDefault="00811887" w:rsidP="00811887">
      <w:pPr>
        <w:pStyle w:val="BodyText"/>
        <w:spacing w:before="27"/>
        <w:rPr>
          <w:color w:val="131727" w:themeColor="text1"/>
        </w:rPr>
      </w:pPr>
      <w:r w:rsidRPr="00FD40B8">
        <w:rPr>
          <w:noProof/>
          <w:color w:val="131727" w:themeColor="text1"/>
        </w:rPr>
        <mc:AlternateContent>
          <mc:Choice Requires="wps">
            <w:drawing>
              <wp:anchor distT="0" distB="0" distL="0" distR="0" simplePos="0" relativeHeight="251731968" behindDoc="1" locked="0" layoutInCell="1" allowOverlap="1" wp14:anchorId="35E90FB3" wp14:editId="490C18BF">
                <wp:simplePos x="0" y="0"/>
                <wp:positionH relativeFrom="page">
                  <wp:posOffset>792784</wp:posOffset>
                </wp:positionH>
                <wp:positionV relativeFrom="paragraph">
                  <wp:posOffset>187656</wp:posOffset>
                </wp:positionV>
                <wp:extent cx="1830070" cy="6350"/>
                <wp:effectExtent l="0" t="0" r="0" b="0"/>
                <wp:wrapTopAndBottom/>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15147" id="Graphic 118" o:spid="_x0000_s1026" alt="&quot;&quot;" style="position:absolute;margin-left:62.4pt;margin-top:14.8pt;width:144.1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" path="m1829689,l,,,6095r1829689,l1829689,xe" fillcolor="black" stroked="f">
                <v:path arrowok="t"/>
                <w10:wrap type="topAndBottom" anchorx="page"/>
              </v:shape>
            </w:pict>
          </mc:Fallback>
        </mc:AlternateContent>
      </w:r>
    </w:p>
    <w:p w14:paraId="1A896023" w14:textId="77777777" w:rsidR="00811887" w:rsidRPr="00FD40B8" w:rsidRDefault="00811887" w:rsidP="00811887">
      <w:pPr>
        <w:spacing w:before="123" w:line="266" w:lineRule="auto"/>
        <w:ind w:left="508" w:right="695"/>
        <w:rPr>
          <w:color w:val="131727" w:themeColor="text1"/>
          <w:sz w:val="16"/>
        </w:rPr>
      </w:pPr>
      <w:bookmarkStart w:id="118" w:name="_bookmark7"/>
      <w:bookmarkEnd w:id="118"/>
      <w:r w:rsidRPr="00FD40B8">
        <w:rPr>
          <w:color w:val="131727" w:themeColor="text1"/>
          <w:w w:val="105"/>
          <w:position w:val="6"/>
          <w:sz w:val="10"/>
        </w:rPr>
        <w:t>4</w:t>
      </w:r>
      <w:r w:rsidRPr="00FD40B8">
        <w:rPr>
          <w:color w:val="131727" w:themeColor="text1"/>
          <w:spacing w:val="31"/>
          <w:w w:val="105"/>
          <w:position w:val="6"/>
          <w:sz w:val="10"/>
        </w:rPr>
        <w:t xml:space="preserve"> </w:t>
      </w:r>
      <w:r w:rsidRPr="00FD40B8">
        <w:rPr>
          <w:color w:val="131727" w:themeColor="text1"/>
          <w:w w:val="105"/>
          <w:sz w:val="16"/>
        </w:rPr>
        <w:t>Prime</w:t>
      </w:r>
      <w:r w:rsidRPr="00FD40B8">
        <w:rPr>
          <w:color w:val="131727" w:themeColor="text1"/>
          <w:spacing w:val="16"/>
          <w:w w:val="105"/>
          <w:sz w:val="16"/>
        </w:rPr>
        <w:t xml:space="preserve"> </w:t>
      </w:r>
      <w:r w:rsidRPr="00FD40B8">
        <w:rPr>
          <w:color w:val="131727" w:themeColor="text1"/>
          <w:w w:val="105"/>
          <w:sz w:val="16"/>
        </w:rPr>
        <w:t>Minister</w:t>
      </w:r>
      <w:r w:rsidRPr="00FD40B8">
        <w:rPr>
          <w:color w:val="131727" w:themeColor="text1"/>
          <w:spacing w:val="24"/>
          <w:w w:val="105"/>
          <w:sz w:val="16"/>
        </w:rPr>
        <w:t xml:space="preserve"> </w:t>
      </w:r>
      <w:r w:rsidRPr="00FD40B8">
        <w:rPr>
          <w:color w:val="131727" w:themeColor="text1"/>
          <w:w w:val="105"/>
          <w:sz w:val="16"/>
        </w:rPr>
        <w:t>of</w:t>
      </w:r>
      <w:r w:rsidRPr="00FD40B8">
        <w:rPr>
          <w:color w:val="131727" w:themeColor="text1"/>
          <w:spacing w:val="17"/>
          <w:w w:val="105"/>
          <w:sz w:val="16"/>
        </w:rPr>
        <w:t xml:space="preserve"> </w:t>
      </w:r>
      <w:r w:rsidRPr="00FD40B8">
        <w:rPr>
          <w:color w:val="131727" w:themeColor="text1"/>
          <w:w w:val="105"/>
          <w:sz w:val="16"/>
        </w:rPr>
        <w:t>Australia</w:t>
      </w:r>
      <w:r w:rsidRPr="00FD40B8">
        <w:rPr>
          <w:color w:val="131727" w:themeColor="text1"/>
          <w:spacing w:val="24"/>
          <w:w w:val="105"/>
          <w:sz w:val="16"/>
        </w:rPr>
        <w:t xml:space="preserve"> </w:t>
      </w:r>
      <w:r w:rsidRPr="00FD40B8">
        <w:rPr>
          <w:color w:val="131727" w:themeColor="text1"/>
          <w:w w:val="105"/>
          <w:sz w:val="16"/>
        </w:rPr>
        <w:t>2024</w:t>
      </w:r>
      <w:r w:rsidRPr="00FD40B8">
        <w:rPr>
          <w:color w:val="131727" w:themeColor="text1"/>
          <w:spacing w:val="73"/>
          <w:w w:val="105"/>
          <w:sz w:val="16"/>
        </w:rPr>
        <w:t xml:space="preserve"> </w:t>
      </w:r>
      <w:r w:rsidRPr="00FD40B8">
        <w:rPr>
          <w:color w:val="131727" w:themeColor="text1"/>
          <w:w w:val="105"/>
          <w:sz w:val="16"/>
        </w:rPr>
        <w:t>‘Landmark</w:t>
      </w:r>
      <w:r w:rsidRPr="00FD40B8">
        <w:rPr>
          <w:color w:val="131727" w:themeColor="text1"/>
          <w:spacing w:val="17"/>
          <w:w w:val="105"/>
          <w:sz w:val="16"/>
        </w:rPr>
        <w:t xml:space="preserve"> </w:t>
      </w:r>
      <w:r w:rsidRPr="00FD40B8">
        <w:rPr>
          <w:color w:val="131727" w:themeColor="text1"/>
          <w:w w:val="105"/>
          <w:sz w:val="16"/>
        </w:rPr>
        <w:t>$4</w:t>
      </w:r>
      <w:r w:rsidRPr="00FD40B8">
        <w:rPr>
          <w:color w:val="131727" w:themeColor="text1"/>
          <w:spacing w:val="17"/>
          <w:w w:val="105"/>
          <w:sz w:val="16"/>
        </w:rPr>
        <w:t xml:space="preserve"> </w:t>
      </w:r>
      <w:r w:rsidRPr="00FD40B8">
        <w:rPr>
          <w:color w:val="131727" w:themeColor="text1"/>
          <w:w w:val="105"/>
          <w:sz w:val="16"/>
        </w:rPr>
        <w:t>billion</w:t>
      </w:r>
      <w:r w:rsidRPr="00FD40B8">
        <w:rPr>
          <w:color w:val="131727" w:themeColor="text1"/>
          <w:spacing w:val="20"/>
          <w:w w:val="105"/>
          <w:sz w:val="16"/>
        </w:rPr>
        <w:t xml:space="preserve"> </w:t>
      </w:r>
      <w:r w:rsidRPr="00FD40B8">
        <w:rPr>
          <w:color w:val="131727" w:themeColor="text1"/>
          <w:w w:val="105"/>
          <w:sz w:val="16"/>
        </w:rPr>
        <w:t>investment</w:t>
      </w:r>
      <w:r w:rsidRPr="00FD40B8">
        <w:rPr>
          <w:color w:val="131727" w:themeColor="text1"/>
          <w:spacing w:val="16"/>
          <w:w w:val="105"/>
          <w:sz w:val="16"/>
        </w:rPr>
        <w:t xml:space="preserve"> </w:t>
      </w:r>
      <w:r w:rsidRPr="00FD40B8">
        <w:rPr>
          <w:color w:val="131727" w:themeColor="text1"/>
          <w:w w:val="105"/>
          <w:sz w:val="16"/>
        </w:rPr>
        <w:t>for</w:t>
      </w:r>
      <w:r w:rsidRPr="00FD40B8">
        <w:rPr>
          <w:color w:val="131727" w:themeColor="text1"/>
          <w:spacing w:val="17"/>
          <w:w w:val="105"/>
          <w:sz w:val="16"/>
        </w:rPr>
        <w:t xml:space="preserve"> </w:t>
      </w:r>
      <w:r w:rsidRPr="00FD40B8">
        <w:rPr>
          <w:color w:val="131727" w:themeColor="text1"/>
          <w:w w:val="105"/>
          <w:sz w:val="16"/>
        </w:rPr>
        <w:t>remote</w:t>
      </w:r>
      <w:r w:rsidRPr="00FD40B8">
        <w:rPr>
          <w:color w:val="131727" w:themeColor="text1"/>
          <w:spacing w:val="16"/>
          <w:w w:val="105"/>
          <w:sz w:val="16"/>
        </w:rPr>
        <w:t xml:space="preserve"> </w:t>
      </w:r>
      <w:r w:rsidRPr="00FD40B8">
        <w:rPr>
          <w:color w:val="131727" w:themeColor="text1"/>
          <w:w w:val="105"/>
          <w:sz w:val="16"/>
        </w:rPr>
        <w:t>housing</w:t>
      </w:r>
      <w:r w:rsidRPr="00FD40B8">
        <w:rPr>
          <w:color w:val="131727" w:themeColor="text1"/>
          <w:spacing w:val="15"/>
          <w:w w:val="105"/>
          <w:sz w:val="16"/>
        </w:rPr>
        <w:t xml:space="preserve"> </w:t>
      </w:r>
      <w:r w:rsidRPr="00FD40B8">
        <w:rPr>
          <w:color w:val="131727" w:themeColor="text1"/>
          <w:w w:val="105"/>
          <w:sz w:val="16"/>
        </w:rPr>
        <w:t>in</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16"/>
          <w:w w:val="105"/>
          <w:sz w:val="16"/>
        </w:rPr>
        <w:t xml:space="preserve"> </w:t>
      </w:r>
      <w:r w:rsidRPr="00FD40B8">
        <w:rPr>
          <w:color w:val="131727" w:themeColor="text1"/>
          <w:w w:val="105"/>
          <w:sz w:val="16"/>
        </w:rPr>
        <w:t>Northern</w:t>
      </w:r>
      <w:r w:rsidRPr="00FD40B8">
        <w:rPr>
          <w:color w:val="131727" w:themeColor="text1"/>
          <w:spacing w:val="20"/>
          <w:w w:val="105"/>
          <w:sz w:val="16"/>
        </w:rPr>
        <w:t xml:space="preserve"> </w:t>
      </w:r>
      <w:r w:rsidRPr="00FD40B8">
        <w:rPr>
          <w:color w:val="131727" w:themeColor="text1"/>
          <w:w w:val="105"/>
          <w:sz w:val="16"/>
        </w:rPr>
        <w:t>Territory</w:t>
      </w:r>
      <w:r w:rsidRPr="00FD40B8">
        <w:rPr>
          <w:color w:val="131727" w:themeColor="text1"/>
          <w:spacing w:val="16"/>
          <w:w w:val="105"/>
          <w:sz w:val="16"/>
        </w:rPr>
        <w:t xml:space="preserve"> </w:t>
      </w:r>
      <w:r w:rsidRPr="00FD40B8">
        <w:rPr>
          <w:color w:val="131727" w:themeColor="text1"/>
          <w:w w:val="105"/>
          <w:sz w:val="16"/>
        </w:rPr>
        <w:t>to</w:t>
      </w:r>
      <w:r w:rsidRPr="00FD40B8">
        <w:rPr>
          <w:color w:val="131727" w:themeColor="text1"/>
          <w:spacing w:val="15"/>
          <w:w w:val="105"/>
          <w:sz w:val="16"/>
        </w:rPr>
        <w:t xml:space="preserve"> </w:t>
      </w:r>
      <w:r w:rsidRPr="00FD40B8">
        <w:rPr>
          <w:color w:val="131727" w:themeColor="text1"/>
          <w:w w:val="105"/>
          <w:sz w:val="16"/>
        </w:rPr>
        <w:t>help</w:t>
      </w:r>
      <w:r w:rsidRPr="00FD40B8">
        <w:rPr>
          <w:color w:val="131727" w:themeColor="text1"/>
          <w:spacing w:val="19"/>
          <w:w w:val="105"/>
          <w:sz w:val="16"/>
        </w:rPr>
        <w:t xml:space="preserve"> </w:t>
      </w:r>
      <w:r w:rsidRPr="00FD40B8">
        <w:rPr>
          <w:color w:val="131727" w:themeColor="text1"/>
          <w:w w:val="105"/>
          <w:sz w:val="16"/>
        </w:rPr>
        <w:t>Close</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Gap’.</w:t>
      </w:r>
      <w:r w:rsidRPr="00FD40B8">
        <w:rPr>
          <w:color w:val="131727" w:themeColor="text1"/>
          <w:spacing w:val="35"/>
          <w:w w:val="105"/>
          <w:sz w:val="16"/>
        </w:rPr>
        <w:t xml:space="preserve"> </w:t>
      </w:r>
      <w:r w:rsidRPr="00FD40B8">
        <w:rPr>
          <w:color w:val="131727" w:themeColor="text1"/>
          <w:w w:val="105"/>
          <w:sz w:val="16"/>
        </w:rPr>
        <w:t>Available</w:t>
      </w:r>
      <w:r w:rsidRPr="00FD40B8">
        <w:rPr>
          <w:color w:val="131727" w:themeColor="text1"/>
          <w:spacing w:val="33"/>
          <w:w w:val="105"/>
          <w:sz w:val="16"/>
        </w:rPr>
        <w:t xml:space="preserve"> </w:t>
      </w:r>
      <w:r w:rsidRPr="00FD40B8">
        <w:rPr>
          <w:color w:val="131727" w:themeColor="text1"/>
          <w:w w:val="105"/>
          <w:sz w:val="16"/>
        </w:rPr>
        <w:t>at:</w:t>
      </w:r>
      <w:r w:rsidRPr="00FD40B8">
        <w:rPr>
          <w:color w:val="131727" w:themeColor="text1"/>
          <w:spacing w:val="38"/>
          <w:w w:val="105"/>
          <w:sz w:val="16"/>
        </w:rPr>
        <w:t xml:space="preserve"> </w:t>
      </w:r>
      <w:hyperlink r:id="rId75">
        <w:r w:rsidRPr="00FD40B8">
          <w:rPr>
            <w:color w:val="131727" w:themeColor="text1"/>
            <w:w w:val="105"/>
            <w:sz w:val="16"/>
          </w:rPr>
          <w:t>https://www.pm.gov.au/media/landmark-4-billion-investment-remote-housing-northern-territory-help-close-gap</w:t>
        </w:r>
      </w:hyperlink>
      <w:r w:rsidRPr="00FD40B8">
        <w:rPr>
          <w:color w:val="131727" w:themeColor="text1"/>
          <w:spacing w:val="80"/>
          <w:w w:val="112"/>
          <w:sz w:val="16"/>
        </w:rPr>
        <w:t xml:space="preserve"> </w:t>
      </w:r>
      <w:bookmarkStart w:id="119" w:name="_bookmark8"/>
      <w:bookmarkEnd w:id="119"/>
      <w:r w:rsidRPr="00FD40B8">
        <w:rPr>
          <w:color w:val="131727" w:themeColor="text1"/>
          <w:w w:val="105"/>
          <w:position w:val="6"/>
          <w:sz w:val="10"/>
        </w:rPr>
        <w:t>5</w:t>
      </w:r>
      <w:r w:rsidRPr="00FD40B8">
        <w:rPr>
          <w:color w:val="131727" w:themeColor="text1"/>
          <w:spacing w:val="37"/>
          <w:w w:val="105"/>
          <w:position w:val="6"/>
          <w:sz w:val="10"/>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ABS</w:t>
      </w:r>
      <w:r w:rsidRPr="00FD40B8">
        <w:rPr>
          <w:color w:val="131727" w:themeColor="text1"/>
          <w:spacing w:val="22"/>
          <w:w w:val="105"/>
          <w:sz w:val="16"/>
        </w:rPr>
        <w:t xml:space="preserve"> </w:t>
      </w:r>
      <w:r w:rsidRPr="00FD40B8">
        <w:rPr>
          <w:color w:val="131727" w:themeColor="text1"/>
          <w:w w:val="105"/>
          <w:sz w:val="16"/>
        </w:rPr>
        <w:t>defines</w:t>
      </w:r>
      <w:r w:rsidRPr="00FD40B8">
        <w:rPr>
          <w:color w:val="131727" w:themeColor="text1"/>
          <w:spacing w:val="21"/>
          <w:w w:val="105"/>
          <w:sz w:val="16"/>
        </w:rPr>
        <w:t xml:space="preserve"> </w:t>
      </w:r>
      <w:r w:rsidRPr="00FD40B8">
        <w:rPr>
          <w:color w:val="131727" w:themeColor="text1"/>
          <w:w w:val="105"/>
          <w:sz w:val="16"/>
        </w:rPr>
        <w:t>homelessness,</w:t>
      </w:r>
      <w:r w:rsidRPr="00FD40B8">
        <w:rPr>
          <w:color w:val="131727" w:themeColor="text1"/>
          <w:spacing w:val="22"/>
          <w:w w:val="105"/>
          <w:sz w:val="16"/>
        </w:rPr>
        <w:t xml:space="preserve"> </w:t>
      </w:r>
      <w:r w:rsidRPr="00FD40B8">
        <w:rPr>
          <w:color w:val="131727" w:themeColor="text1"/>
          <w:w w:val="105"/>
          <w:sz w:val="16"/>
        </w:rPr>
        <w:t>for</w:t>
      </w:r>
      <w:r w:rsidRPr="00FD40B8">
        <w:rPr>
          <w:color w:val="131727" w:themeColor="text1"/>
          <w:spacing w:val="24"/>
          <w:w w:val="105"/>
          <w:sz w:val="16"/>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purposes</w:t>
      </w:r>
      <w:r w:rsidRPr="00FD40B8">
        <w:rPr>
          <w:color w:val="131727" w:themeColor="text1"/>
          <w:spacing w:val="21"/>
          <w:w w:val="105"/>
          <w:sz w:val="16"/>
        </w:rPr>
        <w:t xml:space="preserve"> </w:t>
      </w:r>
      <w:r w:rsidRPr="00FD40B8">
        <w:rPr>
          <w:color w:val="131727" w:themeColor="text1"/>
          <w:w w:val="105"/>
          <w:sz w:val="16"/>
        </w:rPr>
        <w:t>of</w:t>
      </w:r>
      <w:r w:rsidRPr="00FD40B8">
        <w:rPr>
          <w:color w:val="131727" w:themeColor="text1"/>
          <w:spacing w:val="24"/>
          <w:w w:val="105"/>
          <w:sz w:val="16"/>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Census</w:t>
      </w:r>
      <w:r w:rsidRPr="00FD40B8">
        <w:rPr>
          <w:color w:val="131727" w:themeColor="text1"/>
          <w:spacing w:val="21"/>
          <w:w w:val="105"/>
          <w:sz w:val="16"/>
        </w:rPr>
        <w:t xml:space="preserve"> </w:t>
      </w:r>
      <w:r w:rsidRPr="00FD40B8">
        <w:rPr>
          <w:color w:val="131727" w:themeColor="text1"/>
          <w:w w:val="105"/>
          <w:sz w:val="16"/>
        </w:rPr>
        <w:t>of</w:t>
      </w:r>
      <w:r w:rsidRPr="00FD40B8">
        <w:rPr>
          <w:color w:val="131727" w:themeColor="text1"/>
          <w:spacing w:val="24"/>
          <w:w w:val="105"/>
          <w:sz w:val="16"/>
        </w:rPr>
        <w:t xml:space="preserve"> </w:t>
      </w:r>
      <w:r w:rsidRPr="00FD40B8">
        <w:rPr>
          <w:color w:val="131727" w:themeColor="text1"/>
          <w:w w:val="105"/>
          <w:sz w:val="16"/>
        </w:rPr>
        <w:t>Population</w:t>
      </w:r>
      <w:r w:rsidRPr="00FD40B8">
        <w:rPr>
          <w:color w:val="131727" w:themeColor="text1"/>
          <w:spacing w:val="27"/>
          <w:w w:val="105"/>
          <w:sz w:val="16"/>
        </w:rPr>
        <w:t xml:space="preserve"> </w:t>
      </w:r>
      <w:r w:rsidRPr="00FD40B8">
        <w:rPr>
          <w:color w:val="131727" w:themeColor="text1"/>
          <w:w w:val="105"/>
          <w:sz w:val="16"/>
        </w:rPr>
        <w:t>and</w:t>
      </w:r>
      <w:r w:rsidRPr="00FD40B8">
        <w:rPr>
          <w:color w:val="131727" w:themeColor="text1"/>
          <w:spacing w:val="25"/>
          <w:w w:val="105"/>
          <w:sz w:val="16"/>
        </w:rPr>
        <w:t xml:space="preserve"> </w:t>
      </w:r>
      <w:r w:rsidRPr="00FD40B8">
        <w:rPr>
          <w:color w:val="131727" w:themeColor="text1"/>
          <w:w w:val="105"/>
          <w:sz w:val="16"/>
        </w:rPr>
        <w:t>Housing,</w:t>
      </w:r>
      <w:r w:rsidRPr="00FD40B8">
        <w:rPr>
          <w:color w:val="131727" w:themeColor="text1"/>
          <w:spacing w:val="22"/>
          <w:w w:val="105"/>
          <w:sz w:val="16"/>
        </w:rPr>
        <w:t xml:space="preserve"> </w:t>
      </w:r>
      <w:r w:rsidRPr="00FD40B8">
        <w:rPr>
          <w:color w:val="131727" w:themeColor="text1"/>
          <w:w w:val="105"/>
          <w:sz w:val="16"/>
        </w:rPr>
        <w:t>as</w:t>
      </w:r>
      <w:r w:rsidRPr="00FD40B8">
        <w:rPr>
          <w:color w:val="131727" w:themeColor="text1"/>
          <w:spacing w:val="21"/>
          <w:w w:val="105"/>
          <w:sz w:val="16"/>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lack</w:t>
      </w:r>
      <w:r w:rsidRPr="00FD40B8">
        <w:rPr>
          <w:color w:val="131727" w:themeColor="text1"/>
          <w:spacing w:val="24"/>
          <w:w w:val="105"/>
          <w:sz w:val="16"/>
        </w:rPr>
        <w:t xml:space="preserve"> </w:t>
      </w:r>
      <w:r w:rsidRPr="00FD40B8">
        <w:rPr>
          <w:color w:val="131727" w:themeColor="text1"/>
          <w:w w:val="105"/>
          <w:sz w:val="16"/>
        </w:rPr>
        <w:t>of</w:t>
      </w:r>
      <w:r w:rsidRPr="00FD40B8">
        <w:rPr>
          <w:color w:val="131727" w:themeColor="text1"/>
          <w:spacing w:val="24"/>
          <w:w w:val="105"/>
          <w:sz w:val="16"/>
        </w:rPr>
        <w:t xml:space="preserve"> </w:t>
      </w:r>
      <w:r w:rsidRPr="00FD40B8">
        <w:rPr>
          <w:color w:val="131727" w:themeColor="text1"/>
          <w:w w:val="105"/>
          <w:sz w:val="16"/>
        </w:rPr>
        <w:t>one</w:t>
      </w:r>
      <w:r w:rsidRPr="00FD40B8">
        <w:rPr>
          <w:color w:val="131727" w:themeColor="text1"/>
          <w:spacing w:val="22"/>
          <w:w w:val="105"/>
          <w:sz w:val="16"/>
        </w:rPr>
        <w:t xml:space="preserve"> </w:t>
      </w:r>
      <w:r w:rsidRPr="00FD40B8">
        <w:rPr>
          <w:color w:val="131727" w:themeColor="text1"/>
          <w:w w:val="105"/>
          <w:sz w:val="16"/>
        </w:rPr>
        <w:t>or</w:t>
      </w:r>
      <w:r w:rsidRPr="00FD40B8">
        <w:rPr>
          <w:color w:val="131727" w:themeColor="text1"/>
          <w:spacing w:val="24"/>
          <w:w w:val="105"/>
          <w:sz w:val="16"/>
        </w:rPr>
        <w:t xml:space="preserve"> </w:t>
      </w:r>
      <w:r w:rsidRPr="00FD40B8">
        <w:rPr>
          <w:color w:val="131727" w:themeColor="text1"/>
          <w:w w:val="105"/>
          <w:sz w:val="16"/>
        </w:rPr>
        <w:t>more</w:t>
      </w:r>
      <w:r w:rsidRPr="00FD40B8">
        <w:rPr>
          <w:color w:val="131727" w:themeColor="text1"/>
          <w:spacing w:val="22"/>
          <w:w w:val="105"/>
          <w:sz w:val="16"/>
        </w:rPr>
        <w:t xml:space="preserve"> </w:t>
      </w:r>
      <w:r w:rsidRPr="00FD40B8">
        <w:rPr>
          <w:color w:val="131727" w:themeColor="text1"/>
          <w:w w:val="105"/>
          <w:sz w:val="16"/>
        </w:rPr>
        <w:t>elements</w:t>
      </w:r>
      <w:r w:rsidRPr="00FD40B8">
        <w:rPr>
          <w:color w:val="131727" w:themeColor="text1"/>
          <w:spacing w:val="40"/>
          <w:w w:val="105"/>
          <w:sz w:val="16"/>
        </w:rPr>
        <w:t xml:space="preserve"> </w:t>
      </w:r>
      <w:r w:rsidRPr="00FD40B8">
        <w:rPr>
          <w:color w:val="131727" w:themeColor="text1"/>
          <w:w w:val="105"/>
          <w:sz w:val="16"/>
        </w:rPr>
        <w:t>that</w:t>
      </w:r>
      <w:r w:rsidRPr="00FD40B8">
        <w:rPr>
          <w:color w:val="131727" w:themeColor="text1"/>
          <w:spacing w:val="22"/>
          <w:w w:val="105"/>
          <w:sz w:val="16"/>
        </w:rPr>
        <w:t xml:space="preserve"> </w:t>
      </w:r>
      <w:r w:rsidRPr="00FD40B8">
        <w:rPr>
          <w:color w:val="131727" w:themeColor="text1"/>
          <w:w w:val="105"/>
          <w:sz w:val="16"/>
        </w:rPr>
        <w:t>represent</w:t>
      </w:r>
      <w:r w:rsidRPr="00FD40B8">
        <w:rPr>
          <w:color w:val="131727" w:themeColor="text1"/>
          <w:spacing w:val="22"/>
          <w:w w:val="105"/>
          <w:sz w:val="16"/>
        </w:rPr>
        <w:t xml:space="preserve"> </w:t>
      </w:r>
      <w:r w:rsidRPr="00FD40B8">
        <w:rPr>
          <w:color w:val="131727" w:themeColor="text1"/>
          <w:w w:val="105"/>
          <w:sz w:val="16"/>
        </w:rPr>
        <w:t>‘home’.</w:t>
      </w:r>
      <w:r w:rsidRPr="00FD40B8">
        <w:rPr>
          <w:color w:val="131727" w:themeColor="text1"/>
          <w:spacing w:val="28"/>
          <w:w w:val="105"/>
          <w:sz w:val="16"/>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ABS</w:t>
      </w:r>
      <w:r w:rsidRPr="00FD40B8">
        <w:rPr>
          <w:color w:val="131727" w:themeColor="text1"/>
          <w:spacing w:val="22"/>
          <w:w w:val="105"/>
          <w:sz w:val="16"/>
        </w:rPr>
        <w:t xml:space="preserve"> </w:t>
      </w:r>
      <w:r w:rsidRPr="00FD40B8">
        <w:rPr>
          <w:color w:val="131727" w:themeColor="text1"/>
          <w:w w:val="105"/>
          <w:sz w:val="16"/>
        </w:rPr>
        <w:t>statistical definition</w:t>
      </w:r>
      <w:r w:rsidRPr="00FD40B8">
        <w:rPr>
          <w:color w:val="131727" w:themeColor="text1"/>
          <w:spacing w:val="27"/>
          <w:w w:val="105"/>
          <w:sz w:val="16"/>
        </w:rPr>
        <w:t xml:space="preserve"> </w:t>
      </w:r>
      <w:r w:rsidRPr="00FD40B8">
        <w:rPr>
          <w:color w:val="131727" w:themeColor="text1"/>
          <w:w w:val="105"/>
          <w:sz w:val="16"/>
        </w:rPr>
        <w:t>of</w:t>
      </w:r>
      <w:r w:rsidRPr="00FD40B8">
        <w:rPr>
          <w:color w:val="131727" w:themeColor="text1"/>
          <w:spacing w:val="24"/>
          <w:w w:val="105"/>
          <w:sz w:val="16"/>
        </w:rPr>
        <w:t xml:space="preserve"> </w:t>
      </w:r>
      <w:r w:rsidRPr="00FD40B8">
        <w:rPr>
          <w:color w:val="131727" w:themeColor="text1"/>
          <w:w w:val="105"/>
          <w:sz w:val="16"/>
        </w:rPr>
        <w:t>homelessness</w:t>
      </w:r>
      <w:r w:rsidRPr="00FD40B8">
        <w:rPr>
          <w:color w:val="131727" w:themeColor="text1"/>
          <w:spacing w:val="27"/>
          <w:w w:val="105"/>
          <w:sz w:val="16"/>
        </w:rPr>
        <w:t xml:space="preserve"> </w:t>
      </w:r>
      <w:r w:rsidRPr="00FD40B8">
        <w:rPr>
          <w:color w:val="131727" w:themeColor="text1"/>
          <w:w w:val="105"/>
          <w:sz w:val="16"/>
        </w:rPr>
        <w:t>is</w:t>
      </w:r>
      <w:r w:rsidRPr="00FD40B8">
        <w:rPr>
          <w:color w:val="131727" w:themeColor="text1"/>
          <w:spacing w:val="21"/>
          <w:w w:val="105"/>
          <w:sz w:val="16"/>
        </w:rPr>
        <w:t xml:space="preserve"> </w:t>
      </w:r>
      <w:r w:rsidRPr="00FD40B8">
        <w:rPr>
          <w:color w:val="131727" w:themeColor="text1"/>
          <w:w w:val="105"/>
          <w:sz w:val="16"/>
        </w:rPr>
        <w:t>‘…</w:t>
      </w:r>
      <w:r w:rsidRPr="00FD40B8">
        <w:rPr>
          <w:color w:val="131727" w:themeColor="text1"/>
          <w:spacing w:val="25"/>
          <w:w w:val="105"/>
          <w:sz w:val="16"/>
        </w:rPr>
        <w:t xml:space="preserve"> </w:t>
      </w:r>
      <w:r w:rsidRPr="00FD40B8">
        <w:rPr>
          <w:color w:val="131727" w:themeColor="text1"/>
          <w:w w:val="105"/>
          <w:sz w:val="16"/>
        </w:rPr>
        <w:t>when</w:t>
      </w:r>
      <w:r w:rsidRPr="00FD40B8">
        <w:rPr>
          <w:color w:val="131727" w:themeColor="text1"/>
          <w:spacing w:val="27"/>
          <w:w w:val="105"/>
          <w:sz w:val="16"/>
        </w:rPr>
        <w:t xml:space="preserve"> </w:t>
      </w:r>
      <w:r w:rsidRPr="00FD40B8">
        <w:rPr>
          <w:color w:val="131727" w:themeColor="text1"/>
          <w:w w:val="105"/>
          <w:sz w:val="16"/>
        </w:rPr>
        <w:t>a person</w:t>
      </w:r>
      <w:r w:rsidRPr="00FD40B8">
        <w:rPr>
          <w:color w:val="131727" w:themeColor="text1"/>
          <w:spacing w:val="27"/>
          <w:w w:val="105"/>
          <w:sz w:val="16"/>
        </w:rPr>
        <w:t xml:space="preserve"> </w:t>
      </w:r>
      <w:r w:rsidRPr="00FD40B8">
        <w:rPr>
          <w:color w:val="131727" w:themeColor="text1"/>
          <w:w w:val="105"/>
          <w:sz w:val="16"/>
        </w:rPr>
        <w:t>does</w:t>
      </w:r>
      <w:r w:rsidRPr="00FD40B8">
        <w:rPr>
          <w:color w:val="131727" w:themeColor="text1"/>
          <w:spacing w:val="21"/>
          <w:w w:val="105"/>
          <w:sz w:val="16"/>
        </w:rPr>
        <w:t xml:space="preserve"> </w:t>
      </w:r>
      <w:r w:rsidRPr="00FD40B8">
        <w:rPr>
          <w:color w:val="131727" w:themeColor="text1"/>
          <w:w w:val="105"/>
          <w:sz w:val="16"/>
        </w:rPr>
        <w:t>not</w:t>
      </w:r>
      <w:r w:rsidRPr="00FD40B8">
        <w:rPr>
          <w:color w:val="131727" w:themeColor="text1"/>
          <w:spacing w:val="22"/>
          <w:w w:val="105"/>
          <w:sz w:val="16"/>
        </w:rPr>
        <w:t xml:space="preserve"> </w:t>
      </w:r>
      <w:r w:rsidRPr="00FD40B8">
        <w:rPr>
          <w:color w:val="131727" w:themeColor="text1"/>
          <w:w w:val="105"/>
          <w:sz w:val="16"/>
        </w:rPr>
        <w:t>have</w:t>
      </w:r>
      <w:r w:rsidRPr="00FD40B8">
        <w:rPr>
          <w:color w:val="131727" w:themeColor="text1"/>
          <w:spacing w:val="22"/>
          <w:w w:val="105"/>
          <w:sz w:val="16"/>
        </w:rPr>
        <w:t xml:space="preserve"> </w:t>
      </w:r>
      <w:r w:rsidRPr="00FD40B8">
        <w:rPr>
          <w:color w:val="131727" w:themeColor="text1"/>
          <w:w w:val="105"/>
          <w:sz w:val="16"/>
        </w:rPr>
        <w:t>suitable</w:t>
      </w:r>
      <w:r w:rsidRPr="00FD40B8">
        <w:rPr>
          <w:color w:val="131727" w:themeColor="text1"/>
          <w:spacing w:val="22"/>
          <w:w w:val="105"/>
          <w:sz w:val="16"/>
        </w:rPr>
        <w:t xml:space="preserve"> </w:t>
      </w:r>
      <w:r w:rsidRPr="00FD40B8">
        <w:rPr>
          <w:color w:val="131727" w:themeColor="text1"/>
          <w:w w:val="105"/>
          <w:sz w:val="16"/>
        </w:rPr>
        <w:t>accommodation</w:t>
      </w:r>
      <w:r w:rsidRPr="00FD40B8">
        <w:rPr>
          <w:color w:val="131727" w:themeColor="text1"/>
          <w:spacing w:val="40"/>
          <w:w w:val="105"/>
          <w:sz w:val="16"/>
        </w:rPr>
        <w:t xml:space="preserve"> </w:t>
      </w:r>
      <w:r w:rsidRPr="00FD40B8">
        <w:rPr>
          <w:color w:val="131727" w:themeColor="text1"/>
          <w:w w:val="105"/>
          <w:sz w:val="16"/>
        </w:rPr>
        <w:t>alternatives, they are considered</w:t>
      </w:r>
      <w:r w:rsidRPr="00FD40B8">
        <w:rPr>
          <w:color w:val="131727" w:themeColor="text1"/>
          <w:spacing w:val="40"/>
          <w:w w:val="105"/>
          <w:sz w:val="16"/>
        </w:rPr>
        <w:t xml:space="preserve"> </w:t>
      </w:r>
      <w:r w:rsidRPr="00FD40B8">
        <w:rPr>
          <w:color w:val="131727" w:themeColor="text1"/>
          <w:w w:val="105"/>
          <w:sz w:val="16"/>
        </w:rPr>
        <w:t>homeless if their current living arrangement:</w:t>
      </w:r>
    </w:p>
    <w:p w14:paraId="2339EF44" w14:textId="77777777" w:rsidR="00811887" w:rsidRPr="00FD40B8" w:rsidRDefault="00811887" w:rsidP="00FB2FE9">
      <w:pPr>
        <w:pStyle w:val="ListParagraph"/>
        <w:widowControl w:val="0"/>
        <w:numPr>
          <w:ilvl w:val="0"/>
          <w:numId w:val="68"/>
        </w:numPr>
        <w:tabs>
          <w:tab w:val="left" w:pos="1228"/>
        </w:tabs>
        <w:autoSpaceDE w:val="0"/>
        <w:autoSpaceDN w:val="0"/>
        <w:spacing w:after="0" w:line="199" w:lineRule="exact"/>
        <w:ind w:hanging="360"/>
        <w:contextualSpacing w:val="0"/>
        <w:rPr>
          <w:rFonts w:ascii="Symbol" w:hAnsi="Symbol"/>
          <w:color w:val="131727" w:themeColor="text1"/>
          <w:sz w:val="16"/>
        </w:rPr>
      </w:pPr>
      <w:r w:rsidRPr="00FD40B8">
        <w:rPr>
          <w:color w:val="131727" w:themeColor="text1"/>
          <w:w w:val="105"/>
          <w:sz w:val="16"/>
        </w:rPr>
        <w:t>is</w:t>
      </w:r>
      <w:r w:rsidRPr="00FD40B8">
        <w:rPr>
          <w:color w:val="131727" w:themeColor="text1"/>
          <w:spacing w:val="4"/>
          <w:w w:val="105"/>
          <w:sz w:val="16"/>
        </w:rPr>
        <w:t xml:space="preserve"> </w:t>
      </w:r>
      <w:r w:rsidRPr="00FD40B8">
        <w:rPr>
          <w:color w:val="131727" w:themeColor="text1"/>
          <w:w w:val="105"/>
          <w:sz w:val="16"/>
        </w:rPr>
        <w:t>in</w:t>
      </w:r>
      <w:r w:rsidRPr="00FD40B8">
        <w:rPr>
          <w:color w:val="131727" w:themeColor="text1"/>
          <w:spacing w:val="10"/>
          <w:w w:val="105"/>
          <w:sz w:val="16"/>
        </w:rPr>
        <w:t xml:space="preserve"> </w:t>
      </w:r>
      <w:r w:rsidRPr="00FD40B8">
        <w:rPr>
          <w:color w:val="131727" w:themeColor="text1"/>
          <w:w w:val="105"/>
          <w:sz w:val="16"/>
        </w:rPr>
        <w:t>a</w:t>
      </w:r>
      <w:r w:rsidRPr="00FD40B8">
        <w:rPr>
          <w:color w:val="131727" w:themeColor="text1"/>
          <w:spacing w:val="9"/>
          <w:w w:val="105"/>
          <w:sz w:val="16"/>
        </w:rPr>
        <w:t xml:space="preserve"> </w:t>
      </w:r>
      <w:r w:rsidRPr="00FD40B8">
        <w:rPr>
          <w:color w:val="131727" w:themeColor="text1"/>
          <w:w w:val="105"/>
          <w:sz w:val="16"/>
        </w:rPr>
        <w:t>dwelling</w:t>
      </w:r>
      <w:r w:rsidRPr="00FD40B8">
        <w:rPr>
          <w:color w:val="131727" w:themeColor="text1"/>
          <w:spacing w:val="5"/>
          <w:w w:val="105"/>
          <w:sz w:val="16"/>
        </w:rPr>
        <w:t xml:space="preserve"> </w:t>
      </w:r>
      <w:r w:rsidRPr="00FD40B8">
        <w:rPr>
          <w:color w:val="131727" w:themeColor="text1"/>
          <w:w w:val="105"/>
          <w:sz w:val="16"/>
        </w:rPr>
        <w:t>that</w:t>
      </w:r>
      <w:r w:rsidRPr="00FD40B8">
        <w:rPr>
          <w:color w:val="131727" w:themeColor="text1"/>
          <w:spacing w:val="6"/>
          <w:w w:val="105"/>
          <w:sz w:val="16"/>
        </w:rPr>
        <w:t xml:space="preserve"> </w:t>
      </w:r>
      <w:r w:rsidRPr="00FD40B8">
        <w:rPr>
          <w:color w:val="131727" w:themeColor="text1"/>
          <w:w w:val="105"/>
          <w:sz w:val="16"/>
        </w:rPr>
        <w:t>is</w:t>
      </w:r>
      <w:r w:rsidRPr="00FD40B8">
        <w:rPr>
          <w:color w:val="131727" w:themeColor="text1"/>
          <w:spacing w:val="5"/>
          <w:w w:val="105"/>
          <w:sz w:val="16"/>
        </w:rPr>
        <w:t xml:space="preserve"> </w:t>
      </w:r>
      <w:r w:rsidRPr="00FD40B8">
        <w:rPr>
          <w:color w:val="131727" w:themeColor="text1"/>
          <w:spacing w:val="-2"/>
          <w:w w:val="105"/>
          <w:sz w:val="16"/>
        </w:rPr>
        <w:t>inadequate;</w:t>
      </w:r>
    </w:p>
    <w:p w14:paraId="009CC14C" w14:textId="77777777" w:rsidR="00811887" w:rsidRPr="00FD40B8" w:rsidRDefault="00811887" w:rsidP="00FB2FE9">
      <w:pPr>
        <w:pStyle w:val="ListParagraph"/>
        <w:widowControl w:val="0"/>
        <w:numPr>
          <w:ilvl w:val="0"/>
          <w:numId w:val="68"/>
        </w:numPr>
        <w:tabs>
          <w:tab w:val="left" w:pos="1228"/>
        </w:tabs>
        <w:autoSpaceDE w:val="0"/>
        <w:autoSpaceDN w:val="0"/>
        <w:spacing w:before="12" w:after="0"/>
        <w:ind w:hanging="360"/>
        <w:contextualSpacing w:val="0"/>
        <w:rPr>
          <w:rFonts w:ascii="Symbol" w:hAnsi="Symbol"/>
          <w:color w:val="131727" w:themeColor="text1"/>
          <w:sz w:val="16"/>
        </w:rPr>
      </w:pPr>
      <w:r w:rsidRPr="00FD40B8">
        <w:rPr>
          <w:color w:val="131727" w:themeColor="text1"/>
          <w:w w:val="105"/>
          <w:sz w:val="16"/>
        </w:rPr>
        <w:t>has</w:t>
      </w:r>
      <w:r w:rsidRPr="00FD40B8">
        <w:rPr>
          <w:color w:val="131727" w:themeColor="text1"/>
          <w:spacing w:val="11"/>
          <w:w w:val="105"/>
          <w:sz w:val="16"/>
        </w:rPr>
        <w:t xml:space="preserve"> </w:t>
      </w:r>
      <w:r w:rsidRPr="00FD40B8">
        <w:rPr>
          <w:color w:val="131727" w:themeColor="text1"/>
          <w:w w:val="105"/>
          <w:sz w:val="16"/>
        </w:rPr>
        <w:t>no</w:t>
      </w:r>
      <w:r w:rsidRPr="00FD40B8">
        <w:rPr>
          <w:color w:val="131727" w:themeColor="text1"/>
          <w:spacing w:val="11"/>
          <w:w w:val="105"/>
          <w:sz w:val="16"/>
        </w:rPr>
        <w:t xml:space="preserve"> </w:t>
      </w:r>
      <w:r w:rsidRPr="00FD40B8">
        <w:rPr>
          <w:color w:val="131727" w:themeColor="text1"/>
          <w:w w:val="105"/>
          <w:sz w:val="16"/>
        </w:rPr>
        <w:t>tenure,</w:t>
      </w:r>
      <w:r w:rsidRPr="00FD40B8">
        <w:rPr>
          <w:color w:val="131727" w:themeColor="text1"/>
          <w:spacing w:val="12"/>
          <w:w w:val="105"/>
          <w:sz w:val="16"/>
        </w:rPr>
        <w:t xml:space="preserve"> </w:t>
      </w:r>
      <w:r w:rsidRPr="00FD40B8">
        <w:rPr>
          <w:color w:val="131727" w:themeColor="text1"/>
          <w:w w:val="105"/>
          <w:sz w:val="16"/>
        </w:rPr>
        <w:t>or</w:t>
      </w:r>
      <w:r w:rsidRPr="00FD40B8">
        <w:rPr>
          <w:color w:val="131727" w:themeColor="text1"/>
          <w:spacing w:val="14"/>
          <w:w w:val="105"/>
          <w:sz w:val="16"/>
        </w:rPr>
        <w:t xml:space="preserve"> </w:t>
      </w:r>
      <w:r w:rsidRPr="00FD40B8">
        <w:rPr>
          <w:color w:val="131727" w:themeColor="text1"/>
          <w:w w:val="105"/>
          <w:sz w:val="16"/>
        </w:rPr>
        <w:t>if</w:t>
      </w:r>
      <w:r w:rsidRPr="00FD40B8">
        <w:rPr>
          <w:color w:val="131727" w:themeColor="text1"/>
          <w:spacing w:val="13"/>
          <w:w w:val="105"/>
          <w:sz w:val="16"/>
        </w:rPr>
        <w:t xml:space="preserve"> </w:t>
      </w:r>
      <w:r w:rsidRPr="00FD40B8">
        <w:rPr>
          <w:color w:val="131727" w:themeColor="text1"/>
          <w:w w:val="105"/>
          <w:sz w:val="16"/>
        </w:rPr>
        <w:t>their</w:t>
      </w:r>
      <w:r w:rsidRPr="00FD40B8">
        <w:rPr>
          <w:color w:val="131727" w:themeColor="text1"/>
          <w:spacing w:val="14"/>
          <w:w w:val="105"/>
          <w:sz w:val="16"/>
        </w:rPr>
        <w:t xml:space="preserve"> </w:t>
      </w:r>
      <w:r w:rsidRPr="00FD40B8">
        <w:rPr>
          <w:color w:val="131727" w:themeColor="text1"/>
          <w:w w:val="105"/>
          <w:sz w:val="16"/>
        </w:rPr>
        <w:t>initial</w:t>
      </w:r>
      <w:r w:rsidRPr="00FD40B8">
        <w:rPr>
          <w:color w:val="131727" w:themeColor="text1"/>
          <w:spacing w:val="10"/>
          <w:w w:val="105"/>
          <w:sz w:val="16"/>
        </w:rPr>
        <w:t xml:space="preserve"> </w:t>
      </w:r>
      <w:r w:rsidRPr="00FD40B8">
        <w:rPr>
          <w:color w:val="131727" w:themeColor="text1"/>
          <w:w w:val="105"/>
          <w:sz w:val="16"/>
        </w:rPr>
        <w:t>tenure</w:t>
      </w:r>
      <w:r w:rsidRPr="00FD40B8">
        <w:rPr>
          <w:color w:val="131727" w:themeColor="text1"/>
          <w:spacing w:val="12"/>
          <w:w w:val="105"/>
          <w:sz w:val="16"/>
        </w:rPr>
        <w:t xml:space="preserve"> </w:t>
      </w:r>
      <w:r w:rsidRPr="00FD40B8">
        <w:rPr>
          <w:color w:val="131727" w:themeColor="text1"/>
          <w:w w:val="105"/>
          <w:sz w:val="16"/>
        </w:rPr>
        <w:t>is</w:t>
      </w:r>
      <w:r w:rsidRPr="00FD40B8">
        <w:rPr>
          <w:color w:val="131727" w:themeColor="text1"/>
          <w:spacing w:val="12"/>
          <w:w w:val="105"/>
          <w:sz w:val="16"/>
        </w:rPr>
        <w:t xml:space="preserve"> </w:t>
      </w:r>
      <w:r w:rsidRPr="00FD40B8">
        <w:rPr>
          <w:color w:val="131727" w:themeColor="text1"/>
          <w:w w:val="105"/>
          <w:sz w:val="16"/>
        </w:rPr>
        <w:t>short</w:t>
      </w:r>
      <w:r w:rsidRPr="00FD40B8">
        <w:rPr>
          <w:color w:val="131727" w:themeColor="text1"/>
          <w:spacing w:val="12"/>
          <w:w w:val="105"/>
          <w:sz w:val="16"/>
        </w:rPr>
        <w:t xml:space="preserve"> </w:t>
      </w:r>
      <w:r w:rsidRPr="00FD40B8">
        <w:rPr>
          <w:color w:val="131727" w:themeColor="text1"/>
          <w:w w:val="105"/>
          <w:sz w:val="16"/>
        </w:rPr>
        <w:t>and</w:t>
      </w:r>
      <w:r w:rsidRPr="00FD40B8">
        <w:rPr>
          <w:color w:val="131727" w:themeColor="text1"/>
          <w:spacing w:val="15"/>
          <w:w w:val="105"/>
          <w:sz w:val="16"/>
        </w:rPr>
        <w:t xml:space="preserve"> </w:t>
      </w:r>
      <w:r w:rsidRPr="00FD40B8">
        <w:rPr>
          <w:color w:val="131727" w:themeColor="text1"/>
          <w:w w:val="105"/>
          <w:sz w:val="16"/>
        </w:rPr>
        <w:t>not</w:t>
      </w:r>
      <w:r w:rsidRPr="00FD40B8">
        <w:rPr>
          <w:color w:val="131727" w:themeColor="text1"/>
          <w:spacing w:val="12"/>
          <w:w w:val="105"/>
          <w:sz w:val="16"/>
        </w:rPr>
        <w:t xml:space="preserve"> </w:t>
      </w:r>
      <w:r w:rsidRPr="00FD40B8">
        <w:rPr>
          <w:color w:val="131727" w:themeColor="text1"/>
          <w:w w:val="105"/>
          <w:sz w:val="16"/>
        </w:rPr>
        <w:t>extendable;</w:t>
      </w:r>
      <w:r w:rsidRPr="00FD40B8">
        <w:rPr>
          <w:color w:val="131727" w:themeColor="text1"/>
          <w:spacing w:val="14"/>
          <w:w w:val="105"/>
          <w:sz w:val="16"/>
        </w:rPr>
        <w:t xml:space="preserve"> </w:t>
      </w:r>
      <w:r w:rsidRPr="00FD40B8">
        <w:rPr>
          <w:color w:val="131727" w:themeColor="text1"/>
          <w:spacing w:val="-5"/>
          <w:w w:val="105"/>
          <w:sz w:val="16"/>
        </w:rPr>
        <w:t>or</w:t>
      </w:r>
    </w:p>
    <w:p w14:paraId="18B03FED" w14:textId="77777777" w:rsidR="00811887" w:rsidRPr="00FD40B8" w:rsidRDefault="00811887" w:rsidP="00FB2FE9">
      <w:pPr>
        <w:pStyle w:val="ListParagraph"/>
        <w:widowControl w:val="0"/>
        <w:numPr>
          <w:ilvl w:val="0"/>
          <w:numId w:val="68"/>
        </w:numPr>
        <w:tabs>
          <w:tab w:val="left" w:pos="1228"/>
        </w:tabs>
        <w:autoSpaceDE w:val="0"/>
        <w:autoSpaceDN w:val="0"/>
        <w:spacing w:before="17" w:after="0"/>
        <w:ind w:hanging="360"/>
        <w:contextualSpacing w:val="0"/>
        <w:rPr>
          <w:rFonts w:ascii="Symbol" w:hAnsi="Symbol"/>
          <w:color w:val="131727" w:themeColor="text1"/>
          <w:sz w:val="16"/>
        </w:rPr>
      </w:pPr>
      <w:r w:rsidRPr="00FD40B8">
        <w:rPr>
          <w:color w:val="131727" w:themeColor="text1"/>
          <w:w w:val="110"/>
          <w:sz w:val="16"/>
        </w:rPr>
        <w:t>does</w:t>
      </w:r>
      <w:r w:rsidRPr="00FD40B8">
        <w:rPr>
          <w:color w:val="131727" w:themeColor="text1"/>
          <w:spacing w:val="-3"/>
          <w:w w:val="110"/>
          <w:sz w:val="16"/>
        </w:rPr>
        <w:t xml:space="preserve"> </w:t>
      </w:r>
      <w:r w:rsidRPr="00FD40B8">
        <w:rPr>
          <w:color w:val="131727" w:themeColor="text1"/>
          <w:w w:val="110"/>
          <w:sz w:val="16"/>
        </w:rPr>
        <w:t>not</w:t>
      </w:r>
      <w:r w:rsidRPr="00FD40B8">
        <w:rPr>
          <w:color w:val="131727" w:themeColor="text1"/>
          <w:spacing w:val="-2"/>
          <w:w w:val="110"/>
          <w:sz w:val="16"/>
        </w:rPr>
        <w:t xml:space="preserve"> </w:t>
      </w:r>
      <w:r w:rsidRPr="00FD40B8">
        <w:rPr>
          <w:color w:val="131727" w:themeColor="text1"/>
          <w:w w:val="110"/>
          <w:sz w:val="16"/>
        </w:rPr>
        <w:t>allow</w:t>
      </w:r>
      <w:r w:rsidRPr="00FD40B8">
        <w:rPr>
          <w:color w:val="131727" w:themeColor="text1"/>
          <w:spacing w:val="-2"/>
          <w:w w:val="110"/>
          <w:sz w:val="16"/>
        </w:rPr>
        <w:t xml:space="preserve"> </w:t>
      </w:r>
      <w:r w:rsidRPr="00FD40B8">
        <w:rPr>
          <w:color w:val="131727" w:themeColor="text1"/>
          <w:w w:val="110"/>
          <w:sz w:val="16"/>
        </w:rPr>
        <w:t>them</w:t>
      </w:r>
      <w:r w:rsidRPr="00FD40B8">
        <w:rPr>
          <w:color w:val="131727" w:themeColor="text1"/>
          <w:spacing w:val="-2"/>
          <w:w w:val="110"/>
          <w:sz w:val="16"/>
        </w:rPr>
        <w:t xml:space="preserve"> </w:t>
      </w:r>
      <w:r w:rsidRPr="00FD40B8">
        <w:rPr>
          <w:color w:val="131727" w:themeColor="text1"/>
          <w:w w:val="110"/>
          <w:sz w:val="16"/>
        </w:rPr>
        <w:t>to</w:t>
      </w:r>
      <w:r w:rsidRPr="00FD40B8">
        <w:rPr>
          <w:color w:val="131727" w:themeColor="text1"/>
          <w:spacing w:val="-2"/>
          <w:w w:val="110"/>
          <w:sz w:val="16"/>
        </w:rPr>
        <w:t xml:space="preserve"> </w:t>
      </w:r>
      <w:r w:rsidRPr="00FD40B8">
        <w:rPr>
          <w:color w:val="131727" w:themeColor="text1"/>
          <w:w w:val="110"/>
          <w:sz w:val="16"/>
        </w:rPr>
        <w:t>have</w:t>
      </w:r>
      <w:r w:rsidRPr="00FD40B8">
        <w:rPr>
          <w:color w:val="131727" w:themeColor="text1"/>
          <w:spacing w:val="-2"/>
          <w:w w:val="110"/>
          <w:sz w:val="16"/>
        </w:rPr>
        <w:t xml:space="preserve"> </w:t>
      </w:r>
      <w:r w:rsidRPr="00FD40B8">
        <w:rPr>
          <w:color w:val="131727" w:themeColor="text1"/>
          <w:w w:val="110"/>
          <w:sz w:val="16"/>
        </w:rPr>
        <w:t>control</w:t>
      </w:r>
      <w:r w:rsidRPr="00FD40B8">
        <w:rPr>
          <w:color w:val="131727" w:themeColor="text1"/>
          <w:spacing w:val="-4"/>
          <w:w w:val="110"/>
          <w:sz w:val="16"/>
        </w:rPr>
        <w:t xml:space="preserve"> </w:t>
      </w:r>
      <w:r w:rsidRPr="00FD40B8">
        <w:rPr>
          <w:color w:val="131727" w:themeColor="text1"/>
          <w:w w:val="110"/>
          <w:sz w:val="16"/>
        </w:rPr>
        <w:t>of,</w:t>
      </w:r>
      <w:r w:rsidRPr="00FD40B8">
        <w:rPr>
          <w:color w:val="131727" w:themeColor="text1"/>
          <w:spacing w:val="-2"/>
          <w:w w:val="110"/>
          <w:sz w:val="16"/>
        </w:rPr>
        <w:t xml:space="preserve"> </w:t>
      </w:r>
      <w:r w:rsidRPr="00FD40B8">
        <w:rPr>
          <w:color w:val="131727" w:themeColor="text1"/>
          <w:w w:val="110"/>
          <w:sz w:val="16"/>
        </w:rPr>
        <w:t>and</w:t>
      </w:r>
      <w:r w:rsidRPr="00FD40B8">
        <w:rPr>
          <w:color w:val="131727" w:themeColor="text1"/>
          <w:spacing w:val="-1"/>
          <w:w w:val="110"/>
          <w:sz w:val="16"/>
        </w:rPr>
        <w:t xml:space="preserve"> </w:t>
      </w:r>
      <w:r w:rsidRPr="00FD40B8">
        <w:rPr>
          <w:color w:val="131727" w:themeColor="text1"/>
          <w:w w:val="110"/>
          <w:sz w:val="16"/>
        </w:rPr>
        <w:t>access</w:t>
      </w:r>
      <w:r w:rsidRPr="00FD40B8">
        <w:rPr>
          <w:color w:val="131727" w:themeColor="text1"/>
          <w:spacing w:val="-2"/>
          <w:w w:val="110"/>
          <w:sz w:val="16"/>
        </w:rPr>
        <w:t xml:space="preserve"> </w:t>
      </w:r>
      <w:r w:rsidRPr="00FD40B8">
        <w:rPr>
          <w:color w:val="131727" w:themeColor="text1"/>
          <w:w w:val="110"/>
          <w:sz w:val="16"/>
        </w:rPr>
        <w:t>to</w:t>
      </w:r>
      <w:r w:rsidRPr="00FD40B8">
        <w:rPr>
          <w:color w:val="131727" w:themeColor="text1"/>
          <w:spacing w:val="-3"/>
          <w:w w:val="110"/>
          <w:sz w:val="16"/>
        </w:rPr>
        <w:t xml:space="preserve"> </w:t>
      </w:r>
      <w:r w:rsidRPr="00FD40B8">
        <w:rPr>
          <w:color w:val="131727" w:themeColor="text1"/>
          <w:w w:val="110"/>
          <w:sz w:val="16"/>
        </w:rPr>
        <w:t>space</w:t>
      </w:r>
      <w:r w:rsidRPr="00FD40B8">
        <w:rPr>
          <w:color w:val="131727" w:themeColor="text1"/>
          <w:spacing w:val="-2"/>
          <w:w w:val="110"/>
          <w:sz w:val="16"/>
        </w:rPr>
        <w:t xml:space="preserve"> </w:t>
      </w:r>
      <w:r w:rsidRPr="00FD40B8">
        <w:rPr>
          <w:color w:val="131727" w:themeColor="text1"/>
          <w:w w:val="110"/>
          <w:sz w:val="16"/>
        </w:rPr>
        <w:t>for</w:t>
      </w:r>
      <w:r w:rsidRPr="00FD40B8">
        <w:rPr>
          <w:color w:val="131727" w:themeColor="text1"/>
          <w:spacing w:val="-1"/>
          <w:w w:val="110"/>
          <w:sz w:val="16"/>
        </w:rPr>
        <w:t xml:space="preserve"> </w:t>
      </w:r>
      <w:r w:rsidRPr="00FD40B8">
        <w:rPr>
          <w:color w:val="131727" w:themeColor="text1"/>
          <w:w w:val="110"/>
          <w:sz w:val="16"/>
        </w:rPr>
        <w:t>social</w:t>
      </w:r>
      <w:r w:rsidRPr="00FD40B8">
        <w:rPr>
          <w:color w:val="131727" w:themeColor="text1"/>
          <w:spacing w:val="-4"/>
          <w:w w:val="110"/>
          <w:sz w:val="16"/>
        </w:rPr>
        <w:t xml:space="preserve"> </w:t>
      </w:r>
      <w:r w:rsidRPr="00FD40B8">
        <w:rPr>
          <w:color w:val="131727" w:themeColor="text1"/>
          <w:spacing w:val="-2"/>
          <w:w w:val="110"/>
          <w:sz w:val="16"/>
        </w:rPr>
        <w:t>relations’.</w:t>
      </w:r>
    </w:p>
    <w:p w14:paraId="3C912D3B" w14:textId="77777777" w:rsidR="00811887" w:rsidRPr="00FD40B8" w:rsidRDefault="00811887" w:rsidP="00811887">
      <w:pPr>
        <w:rPr>
          <w:rFonts w:ascii="Symbol" w:hAnsi="Symbol"/>
          <w:color w:val="131727" w:themeColor="text1"/>
          <w:sz w:val="16"/>
        </w:rPr>
        <w:sectPr w:rsidR="00811887" w:rsidRPr="00FD40B8" w:rsidSect="00811887">
          <w:pgSz w:w="11910" w:h="16840"/>
          <w:pgMar w:top="1320" w:right="720" w:bottom="1080" w:left="740" w:header="0" w:footer="885" w:gutter="0"/>
          <w:cols w:space="720"/>
        </w:sectPr>
      </w:pPr>
    </w:p>
    <w:p w14:paraId="28811660"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sz w:val="2"/>
        </w:rPr>
        <w:lastRenderedPageBreak/>
        <mc:AlternateContent>
          <mc:Choice Requires="wpg">
            <w:drawing>
              <wp:inline distT="0" distB="0" distL="0" distR="0" wp14:anchorId="701E459B" wp14:editId="54612C91">
                <wp:extent cx="6016625" cy="6350"/>
                <wp:effectExtent l="0" t="0" r="0" b="0"/>
                <wp:docPr id="119" name="Group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20" name="Graphic 120"/>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51198360" id="Group 119"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">
                <v:shape id="Graphic 120"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" path="m6016117,l,,,6096r6016117,l6016117,xe" fillcolor="#4d665b" stroked="f">
                  <v:path arrowok="t"/>
                </v:shape>
                <w10:anchorlock/>
              </v:group>
            </w:pict>
          </mc:Fallback>
        </mc:AlternateContent>
      </w:r>
    </w:p>
    <w:p w14:paraId="7B442C40" w14:textId="77777777" w:rsidR="00811887" w:rsidRPr="00FD40B8" w:rsidRDefault="00811887" w:rsidP="00811887">
      <w:pPr>
        <w:pStyle w:val="Heading1"/>
        <w:rPr>
          <w:color w:val="131727" w:themeColor="text1"/>
        </w:rPr>
      </w:pPr>
      <w:bookmarkStart w:id="120" w:name="_bookmark9"/>
      <w:bookmarkEnd w:id="120"/>
      <w:r w:rsidRPr="00FD40B8">
        <w:rPr>
          <w:color w:val="131727" w:themeColor="text1"/>
        </w:rPr>
        <w:t xml:space="preserve">Summary findings and </w:t>
      </w:r>
      <w:r w:rsidRPr="00FD40B8">
        <w:rPr>
          <w:color w:val="131727" w:themeColor="text1"/>
          <w:spacing w:val="-2"/>
        </w:rPr>
        <w:t>recommendations</w:t>
      </w:r>
    </w:p>
    <w:p w14:paraId="0162891E" w14:textId="77777777" w:rsidR="00811887" w:rsidRPr="00FD40B8" w:rsidRDefault="00811887" w:rsidP="00811887">
      <w:pPr>
        <w:pStyle w:val="BodyText"/>
        <w:spacing w:before="91"/>
        <w:rPr>
          <w:rFonts w:ascii="Book Antiqua"/>
          <w:color w:val="131727" w:themeColor="text1"/>
        </w:rPr>
      </w:pPr>
      <w:r w:rsidRPr="00FD40B8">
        <w:rPr>
          <w:noProof/>
          <w:color w:val="131727" w:themeColor="text1"/>
        </w:rPr>
        <mc:AlternateContent>
          <mc:Choice Requires="wps">
            <w:drawing>
              <wp:anchor distT="0" distB="0" distL="0" distR="0" simplePos="0" relativeHeight="251732992" behindDoc="1" locked="0" layoutInCell="1" allowOverlap="1" wp14:anchorId="2EF787D3" wp14:editId="692278A0">
                <wp:simplePos x="0" y="0"/>
                <wp:positionH relativeFrom="page">
                  <wp:posOffset>774496</wp:posOffset>
                </wp:positionH>
                <wp:positionV relativeFrom="paragraph">
                  <wp:posOffset>231047</wp:posOffset>
                </wp:positionV>
                <wp:extent cx="6016625" cy="6350"/>
                <wp:effectExtent l="0" t="0" r="0" b="0"/>
                <wp:wrapTopAndBottom/>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7DD9D29F" id="Graphic 121" o:spid="_x0000_s1026" alt="&quot;&quot;" style="position:absolute;margin-left:61pt;margin-top:18.2pt;width:473.75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" path="m6016117,l,,,6096r6016117,l6016117,xe" fillcolor="#4d665b" stroked="f">
                <v:path arrowok="t"/>
                <w10:wrap type="topAndBottom" anchorx="page"/>
              </v:shape>
            </w:pict>
          </mc:Fallback>
        </mc:AlternateContent>
      </w:r>
    </w:p>
    <w:p w14:paraId="3C32ECBC" w14:textId="77777777" w:rsidR="00811887" w:rsidRPr="00FD40B8" w:rsidRDefault="00811887" w:rsidP="00811887">
      <w:pPr>
        <w:spacing w:before="238"/>
        <w:ind w:left="508"/>
        <w:rPr>
          <w:rFonts w:ascii="Book Antiqua"/>
          <w:b/>
          <w:i/>
          <w:color w:val="131727" w:themeColor="text1"/>
        </w:rPr>
      </w:pPr>
      <w:r w:rsidRPr="00FD40B8">
        <w:rPr>
          <w:rFonts w:ascii="Book Antiqua"/>
          <w:b/>
          <w:i/>
          <w:color w:val="131727" w:themeColor="text1"/>
        </w:rPr>
        <w:t>This</w:t>
      </w:r>
      <w:r w:rsidRPr="00FD40B8">
        <w:rPr>
          <w:rFonts w:ascii="Book Antiqua"/>
          <w:b/>
          <w:i/>
          <w:color w:val="131727" w:themeColor="text1"/>
          <w:spacing w:val="-6"/>
        </w:rPr>
        <w:t xml:space="preserve"> </w:t>
      </w:r>
      <w:r w:rsidRPr="00FD40B8">
        <w:rPr>
          <w:rFonts w:ascii="Book Antiqua"/>
          <w:b/>
          <w:i/>
          <w:color w:val="131727" w:themeColor="text1"/>
        </w:rPr>
        <w:t>section of</w:t>
      </w:r>
      <w:r w:rsidRPr="00FD40B8">
        <w:rPr>
          <w:rFonts w:ascii="Book Antiqua"/>
          <w:b/>
          <w:i/>
          <w:color w:val="131727" w:themeColor="text1"/>
          <w:spacing w:val="-7"/>
        </w:rPr>
        <w:t xml:space="preserve"> </w:t>
      </w:r>
      <w:r w:rsidRPr="00FD40B8">
        <w:rPr>
          <w:rFonts w:ascii="Book Antiqua"/>
          <w:b/>
          <w:i/>
          <w:color w:val="131727" w:themeColor="text1"/>
        </w:rPr>
        <w:t>the</w:t>
      </w:r>
      <w:r w:rsidRPr="00FD40B8">
        <w:rPr>
          <w:rFonts w:ascii="Book Antiqua"/>
          <w:b/>
          <w:i/>
          <w:color w:val="131727" w:themeColor="text1"/>
          <w:spacing w:val="-8"/>
        </w:rPr>
        <w:t xml:space="preserve"> </w:t>
      </w:r>
      <w:r w:rsidRPr="00FD40B8">
        <w:rPr>
          <w:rFonts w:ascii="Book Antiqua"/>
          <w:b/>
          <w:i/>
          <w:color w:val="131727" w:themeColor="text1"/>
        </w:rPr>
        <w:t>report</w:t>
      </w:r>
      <w:r w:rsidRPr="00FD40B8">
        <w:rPr>
          <w:rFonts w:ascii="Book Antiqua"/>
          <w:b/>
          <w:i/>
          <w:color w:val="131727" w:themeColor="text1"/>
          <w:spacing w:val="-5"/>
        </w:rPr>
        <w:t xml:space="preserve"> </w:t>
      </w:r>
      <w:r w:rsidRPr="00FD40B8">
        <w:rPr>
          <w:rFonts w:ascii="Book Antiqua"/>
          <w:b/>
          <w:i/>
          <w:color w:val="131727" w:themeColor="text1"/>
        </w:rPr>
        <w:t>provides</w:t>
      </w:r>
      <w:r w:rsidRPr="00FD40B8">
        <w:rPr>
          <w:rFonts w:ascii="Book Antiqua"/>
          <w:b/>
          <w:i/>
          <w:color w:val="131727" w:themeColor="text1"/>
          <w:spacing w:val="-8"/>
        </w:rPr>
        <w:t xml:space="preserve"> </w:t>
      </w:r>
      <w:r w:rsidRPr="00FD40B8">
        <w:rPr>
          <w:rFonts w:ascii="Book Antiqua"/>
          <w:b/>
          <w:i/>
          <w:color w:val="131727" w:themeColor="text1"/>
        </w:rPr>
        <w:t>a summary</w:t>
      </w:r>
      <w:r w:rsidRPr="00FD40B8">
        <w:rPr>
          <w:rFonts w:ascii="Book Antiqua"/>
          <w:b/>
          <w:i/>
          <w:color w:val="131727" w:themeColor="text1"/>
          <w:spacing w:val="-4"/>
        </w:rPr>
        <w:t xml:space="preserve"> </w:t>
      </w:r>
      <w:r w:rsidRPr="00FD40B8">
        <w:rPr>
          <w:rFonts w:ascii="Book Antiqua"/>
          <w:b/>
          <w:i/>
          <w:color w:val="131727" w:themeColor="text1"/>
        </w:rPr>
        <w:t>of</w:t>
      </w:r>
      <w:r w:rsidRPr="00FD40B8">
        <w:rPr>
          <w:rFonts w:ascii="Book Antiqua"/>
          <w:b/>
          <w:i/>
          <w:color w:val="131727" w:themeColor="text1"/>
          <w:spacing w:val="-7"/>
        </w:rPr>
        <w:t xml:space="preserve"> </w:t>
      </w:r>
      <w:r w:rsidRPr="00FD40B8">
        <w:rPr>
          <w:rFonts w:ascii="Book Antiqua"/>
          <w:b/>
          <w:i/>
          <w:color w:val="131727" w:themeColor="text1"/>
        </w:rPr>
        <w:t>the</w:t>
      </w:r>
      <w:r w:rsidRPr="00FD40B8">
        <w:rPr>
          <w:rFonts w:ascii="Book Antiqua"/>
          <w:b/>
          <w:i/>
          <w:color w:val="131727" w:themeColor="text1"/>
          <w:spacing w:val="-3"/>
        </w:rPr>
        <w:t xml:space="preserve"> </w:t>
      </w:r>
      <w:r w:rsidRPr="00FD40B8">
        <w:rPr>
          <w:rFonts w:ascii="Book Antiqua"/>
          <w:b/>
          <w:i/>
          <w:color w:val="131727" w:themeColor="text1"/>
        </w:rPr>
        <w:t>overall</w:t>
      </w:r>
      <w:r w:rsidRPr="00FD40B8">
        <w:rPr>
          <w:rFonts w:ascii="Book Antiqua"/>
          <w:b/>
          <w:i/>
          <w:color w:val="131727" w:themeColor="text1"/>
          <w:spacing w:val="-4"/>
        </w:rPr>
        <w:t xml:space="preserve"> </w:t>
      </w:r>
      <w:r w:rsidRPr="00FD40B8">
        <w:rPr>
          <w:rFonts w:ascii="Book Antiqua"/>
          <w:b/>
          <w:i/>
          <w:color w:val="131727" w:themeColor="text1"/>
        </w:rPr>
        <w:t>findings</w:t>
      </w:r>
      <w:r w:rsidRPr="00FD40B8">
        <w:rPr>
          <w:rFonts w:ascii="Book Antiqua"/>
          <w:b/>
          <w:i/>
          <w:color w:val="131727" w:themeColor="text1"/>
          <w:spacing w:val="-8"/>
        </w:rPr>
        <w:t xml:space="preserve"> </w:t>
      </w:r>
      <w:r w:rsidRPr="00FD40B8">
        <w:rPr>
          <w:rFonts w:ascii="Book Antiqua"/>
          <w:b/>
          <w:i/>
          <w:color w:val="131727" w:themeColor="text1"/>
        </w:rPr>
        <w:t>and</w:t>
      </w:r>
      <w:r w:rsidRPr="00FD40B8">
        <w:rPr>
          <w:rFonts w:ascii="Book Antiqua"/>
          <w:b/>
          <w:i/>
          <w:color w:val="131727" w:themeColor="text1"/>
          <w:spacing w:val="1"/>
        </w:rPr>
        <w:t xml:space="preserve"> </w:t>
      </w:r>
      <w:r w:rsidRPr="00FD40B8">
        <w:rPr>
          <w:rFonts w:ascii="Book Antiqua"/>
          <w:b/>
          <w:i/>
          <w:color w:val="131727" w:themeColor="text1"/>
          <w:spacing w:val="-2"/>
        </w:rPr>
        <w:t>recommendations.</w:t>
      </w:r>
    </w:p>
    <w:p w14:paraId="08B0C1EA" w14:textId="77777777" w:rsidR="00811887" w:rsidRPr="00FD40B8" w:rsidRDefault="00811887" w:rsidP="00811887">
      <w:pPr>
        <w:pStyle w:val="BodyText"/>
        <w:spacing w:before="85"/>
        <w:rPr>
          <w:rFonts w:ascii="Book Antiqua"/>
          <w:b/>
          <w:i/>
          <w:color w:val="131727" w:themeColor="text1"/>
          <w:sz w:val="22"/>
        </w:rPr>
      </w:pPr>
    </w:p>
    <w:p w14:paraId="000BF63E" w14:textId="77777777" w:rsidR="00811887" w:rsidRPr="00FD40B8" w:rsidRDefault="00811887" w:rsidP="00811887">
      <w:pPr>
        <w:pStyle w:val="Heading8"/>
        <w:rPr>
          <w:color w:val="131727" w:themeColor="text1"/>
        </w:rPr>
      </w:pPr>
      <w:r w:rsidRPr="00FD40B8">
        <w:rPr>
          <w:color w:val="131727" w:themeColor="text1"/>
        </w:rPr>
        <w:t xml:space="preserve">Key </w:t>
      </w:r>
      <w:r w:rsidRPr="00FD40B8">
        <w:rPr>
          <w:color w:val="131727" w:themeColor="text1"/>
          <w:spacing w:val="-2"/>
        </w:rPr>
        <w:t>findings:</w:t>
      </w:r>
    </w:p>
    <w:p w14:paraId="65F25FE5" w14:textId="77777777" w:rsidR="00811887" w:rsidRPr="00FD40B8" w:rsidRDefault="00811887" w:rsidP="00811887">
      <w:pPr>
        <w:pStyle w:val="BodyText"/>
        <w:spacing w:before="13"/>
        <w:rPr>
          <w:rFonts w:ascii="Book Antiqua"/>
          <w:b/>
          <w:i/>
          <w:color w:val="131727" w:themeColor="text1"/>
          <w:sz w:val="24"/>
        </w:rPr>
      </w:pPr>
    </w:p>
    <w:p w14:paraId="1E55B6F3" w14:textId="77777777" w:rsidR="00811887" w:rsidRPr="00FD40B8" w:rsidRDefault="00811887" w:rsidP="00FB2FE9">
      <w:pPr>
        <w:pStyle w:val="ListParagraph"/>
        <w:widowControl w:val="0"/>
        <w:numPr>
          <w:ilvl w:val="0"/>
          <w:numId w:val="68"/>
        </w:numPr>
        <w:tabs>
          <w:tab w:val="left" w:pos="1228"/>
        </w:tabs>
        <w:autoSpaceDE w:val="0"/>
        <w:autoSpaceDN w:val="0"/>
        <w:spacing w:after="0" w:line="266" w:lineRule="auto"/>
        <w:ind w:right="874"/>
        <w:contextualSpacing w:val="0"/>
        <w:rPr>
          <w:rFonts w:ascii="Symbol" w:hAnsi="Symbol"/>
          <w:color w:val="131727" w:themeColor="text1"/>
          <w:sz w:val="20"/>
        </w:rPr>
      </w:pPr>
      <w:r w:rsidRPr="00FD40B8">
        <w:rPr>
          <w:color w:val="131727" w:themeColor="text1"/>
          <w:w w:val="110"/>
          <w:sz w:val="20"/>
        </w:rPr>
        <w:t>There is a housing and homelessness crisis for Aboriginal and Torres Strait Islander people, undermining</w:t>
      </w:r>
      <w:r w:rsidRPr="00FD40B8">
        <w:rPr>
          <w:color w:val="131727" w:themeColor="text1"/>
          <w:spacing w:val="-5"/>
          <w:w w:val="110"/>
          <w:sz w:val="20"/>
        </w:rPr>
        <w:t xml:space="preserve"> </w:t>
      </w:r>
      <w:r w:rsidRPr="00FD40B8">
        <w:rPr>
          <w:color w:val="131727" w:themeColor="text1"/>
          <w:w w:val="110"/>
          <w:sz w:val="20"/>
        </w:rPr>
        <w:t>efforts across all areas</w:t>
      </w:r>
      <w:r w:rsidRPr="00FD40B8">
        <w:rPr>
          <w:color w:val="131727" w:themeColor="text1"/>
          <w:spacing w:val="-3"/>
          <w:w w:val="110"/>
          <w:sz w:val="20"/>
        </w:rPr>
        <w:t xml:space="preserve"> </w:t>
      </w:r>
      <w:r w:rsidRPr="00FD40B8">
        <w:rPr>
          <w:color w:val="131727" w:themeColor="text1"/>
          <w:w w:val="110"/>
          <w:sz w:val="20"/>
        </w:rPr>
        <w:t>to</w:t>
      </w:r>
      <w:r w:rsidRPr="00FD40B8">
        <w:rPr>
          <w:color w:val="131727" w:themeColor="text1"/>
          <w:spacing w:val="-3"/>
          <w:w w:val="110"/>
          <w:sz w:val="20"/>
        </w:rPr>
        <w:t xml:space="preserve"> </w:t>
      </w:r>
      <w:r w:rsidRPr="00FD40B8">
        <w:rPr>
          <w:color w:val="131727" w:themeColor="text1"/>
          <w:w w:val="110"/>
          <w:sz w:val="20"/>
        </w:rPr>
        <w:t>close</w:t>
      </w:r>
      <w:r w:rsidRPr="00FD40B8">
        <w:rPr>
          <w:color w:val="131727" w:themeColor="text1"/>
          <w:spacing w:val="-1"/>
          <w:w w:val="110"/>
          <w:sz w:val="20"/>
        </w:rPr>
        <w:t xml:space="preserve"> </w:t>
      </w:r>
      <w:r w:rsidRPr="00FD40B8">
        <w:rPr>
          <w:color w:val="131727" w:themeColor="text1"/>
          <w:w w:val="110"/>
          <w:sz w:val="20"/>
        </w:rPr>
        <w:t>the</w:t>
      </w:r>
      <w:r w:rsidRPr="00FD40B8">
        <w:rPr>
          <w:color w:val="131727" w:themeColor="text1"/>
          <w:spacing w:val="-5"/>
          <w:w w:val="110"/>
          <w:sz w:val="20"/>
        </w:rPr>
        <w:t xml:space="preserve"> </w:t>
      </w:r>
      <w:r w:rsidRPr="00FD40B8">
        <w:rPr>
          <w:color w:val="131727" w:themeColor="text1"/>
          <w:w w:val="110"/>
          <w:sz w:val="20"/>
        </w:rPr>
        <w:t>gap</w:t>
      </w:r>
      <w:r w:rsidRPr="00FD40B8">
        <w:rPr>
          <w:color w:val="131727" w:themeColor="text1"/>
          <w:spacing w:val="-5"/>
          <w:w w:val="110"/>
          <w:sz w:val="20"/>
        </w:rPr>
        <w:t xml:space="preserve"> </w:t>
      </w:r>
      <w:r w:rsidRPr="00FD40B8">
        <w:rPr>
          <w:color w:val="131727" w:themeColor="text1"/>
          <w:w w:val="110"/>
          <w:sz w:val="20"/>
        </w:rPr>
        <w:t>in</w:t>
      </w:r>
      <w:r w:rsidRPr="00FD40B8">
        <w:rPr>
          <w:color w:val="131727" w:themeColor="text1"/>
          <w:spacing w:val="-4"/>
          <w:w w:val="110"/>
          <w:sz w:val="20"/>
        </w:rPr>
        <w:t xml:space="preserve"> </w:t>
      </w:r>
      <w:r w:rsidRPr="00FD40B8">
        <w:rPr>
          <w:color w:val="131727" w:themeColor="text1"/>
          <w:w w:val="110"/>
          <w:sz w:val="20"/>
        </w:rPr>
        <w:t>life</w:t>
      </w:r>
      <w:r w:rsidRPr="00FD40B8">
        <w:rPr>
          <w:color w:val="131727" w:themeColor="text1"/>
          <w:spacing w:val="-5"/>
          <w:w w:val="110"/>
          <w:sz w:val="20"/>
        </w:rPr>
        <w:t xml:space="preserve"> </w:t>
      </w:r>
      <w:r w:rsidRPr="00FD40B8">
        <w:rPr>
          <w:color w:val="131727" w:themeColor="text1"/>
          <w:w w:val="110"/>
          <w:sz w:val="20"/>
        </w:rPr>
        <w:t>outcomes between</w:t>
      </w:r>
      <w:r w:rsidRPr="00FD40B8">
        <w:rPr>
          <w:color w:val="131727" w:themeColor="text1"/>
          <w:spacing w:val="-1"/>
          <w:w w:val="110"/>
          <w:sz w:val="20"/>
        </w:rPr>
        <w:t xml:space="preserve"> </w:t>
      </w:r>
      <w:r w:rsidRPr="00FD40B8">
        <w:rPr>
          <w:color w:val="131727" w:themeColor="text1"/>
          <w:w w:val="110"/>
          <w:sz w:val="20"/>
        </w:rPr>
        <w:t>Aboriginal and Torres Strait Islander people and non-Indigenous Australians.</w:t>
      </w:r>
    </w:p>
    <w:p w14:paraId="595858D3" w14:textId="77777777" w:rsidR="00811887" w:rsidRPr="00FD40B8" w:rsidRDefault="00811887" w:rsidP="00FB2FE9">
      <w:pPr>
        <w:pStyle w:val="ListParagraph"/>
        <w:widowControl w:val="0"/>
        <w:numPr>
          <w:ilvl w:val="0"/>
          <w:numId w:val="68"/>
        </w:numPr>
        <w:tabs>
          <w:tab w:val="left" w:pos="1228"/>
        </w:tabs>
        <w:autoSpaceDE w:val="0"/>
        <w:autoSpaceDN w:val="0"/>
        <w:spacing w:before="233" w:after="0" w:line="266" w:lineRule="auto"/>
        <w:ind w:right="571"/>
        <w:contextualSpacing w:val="0"/>
        <w:rPr>
          <w:rFonts w:ascii="Symbol" w:hAnsi="Symbol"/>
          <w:color w:val="131727" w:themeColor="text1"/>
          <w:sz w:val="20"/>
        </w:rPr>
      </w:pPr>
      <w:r w:rsidRPr="00FD40B8">
        <w:rPr>
          <w:color w:val="131727" w:themeColor="text1"/>
          <w:w w:val="110"/>
          <w:sz w:val="20"/>
        </w:rPr>
        <w:t>Since 2020, through the initiative of the newly formed</w:t>
      </w:r>
      <w:r w:rsidRPr="00FD40B8">
        <w:rPr>
          <w:color w:val="131727" w:themeColor="text1"/>
          <w:spacing w:val="-5"/>
          <w:w w:val="110"/>
          <w:sz w:val="20"/>
        </w:rPr>
        <w:t xml:space="preserve"> </w:t>
      </w:r>
      <w:r w:rsidRPr="00FD40B8">
        <w:rPr>
          <w:color w:val="131727" w:themeColor="text1"/>
          <w:w w:val="110"/>
          <w:sz w:val="20"/>
        </w:rPr>
        <w:t>Coalition of Peaks, there has been a renewed focus on Aboriginal and Torres Strait Islander housing needs and the responsibility of the Australian Government. The National Agreement on Closing the Gap (Closing the Gap Agreement) sets out housing as a key policy priority</w:t>
      </w:r>
      <w:hyperlink w:anchor="_bookmark10" w:history="1">
        <w:r w:rsidRPr="00FD40B8">
          <w:rPr>
            <w:color w:val="131727" w:themeColor="text1"/>
            <w:w w:val="110"/>
            <w:sz w:val="20"/>
          </w:rPr>
          <w:t>.</w:t>
        </w:r>
        <w:r w:rsidRPr="00FD40B8">
          <w:rPr>
            <w:color w:val="131727" w:themeColor="text1"/>
            <w:w w:val="110"/>
            <w:position w:val="8"/>
            <w:sz w:val="13"/>
          </w:rPr>
          <w:t>6</w:t>
        </w:r>
      </w:hyperlink>
      <w:r w:rsidRPr="00FD40B8">
        <w:rPr>
          <w:color w:val="131727" w:themeColor="text1"/>
          <w:w w:val="110"/>
          <w:position w:val="8"/>
          <w:sz w:val="13"/>
        </w:rPr>
        <w:t xml:space="preserve"> </w:t>
      </w:r>
      <w:r w:rsidRPr="00FD40B8">
        <w:rPr>
          <w:color w:val="131727" w:themeColor="text1"/>
          <w:w w:val="110"/>
          <w:sz w:val="20"/>
        </w:rPr>
        <w:t>It introduces a housing “outcome” and a housing</w:t>
      </w:r>
      <w:r w:rsidRPr="00FD40B8">
        <w:rPr>
          <w:color w:val="131727" w:themeColor="text1"/>
          <w:spacing w:val="-7"/>
          <w:w w:val="110"/>
          <w:sz w:val="20"/>
        </w:rPr>
        <w:t xml:space="preserve"> </w:t>
      </w:r>
      <w:r w:rsidRPr="00FD40B8">
        <w:rPr>
          <w:color w:val="131727" w:themeColor="text1"/>
          <w:w w:val="110"/>
          <w:sz w:val="20"/>
        </w:rPr>
        <w:t>related</w:t>
      </w:r>
      <w:r w:rsidRPr="00FD40B8">
        <w:rPr>
          <w:color w:val="131727" w:themeColor="text1"/>
          <w:spacing w:val="-11"/>
          <w:w w:val="110"/>
          <w:sz w:val="20"/>
        </w:rPr>
        <w:t xml:space="preserve"> </w:t>
      </w:r>
      <w:r w:rsidRPr="00FD40B8">
        <w:rPr>
          <w:color w:val="131727" w:themeColor="text1"/>
          <w:w w:val="110"/>
          <w:sz w:val="20"/>
        </w:rPr>
        <w:t>“target”</w:t>
      </w:r>
      <w:r w:rsidRPr="00FD40B8">
        <w:rPr>
          <w:color w:val="131727" w:themeColor="text1"/>
          <w:spacing w:val="-6"/>
          <w:w w:val="110"/>
          <w:sz w:val="20"/>
        </w:rPr>
        <w:t xml:space="preserve"> </w:t>
      </w:r>
      <w:r w:rsidRPr="00FD40B8">
        <w:rPr>
          <w:color w:val="131727" w:themeColor="text1"/>
          <w:w w:val="110"/>
          <w:sz w:val="20"/>
        </w:rPr>
        <w:t>for</w:t>
      </w:r>
      <w:r w:rsidRPr="00FD40B8">
        <w:rPr>
          <w:color w:val="131727" w:themeColor="text1"/>
          <w:spacing w:val="-9"/>
          <w:w w:val="110"/>
          <w:sz w:val="20"/>
        </w:rPr>
        <w:t xml:space="preserve"> </w:t>
      </w:r>
      <w:r w:rsidRPr="00FD40B8">
        <w:rPr>
          <w:color w:val="131727" w:themeColor="text1"/>
          <w:w w:val="110"/>
          <w:sz w:val="20"/>
        </w:rPr>
        <w:t>the</w:t>
      </w:r>
      <w:r w:rsidRPr="00FD40B8">
        <w:rPr>
          <w:color w:val="131727" w:themeColor="text1"/>
          <w:spacing w:val="-11"/>
          <w:w w:val="110"/>
          <w:sz w:val="20"/>
        </w:rPr>
        <w:t xml:space="preserve"> </w:t>
      </w:r>
      <w:r w:rsidRPr="00FD40B8">
        <w:rPr>
          <w:color w:val="131727" w:themeColor="text1"/>
          <w:w w:val="110"/>
          <w:sz w:val="20"/>
        </w:rPr>
        <w:t>first</w:t>
      </w:r>
      <w:r w:rsidRPr="00FD40B8">
        <w:rPr>
          <w:color w:val="131727" w:themeColor="text1"/>
          <w:spacing w:val="-7"/>
          <w:w w:val="110"/>
          <w:sz w:val="20"/>
        </w:rPr>
        <w:t xml:space="preserve"> </w:t>
      </w:r>
      <w:r w:rsidRPr="00FD40B8">
        <w:rPr>
          <w:color w:val="131727" w:themeColor="text1"/>
          <w:w w:val="110"/>
          <w:sz w:val="20"/>
        </w:rPr>
        <w:t>time</w:t>
      </w:r>
      <w:r w:rsidRPr="00FD40B8">
        <w:rPr>
          <w:color w:val="131727" w:themeColor="text1"/>
          <w:spacing w:val="-12"/>
          <w:w w:val="110"/>
          <w:sz w:val="20"/>
        </w:rPr>
        <w:t xml:space="preserve"> </w:t>
      </w:r>
      <w:r w:rsidRPr="00FD40B8">
        <w:rPr>
          <w:color w:val="131727" w:themeColor="text1"/>
          <w:w w:val="110"/>
          <w:sz w:val="20"/>
        </w:rPr>
        <w:t>into</w:t>
      </w:r>
      <w:r w:rsidRPr="00FD40B8">
        <w:rPr>
          <w:color w:val="131727" w:themeColor="text1"/>
          <w:spacing w:val="-7"/>
          <w:w w:val="110"/>
          <w:sz w:val="20"/>
        </w:rPr>
        <w:t xml:space="preserve"> </w:t>
      </w:r>
      <w:r w:rsidRPr="00FD40B8">
        <w:rPr>
          <w:color w:val="131727" w:themeColor="text1"/>
          <w:w w:val="110"/>
          <w:sz w:val="20"/>
        </w:rPr>
        <w:t>the</w:t>
      </w:r>
      <w:r w:rsidRPr="00FD40B8">
        <w:rPr>
          <w:color w:val="131727" w:themeColor="text1"/>
          <w:spacing w:val="-7"/>
          <w:w w:val="110"/>
          <w:sz w:val="20"/>
        </w:rPr>
        <w:t xml:space="preserve"> </w:t>
      </w:r>
      <w:r w:rsidRPr="00FD40B8">
        <w:rPr>
          <w:color w:val="131727" w:themeColor="text1"/>
          <w:w w:val="110"/>
          <w:sz w:val="20"/>
        </w:rPr>
        <w:t>Closing</w:t>
      </w:r>
      <w:r w:rsidRPr="00FD40B8">
        <w:rPr>
          <w:color w:val="131727" w:themeColor="text1"/>
          <w:spacing w:val="-7"/>
          <w:w w:val="110"/>
          <w:sz w:val="20"/>
        </w:rPr>
        <w:t xml:space="preserve"> </w:t>
      </w:r>
      <w:r w:rsidRPr="00FD40B8">
        <w:rPr>
          <w:color w:val="131727" w:themeColor="text1"/>
          <w:w w:val="110"/>
          <w:sz w:val="20"/>
        </w:rPr>
        <w:t>the</w:t>
      </w:r>
      <w:r w:rsidRPr="00FD40B8">
        <w:rPr>
          <w:color w:val="131727" w:themeColor="text1"/>
          <w:spacing w:val="-11"/>
          <w:w w:val="110"/>
          <w:sz w:val="20"/>
        </w:rPr>
        <w:t xml:space="preserve"> </w:t>
      </w:r>
      <w:r w:rsidRPr="00FD40B8">
        <w:rPr>
          <w:color w:val="131727" w:themeColor="text1"/>
          <w:w w:val="110"/>
          <w:sz w:val="20"/>
        </w:rPr>
        <w:t>Gap</w:t>
      </w:r>
      <w:r w:rsidRPr="00FD40B8">
        <w:rPr>
          <w:color w:val="131727" w:themeColor="text1"/>
          <w:spacing w:val="-7"/>
          <w:w w:val="110"/>
          <w:sz w:val="20"/>
        </w:rPr>
        <w:t xml:space="preserve"> </w:t>
      </w:r>
      <w:r w:rsidRPr="00FD40B8">
        <w:rPr>
          <w:color w:val="131727" w:themeColor="text1"/>
          <w:w w:val="110"/>
          <w:sz w:val="20"/>
        </w:rPr>
        <w:t>reporting.</w:t>
      </w:r>
      <w:r w:rsidRPr="00FD40B8">
        <w:rPr>
          <w:color w:val="131727" w:themeColor="text1"/>
          <w:spacing w:val="-7"/>
          <w:w w:val="110"/>
          <w:sz w:val="20"/>
        </w:rPr>
        <w:t xml:space="preserve"> </w:t>
      </w:r>
      <w:r w:rsidRPr="00FD40B8">
        <w:rPr>
          <w:color w:val="131727" w:themeColor="text1"/>
          <w:w w:val="110"/>
          <w:sz w:val="20"/>
        </w:rPr>
        <w:t>It</w:t>
      </w:r>
      <w:r w:rsidRPr="00FD40B8">
        <w:rPr>
          <w:color w:val="131727" w:themeColor="text1"/>
          <w:spacing w:val="-11"/>
          <w:w w:val="110"/>
          <w:sz w:val="20"/>
        </w:rPr>
        <w:t xml:space="preserve"> </w:t>
      </w:r>
      <w:r w:rsidRPr="00FD40B8">
        <w:rPr>
          <w:color w:val="131727" w:themeColor="text1"/>
          <w:w w:val="110"/>
          <w:sz w:val="20"/>
        </w:rPr>
        <w:t>also</w:t>
      </w:r>
      <w:r w:rsidRPr="00FD40B8">
        <w:rPr>
          <w:color w:val="131727" w:themeColor="text1"/>
          <w:spacing w:val="-7"/>
          <w:w w:val="110"/>
          <w:sz w:val="20"/>
        </w:rPr>
        <w:t xml:space="preserve"> </w:t>
      </w:r>
      <w:r w:rsidRPr="00FD40B8">
        <w:rPr>
          <w:color w:val="131727" w:themeColor="text1"/>
          <w:w w:val="110"/>
          <w:sz w:val="20"/>
        </w:rPr>
        <w:t>acknowledges the importance of housing and community related infrastructure through the addition of a new dedicated</w:t>
      </w:r>
      <w:r w:rsidRPr="00FD40B8">
        <w:rPr>
          <w:color w:val="131727" w:themeColor="text1"/>
          <w:spacing w:val="-1"/>
          <w:w w:val="110"/>
          <w:sz w:val="20"/>
        </w:rPr>
        <w:t xml:space="preserve"> </w:t>
      </w:r>
      <w:r w:rsidRPr="00FD40B8">
        <w:rPr>
          <w:color w:val="131727" w:themeColor="text1"/>
          <w:w w:val="110"/>
          <w:sz w:val="20"/>
        </w:rPr>
        <w:t>“target”. However,</w:t>
      </w:r>
      <w:r w:rsidRPr="00FD40B8">
        <w:rPr>
          <w:color w:val="131727" w:themeColor="text1"/>
          <w:spacing w:val="-1"/>
          <w:w w:val="110"/>
          <w:sz w:val="20"/>
        </w:rPr>
        <w:t xml:space="preserve"> </w:t>
      </w:r>
      <w:r w:rsidRPr="00FD40B8">
        <w:rPr>
          <w:color w:val="131727" w:themeColor="text1"/>
          <w:w w:val="110"/>
          <w:sz w:val="20"/>
        </w:rPr>
        <w:t>there</w:t>
      </w:r>
      <w:r w:rsidRPr="00FD40B8">
        <w:rPr>
          <w:color w:val="131727" w:themeColor="text1"/>
          <w:spacing w:val="-1"/>
          <w:w w:val="110"/>
          <w:sz w:val="20"/>
        </w:rPr>
        <w:t xml:space="preserve"> </w:t>
      </w:r>
      <w:r w:rsidRPr="00FD40B8">
        <w:rPr>
          <w:color w:val="131727" w:themeColor="text1"/>
          <w:w w:val="110"/>
          <w:sz w:val="20"/>
        </w:rPr>
        <w:t>is no</w:t>
      </w:r>
      <w:r w:rsidRPr="00FD40B8">
        <w:rPr>
          <w:color w:val="131727" w:themeColor="text1"/>
          <w:spacing w:val="-2"/>
          <w:w w:val="110"/>
          <w:sz w:val="20"/>
        </w:rPr>
        <w:t xml:space="preserve"> </w:t>
      </w:r>
      <w:r w:rsidRPr="00FD40B8">
        <w:rPr>
          <w:color w:val="131727" w:themeColor="text1"/>
          <w:w w:val="110"/>
          <w:sz w:val="20"/>
        </w:rPr>
        <w:t>national investment</w:t>
      </w:r>
      <w:r w:rsidRPr="00FD40B8">
        <w:rPr>
          <w:color w:val="131727" w:themeColor="text1"/>
          <w:spacing w:val="-5"/>
          <w:w w:val="110"/>
          <w:sz w:val="20"/>
        </w:rPr>
        <w:t xml:space="preserve"> </w:t>
      </w:r>
      <w:r w:rsidRPr="00FD40B8">
        <w:rPr>
          <w:color w:val="131727" w:themeColor="text1"/>
          <w:w w:val="110"/>
          <w:sz w:val="20"/>
        </w:rPr>
        <w:t>strategy</w:t>
      </w:r>
      <w:r w:rsidRPr="00FD40B8">
        <w:rPr>
          <w:color w:val="131727" w:themeColor="text1"/>
          <w:spacing w:val="-2"/>
          <w:w w:val="110"/>
          <w:sz w:val="20"/>
        </w:rPr>
        <w:t xml:space="preserve"> </w:t>
      </w:r>
      <w:r w:rsidRPr="00FD40B8">
        <w:rPr>
          <w:color w:val="131727" w:themeColor="text1"/>
          <w:w w:val="110"/>
          <w:sz w:val="20"/>
        </w:rPr>
        <w:t>to</w:t>
      </w:r>
      <w:r w:rsidRPr="00FD40B8">
        <w:rPr>
          <w:color w:val="131727" w:themeColor="text1"/>
          <w:spacing w:val="-4"/>
          <w:w w:val="110"/>
          <w:sz w:val="20"/>
        </w:rPr>
        <w:t xml:space="preserve"> </w:t>
      </w:r>
      <w:r w:rsidRPr="00FD40B8">
        <w:rPr>
          <w:color w:val="131727" w:themeColor="text1"/>
          <w:w w:val="110"/>
          <w:sz w:val="20"/>
        </w:rPr>
        <w:t>meet</w:t>
      </w:r>
      <w:r w:rsidRPr="00FD40B8">
        <w:rPr>
          <w:color w:val="131727" w:themeColor="text1"/>
          <w:spacing w:val="-2"/>
          <w:w w:val="110"/>
          <w:sz w:val="20"/>
        </w:rPr>
        <w:t xml:space="preserve"> </w:t>
      </w:r>
      <w:r w:rsidRPr="00FD40B8">
        <w:rPr>
          <w:color w:val="131727" w:themeColor="text1"/>
          <w:w w:val="110"/>
          <w:sz w:val="20"/>
        </w:rPr>
        <w:t>these</w:t>
      </w:r>
      <w:r w:rsidRPr="00FD40B8">
        <w:rPr>
          <w:color w:val="131727" w:themeColor="text1"/>
          <w:spacing w:val="-1"/>
          <w:w w:val="110"/>
          <w:sz w:val="20"/>
        </w:rPr>
        <w:t xml:space="preserve"> </w:t>
      </w:r>
      <w:r w:rsidRPr="00FD40B8">
        <w:rPr>
          <w:color w:val="131727" w:themeColor="text1"/>
          <w:w w:val="110"/>
          <w:sz w:val="20"/>
        </w:rPr>
        <w:t>targets and no capacity for detailed monitoring of improvements in outcomes.</w:t>
      </w:r>
    </w:p>
    <w:p w14:paraId="2D547A9C" w14:textId="77777777" w:rsidR="00811887" w:rsidRPr="00FD40B8" w:rsidRDefault="00811887" w:rsidP="00FB2FE9">
      <w:pPr>
        <w:pStyle w:val="ListParagraph"/>
        <w:widowControl w:val="0"/>
        <w:numPr>
          <w:ilvl w:val="0"/>
          <w:numId w:val="68"/>
        </w:numPr>
        <w:tabs>
          <w:tab w:val="left" w:pos="1228"/>
        </w:tabs>
        <w:autoSpaceDE w:val="0"/>
        <w:autoSpaceDN w:val="0"/>
        <w:spacing w:before="228" w:after="0" w:line="268" w:lineRule="auto"/>
        <w:ind w:right="602"/>
        <w:contextualSpacing w:val="0"/>
        <w:rPr>
          <w:rFonts w:ascii="Symbol" w:hAnsi="Symbol"/>
          <w:color w:val="131727" w:themeColor="text1"/>
          <w:sz w:val="20"/>
        </w:rPr>
      </w:pPr>
      <w:r w:rsidRPr="00FD40B8">
        <w:rPr>
          <w:color w:val="131727" w:themeColor="text1"/>
          <w:w w:val="110"/>
          <w:sz w:val="20"/>
        </w:rPr>
        <w:t>Existing</w:t>
      </w:r>
      <w:r w:rsidRPr="00FD40B8">
        <w:rPr>
          <w:color w:val="131727" w:themeColor="text1"/>
          <w:spacing w:val="-6"/>
          <w:w w:val="110"/>
          <w:sz w:val="20"/>
        </w:rPr>
        <w:t xml:space="preserve"> </w:t>
      </w:r>
      <w:r w:rsidRPr="00FD40B8">
        <w:rPr>
          <w:color w:val="131727" w:themeColor="text1"/>
          <w:w w:val="110"/>
          <w:sz w:val="20"/>
        </w:rPr>
        <w:t>data</w:t>
      </w:r>
      <w:r w:rsidRPr="00FD40B8">
        <w:rPr>
          <w:color w:val="131727" w:themeColor="text1"/>
          <w:spacing w:val="-7"/>
          <w:w w:val="110"/>
          <w:sz w:val="20"/>
        </w:rPr>
        <w:t xml:space="preserve"> </w:t>
      </w:r>
      <w:r w:rsidRPr="00FD40B8">
        <w:rPr>
          <w:color w:val="131727" w:themeColor="text1"/>
          <w:w w:val="110"/>
          <w:sz w:val="20"/>
        </w:rPr>
        <w:t>collection</w:t>
      </w:r>
      <w:r w:rsidRPr="00FD40B8">
        <w:rPr>
          <w:color w:val="131727" w:themeColor="text1"/>
          <w:spacing w:val="-9"/>
          <w:w w:val="110"/>
          <w:sz w:val="20"/>
        </w:rPr>
        <w:t xml:space="preserve"> </w:t>
      </w:r>
      <w:r w:rsidRPr="00FD40B8">
        <w:rPr>
          <w:color w:val="131727" w:themeColor="text1"/>
          <w:w w:val="110"/>
          <w:sz w:val="20"/>
        </w:rPr>
        <w:t>demonstrates</w:t>
      </w:r>
      <w:r w:rsidRPr="00FD40B8">
        <w:rPr>
          <w:color w:val="131727" w:themeColor="text1"/>
          <w:spacing w:val="-4"/>
          <w:w w:val="110"/>
          <w:sz w:val="20"/>
        </w:rPr>
        <w:t xml:space="preserve"> </w:t>
      </w:r>
      <w:r w:rsidRPr="00FD40B8">
        <w:rPr>
          <w:color w:val="131727" w:themeColor="text1"/>
          <w:w w:val="110"/>
          <w:sz w:val="20"/>
        </w:rPr>
        <w:t>the</w:t>
      </w:r>
      <w:r w:rsidRPr="00FD40B8">
        <w:rPr>
          <w:color w:val="131727" w:themeColor="text1"/>
          <w:spacing w:val="-6"/>
          <w:w w:val="110"/>
          <w:sz w:val="20"/>
        </w:rPr>
        <w:t xml:space="preserve"> </w:t>
      </w:r>
      <w:r w:rsidRPr="00FD40B8">
        <w:rPr>
          <w:color w:val="131727" w:themeColor="text1"/>
          <w:w w:val="110"/>
          <w:sz w:val="20"/>
        </w:rPr>
        <w:t>significant</w:t>
      </w:r>
      <w:r w:rsidRPr="00FD40B8">
        <w:rPr>
          <w:color w:val="131727" w:themeColor="text1"/>
          <w:spacing w:val="-9"/>
          <w:w w:val="110"/>
          <w:sz w:val="20"/>
        </w:rPr>
        <w:t xml:space="preserve"> </w:t>
      </w:r>
      <w:r w:rsidRPr="00FD40B8">
        <w:rPr>
          <w:color w:val="131727" w:themeColor="text1"/>
          <w:w w:val="110"/>
          <w:sz w:val="20"/>
        </w:rPr>
        <w:t>need</w:t>
      </w:r>
      <w:r w:rsidRPr="00FD40B8">
        <w:rPr>
          <w:color w:val="131727" w:themeColor="text1"/>
          <w:spacing w:val="-6"/>
          <w:w w:val="110"/>
          <w:sz w:val="20"/>
        </w:rPr>
        <w:t xml:space="preserve"> </w:t>
      </w:r>
      <w:r w:rsidRPr="00FD40B8">
        <w:rPr>
          <w:color w:val="131727" w:themeColor="text1"/>
          <w:w w:val="110"/>
          <w:sz w:val="20"/>
        </w:rPr>
        <w:t>for</w:t>
      </w:r>
      <w:r w:rsidRPr="00FD40B8">
        <w:rPr>
          <w:color w:val="131727" w:themeColor="text1"/>
          <w:spacing w:val="-6"/>
          <w:w w:val="110"/>
          <w:sz w:val="20"/>
        </w:rPr>
        <w:t xml:space="preserve"> </w:t>
      </w:r>
      <w:r w:rsidRPr="00FD40B8">
        <w:rPr>
          <w:color w:val="131727" w:themeColor="text1"/>
          <w:w w:val="110"/>
          <w:sz w:val="20"/>
        </w:rPr>
        <w:t>additional</w:t>
      </w:r>
      <w:r w:rsidRPr="00FD40B8">
        <w:rPr>
          <w:color w:val="131727" w:themeColor="text1"/>
          <w:spacing w:val="-8"/>
          <w:w w:val="110"/>
          <w:sz w:val="20"/>
        </w:rPr>
        <w:t xml:space="preserve"> </w:t>
      </w:r>
      <w:r w:rsidRPr="00FD40B8">
        <w:rPr>
          <w:color w:val="131727" w:themeColor="text1"/>
          <w:w w:val="110"/>
          <w:sz w:val="20"/>
        </w:rPr>
        <w:t>investment</w:t>
      </w:r>
      <w:r w:rsidRPr="00FD40B8">
        <w:rPr>
          <w:color w:val="131727" w:themeColor="text1"/>
          <w:spacing w:val="-7"/>
          <w:w w:val="110"/>
          <w:sz w:val="20"/>
        </w:rPr>
        <w:t xml:space="preserve"> </w:t>
      </w:r>
      <w:r w:rsidRPr="00FD40B8">
        <w:rPr>
          <w:color w:val="131727" w:themeColor="text1"/>
          <w:w w:val="110"/>
          <w:sz w:val="20"/>
        </w:rPr>
        <w:t>in</w:t>
      </w:r>
      <w:r w:rsidRPr="00FD40B8">
        <w:rPr>
          <w:color w:val="131727" w:themeColor="text1"/>
          <w:spacing w:val="-5"/>
          <w:w w:val="110"/>
          <w:sz w:val="20"/>
        </w:rPr>
        <w:t xml:space="preserve"> </w:t>
      </w:r>
      <w:r w:rsidRPr="00FD40B8">
        <w:rPr>
          <w:color w:val="131727" w:themeColor="text1"/>
          <w:w w:val="110"/>
          <w:sz w:val="20"/>
        </w:rPr>
        <w:t>Aboriginal and Torres Strait Islander social housing, particularly in remote areas.</w:t>
      </w:r>
    </w:p>
    <w:p w14:paraId="1CF071FD" w14:textId="77777777" w:rsidR="00811887" w:rsidRPr="00FD40B8" w:rsidRDefault="00811887" w:rsidP="00811887">
      <w:pPr>
        <w:pStyle w:val="BodyText"/>
        <w:spacing w:before="236" w:line="254" w:lineRule="auto"/>
        <w:ind w:left="1948" w:right="690" w:hanging="360"/>
        <w:jc w:val="both"/>
        <w:rPr>
          <w:rFonts w:ascii="Calibri Light" w:hAnsi="Calibri Light"/>
          <w:color w:val="131727" w:themeColor="text1"/>
          <w:sz w:val="14"/>
        </w:rPr>
      </w:pPr>
      <w:r w:rsidRPr="00FD40B8">
        <w:rPr>
          <w:color w:val="131727" w:themeColor="text1"/>
          <w:w w:val="110"/>
        </w:rPr>
        <w:t>»</w:t>
      </w:r>
      <w:r w:rsidRPr="00FD40B8">
        <w:rPr>
          <w:color w:val="131727" w:themeColor="text1"/>
          <w:spacing w:val="80"/>
          <w:w w:val="150"/>
        </w:rPr>
        <w:t xml:space="preserve"> </w:t>
      </w:r>
      <w:r w:rsidRPr="00FD40B8">
        <w:rPr>
          <w:color w:val="131727" w:themeColor="text1"/>
          <w:w w:val="110"/>
        </w:rPr>
        <w:t>In 2021, Aboriginal and Torres</w:t>
      </w:r>
      <w:r w:rsidRPr="00FD40B8">
        <w:rPr>
          <w:color w:val="131727" w:themeColor="text1"/>
          <w:spacing w:val="-3"/>
          <w:w w:val="110"/>
        </w:rPr>
        <w:t xml:space="preserve"> </w:t>
      </w:r>
      <w:r w:rsidRPr="00FD40B8">
        <w:rPr>
          <w:color w:val="131727" w:themeColor="text1"/>
          <w:w w:val="110"/>
        </w:rPr>
        <w:t>Strait</w:t>
      </w:r>
      <w:r w:rsidRPr="00FD40B8">
        <w:rPr>
          <w:color w:val="131727" w:themeColor="text1"/>
          <w:spacing w:val="-5"/>
          <w:w w:val="110"/>
        </w:rPr>
        <w:t xml:space="preserve"> </w:t>
      </w:r>
      <w:r w:rsidRPr="00FD40B8">
        <w:rPr>
          <w:color w:val="131727" w:themeColor="text1"/>
          <w:w w:val="110"/>
        </w:rPr>
        <w:t>Islander</w:t>
      </w:r>
      <w:r w:rsidRPr="00FD40B8">
        <w:rPr>
          <w:color w:val="131727" w:themeColor="text1"/>
          <w:spacing w:val="-2"/>
          <w:w w:val="110"/>
        </w:rPr>
        <w:t xml:space="preserve"> </w:t>
      </w:r>
      <w:r w:rsidRPr="00FD40B8">
        <w:rPr>
          <w:color w:val="131727" w:themeColor="text1"/>
          <w:w w:val="110"/>
        </w:rPr>
        <w:t>people</w:t>
      </w:r>
      <w:r w:rsidRPr="00FD40B8">
        <w:rPr>
          <w:color w:val="131727" w:themeColor="text1"/>
          <w:spacing w:val="-1"/>
          <w:w w:val="110"/>
        </w:rPr>
        <w:t xml:space="preserve"> </w:t>
      </w:r>
      <w:r w:rsidRPr="00FD40B8">
        <w:rPr>
          <w:color w:val="131727" w:themeColor="text1"/>
          <w:w w:val="110"/>
        </w:rPr>
        <w:t>were nearly</w:t>
      </w:r>
      <w:r w:rsidRPr="00FD40B8">
        <w:rPr>
          <w:color w:val="131727" w:themeColor="text1"/>
          <w:spacing w:val="-5"/>
          <w:w w:val="110"/>
        </w:rPr>
        <w:t xml:space="preserve"> </w:t>
      </w:r>
      <w:r w:rsidRPr="00FD40B8">
        <w:rPr>
          <w:color w:val="131727" w:themeColor="text1"/>
          <w:w w:val="110"/>
        </w:rPr>
        <w:t>nine times</w:t>
      </w:r>
      <w:r w:rsidRPr="00FD40B8">
        <w:rPr>
          <w:color w:val="131727" w:themeColor="text1"/>
          <w:spacing w:val="-3"/>
          <w:w w:val="110"/>
        </w:rPr>
        <w:t xml:space="preserve"> </w:t>
      </w:r>
      <w:r w:rsidRPr="00FD40B8">
        <w:rPr>
          <w:color w:val="131727" w:themeColor="text1"/>
          <w:w w:val="110"/>
        </w:rPr>
        <w:t>more</w:t>
      </w:r>
      <w:r w:rsidRPr="00FD40B8">
        <w:rPr>
          <w:color w:val="131727" w:themeColor="text1"/>
          <w:spacing w:val="-5"/>
          <w:w w:val="110"/>
        </w:rPr>
        <w:t xml:space="preserve"> </w:t>
      </w:r>
      <w:r w:rsidRPr="00FD40B8">
        <w:rPr>
          <w:color w:val="131727" w:themeColor="text1"/>
          <w:w w:val="110"/>
        </w:rPr>
        <w:t>likely than non-Indigenous people to experience</w:t>
      </w:r>
      <w:r w:rsidRPr="00FD40B8">
        <w:rPr>
          <w:color w:val="131727" w:themeColor="text1"/>
          <w:spacing w:val="-2"/>
          <w:w w:val="110"/>
        </w:rPr>
        <w:t xml:space="preserve"> </w:t>
      </w:r>
      <w:r w:rsidRPr="00FD40B8">
        <w:rPr>
          <w:color w:val="131727" w:themeColor="text1"/>
          <w:w w:val="110"/>
        </w:rPr>
        <w:t>homelessness and</w:t>
      </w:r>
      <w:r w:rsidRPr="00FD40B8">
        <w:rPr>
          <w:color w:val="131727" w:themeColor="text1"/>
          <w:spacing w:val="-2"/>
          <w:w w:val="110"/>
        </w:rPr>
        <w:t xml:space="preserve"> </w:t>
      </w:r>
      <w:r w:rsidRPr="00FD40B8">
        <w:rPr>
          <w:color w:val="131727" w:themeColor="text1"/>
          <w:w w:val="110"/>
        </w:rPr>
        <w:t>overcrowding.</w:t>
      </w:r>
      <w:hyperlink w:anchor="_bookmark11" w:history="1">
        <w:r w:rsidRPr="00FD40B8">
          <w:rPr>
            <w:rFonts w:ascii="Calibri Light" w:hAnsi="Calibri Light"/>
            <w:color w:val="131727" w:themeColor="text1"/>
            <w:w w:val="110"/>
            <w:position w:val="8"/>
            <w:sz w:val="14"/>
          </w:rPr>
          <w:t>7</w:t>
        </w:r>
      </w:hyperlink>
      <w:r w:rsidRPr="00FD40B8">
        <w:rPr>
          <w:rFonts w:ascii="Calibri Light" w:hAnsi="Calibri Light"/>
          <w:color w:val="131727" w:themeColor="text1"/>
          <w:spacing w:val="18"/>
          <w:w w:val="110"/>
          <w:position w:val="8"/>
          <w:sz w:val="14"/>
        </w:rPr>
        <w:t xml:space="preserve"> </w:t>
      </w:r>
      <w:r w:rsidRPr="00FD40B8">
        <w:rPr>
          <w:color w:val="131727" w:themeColor="text1"/>
          <w:w w:val="110"/>
        </w:rPr>
        <w:t>Of these, 60%</w:t>
      </w:r>
      <w:r w:rsidRPr="00FD40B8">
        <w:rPr>
          <w:color w:val="131727" w:themeColor="text1"/>
          <w:spacing w:val="-1"/>
          <w:w w:val="110"/>
        </w:rPr>
        <w:t xml:space="preserve"> </w:t>
      </w:r>
      <w:r w:rsidRPr="00FD40B8">
        <w:rPr>
          <w:color w:val="131727" w:themeColor="text1"/>
          <w:w w:val="110"/>
        </w:rPr>
        <w:t>were</w:t>
      </w:r>
      <w:r w:rsidRPr="00FD40B8">
        <w:rPr>
          <w:color w:val="131727" w:themeColor="text1"/>
          <w:spacing w:val="-6"/>
          <w:w w:val="110"/>
        </w:rPr>
        <w:t xml:space="preserve"> </w:t>
      </w:r>
      <w:r w:rsidRPr="00FD40B8">
        <w:rPr>
          <w:color w:val="131727" w:themeColor="text1"/>
          <w:w w:val="110"/>
        </w:rPr>
        <w:t>living</w:t>
      </w:r>
      <w:r w:rsidRPr="00FD40B8">
        <w:rPr>
          <w:color w:val="131727" w:themeColor="text1"/>
          <w:spacing w:val="-6"/>
          <w:w w:val="110"/>
        </w:rPr>
        <w:t xml:space="preserve"> </w:t>
      </w: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severely</w:t>
      </w:r>
      <w:r w:rsidRPr="00FD40B8">
        <w:rPr>
          <w:color w:val="131727" w:themeColor="text1"/>
          <w:spacing w:val="-3"/>
          <w:w w:val="110"/>
        </w:rPr>
        <w:t xml:space="preserve"> </w:t>
      </w:r>
      <w:r w:rsidRPr="00FD40B8">
        <w:rPr>
          <w:color w:val="131727" w:themeColor="text1"/>
          <w:w w:val="110"/>
        </w:rPr>
        <w:t>crowded</w:t>
      </w:r>
      <w:r w:rsidRPr="00FD40B8">
        <w:rPr>
          <w:color w:val="131727" w:themeColor="text1"/>
          <w:spacing w:val="-1"/>
          <w:w w:val="110"/>
        </w:rPr>
        <w:t xml:space="preserve"> </w:t>
      </w:r>
      <w:r w:rsidRPr="00FD40B8">
        <w:rPr>
          <w:color w:val="131727" w:themeColor="text1"/>
          <w:w w:val="110"/>
        </w:rPr>
        <w:t>dwellings,</w:t>
      </w:r>
      <w:r w:rsidRPr="00FD40B8">
        <w:rPr>
          <w:color w:val="131727" w:themeColor="text1"/>
          <w:spacing w:val="-6"/>
          <w:w w:val="110"/>
        </w:rPr>
        <w:t xml:space="preserve"> </w:t>
      </w:r>
      <w:r w:rsidRPr="00FD40B8">
        <w:rPr>
          <w:color w:val="131727" w:themeColor="text1"/>
          <w:w w:val="110"/>
        </w:rPr>
        <w:t>19%</w:t>
      </w:r>
      <w:r w:rsidRPr="00FD40B8">
        <w:rPr>
          <w:color w:val="131727" w:themeColor="text1"/>
          <w:spacing w:val="-5"/>
          <w:w w:val="110"/>
        </w:rPr>
        <w:t xml:space="preserve"> </w:t>
      </w:r>
      <w:r w:rsidRPr="00FD40B8">
        <w:rPr>
          <w:color w:val="131727" w:themeColor="text1"/>
          <w:w w:val="110"/>
        </w:rPr>
        <w:t>were</w:t>
      </w:r>
      <w:r w:rsidRPr="00FD40B8">
        <w:rPr>
          <w:color w:val="131727" w:themeColor="text1"/>
          <w:spacing w:val="-1"/>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supported</w:t>
      </w:r>
      <w:r w:rsidRPr="00FD40B8">
        <w:rPr>
          <w:color w:val="131727" w:themeColor="text1"/>
          <w:spacing w:val="-6"/>
          <w:w w:val="110"/>
        </w:rPr>
        <w:t xml:space="preserve"> </w:t>
      </w:r>
      <w:r w:rsidRPr="00FD40B8">
        <w:rPr>
          <w:color w:val="131727" w:themeColor="text1"/>
          <w:w w:val="110"/>
        </w:rPr>
        <w:t>accommodation for the homeless and 9% were living in improvised dwellings, tents or sleeping out</w:t>
      </w:r>
      <w:hyperlink w:anchor="_bookmark12" w:history="1">
        <w:r w:rsidRPr="00FD40B8">
          <w:rPr>
            <w:color w:val="131727" w:themeColor="text1"/>
            <w:w w:val="110"/>
          </w:rPr>
          <w:t>.</w:t>
        </w:r>
        <w:r w:rsidRPr="00FD40B8">
          <w:rPr>
            <w:rFonts w:ascii="Calibri Light" w:hAnsi="Calibri Light"/>
            <w:color w:val="131727" w:themeColor="text1"/>
            <w:w w:val="110"/>
            <w:position w:val="8"/>
            <w:sz w:val="14"/>
          </w:rPr>
          <w:t>8</w:t>
        </w:r>
      </w:hyperlink>
    </w:p>
    <w:p w14:paraId="4F51BD0B" w14:textId="77777777" w:rsidR="00811887" w:rsidRPr="00FD40B8" w:rsidRDefault="00811887" w:rsidP="00811887">
      <w:pPr>
        <w:pStyle w:val="BodyText"/>
        <w:tabs>
          <w:tab w:val="left" w:pos="1948"/>
        </w:tabs>
        <w:spacing w:before="235"/>
        <w:ind w:left="1589"/>
        <w:rPr>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Over</w:t>
      </w:r>
      <w:r w:rsidRPr="00FD40B8">
        <w:rPr>
          <w:color w:val="131727" w:themeColor="text1"/>
          <w:spacing w:val="-3"/>
          <w:w w:val="110"/>
        </w:rPr>
        <w:t xml:space="preserve"> </w:t>
      </w:r>
      <w:r w:rsidRPr="00FD40B8">
        <w:rPr>
          <w:color w:val="131727" w:themeColor="text1"/>
          <w:w w:val="110"/>
        </w:rPr>
        <w:t>one</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4"/>
          <w:w w:val="110"/>
        </w:rPr>
        <w:t xml:space="preserve"> </w:t>
      </w:r>
      <w:r w:rsidRPr="00FD40B8">
        <w:rPr>
          <w:color w:val="131727" w:themeColor="text1"/>
          <w:w w:val="110"/>
        </w:rPr>
        <w:t>three</w:t>
      </w:r>
      <w:r w:rsidRPr="00FD40B8">
        <w:rPr>
          <w:color w:val="131727" w:themeColor="text1"/>
          <w:spacing w:val="-5"/>
          <w:w w:val="110"/>
        </w:rPr>
        <w:t xml:space="preserve"> </w:t>
      </w:r>
      <w:r w:rsidRPr="00FD40B8">
        <w:rPr>
          <w:color w:val="131727" w:themeColor="text1"/>
          <w:w w:val="110"/>
        </w:rPr>
        <w:t>homeless</w:t>
      </w:r>
      <w:r w:rsidRPr="00FD40B8">
        <w:rPr>
          <w:color w:val="131727" w:themeColor="text1"/>
          <w:spacing w:val="1"/>
          <w:w w:val="110"/>
        </w:rPr>
        <w:t xml:space="preserve"> </w:t>
      </w:r>
      <w:r w:rsidRPr="00FD40B8">
        <w:rPr>
          <w:color w:val="131727" w:themeColor="text1"/>
          <w:w w:val="110"/>
        </w:rPr>
        <w:t>Aboriginal</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5"/>
          <w:w w:val="110"/>
        </w:rPr>
        <w:t xml:space="preserve"> </w:t>
      </w:r>
      <w:r w:rsidRPr="00FD40B8">
        <w:rPr>
          <w:color w:val="131727" w:themeColor="text1"/>
          <w:w w:val="110"/>
        </w:rPr>
        <w:t>Torres</w:t>
      </w:r>
      <w:r w:rsidRPr="00FD40B8">
        <w:rPr>
          <w:color w:val="131727" w:themeColor="text1"/>
          <w:spacing w:val="2"/>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2"/>
          <w:w w:val="110"/>
        </w:rPr>
        <w:t xml:space="preserve"> </w:t>
      </w:r>
      <w:r w:rsidRPr="00FD40B8">
        <w:rPr>
          <w:color w:val="131727" w:themeColor="text1"/>
          <w:w w:val="110"/>
        </w:rPr>
        <w:t>people</w:t>
      </w:r>
      <w:r w:rsidRPr="00FD40B8">
        <w:rPr>
          <w:color w:val="131727" w:themeColor="text1"/>
          <w:spacing w:val="1"/>
          <w:w w:val="110"/>
        </w:rPr>
        <w:t xml:space="preserve"> </w:t>
      </w:r>
      <w:r w:rsidRPr="00FD40B8">
        <w:rPr>
          <w:color w:val="131727" w:themeColor="text1"/>
          <w:w w:val="110"/>
        </w:rPr>
        <w:t xml:space="preserve">were </w:t>
      </w:r>
      <w:r w:rsidRPr="00FD40B8">
        <w:rPr>
          <w:color w:val="131727" w:themeColor="text1"/>
          <w:spacing w:val="-2"/>
          <w:w w:val="110"/>
        </w:rPr>
        <w:t>children</w:t>
      </w:r>
      <w:hyperlink w:anchor="_bookmark13" w:history="1">
        <w:r w:rsidRPr="00FD40B8">
          <w:rPr>
            <w:color w:val="131727" w:themeColor="text1"/>
            <w:spacing w:val="-2"/>
            <w:w w:val="110"/>
          </w:rPr>
          <w:t>.</w:t>
        </w:r>
        <w:r w:rsidRPr="00FD40B8">
          <w:rPr>
            <w:color w:val="131727" w:themeColor="text1"/>
            <w:spacing w:val="-2"/>
            <w:w w:val="110"/>
            <w:position w:val="8"/>
            <w:sz w:val="13"/>
          </w:rPr>
          <w:t>9</w:t>
        </w:r>
      </w:hyperlink>
    </w:p>
    <w:p w14:paraId="0DCE2970" w14:textId="77777777" w:rsidR="00811887" w:rsidRPr="00FD40B8" w:rsidRDefault="00811887" w:rsidP="00811887">
      <w:pPr>
        <w:pStyle w:val="BodyText"/>
        <w:rPr>
          <w:color w:val="131727" w:themeColor="text1"/>
        </w:rPr>
      </w:pPr>
    </w:p>
    <w:p w14:paraId="39186A61" w14:textId="77777777" w:rsidR="00811887" w:rsidRPr="00FD40B8" w:rsidRDefault="00811887" w:rsidP="00811887">
      <w:pPr>
        <w:pStyle w:val="BodyText"/>
        <w:rPr>
          <w:color w:val="131727" w:themeColor="text1"/>
        </w:rPr>
      </w:pPr>
    </w:p>
    <w:p w14:paraId="78B5EA05" w14:textId="77777777" w:rsidR="00811887" w:rsidRPr="00FD40B8" w:rsidRDefault="00811887" w:rsidP="00811887">
      <w:pPr>
        <w:pStyle w:val="BodyText"/>
        <w:rPr>
          <w:color w:val="131727" w:themeColor="text1"/>
        </w:rPr>
      </w:pPr>
    </w:p>
    <w:p w14:paraId="75DFB966" w14:textId="77777777" w:rsidR="00811887" w:rsidRPr="00FD40B8" w:rsidRDefault="00811887" w:rsidP="00811887">
      <w:pPr>
        <w:pStyle w:val="BodyText"/>
        <w:rPr>
          <w:color w:val="131727" w:themeColor="text1"/>
        </w:rPr>
      </w:pPr>
    </w:p>
    <w:p w14:paraId="22D87A5D" w14:textId="77777777" w:rsidR="00811887" w:rsidRPr="00FD40B8" w:rsidRDefault="00811887" w:rsidP="00811887">
      <w:pPr>
        <w:pStyle w:val="BodyText"/>
        <w:rPr>
          <w:color w:val="131727" w:themeColor="text1"/>
        </w:rPr>
      </w:pPr>
    </w:p>
    <w:p w14:paraId="65DB0272" w14:textId="77777777" w:rsidR="00811887" w:rsidRPr="00FD40B8" w:rsidRDefault="00811887" w:rsidP="00811887">
      <w:pPr>
        <w:pStyle w:val="BodyText"/>
        <w:rPr>
          <w:color w:val="131727" w:themeColor="text1"/>
        </w:rPr>
      </w:pPr>
    </w:p>
    <w:p w14:paraId="1DF9C641" w14:textId="77777777" w:rsidR="00811887" w:rsidRPr="00FD40B8" w:rsidRDefault="00811887" w:rsidP="00811887">
      <w:pPr>
        <w:pStyle w:val="BodyText"/>
        <w:rPr>
          <w:color w:val="131727" w:themeColor="text1"/>
        </w:rPr>
      </w:pPr>
    </w:p>
    <w:p w14:paraId="1237623D" w14:textId="77777777" w:rsidR="00811887" w:rsidRPr="00FD40B8" w:rsidRDefault="00811887" w:rsidP="00811887">
      <w:pPr>
        <w:pStyle w:val="BodyText"/>
        <w:rPr>
          <w:color w:val="131727" w:themeColor="text1"/>
        </w:rPr>
      </w:pPr>
    </w:p>
    <w:p w14:paraId="71C08198" w14:textId="77777777" w:rsidR="00811887" w:rsidRPr="00FD40B8" w:rsidRDefault="00811887" w:rsidP="00811887">
      <w:pPr>
        <w:pStyle w:val="BodyText"/>
        <w:rPr>
          <w:color w:val="131727" w:themeColor="text1"/>
        </w:rPr>
      </w:pPr>
    </w:p>
    <w:p w14:paraId="01389058" w14:textId="77777777" w:rsidR="00811887" w:rsidRPr="00FD40B8" w:rsidRDefault="00811887" w:rsidP="00811887">
      <w:pPr>
        <w:pStyle w:val="BodyText"/>
        <w:spacing w:before="126"/>
        <w:rPr>
          <w:color w:val="131727" w:themeColor="text1"/>
        </w:rPr>
      </w:pPr>
      <w:r w:rsidRPr="00FD40B8">
        <w:rPr>
          <w:noProof/>
          <w:color w:val="131727" w:themeColor="text1"/>
        </w:rPr>
        <mc:AlternateContent>
          <mc:Choice Requires="wps">
            <w:drawing>
              <wp:anchor distT="0" distB="0" distL="0" distR="0" simplePos="0" relativeHeight="251734016" behindDoc="1" locked="0" layoutInCell="1" allowOverlap="1" wp14:anchorId="6A7A7D32" wp14:editId="7821D6A7">
                <wp:simplePos x="0" y="0"/>
                <wp:positionH relativeFrom="page">
                  <wp:posOffset>792784</wp:posOffset>
                </wp:positionH>
                <wp:positionV relativeFrom="paragraph">
                  <wp:posOffset>250831</wp:posOffset>
                </wp:positionV>
                <wp:extent cx="1830070" cy="6350"/>
                <wp:effectExtent l="0" t="0" r="0" b="0"/>
                <wp:wrapTopAndBottom/>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17B0B" id="Graphic 122" o:spid="_x0000_s1026" alt="&quot;&quot;" style="position:absolute;margin-left:62.4pt;margin-top:19.75pt;width:144.1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" path="m1829689,l,,,6095r1829689,l1829689,xe" fillcolor="black" stroked="f">
                <v:path arrowok="t"/>
                <w10:wrap type="topAndBottom" anchorx="page"/>
              </v:shape>
            </w:pict>
          </mc:Fallback>
        </mc:AlternateContent>
      </w:r>
    </w:p>
    <w:p w14:paraId="720637A3" w14:textId="77777777" w:rsidR="00811887" w:rsidRPr="00FD40B8" w:rsidRDefault="00811887" w:rsidP="00811887">
      <w:pPr>
        <w:spacing w:before="123" w:line="266" w:lineRule="auto"/>
        <w:ind w:left="508" w:right="598"/>
        <w:rPr>
          <w:color w:val="131727" w:themeColor="text1"/>
          <w:sz w:val="16"/>
        </w:rPr>
      </w:pPr>
      <w:bookmarkStart w:id="121" w:name="_bookmark10"/>
      <w:bookmarkEnd w:id="121"/>
      <w:r w:rsidRPr="00FD40B8">
        <w:rPr>
          <w:color w:val="131727" w:themeColor="text1"/>
          <w:w w:val="105"/>
          <w:position w:val="6"/>
          <w:sz w:val="10"/>
        </w:rPr>
        <w:t>6</w:t>
      </w:r>
      <w:r w:rsidRPr="00FD40B8">
        <w:rPr>
          <w:color w:val="131727" w:themeColor="text1"/>
          <w:spacing w:val="32"/>
          <w:w w:val="105"/>
          <w:position w:val="6"/>
          <w:sz w:val="10"/>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Australian</w:t>
      </w:r>
      <w:r w:rsidRPr="00FD40B8">
        <w:rPr>
          <w:color w:val="131727" w:themeColor="text1"/>
          <w:spacing w:val="21"/>
          <w:w w:val="105"/>
          <w:sz w:val="16"/>
        </w:rPr>
        <w:t xml:space="preserve"> </w:t>
      </w:r>
      <w:r w:rsidRPr="00FD40B8">
        <w:rPr>
          <w:color w:val="131727" w:themeColor="text1"/>
          <w:w w:val="105"/>
          <w:sz w:val="16"/>
        </w:rPr>
        <w:t>Government</w:t>
      </w:r>
      <w:r w:rsidRPr="00FD40B8">
        <w:rPr>
          <w:color w:val="131727" w:themeColor="text1"/>
          <w:spacing w:val="17"/>
          <w:w w:val="105"/>
          <w:sz w:val="16"/>
        </w:rPr>
        <w:t xml:space="preserve"> </w:t>
      </w:r>
      <w:r w:rsidRPr="00FD40B8">
        <w:rPr>
          <w:color w:val="131727" w:themeColor="text1"/>
          <w:w w:val="105"/>
          <w:sz w:val="16"/>
        </w:rPr>
        <w:t>Department</w:t>
      </w:r>
      <w:r w:rsidRPr="00FD40B8">
        <w:rPr>
          <w:color w:val="131727" w:themeColor="text1"/>
          <w:spacing w:val="17"/>
          <w:w w:val="105"/>
          <w:sz w:val="16"/>
        </w:rPr>
        <w:t xml:space="preserve"> </w:t>
      </w:r>
      <w:r w:rsidRPr="00FD40B8">
        <w:rPr>
          <w:color w:val="131727" w:themeColor="text1"/>
          <w:w w:val="105"/>
          <w:sz w:val="16"/>
        </w:rPr>
        <w:t>of</w:t>
      </w:r>
      <w:r w:rsidRPr="00FD40B8">
        <w:rPr>
          <w:color w:val="131727" w:themeColor="text1"/>
          <w:spacing w:val="19"/>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Prime</w:t>
      </w:r>
      <w:r w:rsidRPr="00FD40B8">
        <w:rPr>
          <w:color w:val="131727" w:themeColor="text1"/>
          <w:spacing w:val="17"/>
          <w:w w:val="105"/>
          <w:sz w:val="16"/>
        </w:rPr>
        <w:t xml:space="preserve"> </w:t>
      </w:r>
      <w:r w:rsidRPr="00FD40B8">
        <w:rPr>
          <w:color w:val="131727" w:themeColor="text1"/>
          <w:w w:val="105"/>
          <w:sz w:val="16"/>
        </w:rPr>
        <w:t>Minister</w:t>
      </w:r>
      <w:r w:rsidRPr="00FD40B8">
        <w:rPr>
          <w:color w:val="131727" w:themeColor="text1"/>
          <w:spacing w:val="19"/>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Cabinet</w:t>
      </w:r>
      <w:r w:rsidRPr="00FD40B8">
        <w:rPr>
          <w:color w:val="131727" w:themeColor="text1"/>
          <w:spacing w:val="17"/>
          <w:w w:val="105"/>
          <w:sz w:val="16"/>
        </w:rPr>
        <w:t xml:space="preserve"> </w:t>
      </w:r>
      <w:r w:rsidRPr="00FD40B8">
        <w:rPr>
          <w:color w:val="131727" w:themeColor="text1"/>
          <w:w w:val="105"/>
          <w:sz w:val="16"/>
        </w:rPr>
        <w:t>2024</w:t>
      </w:r>
      <w:r w:rsidRPr="00FD40B8">
        <w:rPr>
          <w:color w:val="131727" w:themeColor="text1"/>
          <w:spacing w:val="19"/>
          <w:w w:val="105"/>
          <w:sz w:val="16"/>
        </w:rPr>
        <w:t xml:space="preserve"> </w:t>
      </w:r>
      <w:r w:rsidRPr="00FD40B8">
        <w:rPr>
          <w:color w:val="131727" w:themeColor="text1"/>
          <w:w w:val="105"/>
          <w:sz w:val="16"/>
        </w:rPr>
        <w:t>,</w:t>
      </w:r>
      <w:r w:rsidRPr="00FD40B8">
        <w:rPr>
          <w:color w:val="131727" w:themeColor="text1"/>
          <w:spacing w:val="17"/>
          <w:w w:val="105"/>
          <w:sz w:val="16"/>
        </w:rPr>
        <w:t xml:space="preserve"> </w:t>
      </w:r>
      <w:r w:rsidRPr="00FD40B8">
        <w:rPr>
          <w:color w:val="131727" w:themeColor="text1"/>
          <w:w w:val="105"/>
          <w:sz w:val="16"/>
        </w:rPr>
        <w:t>Closing</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Gap</w:t>
      </w:r>
      <w:r w:rsidRPr="00FD40B8">
        <w:rPr>
          <w:color w:val="131727" w:themeColor="text1"/>
          <w:spacing w:val="20"/>
          <w:w w:val="105"/>
          <w:sz w:val="16"/>
        </w:rPr>
        <w:t xml:space="preserve"> </w:t>
      </w:r>
      <w:r w:rsidRPr="00FD40B8">
        <w:rPr>
          <w:color w:val="131727" w:themeColor="text1"/>
          <w:w w:val="105"/>
          <w:sz w:val="16"/>
        </w:rPr>
        <w:t>website,</w:t>
      </w:r>
      <w:r w:rsidRPr="00FD40B8">
        <w:rPr>
          <w:color w:val="131727" w:themeColor="text1"/>
          <w:spacing w:val="17"/>
          <w:w w:val="105"/>
          <w:sz w:val="16"/>
        </w:rPr>
        <w:t xml:space="preserve"> </w:t>
      </w:r>
      <w:r w:rsidRPr="00FD40B8">
        <w:rPr>
          <w:color w:val="131727" w:themeColor="text1"/>
          <w:w w:val="105"/>
          <w:sz w:val="16"/>
        </w:rPr>
        <w:t>“Closing</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Gap</w:t>
      </w:r>
      <w:r w:rsidRPr="00FD40B8">
        <w:rPr>
          <w:color w:val="131727" w:themeColor="text1"/>
          <w:spacing w:val="40"/>
          <w:w w:val="105"/>
          <w:sz w:val="16"/>
        </w:rPr>
        <w:t xml:space="preserve"> </w:t>
      </w:r>
      <w:r w:rsidRPr="00FD40B8">
        <w:rPr>
          <w:color w:val="131727" w:themeColor="text1"/>
          <w:w w:val="105"/>
          <w:sz w:val="16"/>
        </w:rPr>
        <w:t xml:space="preserve">Targets and Outcomes’. Available at: </w:t>
      </w:r>
      <w:hyperlink r:id="rId76">
        <w:r w:rsidRPr="00FD40B8">
          <w:rPr>
            <w:color w:val="131727" w:themeColor="text1"/>
            <w:w w:val="105"/>
            <w:sz w:val="16"/>
          </w:rPr>
          <w:t>https://www.closingthegap.gov.au/national-agreement/targets</w:t>
        </w:r>
      </w:hyperlink>
    </w:p>
    <w:p w14:paraId="739166D8" w14:textId="77777777" w:rsidR="00811887" w:rsidRPr="00FD40B8" w:rsidRDefault="00811887" w:rsidP="00811887">
      <w:pPr>
        <w:spacing w:before="1" w:line="266" w:lineRule="auto"/>
        <w:ind w:left="508" w:right="749"/>
        <w:rPr>
          <w:color w:val="131727" w:themeColor="text1"/>
          <w:sz w:val="16"/>
        </w:rPr>
      </w:pPr>
      <w:bookmarkStart w:id="122" w:name="_bookmark11"/>
      <w:bookmarkEnd w:id="122"/>
      <w:r w:rsidRPr="00FD40B8">
        <w:rPr>
          <w:color w:val="131727" w:themeColor="text1"/>
          <w:w w:val="110"/>
          <w:position w:val="6"/>
          <w:sz w:val="10"/>
        </w:rPr>
        <w:t>7</w:t>
      </w:r>
      <w:r w:rsidRPr="00FD40B8">
        <w:rPr>
          <w:color w:val="131727" w:themeColor="text1"/>
          <w:spacing w:val="17"/>
          <w:w w:val="110"/>
          <w:position w:val="6"/>
          <w:sz w:val="10"/>
        </w:rPr>
        <w:t xml:space="preserve"> </w:t>
      </w:r>
      <w:r w:rsidRPr="00FD40B8">
        <w:rPr>
          <w:color w:val="131727" w:themeColor="text1"/>
          <w:w w:val="110"/>
          <w:sz w:val="16"/>
        </w:rPr>
        <w:t>ABS Census Data 2021. Estimates from the 2021 Census indicate that around</w:t>
      </w:r>
      <w:r w:rsidRPr="00FD40B8">
        <w:rPr>
          <w:color w:val="131727" w:themeColor="text1"/>
          <w:spacing w:val="-1"/>
          <w:w w:val="110"/>
          <w:sz w:val="16"/>
        </w:rPr>
        <w:t xml:space="preserve"> </w:t>
      </w:r>
      <w:r w:rsidRPr="00FD40B8">
        <w:rPr>
          <w:color w:val="131727" w:themeColor="text1"/>
          <w:w w:val="110"/>
          <w:sz w:val="16"/>
        </w:rPr>
        <w:t>24,900 Indigenous Australians were homeless on</w:t>
      </w:r>
      <w:r w:rsidRPr="00FD40B8">
        <w:rPr>
          <w:color w:val="131727" w:themeColor="text1"/>
          <w:spacing w:val="40"/>
          <w:w w:val="110"/>
          <w:sz w:val="16"/>
        </w:rPr>
        <w:t xml:space="preserve"> </w:t>
      </w:r>
      <w:r w:rsidRPr="00FD40B8">
        <w:rPr>
          <w:color w:val="131727" w:themeColor="text1"/>
          <w:w w:val="110"/>
          <w:sz w:val="16"/>
        </w:rPr>
        <w:t>Census night (3.1% of the Indigenous population). The homelessness rate for Indigenous Australians was 8.8 times the rate for</w:t>
      </w:r>
      <w:r w:rsidRPr="00FD40B8">
        <w:rPr>
          <w:color w:val="131727" w:themeColor="text1"/>
          <w:spacing w:val="40"/>
          <w:w w:val="110"/>
          <w:sz w:val="16"/>
        </w:rPr>
        <w:t xml:space="preserve"> </w:t>
      </w:r>
      <w:r w:rsidRPr="00FD40B8">
        <w:rPr>
          <w:color w:val="131727" w:themeColor="text1"/>
          <w:w w:val="110"/>
          <w:sz w:val="16"/>
        </w:rPr>
        <w:t>non-Indigenous Australians in 2021 (307 compared with 35 per 10,000 population).</w:t>
      </w:r>
    </w:p>
    <w:p w14:paraId="2C2350CD" w14:textId="77777777" w:rsidR="00811887" w:rsidRPr="00FD40B8" w:rsidRDefault="00811887" w:rsidP="00811887">
      <w:pPr>
        <w:spacing w:line="198" w:lineRule="exact"/>
        <w:ind w:left="508"/>
        <w:rPr>
          <w:color w:val="131727" w:themeColor="text1"/>
          <w:sz w:val="16"/>
        </w:rPr>
      </w:pPr>
      <w:bookmarkStart w:id="123" w:name="_bookmark12"/>
      <w:bookmarkEnd w:id="123"/>
      <w:r w:rsidRPr="00FD40B8">
        <w:rPr>
          <w:color w:val="131727" w:themeColor="text1"/>
          <w:w w:val="110"/>
          <w:position w:val="6"/>
          <w:sz w:val="10"/>
        </w:rPr>
        <w:t>8</w:t>
      </w:r>
      <w:r w:rsidRPr="00FD40B8">
        <w:rPr>
          <w:color w:val="131727" w:themeColor="text1"/>
          <w:spacing w:val="14"/>
          <w:w w:val="110"/>
          <w:position w:val="6"/>
          <w:sz w:val="10"/>
        </w:rPr>
        <w:t xml:space="preserve"> </w:t>
      </w:r>
      <w:r w:rsidRPr="00FD40B8">
        <w:rPr>
          <w:color w:val="131727" w:themeColor="text1"/>
          <w:w w:val="110"/>
          <w:sz w:val="16"/>
        </w:rPr>
        <w:t>Equity</w:t>
      </w:r>
      <w:r w:rsidRPr="00FD40B8">
        <w:rPr>
          <w:color w:val="131727" w:themeColor="text1"/>
          <w:spacing w:val="-1"/>
          <w:w w:val="110"/>
          <w:sz w:val="16"/>
        </w:rPr>
        <w:t xml:space="preserve"> </w:t>
      </w:r>
      <w:r w:rsidRPr="00FD40B8">
        <w:rPr>
          <w:color w:val="131727" w:themeColor="text1"/>
          <w:w w:val="110"/>
          <w:sz w:val="16"/>
        </w:rPr>
        <w:t>Economics</w:t>
      </w:r>
      <w:r w:rsidRPr="00FD40B8">
        <w:rPr>
          <w:color w:val="131727" w:themeColor="text1"/>
          <w:spacing w:val="-1"/>
          <w:w w:val="110"/>
          <w:sz w:val="16"/>
        </w:rPr>
        <w:t xml:space="preserve"> </w:t>
      </w:r>
      <w:r w:rsidRPr="00FD40B8">
        <w:rPr>
          <w:color w:val="131727" w:themeColor="text1"/>
          <w:w w:val="110"/>
          <w:sz w:val="16"/>
        </w:rPr>
        <w:t>calculations</w:t>
      </w:r>
      <w:r w:rsidRPr="00FD40B8">
        <w:rPr>
          <w:color w:val="131727" w:themeColor="text1"/>
          <w:spacing w:val="-2"/>
          <w:w w:val="110"/>
          <w:sz w:val="16"/>
        </w:rPr>
        <w:t xml:space="preserve"> </w:t>
      </w:r>
      <w:r w:rsidRPr="00FD40B8">
        <w:rPr>
          <w:color w:val="131727" w:themeColor="text1"/>
          <w:w w:val="110"/>
          <w:sz w:val="16"/>
        </w:rPr>
        <w:t>from ABS</w:t>
      </w:r>
      <w:r w:rsidRPr="00FD40B8">
        <w:rPr>
          <w:color w:val="131727" w:themeColor="text1"/>
          <w:spacing w:val="-1"/>
          <w:w w:val="110"/>
          <w:sz w:val="16"/>
        </w:rPr>
        <w:t xml:space="preserve"> </w:t>
      </w:r>
      <w:r w:rsidRPr="00FD40B8">
        <w:rPr>
          <w:color w:val="131727" w:themeColor="text1"/>
          <w:w w:val="110"/>
          <w:sz w:val="16"/>
        </w:rPr>
        <w:t>2021.</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2"/>
          <w:w w:val="110"/>
          <w:sz w:val="16"/>
        </w:rPr>
        <w:t xml:space="preserve"> </w:t>
      </w:r>
      <w:r w:rsidRPr="00FD40B8">
        <w:rPr>
          <w:color w:val="131727" w:themeColor="text1"/>
          <w:w w:val="110"/>
          <w:sz w:val="16"/>
        </w:rPr>
        <w:t>Homelessness.</w:t>
      </w:r>
      <w:r w:rsidRPr="00FD40B8">
        <w:rPr>
          <w:color w:val="131727" w:themeColor="text1"/>
          <w:spacing w:val="1"/>
          <w:w w:val="110"/>
          <w:sz w:val="16"/>
        </w:rPr>
        <w:t xml:space="preserve"> </w:t>
      </w:r>
      <w:r w:rsidRPr="00FD40B8">
        <w:rPr>
          <w:color w:val="131727" w:themeColor="text1"/>
          <w:w w:val="110"/>
          <w:sz w:val="16"/>
        </w:rPr>
        <w:t>[Census</w:t>
      </w:r>
      <w:r w:rsidRPr="00FD40B8">
        <w:rPr>
          <w:color w:val="131727" w:themeColor="text1"/>
          <w:spacing w:val="-2"/>
          <w:w w:val="110"/>
          <w:sz w:val="16"/>
        </w:rPr>
        <w:t xml:space="preserve"> TableBuilder].</w:t>
      </w:r>
    </w:p>
    <w:p w14:paraId="61DF8457" w14:textId="77777777" w:rsidR="00811887" w:rsidRPr="00FD40B8" w:rsidRDefault="00811887" w:rsidP="00811887">
      <w:pPr>
        <w:spacing w:before="18"/>
        <w:ind w:left="508"/>
        <w:rPr>
          <w:color w:val="131727" w:themeColor="text1"/>
          <w:sz w:val="16"/>
        </w:rPr>
      </w:pPr>
      <w:bookmarkStart w:id="124" w:name="_bookmark13"/>
      <w:bookmarkEnd w:id="124"/>
      <w:r w:rsidRPr="00FD40B8">
        <w:rPr>
          <w:color w:val="131727" w:themeColor="text1"/>
          <w:w w:val="110"/>
          <w:position w:val="6"/>
          <w:sz w:val="10"/>
        </w:rPr>
        <w:t>9</w:t>
      </w:r>
      <w:r w:rsidRPr="00FD40B8">
        <w:rPr>
          <w:color w:val="131727" w:themeColor="text1"/>
          <w:spacing w:val="9"/>
          <w:w w:val="110"/>
          <w:position w:val="6"/>
          <w:sz w:val="10"/>
        </w:rPr>
        <w:t xml:space="preserve"> </w:t>
      </w:r>
      <w:r w:rsidRPr="00FD40B8">
        <w:rPr>
          <w:color w:val="131727" w:themeColor="text1"/>
          <w:w w:val="110"/>
          <w:sz w:val="16"/>
        </w:rPr>
        <w:t>ABS</w:t>
      </w:r>
      <w:r w:rsidRPr="00FD40B8">
        <w:rPr>
          <w:color w:val="131727" w:themeColor="text1"/>
          <w:spacing w:val="-5"/>
          <w:w w:val="110"/>
          <w:sz w:val="16"/>
        </w:rPr>
        <w:t xml:space="preserve"> </w:t>
      </w:r>
      <w:r w:rsidRPr="00FD40B8">
        <w:rPr>
          <w:color w:val="131727" w:themeColor="text1"/>
          <w:w w:val="110"/>
          <w:sz w:val="16"/>
        </w:rPr>
        <w:t>(2022).</w:t>
      </w:r>
      <w:r w:rsidRPr="00FD40B8">
        <w:rPr>
          <w:color w:val="131727" w:themeColor="text1"/>
          <w:spacing w:val="-5"/>
          <w:w w:val="110"/>
          <w:sz w:val="16"/>
        </w:rPr>
        <w:t xml:space="preserve"> </w:t>
      </w:r>
      <w:r w:rsidRPr="00FD40B8">
        <w:rPr>
          <w:color w:val="131727" w:themeColor="text1"/>
          <w:w w:val="110"/>
          <w:sz w:val="16"/>
        </w:rPr>
        <w:t>Estimating</w:t>
      </w:r>
      <w:r w:rsidRPr="00FD40B8">
        <w:rPr>
          <w:color w:val="131727" w:themeColor="text1"/>
          <w:spacing w:val="-7"/>
          <w:w w:val="110"/>
          <w:sz w:val="16"/>
        </w:rPr>
        <w:t xml:space="preserve"> </w:t>
      </w:r>
      <w:r w:rsidRPr="00FD40B8">
        <w:rPr>
          <w:color w:val="131727" w:themeColor="text1"/>
          <w:w w:val="110"/>
          <w:sz w:val="16"/>
        </w:rPr>
        <w:t>Homelessness:</w:t>
      </w:r>
      <w:r w:rsidRPr="00FD40B8">
        <w:rPr>
          <w:color w:val="131727" w:themeColor="text1"/>
          <w:spacing w:val="-4"/>
          <w:w w:val="110"/>
          <w:sz w:val="16"/>
        </w:rPr>
        <w:t xml:space="preserve"> </w:t>
      </w:r>
      <w:r w:rsidRPr="00FD40B8">
        <w:rPr>
          <w:color w:val="131727" w:themeColor="text1"/>
          <w:spacing w:val="-2"/>
          <w:w w:val="110"/>
          <w:sz w:val="16"/>
        </w:rPr>
        <w:t>Census.</w:t>
      </w:r>
    </w:p>
    <w:p w14:paraId="56E4DC77" w14:textId="77777777" w:rsidR="00811887" w:rsidRPr="00FD40B8" w:rsidRDefault="00811887" w:rsidP="00811887">
      <w:pPr>
        <w:rPr>
          <w:color w:val="131727" w:themeColor="text1"/>
          <w:sz w:val="16"/>
        </w:rPr>
        <w:sectPr w:rsidR="00811887" w:rsidRPr="00FD40B8" w:rsidSect="00811887">
          <w:pgSz w:w="11910" w:h="16840"/>
          <w:pgMar w:top="1400" w:right="720" w:bottom="1080" w:left="740" w:header="0" w:footer="885" w:gutter="0"/>
          <w:cols w:space="720"/>
        </w:sectPr>
      </w:pPr>
    </w:p>
    <w:p w14:paraId="24EA996C" w14:textId="77777777" w:rsidR="00811887" w:rsidRPr="00FD40B8" w:rsidRDefault="00811887" w:rsidP="00FB2FE9">
      <w:pPr>
        <w:pStyle w:val="ListParagraph"/>
        <w:widowControl w:val="0"/>
        <w:numPr>
          <w:ilvl w:val="0"/>
          <w:numId w:val="68"/>
        </w:numPr>
        <w:tabs>
          <w:tab w:val="left" w:pos="1228"/>
        </w:tabs>
        <w:autoSpaceDE w:val="0"/>
        <w:autoSpaceDN w:val="0"/>
        <w:spacing w:before="93" w:after="0"/>
        <w:ind w:hanging="360"/>
        <w:contextualSpacing w:val="0"/>
        <w:rPr>
          <w:rFonts w:ascii="Symbol" w:hAnsi="Symbol"/>
          <w:color w:val="131727" w:themeColor="text1"/>
          <w:sz w:val="20"/>
        </w:rPr>
      </w:pPr>
      <w:r w:rsidRPr="00FD40B8">
        <w:rPr>
          <w:color w:val="131727" w:themeColor="text1"/>
          <w:w w:val="110"/>
          <w:sz w:val="20"/>
        </w:rPr>
        <w:lastRenderedPageBreak/>
        <w:t>The need</w:t>
      </w:r>
      <w:r w:rsidRPr="00FD40B8">
        <w:rPr>
          <w:color w:val="131727" w:themeColor="text1"/>
          <w:spacing w:val="-5"/>
          <w:w w:val="110"/>
          <w:sz w:val="20"/>
        </w:rPr>
        <w:t xml:space="preserve"> </w:t>
      </w:r>
      <w:r w:rsidRPr="00FD40B8">
        <w:rPr>
          <w:color w:val="131727" w:themeColor="text1"/>
          <w:w w:val="110"/>
          <w:sz w:val="20"/>
        </w:rPr>
        <w:t>in</w:t>
      </w:r>
      <w:r w:rsidRPr="00FD40B8">
        <w:rPr>
          <w:color w:val="131727" w:themeColor="text1"/>
          <w:spacing w:val="2"/>
          <w:w w:val="110"/>
          <w:sz w:val="20"/>
        </w:rPr>
        <w:t xml:space="preserve"> </w:t>
      </w:r>
      <w:r w:rsidRPr="00FD40B8">
        <w:rPr>
          <w:color w:val="131727" w:themeColor="text1"/>
          <w:w w:val="110"/>
          <w:sz w:val="20"/>
        </w:rPr>
        <w:t>remote</w:t>
      </w:r>
      <w:r w:rsidRPr="00FD40B8">
        <w:rPr>
          <w:color w:val="131727" w:themeColor="text1"/>
          <w:spacing w:val="-1"/>
          <w:w w:val="110"/>
          <w:sz w:val="20"/>
        </w:rPr>
        <w:t xml:space="preserve"> </w:t>
      </w:r>
      <w:r w:rsidRPr="00FD40B8">
        <w:rPr>
          <w:color w:val="131727" w:themeColor="text1"/>
          <w:w w:val="110"/>
          <w:sz w:val="20"/>
        </w:rPr>
        <w:t>communities</w:t>
      </w:r>
      <w:r w:rsidRPr="00FD40B8">
        <w:rPr>
          <w:color w:val="131727" w:themeColor="text1"/>
          <w:spacing w:val="-2"/>
          <w:w w:val="110"/>
          <w:sz w:val="20"/>
        </w:rPr>
        <w:t xml:space="preserve"> </w:t>
      </w:r>
      <w:r w:rsidRPr="00FD40B8">
        <w:rPr>
          <w:color w:val="131727" w:themeColor="text1"/>
          <w:w w:val="110"/>
          <w:sz w:val="20"/>
        </w:rPr>
        <w:t>is</w:t>
      </w:r>
      <w:r w:rsidRPr="00FD40B8">
        <w:rPr>
          <w:color w:val="131727" w:themeColor="text1"/>
          <w:spacing w:val="2"/>
          <w:w w:val="110"/>
          <w:sz w:val="20"/>
        </w:rPr>
        <w:t xml:space="preserve"> </w:t>
      </w:r>
      <w:r w:rsidRPr="00FD40B8">
        <w:rPr>
          <w:color w:val="131727" w:themeColor="text1"/>
          <w:w w:val="110"/>
          <w:sz w:val="20"/>
        </w:rPr>
        <w:t>even</w:t>
      </w:r>
      <w:r w:rsidRPr="00FD40B8">
        <w:rPr>
          <w:color w:val="131727" w:themeColor="text1"/>
          <w:spacing w:val="-4"/>
          <w:w w:val="110"/>
          <w:sz w:val="20"/>
        </w:rPr>
        <w:t xml:space="preserve"> </w:t>
      </w:r>
      <w:r w:rsidRPr="00FD40B8">
        <w:rPr>
          <w:color w:val="131727" w:themeColor="text1"/>
          <w:spacing w:val="-2"/>
          <w:w w:val="110"/>
          <w:sz w:val="20"/>
        </w:rPr>
        <w:t>greater.</w:t>
      </w:r>
    </w:p>
    <w:p w14:paraId="570C960E" w14:textId="77777777" w:rsidR="00811887" w:rsidRPr="00FD40B8" w:rsidRDefault="00811887" w:rsidP="00811887">
      <w:pPr>
        <w:pStyle w:val="BodyText"/>
        <w:tabs>
          <w:tab w:val="left" w:pos="1948"/>
        </w:tabs>
        <w:spacing w:before="149" w:line="266" w:lineRule="auto"/>
        <w:ind w:left="1948" w:right="989" w:hanging="360"/>
        <w:rPr>
          <w:rFonts w:ascii="Calibri Light" w:hAnsi="Calibri Light"/>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14%</w:t>
      </w:r>
      <w:r w:rsidRPr="00FD40B8">
        <w:rPr>
          <w:color w:val="131727" w:themeColor="text1"/>
          <w:spacing w:val="-3"/>
          <w:w w:val="110"/>
        </w:rPr>
        <w:t xml:space="preserve"> </w:t>
      </w:r>
      <w:r w:rsidRPr="00FD40B8">
        <w:rPr>
          <w:color w:val="131727" w:themeColor="text1"/>
          <w:w w:val="110"/>
        </w:rPr>
        <w:t>of Aboriginal and Torres</w:t>
      </w:r>
      <w:r w:rsidRPr="00FD40B8">
        <w:rPr>
          <w:color w:val="131727" w:themeColor="text1"/>
          <w:spacing w:val="-2"/>
          <w:w w:val="110"/>
        </w:rPr>
        <w:t xml:space="preserve"> </w:t>
      </w:r>
      <w:r w:rsidRPr="00FD40B8">
        <w:rPr>
          <w:color w:val="131727" w:themeColor="text1"/>
          <w:w w:val="110"/>
        </w:rPr>
        <w:t>Strait</w:t>
      </w:r>
      <w:r w:rsidRPr="00FD40B8">
        <w:rPr>
          <w:color w:val="131727" w:themeColor="text1"/>
          <w:spacing w:val="-4"/>
          <w:w w:val="110"/>
        </w:rPr>
        <w:t xml:space="preserve"> </w:t>
      </w:r>
      <w:r w:rsidRPr="00FD40B8">
        <w:rPr>
          <w:color w:val="131727" w:themeColor="text1"/>
          <w:w w:val="110"/>
        </w:rPr>
        <w:t>Islander</w:t>
      </w:r>
      <w:r w:rsidRPr="00FD40B8">
        <w:rPr>
          <w:color w:val="131727" w:themeColor="text1"/>
          <w:spacing w:val="-1"/>
          <w:w w:val="110"/>
        </w:rPr>
        <w:t xml:space="preserve"> </w:t>
      </w:r>
      <w:r w:rsidRPr="00FD40B8">
        <w:rPr>
          <w:color w:val="131727" w:themeColor="text1"/>
          <w:w w:val="110"/>
        </w:rPr>
        <w:t>people</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3"/>
          <w:w w:val="110"/>
        </w:rPr>
        <w:t xml:space="preserve"> </w:t>
      </w:r>
      <w:r w:rsidRPr="00FD40B8">
        <w:rPr>
          <w:color w:val="131727" w:themeColor="text1"/>
          <w:w w:val="110"/>
        </w:rPr>
        <w:t>very</w:t>
      </w:r>
      <w:r w:rsidRPr="00FD40B8">
        <w:rPr>
          <w:color w:val="131727" w:themeColor="text1"/>
          <w:spacing w:val="-1"/>
          <w:w w:val="110"/>
        </w:rPr>
        <w:t xml:space="preserve"> </w:t>
      </w:r>
      <w:r w:rsidRPr="00FD40B8">
        <w:rPr>
          <w:color w:val="131727" w:themeColor="text1"/>
          <w:w w:val="110"/>
        </w:rPr>
        <w:t>remote areas experience homelessness and 7% in remote areas (compared with 1.5% in major cities)</w:t>
      </w:r>
      <w:hyperlink w:anchor="_bookmark14" w:history="1">
        <w:r w:rsidRPr="00FD40B8">
          <w:rPr>
            <w:color w:val="131727" w:themeColor="text1"/>
            <w:w w:val="110"/>
          </w:rPr>
          <w:t>.</w:t>
        </w:r>
        <w:r w:rsidRPr="00FD40B8">
          <w:rPr>
            <w:rFonts w:ascii="Calibri Light" w:hAnsi="Calibri Light"/>
            <w:color w:val="131727" w:themeColor="text1"/>
            <w:w w:val="110"/>
            <w:position w:val="7"/>
            <w:sz w:val="13"/>
          </w:rPr>
          <w:t>10</w:t>
        </w:r>
      </w:hyperlink>
    </w:p>
    <w:p w14:paraId="18E57E6A" w14:textId="77777777" w:rsidR="00811887" w:rsidRPr="00FD40B8" w:rsidRDefault="00811887" w:rsidP="00811887">
      <w:pPr>
        <w:pStyle w:val="BodyText"/>
        <w:tabs>
          <w:tab w:val="left" w:pos="1948"/>
        </w:tabs>
        <w:spacing w:before="118" w:line="268" w:lineRule="auto"/>
        <w:ind w:left="1948" w:right="617" w:hanging="360"/>
        <w:rPr>
          <w:rFonts w:ascii="Calibri Light" w:hAnsi="Calibri Light"/>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Almost 1 in 4 Aboriginal and Torres Strait Islander households (24%) need at least 1 extra</w:t>
      </w:r>
      <w:r w:rsidRPr="00FD40B8">
        <w:rPr>
          <w:color w:val="131727" w:themeColor="text1"/>
          <w:spacing w:val="-2"/>
          <w:w w:val="110"/>
        </w:rPr>
        <w:t xml:space="preserve"> </w:t>
      </w:r>
      <w:r w:rsidRPr="00FD40B8">
        <w:rPr>
          <w:color w:val="131727" w:themeColor="text1"/>
          <w:w w:val="110"/>
        </w:rPr>
        <w:t>bedroom</w:t>
      </w:r>
      <w:r w:rsidRPr="00FD40B8">
        <w:rPr>
          <w:color w:val="131727" w:themeColor="text1"/>
          <w:spacing w:val="-1"/>
          <w:w w:val="110"/>
        </w:rPr>
        <w:t xml:space="preserve"> </w:t>
      </w:r>
      <w:r w:rsidRPr="00FD40B8">
        <w:rPr>
          <w:color w:val="131727" w:themeColor="text1"/>
          <w:w w:val="110"/>
        </w:rPr>
        <w:t>(compared</w:t>
      </w:r>
      <w:r w:rsidRPr="00FD40B8">
        <w:rPr>
          <w:color w:val="131727" w:themeColor="text1"/>
          <w:spacing w:val="-1"/>
          <w:w w:val="110"/>
        </w:rPr>
        <w:t xml:space="preserve"> </w:t>
      </w:r>
      <w:r w:rsidRPr="00FD40B8">
        <w:rPr>
          <w:color w:val="131727" w:themeColor="text1"/>
          <w:w w:val="110"/>
        </w:rPr>
        <w:t>with</w:t>
      </w:r>
      <w:r w:rsidRPr="00FD40B8">
        <w:rPr>
          <w:color w:val="131727" w:themeColor="text1"/>
          <w:spacing w:val="-4"/>
          <w:w w:val="110"/>
        </w:rPr>
        <w:t xml:space="preserve"> </w:t>
      </w:r>
      <w:r w:rsidRPr="00FD40B8">
        <w:rPr>
          <w:color w:val="131727" w:themeColor="text1"/>
          <w:w w:val="110"/>
        </w:rPr>
        <w:t>8%</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4"/>
          <w:w w:val="110"/>
        </w:rPr>
        <w:t xml:space="preserve"> </w:t>
      </w:r>
      <w:r w:rsidRPr="00FD40B8">
        <w:rPr>
          <w:color w:val="131727" w:themeColor="text1"/>
          <w:w w:val="110"/>
        </w:rPr>
        <w:t>non-remote</w:t>
      </w:r>
      <w:r w:rsidRPr="00FD40B8">
        <w:rPr>
          <w:color w:val="131727" w:themeColor="text1"/>
          <w:spacing w:val="-6"/>
          <w:w w:val="110"/>
        </w:rPr>
        <w:t xml:space="preserve"> </w:t>
      </w:r>
      <w:r w:rsidRPr="00FD40B8">
        <w:rPr>
          <w:color w:val="131727" w:themeColor="text1"/>
          <w:w w:val="110"/>
        </w:rPr>
        <w:t>areas). This</w:t>
      </w:r>
      <w:r w:rsidRPr="00FD40B8">
        <w:rPr>
          <w:color w:val="131727" w:themeColor="text1"/>
          <w:spacing w:val="-3"/>
          <w:w w:val="110"/>
        </w:rPr>
        <w:t xml:space="preserve"> </w:t>
      </w:r>
      <w:r w:rsidRPr="00FD40B8">
        <w:rPr>
          <w:color w:val="131727" w:themeColor="text1"/>
          <w:w w:val="110"/>
        </w:rPr>
        <w:t>is highest</w:t>
      </w:r>
      <w:r w:rsidRPr="00FD40B8">
        <w:rPr>
          <w:color w:val="131727" w:themeColor="text1"/>
          <w:spacing w:val="-5"/>
          <w:w w:val="110"/>
        </w:rPr>
        <w:t xml:space="preserve"> </w:t>
      </w:r>
      <w:r w:rsidRPr="00FD40B8">
        <w:rPr>
          <w:color w:val="131727" w:themeColor="text1"/>
          <w:w w:val="110"/>
        </w:rPr>
        <w:t>for</w:t>
      </w:r>
      <w:r w:rsidRPr="00FD40B8">
        <w:rPr>
          <w:color w:val="131727" w:themeColor="text1"/>
          <w:spacing w:val="-3"/>
          <w:w w:val="110"/>
        </w:rPr>
        <w:t xml:space="preserve"> </w:t>
      </w:r>
      <w:r w:rsidRPr="00FD40B8">
        <w:rPr>
          <w:color w:val="131727" w:themeColor="text1"/>
          <w:w w:val="110"/>
        </w:rPr>
        <w:t>very</w:t>
      </w:r>
      <w:r w:rsidRPr="00FD40B8">
        <w:rPr>
          <w:color w:val="131727" w:themeColor="text1"/>
          <w:spacing w:val="-3"/>
          <w:w w:val="110"/>
        </w:rPr>
        <w:t xml:space="preserve"> </w:t>
      </w:r>
      <w:r w:rsidRPr="00FD40B8">
        <w:rPr>
          <w:color w:val="131727" w:themeColor="text1"/>
          <w:w w:val="110"/>
        </w:rPr>
        <w:t>remote Northern Territory where over</w:t>
      </w:r>
      <w:r w:rsidRPr="00FD40B8">
        <w:rPr>
          <w:color w:val="131727" w:themeColor="text1"/>
          <w:spacing w:val="-1"/>
          <w:w w:val="110"/>
        </w:rPr>
        <w:t xml:space="preserve"> </w:t>
      </w:r>
      <w:r w:rsidRPr="00FD40B8">
        <w:rPr>
          <w:color w:val="131727" w:themeColor="text1"/>
          <w:w w:val="110"/>
        </w:rPr>
        <w:t>half of houses need at least 1 extra bedroom (53%), and very remote Western Australia where almost 1 in 4 are in need (23%)</w:t>
      </w:r>
      <w:hyperlink w:anchor="_bookmark15" w:history="1">
        <w:r w:rsidRPr="00FD40B8">
          <w:rPr>
            <w:color w:val="131727" w:themeColor="text1"/>
            <w:w w:val="110"/>
          </w:rPr>
          <w:t>.</w:t>
        </w:r>
        <w:r w:rsidRPr="00FD40B8">
          <w:rPr>
            <w:rFonts w:ascii="Calibri Light" w:hAnsi="Calibri Light"/>
            <w:color w:val="131727" w:themeColor="text1"/>
            <w:w w:val="110"/>
            <w:position w:val="7"/>
            <w:sz w:val="13"/>
          </w:rPr>
          <w:t>11</w:t>
        </w:r>
      </w:hyperlink>
    </w:p>
    <w:p w14:paraId="372F6E7E" w14:textId="77777777" w:rsidR="00811887" w:rsidRPr="00FD40B8" w:rsidRDefault="00811887" w:rsidP="00811887">
      <w:pPr>
        <w:pStyle w:val="BodyText"/>
        <w:tabs>
          <w:tab w:val="left" w:pos="1948"/>
        </w:tabs>
        <w:spacing w:before="112" w:line="268" w:lineRule="auto"/>
        <w:ind w:left="1948" w:right="877"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In</w:t>
      </w:r>
      <w:r w:rsidRPr="00FD40B8">
        <w:rPr>
          <w:color w:val="131727" w:themeColor="text1"/>
          <w:spacing w:val="-4"/>
          <w:w w:val="110"/>
        </w:rPr>
        <w:t xml:space="preserve"> </w:t>
      </w:r>
      <w:r w:rsidRPr="00FD40B8">
        <w:rPr>
          <w:color w:val="131727" w:themeColor="text1"/>
          <w:w w:val="110"/>
        </w:rPr>
        <w:t>remote</w:t>
      </w:r>
      <w:r w:rsidRPr="00FD40B8">
        <w:rPr>
          <w:color w:val="131727" w:themeColor="text1"/>
          <w:spacing w:val="-6"/>
          <w:w w:val="110"/>
        </w:rPr>
        <w:t xml:space="preserve"> </w:t>
      </w:r>
      <w:r w:rsidRPr="00FD40B8">
        <w:rPr>
          <w:color w:val="131727" w:themeColor="text1"/>
          <w:w w:val="110"/>
        </w:rPr>
        <w:t>areas,</w:t>
      </w:r>
      <w:r w:rsidRPr="00FD40B8">
        <w:rPr>
          <w:color w:val="131727" w:themeColor="text1"/>
          <w:spacing w:val="-4"/>
          <w:w w:val="110"/>
        </w:rPr>
        <w:t xml:space="preserve"> </w:t>
      </w:r>
      <w:r w:rsidRPr="00FD40B8">
        <w:rPr>
          <w:color w:val="131727" w:themeColor="text1"/>
          <w:w w:val="110"/>
        </w:rPr>
        <w:t>nearly</w:t>
      </w:r>
      <w:r w:rsidRPr="00FD40B8">
        <w:rPr>
          <w:color w:val="131727" w:themeColor="text1"/>
          <w:spacing w:val="-7"/>
          <w:w w:val="110"/>
        </w:rPr>
        <w:t xml:space="preserve"> </w:t>
      </w:r>
      <w:r w:rsidRPr="00FD40B8">
        <w:rPr>
          <w:color w:val="131727" w:themeColor="text1"/>
          <w:w w:val="110"/>
        </w:rPr>
        <w:t>half</w:t>
      </w:r>
      <w:r w:rsidRPr="00FD40B8">
        <w:rPr>
          <w:color w:val="131727" w:themeColor="text1"/>
          <w:spacing w:val="-7"/>
          <w:w w:val="110"/>
        </w:rPr>
        <w:t xml:space="preserve"> </w:t>
      </w:r>
      <w:r w:rsidRPr="00FD40B8">
        <w:rPr>
          <w:color w:val="131727" w:themeColor="text1"/>
          <w:w w:val="110"/>
        </w:rPr>
        <w:t>of</w:t>
      </w:r>
      <w:r w:rsidRPr="00FD40B8">
        <w:rPr>
          <w:color w:val="131727" w:themeColor="text1"/>
          <w:spacing w:val="-7"/>
          <w:w w:val="110"/>
        </w:rPr>
        <w:t xml:space="preserve"> </w:t>
      </w:r>
      <w:r w:rsidRPr="00FD40B8">
        <w:rPr>
          <w:color w:val="131727" w:themeColor="text1"/>
          <w:w w:val="110"/>
        </w:rPr>
        <w:t>overcrowded</w:t>
      </w:r>
      <w:r w:rsidRPr="00FD40B8">
        <w:rPr>
          <w:color w:val="131727" w:themeColor="text1"/>
          <w:spacing w:val="-5"/>
          <w:w w:val="110"/>
        </w:rPr>
        <w:t xml:space="preserve"> </w:t>
      </w:r>
      <w:r w:rsidRPr="00FD40B8">
        <w:rPr>
          <w:color w:val="131727" w:themeColor="text1"/>
          <w:w w:val="110"/>
        </w:rPr>
        <w:t>dwellings</w:t>
      </w:r>
      <w:r w:rsidRPr="00FD40B8">
        <w:rPr>
          <w:color w:val="131727" w:themeColor="text1"/>
          <w:spacing w:val="-7"/>
          <w:w w:val="110"/>
        </w:rPr>
        <w:t xml:space="preserve"> </w:t>
      </w:r>
      <w:r w:rsidRPr="00FD40B8">
        <w:rPr>
          <w:color w:val="131727" w:themeColor="text1"/>
          <w:w w:val="110"/>
        </w:rPr>
        <w:t>(47.5%)</w:t>
      </w:r>
      <w:r w:rsidRPr="00FD40B8">
        <w:rPr>
          <w:color w:val="131727" w:themeColor="text1"/>
          <w:spacing w:val="-6"/>
          <w:w w:val="110"/>
        </w:rPr>
        <w:t xml:space="preserve"> </w:t>
      </w:r>
      <w:r w:rsidRPr="00FD40B8">
        <w:rPr>
          <w:color w:val="131727" w:themeColor="text1"/>
          <w:w w:val="110"/>
        </w:rPr>
        <w:t>are</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3"/>
          <w:w w:val="110"/>
        </w:rPr>
        <w:t xml:space="preserve"> </w:t>
      </w:r>
      <w:r w:rsidRPr="00FD40B8">
        <w:rPr>
          <w:color w:val="131727" w:themeColor="text1"/>
          <w:w w:val="110"/>
        </w:rPr>
        <w:t>an</w:t>
      </w:r>
      <w:r w:rsidRPr="00FD40B8">
        <w:rPr>
          <w:color w:val="131727" w:themeColor="text1"/>
          <w:spacing w:val="-4"/>
          <w:w w:val="110"/>
        </w:rPr>
        <w:t xml:space="preserve"> </w:t>
      </w:r>
      <w:r w:rsidRPr="00FD40B8">
        <w:rPr>
          <w:color w:val="131727" w:themeColor="text1"/>
          <w:w w:val="110"/>
        </w:rPr>
        <w:t xml:space="preserve">unacceptable </w:t>
      </w:r>
      <w:r w:rsidRPr="00FD40B8">
        <w:rPr>
          <w:color w:val="131727" w:themeColor="text1"/>
          <w:spacing w:val="-2"/>
          <w:w w:val="110"/>
        </w:rPr>
        <w:t>standard.</w:t>
      </w:r>
    </w:p>
    <w:p w14:paraId="31AEA447" w14:textId="77777777" w:rsidR="00811887" w:rsidRPr="00FD40B8" w:rsidRDefault="00811887" w:rsidP="00811887">
      <w:pPr>
        <w:pStyle w:val="BodyText"/>
        <w:tabs>
          <w:tab w:val="left" w:pos="1948"/>
        </w:tabs>
        <w:spacing w:before="121" w:line="268" w:lineRule="auto"/>
        <w:ind w:left="1948" w:right="989"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Around</w:t>
      </w:r>
      <w:r w:rsidRPr="00FD40B8">
        <w:rPr>
          <w:color w:val="131727" w:themeColor="text1"/>
          <w:spacing w:val="-8"/>
          <w:w w:val="110"/>
        </w:rPr>
        <w:t xml:space="preserve"> </w:t>
      </w:r>
      <w:r w:rsidRPr="00FD40B8">
        <w:rPr>
          <w:color w:val="131727" w:themeColor="text1"/>
          <w:w w:val="110"/>
        </w:rPr>
        <w:t>a</w:t>
      </w:r>
      <w:r w:rsidRPr="00FD40B8">
        <w:rPr>
          <w:color w:val="131727" w:themeColor="text1"/>
          <w:spacing w:val="-5"/>
          <w:w w:val="110"/>
        </w:rPr>
        <w:t xml:space="preserve"> </w:t>
      </w:r>
      <w:r w:rsidRPr="00FD40B8">
        <w:rPr>
          <w:color w:val="131727" w:themeColor="text1"/>
          <w:w w:val="110"/>
        </w:rPr>
        <w:t>third</w:t>
      </w:r>
      <w:r w:rsidRPr="00FD40B8">
        <w:rPr>
          <w:color w:val="131727" w:themeColor="text1"/>
          <w:spacing w:val="-4"/>
          <w:w w:val="110"/>
        </w:rPr>
        <w:t xml:space="preserve"> </w:t>
      </w:r>
      <w:r w:rsidRPr="00FD40B8">
        <w:rPr>
          <w:color w:val="131727" w:themeColor="text1"/>
          <w:w w:val="110"/>
        </w:rPr>
        <w:t>(31.8%)</w:t>
      </w:r>
      <w:r w:rsidRPr="00FD40B8">
        <w:rPr>
          <w:color w:val="131727" w:themeColor="text1"/>
          <w:spacing w:val="-6"/>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dwellings</w:t>
      </w:r>
      <w:r w:rsidRPr="00FD40B8">
        <w:rPr>
          <w:color w:val="131727" w:themeColor="text1"/>
          <w:spacing w:val="-5"/>
          <w:w w:val="110"/>
        </w:rPr>
        <w:t xml:space="preserve"> </w:t>
      </w:r>
      <w:r w:rsidRPr="00FD40B8">
        <w:rPr>
          <w:color w:val="131727" w:themeColor="text1"/>
          <w:w w:val="110"/>
        </w:rPr>
        <w:t>not</w:t>
      </w:r>
      <w:r w:rsidRPr="00FD40B8">
        <w:rPr>
          <w:color w:val="131727" w:themeColor="text1"/>
          <w:spacing w:val="-8"/>
          <w:w w:val="110"/>
        </w:rPr>
        <w:t xml:space="preserve"> </w:t>
      </w:r>
      <w:r w:rsidRPr="00FD40B8">
        <w:rPr>
          <w:color w:val="131727" w:themeColor="text1"/>
          <w:w w:val="110"/>
        </w:rPr>
        <w:t>overcrowded</w:t>
      </w:r>
      <w:r w:rsidRPr="00FD40B8">
        <w:rPr>
          <w:color w:val="131727" w:themeColor="text1"/>
          <w:spacing w:val="-4"/>
          <w:w w:val="110"/>
        </w:rPr>
        <w:t xml:space="preserve"> </w:t>
      </w:r>
      <w:r w:rsidRPr="00FD40B8">
        <w:rPr>
          <w:color w:val="131727" w:themeColor="text1"/>
          <w:w w:val="110"/>
        </w:rPr>
        <w:t>were</w:t>
      </w:r>
      <w:r w:rsidRPr="00FD40B8">
        <w:rPr>
          <w:color w:val="131727" w:themeColor="text1"/>
          <w:spacing w:val="-2"/>
          <w:w w:val="110"/>
        </w:rPr>
        <w:t xml:space="preserve"> </w:t>
      </w:r>
      <w:r w:rsidRPr="00FD40B8">
        <w:rPr>
          <w:color w:val="131727" w:themeColor="text1"/>
          <w:w w:val="110"/>
        </w:rPr>
        <w:t>also</w:t>
      </w:r>
      <w:r w:rsidRPr="00FD40B8">
        <w:rPr>
          <w:color w:val="131727" w:themeColor="text1"/>
          <w:spacing w:val="-7"/>
          <w:w w:val="110"/>
        </w:rPr>
        <w:t xml:space="preserve"> </w:t>
      </w:r>
      <w:r w:rsidRPr="00FD40B8">
        <w:rPr>
          <w:color w:val="131727" w:themeColor="text1"/>
          <w:w w:val="110"/>
        </w:rPr>
        <w:t>not</w:t>
      </w:r>
      <w:r w:rsidRPr="00FD40B8">
        <w:rPr>
          <w:color w:val="131727" w:themeColor="text1"/>
          <w:spacing w:val="-8"/>
          <w:w w:val="110"/>
        </w:rPr>
        <w:t xml:space="preserve"> </w:t>
      </w:r>
      <w:r w:rsidRPr="00FD40B8">
        <w:rPr>
          <w:color w:val="131727" w:themeColor="text1"/>
          <w:w w:val="110"/>
        </w:rPr>
        <w:t>of</w:t>
      </w:r>
      <w:r w:rsidRPr="00FD40B8">
        <w:rPr>
          <w:color w:val="131727" w:themeColor="text1"/>
          <w:spacing w:val="-6"/>
          <w:w w:val="110"/>
        </w:rPr>
        <w:t xml:space="preserve"> </w:t>
      </w:r>
      <w:r w:rsidRPr="00FD40B8">
        <w:rPr>
          <w:color w:val="131727" w:themeColor="text1"/>
          <w:w w:val="110"/>
        </w:rPr>
        <w:t>an</w:t>
      </w:r>
      <w:r w:rsidRPr="00FD40B8">
        <w:rPr>
          <w:color w:val="131727" w:themeColor="text1"/>
          <w:spacing w:val="-3"/>
          <w:w w:val="110"/>
        </w:rPr>
        <w:t xml:space="preserve"> </w:t>
      </w:r>
      <w:r w:rsidRPr="00FD40B8">
        <w:rPr>
          <w:color w:val="131727" w:themeColor="text1"/>
          <w:w w:val="110"/>
        </w:rPr>
        <w:t xml:space="preserve">acceptable </w:t>
      </w:r>
      <w:r w:rsidRPr="00FD40B8">
        <w:rPr>
          <w:color w:val="131727" w:themeColor="text1"/>
          <w:spacing w:val="-2"/>
          <w:w w:val="110"/>
        </w:rPr>
        <w:t>standard.</w:t>
      </w:r>
    </w:p>
    <w:p w14:paraId="13E0FCBB" w14:textId="77777777" w:rsidR="00811887" w:rsidRPr="00FD40B8" w:rsidRDefault="00811887" w:rsidP="00811887">
      <w:pPr>
        <w:pStyle w:val="BodyText"/>
        <w:spacing w:before="95"/>
        <w:rPr>
          <w:color w:val="131727" w:themeColor="text1"/>
        </w:rPr>
      </w:pPr>
      <w:r>
        <w:rPr>
          <w:noProof/>
          <w14:ligatures w14:val="standardContextual"/>
        </w:rPr>
        <mc:AlternateContent>
          <mc:Choice Requires="wps">
            <w:drawing>
              <wp:anchor distT="0" distB="0" distL="114300" distR="114300" simplePos="0" relativeHeight="251787264" behindDoc="1" locked="0" layoutInCell="1" allowOverlap="1" wp14:anchorId="4534CFA9" wp14:editId="160F5E23">
                <wp:simplePos x="0" y="0"/>
                <wp:positionH relativeFrom="page">
                  <wp:posOffset>510638</wp:posOffset>
                </wp:positionH>
                <wp:positionV relativeFrom="paragraph">
                  <wp:posOffset>215495</wp:posOffset>
                </wp:positionV>
                <wp:extent cx="6377049" cy="2054431"/>
                <wp:effectExtent l="0" t="0" r="5080" b="3175"/>
                <wp:wrapNone/>
                <wp:docPr id="24749213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7049" cy="2054431"/>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673B2" id="Rectangle 3" o:spid="_x0000_s1026" alt="&quot;&quot;" style="position:absolute;margin-left:40.2pt;margin-top:16.95pt;width:502.15pt;height:161.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" fillcolor="#cfdfdd" stroked="f" strokeweight=".5pt">
                <w10:wrap anchorx="page"/>
              </v:rect>
            </w:pict>
          </mc:Fallback>
        </mc:AlternateContent>
      </w:r>
    </w:p>
    <w:p w14:paraId="394C499B" w14:textId="77777777" w:rsidR="00811887" w:rsidRDefault="00811887" w:rsidP="00811887">
      <w:pPr>
        <w:pStyle w:val="BodyText"/>
        <w:spacing w:before="145" w:line="259" w:lineRule="auto"/>
        <w:ind w:left="284" w:right="567"/>
        <w:rPr>
          <w:rFonts w:ascii="Calibri Light"/>
          <w:color w:val="000000"/>
          <w:sz w:val="14"/>
        </w:rPr>
      </w:pPr>
      <w:r>
        <w:rPr>
          <w:color w:val="000000"/>
          <w:w w:val="110"/>
        </w:rPr>
        <w:t>Based</w:t>
      </w:r>
      <w:r>
        <w:rPr>
          <w:color w:val="000000"/>
          <w:spacing w:val="-8"/>
          <w:w w:val="110"/>
        </w:rPr>
        <w:t xml:space="preserve"> </w:t>
      </w:r>
      <w:r>
        <w:rPr>
          <w:color w:val="000000"/>
          <w:w w:val="110"/>
        </w:rPr>
        <w:t>on</w:t>
      </w:r>
      <w:r>
        <w:rPr>
          <w:color w:val="000000"/>
          <w:spacing w:val="-1"/>
          <w:w w:val="110"/>
        </w:rPr>
        <w:t xml:space="preserve"> </w:t>
      </w:r>
      <w:r>
        <w:rPr>
          <w:color w:val="000000"/>
          <w:w w:val="110"/>
        </w:rPr>
        <w:t>available</w:t>
      </w:r>
      <w:r>
        <w:rPr>
          <w:color w:val="000000"/>
          <w:spacing w:val="-3"/>
          <w:w w:val="110"/>
        </w:rPr>
        <w:t xml:space="preserve"> </w:t>
      </w:r>
      <w:r>
        <w:rPr>
          <w:color w:val="000000"/>
          <w:w w:val="110"/>
        </w:rPr>
        <w:t>data,</w:t>
      </w:r>
      <w:r>
        <w:rPr>
          <w:color w:val="000000"/>
          <w:spacing w:val="-3"/>
          <w:w w:val="110"/>
        </w:rPr>
        <w:t xml:space="preserve"> </w:t>
      </w:r>
      <w:r>
        <w:rPr>
          <w:color w:val="000000"/>
          <w:w w:val="110"/>
        </w:rPr>
        <w:t>Equity</w:t>
      </w:r>
      <w:r>
        <w:rPr>
          <w:color w:val="000000"/>
          <w:spacing w:val="-5"/>
          <w:w w:val="110"/>
        </w:rPr>
        <w:t xml:space="preserve"> </w:t>
      </w:r>
      <w:r>
        <w:rPr>
          <w:color w:val="000000"/>
          <w:w w:val="110"/>
        </w:rPr>
        <w:t>Economics</w:t>
      </w:r>
      <w:r>
        <w:rPr>
          <w:color w:val="000000"/>
          <w:spacing w:val="-4"/>
          <w:w w:val="110"/>
        </w:rPr>
        <w:t xml:space="preserve"> </w:t>
      </w:r>
      <w:r>
        <w:rPr>
          <w:color w:val="000000"/>
          <w:w w:val="110"/>
        </w:rPr>
        <w:t>makes</w:t>
      </w:r>
      <w:r>
        <w:rPr>
          <w:color w:val="000000"/>
          <w:spacing w:val="-2"/>
          <w:w w:val="110"/>
        </w:rPr>
        <w:t xml:space="preserve"> </w:t>
      </w:r>
      <w:r>
        <w:rPr>
          <w:color w:val="000000"/>
          <w:w w:val="110"/>
        </w:rPr>
        <w:t>a</w:t>
      </w:r>
      <w:r>
        <w:rPr>
          <w:color w:val="000000"/>
          <w:spacing w:val="-4"/>
          <w:w w:val="110"/>
        </w:rPr>
        <w:t xml:space="preserve"> </w:t>
      </w:r>
      <w:r>
        <w:rPr>
          <w:color w:val="000000"/>
          <w:w w:val="110"/>
        </w:rPr>
        <w:t>very</w:t>
      </w:r>
      <w:r>
        <w:rPr>
          <w:color w:val="000000"/>
          <w:spacing w:val="-5"/>
          <w:w w:val="110"/>
        </w:rPr>
        <w:t xml:space="preserve"> </w:t>
      </w:r>
      <w:r>
        <w:rPr>
          <w:color w:val="000000"/>
          <w:w w:val="110"/>
        </w:rPr>
        <w:t>conversative</w:t>
      </w:r>
      <w:r>
        <w:rPr>
          <w:color w:val="000000"/>
          <w:spacing w:val="-6"/>
          <w:w w:val="110"/>
        </w:rPr>
        <w:t xml:space="preserve"> </w:t>
      </w:r>
      <w:r>
        <w:rPr>
          <w:color w:val="000000"/>
          <w:w w:val="110"/>
        </w:rPr>
        <w:t>estimate</w:t>
      </w:r>
      <w:r>
        <w:rPr>
          <w:color w:val="000000"/>
          <w:spacing w:val="-3"/>
          <w:w w:val="110"/>
        </w:rPr>
        <w:t xml:space="preserve"> </w:t>
      </w:r>
      <w:r>
        <w:rPr>
          <w:color w:val="000000"/>
          <w:w w:val="110"/>
        </w:rPr>
        <w:t>that</w:t>
      </w:r>
      <w:r>
        <w:rPr>
          <w:color w:val="000000"/>
          <w:spacing w:val="-3"/>
          <w:w w:val="110"/>
        </w:rPr>
        <w:t xml:space="preserve"> </w:t>
      </w:r>
      <w:r>
        <w:rPr>
          <w:color w:val="000000"/>
          <w:w w:val="110"/>
        </w:rPr>
        <w:t>there</w:t>
      </w:r>
      <w:r>
        <w:rPr>
          <w:color w:val="000000"/>
          <w:spacing w:val="-3"/>
          <w:w w:val="110"/>
        </w:rPr>
        <w:t xml:space="preserve"> </w:t>
      </w:r>
      <w:r>
        <w:rPr>
          <w:color w:val="000000"/>
          <w:w w:val="110"/>
        </w:rPr>
        <w:t>is</w:t>
      </w:r>
      <w:r>
        <w:rPr>
          <w:color w:val="000000"/>
          <w:spacing w:val="-1"/>
          <w:w w:val="110"/>
        </w:rPr>
        <w:t xml:space="preserve"> </w:t>
      </w:r>
      <w:r>
        <w:rPr>
          <w:color w:val="000000"/>
          <w:w w:val="110"/>
        </w:rPr>
        <w:t xml:space="preserve">an Aboriginal and Torres Strait Islander minimum housing need of an additional 18,342 houses </w:t>
      </w:r>
      <w:r>
        <w:rPr>
          <w:color w:val="000000"/>
          <w:spacing w:val="-2"/>
          <w:w w:val="110"/>
        </w:rPr>
        <w:t>nationally</w:t>
      </w:r>
      <w:hyperlink w:anchor="_bookmark16" w:history="1">
        <w:r>
          <w:rPr>
            <w:color w:val="000000"/>
            <w:spacing w:val="-2"/>
            <w:w w:val="110"/>
          </w:rPr>
          <w:t>.</w:t>
        </w:r>
        <w:r>
          <w:rPr>
            <w:rFonts w:ascii="Calibri Light"/>
            <w:color w:val="000000"/>
            <w:spacing w:val="-2"/>
            <w:w w:val="110"/>
            <w:position w:val="8"/>
            <w:sz w:val="14"/>
          </w:rPr>
          <w:t>12</w:t>
        </w:r>
      </w:hyperlink>
    </w:p>
    <w:p w14:paraId="3EB09793" w14:textId="77777777" w:rsidR="00811887" w:rsidRDefault="00811887" w:rsidP="00FB2FE9">
      <w:pPr>
        <w:pStyle w:val="BodyText"/>
        <w:numPr>
          <w:ilvl w:val="0"/>
          <w:numId w:val="67"/>
        </w:numPr>
        <w:tabs>
          <w:tab w:val="left" w:pos="826"/>
        </w:tabs>
        <w:spacing w:before="112"/>
        <w:ind w:left="993" w:right="567"/>
        <w:rPr>
          <w:color w:val="000000"/>
        </w:rPr>
      </w:pPr>
      <w:r>
        <w:rPr>
          <w:color w:val="000000"/>
          <w:w w:val="110"/>
        </w:rPr>
        <w:t>Of these, a</w:t>
      </w:r>
      <w:r>
        <w:rPr>
          <w:color w:val="000000"/>
          <w:spacing w:val="-6"/>
          <w:w w:val="110"/>
        </w:rPr>
        <w:t xml:space="preserve"> </w:t>
      </w:r>
      <w:r>
        <w:rPr>
          <w:color w:val="000000"/>
          <w:w w:val="110"/>
        </w:rPr>
        <w:t>minimum</w:t>
      </w:r>
      <w:r>
        <w:rPr>
          <w:color w:val="000000"/>
          <w:spacing w:val="-6"/>
          <w:w w:val="110"/>
        </w:rPr>
        <w:t xml:space="preserve"> </w:t>
      </w:r>
      <w:r>
        <w:rPr>
          <w:color w:val="000000"/>
          <w:w w:val="110"/>
        </w:rPr>
        <w:t>of</w:t>
      </w:r>
      <w:r>
        <w:rPr>
          <w:color w:val="000000"/>
          <w:spacing w:val="-2"/>
          <w:w w:val="110"/>
        </w:rPr>
        <w:t xml:space="preserve"> </w:t>
      </w:r>
      <w:r>
        <w:rPr>
          <w:color w:val="000000"/>
          <w:w w:val="110"/>
        </w:rPr>
        <w:t>5,261 are</w:t>
      </w:r>
      <w:r>
        <w:rPr>
          <w:color w:val="000000"/>
          <w:spacing w:val="-1"/>
          <w:w w:val="110"/>
        </w:rPr>
        <w:t xml:space="preserve"> </w:t>
      </w:r>
      <w:r>
        <w:rPr>
          <w:color w:val="000000"/>
          <w:w w:val="110"/>
        </w:rPr>
        <w:t>needed</w:t>
      </w:r>
      <w:r>
        <w:rPr>
          <w:color w:val="000000"/>
          <w:spacing w:val="-6"/>
          <w:w w:val="110"/>
        </w:rPr>
        <w:t xml:space="preserve"> </w:t>
      </w:r>
      <w:r>
        <w:rPr>
          <w:color w:val="000000"/>
          <w:w w:val="110"/>
        </w:rPr>
        <w:t>in</w:t>
      </w:r>
      <w:r>
        <w:rPr>
          <w:color w:val="000000"/>
          <w:spacing w:val="1"/>
          <w:w w:val="110"/>
        </w:rPr>
        <w:t xml:space="preserve"> </w:t>
      </w:r>
      <w:r>
        <w:rPr>
          <w:color w:val="000000"/>
          <w:w w:val="110"/>
        </w:rPr>
        <w:t>remote</w:t>
      </w:r>
      <w:r>
        <w:rPr>
          <w:color w:val="000000"/>
          <w:spacing w:val="-7"/>
          <w:w w:val="110"/>
        </w:rPr>
        <w:t xml:space="preserve"> </w:t>
      </w:r>
      <w:r>
        <w:rPr>
          <w:color w:val="000000"/>
          <w:w w:val="110"/>
        </w:rPr>
        <w:t>and very</w:t>
      </w:r>
      <w:r>
        <w:rPr>
          <w:color w:val="000000"/>
          <w:spacing w:val="-3"/>
          <w:w w:val="110"/>
        </w:rPr>
        <w:t xml:space="preserve"> </w:t>
      </w:r>
      <w:r>
        <w:rPr>
          <w:color w:val="000000"/>
          <w:w w:val="110"/>
        </w:rPr>
        <w:t>remote</w:t>
      </w:r>
      <w:r>
        <w:rPr>
          <w:color w:val="000000"/>
          <w:spacing w:val="-1"/>
          <w:w w:val="110"/>
        </w:rPr>
        <w:t xml:space="preserve"> </w:t>
      </w:r>
      <w:r>
        <w:rPr>
          <w:color w:val="000000"/>
          <w:spacing w:val="-2"/>
          <w:w w:val="110"/>
        </w:rPr>
        <w:t>areas.</w:t>
      </w:r>
    </w:p>
    <w:p w14:paraId="17B3BB32" w14:textId="77777777" w:rsidR="00811887" w:rsidRDefault="00811887" w:rsidP="00FB2FE9">
      <w:pPr>
        <w:pStyle w:val="BodyText"/>
        <w:numPr>
          <w:ilvl w:val="0"/>
          <w:numId w:val="67"/>
        </w:numPr>
        <w:tabs>
          <w:tab w:val="left" w:pos="826"/>
        </w:tabs>
        <w:spacing w:before="139" w:line="268" w:lineRule="auto"/>
        <w:ind w:left="993" w:right="567"/>
        <w:rPr>
          <w:color w:val="000000"/>
        </w:rPr>
      </w:pPr>
      <w:r>
        <w:rPr>
          <w:color w:val="000000"/>
          <w:w w:val="110"/>
        </w:rPr>
        <w:t>The largest</w:t>
      </w:r>
      <w:r>
        <w:rPr>
          <w:color w:val="000000"/>
          <w:spacing w:val="-3"/>
          <w:w w:val="110"/>
        </w:rPr>
        <w:t xml:space="preserve"> </w:t>
      </w:r>
      <w:r>
        <w:rPr>
          <w:color w:val="000000"/>
          <w:w w:val="110"/>
        </w:rPr>
        <w:t>number of houses are needed</w:t>
      </w:r>
      <w:r>
        <w:rPr>
          <w:color w:val="000000"/>
          <w:spacing w:val="-3"/>
          <w:w w:val="110"/>
        </w:rPr>
        <w:t xml:space="preserve"> </w:t>
      </w:r>
      <w:r>
        <w:rPr>
          <w:color w:val="000000"/>
          <w:w w:val="110"/>
        </w:rPr>
        <w:t>in</w:t>
      </w:r>
      <w:r>
        <w:rPr>
          <w:color w:val="000000"/>
          <w:spacing w:val="-2"/>
          <w:w w:val="110"/>
        </w:rPr>
        <w:t xml:space="preserve"> </w:t>
      </w:r>
      <w:r>
        <w:rPr>
          <w:color w:val="000000"/>
          <w:w w:val="110"/>
        </w:rPr>
        <w:t>remote and very remote areas</w:t>
      </w:r>
      <w:r>
        <w:rPr>
          <w:color w:val="000000"/>
          <w:spacing w:val="-1"/>
          <w:w w:val="110"/>
        </w:rPr>
        <w:t xml:space="preserve"> </w:t>
      </w:r>
      <w:r>
        <w:rPr>
          <w:color w:val="000000"/>
          <w:w w:val="110"/>
        </w:rPr>
        <w:t>of the Northern Territory (2989),</w:t>
      </w:r>
      <w:r>
        <w:rPr>
          <w:color w:val="000000"/>
          <w:spacing w:val="-1"/>
          <w:w w:val="110"/>
        </w:rPr>
        <w:t xml:space="preserve"> </w:t>
      </w:r>
      <w:r>
        <w:rPr>
          <w:color w:val="000000"/>
          <w:w w:val="110"/>
        </w:rPr>
        <w:t>followed</w:t>
      </w:r>
      <w:r>
        <w:rPr>
          <w:color w:val="000000"/>
          <w:spacing w:val="-1"/>
          <w:w w:val="110"/>
        </w:rPr>
        <w:t xml:space="preserve"> </w:t>
      </w:r>
      <w:r>
        <w:rPr>
          <w:color w:val="000000"/>
          <w:w w:val="110"/>
        </w:rPr>
        <w:t>by Queensland (1012), and</w:t>
      </w:r>
      <w:r>
        <w:rPr>
          <w:color w:val="000000"/>
          <w:spacing w:val="-1"/>
          <w:w w:val="110"/>
        </w:rPr>
        <w:t xml:space="preserve"> </w:t>
      </w:r>
      <w:r>
        <w:rPr>
          <w:color w:val="000000"/>
          <w:w w:val="110"/>
        </w:rPr>
        <w:t>Western Australia (917).</w:t>
      </w:r>
    </w:p>
    <w:p w14:paraId="65212A01" w14:textId="77777777" w:rsidR="00811887" w:rsidRDefault="00811887" w:rsidP="00811887">
      <w:pPr>
        <w:pStyle w:val="BodyText"/>
        <w:spacing w:before="121" w:line="264" w:lineRule="auto"/>
        <w:ind w:left="284" w:right="567"/>
        <w:rPr>
          <w:color w:val="000000"/>
        </w:rPr>
      </w:pPr>
      <w:r>
        <w:rPr>
          <w:color w:val="000000"/>
          <w:w w:val="110"/>
        </w:rPr>
        <w:t>A</w:t>
      </w:r>
      <w:r>
        <w:rPr>
          <w:color w:val="000000"/>
          <w:spacing w:val="-2"/>
          <w:w w:val="110"/>
        </w:rPr>
        <w:t xml:space="preserve"> </w:t>
      </w:r>
      <w:r>
        <w:rPr>
          <w:color w:val="000000"/>
          <w:w w:val="110"/>
        </w:rPr>
        <w:t>further</w:t>
      </w:r>
      <w:r>
        <w:rPr>
          <w:color w:val="000000"/>
          <w:spacing w:val="-3"/>
          <w:w w:val="110"/>
        </w:rPr>
        <w:t xml:space="preserve"> </w:t>
      </w:r>
      <w:r>
        <w:rPr>
          <w:color w:val="000000"/>
          <w:w w:val="110"/>
        </w:rPr>
        <w:t>69,500</w:t>
      </w:r>
      <w:r>
        <w:rPr>
          <w:color w:val="000000"/>
          <w:spacing w:val="-1"/>
          <w:w w:val="110"/>
        </w:rPr>
        <w:t xml:space="preserve"> </w:t>
      </w:r>
      <w:r>
        <w:rPr>
          <w:color w:val="000000"/>
          <w:w w:val="110"/>
        </w:rPr>
        <w:t>existing</w:t>
      </w:r>
      <w:r>
        <w:rPr>
          <w:color w:val="000000"/>
          <w:spacing w:val="-1"/>
          <w:w w:val="110"/>
        </w:rPr>
        <w:t xml:space="preserve"> </w:t>
      </w:r>
      <w:r>
        <w:rPr>
          <w:color w:val="000000"/>
          <w:w w:val="110"/>
        </w:rPr>
        <w:t>houses are</w:t>
      </w:r>
      <w:r>
        <w:rPr>
          <w:color w:val="000000"/>
          <w:spacing w:val="-1"/>
          <w:w w:val="110"/>
        </w:rPr>
        <w:t xml:space="preserve"> </w:t>
      </w:r>
      <w:r>
        <w:rPr>
          <w:color w:val="000000"/>
          <w:w w:val="110"/>
        </w:rPr>
        <w:t>likely</w:t>
      </w:r>
      <w:r>
        <w:rPr>
          <w:color w:val="000000"/>
          <w:spacing w:val="-3"/>
          <w:w w:val="110"/>
        </w:rPr>
        <w:t xml:space="preserve"> </w:t>
      </w:r>
      <w:r>
        <w:rPr>
          <w:color w:val="000000"/>
          <w:w w:val="110"/>
        </w:rPr>
        <w:t>to</w:t>
      </w:r>
      <w:r>
        <w:rPr>
          <w:color w:val="000000"/>
          <w:spacing w:val="-4"/>
          <w:w w:val="110"/>
        </w:rPr>
        <w:t xml:space="preserve"> </w:t>
      </w:r>
      <w:r>
        <w:rPr>
          <w:color w:val="000000"/>
          <w:w w:val="110"/>
        </w:rPr>
        <w:t>need</w:t>
      </w:r>
      <w:r>
        <w:rPr>
          <w:color w:val="000000"/>
          <w:spacing w:val="-6"/>
          <w:w w:val="110"/>
        </w:rPr>
        <w:t xml:space="preserve"> </w:t>
      </w:r>
      <w:r>
        <w:rPr>
          <w:color w:val="000000"/>
          <w:w w:val="110"/>
        </w:rPr>
        <w:t>either</w:t>
      </w:r>
      <w:r>
        <w:rPr>
          <w:color w:val="000000"/>
          <w:spacing w:val="-3"/>
          <w:w w:val="110"/>
        </w:rPr>
        <w:t xml:space="preserve"> </w:t>
      </w:r>
      <w:r>
        <w:rPr>
          <w:color w:val="000000"/>
          <w:w w:val="110"/>
        </w:rPr>
        <w:t>substantial</w:t>
      </w:r>
      <w:r>
        <w:rPr>
          <w:color w:val="000000"/>
          <w:spacing w:val="-4"/>
          <w:w w:val="110"/>
        </w:rPr>
        <w:t xml:space="preserve"> </w:t>
      </w:r>
      <w:r>
        <w:rPr>
          <w:color w:val="000000"/>
          <w:w w:val="110"/>
        </w:rPr>
        <w:t>repair</w:t>
      </w:r>
      <w:r>
        <w:rPr>
          <w:color w:val="000000"/>
          <w:spacing w:val="-7"/>
          <w:w w:val="110"/>
        </w:rPr>
        <w:t xml:space="preserve"> </w:t>
      </w:r>
      <w:r>
        <w:rPr>
          <w:color w:val="000000"/>
          <w:w w:val="110"/>
        </w:rPr>
        <w:t>or</w:t>
      </w:r>
      <w:r>
        <w:rPr>
          <w:color w:val="000000"/>
          <w:spacing w:val="-3"/>
          <w:w w:val="110"/>
        </w:rPr>
        <w:t xml:space="preserve"> </w:t>
      </w:r>
      <w:r>
        <w:rPr>
          <w:color w:val="000000"/>
          <w:w w:val="110"/>
        </w:rPr>
        <w:t>replacement</w:t>
      </w:r>
      <w:r>
        <w:rPr>
          <w:color w:val="000000"/>
          <w:spacing w:val="-1"/>
          <w:w w:val="110"/>
        </w:rPr>
        <w:t xml:space="preserve"> </w:t>
      </w:r>
      <w:r>
        <w:rPr>
          <w:color w:val="000000"/>
          <w:w w:val="110"/>
        </w:rPr>
        <w:t>due</w:t>
      </w:r>
      <w:r>
        <w:rPr>
          <w:color w:val="000000"/>
          <w:spacing w:val="-1"/>
          <w:w w:val="110"/>
        </w:rPr>
        <w:t xml:space="preserve"> </w:t>
      </w:r>
      <w:r>
        <w:rPr>
          <w:color w:val="000000"/>
          <w:w w:val="110"/>
        </w:rPr>
        <w:t>to significant structural problems or a lack of basic facilities.</w:t>
      </w:r>
    </w:p>
    <w:p w14:paraId="44555516" w14:textId="77777777" w:rsidR="00811887" w:rsidRDefault="00811887" w:rsidP="00811887">
      <w:pPr>
        <w:pStyle w:val="BodyText"/>
        <w:spacing w:before="100" w:line="268" w:lineRule="auto"/>
        <w:ind w:left="284" w:right="567"/>
        <w:rPr>
          <w:color w:val="000000"/>
        </w:rPr>
      </w:pPr>
      <w:r>
        <w:rPr>
          <w:color w:val="000000"/>
          <w:w w:val="110"/>
        </w:rPr>
        <w:t>Data</w:t>
      </w:r>
      <w:r>
        <w:rPr>
          <w:color w:val="000000"/>
          <w:spacing w:val="-8"/>
          <w:w w:val="110"/>
        </w:rPr>
        <w:t xml:space="preserve"> </w:t>
      </w:r>
      <w:r>
        <w:rPr>
          <w:color w:val="000000"/>
          <w:w w:val="110"/>
        </w:rPr>
        <w:t>is</w:t>
      </w:r>
      <w:r>
        <w:rPr>
          <w:color w:val="000000"/>
          <w:spacing w:val="-4"/>
          <w:w w:val="110"/>
        </w:rPr>
        <w:t xml:space="preserve"> </w:t>
      </w:r>
      <w:r>
        <w:rPr>
          <w:color w:val="000000"/>
          <w:w w:val="110"/>
        </w:rPr>
        <w:t>not</w:t>
      </w:r>
      <w:r>
        <w:rPr>
          <w:color w:val="000000"/>
          <w:spacing w:val="-6"/>
          <w:w w:val="110"/>
        </w:rPr>
        <w:t xml:space="preserve"> </w:t>
      </w:r>
      <w:r>
        <w:rPr>
          <w:color w:val="000000"/>
          <w:w w:val="110"/>
        </w:rPr>
        <w:t>available</w:t>
      </w:r>
      <w:r>
        <w:rPr>
          <w:color w:val="000000"/>
          <w:spacing w:val="-6"/>
          <w:w w:val="110"/>
        </w:rPr>
        <w:t xml:space="preserve"> </w:t>
      </w:r>
      <w:r>
        <w:rPr>
          <w:color w:val="000000"/>
          <w:w w:val="110"/>
        </w:rPr>
        <w:t>to</w:t>
      </w:r>
      <w:r>
        <w:rPr>
          <w:color w:val="000000"/>
          <w:spacing w:val="-2"/>
          <w:w w:val="110"/>
        </w:rPr>
        <w:t xml:space="preserve"> </w:t>
      </w:r>
      <w:r>
        <w:rPr>
          <w:color w:val="000000"/>
          <w:w w:val="110"/>
        </w:rPr>
        <w:t>reliably</w:t>
      </w:r>
      <w:r>
        <w:rPr>
          <w:color w:val="000000"/>
          <w:spacing w:val="-6"/>
          <w:w w:val="110"/>
        </w:rPr>
        <w:t xml:space="preserve"> </w:t>
      </w:r>
      <w:r>
        <w:rPr>
          <w:color w:val="000000"/>
          <w:w w:val="110"/>
        </w:rPr>
        <w:t>estimate</w:t>
      </w:r>
      <w:r>
        <w:rPr>
          <w:color w:val="000000"/>
          <w:spacing w:val="-6"/>
          <w:w w:val="110"/>
        </w:rPr>
        <w:t xml:space="preserve"> </w:t>
      </w:r>
      <w:r>
        <w:rPr>
          <w:color w:val="000000"/>
          <w:w w:val="110"/>
        </w:rPr>
        <w:t>the</w:t>
      </w:r>
      <w:r>
        <w:rPr>
          <w:color w:val="000000"/>
          <w:spacing w:val="-10"/>
          <w:w w:val="110"/>
        </w:rPr>
        <w:t xml:space="preserve"> </w:t>
      </w:r>
      <w:r>
        <w:rPr>
          <w:color w:val="000000"/>
          <w:w w:val="110"/>
        </w:rPr>
        <w:t>related</w:t>
      </w:r>
      <w:r>
        <w:rPr>
          <w:color w:val="000000"/>
          <w:spacing w:val="-10"/>
          <w:w w:val="110"/>
        </w:rPr>
        <w:t xml:space="preserve"> </w:t>
      </w:r>
      <w:r>
        <w:rPr>
          <w:color w:val="000000"/>
          <w:w w:val="110"/>
        </w:rPr>
        <w:t>housing</w:t>
      </w:r>
      <w:r>
        <w:rPr>
          <w:color w:val="000000"/>
          <w:spacing w:val="-6"/>
          <w:w w:val="110"/>
        </w:rPr>
        <w:t xml:space="preserve"> </w:t>
      </w:r>
      <w:r>
        <w:rPr>
          <w:color w:val="000000"/>
          <w:w w:val="110"/>
        </w:rPr>
        <w:t>and</w:t>
      </w:r>
      <w:r>
        <w:rPr>
          <w:color w:val="000000"/>
          <w:spacing w:val="-6"/>
          <w:w w:val="110"/>
        </w:rPr>
        <w:t xml:space="preserve"> </w:t>
      </w:r>
      <w:r>
        <w:rPr>
          <w:color w:val="000000"/>
          <w:w w:val="110"/>
        </w:rPr>
        <w:t>community</w:t>
      </w:r>
      <w:r>
        <w:rPr>
          <w:color w:val="000000"/>
          <w:spacing w:val="-11"/>
          <w:w w:val="110"/>
        </w:rPr>
        <w:t xml:space="preserve"> </w:t>
      </w:r>
      <w:r>
        <w:rPr>
          <w:color w:val="000000"/>
          <w:w w:val="110"/>
        </w:rPr>
        <w:t>infrastructure requirements; however, Equity Economics assess that this is likely to be significant.</w:t>
      </w:r>
    </w:p>
    <w:p w14:paraId="18ADF5FA" w14:textId="77777777" w:rsidR="00811887" w:rsidRPr="00FD40B8" w:rsidRDefault="00811887" w:rsidP="00811887">
      <w:pPr>
        <w:pStyle w:val="BodyText"/>
        <w:ind w:left="284" w:right="567"/>
        <w:rPr>
          <w:color w:val="131727" w:themeColor="text1"/>
        </w:rPr>
      </w:pPr>
    </w:p>
    <w:p w14:paraId="64C22826" w14:textId="77777777" w:rsidR="00811887" w:rsidRPr="00FD40B8" w:rsidRDefault="00811887" w:rsidP="00811887">
      <w:pPr>
        <w:pStyle w:val="BodyText"/>
        <w:spacing w:before="35"/>
        <w:rPr>
          <w:color w:val="131727" w:themeColor="text1"/>
        </w:rPr>
      </w:pPr>
    </w:p>
    <w:p w14:paraId="078B19B7" w14:textId="77777777" w:rsidR="00811887" w:rsidRPr="00FD40B8" w:rsidRDefault="00811887" w:rsidP="00FB2FE9">
      <w:pPr>
        <w:pStyle w:val="ListParagraph"/>
        <w:widowControl w:val="0"/>
        <w:numPr>
          <w:ilvl w:val="0"/>
          <w:numId w:val="68"/>
        </w:numPr>
        <w:tabs>
          <w:tab w:val="left" w:pos="1228"/>
        </w:tabs>
        <w:autoSpaceDE w:val="0"/>
        <w:autoSpaceDN w:val="0"/>
        <w:spacing w:before="1" w:after="0" w:line="268" w:lineRule="auto"/>
        <w:ind w:right="889"/>
        <w:contextualSpacing w:val="0"/>
        <w:rPr>
          <w:rFonts w:ascii="Symbol" w:hAnsi="Symbol"/>
          <w:color w:val="131727" w:themeColor="text1"/>
          <w:sz w:val="20"/>
        </w:rPr>
      </w:pPr>
      <w:r w:rsidRPr="00FD40B8">
        <w:rPr>
          <w:color w:val="131727" w:themeColor="text1"/>
          <w:w w:val="110"/>
          <w:sz w:val="20"/>
        </w:rPr>
        <w:t>Equity</w:t>
      </w:r>
      <w:r w:rsidRPr="00FD40B8">
        <w:rPr>
          <w:color w:val="131727" w:themeColor="text1"/>
          <w:spacing w:val="-1"/>
          <w:w w:val="110"/>
          <w:sz w:val="20"/>
        </w:rPr>
        <w:t xml:space="preserve"> </w:t>
      </w:r>
      <w:r w:rsidRPr="00FD40B8">
        <w:rPr>
          <w:color w:val="131727" w:themeColor="text1"/>
          <w:w w:val="110"/>
          <w:sz w:val="20"/>
        </w:rPr>
        <w:t>Economics assesses that existing efforts by</w:t>
      </w:r>
      <w:r w:rsidRPr="00FD40B8">
        <w:rPr>
          <w:color w:val="131727" w:themeColor="text1"/>
          <w:spacing w:val="-5"/>
          <w:w w:val="110"/>
          <w:sz w:val="20"/>
        </w:rPr>
        <w:t xml:space="preserve"> </w:t>
      </w:r>
      <w:r w:rsidRPr="00FD40B8">
        <w:rPr>
          <w:color w:val="131727" w:themeColor="text1"/>
          <w:w w:val="110"/>
          <w:sz w:val="20"/>
        </w:rPr>
        <w:t>governments to address the</w:t>
      </w:r>
      <w:r w:rsidRPr="00FD40B8">
        <w:rPr>
          <w:color w:val="131727" w:themeColor="text1"/>
          <w:spacing w:val="-4"/>
          <w:w w:val="110"/>
          <w:sz w:val="20"/>
        </w:rPr>
        <w:t xml:space="preserve"> </w:t>
      </w:r>
      <w:r w:rsidRPr="00FD40B8">
        <w:rPr>
          <w:color w:val="131727" w:themeColor="text1"/>
          <w:w w:val="110"/>
          <w:sz w:val="20"/>
        </w:rPr>
        <w:t>overcrowding and homelessness needs of Aboriginal and Torres Strait Islander people is not sufficient.</w:t>
      </w:r>
    </w:p>
    <w:p w14:paraId="7E664822" w14:textId="77777777" w:rsidR="00811887" w:rsidRPr="00FD40B8" w:rsidRDefault="00811887" w:rsidP="00811887">
      <w:pPr>
        <w:pStyle w:val="BodyText"/>
        <w:tabs>
          <w:tab w:val="left" w:pos="1948"/>
        </w:tabs>
        <w:spacing w:before="120" w:line="266" w:lineRule="auto"/>
        <w:ind w:left="1948" w:right="532"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rPr>
        <w:t>There is</w:t>
      </w:r>
      <w:r w:rsidRPr="00FD40B8">
        <w:rPr>
          <w:color w:val="131727" w:themeColor="text1"/>
          <w:spacing w:val="-2"/>
          <w:w w:val="110"/>
        </w:rPr>
        <w:t xml:space="preserve"> </w:t>
      </w:r>
      <w:r w:rsidRPr="00FD40B8">
        <w:rPr>
          <w:color w:val="131727" w:themeColor="text1"/>
          <w:w w:val="110"/>
        </w:rPr>
        <w:t>no</w:t>
      </w:r>
      <w:r w:rsidRPr="00FD40B8">
        <w:rPr>
          <w:color w:val="131727" w:themeColor="text1"/>
          <w:spacing w:val="-3"/>
          <w:w w:val="110"/>
        </w:rPr>
        <w:t xml:space="preserve"> </w:t>
      </w:r>
      <w:r w:rsidRPr="00FD40B8">
        <w:rPr>
          <w:color w:val="131727" w:themeColor="text1"/>
          <w:w w:val="110"/>
        </w:rPr>
        <w:t>national approach</w:t>
      </w:r>
      <w:r w:rsidRPr="00FD40B8">
        <w:rPr>
          <w:color w:val="131727" w:themeColor="text1"/>
          <w:spacing w:val="-4"/>
          <w:w w:val="110"/>
        </w:rPr>
        <w:t xml:space="preserve"> </w:t>
      </w:r>
      <w:r w:rsidRPr="00FD40B8">
        <w:rPr>
          <w:color w:val="131727" w:themeColor="text1"/>
          <w:w w:val="110"/>
        </w:rPr>
        <w:t>or</w:t>
      </w:r>
      <w:r w:rsidRPr="00FD40B8">
        <w:rPr>
          <w:color w:val="131727" w:themeColor="text1"/>
          <w:spacing w:val="-2"/>
          <w:w w:val="110"/>
        </w:rPr>
        <w:t xml:space="preserve"> </w:t>
      </w:r>
      <w:r w:rsidRPr="00FD40B8">
        <w:rPr>
          <w:color w:val="131727" w:themeColor="text1"/>
          <w:w w:val="110"/>
        </w:rPr>
        <w:t>dedicated investment strategy</w:t>
      </w:r>
      <w:r w:rsidRPr="00FD40B8">
        <w:rPr>
          <w:color w:val="131727" w:themeColor="text1"/>
          <w:spacing w:val="-1"/>
          <w:w w:val="110"/>
        </w:rPr>
        <w:t xml:space="preserve"> </w:t>
      </w:r>
      <w:r w:rsidRPr="00FD40B8">
        <w:rPr>
          <w:color w:val="131727" w:themeColor="text1"/>
          <w:w w:val="110"/>
        </w:rPr>
        <w:t>to address</w:t>
      </w:r>
      <w:r w:rsidRPr="00FD40B8">
        <w:rPr>
          <w:color w:val="131727" w:themeColor="text1"/>
          <w:spacing w:val="-3"/>
          <w:w w:val="110"/>
        </w:rPr>
        <w:t xml:space="preserve"> </w:t>
      </w:r>
      <w:r w:rsidRPr="00FD40B8">
        <w:rPr>
          <w:color w:val="131727" w:themeColor="text1"/>
          <w:w w:val="110"/>
        </w:rPr>
        <w:t>overcrowding needs of Aboriginal and Torres Strait Islander people despite the commitments in the Closing the Gap Agreement.</w:t>
      </w:r>
    </w:p>
    <w:p w14:paraId="34EA4B92" w14:textId="77777777" w:rsidR="00811887" w:rsidRPr="00FD40B8" w:rsidRDefault="00811887" w:rsidP="00811887">
      <w:pPr>
        <w:pStyle w:val="BodyText"/>
        <w:tabs>
          <w:tab w:val="left" w:pos="1948"/>
        </w:tabs>
        <w:spacing w:before="123" w:line="266" w:lineRule="auto"/>
        <w:ind w:left="1948" w:right="609"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rPr>
        <w:t>Investments from mainstream intergovernmental agreements are not allocated across jurisdictions based on need and cost and there is not always a clear strategy of how these</w:t>
      </w:r>
      <w:r w:rsidRPr="00FD40B8">
        <w:rPr>
          <w:color w:val="131727" w:themeColor="text1"/>
          <w:spacing w:val="-10"/>
          <w:w w:val="110"/>
        </w:rPr>
        <w:t xml:space="preserve"> </w:t>
      </w:r>
      <w:r w:rsidRPr="00FD40B8">
        <w:rPr>
          <w:color w:val="131727" w:themeColor="text1"/>
          <w:w w:val="110"/>
        </w:rPr>
        <w:t>investments</w:t>
      </w:r>
      <w:r w:rsidRPr="00FD40B8">
        <w:rPr>
          <w:color w:val="131727" w:themeColor="text1"/>
          <w:spacing w:val="-4"/>
          <w:w w:val="110"/>
        </w:rPr>
        <w:t xml:space="preserve"> </w:t>
      </w:r>
      <w:r w:rsidRPr="00FD40B8">
        <w:rPr>
          <w:color w:val="131727" w:themeColor="text1"/>
          <w:w w:val="110"/>
        </w:rPr>
        <w:t>will</w:t>
      </w:r>
      <w:r w:rsidRPr="00FD40B8">
        <w:rPr>
          <w:color w:val="131727" w:themeColor="text1"/>
          <w:spacing w:val="-8"/>
          <w:w w:val="110"/>
        </w:rPr>
        <w:t xml:space="preserve"> </w:t>
      </w:r>
      <w:r w:rsidRPr="00FD40B8">
        <w:rPr>
          <w:color w:val="131727" w:themeColor="text1"/>
          <w:w w:val="110"/>
        </w:rPr>
        <w:t>benefit</w:t>
      </w:r>
      <w:r w:rsidRPr="00FD40B8">
        <w:rPr>
          <w:color w:val="131727" w:themeColor="text1"/>
          <w:spacing w:val="-6"/>
          <w:w w:val="110"/>
        </w:rPr>
        <w:t xml:space="preserve"> </w:t>
      </w:r>
      <w:r w:rsidRPr="00FD40B8">
        <w:rPr>
          <w:color w:val="131727" w:themeColor="text1"/>
          <w:w w:val="110"/>
        </w:rPr>
        <w:t>Aboriginal</w:t>
      </w:r>
      <w:r w:rsidRPr="00FD40B8">
        <w:rPr>
          <w:color w:val="131727" w:themeColor="text1"/>
          <w:spacing w:val="-4"/>
          <w:w w:val="110"/>
        </w:rPr>
        <w:t xml:space="preserve"> </w:t>
      </w:r>
      <w:r w:rsidRPr="00FD40B8">
        <w:rPr>
          <w:color w:val="131727" w:themeColor="text1"/>
          <w:w w:val="110"/>
        </w:rPr>
        <w:t>and</w:t>
      </w:r>
      <w:r w:rsidRPr="00FD40B8">
        <w:rPr>
          <w:color w:val="131727" w:themeColor="text1"/>
          <w:spacing w:val="-10"/>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8"/>
          <w:w w:val="110"/>
        </w:rPr>
        <w:t xml:space="preserve"> </w:t>
      </w:r>
      <w:r w:rsidRPr="00FD40B8">
        <w:rPr>
          <w:color w:val="131727" w:themeColor="text1"/>
          <w:w w:val="110"/>
        </w:rPr>
        <w:t>people,</w:t>
      </w:r>
      <w:r w:rsidRPr="00FD40B8">
        <w:rPr>
          <w:color w:val="131727" w:themeColor="text1"/>
          <w:spacing w:val="-6"/>
          <w:w w:val="110"/>
        </w:rPr>
        <w:t xml:space="preserve"> </w:t>
      </w:r>
      <w:r w:rsidRPr="00FD40B8">
        <w:rPr>
          <w:color w:val="131727" w:themeColor="text1"/>
          <w:w w:val="110"/>
        </w:rPr>
        <w:t>despite</w:t>
      </w:r>
      <w:r w:rsidRPr="00FD40B8">
        <w:rPr>
          <w:color w:val="131727" w:themeColor="text1"/>
          <w:spacing w:val="-2"/>
          <w:w w:val="110"/>
        </w:rPr>
        <w:t xml:space="preserve"> </w:t>
      </w:r>
      <w:r w:rsidRPr="00FD40B8">
        <w:rPr>
          <w:color w:val="131727" w:themeColor="text1"/>
          <w:w w:val="110"/>
        </w:rPr>
        <w:t>often being named a priority cohort.</w:t>
      </w:r>
      <w:r w:rsidRPr="00D84FC3">
        <w:rPr>
          <w:noProof/>
          <w14:ligatures w14:val="standardContextual"/>
        </w:rPr>
        <w:t xml:space="preserve"> </w:t>
      </w:r>
    </w:p>
    <w:p w14:paraId="1B61E666" w14:textId="77777777" w:rsidR="00811887" w:rsidRPr="00FD40B8" w:rsidRDefault="00811887" w:rsidP="00811887">
      <w:pPr>
        <w:pStyle w:val="BodyText"/>
        <w:tabs>
          <w:tab w:val="left" w:pos="1948"/>
        </w:tabs>
        <w:spacing w:before="126" w:line="266" w:lineRule="auto"/>
        <w:ind w:left="1948" w:right="589"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rPr>
        <w:t>Tracking</w:t>
      </w:r>
      <w:r w:rsidRPr="00FD40B8">
        <w:rPr>
          <w:color w:val="131727" w:themeColor="text1"/>
          <w:spacing w:val="-7"/>
          <w:w w:val="110"/>
        </w:rPr>
        <w:t xml:space="preserve"> </w:t>
      </w:r>
      <w:r w:rsidRPr="00FD40B8">
        <w:rPr>
          <w:color w:val="131727" w:themeColor="text1"/>
          <w:w w:val="110"/>
        </w:rPr>
        <w:t>levels</w:t>
      </w:r>
      <w:r w:rsidRPr="00FD40B8">
        <w:rPr>
          <w:color w:val="131727" w:themeColor="text1"/>
          <w:spacing w:val="-6"/>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Aboriginal</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Torres</w:t>
      </w:r>
      <w:r w:rsidRPr="00FD40B8">
        <w:rPr>
          <w:color w:val="131727" w:themeColor="text1"/>
          <w:spacing w:val="-2"/>
          <w:w w:val="110"/>
        </w:rPr>
        <w:t xml:space="preserve"> </w:t>
      </w:r>
      <w:r w:rsidRPr="00FD40B8">
        <w:rPr>
          <w:color w:val="131727" w:themeColor="text1"/>
          <w:w w:val="110"/>
        </w:rPr>
        <w:t>Strait</w:t>
      </w:r>
      <w:r w:rsidRPr="00FD40B8">
        <w:rPr>
          <w:color w:val="131727" w:themeColor="text1"/>
          <w:spacing w:val="-8"/>
          <w:w w:val="110"/>
        </w:rPr>
        <w:t xml:space="preserve"> </w:t>
      </w:r>
      <w:r w:rsidRPr="00FD40B8">
        <w:rPr>
          <w:color w:val="131727" w:themeColor="text1"/>
          <w:w w:val="110"/>
        </w:rPr>
        <w:t>Islander</w:t>
      </w:r>
      <w:r w:rsidRPr="00FD40B8">
        <w:rPr>
          <w:color w:val="131727" w:themeColor="text1"/>
          <w:spacing w:val="-10"/>
          <w:w w:val="110"/>
        </w:rPr>
        <w:t xml:space="preserve"> </w:t>
      </w:r>
      <w:r w:rsidRPr="00FD40B8">
        <w:rPr>
          <w:color w:val="131727" w:themeColor="text1"/>
          <w:w w:val="110"/>
        </w:rPr>
        <w:t>social</w:t>
      </w:r>
      <w:r w:rsidRPr="00FD40B8">
        <w:rPr>
          <w:color w:val="131727" w:themeColor="text1"/>
          <w:spacing w:val="-6"/>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dwellings</w:t>
      </w:r>
      <w:r w:rsidRPr="00FD40B8">
        <w:rPr>
          <w:color w:val="131727" w:themeColor="text1"/>
          <w:spacing w:val="-2"/>
          <w:w w:val="110"/>
        </w:rPr>
        <w:t xml:space="preserve"> </w:t>
      </w:r>
      <w:r w:rsidRPr="00FD40B8">
        <w:rPr>
          <w:color w:val="131727" w:themeColor="text1"/>
          <w:w w:val="110"/>
        </w:rPr>
        <w:t>(including state-owned and managed housing and Indigenous community housing) before and after 2021, against</w:t>
      </w:r>
      <w:r w:rsidRPr="00FD40B8">
        <w:rPr>
          <w:color w:val="131727" w:themeColor="text1"/>
          <w:spacing w:val="-3"/>
          <w:w w:val="110"/>
        </w:rPr>
        <w:t xml:space="preserve"> </w:t>
      </w:r>
      <w:r w:rsidRPr="00FD40B8">
        <w:rPr>
          <w:color w:val="131727" w:themeColor="text1"/>
          <w:w w:val="110"/>
        </w:rPr>
        <w:t>our estimated</w:t>
      </w:r>
      <w:r w:rsidRPr="00FD40B8">
        <w:rPr>
          <w:color w:val="131727" w:themeColor="text1"/>
          <w:spacing w:val="-3"/>
          <w:w w:val="110"/>
        </w:rPr>
        <w:t xml:space="preserve"> </w:t>
      </w:r>
      <w:r w:rsidRPr="00FD40B8">
        <w:rPr>
          <w:color w:val="131727" w:themeColor="text1"/>
          <w:w w:val="110"/>
        </w:rPr>
        <w:t>additional need</w:t>
      </w:r>
      <w:r w:rsidRPr="00FD40B8">
        <w:rPr>
          <w:color w:val="131727" w:themeColor="text1"/>
          <w:spacing w:val="-3"/>
          <w:w w:val="110"/>
        </w:rPr>
        <w:t xml:space="preserve"> </w:t>
      </w:r>
      <w:r w:rsidRPr="00FD40B8">
        <w:rPr>
          <w:color w:val="131727" w:themeColor="text1"/>
          <w:w w:val="110"/>
        </w:rPr>
        <w:t>in 2021, shows a continued</w:t>
      </w:r>
      <w:r w:rsidRPr="00FD40B8">
        <w:rPr>
          <w:color w:val="131727" w:themeColor="text1"/>
          <w:spacing w:val="-3"/>
          <w:w w:val="110"/>
        </w:rPr>
        <w:t xml:space="preserve"> </w:t>
      </w:r>
      <w:r w:rsidRPr="00FD40B8">
        <w:rPr>
          <w:color w:val="131727" w:themeColor="text1"/>
          <w:w w:val="110"/>
        </w:rPr>
        <w:t>persistent gap between public and social housing availability and unmet need.</w:t>
      </w:r>
    </w:p>
    <w:p w14:paraId="15D0A00A" w14:textId="77777777" w:rsidR="00811887" w:rsidRPr="00FD40B8" w:rsidRDefault="00811887" w:rsidP="00811887">
      <w:pPr>
        <w:pStyle w:val="BodyText"/>
        <w:rPr>
          <w:color w:val="131727" w:themeColor="text1"/>
        </w:rPr>
      </w:pPr>
    </w:p>
    <w:p w14:paraId="7F984FF5" w14:textId="77777777" w:rsidR="00811887" w:rsidRPr="00FD40B8" w:rsidRDefault="00811887" w:rsidP="00811887">
      <w:pPr>
        <w:pStyle w:val="BodyText"/>
        <w:rPr>
          <w:color w:val="131727" w:themeColor="text1"/>
        </w:rPr>
      </w:pPr>
    </w:p>
    <w:p w14:paraId="11407047" w14:textId="77777777" w:rsidR="00811887" w:rsidRPr="00FD40B8" w:rsidRDefault="00811887" w:rsidP="00811887">
      <w:pPr>
        <w:pStyle w:val="BodyText"/>
        <w:spacing w:before="198"/>
        <w:rPr>
          <w:color w:val="131727" w:themeColor="text1"/>
        </w:rPr>
      </w:pPr>
      <w:r w:rsidRPr="00FD40B8">
        <w:rPr>
          <w:noProof/>
          <w:color w:val="131727" w:themeColor="text1"/>
        </w:rPr>
        <mc:AlternateContent>
          <mc:Choice Requires="wps">
            <w:drawing>
              <wp:anchor distT="0" distB="0" distL="0" distR="0" simplePos="0" relativeHeight="251735040" behindDoc="1" locked="0" layoutInCell="1" allowOverlap="1" wp14:anchorId="669B3316" wp14:editId="6B03D30B">
                <wp:simplePos x="0" y="0"/>
                <wp:positionH relativeFrom="page">
                  <wp:posOffset>792784</wp:posOffset>
                </wp:positionH>
                <wp:positionV relativeFrom="paragraph">
                  <wp:posOffset>296452</wp:posOffset>
                </wp:positionV>
                <wp:extent cx="1830070" cy="6350"/>
                <wp:effectExtent l="0" t="0" r="0" b="0"/>
                <wp:wrapTopAndBottom/>
                <wp:docPr id="124" name="Graphic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88B40" id="Graphic 124" o:spid="_x0000_s1026" alt="&quot;&quot;" style="position:absolute;margin-left:62.4pt;margin-top:23.35pt;width:144.1pt;height:.5pt;z-index:-25158144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" path="m1829689,l,,,6096r1829689,l1829689,xe" fillcolor="black" stroked="f">
                <v:path arrowok="t"/>
                <w10:wrap type="topAndBottom" anchorx="page"/>
              </v:shape>
            </w:pict>
          </mc:Fallback>
        </mc:AlternateContent>
      </w:r>
    </w:p>
    <w:p w14:paraId="70201A73" w14:textId="77777777" w:rsidR="00811887" w:rsidRPr="00FD40B8" w:rsidRDefault="00811887" w:rsidP="00811887">
      <w:pPr>
        <w:spacing w:before="119"/>
        <w:ind w:left="508"/>
        <w:rPr>
          <w:color w:val="131727" w:themeColor="text1"/>
          <w:sz w:val="16"/>
        </w:rPr>
      </w:pPr>
      <w:bookmarkStart w:id="125" w:name="_bookmark14"/>
      <w:bookmarkEnd w:id="125"/>
      <w:r w:rsidRPr="00FD40B8">
        <w:rPr>
          <w:color w:val="131727" w:themeColor="text1"/>
          <w:w w:val="105"/>
          <w:position w:val="6"/>
          <w:sz w:val="10"/>
        </w:rPr>
        <w:t>10</w:t>
      </w:r>
      <w:r w:rsidRPr="00FD40B8">
        <w:rPr>
          <w:color w:val="131727" w:themeColor="text1"/>
          <w:spacing w:val="31"/>
          <w:w w:val="105"/>
          <w:position w:val="6"/>
          <w:sz w:val="10"/>
        </w:rPr>
        <w:t xml:space="preserve"> </w:t>
      </w:r>
      <w:r w:rsidRPr="00FD40B8">
        <w:rPr>
          <w:color w:val="131727" w:themeColor="text1"/>
          <w:w w:val="105"/>
          <w:sz w:val="16"/>
        </w:rPr>
        <w:t>ABS</w:t>
      </w:r>
      <w:r w:rsidRPr="00FD40B8">
        <w:rPr>
          <w:color w:val="131727" w:themeColor="text1"/>
          <w:spacing w:val="17"/>
          <w:w w:val="105"/>
          <w:sz w:val="16"/>
        </w:rPr>
        <w:t xml:space="preserve"> </w:t>
      </w:r>
      <w:r w:rsidRPr="00FD40B8">
        <w:rPr>
          <w:color w:val="131727" w:themeColor="text1"/>
          <w:w w:val="105"/>
          <w:sz w:val="16"/>
        </w:rPr>
        <w:t>(2022),</w:t>
      </w:r>
      <w:r w:rsidRPr="00FD40B8">
        <w:rPr>
          <w:color w:val="131727" w:themeColor="text1"/>
          <w:spacing w:val="17"/>
          <w:w w:val="105"/>
          <w:sz w:val="16"/>
        </w:rPr>
        <w:t xml:space="preserve"> </w:t>
      </w:r>
      <w:r w:rsidRPr="00FD40B8">
        <w:rPr>
          <w:color w:val="131727" w:themeColor="text1"/>
          <w:w w:val="105"/>
          <w:sz w:val="16"/>
        </w:rPr>
        <w:t>Housing</w:t>
      </w:r>
      <w:r w:rsidRPr="00FD40B8">
        <w:rPr>
          <w:color w:val="131727" w:themeColor="text1"/>
          <w:spacing w:val="16"/>
          <w:w w:val="105"/>
          <w:sz w:val="16"/>
        </w:rPr>
        <w:t xml:space="preserve"> </w:t>
      </w:r>
      <w:r w:rsidRPr="00FD40B8">
        <w:rPr>
          <w:color w:val="131727" w:themeColor="text1"/>
          <w:w w:val="105"/>
          <w:sz w:val="16"/>
        </w:rPr>
        <w:t>Statistics</w:t>
      </w:r>
      <w:r w:rsidRPr="00FD40B8">
        <w:rPr>
          <w:color w:val="131727" w:themeColor="text1"/>
          <w:spacing w:val="16"/>
          <w:w w:val="105"/>
          <w:sz w:val="16"/>
        </w:rPr>
        <w:t xml:space="preserve"> </w:t>
      </w:r>
      <w:r w:rsidRPr="00FD40B8">
        <w:rPr>
          <w:color w:val="131727" w:themeColor="text1"/>
          <w:w w:val="105"/>
          <w:sz w:val="16"/>
        </w:rPr>
        <w:t>for</w:t>
      </w:r>
      <w:r w:rsidRPr="00FD40B8">
        <w:rPr>
          <w:color w:val="131727" w:themeColor="text1"/>
          <w:spacing w:val="18"/>
          <w:w w:val="105"/>
          <w:sz w:val="16"/>
        </w:rPr>
        <w:t xml:space="preserve"> </w:t>
      </w:r>
      <w:r w:rsidRPr="00FD40B8">
        <w:rPr>
          <w:color w:val="131727" w:themeColor="text1"/>
          <w:w w:val="105"/>
          <w:sz w:val="16"/>
        </w:rPr>
        <w:t>Aboriginal</w:t>
      </w:r>
      <w:r w:rsidRPr="00FD40B8">
        <w:rPr>
          <w:color w:val="131727" w:themeColor="text1"/>
          <w:spacing w:val="15"/>
          <w:w w:val="105"/>
          <w:sz w:val="16"/>
        </w:rPr>
        <w:t xml:space="preserve"> </w:t>
      </w:r>
      <w:r w:rsidRPr="00FD40B8">
        <w:rPr>
          <w:color w:val="131727" w:themeColor="text1"/>
          <w:w w:val="105"/>
          <w:sz w:val="16"/>
        </w:rPr>
        <w:t>and</w:t>
      </w:r>
      <w:r w:rsidRPr="00FD40B8">
        <w:rPr>
          <w:color w:val="131727" w:themeColor="text1"/>
          <w:spacing w:val="19"/>
          <w:w w:val="105"/>
          <w:sz w:val="16"/>
        </w:rPr>
        <w:t xml:space="preserve"> </w:t>
      </w:r>
      <w:r w:rsidRPr="00FD40B8">
        <w:rPr>
          <w:color w:val="131727" w:themeColor="text1"/>
          <w:w w:val="105"/>
          <w:sz w:val="16"/>
        </w:rPr>
        <w:t>Torres</w:t>
      </w:r>
      <w:r w:rsidRPr="00FD40B8">
        <w:rPr>
          <w:color w:val="131727" w:themeColor="text1"/>
          <w:spacing w:val="16"/>
          <w:w w:val="105"/>
          <w:sz w:val="16"/>
        </w:rPr>
        <w:t xml:space="preserve"> </w:t>
      </w:r>
      <w:r w:rsidRPr="00FD40B8">
        <w:rPr>
          <w:color w:val="131727" w:themeColor="text1"/>
          <w:w w:val="105"/>
          <w:sz w:val="16"/>
        </w:rPr>
        <w:t>Strait</w:t>
      </w:r>
      <w:r w:rsidRPr="00FD40B8">
        <w:rPr>
          <w:color w:val="131727" w:themeColor="text1"/>
          <w:spacing w:val="17"/>
          <w:w w:val="105"/>
          <w:sz w:val="16"/>
        </w:rPr>
        <w:t xml:space="preserve"> </w:t>
      </w:r>
      <w:r w:rsidRPr="00FD40B8">
        <w:rPr>
          <w:color w:val="131727" w:themeColor="text1"/>
          <w:w w:val="105"/>
          <w:sz w:val="16"/>
        </w:rPr>
        <w:t>Islander</w:t>
      </w:r>
      <w:r w:rsidRPr="00FD40B8">
        <w:rPr>
          <w:color w:val="131727" w:themeColor="text1"/>
          <w:spacing w:val="19"/>
          <w:w w:val="105"/>
          <w:sz w:val="16"/>
        </w:rPr>
        <w:t xml:space="preserve"> </w:t>
      </w:r>
      <w:r w:rsidRPr="00FD40B8">
        <w:rPr>
          <w:color w:val="131727" w:themeColor="text1"/>
          <w:spacing w:val="-2"/>
          <w:w w:val="105"/>
          <w:sz w:val="16"/>
        </w:rPr>
        <w:t>Peoples.</w:t>
      </w:r>
    </w:p>
    <w:p w14:paraId="1AA392A2" w14:textId="77777777" w:rsidR="00811887" w:rsidRPr="00FD40B8" w:rsidRDefault="00811887" w:rsidP="00811887">
      <w:pPr>
        <w:spacing w:before="22"/>
        <w:ind w:left="508"/>
        <w:rPr>
          <w:color w:val="131727" w:themeColor="text1"/>
          <w:sz w:val="16"/>
        </w:rPr>
      </w:pPr>
      <w:bookmarkStart w:id="126" w:name="_bookmark15"/>
      <w:bookmarkEnd w:id="126"/>
      <w:r w:rsidRPr="00FD40B8">
        <w:rPr>
          <w:color w:val="131727" w:themeColor="text1"/>
          <w:w w:val="110"/>
          <w:position w:val="6"/>
          <w:sz w:val="10"/>
        </w:rPr>
        <w:t>11</w:t>
      </w:r>
      <w:r w:rsidRPr="00FD40B8">
        <w:rPr>
          <w:color w:val="131727" w:themeColor="text1"/>
          <w:spacing w:val="15"/>
          <w:w w:val="110"/>
          <w:position w:val="6"/>
          <w:sz w:val="10"/>
        </w:rPr>
        <w:t xml:space="preserve"> </w:t>
      </w:r>
      <w:r w:rsidRPr="00FD40B8">
        <w:rPr>
          <w:color w:val="131727" w:themeColor="text1"/>
          <w:w w:val="110"/>
          <w:sz w:val="16"/>
        </w:rPr>
        <w:t>Equity</w:t>
      </w:r>
      <w:r w:rsidRPr="00FD40B8">
        <w:rPr>
          <w:color w:val="131727" w:themeColor="text1"/>
          <w:spacing w:val="-2"/>
          <w:w w:val="110"/>
          <w:sz w:val="16"/>
        </w:rPr>
        <w:t xml:space="preserve"> </w:t>
      </w:r>
      <w:r w:rsidRPr="00FD40B8">
        <w:rPr>
          <w:color w:val="131727" w:themeColor="text1"/>
          <w:w w:val="110"/>
          <w:sz w:val="16"/>
        </w:rPr>
        <w:t>Economics</w:t>
      </w:r>
      <w:r w:rsidRPr="00FD40B8">
        <w:rPr>
          <w:color w:val="131727" w:themeColor="text1"/>
          <w:spacing w:val="-1"/>
          <w:w w:val="110"/>
          <w:sz w:val="16"/>
        </w:rPr>
        <w:t xml:space="preserve"> </w:t>
      </w:r>
      <w:r w:rsidRPr="00FD40B8">
        <w:rPr>
          <w:color w:val="131727" w:themeColor="text1"/>
          <w:w w:val="110"/>
          <w:sz w:val="16"/>
        </w:rPr>
        <w:t>calculations</w:t>
      </w:r>
      <w:r w:rsidRPr="00FD40B8">
        <w:rPr>
          <w:color w:val="131727" w:themeColor="text1"/>
          <w:spacing w:val="-1"/>
          <w:w w:val="110"/>
          <w:sz w:val="16"/>
        </w:rPr>
        <w:t xml:space="preserve"> </w:t>
      </w:r>
      <w:r w:rsidRPr="00FD40B8">
        <w:rPr>
          <w:color w:val="131727" w:themeColor="text1"/>
          <w:w w:val="110"/>
          <w:sz w:val="16"/>
        </w:rPr>
        <w:t>from</w:t>
      </w:r>
      <w:r w:rsidRPr="00FD40B8">
        <w:rPr>
          <w:color w:val="131727" w:themeColor="text1"/>
          <w:spacing w:val="-1"/>
          <w:w w:val="110"/>
          <w:sz w:val="16"/>
        </w:rPr>
        <w:t xml:space="preserve"> </w:t>
      </w:r>
      <w:r w:rsidRPr="00FD40B8">
        <w:rPr>
          <w:color w:val="131727" w:themeColor="text1"/>
          <w:w w:val="110"/>
          <w:sz w:val="16"/>
        </w:rPr>
        <w:t>ABS 2021.</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1"/>
          <w:w w:val="110"/>
          <w:sz w:val="16"/>
        </w:rPr>
        <w:t xml:space="preserve"> </w:t>
      </w:r>
      <w:r w:rsidRPr="00FD40B8">
        <w:rPr>
          <w:color w:val="131727" w:themeColor="text1"/>
          <w:w w:val="110"/>
          <w:sz w:val="16"/>
        </w:rPr>
        <w:t>Homelessness. [Census</w:t>
      </w:r>
      <w:r w:rsidRPr="00FD40B8">
        <w:rPr>
          <w:color w:val="131727" w:themeColor="text1"/>
          <w:spacing w:val="-1"/>
          <w:w w:val="110"/>
          <w:sz w:val="16"/>
        </w:rPr>
        <w:t xml:space="preserve"> </w:t>
      </w:r>
      <w:r w:rsidRPr="00FD40B8">
        <w:rPr>
          <w:color w:val="131727" w:themeColor="text1"/>
          <w:spacing w:val="-2"/>
          <w:w w:val="110"/>
          <w:sz w:val="16"/>
        </w:rPr>
        <w:t>TableBuilder].</w:t>
      </w:r>
    </w:p>
    <w:p w14:paraId="103D1736" w14:textId="77777777" w:rsidR="00811887" w:rsidRPr="00FD40B8" w:rsidRDefault="00811887" w:rsidP="00811887">
      <w:pPr>
        <w:spacing w:before="18" w:line="266" w:lineRule="auto"/>
        <w:ind w:left="508" w:right="532"/>
        <w:rPr>
          <w:color w:val="131727" w:themeColor="text1"/>
          <w:sz w:val="16"/>
        </w:rPr>
      </w:pPr>
      <w:bookmarkStart w:id="127" w:name="_bookmark16"/>
      <w:bookmarkEnd w:id="127"/>
      <w:r w:rsidRPr="00FD40B8">
        <w:rPr>
          <w:color w:val="131727" w:themeColor="text1"/>
          <w:w w:val="105"/>
          <w:position w:val="6"/>
          <w:sz w:val="10"/>
        </w:rPr>
        <w:t>12</w:t>
      </w:r>
      <w:r w:rsidRPr="00FD40B8">
        <w:rPr>
          <w:color w:val="131727" w:themeColor="text1"/>
          <w:spacing w:val="32"/>
          <w:w w:val="105"/>
          <w:position w:val="6"/>
          <w:sz w:val="10"/>
        </w:rPr>
        <w:t xml:space="preserve"> </w:t>
      </w:r>
      <w:r w:rsidRPr="00FD40B8">
        <w:rPr>
          <w:color w:val="131727" w:themeColor="text1"/>
          <w:w w:val="105"/>
          <w:sz w:val="16"/>
        </w:rPr>
        <w:t>While</w:t>
      </w:r>
      <w:r w:rsidRPr="00FD40B8">
        <w:rPr>
          <w:color w:val="131727" w:themeColor="text1"/>
          <w:spacing w:val="17"/>
          <w:w w:val="105"/>
          <w:sz w:val="16"/>
        </w:rPr>
        <w:t xml:space="preserve"> </w:t>
      </w:r>
      <w:r w:rsidRPr="00FD40B8">
        <w:rPr>
          <w:color w:val="131727" w:themeColor="text1"/>
          <w:w w:val="105"/>
          <w:sz w:val="16"/>
        </w:rPr>
        <w:t>we</w:t>
      </w:r>
      <w:r w:rsidRPr="00FD40B8">
        <w:rPr>
          <w:color w:val="131727" w:themeColor="text1"/>
          <w:spacing w:val="17"/>
          <w:w w:val="105"/>
          <w:sz w:val="16"/>
        </w:rPr>
        <w:t xml:space="preserve"> </w:t>
      </w:r>
      <w:r w:rsidRPr="00FD40B8">
        <w:rPr>
          <w:color w:val="131727" w:themeColor="text1"/>
          <w:w w:val="105"/>
          <w:sz w:val="16"/>
        </w:rPr>
        <w:t>are</w:t>
      </w:r>
      <w:r w:rsidRPr="00FD40B8">
        <w:rPr>
          <w:color w:val="131727" w:themeColor="text1"/>
          <w:spacing w:val="17"/>
          <w:w w:val="105"/>
          <w:sz w:val="16"/>
        </w:rPr>
        <w:t xml:space="preserve"> </w:t>
      </w:r>
      <w:r w:rsidRPr="00FD40B8">
        <w:rPr>
          <w:color w:val="131727" w:themeColor="text1"/>
          <w:w w:val="105"/>
          <w:sz w:val="16"/>
        </w:rPr>
        <w:t>unsure</w:t>
      </w:r>
      <w:r w:rsidRPr="00FD40B8">
        <w:rPr>
          <w:color w:val="131727" w:themeColor="text1"/>
          <w:spacing w:val="17"/>
          <w:w w:val="105"/>
          <w:sz w:val="16"/>
        </w:rPr>
        <w:t xml:space="preserve"> </w:t>
      </w:r>
      <w:r w:rsidRPr="00FD40B8">
        <w:rPr>
          <w:color w:val="131727" w:themeColor="text1"/>
          <w:w w:val="105"/>
          <w:sz w:val="16"/>
        </w:rPr>
        <w:t>of</w:t>
      </w:r>
      <w:r w:rsidRPr="00FD40B8">
        <w:rPr>
          <w:color w:val="131727" w:themeColor="text1"/>
          <w:spacing w:val="19"/>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exact</w:t>
      </w:r>
      <w:r w:rsidRPr="00FD40B8">
        <w:rPr>
          <w:color w:val="131727" w:themeColor="text1"/>
          <w:spacing w:val="17"/>
          <w:w w:val="105"/>
          <w:sz w:val="16"/>
        </w:rPr>
        <w:t xml:space="preserve"> </w:t>
      </w:r>
      <w:r w:rsidRPr="00FD40B8">
        <w:rPr>
          <w:color w:val="131727" w:themeColor="text1"/>
          <w:w w:val="105"/>
          <w:sz w:val="16"/>
        </w:rPr>
        <w:t>methodology</w:t>
      </w:r>
      <w:r w:rsidRPr="00FD40B8">
        <w:rPr>
          <w:color w:val="131727" w:themeColor="text1"/>
          <w:spacing w:val="17"/>
          <w:w w:val="105"/>
          <w:sz w:val="16"/>
        </w:rPr>
        <w:t xml:space="preserve"> </w:t>
      </w:r>
      <w:r w:rsidRPr="00FD40B8">
        <w:rPr>
          <w:color w:val="131727" w:themeColor="text1"/>
          <w:w w:val="105"/>
          <w:sz w:val="16"/>
        </w:rPr>
        <w:t>behind</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5,500</w:t>
      </w:r>
      <w:r w:rsidRPr="00FD40B8">
        <w:rPr>
          <w:color w:val="131727" w:themeColor="text1"/>
          <w:spacing w:val="19"/>
          <w:w w:val="105"/>
          <w:sz w:val="16"/>
        </w:rPr>
        <w:t xml:space="preserve"> </w:t>
      </w:r>
      <w:r w:rsidRPr="00FD40B8">
        <w:rPr>
          <w:color w:val="131727" w:themeColor="text1"/>
          <w:w w:val="105"/>
          <w:sz w:val="16"/>
        </w:rPr>
        <w:t>dwellings</w:t>
      </w:r>
      <w:r w:rsidRPr="00FD40B8">
        <w:rPr>
          <w:color w:val="131727" w:themeColor="text1"/>
          <w:spacing w:val="16"/>
          <w:w w:val="105"/>
          <w:sz w:val="16"/>
        </w:rPr>
        <w:t xml:space="preserve"> </w:t>
      </w:r>
      <w:r w:rsidRPr="00FD40B8">
        <w:rPr>
          <w:color w:val="131727" w:themeColor="text1"/>
          <w:w w:val="105"/>
          <w:sz w:val="16"/>
        </w:rPr>
        <w:t>needed</w:t>
      </w:r>
      <w:r w:rsidRPr="00FD40B8">
        <w:rPr>
          <w:color w:val="131727" w:themeColor="text1"/>
          <w:spacing w:val="20"/>
          <w:w w:val="105"/>
          <w:sz w:val="16"/>
        </w:rPr>
        <w:t xml:space="preserve"> </w:t>
      </w:r>
      <w:r w:rsidRPr="00FD40B8">
        <w:rPr>
          <w:color w:val="131727" w:themeColor="text1"/>
          <w:w w:val="105"/>
          <w:sz w:val="16"/>
        </w:rPr>
        <w:t>in</w:t>
      </w:r>
      <w:r w:rsidRPr="00FD40B8">
        <w:rPr>
          <w:color w:val="131727" w:themeColor="text1"/>
          <w:spacing w:val="21"/>
          <w:w w:val="105"/>
          <w:sz w:val="16"/>
        </w:rPr>
        <w:t xml:space="preserve"> </w:t>
      </w:r>
      <w:r w:rsidRPr="00FD40B8">
        <w:rPr>
          <w:color w:val="131727" w:themeColor="text1"/>
          <w:w w:val="105"/>
          <w:sz w:val="16"/>
        </w:rPr>
        <w:t>remote</w:t>
      </w:r>
      <w:r w:rsidRPr="00FD40B8">
        <w:rPr>
          <w:color w:val="131727" w:themeColor="text1"/>
          <w:spacing w:val="17"/>
          <w:w w:val="105"/>
          <w:sz w:val="16"/>
        </w:rPr>
        <w:t xml:space="preserve"> </w:t>
      </w:r>
      <w:r w:rsidRPr="00FD40B8">
        <w:rPr>
          <w:color w:val="131727" w:themeColor="text1"/>
          <w:w w:val="105"/>
          <w:sz w:val="16"/>
        </w:rPr>
        <w:t>communities</w:t>
      </w:r>
      <w:r w:rsidRPr="00FD40B8">
        <w:rPr>
          <w:color w:val="131727" w:themeColor="text1"/>
          <w:spacing w:val="16"/>
          <w:w w:val="105"/>
          <w:sz w:val="16"/>
        </w:rPr>
        <w:t xml:space="preserve"> </w:t>
      </w:r>
      <w:r w:rsidRPr="00FD40B8">
        <w:rPr>
          <w:color w:val="131727" w:themeColor="text1"/>
          <w:w w:val="105"/>
          <w:sz w:val="16"/>
        </w:rPr>
        <w:t>estimated</w:t>
      </w:r>
      <w:r w:rsidRPr="00FD40B8">
        <w:rPr>
          <w:color w:val="131727" w:themeColor="text1"/>
          <w:spacing w:val="27"/>
          <w:w w:val="105"/>
          <w:sz w:val="16"/>
        </w:rPr>
        <w:t xml:space="preserve"> </w:t>
      </w:r>
      <w:r w:rsidRPr="00FD40B8">
        <w:rPr>
          <w:color w:val="131727" w:themeColor="text1"/>
          <w:w w:val="105"/>
          <w:sz w:val="16"/>
        </w:rPr>
        <w:t>in</w:t>
      </w:r>
      <w:r w:rsidRPr="00FD40B8">
        <w:rPr>
          <w:color w:val="131727" w:themeColor="text1"/>
          <w:spacing w:val="21"/>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2017</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22"/>
          <w:w w:val="105"/>
          <w:sz w:val="16"/>
        </w:rPr>
        <w:t xml:space="preserve"> </w:t>
      </w:r>
      <w:r w:rsidRPr="00FD40B8">
        <w:rPr>
          <w:color w:val="131727" w:themeColor="text1"/>
          <w:w w:val="105"/>
          <w:sz w:val="16"/>
        </w:rPr>
        <w:t>Housing</w:t>
      </w:r>
      <w:r w:rsidRPr="00FD40B8">
        <w:rPr>
          <w:color w:val="131727" w:themeColor="text1"/>
          <w:spacing w:val="21"/>
          <w:w w:val="105"/>
          <w:sz w:val="16"/>
        </w:rPr>
        <w:t xml:space="preserve"> </w:t>
      </w:r>
      <w:r w:rsidRPr="00FD40B8">
        <w:rPr>
          <w:color w:val="131727" w:themeColor="text1"/>
          <w:w w:val="105"/>
          <w:sz w:val="16"/>
        </w:rPr>
        <w:t>Review,</w:t>
      </w:r>
      <w:r w:rsidRPr="00FD40B8">
        <w:rPr>
          <w:color w:val="131727" w:themeColor="text1"/>
          <w:spacing w:val="22"/>
          <w:w w:val="105"/>
          <w:sz w:val="16"/>
        </w:rPr>
        <w:t xml:space="preserve"> </w:t>
      </w:r>
      <w:r w:rsidRPr="00FD40B8">
        <w:rPr>
          <w:color w:val="131727" w:themeColor="text1"/>
          <w:w w:val="105"/>
          <w:sz w:val="16"/>
        </w:rPr>
        <w:t>our</w:t>
      </w:r>
      <w:r w:rsidRPr="00FD40B8">
        <w:rPr>
          <w:color w:val="131727" w:themeColor="text1"/>
          <w:spacing w:val="23"/>
          <w:w w:val="105"/>
          <w:sz w:val="16"/>
        </w:rPr>
        <w:t xml:space="preserve"> </w:t>
      </w:r>
      <w:r w:rsidRPr="00FD40B8">
        <w:rPr>
          <w:color w:val="131727" w:themeColor="text1"/>
          <w:w w:val="105"/>
          <w:sz w:val="16"/>
        </w:rPr>
        <w:t>number</w:t>
      </w:r>
      <w:r w:rsidRPr="00FD40B8">
        <w:rPr>
          <w:color w:val="131727" w:themeColor="text1"/>
          <w:spacing w:val="23"/>
          <w:w w:val="105"/>
          <w:sz w:val="16"/>
        </w:rPr>
        <w:t xml:space="preserve"> </w:t>
      </w:r>
      <w:r w:rsidRPr="00FD40B8">
        <w:rPr>
          <w:color w:val="131727" w:themeColor="text1"/>
          <w:w w:val="105"/>
          <w:sz w:val="16"/>
        </w:rPr>
        <w:t>is</w:t>
      </w:r>
      <w:r w:rsidRPr="00FD40B8">
        <w:rPr>
          <w:color w:val="131727" w:themeColor="text1"/>
          <w:spacing w:val="21"/>
          <w:w w:val="105"/>
          <w:sz w:val="16"/>
        </w:rPr>
        <w:t xml:space="preserve"> </w:t>
      </w:r>
      <w:r w:rsidRPr="00FD40B8">
        <w:rPr>
          <w:color w:val="131727" w:themeColor="text1"/>
          <w:w w:val="105"/>
          <w:sz w:val="16"/>
        </w:rPr>
        <w:t>likely</w:t>
      </w:r>
      <w:r w:rsidRPr="00FD40B8">
        <w:rPr>
          <w:color w:val="131727" w:themeColor="text1"/>
          <w:spacing w:val="22"/>
          <w:w w:val="105"/>
          <w:sz w:val="16"/>
        </w:rPr>
        <w:t xml:space="preserve"> </w:t>
      </w:r>
      <w:r w:rsidRPr="00FD40B8">
        <w:rPr>
          <w:color w:val="131727" w:themeColor="text1"/>
          <w:w w:val="105"/>
          <w:sz w:val="16"/>
        </w:rPr>
        <w:t>different</w:t>
      </w:r>
      <w:r w:rsidRPr="00FD40B8">
        <w:rPr>
          <w:color w:val="131727" w:themeColor="text1"/>
          <w:spacing w:val="22"/>
          <w:w w:val="105"/>
          <w:sz w:val="16"/>
        </w:rPr>
        <w:t xml:space="preserve"> </w:t>
      </w:r>
      <w:r w:rsidRPr="00FD40B8">
        <w:rPr>
          <w:color w:val="131727" w:themeColor="text1"/>
          <w:w w:val="105"/>
          <w:sz w:val="16"/>
        </w:rPr>
        <w:t>due</w:t>
      </w:r>
      <w:r w:rsidRPr="00FD40B8">
        <w:rPr>
          <w:color w:val="131727" w:themeColor="text1"/>
          <w:spacing w:val="22"/>
          <w:w w:val="105"/>
          <w:sz w:val="16"/>
        </w:rPr>
        <w:t xml:space="preserve"> </w:t>
      </w:r>
      <w:r w:rsidRPr="00FD40B8">
        <w:rPr>
          <w:color w:val="131727" w:themeColor="text1"/>
          <w:w w:val="105"/>
          <w:sz w:val="16"/>
        </w:rPr>
        <w:t>to</w:t>
      </w:r>
      <w:r w:rsidRPr="00FD40B8">
        <w:rPr>
          <w:color w:val="131727" w:themeColor="text1"/>
          <w:spacing w:val="21"/>
          <w:w w:val="105"/>
          <w:sz w:val="16"/>
        </w:rPr>
        <w:t xml:space="preserve"> </w:t>
      </w:r>
      <w:r w:rsidRPr="00FD40B8">
        <w:rPr>
          <w:color w:val="131727" w:themeColor="text1"/>
          <w:w w:val="105"/>
          <w:sz w:val="16"/>
        </w:rPr>
        <w:t>using</w:t>
      </w:r>
      <w:r w:rsidRPr="00FD40B8">
        <w:rPr>
          <w:color w:val="131727" w:themeColor="text1"/>
          <w:spacing w:val="28"/>
          <w:w w:val="105"/>
          <w:sz w:val="16"/>
        </w:rPr>
        <w:t xml:space="preserve"> </w:t>
      </w:r>
      <w:r w:rsidRPr="00FD40B8">
        <w:rPr>
          <w:color w:val="131727" w:themeColor="text1"/>
          <w:w w:val="105"/>
          <w:sz w:val="16"/>
        </w:rPr>
        <w:t>a</w:t>
      </w:r>
      <w:r w:rsidRPr="00FD40B8">
        <w:rPr>
          <w:color w:val="131727" w:themeColor="text1"/>
          <w:spacing w:val="26"/>
          <w:w w:val="105"/>
          <w:sz w:val="16"/>
        </w:rPr>
        <w:t xml:space="preserve"> </w:t>
      </w:r>
      <w:r w:rsidRPr="00FD40B8">
        <w:rPr>
          <w:color w:val="131727" w:themeColor="text1"/>
          <w:w w:val="105"/>
          <w:sz w:val="16"/>
        </w:rPr>
        <w:t>different</w:t>
      </w:r>
      <w:r w:rsidRPr="00FD40B8">
        <w:rPr>
          <w:color w:val="131727" w:themeColor="text1"/>
          <w:spacing w:val="22"/>
          <w:w w:val="105"/>
          <w:sz w:val="16"/>
        </w:rPr>
        <w:t xml:space="preserve"> </w:t>
      </w:r>
      <w:r w:rsidRPr="00FD40B8">
        <w:rPr>
          <w:color w:val="131727" w:themeColor="text1"/>
          <w:w w:val="105"/>
          <w:sz w:val="16"/>
        </w:rPr>
        <w:t>methodology</w:t>
      </w:r>
      <w:r w:rsidRPr="00FD40B8">
        <w:rPr>
          <w:color w:val="131727" w:themeColor="text1"/>
          <w:spacing w:val="22"/>
          <w:w w:val="105"/>
          <w:sz w:val="16"/>
        </w:rPr>
        <w:t xml:space="preserve"> </w:t>
      </w:r>
      <w:r w:rsidRPr="00FD40B8">
        <w:rPr>
          <w:color w:val="131727" w:themeColor="text1"/>
          <w:w w:val="105"/>
          <w:sz w:val="16"/>
        </w:rPr>
        <w:t>(e.g.</w:t>
      </w:r>
      <w:r w:rsidRPr="00FD40B8">
        <w:rPr>
          <w:color w:val="131727" w:themeColor="text1"/>
          <w:spacing w:val="23"/>
          <w:w w:val="105"/>
          <w:sz w:val="16"/>
        </w:rPr>
        <w:t xml:space="preserve"> </w:t>
      </w:r>
      <w:r w:rsidRPr="00FD40B8">
        <w:rPr>
          <w:color w:val="131727" w:themeColor="text1"/>
          <w:w w:val="105"/>
          <w:sz w:val="16"/>
        </w:rPr>
        <w:t>including</w:t>
      </w:r>
      <w:r w:rsidRPr="00FD40B8">
        <w:rPr>
          <w:color w:val="131727" w:themeColor="text1"/>
          <w:spacing w:val="21"/>
          <w:w w:val="105"/>
          <w:sz w:val="16"/>
        </w:rPr>
        <w:t xml:space="preserve"> </w:t>
      </w:r>
      <w:r w:rsidRPr="00FD40B8">
        <w:rPr>
          <w:color w:val="131727" w:themeColor="text1"/>
          <w:w w:val="105"/>
          <w:sz w:val="16"/>
        </w:rPr>
        <w:t>need</w:t>
      </w:r>
      <w:r w:rsidRPr="00FD40B8">
        <w:rPr>
          <w:color w:val="131727" w:themeColor="text1"/>
          <w:spacing w:val="25"/>
          <w:w w:val="105"/>
          <w:sz w:val="16"/>
        </w:rPr>
        <w:t xml:space="preserve"> </w:t>
      </w:r>
      <w:r w:rsidRPr="00FD40B8">
        <w:rPr>
          <w:color w:val="131727" w:themeColor="text1"/>
          <w:w w:val="105"/>
          <w:sz w:val="16"/>
        </w:rPr>
        <w:t>for</w:t>
      </w:r>
      <w:r w:rsidRPr="00FD40B8">
        <w:rPr>
          <w:color w:val="131727" w:themeColor="text1"/>
          <w:spacing w:val="23"/>
          <w:w w:val="105"/>
          <w:sz w:val="16"/>
        </w:rPr>
        <w:t xml:space="preserve"> </w:t>
      </w:r>
      <w:r w:rsidRPr="00FD40B8">
        <w:rPr>
          <w:color w:val="131727" w:themeColor="text1"/>
          <w:w w:val="105"/>
          <w:sz w:val="16"/>
        </w:rPr>
        <w:t>1</w:t>
      </w:r>
      <w:r w:rsidRPr="00FD40B8">
        <w:rPr>
          <w:color w:val="131727" w:themeColor="text1"/>
          <w:spacing w:val="23"/>
          <w:w w:val="105"/>
          <w:sz w:val="16"/>
        </w:rPr>
        <w:t xml:space="preserve"> </w:t>
      </w:r>
      <w:r w:rsidRPr="00FD40B8">
        <w:rPr>
          <w:color w:val="131727" w:themeColor="text1"/>
          <w:w w:val="105"/>
          <w:sz w:val="16"/>
        </w:rPr>
        <w:t>and</w:t>
      </w:r>
      <w:r w:rsidRPr="00FD40B8">
        <w:rPr>
          <w:color w:val="131727" w:themeColor="text1"/>
          <w:spacing w:val="25"/>
          <w:w w:val="105"/>
          <w:sz w:val="16"/>
        </w:rPr>
        <w:t xml:space="preserve"> </w:t>
      </w:r>
      <w:r w:rsidRPr="00FD40B8">
        <w:rPr>
          <w:color w:val="131727" w:themeColor="text1"/>
          <w:w w:val="105"/>
          <w:sz w:val="16"/>
        </w:rPr>
        <w:t>2 extra</w:t>
      </w:r>
      <w:r w:rsidRPr="00FD40B8">
        <w:rPr>
          <w:color w:val="131727" w:themeColor="text1"/>
          <w:spacing w:val="40"/>
          <w:w w:val="105"/>
          <w:sz w:val="16"/>
        </w:rPr>
        <w:t xml:space="preserve"> </w:t>
      </w:r>
      <w:r w:rsidRPr="00FD40B8">
        <w:rPr>
          <w:color w:val="131727" w:themeColor="text1"/>
          <w:w w:val="105"/>
          <w:sz w:val="16"/>
        </w:rPr>
        <w:t>bedrooms)</w:t>
      </w:r>
      <w:r w:rsidRPr="00FD40B8">
        <w:rPr>
          <w:color w:val="131727" w:themeColor="text1"/>
          <w:spacing w:val="19"/>
          <w:w w:val="105"/>
          <w:sz w:val="16"/>
        </w:rPr>
        <w:t xml:space="preserve"> </w:t>
      </w:r>
      <w:r w:rsidRPr="00FD40B8">
        <w:rPr>
          <w:color w:val="131727" w:themeColor="text1"/>
          <w:w w:val="105"/>
          <w:sz w:val="16"/>
        </w:rPr>
        <w:t>and</w:t>
      </w:r>
      <w:r w:rsidRPr="00FD40B8">
        <w:rPr>
          <w:color w:val="131727" w:themeColor="text1"/>
          <w:spacing w:val="22"/>
          <w:w w:val="105"/>
          <w:sz w:val="16"/>
        </w:rPr>
        <w:t xml:space="preserve"> </w:t>
      </w:r>
      <w:r w:rsidRPr="00FD40B8">
        <w:rPr>
          <w:color w:val="131727" w:themeColor="text1"/>
          <w:w w:val="105"/>
          <w:sz w:val="16"/>
        </w:rPr>
        <w:t>estimating</w:t>
      </w:r>
      <w:r w:rsidRPr="00FD40B8">
        <w:rPr>
          <w:color w:val="131727" w:themeColor="text1"/>
          <w:spacing w:val="18"/>
          <w:w w:val="105"/>
          <w:sz w:val="16"/>
        </w:rPr>
        <w:t xml:space="preserve"> </w:t>
      </w:r>
      <w:r w:rsidRPr="00FD40B8">
        <w:rPr>
          <w:color w:val="131727" w:themeColor="text1"/>
          <w:w w:val="105"/>
          <w:sz w:val="16"/>
        </w:rPr>
        <w:t>housing</w:t>
      </w:r>
      <w:r w:rsidRPr="00FD40B8">
        <w:rPr>
          <w:color w:val="131727" w:themeColor="text1"/>
          <w:spacing w:val="18"/>
          <w:w w:val="105"/>
          <w:sz w:val="16"/>
        </w:rPr>
        <w:t xml:space="preserve"> </w:t>
      </w:r>
      <w:r w:rsidRPr="00FD40B8">
        <w:rPr>
          <w:color w:val="131727" w:themeColor="text1"/>
          <w:w w:val="105"/>
          <w:sz w:val="16"/>
        </w:rPr>
        <w:t>need</w:t>
      </w:r>
      <w:r w:rsidRPr="00FD40B8">
        <w:rPr>
          <w:color w:val="131727" w:themeColor="text1"/>
          <w:spacing w:val="22"/>
          <w:w w:val="105"/>
          <w:sz w:val="16"/>
        </w:rPr>
        <w:t xml:space="preserve"> </w:t>
      </w:r>
      <w:r w:rsidRPr="00FD40B8">
        <w:rPr>
          <w:color w:val="131727" w:themeColor="text1"/>
          <w:w w:val="105"/>
          <w:sz w:val="16"/>
        </w:rPr>
        <w:t>at</w:t>
      </w:r>
      <w:r w:rsidRPr="00FD40B8">
        <w:rPr>
          <w:color w:val="131727" w:themeColor="text1"/>
          <w:spacing w:val="19"/>
          <w:w w:val="105"/>
          <w:sz w:val="16"/>
        </w:rPr>
        <w:t xml:space="preserve"> </w:t>
      </w:r>
      <w:r w:rsidRPr="00FD40B8">
        <w:rPr>
          <w:color w:val="131727" w:themeColor="text1"/>
          <w:w w:val="105"/>
          <w:sz w:val="16"/>
        </w:rPr>
        <w:t>a</w:t>
      </w:r>
      <w:r w:rsidRPr="00FD40B8">
        <w:rPr>
          <w:color w:val="131727" w:themeColor="text1"/>
          <w:spacing w:val="17"/>
          <w:w w:val="105"/>
          <w:sz w:val="16"/>
        </w:rPr>
        <w:t xml:space="preserve"> </w:t>
      </w:r>
      <w:r w:rsidRPr="00FD40B8">
        <w:rPr>
          <w:color w:val="131727" w:themeColor="text1"/>
          <w:w w:val="105"/>
          <w:sz w:val="16"/>
        </w:rPr>
        <w:t>national</w:t>
      </w:r>
      <w:r w:rsidRPr="00FD40B8">
        <w:rPr>
          <w:color w:val="131727" w:themeColor="text1"/>
          <w:spacing w:val="17"/>
          <w:w w:val="105"/>
          <w:sz w:val="16"/>
        </w:rPr>
        <w:t xml:space="preserve"> </w:t>
      </w:r>
      <w:r w:rsidRPr="00FD40B8">
        <w:rPr>
          <w:color w:val="131727" w:themeColor="text1"/>
          <w:w w:val="105"/>
          <w:sz w:val="16"/>
        </w:rPr>
        <w:t>level</w:t>
      </w:r>
      <w:r w:rsidRPr="00FD40B8">
        <w:rPr>
          <w:color w:val="131727" w:themeColor="text1"/>
          <w:spacing w:val="17"/>
          <w:w w:val="105"/>
          <w:sz w:val="16"/>
        </w:rPr>
        <w:t xml:space="preserve"> </w:t>
      </w:r>
      <w:r w:rsidRPr="00FD40B8">
        <w:rPr>
          <w:color w:val="131727" w:themeColor="text1"/>
          <w:w w:val="105"/>
          <w:sz w:val="16"/>
        </w:rPr>
        <w:t>(rather</w:t>
      </w:r>
      <w:r w:rsidRPr="00FD40B8">
        <w:rPr>
          <w:color w:val="131727" w:themeColor="text1"/>
          <w:spacing w:val="21"/>
          <w:w w:val="105"/>
          <w:sz w:val="16"/>
        </w:rPr>
        <w:t xml:space="preserve"> </w:t>
      </w:r>
      <w:r w:rsidRPr="00FD40B8">
        <w:rPr>
          <w:color w:val="131727" w:themeColor="text1"/>
          <w:w w:val="105"/>
          <w:sz w:val="16"/>
        </w:rPr>
        <w:t>than</w:t>
      </w:r>
      <w:r w:rsidRPr="00FD40B8">
        <w:rPr>
          <w:color w:val="131727" w:themeColor="text1"/>
          <w:spacing w:val="24"/>
          <w:w w:val="105"/>
          <w:sz w:val="16"/>
        </w:rPr>
        <w:t xml:space="preserve"> </w:t>
      </w:r>
      <w:r w:rsidRPr="00FD40B8">
        <w:rPr>
          <w:color w:val="131727" w:themeColor="text1"/>
          <w:w w:val="105"/>
          <w:sz w:val="16"/>
        </w:rPr>
        <w:t>just</w:t>
      </w:r>
      <w:r w:rsidRPr="00FD40B8">
        <w:rPr>
          <w:color w:val="131727" w:themeColor="text1"/>
          <w:spacing w:val="19"/>
          <w:w w:val="105"/>
          <w:sz w:val="16"/>
        </w:rPr>
        <w:t xml:space="preserve"> </w:t>
      </w:r>
      <w:r w:rsidRPr="00FD40B8">
        <w:rPr>
          <w:color w:val="131727" w:themeColor="text1"/>
          <w:w w:val="105"/>
          <w:sz w:val="16"/>
        </w:rPr>
        <w:t>remote).</w:t>
      </w:r>
      <w:r w:rsidRPr="00FD40B8">
        <w:rPr>
          <w:color w:val="131727" w:themeColor="text1"/>
          <w:spacing w:val="21"/>
          <w:w w:val="105"/>
          <w:sz w:val="16"/>
        </w:rPr>
        <w:t xml:space="preserve"> </w:t>
      </w:r>
      <w:r w:rsidRPr="00FD40B8">
        <w:rPr>
          <w:color w:val="131727" w:themeColor="text1"/>
          <w:w w:val="105"/>
          <w:sz w:val="16"/>
        </w:rPr>
        <w:t>For</w:t>
      </w:r>
      <w:r w:rsidRPr="00FD40B8">
        <w:rPr>
          <w:color w:val="131727" w:themeColor="text1"/>
          <w:spacing w:val="21"/>
          <w:w w:val="105"/>
          <w:sz w:val="16"/>
        </w:rPr>
        <w:t xml:space="preserve"> </w:t>
      </w:r>
      <w:r w:rsidRPr="00FD40B8">
        <w:rPr>
          <w:color w:val="131727" w:themeColor="text1"/>
          <w:w w:val="105"/>
          <w:sz w:val="16"/>
        </w:rPr>
        <w:t>remote</w:t>
      </w:r>
      <w:r w:rsidRPr="00FD40B8">
        <w:rPr>
          <w:color w:val="131727" w:themeColor="text1"/>
          <w:spacing w:val="19"/>
          <w:w w:val="105"/>
          <w:sz w:val="16"/>
        </w:rPr>
        <w:t xml:space="preserve"> </w:t>
      </w:r>
      <w:r w:rsidRPr="00FD40B8">
        <w:rPr>
          <w:color w:val="131727" w:themeColor="text1"/>
          <w:w w:val="105"/>
          <w:sz w:val="16"/>
        </w:rPr>
        <w:t>communities,</w:t>
      </w:r>
      <w:r w:rsidRPr="00FD40B8">
        <w:rPr>
          <w:color w:val="131727" w:themeColor="text1"/>
          <w:spacing w:val="19"/>
          <w:w w:val="105"/>
          <w:sz w:val="16"/>
        </w:rPr>
        <w:t xml:space="preserve"> </w:t>
      </w:r>
      <w:r w:rsidRPr="00FD40B8">
        <w:rPr>
          <w:color w:val="131727" w:themeColor="text1"/>
          <w:w w:val="105"/>
          <w:sz w:val="16"/>
        </w:rPr>
        <w:t>we</w:t>
      </w:r>
      <w:r w:rsidRPr="00FD40B8">
        <w:rPr>
          <w:color w:val="131727" w:themeColor="text1"/>
          <w:spacing w:val="19"/>
          <w:w w:val="105"/>
          <w:sz w:val="16"/>
        </w:rPr>
        <w:t xml:space="preserve"> </w:t>
      </w:r>
      <w:r w:rsidRPr="00FD40B8">
        <w:rPr>
          <w:color w:val="131727" w:themeColor="text1"/>
          <w:w w:val="105"/>
          <w:sz w:val="16"/>
        </w:rPr>
        <w:t>estimate</w:t>
      </w:r>
      <w:r w:rsidRPr="00FD40B8">
        <w:rPr>
          <w:color w:val="131727" w:themeColor="text1"/>
          <w:spacing w:val="19"/>
          <w:w w:val="105"/>
          <w:sz w:val="16"/>
        </w:rPr>
        <w:t xml:space="preserve"> </w:t>
      </w:r>
      <w:r w:rsidRPr="00FD40B8">
        <w:rPr>
          <w:color w:val="131727" w:themeColor="text1"/>
          <w:w w:val="105"/>
          <w:sz w:val="16"/>
        </w:rPr>
        <w:t>a</w:t>
      </w:r>
      <w:r w:rsidRPr="00FD40B8">
        <w:rPr>
          <w:color w:val="131727" w:themeColor="text1"/>
          <w:spacing w:val="24"/>
          <w:w w:val="105"/>
          <w:sz w:val="16"/>
        </w:rPr>
        <w:t xml:space="preserve"> </w:t>
      </w:r>
      <w:r w:rsidRPr="00FD40B8">
        <w:rPr>
          <w:color w:val="131727" w:themeColor="text1"/>
          <w:w w:val="105"/>
          <w:sz w:val="16"/>
        </w:rPr>
        <w:t>need</w:t>
      </w:r>
      <w:r w:rsidRPr="00FD40B8">
        <w:rPr>
          <w:color w:val="131727" w:themeColor="text1"/>
          <w:spacing w:val="40"/>
          <w:w w:val="105"/>
          <w:sz w:val="16"/>
        </w:rPr>
        <w:t xml:space="preserve"> </w:t>
      </w:r>
      <w:r w:rsidRPr="00FD40B8">
        <w:rPr>
          <w:color w:val="131727" w:themeColor="text1"/>
          <w:w w:val="105"/>
          <w:sz w:val="16"/>
        </w:rPr>
        <w:t>of 5,261 dwellings.</w:t>
      </w:r>
    </w:p>
    <w:p w14:paraId="12B03B9A"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0DEB3347" w14:textId="77777777" w:rsidR="00811887" w:rsidRPr="00FD40B8" w:rsidRDefault="00811887" w:rsidP="00811887">
      <w:pPr>
        <w:pStyle w:val="BodyText"/>
        <w:tabs>
          <w:tab w:val="left" w:pos="1948"/>
        </w:tabs>
        <w:spacing w:before="103" w:line="268" w:lineRule="auto"/>
        <w:ind w:left="1948" w:right="532" w:hanging="360"/>
        <w:rPr>
          <w:color w:val="131727" w:themeColor="text1"/>
        </w:rPr>
      </w:pPr>
      <w:r w:rsidRPr="00FD40B8">
        <w:rPr>
          <w:b/>
          <w:color w:val="131727" w:themeColor="text1"/>
          <w:spacing w:val="-10"/>
          <w:w w:val="110"/>
        </w:rPr>
        <w:lastRenderedPageBreak/>
        <w:t>»</w:t>
      </w:r>
      <w:r w:rsidRPr="00FD40B8">
        <w:rPr>
          <w:b/>
          <w:color w:val="131727" w:themeColor="text1"/>
        </w:rPr>
        <w:tab/>
      </w:r>
      <w:r w:rsidRPr="00FD40B8">
        <w:rPr>
          <w:color w:val="131727" w:themeColor="text1"/>
          <w:w w:val="110"/>
        </w:rPr>
        <w:t>Australian Infrastructure Audits continue to highlight the need for significant additional investment housing related and community infrastructure for Aboriginal and Torres</w:t>
      </w:r>
      <w:r w:rsidRPr="00FD40B8">
        <w:rPr>
          <w:color w:val="131727" w:themeColor="text1"/>
          <w:spacing w:val="40"/>
          <w:w w:val="110"/>
        </w:rPr>
        <w:t xml:space="preserve"> </w:t>
      </w:r>
      <w:r w:rsidRPr="00FD40B8">
        <w:rPr>
          <w:color w:val="131727" w:themeColor="text1"/>
          <w:w w:val="110"/>
        </w:rPr>
        <w:t>Strait Islander people and communities, particularly in remote areas. Like in housing, there</w:t>
      </w:r>
      <w:r w:rsidRPr="00FD40B8">
        <w:rPr>
          <w:color w:val="131727" w:themeColor="text1"/>
          <w:spacing w:val="-1"/>
          <w:w w:val="110"/>
        </w:rPr>
        <w:t xml:space="preserve"> </w:t>
      </w:r>
      <w:r w:rsidRPr="00FD40B8">
        <w:rPr>
          <w:color w:val="131727" w:themeColor="text1"/>
          <w:w w:val="110"/>
        </w:rPr>
        <w:t>is no</w:t>
      </w:r>
      <w:r w:rsidRPr="00FD40B8">
        <w:rPr>
          <w:color w:val="131727" w:themeColor="text1"/>
          <w:spacing w:val="-4"/>
          <w:w w:val="110"/>
        </w:rPr>
        <w:t xml:space="preserve"> </w:t>
      </w:r>
      <w:r w:rsidRPr="00FD40B8">
        <w:rPr>
          <w:color w:val="131727" w:themeColor="text1"/>
          <w:w w:val="110"/>
        </w:rPr>
        <w:t>national approach</w:t>
      </w:r>
      <w:r w:rsidRPr="00FD40B8">
        <w:rPr>
          <w:color w:val="131727" w:themeColor="text1"/>
          <w:spacing w:val="-5"/>
          <w:w w:val="110"/>
        </w:rPr>
        <w:t xml:space="preserve"> </w:t>
      </w:r>
      <w:r w:rsidRPr="00FD40B8">
        <w:rPr>
          <w:color w:val="131727" w:themeColor="text1"/>
          <w:w w:val="110"/>
        </w:rPr>
        <w:t>or dedicated investment</w:t>
      </w:r>
      <w:r w:rsidRPr="00FD40B8">
        <w:rPr>
          <w:color w:val="131727" w:themeColor="text1"/>
          <w:spacing w:val="-6"/>
          <w:w w:val="110"/>
        </w:rPr>
        <w:t xml:space="preserve"> </w:t>
      </w:r>
      <w:r w:rsidRPr="00FD40B8">
        <w:rPr>
          <w:color w:val="131727" w:themeColor="text1"/>
          <w:w w:val="110"/>
        </w:rPr>
        <w:t>strategy</w:t>
      </w:r>
      <w:r w:rsidRPr="00FD40B8">
        <w:rPr>
          <w:color w:val="131727" w:themeColor="text1"/>
          <w:spacing w:val="-2"/>
          <w:w w:val="110"/>
        </w:rPr>
        <w:t xml:space="preserve"> </w:t>
      </w:r>
      <w:r w:rsidRPr="00FD40B8">
        <w:rPr>
          <w:color w:val="131727" w:themeColor="text1"/>
          <w:w w:val="110"/>
        </w:rPr>
        <w:t>to address the</w:t>
      </w:r>
      <w:r w:rsidRPr="00FD40B8">
        <w:rPr>
          <w:color w:val="131727" w:themeColor="text1"/>
          <w:spacing w:val="-6"/>
          <w:w w:val="110"/>
        </w:rPr>
        <w:t xml:space="preserve"> </w:t>
      </w:r>
      <w:r w:rsidRPr="00FD40B8">
        <w:rPr>
          <w:color w:val="131727" w:themeColor="text1"/>
          <w:w w:val="110"/>
        </w:rPr>
        <w:t>significant gaps identified and despite the commitments in the Closing the Gap Agreement.</w:t>
      </w:r>
    </w:p>
    <w:p w14:paraId="131AE457" w14:textId="77777777" w:rsidR="00811887" w:rsidRPr="00FD40B8" w:rsidRDefault="00811887" w:rsidP="00FB2FE9">
      <w:pPr>
        <w:pStyle w:val="ListParagraph"/>
        <w:widowControl w:val="0"/>
        <w:numPr>
          <w:ilvl w:val="0"/>
          <w:numId w:val="68"/>
        </w:numPr>
        <w:tabs>
          <w:tab w:val="left" w:pos="1228"/>
        </w:tabs>
        <w:autoSpaceDE w:val="0"/>
        <w:autoSpaceDN w:val="0"/>
        <w:spacing w:before="106" w:after="0" w:line="266" w:lineRule="auto"/>
        <w:ind w:right="720"/>
        <w:contextualSpacing w:val="0"/>
        <w:rPr>
          <w:rFonts w:ascii="Symbol" w:hAnsi="Symbol"/>
          <w:color w:val="131727" w:themeColor="text1"/>
          <w:sz w:val="20"/>
        </w:rPr>
      </w:pPr>
      <w:r w:rsidRPr="00FD40B8">
        <w:rPr>
          <w:color w:val="131727" w:themeColor="text1"/>
          <w:w w:val="110"/>
          <w:sz w:val="20"/>
        </w:rPr>
        <w:t>There are economic efficiencies in ensuring new and existing housing investments, including repairs and maintenance, for Aboriginal and Torres Strait Islander people are better targeted and monitored. However, the available data on Aboriginal and Torres Strait Islander housing needs,</w:t>
      </w:r>
      <w:r w:rsidRPr="00FD40B8">
        <w:rPr>
          <w:color w:val="131727" w:themeColor="text1"/>
          <w:spacing w:val="-1"/>
          <w:w w:val="110"/>
          <w:sz w:val="20"/>
        </w:rPr>
        <w:t xml:space="preserve"> </w:t>
      </w:r>
      <w:r w:rsidRPr="00FD40B8">
        <w:rPr>
          <w:color w:val="131727" w:themeColor="text1"/>
          <w:w w:val="110"/>
          <w:sz w:val="20"/>
        </w:rPr>
        <w:t>and</w:t>
      </w:r>
      <w:r w:rsidRPr="00FD40B8">
        <w:rPr>
          <w:color w:val="131727" w:themeColor="text1"/>
          <w:spacing w:val="-1"/>
          <w:w w:val="110"/>
          <w:sz w:val="20"/>
        </w:rPr>
        <w:t xml:space="preserve"> </w:t>
      </w:r>
      <w:r w:rsidRPr="00FD40B8">
        <w:rPr>
          <w:color w:val="131727" w:themeColor="text1"/>
          <w:w w:val="110"/>
          <w:sz w:val="20"/>
        </w:rPr>
        <w:t>related</w:t>
      </w:r>
      <w:r w:rsidRPr="00FD40B8">
        <w:rPr>
          <w:color w:val="131727" w:themeColor="text1"/>
          <w:spacing w:val="-5"/>
          <w:w w:val="110"/>
          <w:sz w:val="20"/>
        </w:rPr>
        <w:t xml:space="preserve"> </w:t>
      </w:r>
      <w:r w:rsidRPr="00FD40B8">
        <w:rPr>
          <w:color w:val="131727" w:themeColor="text1"/>
          <w:w w:val="110"/>
          <w:sz w:val="20"/>
        </w:rPr>
        <w:t>infrastructure,</w:t>
      </w:r>
      <w:r w:rsidRPr="00FD40B8">
        <w:rPr>
          <w:color w:val="131727" w:themeColor="text1"/>
          <w:spacing w:val="-5"/>
          <w:w w:val="110"/>
          <w:sz w:val="20"/>
        </w:rPr>
        <w:t xml:space="preserve"> </w:t>
      </w:r>
      <w:r w:rsidRPr="00FD40B8">
        <w:rPr>
          <w:color w:val="131727" w:themeColor="text1"/>
          <w:w w:val="110"/>
          <w:sz w:val="20"/>
        </w:rPr>
        <w:t>is patchy,</w:t>
      </w:r>
      <w:r w:rsidRPr="00FD40B8">
        <w:rPr>
          <w:color w:val="131727" w:themeColor="text1"/>
          <w:spacing w:val="-1"/>
          <w:w w:val="110"/>
          <w:sz w:val="20"/>
        </w:rPr>
        <w:t xml:space="preserve"> </w:t>
      </w:r>
      <w:r w:rsidRPr="00FD40B8">
        <w:rPr>
          <w:color w:val="131727" w:themeColor="text1"/>
          <w:w w:val="110"/>
          <w:sz w:val="20"/>
        </w:rPr>
        <w:t>inconsistent, and</w:t>
      </w:r>
      <w:r w:rsidRPr="00FD40B8">
        <w:rPr>
          <w:color w:val="131727" w:themeColor="text1"/>
          <w:spacing w:val="-5"/>
          <w:w w:val="110"/>
          <w:sz w:val="20"/>
        </w:rPr>
        <w:t xml:space="preserve"> </w:t>
      </w:r>
      <w:r w:rsidRPr="00FD40B8">
        <w:rPr>
          <w:color w:val="131727" w:themeColor="text1"/>
          <w:w w:val="110"/>
          <w:sz w:val="20"/>
        </w:rPr>
        <w:t>insufficient</w:t>
      </w:r>
      <w:r w:rsidRPr="00FD40B8">
        <w:rPr>
          <w:color w:val="131727" w:themeColor="text1"/>
          <w:spacing w:val="-4"/>
          <w:w w:val="110"/>
          <w:sz w:val="20"/>
        </w:rPr>
        <w:t xml:space="preserve"> </w:t>
      </w:r>
      <w:r w:rsidRPr="00FD40B8">
        <w:rPr>
          <w:color w:val="131727" w:themeColor="text1"/>
          <w:w w:val="110"/>
          <w:sz w:val="20"/>
        </w:rPr>
        <w:t>and</w:t>
      </w:r>
      <w:r w:rsidRPr="00FD40B8">
        <w:rPr>
          <w:color w:val="131727" w:themeColor="text1"/>
          <w:spacing w:val="-5"/>
          <w:w w:val="110"/>
          <w:sz w:val="20"/>
        </w:rPr>
        <w:t xml:space="preserve"> </w:t>
      </w:r>
      <w:r w:rsidRPr="00FD40B8">
        <w:rPr>
          <w:color w:val="131727" w:themeColor="text1"/>
          <w:w w:val="110"/>
          <w:sz w:val="20"/>
        </w:rPr>
        <w:t>does</w:t>
      </w:r>
      <w:r w:rsidRPr="00FD40B8">
        <w:rPr>
          <w:color w:val="131727" w:themeColor="text1"/>
          <w:spacing w:val="-4"/>
          <w:w w:val="110"/>
          <w:sz w:val="20"/>
        </w:rPr>
        <w:t xml:space="preserve"> </w:t>
      </w:r>
      <w:r w:rsidRPr="00FD40B8">
        <w:rPr>
          <w:color w:val="131727" w:themeColor="text1"/>
          <w:w w:val="110"/>
          <w:sz w:val="20"/>
        </w:rPr>
        <w:t>not</w:t>
      </w:r>
      <w:r w:rsidRPr="00FD40B8">
        <w:rPr>
          <w:color w:val="131727" w:themeColor="text1"/>
          <w:spacing w:val="-5"/>
          <w:w w:val="110"/>
          <w:sz w:val="20"/>
        </w:rPr>
        <w:t xml:space="preserve"> </w:t>
      </w:r>
      <w:r w:rsidRPr="00FD40B8">
        <w:rPr>
          <w:color w:val="131727" w:themeColor="text1"/>
          <w:w w:val="110"/>
          <w:sz w:val="20"/>
        </w:rPr>
        <w:t>support community-based planning.</w:t>
      </w:r>
    </w:p>
    <w:p w14:paraId="09B6A444" w14:textId="77777777" w:rsidR="00811887" w:rsidRPr="00FD40B8" w:rsidRDefault="00811887" w:rsidP="00811887">
      <w:pPr>
        <w:pStyle w:val="BodyText"/>
        <w:tabs>
          <w:tab w:val="left" w:pos="1948"/>
        </w:tabs>
        <w:spacing w:before="129" w:line="266" w:lineRule="auto"/>
        <w:ind w:left="1948" w:right="650"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There has been a significant decline in the last 15 years in the level and quality of data and</w:t>
      </w:r>
      <w:r w:rsidRPr="00FD40B8">
        <w:rPr>
          <w:color w:val="131727" w:themeColor="text1"/>
          <w:spacing w:val="-5"/>
          <w:w w:val="110"/>
        </w:rPr>
        <w:t xml:space="preserve"> </w:t>
      </w:r>
      <w:r w:rsidRPr="00FD40B8">
        <w:rPr>
          <w:color w:val="131727" w:themeColor="text1"/>
          <w:w w:val="110"/>
        </w:rPr>
        <w:t>information</w:t>
      </w:r>
      <w:r w:rsidRPr="00FD40B8">
        <w:rPr>
          <w:color w:val="131727" w:themeColor="text1"/>
          <w:spacing w:val="-9"/>
          <w:w w:val="110"/>
        </w:rPr>
        <w:t xml:space="preserve"> </w:t>
      </w:r>
      <w:r w:rsidRPr="00FD40B8">
        <w:rPr>
          <w:color w:val="131727" w:themeColor="text1"/>
          <w:w w:val="110"/>
        </w:rPr>
        <w:t>reported,</w:t>
      </w:r>
      <w:r w:rsidRPr="00FD40B8">
        <w:rPr>
          <w:color w:val="131727" w:themeColor="text1"/>
          <w:spacing w:val="-5"/>
          <w:w w:val="110"/>
        </w:rPr>
        <w:t xml:space="preserve"> </w:t>
      </w:r>
      <w:r w:rsidRPr="00FD40B8">
        <w:rPr>
          <w:color w:val="131727" w:themeColor="text1"/>
          <w:w w:val="110"/>
        </w:rPr>
        <w:t>marked</w:t>
      </w:r>
      <w:r w:rsidRPr="00FD40B8">
        <w:rPr>
          <w:color w:val="131727" w:themeColor="text1"/>
          <w:spacing w:val="-5"/>
          <w:w w:val="110"/>
        </w:rPr>
        <w:t xml:space="preserve"> </w:t>
      </w:r>
      <w:r w:rsidRPr="00FD40B8">
        <w:rPr>
          <w:color w:val="131727" w:themeColor="text1"/>
          <w:w w:val="110"/>
        </w:rPr>
        <w:t>by</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cessation</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12"/>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Commonwealth’s</w:t>
      </w:r>
      <w:r w:rsidRPr="00FD40B8">
        <w:rPr>
          <w:color w:val="131727" w:themeColor="text1"/>
          <w:spacing w:val="-2"/>
          <w:w w:val="110"/>
        </w:rPr>
        <w:t xml:space="preserve"> </w:t>
      </w:r>
      <w:r w:rsidRPr="00FD40B8">
        <w:rPr>
          <w:color w:val="131727" w:themeColor="text1"/>
          <w:w w:val="110"/>
        </w:rPr>
        <w:t>Community Housing and Infrastructure Needs Survey (CHINS) and the National Partnership Agreement on Remote Indigenous Housing (NPARIH).</w:t>
      </w:r>
    </w:p>
    <w:p w14:paraId="3EC88332" w14:textId="77777777" w:rsidR="00811887" w:rsidRPr="00FD40B8" w:rsidRDefault="00811887" w:rsidP="00811887">
      <w:pPr>
        <w:pStyle w:val="BodyText"/>
        <w:tabs>
          <w:tab w:val="left" w:pos="1948"/>
        </w:tabs>
        <w:spacing w:before="125" w:line="266" w:lineRule="auto"/>
        <w:ind w:left="1948" w:right="598"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There is no designated entity, governance structure or accountability mechanism in the Commonwealth Government with the remit or resources to interpret and enhance current remote Aboriginal and Torres Strait</w:t>
      </w:r>
      <w:r w:rsidRPr="00FD40B8">
        <w:rPr>
          <w:color w:val="131727" w:themeColor="text1"/>
          <w:spacing w:val="-4"/>
          <w:w w:val="110"/>
        </w:rPr>
        <w:t xml:space="preserve"> </w:t>
      </w:r>
      <w:r w:rsidRPr="00FD40B8">
        <w:rPr>
          <w:color w:val="131727" w:themeColor="text1"/>
          <w:w w:val="110"/>
        </w:rPr>
        <w:t>Islander</w:t>
      </w:r>
      <w:r w:rsidRPr="00FD40B8">
        <w:rPr>
          <w:color w:val="131727" w:themeColor="text1"/>
          <w:spacing w:val="-2"/>
          <w:w w:val="110"/>
        </w:rPr>
        <w:t xml:space="preserve"> </w:t>
      </w:r>
      <w:r w:rsidRPr="00FD40B8">
        <w:rPr>
          <w:color w:val="131727" w:themeColor="text1"/>
          <w:w w:val="110"/>
        </w:rPr>
        <w:t>housing data</w:t>
      </w:r>
      <w:r w:rsidRPr="00FD40B8">
        <w:rPr>
          <w:color w:val="131727" w:themeColor="text1"/>
          <w:spacing w:val="-5"/>
          <w:w w:val="110"/>
        </w:rPr>
        <w:t xml:space="preserve"> </w:t>
      </w:r>
      <w:r w:rsidRPr="00FD40B8">
        <w:rPr>
          <w:color w:val="131727" w:themeColor="text1"/>
          <w:w w:val="110"/>
        </w:rPr>
        <w:t>collection, and</w:t>
      </w:r>
      <w:r w:rsidRPr="00FD40B8">
        <w:rPr>
          <w:color w:val="131727" w:themeColor="text1"/>
          <w:spacing w:val="-4"/>
          <w:w w:val="110"/>
        </w:rPr>
        <w:t xml:space="preserve"> </w:t>
      </w:r>
      <w:r w:rsidRPr="00FD40B8">
        <w:rPr>
          <w:color w:val="131727" w:themeColor="text1"/>
          <w:w w:val="110"/>
        </w:rPr>
        <w:t>no</w:t>
      </w:r>
      <w:r w:rsidRPr="00FD40B8">
        <w:rPr>
          <w:color w:val="131727" w:themeColor="text1"/>
          <w:spacing w:val="-2"/>
          <w:w w:val="110"/>
        </w:rPr>
        <w:t xml:space="preserve"> </w:t>
      </w:r>
      <w:r w:rsidRPr="00FD40B8">
        <w:rPr>
          <w:color w:val="131727" w:themeColor="text1"/>
          <w:w w:val="110"/>
        </w:rPr>
        <w:t>one has a clear, comprehensive understanding of the full extent of data currently available.</w:t>
      </w:r>
    </w:p>
    <w:p w14:paraId="2D5DDB60" w14:textId="77777777" w:rsidR="00811887" w:rsidRPr="00FD40B8" w:rsidRDefault="00811887" w:rsidP="00FB2FE9">
      <w:pPr>
        <w:pStyle w:val="ListParagraph"/>
        <w:widowControl w:val="0"/>
        <w:numPr>
          <w:ilvl w:val="1"/>
          <w:numId w:val="68"/>
        </w:numPr>
        <w:tabs>
          <w:tab w:val="left" w:pos="2669"/>
        </w:tabs>
        <w:autoSpaceDE w:val="0"/>
        <w:autoSpaceDN w:val="0"/>
        <w:spacing w:before="127" w:after="0" w:line="268" w:lineRule="auto"/>
        <w:ind w:right="554"/>
        <w:contextualSpacing w:val="0"/>
        <w:rPr>
          <w:color w:val="131727" w:themeColor="text1"/>
          <w:sz w:val="20"/>
        </w:rPr>
      </w:pPr>
      <w:r w:rsidRPr="00FD40B8">
        <w:rPr>
          <w:color w:val="131727" w:themeColor="text1"/>
          <w:w w:val="110"/>
          <w:sz w:val="20"/>
        </w:rPr>
        <w:t>This is a likely outcome of fragmented responsibility for delivering housing and infrastructure for Aboriginal and Torres Strait Islander people within Australian Government departments and agencies and across all governments. Ministerial responsibilities at the Commonwealth level to respond to the unique needs of Aboriginal and Torres Strait Islander people for housing and infrastructure are complicated.</w:t>
      </w:r>
      <w:r w:rsidRPr="00FD40B8">
        <w:rPr>
          <w:color w:val="131727" w:themeColor="text1"/>
          <w:spacing w:val="-4"/>
          <w:w w:val="110"/>
          <w:sz w:val="20"/>
        </w:rPr>
        <w:t xml:space="preserve"> </w:t>
      </w:r>
      <w:r w:rsidRPr="00FD40B8">
        <w:rPr>
          <w:color w:val="131727" w:themeColor="text1"/>
          <w:w w:val="110"/>
          <w:sz w:val="20"/>
        </w:rPr>
        <w:t>Currently</w:t>
      </w:r>
      <w:r w:rsidRPr="00FD40B8">
        <w:rPr>
          <w:color w:val="131727" w:themeColor="text1"/>
          <w:spacing w:val="-9"/>
          <w:w w:val="110"/>
          <w:sz w:val="20"/>
        </w:rPr>
        <w:t xml:space="preserve"> </w:t>
      </w:r>
      <w:r w:rsidRPr="00FD40B8">
        <w:rPr>
          <w:color w:val="131727" w:themeColor="text1"/>
          <w:w w:val="110"/>
          <w:sz w:val="20"/>
        </w:rPr>
        <w:t>it</w:t>
      </w:r>
      <w:r w:rsidRPr="00FD40B8">
        <w:rPr>
          <w:color w:val="131727" w:themeColor="text1"/>
          <w:spacing w:val="-8"/>
          <w:w w:val="110"/>
          <w:sz w:val="20"/>
        </w:rPr>
        <w:t xml:space="preserve"> </w:t>
      </w:r>
      <w:r w:rsidRPr="00FD40B8">
        <w:rPr>
          <w:color w:val="131727" w:themeColor="text1"/>
          <w:w w:val="110"/>
          <w:sz w:val="20"/>
        </w:rPr>
        <w:t>is</w:t>
      </w:r>
      <w:r w:rsidRPr="00FD40B8">
        <w:rPr>
          <w:color w:val="131727" w:themeColor="text1"/>
          <w:spacing w:val="-2"/>
          <w:w w:val="110"/>
          <w:sz w:val="20"/>
        </w:rPr>
        <w:t xml:space="preserve"> </w:t>
      </w:r>
      <w:r w:rsidRPr="00FD40B8">
        <w:rPr>
          <w:color w:val="131727" w:themeColor="text1"/>
          <w:w w:val="110"/>
          <w:sz w:val="20"/>
        </w:rPr>
        <w:t>understood</w:t>
      </w:r>
      <w:r w:rsidRPr="00FD40B8">
        <w:rPr>
          <w:color w:val="131727" w:themeColor="text1"/>
          <w:spacing w:val="-4"/>
          <w:w w:val="110"/>
          <w:sz w:val="20"/>
        </w:rPr>
        <w:t xml:space="preserve"> </w:t>
      </w:r>
      <w:r w:rsidRPr="00FD40B8">
        <w:rPr>
          <w:color w:val="131727" w:themeColor="text1"/>
          <w:w w:val="110"/>
          <w:sz w:val="20"/>
        </w:rPr>
        <w:t>they</w:t>
      </w:r>
      <w:r w:rsidRPr="00FD40B8">
        <w:rPr>
          <w:color w:val="131727" w:themeColor="text1"/>
          <w:spacing w:val="-5"/>
          <w:w w:val="110"/>
          <w:sz w:val="20"/>
        </w:rPr>
        <w:t xml:space="preserve"> </w:t>
      </w:r>
      <w:r w:rsidRPr="00FD40B8">
        <w:rPr>
          <w:color w:val="131727" w:themeColor="text1"/>
          <w:w w:val="110"/>
          <w:sz w:val="20"/>
        </w:rPr>
        <w:t>are</w:t>
      </w:r>
      <w:r w:rsidRPr="00FD40B8">
        <w:rPr>
          <w:color w:val="131727" w:themeColor="text1"/>
          <w:spacing w:val="-4"/>
          <w:w w:val="110"/>
          <w:sz w:val="20"/>
        </w:rPr>
        <w:t xml:space="preserve"> </w:t>
      </w:r>
      <w:r w:rsidRPr="00FD40B8">
        <w:rPr>
          <w:color w:val="131727" w:themeColor="text1"/>
          <w:w w:val="110"/>
          <w:sz w:val="20"/>
        </w:rPr>
        <w:t>shared</w:t>
      </w:r>
      <w:r w:rsidRPr="00FD40B8">
        <w:rPr>
          <w:color w:val="131727" w:themeColor="text1"/>
          <w:spacing w:val="-4"/>
          <w:w w:val="110"/>
          <w:sz w:val="20"/>
        </w:rPr>
        <w:t xml:space="preserve"> </w:t>
      </w:r>
      <w:r w:rsidRPr="00FD40B8">
        <w:rPr>
          <w:color w:val="131727" w:themeColor="text1"/>
          <w:w w:val="110"/>
          <w:sz w:val="20"/>
        </w:rPr>
        <w:t>between</w:t>
      </w:r>
      <w:r w:rsidRPr="00FD40B8">
        <w:rPr>
          <w:color w:val="131727" w:themeColor="text1"/>
          <w:spacing w:val="-7"/>
          <w:w w:val="110"/>
          <w:sz w:val="20"/>
        </w:rPr>
        <w:t xml:space="preserve"> </w:t>
      </w: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Minister</w:t>
      </w:r>
      <w:r w:rsidRPr="00FD40B8">
        <w:rPr>
          <w:color w:val="131727" w:themeColor="text1"/>
          <w:spacing w:val="-5"/>
          <w:w w:val="110"/>
          <w:sz w:val="20"/>
        </w:rPr>
        <w:t xml:space="preserve"> </w:t>
      </w:r>
      <w:r w:rsidRPr="00FD40B8">
        <w:rPr>
          <w:color w:val="131727" w:themeColor="text1"/>
          <w:w w:val="110"/>
          <w:sz w:val="20"/>
        </w:rPr>
        <w:t>for Housing and Homelessness, the Treasurer, the Minister for Indigenous Affairs and the Minister for Infrastructure, Transport, Regional Development and Local Government. Indigenous Business Australia (IBA) also provides home loans to Aboriginal and Torres Strait Islander people which is another piece to the need and data picture not covered by this report.</w:t>
      </w:r>
    </w:p>
    <w:p w14:paraId="04B5ACEC" w14:textId="77777777" w:rsidR="00811887" w:rsidRPr="00FD40B8" w:rsidRDefault="00811887" w:rsidP="00811887">
      <w:pPr>
        <w:pStyle w:val="BodyText"/>
        <w:tabs>
          <w:tab w:val="left" w:pos="1948"/>
        </w:tabs>
        <w:spacing w:before="108" w:line="264" w:lineRule="auto"/>
        <w:ind w:left="1948" w:right="1148"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The biggest gaps</w:t>
      </w:r>
      <w:r w:rsidRPr="00FD40B8">
        <w:rPr>
          <w:color w:val="131727" w:themeColor="text1"/>
          <w:spacing w:val="-1"/>
          <w:w w:val="110"/>
        </w:rPr>
        <w:t xml:space="preserve"> </w:t>
      </w:r>
      <w:r w:rsidRPr="00FD40B8">
        <w:rPr>
          <w:color w:val="131727" w:themeColor="text1"/>
          <w:w w:val="110"/>
        </w:rPr>
        <w:t>in the data</w:t>
      </w:r>
      <w:r w:rsidRPr="00FD40B8">
        <w:rPr>
          <w:color w:val="131727" w:themeColor="text1"/>
          <w:spacing w:val="-4"/>
          <w:w w:val="110"/>
        </w:rPr>
        <w:t xml:space="preserve"> </w:t>
      </w:r>
      <w:r w:rsidRPr="00FD40B8">
        <w:rPr>
          <w:color w:val="131727" w:themeColor="text1"/>
          <w:w w:val="110"/>
        </w:rPr>
        <w:t>collection</w:t>
      </w:r>
      <w:r w:rsidRPr="00FD40B8">
        <w:rPr>
          <w:color w:val="131727" w:themeColor="text1"/>
          <w:spacing w:val="-2"/>
          <w:w w:val="110"/>
        </w:rPr>
        <w:t xml:space="preserve"> </w:t>
      </w:r>
      <w:r w:rsidRPr="00FD40B8">
        <w:rPr>
          <w:color w:val="131727" w:themeColor="text1"/>
          <w:w w:val="110"/>
        </w:rPr>
        <w:t>are more</w:t>
      </w:r>
      <w:r w:rsidRPr="00FD40B8">
        <w:rPr>
          <w:color w:val="131727" w:themeColor="text1"/>
          <w:spacing w:val="-3"/>
          <w:w w:val="110"/>
        </w:rPr>
        <w:t xml:space="preserve"> </w:t>
      </w:r>
      <w:r w:rsidRPr="00FD40B8">
        <w:rPr>
          <w:color w:val="131727" w:themeColor="text1"/>
          <w:w w:val="110"/>
        </w:rPr>
        <w:t>granular data on existing housing conditions and housing-related infrastructure.</w:t>
      </w:r>
    </w:p>
    <w:p w14:paraId="48B7924E" w14:textId="77777777" w:rsidR="00811887" w:rsidRPr="00FD40B8" w:rsidRDefault="00811887" w:rsidP="00811887">
      <w:pPr>
        <w:pStyle w:val="BodyText"/>
        <w:tabs>
          <w:tab w:val="left" w:pos="1948"/>
        </w:tabs>
        <w:spacing w:before="125" w:line="266" w:lineRule="auto"/>
        <w:ind w:left="1948" w:right="804"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There is more housing data collected by states and territory governments and on the ground at a community level by service providers, than is currently shared with the Australian Government and</w:t>
      </w:r>
      <w:r w:rsidRPr="00FD40B8">
        <w:rPr>
          <w:color w:val="131727" w:themeColor="text1"/>
          <w:spacing w:val="-1"/>
          <w:w w:val="110"/>
        </w:rPr>
        <w:t xml:space="preserve"> </w:t>
      </w:r>
      <w:r w:rsidRPr="00FD40B8">
        <w:rPr>
          <w:color w:val="131727" w:themeColor="text1"/>
          <w:w w:val="110"/>
        </w:rPr>
        <w:t>reported</w:t>
      </w:r>
      <w:r w:rsidRPr="00FD40B8">
        <w:rPr>
          <w:color w:val="131727" w:themeColor="text1"/>
          <w:spacing w:val="-5"/>
          <w:w w:val="110"/>
        </w:rPr>
        <w:t xml:space="preserve"> </w:t>
      </w:r>
      <w:r w:rsidRPr="00FD40B8">
        <w:rPr>
          <w:color w:val="131727" w:themeColor="text1"/>
          <w:w w:val="110"/>
        </w:rPr>
        <w:t>on to the</w:t>
      </w:r>
      <w:r w:rsidRPr="00FD40B8">
        <w:rPr>
          <w:color w:val="131727" w:themeColor="text1"/>
          <w:spacing w:val="-1"/>
          <w:w w:val="110"/>
        </w:rPr>
        <w:t xml:space="preserve"> </w:t>
      </w:r>
      <w:r w:rsidRPr="00FD40B8">
        <w:rPr>
          <w:color w:val="131727" w:themeColor="text1"/>
          <w:w w:val="110"/>
        </w:rPr>
        <w:t>public</w:t>
      </w:r>
      <w:r w:rsidRPr="00FD40B8">
        <w:rPr>
          <w:color w:val="131727" w:themeColor="text1"/>
          <w:spacing w:val="-5"/>
          <w:w w:val="110"/>
        </w:rPr>
        <w:t xml:space="preserve"> </w:t>
      </w:r>
      <w:r w:rsidRPr="00FD40B8">
        <w:rPr>
          <w:color w:val="131727" w:themeColor="text1"/>
          <w:w w:val="110"/>
        </w:rPr>
        <w:t>and Aboriginal and</w:t>
      </w:r>
      <w:r w:rsidRPr="00FD40B8">
        <w:rPr>
          <w:color w:val="131727" w:themeColor="text1"/>
          <w:spacing w:val="-5"/>
          <w:w w:val="110"/>
        </w:rPr>
        <w:t xml:space="preserve"> </w:t>
      </w:r>
      <w:r w:rsidRPr="00FD40B8">
        <w:rPr>
          <w:color w:val="131727" w:themeColor="text1"/>
          <w:w w:val="110"/>
        </w:rPr>
        <w:t>Torres Strait Islander communities.</w:t>
      </w:r>
    </w:p>
    <w:p w14:paraId="4574997F" w14:textId="77777777" w:rsidR="00811887" w:rsidRPr="00FD40B8" w:rsidRDefault="00811887" w:rsidP="00811887">
      <w:pPr>
        <w:pStyle w:val="BodyText"/>
        <w:tabs>
          <w:tab w:val="left" w:pos="1948"/>
        </w:tabs>
        <w:spacing w:before="126" w:line="268" w:lineRule="auto"/>
        <w:ind w:left="1948" w:right="981"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availability</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9"/>
          <w:w w:val="110"/>
        </w:rPr>
        <w:t xml:space="preserve"> </w:t>
      </w:r>
      <w:r w:rsidRPr="00FD40B8">
        <w:rPr>
          <w:color w:val="131727" w:themeColor="text1"/>
          <w:w w:val="110"/>
        </w:rPr>
        <w:t>quality</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7"/>
          <w:w w:val="110"/>
        </w:rPr>
        <w:t xml:space="preserve"> </w:t>
      </w:r>
      <w:r w:rsidRPr="00FD40B8">
        <w:rPr>
          <w:color w:val="131727" w:themeColor="text1"/>
          <w:w w:val="110"/>
        </w:rPr>
        <w:t>data</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6"/>
          <w:w w:val="110"/>
        </w:rPr>
        <w:t xml:space="preserve"> </w:t>
      </w:r>
      <w:r w:rsidRPr="00FD40B8">
        <w:rPr>
          <w:color w:val="131727" w:themeColor="text1"/>
          <w:w w:val="110"/>
        </w:rPr>
        <w:t>remote</w:t>
      </w:r>
      <w:r w:rsidRPr="00FD40B8">
        <w:rPr>
          <w:color w:val="131727" w:themeColor="text1"/>
          <w:spacing w:val="-5"/>
          <w:w w:val="110"/>
        </w:rPr>
        <w:t xml:space="preserve"> </w:t>
      </w:r>
      <w:r w:rsidRPr="00FD40B8">
        <w:rPr>
          <w:color w:val="131727" w:themeColor="text1"/>
          <w:w w:val="110"/>
        </w:rPr>
        <w:t>communities,</w:t>
      </w:r>
      <w:r w:rsidRPr="00FD40B8">
        <w:rPr>
          <w:color w:val="131727" w:themeColor="text1"/>
          <w:spacing w:val="-5"/>
          <w:w w:val="110"/>
        </w:rPr>
        <w:t xml:space="preserve"> </w:t>
      </w:r>
      <w:r w:rsidRPr="00FD40B8">
        <w:rPr>
          <w:color w:val="131727" w:themeColor="text1"/>
          <w:w w:val="110"/>
        </w:rPr>
        <w:t>where</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9"/>
          <w:w w:val="110"/>
        </w:rPr>
        <w:t xml:space="preserve"> </w:t>
      </w:r>
      <w:r w:rsidRPr="00FD40B8">
        <w:rPr>
          <w:color w:val="131727" w:themeColor="text1"/>
          <w:w w:val="110"/>
        </w:rPr>
        <w:t>need</w:t>
      </w:r>
      <w:r w:rsidRPr="00FD40B8">
        <w:rPr>
          <w:color w:val="131727" w:themeColor="text1"/>
          <w:spacing w:val="-10"/>
          <w:w w:val="110"/>
        </w:rPr>
        <w:t xml:space="preserve"> </w:t>
      </w:r>
      <w:r w:rsidRPr="00FD40B8">
        <w:rPr>
          <w:color w:val="131727" w:themeColor="text1"/>
          <w:w w:val="110"/>
        </w:rPr>
        <w:t>is</w:t>
      </w:r>
      <w:r w:rsidRPr="00FD40B8">
        <w:rPr>
          <w:color w:val="131727" w:themeColor="text1"/>
          <w:spacing w:val="-3"/>
          <w:w w:val="110"/>
        </w:rPr>
        <w:t xml:space="preserve"> </w:t>
      </w:r>
      <w:r w:rsidRPr="00FD40B8">
        <w:rPr>
          <w:color w:val="131727" w:themeColor="text1"/>
          <w:w w:val="110"/>
        </w:rPr>
        <w:t>much greater, is more limited than for urban and regional areas.</w:t>
      </w:r>
    </w:p>
    <w:p w14:paraId="25316AD7" w14:textId="77777777" w:rsidR="00811887" w:rsidRPr="00FD40B8" w:rsidRDefault="00811887" w:rsidP="00FB2FE9">
      <w:pPr>
        <w:pStyle w:val="ListParagraph"/>
        <w:widowControl w:val="0"/>
        <w:numPr>
          <w:ilvl w:val="0"/>
          <w:numId w:val="68"/>
        </w:numPr>
        <w:tabs>
          <w:tab w:val="left" w:pos="1228"/>
        </w:tabs>
        <w:autoSpaceDE w:val="0"/>
        <w:autoSpaceDN w:val="0"/>
        <w:spacing w:before="110" w:after="0" w:line="266" w:lineRule="auto"/>
        <w:ind w:right="544"/>
        <w:contextualSpacing w:val="0"/>
        <w:rPr>
          <w:rFonts w:ascii="Symbol" w:hAnsi="Symbol"/>
          <w:color w:val="131727" w:themeColor="text1"/>
          <w:sz w:val="20"/>
        </w:rPr>
      </w:pPr>
      <w:r w:rsidRPr="00FD40B8">
        <w:rPr>
          <w:color w:val="131727" w:themeColor="text1"/>
          <w:w w:val="110"/>
          <w:sz w:val="20"/>
        </w:rPr>
        <w:t>There have been numerous efforts and calls over the years to improve data on Aboriginal and Torres Strait Islander housing by Aboriginal and Torres Strait Islander organisations and communities and governments. Of note, the Closing the Gap Agreement commits all governments to significantly change the way data on Closing the Gap is collected and shared</w:t>
      </w:r>
      <w:r w:rsidRPr="00FD40B8">
        <w:rPr>
          <w:color w:val="131727" w:themeColor="text1"/>
          <w:spacing w:val="40"/>
          <w:w w:val="110"/>
          <w:sz w:val="20"/>
        </w:rPr>
        <w:t xml:space="preserve"> </w:t>
      </w:r>
      <w:r w:rsidRPr="00FD40B8">
        <w:rPr>
          <w:color w:val="131727" w:themeColor="text1"/>
          <w:w w:val="110"/>
          <w:sz w:val="20"/>
        </w:rPr>
        <w:t>with</w:t>
      </w:r>
      <w:r w:rsidRPr="00FD40B8">
        <w:rPr>
          <w:color w:val="131727" w:themeColor="text1"/>
          <w:spacing w:val="-1"/>
          <w:w w:val="110"/>
          <w:sz w:val="20"/>
        </w:rPr>
        <w:t xml:space="preserve"> </w:t>
      </w:r>
      <w:r w:rsidRPr="00FD40B8">
        <w:rPr>
          <w:color w:val="131727" w:themeColor="text1"/>
          <w:w w:val="110"/>
          <w:sz w:val="20"/>
        </w:rPr>
        <w:t>communities</w:t>
      </w:r>
      <w:r w:rsidRPr="00FD40B8">
        <w:rPr>
          <w:color w:val="131727" w:themeColor="text1"/>
          <w:spacing w:val="-4"/>
          <w:w w:val="110"/>
          <w:sz w:val="20"/>
        </w:rPr>
        <w:t xml:space="preserve"> </w:t>
      </w:r>
      <w:r w:rsidRPr="00FD40B8">
        <w:rPr>
          <w:color w:val="131727" w:themeColor="text1"/>
          <w:w w:val="110"/>
          <w:sz w:val="20"/>
        </w:rPr>
        <w:t>for</w:t>
      </w:r>
      <w:r w:rsidRPr="00FD40B8">
        <w:rPr>
          <w:color w:val="131727" w:themeColor="text1"/>
          <w:spacing w:val="-3"/>
          <w:w w:val="110"/>
          <w:sz w:val="20"/>
        </w:rPr>
        <w:t xml:space="preserve"> </w:t>
      </w:r>
      <w:r w:rsidRPr="00FD40B8">
        <w:rPr>
          <w:color w:val="131727" w:themeColor="text1"/>
          <w:w w:val="110"/>
          <w:sz w:val="20"/>
        </w:rPr>
        <w:t>the</w:t>
      </w:r>
      <w:r w:rsidRPr="00FD40B8">
        <w:rPr>
          <w:color w:val="131727" w:themeColor="text1"/>
          <w:spacing w:val="-1"/>
          <w:w w:val="110"/>
          <w:sz w:val="20"/>
        </w:rPr>
        <w:t xml:space="preserve"> </w:t>
      </w:r>
      <w:r w:rsidRPr="00FD40B8">
        <w:rPr>
          <w:color w:val="131727" w:themeColor="text1"/>
          <w:w w:val="110"/>
          <w:sz w:val="20"/>
        </w:rPr>
        <w:t>purposes of</w:t>
      </w:r>
      <w:r w:rsidRPr="00FD40B8">
        <w:rPr>
          <w:color w:val="131727" w:themeColor="text1"/>
          <w:spacing w:val="-4"/>
          <w:w w:val="110"/>
          <w:sz w:val="20"/>
        </w:rPr>
        <w:t xml:space="preserve"> </w:t>
      </w:r>
      <w:r w:rsidRPr="00FD40B8">
        <w:rPr>
          <w:color w:val="131727" w:themeColor="text1"/>
          <w:w w:val="110"/>
          <w:sz w:val="20"/>
        </w:rPr>
        <w:t>informing place-based</w:t>
      </w:r>
      <w:r w:rsidRPr="00FD40B8">
        <w:rPr>
          <w:color w:val="131727" w:themeColor="text1"/>
          <w:spacing w:val="-1"/>
          <w:w w:val="110"/>
          <w:sz w:val="20"/>
        </w:rPr>
        <w:t xml:space="preserve"> </w:t>
      </w:r>
      <w:r w:rsidRPr="00FD40B8">
        <w:rPr>
          <w:color w:val="131727" w:themeColor="text1"/>
          <w:w w:val="110"/>
          <w:sz w:val="20"/>
        </w:rPr>
        <w:t>partnerships between</w:t>
      </w:r>
      <w:r w:rsidRPr="00FD40B8">
        <w:rPr>
          <w:color w:val="131727" w:themeColor="text1"/>
          <w:spacing w:val="-1"/>
          <w:w w:val="110"/>
          <w:sz w:val="20"/>
        </w:rPr>
        <w:t xml:space="preserve"> </w:t>
      </w:r>
      <w:r w:rsidRPr="00FD40B8">
        <w:rPr>
          <w:color w:val="131727" w:themeColor="text1"/>
          <w:w w:val="110"/>
          <w:sz w:val="20"/>
        </w:rPr>
        <w:t>communities and governments and supporting communities’ own development priorities and decisions. However, these commitments have been met with little or no progress, are not incentivised nor appropriately resourced.</w:t>
      </w:r>
    </w:p>
    <w:p w14:paraId="73DC7B71" w14:textId="77777777" w:rsidR="00811887" w:rsidRPr="00FD40B8" w:rsidRDefault="00811887" w:rsidP="00811887">
      <w:pPr>
        <w:spacing w:line="266" w:lineRule="auto"/>
        <w:rPr>
          <w:rFonts w:ascii="Symbol" w:hAnsi="Symbol"/>
          <w:color w:val="131727" w:themeColor="text1"/>
          <w:sz w:val="20"/>
        </w:rPr>
        <w:sectPr w:rsidR="00811887" w:rsidRPr="00FD40B8" w:rsidSect="00811887">
          <w:pgSz w:w="11910" w:h="16840"/>
          <w:pgMar w:top="1320" w:right="720" w:bottom="1080" w:left="740" w:header="0" w:footer="885" w:gutter="0"/>
          <w:cols w:space="720"/>
        </w:sectPr>
      </w:pPr>
    </w:p>
    <w:p w14:paraId="6C7886E0" w14:textId="77777777" w:rsidR="00811887" w:rsidRPr="00FD40B8" w:rsidRDefault="00811887" w:rsidP="00FB2FE9">
      <w:pPr>
        <w:pStyle w:val="ListParagraph"/>
        <w:widowControl w:val="0"/>
        <w:numPr>
          <w:ilvl w:val="0"/>
          <w:numId w:val="68"/>
        </w:numPr>
        <w:tabs>
          <w:tab w:val="left" w:pos="1228"/>
        </w:tabs>
        <w:autoSpaceDE w:val="0"/>
        <w:autoSpaceDN w:val="0"/>
        <w:spacing w:before="93" w:after="0" w:line="266" w:lineRule="auto"/>
        <w:ind w:right="622"/>
        <w:contextualSpacing w:val="0"/>
        <w:rPr>
          <w:rFonts w:ascii="Symbol" w:hAnsi="Symbol"/>
          <w:color w:val="131727" w:themeColor="text1"/>
          <w:sz w:val="20"/>
        </w:rPr>
      </w:pPr>
      <w:r w:rsidRPr="00FD40B8">
        <w:rPr>
          <w:color w:val="131727" w:themeColor="text1"/>
          <w:w w:val="110"/>
          <w:sz w:val="20"/>
        </w:rPr>
        <w:lastRenderedPageBreak/>
        <w:t>A fundamentally new approach, properly resourced, is needed to support improved data collection and</w:t>
      </w:r>
      <w:r w:rsidRPr="00FD40B8">
        <w:rPr>
          <w:color w:val="131727" w:themeColor="text1"/>
          <w:spacing w:val="-1"/>
          <w:w w:val="110"/>
          <w:sz w:val="20"/>
        </w:rPr>
        <w:t xml:space="preserve"> </w:t>
      </w:r>
      <w:r w:rsidRPr="00FD40B8">
        <w:rPr>
          <w:color w:val="131727" w:themeColor="text1"/>
          <w:w w:val="110"/>
          <w:sz w:val="20"/>
        </w:rPr>
        <w:t>usage.</w:t>
      </w:r>
      <w:r w:rsidRPr="00FD40B8">
        <w:rPr>
          <w:color w:val="131727" w:themeColor="text1"/>
          <w:spacing w:val="-1"/>
          <w:w w:val="110"/>
          <w:sz w:val="20"/>
        </w:rPr>
        <w:t xml:space="preserve"> </w:t>
      </w:r>
      <w:r w:rsidRPr="00FD40B8">
        <w:rPr>
          <w:color w:val="131727" w:themeColor="text1"/>
          <w:w w:val="110"/>
          <w:sz w:val="20"/>
        </w:rPr>
        <w:t>Equity</w:t>
      </w:r>
      <w:r w:rsidRPr="00FD40B8">
        <w:rPr>
          <w:color w:val="131727" w:themeColor="text1"/>
          <w:spacing w:val="-3"/>
          <w:w w:val="110"/>
          <w:sz w:val="20"/>
        </w:rPr>
        <w:t xml:space="preserve"> </w:t>
      </w:r>
      <w:r w:rsidRPr="00FD40B8">
        <w:rPr>
          <w:color w:val="131727" w:themeColor="text1"/>
          <w:w w:val="110"/>
          <w:sz w:val="20"/>
        </w:rPr>
        <w:t>Economics</w:t>
      </w:r>
      <w:r w:rsidRPr="00FD40B8">
        <w:rPr>
          <w:color w:val="131727" w:themeColor="text1"/>
          <w:spacing w:val="-2"/>
          <w:w w:val="110"/>
          <w:sz w:val="20"/>
        </w:rPr>
        <w:t xml:space="preserve"> </w:t>
      </w:r>
      <w:r w:rsidRPr="00FD40B8">
        <w:rPr>
          <w:color w:val="131727" w:themeColor="text1"/>
          <w:w w:val="110"/>
          <w:sz w:val="20"/>
        </w:rPr>
        <w:t>is not</w:t>
      </w:r>
      <w:r w:rsidRPr="00FD40B8">
        <w:rPr>
          <w:color w:val="131727" w:themeColor="text1"/>
          <w:spacing w:val="-1"/>
          <w:w w:val="110"/>
          <w:sz w:val="20"/>
        </w:rPr>
        <w:t xml:space="preserve"> </w:t>
      </w:r>
      <w:r w:rsidRPr="00FD40B8">
        <w:rPr>
          <w:color w:val="131727" w:themeColor="text1"/>
          <w:w w:val="110"/>
          <w:sz w:val="20"/>
        </w:rPr>
        <w:t>persuaded</w:t>
      </w:r>
      <w:r w:rsidRPr="00FD40B8">
        <w:rPr>
          <w:color w:val="131727" w:themeColor="text1"/>
          <w:spacing w:val="-1"/>
          <w:w w:val="110"/>
          <w:sz w:val="20"/>
        </w:rPr>
        <w:t xml:space="preserve"> </w:t>
      </w:r>
      <w:r w:rsidRPr="00FD40B8">
        <w:rPr>
          <w:color w:val="131727" w:themeColor="text1"/>
          <w:w w:val="110"/>
          <w:sz w:val="20"/>
        </w:rPr>
        <w:t>that existing</w:t>
      </w:r>
      <w:r w:rsidRPr="00FD40B8">
        <w:rPr>
          <w:color w:val="131727" w:themeColor="text1"/>
          <w:spacing w:val="-1"/>
          <w:w w:val="110"/>
          <w:sz w:val="20"/>
        </w:rPr>
        <w:t xml:space="preserve"> </w:t>
      </w:r>
      <w:r w:rsidRPr="00FD40B8">
        <w:rPr>
          <w:color w:val="131727" w:themeColor="text1"/>
          <w:w w:val="110"/>
          <w:sz w:val="20"/>
        </w:rPr>
        <w:t>commitments</w:t>
      </w:r>
      <w:r w:rsidRPr="00FD40B8">
        <w:rPr>
          <w:color w:val="131727" w:themeColor="text1"/>
          <w:spacing w:val="-4"/>
          <w:w w:val="110"/>
          <w:sz w:val="20"/>
        </w:rPr>
        <w:t xml:space="preserve"> </w:t>
      </w:r>
      <w:r w:rsidRPr="00FD40B8">
        <w:rPr>
          <w:color w:val="131727" w:themeColor="text1"/>
          <w:w w:val="110"/>
          <w:sz w:val="20"/>
        </w:rPr>
        <w:t>and efforts, including a comprehensive audit of existing data sets in relation to housing, will substantially address current deficiencies.</w:t>
      </w:r>
    </w:p>
    <w:p w14:paraId="66DB1DB5" w14:textId="77777777" w:rsidR="00811887" w:rsidRPr="00FD40B8" w:rsidRDefault="00811887" w:rsidP="00811887">
      <w:pPr>
        <w:pStyle w:val="BodyText"/>
        <w:spacing w:before="42"/>
        <w:rPr>
          <w:color w:val="131727" w:themeColor="text1"/>
        </w:rPr>
      </w:pPr>
    </w:p>
    <w:p w14:paraId="7F0F9CF7" w14:textId="77777777" w:rsidR="00811887" w:rsidRPr="00FD40B8" w:rsidRDefault="00811887" w:rsidP="00811887">
      <w:pPr>
        <w:pStyle w:val="Heading8"/>
        <w:rPr>
          <w:color w:val="131727" w:themeColor="text1"/>
        </w:rPr>
      </w:pPr>
      <w:r w:rsidRPr="00FD40B8">
        <w:rPr>
          <w:color w:val="131727" w:themeColor="text1"/>
          <w:spacing w:val="-2"/>
        </w:rPr>
        <w:t>Recommendations:</w:t>
      </w:r>
    </w:p>
    <w:p w14:paraId="1505A55F" w14:textId="77777777" w:rsidR="00811887" w:rsidRPr="00FD40B8" w:rsidRDefault="00811887" w:rsidP="00FB2FE9">
      <w:pPr>
        <w:pStyle w:val="ListParagraph"/>
        <w:widowControl w:val="0"/>
        <w:numPr>
          <w:ilvl w:val="0"/>
          <w:numId w:val="68"/>
        </w:numPr>
        <w:tabs>
          <w:tab w:val="left" w:pos="1228"/>
        </w:tabs>
        <w:autoSpaceDE w:val="0"/>
        <w:autoSpaceDN w:val="0"/>
        <w:spacing w:before="183" w:after="0" w:line="268" w:lineRule="auto"/>
        <w:ind w:right="638"/>
        <w:contextualSpacing w:val="0"/>
        <w:rPr>
          <w:rFonts w:ascii="Symbol" w:hAnsi="Symbol"/>
          <w:color w:val="131727" w:themeColor="text1"/>
          <w:sz w:val="20"/>
        </w:rPr>
      </w:pPr>
      <w:r w:rsidRPr="00FD40B8">
        <w:rPr>
          <w:color w:val="131727" w:themeColor="text1"/>
          <w:w w:val="110"/>
          <w:sz w:val="20"/>
        </w:rPr>
        <w:t>Equity</w:t>
      </w:r>
      <w:r w:rsidRPr="00FD40B8">
        <w:rPr>
          <w:color w:val="131727" w:themeColor="text1"/>
          <w:spacing w:val="-3"/>
          <w:w w:val="110"/>
          <w:sz w:val="20"/>
        </w:rPr>
        <w:t xml:space="preserve"> </w:t>
      </w:r>
      <w:r w:rsidRPr="00FD40B8">
        <w:rPr>
          <w:color w:val="131727" w:themeColor="text1"/>
          <w:w w:val="110"/>
          <w:sz w:val="20"/>
        </w:rPr>
        <w:t>Economics proposes the</w:t>
      </w:r>
      <w:r w:rsidRPr="00FD40B8">
        <w:rPr>
          <w:color w:val="131727" w:themeColor="text1"/>
          <w:spacing w:val="-6"/>
          <w:w w:val="110"/>
          <w:sz w:val="20"/>
        </w:rPr>
        <w:t xml:space="preserve"> </w:t>
      </w:r>
      <w:r w:rsidRPr="00FD40B8">
        <w:rPr>
          <w:color w:val="131727" w:themeColor="text1"/>
          <w:w w:val="110"/>
          <w:sz w:val="20"/>
        </w:rPr>
        <w:t>Commonwealth Government</w:t>
      </w:r>
      <w:r w:rsidRPr="00FD40B8">
        <w:rPr>
          <w:color w:val="131727" w:themeColor="text1"/>
          <w:spacing w:val="-6"/>
          <w:w w:val="110"/>
          <w:sz w:val="20"/>
        </w:rPr>
        <w:t xml:space="preserve"> </w:t>
      </w:r>
      <w:r w:rsidRPr="00FD40B8">
        <w:rPr>
          <w:color w:val="131727" w:themeColor="text1"/>
          <w:w w:val="110"/>
          <w:sz w:val="20"/>
        </w:rPr>
        <w:t>invest</w:t>
      </w:r>
      <w:r w:rsidRPr="00FD40B8">
        <w:rPr>
          <w:color w:val="131727" w:themeColor="text1"/>
          <w:spacing w:val="-6"/>
          <w:w w:val="110"/>
          <w:sz w:val="20"/>
        </w:rPr>
        <w:t xml:space="preserve"> </w:t>
      </w:r>
      <w:r w:rsidRPr="00FD40B8">
        <w:rPr>
          <w:color w:val="131727" w:themeColor="text1"/>
          <w:w w:val="110"/>
          <w:sz w:val="20"/>
        </w:rPr>
        <w:t>in a</w:t>
      </w:r>
      <w:r w:rsidRPr="00FD40B8">
        <w:rPr>
          <w:color w:val="131727" w:themeColor="text1"/>
          <w:spacing w:val="-1"/>
          <w:w w:val="110"/>
          <w:sz w:val="20"/>
        </w:rPr>
        <w:t xml:space="preserve"> </w:t>
      </w:r>
      <w:r w:rsidRPr="00FD40B8">
        <w:rPr>
          <w:color w:val="131727" w:themeColor="text1"/>
          <w:w w:val="110"/>
          <w:sz w:val="20"/>
        </w:rPr>
        <w:t>National Aboriginal and Torres Strait Islander Housing Data Register (Register). Not unlike the National Disability Data Asset, the register could be negotiated and agreed as part of the new Housing and Homelessness Agreement (NHHA), with state and territory governments contributing to its establishment and ongoing data</w:t>
      </w:r>
      <w:r w:rsidRPr="00FD40B8">
        <w:rPr>
          <w:color w:val="131727" w:themeColor="text1"/>
          <w:spacing w:val="-5"/>
          <w:w w:val="110"/>
          <w:sz w:val="20"/>
        </w:rPr>
        <w:t xml:space="preserve"> </w:t>
      </w:r>
      <w:r w:rsidRPr="00FD40B8">
        <w:rPr>
          <w:color w:val="131727" w:themeColor="text1"/>
          <w:w w:val="110"/>
          <w:sz w:val="20"/>
        </w:rPr>
        <w:t>provision. The register</w:t>
      </w:r>
      <w:r w:rsidRPr="00FD40B8">
        <w:rPr>
          <w:color w:val="131727" w:themeColor="text1"/>
          <w:spacing w:val="-1"/>
          <w:w w:val="110"/>
          <w:sz w:val="20"/>
        </w:rPr>
        <w:t xml:space="preserve"> </w:t>
      </w:r>
      <w:r w:rsidRPr="00FD40B8">
        <w:rPr>
          <w:color w:val="131727" w:themeColor="text1"/>
          <w:w w:val="110"/>
          <w:sz w:val="20"/>
        </w:rPr>
        <w:t>should be</w:t>
      </w:r>
      <w:r w:rsidRPr="00FD40B8">
        <w:rPr>
          <w:color w:val="131727" w:themeColor="text1"/>
          <w:spacing w:val="-3"/>
          <w:w w:val="110"/>
          <w:sz w:val="20"/>
        </w:rPr>
        <w:t xml:space="preserve"> </w:t>
      </w:r>
      <w:r w:rsidRPr="00FD40B8">
        <w:rPr>
          <w:color w:val="131727" w:themeColor="text1"/>
          <w:w w:val="110"/>
          <w:sz w:val="20"/>
        </w:rPr>
        <w:t>informed by new</w:t>
      </w:r>
      <w:r w:rsidRPr="00FD40B8">
        <w:rPr>
          <w:color w:val="131727" w:themeColor="text1"/>
          <w:spacing w:val="-1"/>
          <w:w w:val="110"/>
          <w:sz w:val="20"/>
        </w:rPr>
        <w:t xml:space="preserve"> </w:t>
      </w:r>
      <w:r w:rsidRPr="00FD40B8">
        <w:rPr>
          <w:color w:val="131727" w:themeColor="text1"/>
          <w:w w:val="110"/>
          <w:sz w:val="20"/>
        </w:rPr>
        <w:t>and existing data collections, in particular:</w:t>
      </w:r>
    </w:p>
    <w:p w14:paraId="14A5E7E2" w14:textId="77777777" w:rsidR="00811887" w:rsidRPr="00FD40B8" w:rsidRDefault="00811887" w:rsidP="00811887">
      <w:pPr>
        <w:pStyle w:val="BodyText"/>
        <w:tabs>
          <w:tab w:val="left" w:pos="1948"/>
        </w:tabs>
        <w:spacing w:before="111" w:line="268" w:lineRule="auto"/>
        <w:ind w:left="1948" w:right="706"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improved performance reporting and</w:t>
      </w:r>
      <w:r w:rsidRPr="00FD40B8">
        <w:rPr>
          <w:color w:val="131727" w:themeColor="text1"/>
          <w:spacing w:val="-2"/>
          <w:w w:val="110"/>
        </w:rPr>
        <w:t xml:space="preserve"> </w:t>
      </w:r>
      <w:r w:rsidRPr="00FD40B8">
        <w:rPr>
          <w:color w:val="131727" w:themeColor="text1"/>
          <w:w w:val="110"/>
        </w:rPr>
        <w:t>state</w:t>
      </w:r>
      <w:r w:rsidRPr="00FD40B8">
        <w:rPr>
          <w:color w:val="131727" w:themeColor="text1"/>
          <w:spacing w:val="-6"/>
          <w:w w:val="110"/>
        </w:rPr>
        <w:t xml:space="preserve"> </w:t>
      </w:r>
      <w:r w:rsidRPr="00FD40B8">
        <w:rPr>
          <w:color w:val="131727" w:themeColor="text1"/>
          <w:w w:val="110"/>
        </w:rPr>
        <w:t>and territory government held</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2"/>
          <w:w w:val="110"/>
        </w:rPr>
        <w:t xml:space="preserve"> </w:t>
      </w:r>
      <w:r w:rsidRPr="00FD40B8">
        <w:rPr>
          <w:color w:val="131727" w:themeColor="text1"/>
          <w:w w:val="110"/>
        </w:rPr>
        <w:t xml:space="preserve">sharing as part of the NHHA and the new Remote Housing Northern Territory Partnership </w:t>
      </w:r>
      <w:r w:rsidRPr="00FD40B8">
        <w:rPr>
          <w:color w:val="131727" w:themeColor="text1"/>
          <w:spacing w:val="-2"/>
          <w:w w:val="110"/>
        </w:rPr>
        <w:t>Agreement;</w:t>
      </w:r>
    </w:p>
    <w:p w14:paraId="3BBD8FAF" w14:textId="77777777" w:rsidR="00811887" w:rsidRPr="00FD40B8" w:rsidRDefault="00811887" w:rsidP="00811887">
      <w:pPr>
        <w:pStyle w:val="BodyText"/>
        <w:tabs>
          <w:tab w:val="left" w:pos="1948"/>
        </w:tabs>
        <w:spacing w:before="122" w:line="266" w:lineRule="auto"/>
        <w:ind w:left="1948" w:right="1089"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a redesigned CHINS survey, which takes into account the limitations of the earlier iterations of CHINS,</w:t>
      </w:r>
      <w:r w:rsidRPr="00FD40B8">
        <w:rPr>
          <w:color w:val="131727" w:themeColor="text1"/>
          <w:spacing w:val="-4"/>
          <w:w w:val="110"/>
        </w:rPr>
        <w:t xml:space="preserve"> </w:t>
      </w:r>
      <w:r w:rsidRPr="00FD40B8">
        <w:rPr>
          <w:color w:val="131727" w:themeColor="text1"/>
          <w:w w:val="110"/>
        </w:rPr>
        <w:t>subsequent advancements</w:t>
      </w:r>
      <w:r w:rsidRPr="00FD40B8">
        <w:rPr>
          <w:color w:val="131727" w:themeColor="text1"/>
          <w:spacing w:val="-2"/>
          <w:w w:val="110"/>
        </w:rPr>
        <w:t xml:space="preserve"> </w:t>
      </w:r>
      <w:r w:rsidRPr="00FD40B8">
        <w:rPr>
          <w:color w:val="131727" w:themeColor="text1"/>
          <w:w w:val="110"/>
        </w:rPr>
        <w:t>in data</w:t>
      </w:r>
      <w:r w:rsidRPr="00FD40B8">
        <w:rPr>
          <w:color w:val="131727" w:themeColor="text1"/>
          <w:spacing w:val="-6"/>
          <w:w w:val="110"/>
        </w:rPr>
        <w:t xml:space="preserve"> </w:t>
      </w:r>
      <w:r w:rsidRPr="00FD40B8">
        <w:rPr>
          <w:color w:val="131727" w:themeColor="text1"/>
          <w:w w:val="110"/>
        </w:rPr>
        <w:t>collection and</w:t>
      </w:r>
      <w:r w:rsidRPr="00FD40B8">
        <w:rPr>
          <w:color w:val="131727" w:themeColor="text1"/>
          <w:spacing w:val="-4"/>
          <w:w w:val="110"/>
        </w:rPr>
        <w:t xml:space="preserve"> </w:t>
      </w:r>
      <w:r w:rsidRPr="00FD40B8">
        <w:rPr>
          <w:color w:val="131727" w:themeColor="text1"/>
          <w:w w:val="110"/>
        </w:rPr>
        <w:t>includes</w:t>
      </w:r>
      <w:r w:rsidRPr="00FD40B8">
        <w:rPr>
          <w:color w:val="131727" w:themeColor="text1"/>
          <w:spacing w:val="-2"/>
          <w:w w:val="110"/>
        </w:rPr>
        <w:t xml:space="preserve"> </w:t>
      </w:r>
      <w:r w:rsidRPr="00FD40B8">
        <w:rPr>
          <w:color w:val="131727" w:themeColor="text1"/>
          <w:w w:val="110"/>
        </w:rPr>
        <w:t>new measures important to the sustainability of remote housing and communities;</w:t>
      </w:r>
    </w:p>
    <w:p w14:paraId="723E0A75" w14:textId="77777777" w:rsidR="00811887" w:rsidRPr="00FD40B8" w:rsidRDefault="00811887" w:rsidP="00811887">
      <w:pPr>
        <w:pStyle w:val="BodyText"/>
        <w:tabs>
          <w:tab w:val="left" w:pos="1948"/>
        </w:tabs>
        <w:spacing w:before="123" w:line="266" w:lineRule="auto"/>
        <w:ind w:left="1948" w:right="780"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rapid assessments of homelessness and overcrowding in remote hotspot areas to support</w:t>
      </w:r>
      <w:r w:rsidRPr="00FD40B8">
        <w:rPr>
          <w:color w:val="131727" w:themeColor="text1"/>
          <w:spacing w:val="-3"/>
          <w:w w:val="110"/>
        </w:rPr>
        <w:t xml:space="preserve"> </w:t>
      </w:r>
      <w:r w:rsidRPr="00FD40B8">
        <w:rPr>
          <w:color w:val="131727" w:themeColor="text1"/>
          <w:w w:val="110"/>
        </w:rPr>
        <w:t>new</w:t>
      </w:r>
      <w:r w:rsidRPr="00FD40B8">
        <w:rPr>
          <w:color w:val="131727" w:themeColor="text1"/>
          <w:spacing w:val="-5"/>
          <w:w w:val="110"/>
        </w:rPr>
        <w:t xml:space="preserve"> </w:t>
      </w:r>
      <w:r w:rsidRPr="00FD40B8">
        <w:rPr>
          <w:color w:val="131727" w:themeColor="text1"/>
          <w:w w:val="110"/>
        </w:rPr>
        <w:t>projects</w:t>
      </w:r>
      <w:r w:rsidRPr="00FD40B8">
        <w:rPr>
          <w:color w:val="131727" w:themeColor="text1"/>
          <w:spacing w:val="-1"/>
          <w:w w:val="110"/>
        </w:rPr>
        <w:t xml:space="preserve"> </w:t>
      </w:r>
      <w:r w:rsidRPr="00FD40B8">
        <w:rPr>
          <w:color w:val="131727" w:themeColor="text1"/>
          <w:w w:val="110"/>
        </w:rPr>
        <w:t>funded</w:t>
      </w:r>
      <w:r w:rsidRPr="00FD40B8">
        <w:rPr>
          <w:color w:val="131727" w:themeColor="text1"/>
          <w:spacing w:val="-3"/>
          <w:w w:val="110"/>
        </w:rPr>
        <w:t xml:space="preserve"> </w:t>
      </w:r>
      <w:r w:rsidRPr="00FD40B8">
        <w:rPr>
          <w:color w:val="131727" w:themeColor="text1"/>
          <w:w w:val="110"/>
        </w:rPr>
        <w:t>by</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commonwealth</w:t>
      </w:r>
      <w:r w:rsidRPr="00FD40B8">
        <w:rPr>
          <w:color w:val="131727" w:themeColor="text1"/>
          <w:spacing w:val="-6"/>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8"/>
          <w:w w:val="110"/>
        </w:rPr>
        <w:t xml:space="preserve"> </w:t>
      </w:r>
      <w:r w:rsidRPr="00FD40B8">
        <w:rPr>
          <w:color w:val="131727" w:themeColor="text1"/>
          <w:w w:val="110"/>
        </w:rPr>
        <w:t>relevant</w:t>
      </w:r>
      <w:r w:rsidRPr="00FD40B8">
        <w:rPr>
          <w:color w:val="131727" w:themeColor="text1"/>
          <w:spacing w:val="-4"/>
          <w:w w:val="110"/>
        </w:rPr>
        <w:t xml:space="preserve"> </w:t>
      </w:r>
      <w:r w:rsidRPr="00FD40B8">
        <w:rPr>
          <w:color w:val="131727" w:themeColor="text1"/>
          <w:w w:val="110"/>
        </w:rPr>
        <w:t>state</w:t>
      </w:r>
      <w:r w:rsidRPr="00FD40B8">
        <w:rPr>
          <w:color w:val="131727" w:themeColor="text1"/>
          <w:spacing w:val="-7"/>
          <w:w w:val="110"/>
        </w:rPr>
        <w:t xml:space="preserve"> </w:t>
      </w:r>
      <w:r w:rsidRPr="00FD40B8">
        <w:rPr>
          <w:color w:val="131727" w:themeColor="text1"/>
          <w:w w:val="110"/>
        </w:rPr>
        <w:t>or</w:t>
      </w:r>
      <w:r w:rsidRPr="00FD40B8">
        <w:rPr>
          <w:color w:val="131727" w:themeColor="text1"/>
          <w:spacing w:val="-5"/>
          <w:w w:val="110"/>
        </w:rPr>
        <w:t xml:space="preserve"> </w:t>
      </w:r>
      <w:r w:rsidRPr="00FD40B8">
        <w:rPr>
          <w:color w:val="131727" w:themeColor="text1"/>
          <w:w w:val="110"/>
        </w:rPr>
        <w:t>territory government; and</w:t>
      </w:r>
    </w:p>
    <w:p w14:paraId="51241B32" w14:textId="77777777" w:rsidR="00811887" w:rsidRPr="00FD40B8" w:rsidRDefault="00811887" w:rsidP="00811887">
      <w:pPr>
        <w:pStyle w:val="BodyText"/>
        <w:tabs>
          <w:tab w:val="left" w:pos="1948"/>
        </w:tabs>
        <w:spacing w:before="123"/>
        <w:ind w:left="1589"/>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existing</w:t>
      </w:r>
      <w:r w:rsidRPr="00FD40B8">
        <w:rPr>
          <w:color w:val="131727" w:themeColor="text1"/>
          <w:spacing w:val="-4"/>
          <w:w w:val="110"/>
        </w:rPr>
        <w:t xml:space="preserve"> </w:t>
      </w:r>
      <w:r w:rsidRPr="00FD40B8">
        <w:rPr>
          <w:color w:val="131727" w:themeColor="text1"/>
          <w:w w:val="110"/>
        </w:rPr>
        <w:t>ABS</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AIHW</w:t>
      </w:r>
      <w:r w:rsidRPr="00FD40B8">
        <w:rPr>
          <w:color w:val="131727" w:themeColor="text1"/>
          <w:spacing w:val="-6"/>
          <w:w w:val="110"/>
        </w:rPr>
        <w:t xml:space="preserve"> </w:t>
      </w:r>
      <w:r w:rsidRPr="00FD40B8">
        <w:rPr>
          <w:color w:val="131727" w:themeColor="text1"/>
          <w:w w:val="110"/>
        </w:rPr>
        <w:t>held</w:t>
      </w:r>
      <w:r w:rsidRPr="00FD40B8">
        <w:rPr>
          <w:color w:val="131727" w:themeColor="text1"/>
          <w:spacing w:val="-9"/>
          <w:w w:val="110"/>
        </w:rPr>
        <w:t xml:space="preserve"> </w:t>
      </w:r>
      <w:r w:rsidRPr="00FD40B8">
        <w:rPr>
          <w:color w:val="131727" w:themeColor="text1"/>
          <w:w w:val="110"/>
        </w:rPr>
        <w:t>information</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spacing w:val="-2"/>
          <w:w w:val="110"/>
        </w:rPr>
        <w:t>collections.</w:t>
      </w:r>
    </w:p>
    <w:p w14:paraId="71342E32" w14:textId="77777777" w:rsidR="00811887" w:rsidRPr="00FD40B8" w:rsidRDefault="00811887" w:rsidP="00FB2FE9">
      <w:pPr>
        <w:pStyle w:val="ListParagraph"/>
        <w:widowControl w:val="0"/>
        <w:numPr>
          <w:ilvl w:val="0"/>
          <w:numId w:val="68"/>
        </w:numPr>
        <w:tabs>
          <w:tab w:val="left" w:pos="1228"/>
        </w:tabs>
        <w:autoSpaceDE w:val="0"/>
        <w:autoSpaceDN w:val="0"/>
        <w:spacing w:before="139" w:after="0" w:line="266" w:lineRule="auto"/>
        <w:ind w:right="572"/>
        <w:contextualSpacing w:val="0"/>
        <w:rPr>
          <w:rFonts w:ascii="Symbol" w:hAnsi="Symbol"/>
          <w:color w:val="131727" w:themeColor="text1"/>
          <w:sz w:val="20"/>
        </w:rPr>
      </w:pPr>
      <w:r w:rsidRPr="00FD40B8">
        <w:rPr>
          <w:color w:val="131727" w:themeColor="text1"/>
          <w:w w:val="110"/>
          <w:sz w:val="20"/>
        </w:rPr>
        <w:t>The Register and associated data and information contributions should be developed in partnership between governments and the Coalition of the Peaks, be administered by the ABS, and</w:t>
      </w:r>
      <w:r w:rsidRPr="00FD40B8">
        <w:rPr>
          <w:color w:val="131727" w:themeColor="text1"/>
          <w:spacing w:val="-2"/>
          <w:w w:val="110"/>
          <w:sz w:val="20"/>
        </w:rPr>
        <w:t xml:space="preserve"> </w:t>
      </w:r>
      <w:r w:rsidRPr="00FD40B8">
        <w:rPr>
          <w:color w:val="131727" w:themeColor="text1"/>
          <w:w w:val="110"/>
          <w:sz w:val="20"/>
        </w:rPr>
        <w:t>give</w:t>
      </w:r>
      <w:r w:rsidRPr="00FD40B8">
        <w:rPr>
          <w:color w:val="131727" w:themeColor="text1"/>
          <w:spacing w:val="-2"/>
          <w:w w:val="110"/>
          <w:sz w:val="20"/>
        </w:rPr>
        <w:t xml:space="preserve"> </w:t>
      </w:r>
      <w:r w:rsidRPr="00FD40B8">
        <w:rPr>
          <w:color w:val="131727" w:themeColor="text1"/>
          <w:w w:val="110"/>
          <w:sz w:val="20"/>
        </w:rPr>
        <w:t>effect</w:t>
      </w:r>
      <w:r w:rsidRPr="00FD40B8">
        <w:rPr>
          <w:color w:val="131727" w:themeColor="text1"/>
          <w:spacing w:val="-2"/>
          <w:w w:val="110"/>
          <w:sz w:val="20"/>
        </w:rPr>
        <w:t xml:space="preserve"> </w:t>
      </w:r>
      <w:r w:rsidRPr="00FD40B8">
        <w:rPr>
          <w:color w:val="131727" w:themeColor="text1"/>
          <w:w w:val="110"/>
          <w:sz w:val="20"/>
        </w:rPr>
        <w:t>to</w:t>
      </w:r>
      <w:r w:rsidRPr="00FD40B8">
        <w:rPr>
          <w:color w:val="131727" w:themeColor="text1"/>
          <w:spacing w:val="-1"/>
          <w:w w:val="110"/>
          <w:sz w:val="20"/>
        </w:rPr>
        <w:t xml:space="preserve"> </w:t>
      </w:r>
      <w:r w:rsidRPr="00FD40B8">
        <w:rPr>
          <w:color w:val="131727" w:themeColor="text1"/>
          <w:w w:val="110"/>
          <w:sz w:val="20"/>
        </w:rPr>
        <w:t>government</w:t>
      </w:r>
      <w:r w:rsidRPr="00FD40B8">
        <w:rPr>
          <w:color w:val="131727" w:themeColor="text1"/>
          <w:spacing w:val="-7"/>
          <w:w w:val="110"/>
          <w:sz w:val="20"/>
        </w:rPr>
        <w:t xml:space="preserve"> </w:t>
      </w:r>
      <w:r w:rsidRPr="00FD40B8">
        <w:rPr>
          <w:color w:val="131727" w:themeColor="text1"/>
          <w:w w:val="110"/>
          <w:sz w:val="20"/>
        </w:rPr>
        <w:t>commitments</w:t>
      </w:r>
      <w:r w:rsidRPr="00FD40B8">
        <w:rPr>
          <w:color w:val="131727" w:themeColor="text1"/>
          <w:spacing w:val="-1"/>
          <w:w w:val="110"/>
          <w:sz w:val="20"/>
        </w:rPr>
        <w:t xml:space="preserve"> </w:t>
      </w:r>
      <w:r w:rsidRPr="00FD40B8">
        <w:rPr>
          <w:color w:val="131727" w:themeColor="text1"/>
          <w:w w:val="110"/>
          <w:sz w:val="20"/>
        </w:rPr>
        <w:t>under</w:t>
      </w:r>
      <w:r w:rsidRPr="00FD40B8">
        <w:rPr>
          <w:color w:val="131727" w:themeColor="text1"/>
          <w:spacing w:val="-4"/>
          <w:w w:val="110"/>
          <w:sz w:val="20"/>
        </w:rPr>
        <w:t xml:space="preserve"> </w:t>
      </w: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Closing</w:t>
      </w:r>
      <w:r w:rsidRPr="00FD40B8">
        <w:rPr>
          <w:color w:val="131727" w:themeColor="text1"/>
          <w:spacing w:val="-7"/>
          <w:w w:val="110"/>
          <w:sz w:val="20"/>
        </w:rPr>
        <w:t xml:space="preserve"> </w:t>
      </w: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Gap</w:t>
      </w:r>
      <w:r w:rsidRPr="00FD40B8">
        <w:rPr>
          <w:color w:val="131727" w:themeColor="text1"/>
          <w:spacing w:val="-2"/>
          <w:w w:val="110"/>
          <w:sz w:val="20"/>
        </w:rPr>
        <w:t xml:space="preserve"> </w:t>
      </w:r>
      <w:r w:rsidRPr="00FD40B8">
        <w:rPr>
          <w:color w:val="131727" w:themeColor="text1"/>
          <w:w w:val="110"/>
          <w:sz w:val="20"/>
        </w:rPr>
        <w:t>Agreement.</w:t>
      </w:r>
      <w:r w:rsidRPr="00FD40B8">
        <w:rPr>
          <w:color w:val="131727" w:themeColor="text1"/>
          <w:spacing w:val="-2"/>
          <w:w w:val="110"/>
          <w:sz w:val="20"/>
        </w:rPr>
        <w:t xml:space="preserve"> </w:t>
      </w: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Register should be accessible to communities and support place-based planning and partnerships.</w:t>
      </w:r>
    </w:p>
    <w:p w14:paraId="79DD169E" w14:textId="77777777" w:rsidR="00811887" w:rsidRPr="00FD40B8" w:rsidRDefault="00811887" w:rsidP="00FB2FE9">
      <w:pPr>
        <w:pStyle w:val="ListParagraph"/>
        <w:widowControl w:val="0"/>
        <w:numPr>
          <w:ilvl w:val="0"/>
          <w:numId w:val="68"/>
        </w:numPr>
        <w:tabs>
          <w:tab w:val="left" w:pos="1228"/>
        </w:tabs>
        <w:autoSpaceDE w:val="0"/>
        <w:autoSpaceDN w:val="0"/>
        <w:spacing w:before="115" w:after="0" w:line="266" w:lineRule="auto"/>
        <w:ind w:right="768"/>
        <w:contextualSpacing w:val="0"/>
        <w:rPr>
          <w:rFonts w:ascii="Symbol" w:hAnsi="Symbol"/>
          <w:color w:val="131727" w:themeColor="text1"/>
          <w:sz w:val="20"/>
        </w:rPr>
      </w:pPr>
      <w:r w:rsidRPr="00FD40B8">
        <w:rPr>
          <w:color w:val="131727" w:themeColor="text1"/>
          <w:w w:val="110"/>
          <w:sz w:val="20"/>
        </w:rPr>
        <w:t>Budget proposals for a redesigned CHINS and rapid assessments could be developed for the 2024-25</w:t>
      </w:r>
      <w:r w:rsidRPr="00FD40B8">
        <w:rPr>
          <w:color w:val="131727" w:themeColor="text1"/>
          <w:spacing w:val="-1"/>
          <w:w w:val="110"/>
          <w:sz w:val="20"/>
        </w:rPr>
        <w:t xml:space="preserve"> </w:t>
      </w:r>
      <w:r w:rsidRPr="00FD40B8">
        <w:rPr>
          <w:color w:val="131727" w:themeColor="text1"/>
          <w:w w:val="110"/>
          <w:sz w:val="20"/>
        </w:rPr>
        <w:t>Federal Budget</w:t>
      </w:r>
      <w:r w:rsidRPr="00FD40B8">
        <w:rPr>
          <w:color w:val="131727" w:themeColor="text1"/>
          <w:spacing w:val="-1"/>
          <w:w w:val="110"/>
          <w:sz w:val="20"/>
        </w:rPr>
        <w:t xml:space="preserve"> </w:t>
      </w:r>
      <w:r w:rsidRPr="00FD40B8">
        <w:rPr>
          <w:color w:val="131727" w:themeColor="text1"/>
          <w:w w:val="110"/>
          <w:sz w:val="20"/>
        </w:rPr>
        <w:t>and development</w:t>
      </w:r>
      <w:r w:rsidRPr="00FD40B8">
        <w:rPr>
          <w:color w:val="131727" w:themeColor="text1"/>
          <w:spacing w:val="-1"/>
          <w:w w:val="110"/>
          <w:sz w:val="20"/>
        </w:rPr>
        <w:t xml:space="preserve"> </w:t>
      </w:r>
      <w:r w:rsidRPr="00FD40B8">
        <w:rPr>
          <w:color w:val="131727" w:themeColor="text1"/>
          <w:w w:val="110"/>
          <w:sz w:val="20"/>
        </w:rPr>
        <w:t>of the</w:t>
      </w:r>
      <w:r w:rsidRPr="00FD40B8">
        <w:rPr>
          <w:color w:val="131727" w:themeColor="text1"/>
          <w:spacing w:val="-1"/>
          <w:w w:val="110"/>
          <w:sz w:val="20"/>
        </w:rPr>
        <w:t xml:space="preserve"> </w:t>
      </w:r>
      <w:r w:rsidRPr="00FD40B8">
        <w:rPr>
          <w:color w:val="131727" w:themeColor="text1"/>
          <w:w w:val="110"/>
          <w:sz w:val="20"/>
        </w:rPr>
        <w:t>Register</w:t>
      </w:r>
      <w:r w:rsidRPr="00FD40B8">
        <w:rPr>
          <w:color w:val="131727" w:themeColor="text1"/>
          <w:spacing w:val="-3"/>
          <w:w w:val="110"/>
          <w:sz w:val="20"/>
        </w:rPr>
        <w:t xml:space="preserve"> </w:t>
      </w:r>
      <w:r w:rsidRPr="00FD40B8">
        <w:rPr>
          <w:color w:val="131727" w:themeColor="text1"/>
          <w:w w:val="110"/>
          <w:sz w:val="20"/>
        </w:rPr>
        <w:t>could</w:t>
      </w:r>
      <w:r w:rsidRPr="00FD40B8">
        <w:rPr>
          <w:color w:val="131727" w:themeColor="text1"/>
          <w:spacing w:val="-6"/>
          <w:w w:val="110"/>
          <w:sz w:val="20"/>
        </w:rPr>
        <w:t xml:space="preserve"> </w:t>
      </w:r>
      <w:r w:rsidRPr="00FD40B8">
        <w:rPr>
          <w:color w:val="131727" w:themeColor="text1"/>
          <w:w w:val="110"/>
          <w:sz w:val="20"/>
        </w:rPr>
        <w:t>be</w:t>
      </w:r>
      <w:r w:rsidRPr="00FD40B8">
        <w:rPr>
          <w:color w:val="131727" w:themeColor="text1"/>
          <w:spacing w:val="-1"/>
          <w:w w:val="110"/>
          <w:sz w:val="20"/>
        </w:rPr>
        <w:t xml:space="preserve"> </w:t>
      </w:r>
      <w:r w:rsidRPr="00FD40B8">
        <w:rPr>
          <w:color w:val="131727" w:themeColor="text1"/>
          <w:w w:val="110"/>
          <w:sz w:val="20"/>
        </w:rPr>
        <w:t>considered</w:t>
      </w:r>
      <w:r w:rsidRPr="00FD40B8">
        <w:rPr>
          <w:color w:val="131727" w:themeColor="text1"/>
          <w:spacing w:val="-1"/>
          <w:w w:val="110"/>
          <w:sz w:val="20"/>
        </w:rPr>
        <w:t xml:space="preserve"> </w:t>
      </w:r>
      <w:r w:rsidRPr="00FD40B8">
        <w:rPr>
          <w:color w:val="131727" w:themeColor="text1"/>
          <w:w w:val="110"/>
          <w:sz w:val="20"/>
        </w:rPr>
        <w:t>in the following budget, to allow for negotiations with key parties.</w:t>
      </w:r>
    </w:p>
    <w:p w14:paraId="31B99F50" w14:textId="77777777" w:rsidR="00811887" w:rsidRPr="00FD40B8" w:rsidRDefault="00811887" w:rsidP="00FB2FE9">
      <w:pPr>
        <w:pStyle w:val="ListParagraph"/>
        <w:widowControl w:val="0"/>
        <w:numPr>
          <w:ilvl w:val="0"/>
          <w:numId w:val="68"/>
        </w:numPr>
        <w:tabs>
          <w:tab w:val="left" w:pos="1228"/>
        </w:tabs>
        <w:autoSpaceDE w:val="0"/>
        <w:autoSpaceDN w:val="0"/>
        <w:spacing w:before="112" w:after="0" w:line="266" w:lineRule="auto"/>
        <w:ind w:right="661"/>
        <w:contextualSpacing w:val="0"/>
        <w:rPr>
          <w:rFonts w:ascii="Symbol" w:hAnsi="Symbol"/>
          <w:color w:val="131727" w:themeColor="text1"/>
          <w:sz w:val="20"/>
        </w:rPr>
      </w:pPr>
      <w:r w:rsidRPr="00FD40B8">
        <w:rPr>
          <w:color w:val="131727" w:themeColor="text1"/>
          <w:w w:val="110"/>
          <w:sz w:val="20"/>
        </w:rPr>
        <w:t>Equity</w:t>
      </w:r>
      <w:r w:rsidRPr="00FD40B8">
        <w:rPr>
          <w:color w:val="131727" w:themeColor="text1"/>
          <w:spacing w:val="-1"/>
          <w:w w:val="110"/>
          <w:sz w:val="20"/>
        </w:rPr>
        <w:t xml:space="preserve"> </w:t>
      </w:r>
      <w:r w:rsidRPr="00FD40B8">
        <w:rPr>
          <w:color w:val="131727" w:themeColor="text1"/>
          <w:w w:val="110"/>
          <w:sz w:val="20"/>
        </w:rPr>
        <w:t>Economics was</w:t>
      </w:r>
      <w:r w:rsidRPr="00FD40B8">
        <w:rPr>
          <w:color w:val="131727" w:themeColor="text1"/>
          <w:spacing w:val="-2"/>
          <w:w w:val="110"/>
          <w:sz w:val="20"/>
        </w:rPr>
        <w:t xml:space="preserve"> </w:t>
      </w:r>
      <w:r w:rsidRPr="00FD40B8">
        <w:rPr>
          <w:color w:val="131727" w:themeColor="text1"/>
          <w:w w:val="110"/>
          <w:sz w:val="20"/>
        </w:rPr>
        <w:t>not asked</w:t>
      </w:r>
      <w:r w:rsidRPr="00FD40B8">
        <w:rPr>
          <w:color w:val="131727" w:themeColor="text1"/>
          <w:spacing w:val="-4"/>
          <w:w w:val="110"/>
          <w:sz w:val="20"/>
        </w:rPr>
        <w:t xml:space="preserve"> </w:t>
      </w:r>
      <w:r w:rsidRPr="00FD40B8">
        <w:rPr>
          <w:color w:val="131727" w:themeColor="text1"/>
          <w:w w:val="110"/>
          <w:sz w:val="20"/>
        </w:rPr>
        <w:t>to</w:t>
      </w:r>
      <w:r w:rsidRPr="00FD40B8">
        <w:rPr>
          <w:color w:val="131727" w:themeColor="text1"/>
          <w:spacing w:val="-2"/>
          <w:w w:val="110"/>
          <w:sz w:val="20"/>
        </w:rPr>
        <w:t xml:space="preserve"> </w:t>
      </w:r>
      <w:r w:rsidRPr="00FD40B8">
        <w:rPr>
          <w:color w:val="131727" w:themeColor="text1"/>
          <w:w w:val="110"/>
          <w:sz w:val="20"/>
        </w:rPr>
        <w:t>consider</w:t>
      </w:r>
      <w:r w:rsidRPr="00FD40B8">
        <w:rPr>
          <w:color w:val="131727" w:themeColor="text1"/>
          <w:spacing w:val="-1"/>
          <w:w w:val="110"/>
          <w:sz w:val="20"/>
        </w:rPr>
        <w:t xml:space="preserve"> </w:t>
      </w:r>
      <w:r w:rsidRPr="00FD40B8">
        <w:rPr>
          <w:color w:val="131727" w:themeColor="text1"/>
          <w:w w:val="110"/>
          <w:sz w:val="20"/>
        </w:rPr>
        <w:t>recommendations</w:t>
      </w:r>
      <w:r w:rsidRPr="00FD40B8">
        <w:rPr>
          <w:color w:val="131727" w:themeColor="text1"/>
          <w:spacing w:val="-2"/>
          <w:w w:val="110"/>
          <w:sz w:val="20"/>
        </w:rPr>
        <w:t xml:space="preserve"> </w:t>
      </w:r>
      <w:r w:rsidRPr="00FD40B8">
        <w:rPr>
          <w:color w:val="131727" w:themeColor="text1"/>
          <w:w w:val="110"/>
          <w:sz w:val="20"/>
        </w:rPr>
        <w:t>on</w:t>
      </w:r>
      <w:r w:rsidRPr="00FD40B8">
        <w:rPr>
          <w:color w:val="131727" w:themeColor="text1"/>
          <w:spacing w:val="-3"/>
          <w:w w:val="110"/>
          <w:sz w:val="20"/>
        </w:rPr>
        <w:t xml:space="preserve"> </w:t>
      </w:r>
      <w:r w:rsidRPr="00FD40B8">
        <w:rPr>
          <w:color w:val="131727" w:themeColor="text1"/>
          <w:w w:val="110"/>
          <w:sz w:val="20"/>
        </w:rPr>
        <w:t>investment in Aboriginal and Torres Strait Islander</w:t>
      </w:r>
      <w:r w:rsidRPr="00FD40B8">
        <w:rPr>
          <w:color w:val="131727" w:themeColor="text1"/>
          <w:spacing w:val="-1"/>
          <w:w w:val="110"/>
          <w:sz w:val="20"/>
        </w:rPr>
        <w:t xml:space="preserve"> </w:t>
      </w:r>
      <w:r w:rsidRPr="00FD40B8">
        <w:rPr>
          <w:color w:val="131727" w:themeColor="text1"/>
          <w:w w:val="110"/>
          <w:sz w:val="20"/>
        </w:rPr>
        <w:t>housing. However, we note that the need is significant, not just in the Northern Territory, and current effort is not sufficient,</w:t>
      </w:r>
      <w:r w:rsidRPr="00FD40B8">
        <w:rPr>
          <w:color w:val="131727" w:themeColor="text1"/>
          <w:spacing w:val="-4"/>
          <w:w w:val="110"/>
          <w:sz w:val="20"/>
        </w:rPr>
        <w:t xml:space="preserve"> </w:t>
      </w:r>
      <w:r w:rsidRPr="00FD40B8">
        <w:rPr>
          <w:color w:val="131727" w:themeColor="text1"/>
          <w:w w:val="110"/>
          <w:sz w:val="20"/>
        </w:rPr>
        <w:t xml:space="preserve">and allocation is not always based on </w:t>
      </w:r>
      <w:r w:rsidRPr="00FD40B8">
        <w:rPr>
          <w:color w:val="131727" w:themeColor="text1"/>
          <w:spacing w:val="-2"/>
          <w:w w:val="110"/>
          <w:sz w:val="20"/>
        </w:rPr>
        <w:t>need.</w:t>
      </w:r>
    </w:p>
    <w:p w14:paraId="392199E7" w14:textId="77777777" w:rsidR="00811887" w:rsidRPr="00FD40B8" w:rsidRDefault="00811887" w:rsidP="00811887">
      <w:pPr>
        <w:spacing w:line="266" w:lineRule="auto"/>
        <w:rPr>
          <w:rFonts w:ascii="Symbol" w:hAnsi="Symbol"/>
          <w:color w:val="131727" w:themeColor="text1"/>
          <w:sz w:val="20"/>
        </w:rPr>
        <w:sectPr w:rsidR="00811887" w:rsidRPr="00FD40B8" w:rsidSect="00811887">
          <w:pgSz w:w="11910" w:h="16840"/>
          <w:pgMar w:top="1320" w:right="720" w:bottom="1080" w:left="740" w:header="0" w:footer="885" w:gutter="0"/>
          <w:cols w:space="720"/>
        </w:sectPr>
      </w:pPr>
    </w:p>
    <w:p w14:paraId="591A0497"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sz w:val="2"/>
        </w:rPr>
        <w:lastRenderedPageBreak/>
        <mc:AlternateContent>
          <mc:Choice Requires="wpg">
            <w:drawing>
              <wp:inline distT="0" distB="0" distL="0" distR="0" wp14:anchorId="0CC43719" wp14:editId="5E827559">
                <wp:extent cx="6016625" cy="6350"/>
                <wp:effectExtent l="0" t="0" r="0" b="0"/>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26" name="Graphic 126"/>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063603A4" id="Group 125"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">
                <v:shape id="Graphic 126"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" path="m6016117,l,,,6096r6016117,l6016117,xe" fillcolor="#4d665b" stroked="f">
                  <v:path arrowok="t"/>
                </v:shape>
                <w10:anchorlock/>
              </v:group>
            </w:pict>
          </mc:Fallback>
        </mc:AlternateContent>
      </w:r>
    </w:p>
    <w:p w14:paraId="562EEE3E" w14:textId="77777777" w:rsidR="00811887" w:rsidRPr="00FD40B8" w:rsidRDefault="00811887" w:rsidP="00811887">
      <w:pPr>
        <w:pStyle w:val="Heading1"/>
        <w:rPr>
          <w:color w:val="131727" w:themeColor="text1"/>
        </w:rPr>
      </w:pPr>
      <w:bookmarkStart w:id="128" w:name="_bookmark17"/>
      <w:bookmarkEnd w:id="128"/>
      <w:r w:rsidRPr="00FD40B8">
        <w:rPr>
          <w:color w:val="131727" w:themeColor="text1"/>
        </w:rPr>
        <w:t>Housing</w:t>
      </w:r>
      <w:r w:rsidRPr="00FD40B8">
        <w:rPr>
          <w:color w:val="131727" w:themeColor="text1"/>
          <w:spacing w:val="17"/>
        </w:rPr>
        <w:t xml:space="preserve"> </w:t>
      </w:r>
      <w:r w:rsidRPr="00FD40B8">
        <w:rPr>
          <w:color w:val="131727" w:themeColor="text1"/>
        </w:rPr>
        <w:t>need</w:t>
      </w:r>
      <w:r w:rsidRPr="00FD40B8">
        <w:rPr>
          <w:color w:val="131727" w:themeColor="text1"/>
          <w:spacing w:val="14"/>
        </w:rPr>
        <w:t xml:space="preserve"> </w:t>
      </w:r>
      <w:r w:rsidRPr="00FD40B8">
        <w:rPr>
          <w:color w:val="131727" w:themeColor="text1"/>
          <w:spacing w:val="-2"/>
        </w:rPr>
        <w:t>analysis</w:t>
      </w:r>
    </w:p>
    <w:p w14:paraId="6176B51C" w14:textId="77777777" w:rsidR="00811887" w:rsidRPr="00FD40B8" w:rsidRDefault="00811887" w:rsidP="00811887">
      <w:pPr>
        <w:pStyle w:val="BodyText"/>
        <w:spacing w:before="92"/>
        <w:rPr>
          <w:rFonts w:ascii="Book Antiqua"/>
          <w:color w:val="131727" w:themeColor="text1"/>
        </w:rPr>
      </w:pPr>
      <w:r w:rsidRPr="00FD40B8">
        <w:rPr>
          <w:noProof/>
          <w:color w:val="131727" w:themeColor="text1"/>
        </w:rPr>
        <mc:AlternateContent>
          <mc:Choice Requires="wps">
            <w:drawing>
              <wp:anchor distT="0" distB="0" distL="0" distR="0" simplePos="0" relativeHeight="251736064" behindDoc="1" locked="0" layoutInCell="1" allowOverlap="1" wp14:anchorId="4DDCCB2C" wp14:editId="2A6B29C8">
                <wp:simplePos x="0" y="0"/>
                <wp:positionH relativeFrom="page">
                  <wp:posOffset>774496</wp:posOffset>
                </wp:positionH>
                <wp:positionV relativeFrom="paragraph">
                  <wp:posOffset>231728</wp:posOffset>
                </wp:positionV>
                <wp:extent cx="6016625" cy="6350"/>
                <wp:effectExtent l="0" t="0" r="0" b="0"/>
                <wp:wrapTopAndBottom/>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523FA8E8" id="Graphic 127" o:spid="_x0000_s1026" alt="&quot;&quot;" style="position:absolute;margin-left:61pt;margin-top:18.25pt;width:473.75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" path="m6016117,l,,,6096r6016117,l6016117,xe" fillcolor="#4d665b" stroked="f">
                <v:path arrowok="t"/>
                <w10:wrap type="topAndBottom" anchorx="page"/>
              </v:shape>
            </w:pict>
          </mc:Fallback>
        </mc:AlternateContent>
      </w:r>
    </w:p>
    <w:p w14:paraId="220EE54A" w14:textId="77777777" w:rsidR="00811887" w:rsidRPr="00FD40B8" w:rsidRDefault="00811887" w:rsidP="00811887">
      <w:pPr>
        <w:pStyle w:val="BodyText"/>
        <w:spacing w:before="96"/>
        <w:rPr>
          <w:rFonts w:ascii="Book Antiqua"/>
          <w:color w:val="131727" w:themeColor="text1"/>
          <w:sz w:val="22"/>
        </w:rPr>
      </w:pPr>
    </w:p>
    <w:p w14:paraId="307F13DD" w14:textId="77777777" w:rsidR="00811887" w:rsidRPr="00FD40B8" w:rsidRDefault="00811887" w:rsidP="00811887">
      <w:pPr>
        <w:spacing w:before="1" w:line="225" w:lineRule="auto"/>
        <w:ind w:left="508" w:right="598"/>
        <w:rPr>
          <w:rFonts w:ascii="Book Antiqua"/>
          <w:b/>
          <w:i/>
          <w:color w:val="131727" w:themeColor="text1"/>
        </w:rPr>
      </w:pPr>
      <w:r w:rsidRPr="00FD40B8">
        <w:rPr>
          <w:rFonts w:ascii="Book Antiqua"/>
          <w:b/>
          <w:i/>
          <w:color w:val="131727" w:themeColor="text1"/>
        </w:rPr>
        <w:t>This section outlines the importance of housing to the social and economic wellbeing of Aboriginal</w:t>
      </w:r>
      <w:r w:rsidRPr="00FD40B8">
        <w:rPr>
          <w:rFonts w:ascii="Book Antiqua"/>
          <w:b/>
          <w:i/>
          <w:color w:val="131727" w:themeColor="text1"/>
          <w:spacing w:val="-3"/>
        </w:rPr>
        <w:t xml:space="preserve"> </w:t>
      </w:r>
      <w:r w:rsidRPr="00FD40B8">
        <w:rPr>
          <w:rFonts w:ascii="Book Antiqua"/>
          <w:b/>
          <w:i/>
          <w:color w:val="131727" w:themeColor="text1"/>
        </w:rPr>
        <w:t>and</w:t>
      </w:r>
      <w:r w:rsidRPr="00FD40B8">
        <w:rPr>
          <w:rFonts w:ascii="Book Antiqua"/>
          <w:b/>
          <w:i/>
          <w:color w:val="131727" w:themeColor="text1"/>
          <w:spacing w:val="-4"/>
        </w:rPr>
        <w:t xml:space="preserve"> </w:t>
      </w:r>
      <w:r w:rsidRPr="00FD40B8">
        <w:rPr>
          <w:rFonts w:ascii="Book Antiqua"/>
          <w:b/>
          <w:i/>
          <w:color w:val="131727" w:themeColor="text1"/>
        </w:rPr>
        <w:t>Torres</w:t>
      </w:r>
      <w:r w:rsidRPr="00FD40B8">
        <w:rPr>
          <w:rFonts w:ascii="Book Antiqua"/>
          <w:b/>
          <w:i/>
          <w:color w:val="131727" w:themeColor="text1"/>
          <w:spacing w:val="-3"/>
        </w:rPr>
        <w:t xml:space="preserve"> </w:t>
      </w:r>
      <w:r w:rsidRPr="00FD40B8">
        <w:rPr>
          <w:rFonts w:ascii="Book Antiqua"/>
          <w:b/>
          <w:i/>
          <w:color w:val="131727" w:themeColor="text1"/>
        </w:rPr>
        <w:t>Strait</w:t>
      </w:r>
      <w:r w:rsidRPr="00FD40B8">
        <w:rPr>
          <w:rFonts w:ascii="Book Antiqua"/>
          <w:b/>
          <w:i/>
          <w:color w:val="131727" w:themeColor="text1"/>
          <w:spacing w:val="-5"/>
        </w:rPr>
        <w:t xml:space="preserve"> </w:t>
      </w:r>
      <w:r w:rsidRPr="00FD40B8">
        <w:rPr>
          <w:rFonts w:ascii="Book Antiqua"/>
          <w:b/>
          <w:i/>
          <w:color w:val="131727" w:themeColor="text1"/>
        </w:rPr>
        <w:t>Islander</w:t>
      </w:r>
      <w:r w:rsidRPr="00FD40B8">
        <w:rPr>
          <w:rFonts w:ascii="Book Antiqua"/>
          <w:b/>
          <w:i/>
          <w:color w:val="131727" w:themeColor="text1"/>
          <w:spacing w:val="-1"/>
        </w:rPr>
        <w:t xml:space="preserve"> </w:t>
      </w:r>
      <w:r w:rsidRPr="00FD40B8">
        <w:rPr>
          <w:rFonts w:ascii="Book Antiqua"/>
          <w:b/>
          <w:i/>
          <w:color w:val="131727" w:themeColor="text1"/>
        </w:rPr>
        <w:t>people</w:t>
      </w:r>
      <w:r w:rsidRPr="00FD40B8">
        <w:rPr>
          <w:rFonts w:ascii="Book Antiqua"/>
          <w:b/>
          <w:i/>
          <w:color w:val="131727" w:themeColor="text1"/>
          <w:spacing w:val="-1"/>
        </w:rPr>
        <w:t xml:space="preserve"> </w:t>
      </w:r>
      <w:r w:rsidRPr="00FD40B8">
        <w:rPr>
          <w:rFonts w:ascii="Book Antiqua"/>
          <w:b/>
          <w:i/>
          <w:color w:val="131727" w:themeColor="text1"/>
        </w:rPr>
        <w:t>and</w:t>
      </w:r>
      <w:r w:rsidRPr="00FD40B8">
        <w:rPr>
          <w:rFonts w:ascii="Book Antiqua"/>
          <w:b/>
          <w:i/>
          <w:color w:val="131727" w:themeColor="text1"/>
          <w:spacing w:val="-4"/>
        </w:rPr>
        <w:t xml:space="preserve"> </w:t>
      </w:r>
      <w:r w:rsidRPr="00FD40B8">
        <w:rPr>
          <w:rFonts w:ascii="Book Antiqua"/>
          <w:b/>
          <w:i/>
          <w:color w:val="131727" w:themeColor="text1"/>
        </w:rPr>
        <w:t>cost-effectiveness</w:t>
      </w:r>
      <w:r w:rsidRPr="00FD40B8">
        <w:rPr>
          <w:rFonts w:ascii="Book Antiqua"/>
          <w:b/>
          <w:i/>
          <w:color w:val="131727" w:themeColor="text1"/>
          <w:spacing w:val="-2"/>
        </w:rPr>
        <w:t xml:space="preserve"> </w:t>
      </w:r>
      <w:r w:rsidRPr="00FD40B8">
        <w:rPr>
          <w:rFonts w:ascii="Book Antiqua"/>
          <w:b/>
          <w:i/>
          <w:color w:val="131727" w:themeColor="text1"/>
        </w:rPr>
        <w:t>of</w:t>
      </w:r>
      <w:r w:rsidRPr="00FD40B8">
        <w:rPr>
          <w:rFonts w:ascii="Book Antiqua"/>
          <w:b/>
          <w:i/>
          <w:color w:val="131727" w:themeColor="text1"/>
          <w:spacing w:val="-3"/>
        </w:rPr>
        <w:t xml:space="preserve"> </w:t>
      </w:r>
      <w:r w:rsidRPr="00FD40B8">
        <w:rPr>
          <w:rFonts w:ascii="Book Antiqua"/>
          <w:b/>
          <w:i/>
          <w:color w:val="131727" w:themeColor="text1"/>
        </w:rPr>
        <w:t>housing</w:t>
      </w:r>
      <w:r w:rsidRPr="00FD40B8">
        <w:rPr>
          <w:rFonts w:ascii="Book Antiqua"/>
          <w:b/>
          <w:i/>
          <w:color w:val="131727" w:themeColor="text1"/>
          <w:spacing w:val="-6"/>
        </w:rPr>
        <w:t xml:space="preserve"> </w:t>
      </w:r>
      <w:r w:rsidRPr="00FD40B8">
        <w:rPr>
          <w:rFonts w:ascii="Book Antiqua"/>
          <w:b/>
          <w:i/>
          <w:color w:val="131727" w:themeColor="text1"/>
        </w:rPr>
        <w:t>investment. A minimum estimate of housing need for Aboriginal and Torres Strait Islander people using existing data sources is provided. Assessments of whether existing efforts by Australian governments to increase housing supply are likely to meet demand is also provided.</w:t>
      </w:r>
    </w:p>
    <w:p w14:paraId="1629BFCF" w14:textId="77777777" w:rsidR="00811887" w:rsidRPr="00FD40B8" w:rsidRDefault="00811887" w:rsidP="00811887">
      <w:pPr>
        <w:pStyle w:val="BodyText"/>
        <w:spacing w:before="153"/>
        <w:rPr>
          <w:rFonts w:ascii="Book Antiqua"/>
          <w:b/>
          <w:i/>
          <w:color w:val="131727" w:themeColor="text1"/>
          <w:sz w:val="22"/>
        </w:rPr>
      </w:pPr>
    </w:p>
    <w:p w14:paraId="5AB0165B" w14:textId="77777777" w:rsidR="00811887" w:rsidRPr="00FD40B8" w:rsidRDefault="00811887" w:rsidP="00811887">
      <w:pPr>
        <w:pStyle w:val="Heading9"/>
        <w:rPr>
          <w:color w:val="131727" w:themeColor="text1"/>
        </w:rPr>
      </w:pPr>
      <w:bookmarkStart w:id="129" w:name="_bookmark18"/>
      <w:bookmarkEnd w:id="129"/>
      <w:r w:rsidRPr="00FD40B8">
        <w:rPr>
          <w:color w:val="131727" w:themeColor="text1"/>
          <w:spacing w:val="13"/>
          <w:w w:val="85"/>
        </w:rPr>
        <w:t>TH</w:t>
      </w:r>
      <w:r w:rsidRPr="00FD40B8">
        <w:rPr>
          <w:color w:val="131727" w:themeColor="text1"/>
          <w:spacing w:val="-38"/>
          <w:w w:val="85"/>
        </w:rPr>
        <w:t xml:space="preserve"> </w:t>
      </w:r>
      <w:r w:rsidRPr="00FD40B8">
        <w:rPr>
          <w:color w:val="131727" w:themeColor="text1"/>
          <w:w w:val="85"/>
        </w:rPr>
        <w:t>E</w:t>
      </w:r>
      <w:r w:rsidRPr="00FD40B8">
        <w:rPr>
          <w:color w:val="131727" w:themeColor="text1"/>
          <w:spacing w:val="39"/>
        </w:rPr>
        <w:t xml:space="preserve"> </w:t>
      </w:r>
      <w:r w:rsidRPr="00FD40B8">
        <w:rPr>
          <w:color w:val="131727" w:themeColor="text1"/>
          <w:w w:val="85"/>
        </w:rPr>
        <w:t>I</w:t>
      </w:r>
      <w:r w:rsidRPr="00FD40B8">
        <w:rPr>
          <w:color w:val="131727" w:themeColor="text1"/>
          <w:spacing w:val="-36"/>
          <w:w w:val="85"/>
        </w:rPr>
        <w:t xml:space="preserve"> </w:t>
      </w:r>
      <w:r w:rsidRPr="00FD40B8">
        <w:rPr>
          <w:color w:val="131727" w:themeColor="text1"/>
          <w:spacing w:val="20"/>
          <w:w w:val="85"/>
        </w:rPr>
        <w:t>MPOR</w:t>
      </w:r>
      <w:r w:rsidRPr="00FD40B8">
        <w:rPr>
          <w:color w:val="131727" w:themeColor="text1"/>
          <w:spacing w:val="-35"/>
          <w:w w:val="85"/>
        </w:rPr>
        <w:t xml:space="preserve"> </w:t>
      </w:r>
      <w:r w:rsidRPr="00FD40B8">
        <w:rPr>
          <w:color w:val="131727" w:themeColor="text1"/>
          <w:spacing w:val="13"/>
          <w:w w:val="85"/>
        </w:rPr>
        <w:t>TA</w:t>
      </w:r>
      <w:r w:rsidRPr="00FD40B8">
        <w:rPr>
          <w:color w:val="131727" w:themeColor="text1"/>
          <w:spacing w:val="-35"/>
          <w:w w:val="85"/>
        </w:rPr>
        <w:t xml:space="preserve"> </w:t>
      </w:r>
      <w:r w:rsidRPr="00FD40B8">
        <w:rPr>
          <w:color w:val="131727" w:themeColor="text1"/>
          <w:spacing w:val="13"/>
          <w:w w:val="85"/>
        </w:rPr>
        <w:t>NC</w:t>
      </w:r>
      <w:r w:rsidRPr="00FD40B8">
        <w:rPr>
          <w:color w:val="131727" w:themeColor="text1"/>
          <w:spacing w:val="-38"/>
          <w:w w:val="85"/>
        </w:rPr>
        <w:t xml:space="preserve"> </w:t>
      </w:r>
      <w:r w:rsidRPr="00FD40B8">
        <w:rPr>
          <w:color w:val="131727" w:themeColor="text1"/>
          <w:w w:val="85"/>
        </w:rPr>
        <w:t>E</w:t>
      </w:r>
      <w:r w:rsidRPr="00FD40B8">
        <w:rPr>
          <w:color w:val="131727" w:themeColor="text1"/>
          <w:spacing w:val="44"/>
        </w:rPr>
        <w:t xml:space="preserve"> </w:t>
      </w:r>
      <w:r w:rsidRPr="00FD40B8">
        <w:rPr>
          <w:color w:val="131727" w:themeColor="text1"/>
          <w:spacing w:val="13"/>
          <w:w w:val="85"/>
        </w:rPr>
        <w:t>OF</w:t>
      </w:r>
      <w:r w:rsidRPr="00FD40B8">
        <w:rPr>
          <w:color w:val="131727" w:themeColor="text1"/>
          <w:spacing w:val="42"/>
        </w:rPr>
        <w:t xml:space="preserve"> </w:t>
      </w:r>
      <w:r w:rsidRPr="00FD40B8">
        <w:rPr>
          <w:color w:val="131727" w:themeColor="text1"/>
          <w:w w:val="85"/>
        </w:rPr>
        <w:t>S</w:t>
      </w:r>
      <w:r w:rsidRPr="00FD40B8">
        <w:rPr>
          <w:color w:val="131727" w:themeColor="text1"/>
          <w:spacing w:val="-38"/>
          <w:w w:val="85"/>
        </w:rPr>
        <w:t xml:space="preserve"> </w:t>
      </w:r>
      <w:r w:rsidRPr="00FD40B8">
        <w:rPr>
          <w:color w:val="131727" w:themeColor="text1"/>
          <w:spacing w:val="18"/>
          <w:w w:val="85"/>
        </w:rPr>
        <w:t>TAB</w:t>
      </w:r>
      <w:r w:rsidRPr="00FD40B8">
        <w:rPr>
          <w:color w:val="131727" w:themeColor="text1"/>
          <w:spacing w:val="-35"/>
          <w:w w:val="85"/>
        </w:rPr>
        <w:t xml:space="preserve"> </w:t>
      </w:r>
      <w:r w:rsidRPr="00FD40B8">
        <w:rPr>
          <w:color w:val="131727" w:themeColor="text1"/>
          <w:spacing w:val="14"/>
          <w:w w:val="85"/>
        </w:rPr>
        <w:t>LE</w:t>
      </w:r>
      <w:r w:rsidRPr="00FD40B8">
        <w:rPr>
          <w:color w:val="131727" w:themeColor="text1"/>
          <w:spacing w:val="44"/>
        </w:rPr>
        <w:t xml:space="preserve"> </w:t>
      </w:r>
      <w:r w:rsidRPr="00FD40B8">
        <w:rPr>
          <w:color w:val="131727" w:themeColor="text1"/>
          <w:spacing w:val="18"/>
          <w:w w:val="85"/>
        </w:rPr>
        <w:t>AND</w:t>
      </w:r>
      <w:r w:rsidRPr="00FD40B8">
        <w:rPr>
          <w:color w:val="131727" w:themeColor="text1"/>
          <w:spacing w:val="45"/>
        </w:rPr>
        <w:t xml:space="preserve"> </w:t>
      </w:r>
      <w:r w:rsidRPr="00FD40B8">
        <w:rPr>
          <w:color w:val="131727" w:themeColor="text1"/>
          <w:spacing w:val="24"/>
          <w:w w:val="85"/>
        </w:rPr>
        <w:t>APPROPR</w:t>
      </w:r>
      <w:r w:rsidRPr="00FD40B8">
        <w:rPr>
          <w:color w:val="131727" w:themeColor="text1"/>
          <w:spacing w:val="-34"/>
          <w:w w:val="85"/>
        </w:rPr>
        <w:t xml:space="preserve"> </w:t>
      </w:r>
      <w:r w:rsidRPr="00FD40B8">
        <w:rPr>
          <w:color w:val="131727" w:themeColor="text1"/>
          <w:spacing w:val="13"/>
          <w:w w:val="85"/>
        </w:rPr>
        <w:t>IA</w:t>
      </w:r>
      <w:r w:rsidRPr="00FD40B8">
        <w:rPr>
          <w:color w:val="131727" w:themeColor="text1"/>
          <w:spacing w:val="-35"/>
          <w:w w:val="85"/>
        </w:rPr>
        <w:t xml:space="preserve"> </w:t>
      </w:r>
      <w:r w:rsidRPr="00FD40B8">
        <w:rPr>
          <w:color w:val="131727" w:themeColor="text1"/>
          <w:spacing w:val="13"/>
          <w:w w:val="85"/>
        </w:rPr>
        <w:t>TE</w:t>
      </w:r>
      <w:r w:rsidRPr="00FD40B8">
        <w:rPr>
          <w:color w:val="131727" w:themeColor="text1"/>
          <w:spacing w:val="39"/>
        </w:rPr>
        <w:t xml:space="preserve"> </w:t>
      </w:r>
      <w:r w:rsidRPr="00FD40B8">
        <w:rPr>
          <w:color w:val="131727" w:themeColor="text1"/>
          <w:w w:val="85"/>
        </w:rPr>
        <w:t>H</w:t>
      </w:r>
      <w:r w:rsidRPr="00FD40B8">
        <w:rPr>
          <w:color w:val="131727" w:themeColor="text1"/>
          <w:spacing w:val="-38"/>
          <w:w w:val="85"/>
        </w:rPr>
        <w:t xml:space="preserve"> </w:t>
      </w:r>
      <w:r w:rsidRPr="00FD40B8">
        <w:rPr>
          <w:color w:val="131727" w:themeColor="text1"/>
          <w:w w:val="85"/>
        </w:rPr>
        <w:t>O</w:t>
      </w:r>
      <w:r w:rsidRPr="00FD40B8">
        <w:rPr>
          <w:color w:val="131727" w:themeColor="text1"/>
          <w:spacing w:val="-37"/>
          <w:w w:val="85"/>
        </w:rPr>
        <w:t xml:space="preserve"> </w:t>
      </w:r>
      <w:r w:rsidRPr="00FD40B8">
        <w:rPr>
          <w:color w:val="131727" w:themeColor="text1"/>
          <w:spacing w:val="14"/>
          <w:w w:val="85"/>
        </w:rPr>
        <w:t>US</w:t>
      </w:r>
      <w:r w:rsidRPr="00FD40B8">
        <w:rPr>
          <w:color w:val="131727" w:themeColor="text1"/>
          <w:spacing w:val="-38"/>
          <w:w w:val="85"/>
        </w:rPr>
        <w:t xml:space="preserve"> </w:t>
      </w:r>
      <w:r w:rsidRPr="00FD40B8">
        <w:rPr>
          <w:color w:val="131727" w:themeColor="text1"/>
          <w:spacing w:val="13"/>
          <w:w w:val="85"/>
        </w:rPr>
        <w:t>IN</w:t>
      </w:r>
      <w:r w:rsidRPr="00FD40B8">
        <w:rPr>
          <w:color w:val="131727" w:themeColor="text1"/>
          <w:spacing w:val="-36"/>
          <w:w w:val="85"/>
        </w:rPr>
        <w:t xml:space="preserve"> </w:t>
      </w:r>
      <w:r w:rsidRPr="00FD40B8">
        <w:rPr>
          <w:color w:val="131727" w:themeColor="text1"/>
          <w:spacing w:val="-10"/>
          <w:w w:val="85"/>
        </w:rPr>
        <w:t>G</w:t>
      </w:r>
    </w:p>
    <w:p w14:paraId="305676B4" w14:textId="77777777" w:rsidR="00811887" w:rsidRPr="00FD40B8" w:rsidRDefault="00811887" w:rsidP="00811887">
      <w:pPr>
        <w:pStyle w:val="BodyText"/>
        <w:spacing w:before="119" w:line="261" w:lineRule="auto"/>
        <w:ind w:left="508" w:right="598"/>
        <w:rPr>
          <w:color w:val="131727" w:themeColor="text1"/>
        </w:rPr>
      </w:pPr>
      <w:r w:rsidRPr="00FD40B8">
        <w:rPr>
          <w:color w:val="131727" w:themeColor="text1"/>
          <w:w w:val="110"/>
        </w:rPr>
        <w:t>Stable, secure, and appropriate housing is the foundation upon which everything else in a person’s life can</w:t>
      </w:r>
      <w:r w:rsidRPr="00FD40B8">
        <w:rPr>
          <w:color w:val="131727" w:themeColor="text1"/>
          <w:spacing w:val="-2"/>
          <w:w w:val="110"/>
        </w:rPr>
        <w:t xml:space="preserve"> </w:t>
      </w:r>
      <w:r w:rsidRPr="00FD40B8">
        <w:rPr>
          <w:color w:val="131727" w:themeColor="text1"/>
          <w:w w:val="110"/>
        </w:rPr>
        <w:t>be</w:t>
      </w:r>
      <w:r w:rsidRPr="00FD40B8">
        <w:rPr>
          <w:color w:val="131727" w:themeColor="text1"/>
          <w:spacing w:val="-3"/>
          <w:w w:val="110"/>
        </w:rPr>
        <w:t xml:space="preserve"> </w:t>
      </w:r>
      <w:r w:rsidRPr="00FD40B8">
        <w:rPr>
          <w:color w:val="131727" w:themeColor="text1"/>
          <w:w w:val="110"/>
        </w:rPr>
        <w:t>built</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7"/>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4"/>
          <w:w w:val="110"/>
        </w:rPr>
        <w:t xml:space="preserve"> </w:t>
      </w:r>
      <w:r w:rsidRPr="00FD40B8">
        <w:rPr>
          <w:color w:val="131727" w:themeColor="text1"/>
          <w:w w:val="110"/>
        </w:rPr>
        <w:t>key</w:t>
      </w:r>
      <w:r w:rsidRPr="00FD40B8">
        <w:rPr>
          <w:color w:val="131727" w:themeColor="text1"/>
          <w:spacing w:val="-10"/>
          <w:w w:val="110"/>
        </w:rPr>
        <w:t xml:space="preserve"> </w:t>
      </w:r>
      <w:r w:rsidRPr="00FD40B8">
        <w:rPr>
          <w:color w:val="131727" w:themeColor="text1"/>
          <w:w w:val="110"/>
        </w:rPr>
        <w:t>determinant</w:t>
      </w:r>
      <w:r w:rsidRPr="00FD40B8">
        <w:rPr>
          <w:color w:val="131727" w:themeColor="text1"/>
          <w:spacing w:val="-8"/>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health,</w:t>
      </w:r>
      <w:r w:rsidRPr="00FD40B8">
        <w:rPr>
          <w:color w:val="131727" w:themeColor="text1"/>
          <w:spacing w:val="-8"/>
          <w:w w:val="110"/>
        </w:rPr>
        <w:t xml:space="preserve"> </w:t>
      </w:r>
      <w:r w:rsidRPr="00FD40B8">
        <w:rPr>
          <w:color w:val="131727" w:themeColor="text1"/>
          <w:w w:val="110"/>
        </w:rPr>
        <w:t>wellbeing</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financial</w:t>
      </w:r>
      <w:r w:rsidRPr="00FD40B8">
        <w:rPr>
          <w:color w:val="131727" w:themeColor="text1"/>
          <w:spacing w:val="-1"/>
          <w:w w:val="110"/>
        </w:rPr>
        <w:t xml:space="preserve"> </w:t>
      </w:r>
      <w:r w:rsidRPr="00FD40B8">
        <w:rPr>
          <w:color w:val="131727" w:themeColor="text1"/>
          <w:w w:val="110"/>
        </w:rPr>
        <w:t>security</w:t>
      </w:r>
      <w:r w:rsidRPr="00FD40B8">
        <w:rPr>
          <w:color w:val="131727" w:themeColor="text1"/>
          <w:spacing w:val="-5"/>
          <w:w w:val="110"/>
        </w:rPr>
        <w:t xml:space="preserve"> </w:t>
      </w:r>
      <w:r w:rsidRPr="00FD40B8">
        <w:rPr>
          <w:color w:val="131727" w:themeColor="text1"/>
          <w:w w:val="110"/>
        </w:rPr>
        <w:t>for</w:t>
      </w:r>
      <w:r w:rsidRPr="00FD40B8">
        <w:rPr>
          <w:color w:val="131727" w:themeColor="text1"/>
          <w:spacing w:val="-5"/>
          <w:w w:val="110"/>
        </w:rPr>
        <w:t xml:space="preserve"> </w:t>
      </w:r>
      <w:r w:rsidRPr="00FD40B8">
        <w:rPr>
          <w:color w:val="131727" w:themeColor="text1"/>
          <w:w w:val="110"/>
        </w:rPr>
        <w:t>Aboriginal</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Torres Strait Islander people</w:t>
      </w:r>
      <w:hyperlink w:anchor="_bookmark19" w:history="1">
        <w:r w:rsidRPr="00FD40B8">
          <w:rPr>
            <w:color w:val="131727" w:themeColor="text1"/>
            <w:w w:val="110"/>
            <w:position w:val="8"/>
            <w:sz w:val="13"/>
          </w:rPr>
          <w:t>13</w:t>
        </w:r>
        <w:r w:rsidRPr="00FD40B8">
          <w:rPr>
            <w:color w:val="131727" w:themeColor="text1"/>
            <w:w w:val="110"/>
          </w:rPr>
          <w:t>:</w:t>
        </w:r>
      </w:hyperlink>
    </w:p>
    <w:p w14:paraId="0014A279" w14:textId="77777777" w:rsidR="00811887" w:rsidRPr="00FD40B8" w:rsidRDefault="00811887" w:rsidP="00FB2FE9">
      <w:pPr>
        <w:pStyle w:val="ListParagraph"/>
        <w:widowControl w:val="0"/>
        <w:numPr>
          <w:ilvl w:val="0"/>
          <w:numId w:val="68"/>
        </w:numPr>
        <w:tabs>
          <w:tab w:val="left" w:pos="1228"/>
        </w:tabs>
        <w:autoSpaceDE w:val="0"/>
        <w:autoSpaceDN w:val="0"/>
        <w:spacing w:before="235" w:after="0" w:line="266" w:lineRule="auto"/>
        <w:ind w:right="611"/>
        <w:contextualSpacing w:val="0"/>
        <w:rPr>
          <w:rFonts w:ascii="Symbol" w:hAnsi="Symbol"/>
          <w:color w:val="131727" w:themeColor="text1"/>
          <w:sz w:val="20"/>
        </w:rPr>
      </w:pPr>
      <w:r w:rsidRPr="00FD40B8">
        <w:rPr>
          <w:color w:val="131727" w:themeColor="text1"/>
          <w:w w:val="110"/>
          <w:sz w:val="20"/>
        </w:rPr>
        <w:t>Housing has a significant impact on economic inclusion including financial security and participation</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5"/>
          <w:w w:val="110"/>
          <w:sz w:val="20"/>
        </w:rPr>
        <w:t xml:space="preserve"> </w:t>
      </w:r>
      <w:r w:rsidRPr="00FD40B8">
        <w:rPr>
          <w:color w:val="131727" w:themeColor="text1"/>
          <w:w w:val="110"/>
          <w:sz w:val="20"/>
        </w:rPr>
        <w:t>employment,</w:t>
      </w:r>
      <w:r w:rsidRPr="00FD40B8">
        <w:rPr>
          <w:color w:val="131727" w:themeColor="text1"/>
          <w:spacing w:val="-10"/>
          <w:w w:val="110"/>
          <w:sz w:val="20"/>
        </w:rPr>
        <w:t xml:space="preserve"> </w:t>
      </w:r>
      <w:r w:rsidRPr="00FD40B8">
        <w:rPr>
          <w:color w:val="131727" w:themeColor="text1"/>
          <w:w w:val="110"/>
          <w:sz w:val="20"/>
        </w:rPr>
        <w:t>educational</w:t>
      </w:r>
      <w:r w:rsidRPr="00FD40B8">
        <w:rPr>
          <w:color w:val="131727" w:themeColor="text1"/>
          <w:spacing w:val="-7"/>
          <w:w w:val="110"/>
          <w:sz w:val="20"/>
        </w:rPr>
        <w:t xml:space="preserve"> </w:t>
      </w:r>
      <w:r w:rsidRPr="00FD40B8">
        <w:rPr>
          <w:color w:val="131727" w:themeColor="text1"/>
          <w:w w:val="110"/>
          <w:sz w:val="20"/>
        </w:rPr>
        <w:t>achievement,</w:t>
      </w:r>
      <w:r w:rsidRPr="00FD40B8">
        <w:rPr>
          <w:color w:val="131727" w:themeColor="text1"/>
          <w:spacing w:val="-5"/>
          <w:w w:val="110"/>
          <w:sz w:val="20"/>
        </w:rPr>
        <w:t xml:space="preserve"> </w:t>
      </w:r>
      <w:r w:rsidRPr="00FD40B8">
        <w:rPr>
          <w:color w:val="131727" w:themeColor="text1"/>
          <w:w w:val="110"/>
          <w:sz w:val="20"/>
        </w:rPr>
        <w:t>providing</w:t>
      </w:r>
      <w:r w:rsidRPr="00FD40B8">
        <w:rPr>
          <w:color w:val="131727" w:themeColor="text1"/>
          <w:spacing w:val="-5"/>
          <w:w w:val="110"/>
          <w:sz w:val="20"/>
        </w:rPr>
        <w:t xml:space="preserve"> </w:t>
      </w:r>
      <w:r w:rsidRPr="00FD40B8">
        <w:rPr>
          <w:color w:val="131727" w:themeColor="text1"/>
          <w:w w:val="110"/>
          <w:sz w:val="20"/>
        </w:rPr>
        <w:t>a</w:t>
      </w:r>
      <w:r w:rsidRPr="00FD40B8">
        <w:rPr>
          <w:color w:val="131727" w:themeColor="text1"/>
          <w:spacing w:val="-6"/>
          <w:w w:val="110"/>
          <w:sz w:val="20"/>
        </w:rPr>
        <w:t xml:space="preserve"> </w:t>
      </w:r>
      <w:r w:rsidRPr="00FD40B8">
        <w:rPr>
          <w:color w:val="131727" w:themeColor="text1"/>
          <w:w w:val="110"/>
          <w:sz w:val="20"/>
        </w:rPr>
        <w:t>basis</w:t>
      </w:r>
      <w:r w:rsidRPr="00FD40B8">
        <w:rPr>
          <w:color w:val="131727" w:themeColor="text1"/>
          <w:spacing w:val="-8"/>
          <w:w w:val="110"/>
          <w:sz w:val="20"/>
        </w:rPr>
        <w:t xml:space="preserve"> </w:t>
      </w:r>
      <w:r w:rsidRPr="00FD40B8">
        <w:rPr>
          <w:color w:val="131727" w:themeColor="text1"/>
          <w:w w:val="110"/>
          <w:sz w:val="20"/>
        </w:rPr>
        <w:t>for</w:t>
      </w:r>
      <w:r w:rsidRPr="00FD40B8">
        <w:rPr>
          <w:color w:val="131727" w:themeColor="text1"/>
          <w:spacing w:val="-7"/>
          <w:w w:val="110"/>
          <w:sz w:val="20"/>
        </w:rPr>
        <w:t xml:space="preserve"> </w:t>
      </w:r>
      <w:r w:rsidRPr="00FD40B8">
        <w:rPr>
          <w:color w:val="131727" w:themeColor="text1"/>
          <w:w w:val="110"/>
          <w:sz w:val="20"/>
        </w:rPr>
        <w:t>people</w:t>
      </w:r>
      <w:r w:rsidRPr="00FD40B8">
        <w:rPr>
          <w:color w:val="131727" w:themeColor="text1"/>
          <w:spacing w:val="-5"/>
          <w:w w:val="110"/>
          <w:sz w:val="20"/>
        </w:rPr>
        <w:t xml:space="preserve"> </w:t>
      </w:r>
      <w:r w:rsidRPr="00FD40B8">
        <w:rPr>
          <w:color w:val="131727" w:themeColor="text1"/>
          <w:w w:val="110"/>
          <w:sz w:val="20"/>
        </w:rPr>
        <w:t>to</w:t>
      </w:r>
      <w:r w:rsidRPr="00FD40B8">
        <w:rPr>
          <w:color w:val="131727" w:themeColor="text1"/>
          <w:spacing w:val="-5"/>
          <w:w w:val="110"/>
          <w:sz w:val="20"/>
        </w:rPr>
        <w:t xml:space="preserve"> </w:t>
      </w:r>
      <w:r w:rsidRPr="00FD40B8">
        <w:rPr>
          <w:color w:val="131727" w:themeColor="text1"/>
          <w:w w:val="110"/>
          <w:sz w:val="20"/>
        </w:rPr>
        <w:t>plan,</w:t>
      </w:r>
      <w:r w:rsidRPr="00FD40B8">
        <w:rPr>
          <w:color w:val="131727" w:themeColor="text1"/>
          <w:spacing w:val="-10"/>
          <w:w w:val="110"/>
          <w:sz w:val="20"/>
        </w:rPr>
        <w:t xml:space="preserve"> </w:t>
      </w:r>
      <w:r w:rsidRPr="00FD40B8">
        <w:rPr>
          <w:color w:val="131727" w:themeColor="text1"/>
          <w:w w:val="110"/>
          <w:sz w:val="20"/>
        </w:rPr>
        <w:t>look for and maintain a job, budget and save and support school attendance and education attainment for their children. By contrast, unstable and inadequate housing, is “both the result of, and a cause of, ongoing poverty.”</w:t>
      </w:r>
      <w:r w:rsidRPr="00FD40B8">
        <w:rPr>
          <w:color w:val="131727" w:themeColor="text1"/>
          <w:spacing w:val="-15"/>
          <w:w w:val="110"/>
          <w:sz w:val="20"/>
        </w:rPr>
        <w:t xml:space="preserve"> </w:t>
      </w:r>
      <w:hyperlink w:anchor="_bookmark20" w:history="1">
        <w:r w:rsidRPr="00FD40B8">
          <w:rPr>
            <w:color w:val="131727" w:themeColor="text1"/>
            <w:w w:val="110"/>
            <w:position w:val="8"/>
            <w:sz w:val="13"/>
          </w:rPr>
          <w:t>14</w:t>
        </w:r>
      </w:hyperlink>
      <w:hyperlink w:anchor="_bookmark21" w:history="1">
        <w:r w:rsidRPr="00FD40B8">
          <w:rPr>
            <w:color w:val="131727" w:themeColor="text1"/>
            <w:w w:val="110"/>
            <w:position w:val="8"/>
            <w:sz w:val="13"/>
          </w:rPr>
          <w:t>,15</w:t>
        </w:r>
      </w:hyperlink>
      <w:hyperlink w:anchor="_bookmark22" w:history="1">
        <w:r w:rsidRPr="00FD40B8">
          <w:rPr>
            <w:color w:val="131727" w:themeColor="text1"/>
            <w:w w:val="110"/>
            <w:position w:val="8"/>
            <w:sz w:val="13"/>
          </w:rPr>
          <w:t>,16</w:t>
        </w:r>
      </w:hyperlink>
      <w:hyperlink w:anchor="_bookmark23" w:history="1">
        <w:r w:rsidRPr="00FD40B8">
          <w:rPr>
            <w:color w:val="131727" w:themeColor="text1"/>
            <w:w w:val="110"/>
            <w:position w:val="8"/>
            <w:sz w:val="13"/>
          </w:rPr>
          <w:t>,17</w:t>
        </w:r>
      </w:hyperlink>
      <w:hyperlink w:anchor="_bookmark24" w:history="1">
        <w:r w:rsidRPr="00FD40B8">
          <w:rPr>
            <w:color w:val="131727" w:themeColor="text1"/>
            <w:w w:val="110"/>
            <w:position w:val="8"/>
            <w:sz w:val="13"/>
          </w:rPr>
          <w:t>,18</w:t>
        </w:r>
      </w:hyperlink>
    </w:p>
    <w:p w14:paraId="32A9AF95" w14:textId="77777777" w:rsidR="00811887" w:rsidRPr="00FD40B8" w:rsidRDefault="00811887" w:rsidP="00FB2FE9">
      <w:pPr>
        <w:pStyle w:val="ListParagraph"/>
        <w:widowControl w:val="0"/>
        <w:numPr>
          <w:ilvl w:val="0"/>
          <w:numId w:val="68"/>
        </w:numPr>
        <w:tabs>
          <w:tab w:val="left" w:pos="1228"/>
        </w:tabs>
        <w:autoSpaceDE w:val="0"/>
        <w:autoSpaceDN w:val="0"/>
        <w:spacing w:before="104" w:after="0" w:line="266" w:lineRule="auto"/>
        <w:ind w:right="527"/>
        <w:contextualSpacing w:val="0"/>
        <w:rPr>
          <w:rFonts w:ascii="Symbol" w:hAnsi="Symbol"/>
          <w:color w:val="131727" w:themeColor="text1"/>
          <w:sz w:val="20"/>
        </w:rPr>
      </w:pPr>
      <w:r w:rsidRPr="00FD40B8">
        <w:rPr>
          <w:color w:val="131727" w:themeColor="text1"/>
          <w:w w:val="110"/>
          <w:sz w:val="20"/>
        </w:rPr>
        <w:t>Overcrowding and lack of access to functional hygiene facilities leading to poor hygiene behaviours, has direct links to poor health outcomes – for example through the spread of common illnesses, increased difficulty in managing chronic disease and achieving other health priorities, such as bringing up healthy infants and children. Poorly laid-out or maintained houses impacts</w:t>
      </w:r>
      <w:r w:rsidRPr="00FD40B8">
        <w:rPr>
          <w:color w:val="131727" w:themeColor="text1"/>
          <w:spacing w:val="-5"/>
          <w:w w:val="110"/>
          <w:sz w:val="20"/>
        </w:rPr>
        <w:t xml:space="preserve"> </w:t>
      </w:r>
      <w:r w:rsidRPr="00FD40B8">
        <w:rPr>
          <w:color w:val="131727" w:themeColor="text1"/>
          <w:w w:val="110"/>
          <w:sz w:val="20"/>
        </w:rPr>
        <w:t>on</w:t>
      </w:r>
      <w:r w:rsidRPr="00FD40B8">
        <w:rPr>
          <w:color w:val="131727" w:themeColor="text1"/>
          <w:spacing w:val="-5"/>
          <w:w w:val="110"/>
          <w:sz w:val="20"/>
        </w:rPr>
        <w:t xml:space="preserve"> </w:t>
      </w:r>
      <w:r w:rsidRPr="00FD40B8">
        <w:rPr>
          <w:color w:val="131727" w:themeColor="text1"/>
          <w:w w:val="110"/>
          <w:sz w:val="20"/>
        </w:rPr>
        <w:t>accessibility</w:t>
      </w:r>
      <w:r w:rsidRPr="00FD40B8">
        <w:rPr>
          <w:color w:val="131727" w:themeColor="text1"/>
          <w:spacing w:val="-7"/>
          <w:w w:val="110"/>
          <w:sz w:val="20"/>
        </w:rPr>
        <w:t xml:space="preserve"> </w:t>
      </w:r>
      <w:r w:rsidRPr="00FD40B8">
        <w:rPr>
          <w:color w:val="131727" w:themeColor="text1"/>
          <w:w w:val="110"/>
          <w:sz w:val="20"/>
        </w:rPr>
        <w:t>issues</w:t>
      </w:r>
      <w:r w:rsidRPr="00FD40B8">
        <w:rPr>
          <w:color w:val="131727" w:themeColor="text1"/>
          <w:spacing w:val="-5"/>
          <w:w w:val="110"/>
          <w:sz w:val="20"/>
        </w:rPr>
        <w:t xml:space="preserve"> </w:t>
      </w:r>
      <w:r w:rsidRPr="00FD40B8">
        <w:rPr>
          <w:color w:val="131727" w:themeColor="text1"/>
          <w:w w:val="110"/>
          <w:sz w:val="20"/>
        </w:rPr>
        <w:t>for</w:t>
      </w:r>
      <w:r w:rsidRPr="00FD40B8">
        <w:rPr>
          <w:color w:val="131727" w:themeColor="text1"/>
          <w:spacing w:val="-4"/>
          <w:w w:val="110"/>
          <w:sz w:val="20"/>
        </w:rPr>
        <w:t xml:space="preserve"> </w:t>
      </w:r>
      <w:r w:rsidRPr="00FD40B8">
        <w:rPr>
          <w:color w:val="131727" w:themeColor="text1"/>
          <w:w w:val="110"/>
          <w:sz w:val="20"/>
        </w:rPr>
        <w:t>people</w:t>
      </w:r>
      <w:r w:rsidRPr="00FD40B8">
        <w:rPr>
          <w:color w:val="131727" w:themeColor="text1"/>
          <w:spacing w:val="-2"/>
          <w:w w:val="110"/>
          <w:sz w:val="20"/>
        </w:rPr>
        <w:t xml:space="preserve"> </w:t>
      </w:r>
      <w:r w:rsidRPr="00FD40B8">
        <w:rPr>
          <w:color w:val="131727" w:themeColor="text1"/>
          <w:w w:val="110"/>
          <w:sz w:val="20"/>
        </w:rPr>
        <w:t>with</w:t>
      </w:r>
      <w:r w:rsidRPr="00FD40B8">
        <w:rPr>
          <w:color w:val="131727" w:themeColor="text1"/>
          <w:spacing w:val="-1"/>
          <w:w w:val="110"/>
          <w:sz w:val="20"/>
        </w:rPr>
        <w:t xml:space="preserve"> </w:t>
      </w:r>
      <w:r w:rsidRPr="00FD40B8">
        <w:rPr>
          <w:color w:val="131727" w:themeColor="text1"/>
          <w:w w:val="110"/>
          <w:sz w:val="20"/>
        </w:rPr>
        <w:t>a</w:t>
      </w:r>
      <w:r w:rsidRPr="00FD40B8">
        <w:rPr>
          <w:color w:val="131727" w:themeColor="text1"/>
          <w:spacing w:val="-3"/>
          <w:w w:val="110"/>
          <w:sz w:val="20"/>
        </w:rPr>
        <w:t xml:space="preserve"> </w:t>
      </w:r>
      <w:r w:rsidRPr="00FD40B8">
        <w:rPr>
          <w:color w:val="131727" w:themeColor="text1"/>
          <w:w w:val="110"/>
          <w:sz w:val="20"/>
        </w:rPr>
        <w:t>disability</w:t>
      </w:r>
      <w:r w:rsidRPr="00FD40B8">
        <w:rPr>
          <w:color w:val="131727" w:themeColor="text1"/>
          <w:spacing w:val="-4"/>
          <w:w w:val="110"/>
          <w:sz w:val="20"/>
        </w:rPr>
        <w:t xml:space="preserve"> </w:t>
      </w:r>
      <w:r w:rsidRPr="00FD40B8">
        <w:rPr>
          <w:color w:val="131727" w:themeColor="text1"/>
          <w:w w:val="110"/>
          <w:sz w:val="20"/>
        </w:rPr>
        <w:t>and</w:t>
      </w:r>
      <w:r w:rsidRPr="00FD40B8">
        <w:rPr>
          <w:color w:val="131727" w:themeColor="text1"/>
          <w:spacing w:val="-2"/>
          <w:w w:val="110"/>
          <w:sz w:val="20"/>
        </w:rPr>
        <w:t xml:space="preserve"> </w:t>
      </w:r>
      <w:r w:rsidRPr="00FD40B8">
        <w:rPr>
          <w:color w:val="131727" w:themeColor="text1"/>
          <w:w w:val="110"/>
          <w:sz w:val="20"/>
        </w:rPr>
        <w:t>elderly</w:t>
      </w:r>
      <w:r w:rsidRPr="00FD40B8">
        <w:rPr>
          <w:color w:val="131727" w:themeColor="text1"/>
          <w:spacing w:val="-4"/>
          <w:w w:val="110"/>
          <w:sz w:val="20"/>
        </w:rPr>
        <w:t xml:space="preserve"> </w:t>
      </w:r>
      <w:r w:rsidRPr="00FD40B8">
        <w:rPr>
          <w:color w:val="131727" w:themeColor="text1"/>
          <w:w w:val="110"/>
          <w:sz w:val="20"/>
        </w:rPr>
        <w:t>people,</w:t>
      </w:r>
      <w:r w:rsidRPr="00FD40B8">
        <w:rPr>
          <w:color w:val="131727" w:themeColor="text1"/>
          <w:spacing w:val="-7"/>
          <w:w w:val="110"/>
          <w:sz w:val="20"/>
        </w:rPr>
        <w:t xml:space="preserve"> </w:t>
      </w:r>
      <w:r w:rsidRPr="00FD40B8">
        <w:rPr>
          <w:color w:val="131727" w:themeColor="text1"/>
          <w:w w:val="110"/>
          <w:sz w:val="20"/>
        </w:rPr>
        <w:t>who</w:t>
      </w:r>
      <w:r w:rsidRPr="00FD40B8">
        <w:rPr>
          <w:color w:val="131727" w:themeColor="text1"/>
          <w:spacing w:val="-5"/>
          <w:w w:val="110"/>
          <w:sz w:val="20"/>
        </w:rPr>
        <w:t xml:space="preserve"> </w:t>
      </w:r>
      <w:r w:rsidRPr="00FD40B8">
        <w:rPr>
          <w:color w:val="131727" w:themeColor="text1"/>
          <w:w w:val="110"/>
          <w:sz w:val="20"/>
        </w:rPr>
        <w:t>may</w:t>
      </w:r>
      <w:r w:rsidRPr="00FD40B8">
        <w:rPr>
          <w:color w:val="131727" w:themeColor="text1"/>
          <w:spacing w:val="-4"/>
          <w:w w:val="110"/>
          <w:sz w:val="20"/>
        </w:rPr>
        <w:t xml:space="preserve"> </w:t>
      </w:r>
      <w:r w:rsidRPr="00FD40B8">
        <w:rPr>
          <w:color w:val="131727" w:themeColor="text1"/>
          <w:w w:val="110"/>
          <w:sz w:val="20"/>
        </w:rPr>
        <w:t>then</w:t>
      </w:r>
      <w:r w:rsidRPr="00FD40B8">
        <w:rPr>
          <w:color w:val="131727" w:themeColor="text1"/>
          <w:spacing w:val="-1"/>
          <w:w w:val="110"/>
          <w:sz w:val="20"/>
        </w:rPr>
        <w:t xml:space="preserve"> </w:t>
      </w:r>
      <w:r w:rsidRPr="00FD40B8">
        <w:rPr>
          <w:color w:val="131727" w:themeColor="text1"/>
          <w:w w:val="110"/>
          <w:sz w:val="20"/>
        </w:rPr>
        <w:t>be</w:t>
      </w:r>
      <w:r w:rsidRPr="00FD40B8">
        <w:rPr>
          <w:color w:val="131727" w:themeColor="text1"/>
          <w:spacing w:val="-7"/>
          <w:w w:val="110"/>
          <w:sz w:val="20"/>
        </w:rPr>
        <w:t xml:space="preserve"> </w:t>
      </w:r>
      <w:r w:rsidRPr="00FD40B8">
        <w:rPr>
          <w:color w:val="131727" w:themeColor="text1"/>
          <w:w w:val="110"/>
          <w:sz w:val="20"/>
        </w:rPr>
        <w:t>at risk of injury, stress, and isolation</w:t>
      </w:r>
      <w:hyperlink w:anchor="_bookmark25" w:history="1">
        <w:r w:rsidRPr="00FD40B8">
          <w:rPr>
            <w:color w:val="131727" w:themeColor="text1"/>
            <w:w w:val="110"/>
            <w:sz w:val="20"/>
          </w:rPr>
          <w:t>.</w:t>
        </w:r>
        <w:r w:rsidRPr="00FD40B8">
          <w:rPr>
            <w:color w:val="131727" w:themeColor="text1"/>
            <w:w w:val="110"/>
            <w:position w:val="8"/>
            <w:sz w:val="13"/>
          </w:rPr>
          <w:t>19</w:t>
        </w:r>
      </w:hyperlink>
    </w:p>
    <w:p w14:paraId="32C1C6BD" w14:textId="77777777" w:rsidR="00811887" w:rsidRPr="00FD40B8" w:rsidRDefault="00811887" w:rsidP="00FB2FE9">
      <w:pPr>
        <w:pStyle w:val="ListParagraph"/>
        <w:widowControl w:val="0"/>
        <w:numPr>
          <w:ilvl w:val="0"/>
          <w:numId w:val="68"/>
        </w:numPr>
        <w:tabs>
          <w:tab w:val="left" w:pos="1228"/>
        </w:tabs>
        <w:autoSpaceDE w:val="0"/>
        <w:autoSpaceDN w:val="0"/>
        <w:spacing w:before="107" w:after="0" w:line="254" w:lineRule="auto"/>
        <w:ind w:right="943"/>
        <w:contextualSpacing w:val="0"/>
        <w:rPr>
          <w:rFonts w:ascii="Symbol" w:hAnsi="Symbol"/>
          <w:color w:val="131727" w:themeColor="text1"/>
          <w:sz w:val="20"/>
        </w:rPr>
      </w:pPr>
      <w:r w:rsidRPr="00FD40B8">
        <w:rPr>
          <w:color w:val="131727" w:themeColor="text1"/>
          <w:w w:val="110"/>
          <w:sz w:val="20"/>
        </w:rPr>
        <w:t>Homelessness and</w:t>
      </w:r>
      <w:r w:rsidRPr="00FD40B8">
        <w:rPr>
          <w:color w:val="131727" w:themeColor="text1"/>
          <w:spacing w:val="-6"/>
          <w:w w:val="110"/>
          <w:sz w:val="20"/>
        </w:rPr>
        <w:t xml:space="preserve"> </w:t>
      </w:r>
      <w:r w:rsidRPr="00FD40B8">
        <w:rPr>
          <w:color w:val="131727" w:themeColor="text1"/>
          <w:w w:val="110"/>
          <w:sz w:val="20"/>
        </w:rPr>
        <w:t>housing</w:t>
      </w:r>
      <w:r w:rsidRPr="00FD40B8">
        <w:rPr>
          <w:color w:val="131727" w:themeColor="text1"/>
          <w:spacing w:val="-6"/>
          <w:w w:val="110"/>
          <w:sz w:val="20"/>
        </w:rPr>
        <w:t xml:space="preserve"> </w:t>
      </w:r>
      <w:r w:rsidRPr="00FD40B8">
        <w:rPr>
          <w:color w:val="131727" w:themeColor="text1"/>
          <w:w w:val="110"/>
          <w:sz w:val="20"/>
        </w:rPr>
        <w:t>instability also</w:t>
      </w:r>
      <w:r w:rsidRPr="00FD40B8">
        <w:rPr>
          <w:color w:val="131727" w:themeColor="text1"/>
          <w:spacing w:val="-4"/>
          <w:w w:val="110"/>
          <w:sz w:val="20"/>
        </w:rPr>
        <w:t xml:space="preserve"> </w:t>
      </w:r>
      <w:r w:rsidRPr="00FD40B8">
        <w:rPr>
          <w:color w:val="131727" w:themeColor="text1"/>
          <w:w w:val="110"/>
          <w:sz w:val="20"/>
        </w:rPr>
        <w:t>have</w:t>
      </w:r>
      <w:r w:rsidRPr="00FD40B8">
        <w:rPr>
          <w:color w:val="131727" w:themeColor="text1"/>
          <w:spacing w:val="-6"/>
          <w:w w:val="110"/>
          <w:sz w:val="20"/>
        </w:rPr>
        <w:t xml:space="preserve"> </w:t>
      </w:r>
      <w:r w:rsidRPr="00FD40B8">
        <w:rPr>
          <w:color w:val="131727" w:themeColor="text1"/>
          <w:w w:val="110"/>
          <w:sz w:val="20"/>
        </w:rPr>
        <w:t>strong</w:t>
      </w:r>
      <w:r w:rsidRPr="00FD40B8">
        <w:rPr>
          <w:color w:val="131727" w:themeColor="text1"/>
          <w:spacing w:val="-6"/>
          <w:w w:val="110"/>
          <w:sz w:val="20"/>
        </w:rPr>
        <w:t xml:space="preserve"> </w:t>
      </w:r>
      <w:r w:rsidRPr="00FD40B8">
        <w:rPr>
          <w:color w:val="131727" w:themeColor="text1"/>
          <w:w w:val="110"/>
          <w:sz w:val="20"/>
        </w:rPr>
        <w:t>interrelationships with mental</w:t>
      </w:r>
      <w:r w:rsidRPr="00FD40B8">
        <w:rPr>
          <w:color w:val="131727" w:themeColor="text1"/>
          <w:spacing w:val="-4"/>
          <w:w w:val="110"/>
          <w:sz w:val="20"/>
        </w:rPr>
        <w:t xml:space="preserve"> </w:t>
      </w:r>
      <w:r w:rsidRPr="00FD40B8">
        <w:rPr>
          <w:color w:val="131727" w:themeColor="text1"/>
          <w:w w:val="110"/>
          <w:sz w:val="20"/>
        </w:rPr>
        <w:t>health, domestic violence, child protection interventions, alcohol and drug dependence</w:t>
      </w:r>
      <w:hyperlink w:anchor="_bookmark26" w:history="1">
        <w:r w:rsidRPr="00FD40B8">
          <w:rPr>
            <w:color w:val="131727" w:themeColor="text1"/>
            <w:w w:val="110"/>
            <w:sz w:val="20"/>
          </w:rPr>
          <w:t>.</w:t>
        </w:r>
        <w:r w:rsidRPr="00FD40B8">
          <w:rPr>
            <w:color w:val="131727" w:themeColor="text1"/>
            <w:w w:val="110"/>
            <w:position w:val="8"/>
            <w:sz w:val="13"/>
          </w:rPr>
          <w:t>20</w:t>
        </w:r>
      </w:hyperlink>
    </w:p>
    <w:p w14:paraId="4EF21F72" w14:textId="77777777" w:rsidR="00811887" w:rsidRPr="00FD40B8" w:rsidRDefault="00811887" w:rsidP="00811887">
      <w:pPr>
        <w:pStyle w:val="BodyText"/>
        <w:spacing w:before="7"/>
        <w:rPr>
          <w:color w:val="131727" w:themeColor="text1"/>
        </w:rPr>
      </w:pPr>
    </w:p>
    <w:p w14:paraId="39AD29A3" w14:textId="77777777" w:rsidR="00811887" w:rsidRPr="00FD40B8" w:rsidRDefault="00811887" w:rsidP="00811887">
      <w:pPr>
        <w:pStyle w:val="BodyText"/>
        <w:spacing w:line="268" w:lineRule="auto"/>
        <w:ind w:left="508" w:right="871"/>
        <w:jc w:val="both"/>
        <w:rPr>
          <w:color w:val="131727" w:themeColor="text1"/>
        </w:rPr>
      </w:pPr>
      <w:r w:rsidRPr="00FD40B8">
        <w:rPr>
          <w:color w:val="131727" w:themeColor="text1"/>
          <w:w w:val="110"/>
        </w:rPr>
        <w:t>Efforts</w:t>
      </w:r>
      <w:r w:rsidRPr="00FD40B8">
        <w:rPr>
          <w:color w:val="131727" w:themeColor="text1"/>
          <w:spacing w:val="-1"/>
          <w:w w:val="110"/>
        </w:rPr>
        <w:t xml:space="preserve"> </w:t>
      </w:r>
      <w:r w:rsidRPr="00FD40B8">
        <w:rPr>
          <w:color w:val="131727" w:themeColor="text1"/>
          <w:w w:val="110"/>
        </w:rPr>
        <w:t>across all areas to</w:t>
      </w:r>
      <w:r w:rsidRPr="00FD40B8">
        <w:rPr>
          <w:color w:val="131727" w:themeColor="text1"/>
          <w:spacing w:val="-1"/>
          <w:w w:val="110"/>
        </w:rPr>
        <w:t xml:space="preserve"> </w:t>
      </w:r>
      <w:r w:rsidRPr="00FD40B8">
        <w:rPr>
          <w:color w:val="131727" w:themeColor="text1"/>
          <w:w w:val="110"/>
        </w:rPr>
        <w:t>close</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gap</w:t>
      </w:r>
      <w:r w:rsidRPr="00FD40B8">
        <w:rPr>
          <w:color w:val="131727" w:themeColor="text1"/>
          <w:spacing w:val="-6"/>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life</w:t>
      </w:r>
      <w:r w:rsidRPr="00FD40B8">
        <w:rPr>
          <w:color w:val="131727" w:themeColor="text1"/>
          <w:spacing w:val="-6"/>
          <w:w w:val="110"/>
        </w:rPr>
        <w:t xml:space="preserve"> </w:t>
      </w:r>
      <w:r w:rsidRPr="00FD40B8">
        <w:rPr>
          <w:color w:val="131727" w:themeColor="text1"/>
          <w:w w:val="110"/>
        </w:rPr>
        <w:t>outcomes between</w:t>
      </w:r>
      <w:r w:rsidRPr="00FD40B8">
        <w:rPr>
          <w:color w:val="131727" w:themeColor="text1"/>
          <w:spacing w:val="-1"/>
          <w:w w:val="110"/>
        </w:rPr>
        <w:t xml:space="preserve"> </w:t>
      </w:r>
      <w:r w:rsidRPr="00FD40B8">
        <w:rPr>
          <w:color w:val="131727" w:themeColor="text1"/>
          <w:w w:val="110"/>
        </w:rPr>
        <w:t>Aboriginal and</w:t>
      </w:r>
      <w:r w:rsidRPr="00FD40B8">
        <w:rPr>
          <w:color w:val="131727" w:themeColor="text1"/>
          <w:spacing w:val="-2"/>
          <w:w w:val="110"/>
        </w:rPr>
        <w:t xml:space="preserve"> </w:t>
      </w:r>
      <w:r w:rsidRPr="00FD40B8">
        <w:rPr>
          <w:color w:val="131727" w:themeColor="text1"/>
          <w:w w:val="110"/>
        </w:rPr>
        <w:t>Torres Strait</w:t>
      </w:r>
      <w:r w:rsidRPr="00FD40B8">
        <w:rPr>
          <w:color w:val="131727" w:themeColor="text1"/>
          <w:spacing w:val="-2"/>
          <w:w w:val="110"/>
        </w:rPr>
        <w:t xml:space="preserve"> </w:t>
      </w:r>
      <w:r w:rsidRPr="00FD40B8">
        <w:rPr>
          <w:color w:val="131727" w:themeColor="text1"/>
          <w:w w:val="110"/>
        </w:rPr>
        <w:t>Islander people and non-Indigenous Australians will be</w:t>
      </w:r>
      <w:r w:rsidRPr="00FD40B8">
        <w:rPr>
          <w:color w:val="131727" w:themeColor="text1"/>
          <w:spacing w:val="-1"/>
          <w:w w:val="110"/>
        </w:rPr>
        <w:t xml:space="preserve"> </w:t>
      </w:r>
      <w:r w:rsidRPr="00FD40B8">
        <w:rPr>
          <w:color w:val="131727" w:themeColor="text1"/>
          <w:w w:val="110"/>
        </w:rPr>
        <w:t>undermined</w:t>
      </w:r>
      <w:r w:rsidRPr="00FD40B8">
        <w:rPr>
          <w:color w:val="131727" w:themeColor="text1"/>
          <w:spacing w:val="-2"/>
          <w:w w:val="110"/>
        </w:rPr>
        <w:t xml:space="preserve"> </w:t>
      </w:r>
      <w:r w:rsidRPr="00FD40B8">
        <w:rPr>
          <w:color w:val="131727" w:themeColor="text1"/>
          <w:w w:val="110"/>
        </w:rPr>
        <w:t>until Aboriginal and</w:t>
      </w:r>
      <w:r w:rsidRPr="00FD40B8">
        <w:rPr>
          <w:color w:val="131727" w:themeColor="text1"/>
          <w:spacing w:val="-2"/>
          <w:w w:val="110"/>
        </w:rPr>
        <w:t xml:space="preserve"> </w:t>
      </w:r>
      <w:r w:rsidRPr="00FD40B8">
        <w:rPr>
          <w:color w:val="131727" w:themeColor="text1"/>
          <w:w w:val="110"/>
        </w:rPr>
        <w:t>Torres Strait Islander people are living in appropriately sized, well-maintained, safe and secure housing.</w:t>
      </w:r>
    </w:p>
    <w:p w14:paraId="43232828" w14:textId="77777777" w:rsidR="00811887" w:rsidRPr="00FD40B8" w:rsidRDefault="00811887" w:rsidP="00811887">
      <w:pPr>
        <w:pStyle w:val="BodyText"/>
        <w:rPr>
          <w:color w:val="131727" w:themeColor="text1"/>
        </w:rPr>
      </w:pPr>
    </w:p>
    <w:p w14:paraId="36C86D7C" w14:textId="77777777" w:rsidR="00811887" w:rsidRPr="00FD40B8" w:rsidRDefault="00811887" w:rsidP="00811887">
      <w:pPr>
        <w:pStyle w:val="BodyText"/>
        <w:spacing w:before="102"/>
        <w:rPr>
          <w:color w:val="131727" w:themeColor="text1"/>
        </w:rPr>
      </w:pPr>
      <w:r w:rsidRPr="00FD40B8">
        <w:rPr>
          <w:noProof/>
          <w:color w:val="131727" w:themeColor="text1"/>
        </w:rPr>
        <mc:AlternateContent>
          <mc:Choice Requires="wps">
            <w:drawing>
              <wp:anchor distT="0" distB="0" distL="0" distR="0" simplePos="0" relativeHeight="251737088" behindDoc="1" locked="0" layoutInCell="1" allowOverlap="1" wp14:anchorId="6C2EAC7A" wp14:editId="559BC7D2">
                <wp:simplePos x="0" y="0"/>
                <wp:positionH relativeFrom="page">
                  <wp:posOffset>792784</wp:posOffset>
                </wp:positionH>
                <wp:positionV relativeFrom="paragraph">
                  <wp:posOffset>235297</wp:posOffset>
                </wp:positionV>
                <wp:extent cx="1830070" cy="6350"/>
                <wp:effectExtent l="0" t="0" r="0" b="0"/>
                <wp:wrapTopAndBottom/>
                <wp:docPr id="128" name="Graphic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D8CBD" id="Graphic 128" o:spid="_x0000_s1026" alt="&quot;&quot;" style="position:absolute;margin-left:62.4pt;margin-top:18.55pt;width:144.1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" path="m1829689,l,,,6095r1829689,l1829689,xe" fillcolor="black" stroked="f">
                <v:path arrowok="t"/>
                <w10:wrap type="topAndBottom" anchorx="page"/>
              </v:shape>
            </w:pict>
          </mc:Fallback>
        </mc:AlternateContent>
      </w:r>
    </w:p>
    <w:p w14:paraId="421CF78D" w14:textId="77777777" w:rsidR="00811887" w:rsidRPr="00FD40B8" w:rsidRDefault="00811887" w:rsidP="00811887">
      <w:pPr>
        <w:spacing w:before="123" w:line="266" w:lineRule="auto"/>
        <w:ind w:left="508" w:right="598"/>
        <w:rPr>
          <w:color w:val="131727" w:themeColor="text1"/>
          <w:sz w:val="16"/>
        </w:rPr>
      </w:pPr>
      <w:bookmarkStart w:id="130" w:name="_bookmark19"/>
      <w:bookmarkEnd w:id="130"/>
      <w:r w:rsidRPr="00FD40B8">
        <w:rPr>
          <w:color w:val="131727" w:themeColor="text1"/>
          <w:w w:val="105"/>
          <w:position w:val="6"/>
          <w:sz w:val="10"/>
        </w:rPr>
        <w:t>13</w:t>
      </w:r>
      <w:r w:rsidRPr="00FD40B8">
        <w:rPr>
          <w:color w:val="131727" w:themeColor="text1"/>
          <w:spacing w:val="31"/>
          <w:w w:val="105"/>
          <w:position w:val="6"/>
          <w:sz w:val="10"/>
        </w:rPr>
        <w:t xml:space="preserve"> </w:t>
      </w:r>
      <w:r w:rsidRPr="00FD40B8">
        <w:rPr>
          <w:color w:val="131727" w:themeColor="text1"/>
          <w:w w:val="105"/>
          <w:sz w:val="16"/>
        </w:rPr>
        <w:t>AIHW. 2023. Tier 2 – Determinants of health: 2.01 Housing. Available at:</w:t>
      </w:r>
      <w:r w:rsidRPr="00FD40B8">
        <w:rPr>
          <w:color w:val="131727" w:themeColor="text1"/>
          <w:spacing w:val="27"/>
          <w:w w:val="105"/>
          <w:sz w:val="16"/>
        </w:rPr>
        <w:t xml:space="preserve"> </w:t>
      </w:r>
      <w:hyperlink r:id="rId77" w:anchor="references">
        <w:r w:rsidRPr="00FD40B8">
          <w:rPr>
            <w:color w:val="131727" w:themeColor="text1"/>
            <w:w w:val="105"/>
            <w:sz w:val="16"/>
          </w:rPr>
          <w:t>www.indigenoushpf.gov.au/measures/2-01-</w:t>
        </w:r>
      </w:hyperlink>
      <w:r w:rsidRPr="00FD40B8">
        <w:rPr>
          <w:color w:val="131727" w:themeColor="text1"/>
          <w:spacing w:val="40"/>
          <w:w w:val="105"/>
          <w:sz w:val="16"/>
        </w:rPr>
        <w:t xml:space="preserve"> </w:t>
      </w:r>
      <w:hyperlink r:id="rId78" w:anchor="references">
        <w:r w:rsidRPr="00FD40B8">
          <w:rPr>
            <w:color w:val="131727" w:themeColor="text1"/>
            <w:spacing w:val="-2"/>
            <w:w w:val="105"/>
            <w:sz w:val="16"/>
          </w:rPr>
          <w:t>housing#references</w:t>
        </w:r>
      </w:hyperlink>
    </w:p>
    <w:p w14:paraId="6C51BD54" w14:textId="77777777" w:rsidR="00811887" w:rsidRPr="00FD40B8" w:rsidRDefault="00811887" w:rsidP="00811887">
      <w:pPr>
        <w:spacing w:line="271" w:lineRule="auto"/>
        <w:ind w:left="508" w:right="598"/>
        <w:rPr>
          <w:color w:val="131727" w:themeColor="text1"/>
          <w:sz w:val="16"/>
        </w:rPr>
      </w:pPr>
      <w:bookmarkStart w:id="131" w:name="_bookmark20"/>
      <w:bookmarkEnd w:id="131"/>
      <w:r w:rsidRPr="00FD40B8">
        <w:rPr>
          <w:color w:val="131727" w:themeColor="text1"/>
          <w:w w:val="105"/>
          <w:position w:val="6"/>
          <w:sz w:val="10"/>
        </w:rPr>
        <w:t>14</w:t>
      </w:r>
      <w:r w:rsidRPr="00FD40B8">
        <w:rPr>
          <w:color w:val="131727" w:themeColor="text1"/>
          <w:spacing w:val="34"/>
          <w:w w:val="105"/>
          <w:position w:val="6"/>
          <w:sz w:val="10"/>
        </w:rPr>
        <w:t xml:space="preserve"> </w:t>
      </w:r>
      <w:r w:rsidRPr="00FD40B8">
        <w:rPr>
          <w:color w:val="131727" w:themeColor="text1"/>
          <w:w w:val="105"/>
          <w:sz w:val="16"/>
        </w:rPr>
        <w:t>Memmott,</w:t>
      </w:r>
      <w:r w:rsidRPr="00FD40B8">
        <w:rPr>
          <w:color w:val="131727" w:themeColor="text1"/>
          <w:spacing w:val="19"/>
          <w:w w:val="105"/>
          <w:sz w:val="16"/>
        </w:rPr>
        <w:t xml:space="preserve"> </w:t>
      </w:r>
      <w:r w:rsidRPr="00FD40B8">
        <w:rPr>
          <w:color w:val="131727" w:themeColor="text1"/>
          <w:w w:val="105"/>
          <w:sz w:val="16"/>
        </w:rPr>
        <w:t>P.</w:t>
      </w:r>
      <w:r w:rsidRPr="00FD40B8">
        <w:rPr>
          <w:color w:val="131727" w:themeColor="text1"/>
          <w:spacing w:val="20"/>
          <w:w w:val="105"/>
          <w:sz w:val="16"/>
        </w:rPr>
        <w:t xml:space="preserve"> </w:t>
      </w:r>
      <w:r w:rsidRPr="00FD40B8">
        <w:rPr>
          <w:color w:val="131727" w:themeColor="text1"/>
          <w:w w:val="105"/>
          <w:sz w:val="16"/>
        </w:rPr>
        <w:t>et</w:t>
      </w:r>
      <w:r w:rsidRPr="00FD40B8">
        <w:rPr>
          <w:color w:val="131727" w:themeColor="text1"/>
          <w:spacing w:val="19"/>
          <w:w w:val="105"/>
          <w:sz w:val="16"/>
        </w:rPr>
        <w:t xml:space="preserve"> </w:t>
      </w:r>
      <w:r w:rsidRPr="00FD40B8">
        <w:rPr>
          <w:color w:val="131727" w:themeColor="text1"/>
          <w:w w:val="105"/>
          <w:sz w:val="16"/>
        </w:rPr>
        <w:t>al.</w:t>
      </w:r>
      <w:r w:rsidRPr="00FD40B8">
        <w:rPr>
          <w:color w:val="131727" w:themeColor="text1"/>
          <w:spacing w:val="20"/>
          <w:w w:val="105"/>
          <w:sz w:val="16"/>
        </w:rPr>
        <w:t xml:space="preserve"> </w:t>
      </w:r>
      <w:r w:rsidRPr="00FD40B8">
        <w:rPr>
          <w:color w:val="131727" w:themeColor="text1"/>
          <w:w w:val="105"/>
          <w:sz w:val="16"/>
        </w:rPr>
        <w:t>2012.</w:t>
      </w:r>
      <w:r w:rsidRPr="00FD40B8">
        <w:rPr>
          <w:color w:val="131727" w:themeColor="text1"/>
          <w:spacing w:val="20"/>
          <w:w w:val="105"/>
          <w:sz w:val="16"/>
        </w:rPr>
        <w:t xml:space="preserve"> </w:t>
      </w:r>
      <w:r w:rsidRPr="00FD40B8">
        <w:rPr>
          <w:color w:val="131727" w:themeColor="text1"/>
          <w:w w:val="105"/>
          <w:sz w:val="16"/>
        </w:rPr>
        <w:t>Australian</w:t>
      </w:r>
      <w:r w:rsidRPr="00FD40B8">
        <w:rPr>
          <w:color w:val="131727" w:themeColor="text1"/>
          <w:spacing w:val="23"/>
          <w:w w:val="105"/>
          <w:sz w:val="16"/>
        </w:rPr>
        <w:t xml:space="preserve"> </w:t>
      </w:r>
      <w:r w:rsidRPr="00FD40B8">
        <w:rPr>
          <w:color w:val="131727" w:themeColor="text1"/>
          <w:w w:val="105"/>
          <w:sz w:val="16"/>
        </w:rPr>
        <w:t>Indigenous</w:t>
      </w:r>
      <w:r w:rsidRPr="00FD40B8">
        <w:rPr>
          <w:color w:val="131727" w:themeColor="text1"/>
          <w:spacing w:val="17"/>
          <w:w w:val="105"/>
          <w:sz w:val="16"/>
        </w:rPr>
        <w:t xml:space="preserve"> </w:t>
      </w:r>
      <w:r w:rsidRPr="00FD40B8">
        <w:rPr>
          <w:color w:val="131727" w:themeColor="text1"/>
          <w:w w:val="105"/>
          <w:sz w:val="16"/>
        </w:rPr>
        <w:t>house</w:t>
      </w:r>
      <w:r w:rsidRPr="00FD40B8">
        <w:rPr>
          <w:color w:val="131727" w:themeColor="text1"/>
          <w:spacing w:val="19"/>
          <w:w w:val="105"/>
          <w:sz w:val="16"/>
        </w:rPr>
        <w:t xml:space="preserve"> </w:t>
      </w:r>
      <w:r w:rsidRPr="00FD40B8">
        <w:rPr>
          <w:color w:val="131727" w:themeColor="text1"/>
          <w:w w:val="105"/>
          <w:sz w:val="16"/>
        </w:rPr>
        <w:t>crowding,</w:t>
      </w:r>
      <w:r w:rsidRPr="00FD40B8">
        <w:rPr>
          <w:color w:val="131727" w:themeColor="text1"/>
          <w:spacing w:val="19"/>
          <w:w w:val="105"/>
          <w:sz w:val="16"/>
        </w:rPr>
        <w:t xml:space="preserve"> </w:t>
      </w:r>
      <w:r w:rsidRPr="00FD40B8">
        <w:rPr>
          <w:color w:val="131727" w:themeColor="text1"/>
          <w:w w:val="105"/>
          <w:sz w:val="16"/>
        </w:rPr>
        <w:t>AHURI</w:t>
      </w:r>
      <w:r w:rsidRPr="00FD40B8">
        <w:rPr>
          <w:color w:val="131727" w:themeColor="text1"/>
          <w:spacing w:val="17"/>
          <w:w w:val="105"/>
          <w:sz w:val="16"/>
        </w:rPr>
        <w:t xml:space="preserve"> </w:t>
      </w:r>
      <w:r w:rsidRPr="00FD40B8">
        <w:rPr>
          <w:color w:val="131727" w:themeColor="text1"/>
          <w:w w:val="105"/>
          <w:sz w:val="16"/>
        </w:rPr>
        <w:t>Final Report</w:t>
      </w:r>
      <w:r w:rsidRPr="00FD40B8">
        <w:rPr>
          <w:color w:val="131727" w:themeColor="text1"/>
          <w:spacing w:val="19"/>
          <w:w w:val="105"/>
          <w:sz w:val="16"/>
        </w:rPr>
        <w:t xml:space="preserve"> </w:t>
      </w:r>
      <w:r w:rsidRPr="00FD40B8">
        <w:rPr>
          <w:color w:val="131727" w:themeColor="text1"/>
          <w:w w:val="105"/>
          <w:sz w:val="16"/>
        </w:rPr>
        <w:t>No.194.</w:t>
      </w:r>
      <w:r w:rsidRPr="00FD40B8">
        <w:rPr>
          <w:color w:val="131727" w:themeColor="text1"/>
          <w:spacing w:val="20"/>
          <w:w w:val="105"/>
          <w:sz w:val="16"/>
        </w:rPr>
        <w:t xml:space="preserve"> </w:t>
      </w:r>
      <w:r w:rsidRPr="00FD40B8">
        <w:rPr>
          <w:color w:val="131727" w:themeColor="text1"/>
          <w:w w:val="105"/>
          <w:sz w:val="16"/>
        </w:rPr>
        <w:t>Melbourne:</w:t>
      </w:r>
      <w:r w:rsidRPr="00FD40B8">
        <w:rPr>
          <w:color w:val="131727" w:themeColor="text1"/>
          <w:spacing w:val="20"/>
          <w:w w:val="105"/>
          <w:sz w:val="16"/>
        </w:rPr>
        <w:t xml:space="preserve"> </w:t>
      </w:r>
      <w:r w:rsidRPr="00FD40B8">
        <w:rPr>
          <w:color w:val="131727" w:themeColor="text1"/>
          <w:w w:val="105"/>
          <w:sz w:val="16"/>
        </w:rPr>
        <w:t>Australian</w:t>
      </w:r>
      <w:r w:rsidRPr="00FD40B8">
        <w:rPr>
          <w:color w:val="131727" w:themeColor="text1"/>
          <w:spacing w:val="23"/>
          <w:w w:val="105"/>
          <w:sz w:val="16"/>
        </w:rPr>
        <w:t xml:space="preserve"> </w:t>
      </w:r>
      <w:r w:rsidRPr="00FD40B8">
        <w:rPr>
          <w:color w:val="131727" w:themeColor="text1"/>
          <w:w w:val="105"/>
          <w:sz w:val="16"/>
        </w:rPr>
        <w:t>Housing</w:t>
      </w:r>
      <w:r w:rsidRPr="00FD40B8">
        <w:rPr>
          <w:color w:val="131727" w:themeColor="text1"/>
          <w:spacing w:val="17"/>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 xml:space="preserve">Urban Research Institute. Available at: </w:t>
      </w:r>
      <w:hyperlink r:id="rId79">
        <w:r w:rsidRPr="00FD40B8">
          <w:rPr>
            <w:color w:val="131727" w:themeColor="text1"/>
            <w:w w:val="105"/>
            <w:sz w:val="16"/>
          </w:rPr>
          <w:t>www.ahuri.edu.au/research/final-reports/194</w:t>
        </w:r>
      </w:hyperlink>
    </w:p>
    <w:p w14:paraId="16D928F1" w14:textId="77777777" w:rsidR="00811887" w:rsidRPr="00FD40B8" w:rsidRDefault="00811887" w:rsidP="00811887">
      <w:pPr>
        <w:spacing w:line="191" w:lineRule="exact"/>
        <w:ind w:left="508"/>
        <w:rPr>
          <w:color w:val="131727" w:themeColor="text1"/>
          <w:sz w:val="16"/>
        </w:rPr>
      </w:pPr>
      <w:bookmarkStart w:id="132" w:name="_bookmark21"/>
      <w:bookmarkEnd w:id="132"/>
      <w:r w:rsidRPr="00FD40B8">
        <w:rPr>
          <w:color w:val="131727" w:themeColor="text1"/>
          <w:w w:val="105"/>
          <w:position w:val="6"/>
          <w:sz w:val="10"/>
        </w:rPr>
        <w:t>15</w:t>
      </w:r>
      <w:r w:rsidRPr="00FD40B8">
        <w:rPr>
          <w:color w:val="131727" w:themeColor="text1"/>
          <w:spacing w:val="32"/>
          <w:w w:val="105"/>
          <w:position w:val="6"/>
          <w:sz w:val="10"/>
        </w:rPr>
        <w:t xml:space="preserve"> </w:t>
      </w:r>
      <w:r w:rsidRPr="00FD40B8">
        <w:rPr>
          <w:color w:val="131727" w:themeColor="text1"/>
          <w:w w:val="105"/>
          <w:sz w:val="16"/>
        </w:rPr>
        <w:t>World</w:t>
      </w:r>
      <w:r w:rsidRPr="00FD40B8">
        <w:rPr>
          <w:color w:val="131727" w:themeColor="text1"/>
          <w:spacing w:val="21"/>
          <w:w w:val="105"/>
          <w:sz w:val="16"/>
        </w:rPr>
        <w:t xml:space="preserve"> </w:t>
      </w:r>
      <w:r w:rsidRPr="00FD40B8">
        <w:rPr>
          <w:color w:val="131727" w:themeColor="text1"/>
          <w:w w:val="105"/>
          <w:sz w:val="16"/>
        </w:rPr>
        <w:t>Health</w:t>
      </w:r>
      <w:r w:rsidRPr="00FD40B8">
        <w:rPr>
          <w:color w:val="131727" w:themeColor="text1"/>
          <w:spacing w:val="21"/>
          <w:w w:val="105"/>
          <w:sz w:val="16"/>
        </w:rPr>
        <w:t xml:space="preserve"> </w:t>
      </w:r>
      <w:r w:rsidRPr="00FD40B8">
        <w:rPr>
          <w:color w:val="131727" w:themeColor="text1"/>
          <w:w w:val="105"/>
          <w:sz w:val="16"/>
        </w:rPr>
        <w:t>Organization.</w:t>
      </w:r>
      <w:r w:rsidRPr="00FD40B8">
        <w:rPr>
          <w:color w:val="131727" w:themeColor="text1"/>
          <w:spacing w:val="20"/>
          <w:w w:val="105"/>
          <w:sz w:val="16"/>
        </w:rPr>
        <w:t xml:space="preserve"> </w:t>
      </w:r>
      <w:r w:rsidRPr="00FD40B8">
        <w:rPr>
          <w:color w:val="131727" w:themeColor="text1"/>
          <w:w w:val="105"/>
          <w:sz w:val="16"/>
        </w:rPr>
        <w:t>2018.</w:t>
      </w:r>
      <w:r w:rsidRPr="00FD40B8">
        <w:rPr>
          <w:color w:val="131727" w:themeColor="text1"/>
          <w:spacing w:val="19"/>
          <w:w w:val="105"/>
          <w:sz w:val="16"/>
        </w:rPr>
        <w:t xml:space="preserve"> </w:t>
      </w:r>
      <w:r w:rsidRPr="00FD40B8">
        <w:rPr>
          <w:color w:val="131727" w:themeColor="text1"/>
          <w:w w:val="105"/>
          <w:sz w:val="16"/>
        </w:rPr>
        <w:t>WHO</w:t>
      </w:r>
      <w:r w:rsidRPr="00FD40B8">
        <w:rPr>
          <w:color w:val="131727" w:themeColor="text1"/>
          <w:spacing w:val="16"/>
          <w:w w:val="105"/>
          <w:sz w:val="16"/>
        </w:rPr>
        <w:t xml:space="preserve"> </w:t>
      </w:r>
      <w:r w:rsidRPr="00FD40B8">
        <w:rPr>
          <w:color w:val="131727" w:themeColor="text1"/>
          <w:w w:val="105"/>
          <w:sz w:val="16"/>
        </w:rPr>
        <w:t>Housing</w:t>
      </w:r>
      <w:r w:rsidRPr="00FD40B8">
        <w:rPr>
          <w:color w:val="131727" w:themeColor="text1"/>
          <w:spacing w:val="17"/>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health</w:t>
      </w:r>
      <w:r w:rsidRPr="00FD40B8">
        <w:rPr>
          <w:color w:val="131727" w:themeColor="text1"/>
          <w:spacing w:val="22"/>
          <w:w w:val="105"/>
          <w:sz w:val="16"/>
        </w:rPr>
        <w:t xml:space="preserve"> </w:t>
      </w:r>
      <w:r w:rsidRPr="00FD40B8">
        <w:rPr>
          <w:color w:val="131727" w:themeColor="text1"/>
          <w:w w:val="105"/>
          <w:sz w:val="16"/>
        </w:rPr>
        <w:t>guidelines.</w:t>
      </w:r>
      <w:r w:rsidRPr="00FD40B8">
        <w:rPr>
          <w:color w:val="131727" w:themeColor="text1"/>
          <w:spacing w:val="19"/>
          <w:w w:val="105"/>
          <w:sz w:val="16"/>
        </w:rPr>
        <w:t xml:space="preserve"> </w:t>
      </w:r>
      <w:r w:rsidRPr="00FD40B8">
        <w:rPr>
          <w:color w:val="131727" w:themeColor="text1"/>
          <w:w w:val="105"/>
          <w:sz w:val="16"/>
        </w:rPr>
        <w:t>Geneva:</w:t>
      </w:r>
      <w:r w:rsidRPr="00FD40B8">
        <w:rPr>
          <w:color w:val="131727" w:themeColor="text1"/>
          <w:spacing w:val="20"/>
          <w:w w:val="105"/>
          <w:sz w:val="16"/>
        </w:rPr>
        <w:t xml:space="preserve"> </w:t>
      </w:r>
      <w:r w:rsidRPr="00FD40B8">
        <w:rPr>
          <w:color w:val="131727" w:themeColor="text1"/>
          <w:w w:val="105"/>
          <w:sz w:val="16"/>
        </w:rPr>
        <w:t>Licence:</w:t>
      </w:r>
      <w:r w:rsidRPr="00FD40B8">
        <w:rPr>
          <w:color w:val="131727" w:themeColor="text1"/>
          <w:spacing w:val="19"/>
          <w:w w:val="105"/>
          <w:sz w:val="16"/>
        </w:rPr>
        <w:t xml:space="preserve"> </w:t>
      </w:r>
      <w:r w:rsidRPr="00FD40B8">
        <w:rPr>
          <w:color w:val="131727" w:themeColor="text1"/>
          <w:w w:val="105"/>
          <w:sz w:val="16"/>
        </w:rPr>
        <w:t>CC</w:t>
      </w:r>
      <w:r w:rsidRPr="00FD40B8">
        <w:rPr>
          <w:color w:val="131727" w:themeColor="text1"/>
          <w:spacing w:val="22"/>
          <w:w w:val="105"/>
          <w:sz w:val="16"/>
        </w:rPr>
        <w:t xml:space="preserve"> </w:t>
      </w:r>
      <w:r w:rsidRPr="00FD40B8">
        <w:rPr>
          <w:color w:val="131727" w:themeColor="text1"/>
          <w:w w:val="105"/>
          <w:sz w:val="16"/>
        </w:rPr>
        <w:t>BY-NC-SA</w:t>
      </w:r>
      <w:r w:rsidRPr="00FD40B8">
        <w:rPr>
          <w:color w:val="131727" w:themeColor="text1"/>
          <w:spacing w:val="19"/>
          <w:w w:val="105"/>
          <w:sz w:val="16"/>
        </w:rPr>
        <w:t xml:space="preserve"> </w:t>
      </w:r>
      <w:r w:rsidRPr="00FD40B8">
        <w:rPr>
          <w:color w:val="131727" w:themeColor="text1"/>
          <w:w w:val="105"/>
          <w:sz w:val="16"/>
        </w:rPr>
        <w:t>3.0</w:t>
      </w:r>
      <w:r w:rsidRPr="00FD40B8">
        <w:rPr>
          <w:color w:val="131727" w:themeColor="text1"/>
          <w:spacing w:val="19"/>
          <w:w w:val="105"/>
          <w:sz w:val="16"/>
        </w:rPr>
        <w:t xml:space="preserve"> </w:t>
      </w:r>
      <w:r w:rsidRPr="00FD40B8">
        <w:rPr>
          <w:color w:val="131727" w:themeColor="text1"/>
          <w:w w:val="105"/>
          <w:sz w:val="16"/>
        </w:rPr>
        <w:t>IGO.</w:t>
      </w:r>
      <w:r w:rsidRPr="00FD40B8">
        <w:rPr>
          <w:color w:val="131727" w:themeColor="text1"/>
          <w:spacing w:val="19"/>
          <w:w w:val="105"/>
          <w:sz w:val="16"/>
        </w:rPr>
        <w:t xml:space="preserve"> </w:t>
      </w:r>
      <w:r w:rsidRPr="00FD40B8">
        <w:rPr>
          <w:color w:val="131727" w:themeColor="text1"/>
          <w:w w:val="105"/>
          <w:sz w:val="16"/>
        </w:rPr>
        <w:t>Available</w:t>
      </w:r>
      <w:r w:rsidRPr="00FD40B8">
        <w:rPr>
          <w:color w:val="131727" w:themeColor="text1"/>
          <w:spacing w:val="18"/>
          <w:w w:val="105"/>
          <w:sz w:val="16"/>
        </w:rPr>
        <w:t xml:space="preserve"> </w:t>
      </w:r>
      <w:r w:rsidRPr="00FD40B8">
        <w:rPr>
          <w:color w:val="131727" w:themeColor="text1"/>
          <w:spacing w:val="-5"/>
          <w:w w:val="105"/>
          <w:sz w:val="16"/>
        </w:rPr>
        <w:t>at:</w:t>
      </w:r>
    </w:p>
    <w:p w14:paraId="24046EE8" w14:textId="77777777" w:rsidR="00811887" w:rsidRPr="00FD40B8" w:rsidRDefault="00811887" w:rsidP="00811887">
      <w:pPr>
        <w:spacing w:before="21"/>
        <w:ind w:left="508"/>
        <w:rPr>
          <w:color w:val="131727" w:themeColor="text1"/>
          <w:sz w:val="16"/>
        </w:rPr>
      </w:pPr>
      <w:hyperlink r:id="rId80">
        <w:r w:rsidRPr="00FD40B8">
          <w:rPr>
            <w:color w:val="131727" w:themeColor="text1"/>
            <w:w w:val="105"/>
            <w:sz w:val="16"/>
          </w:rPr>
          <w:t>https://iris.who.int/bitstream/handle/10665/276001/9789241550376-</w:t>
        </w:r>
        <w:r w:rsidRPr="00FD40B8">
          <w:rPr>
            <w:color w:val="131727" w:themeColor="text1"/>
            <w:spacing w:val="-2"/>
            <w:w w:val="105"/>
            <w:sz w:val="16"/>
          </w:rPr>
          <w:t>eng.pdf?sequence=1</w:t>
        </w:r>
      </w:hyperlink>
    </w:p>
    <w:p w14:paraId="591F8D73" w14:textId="77777777" w:rsidR="00811887" w:rsidRPr="00FD40B8" w:rsidRDefault="00811887" w:rsidP="00811887">
      <w:pPr>
        <w:spacing w:before="18" w:line="266" w:lineRule="auto"/>
        <w:ind w:left="508" w:right="823"/>
        <w:rPr>
          <w:color w:val="131727" w:themeColor="text1"/>
          <w:sz w:val="16"/>
        </w:rPr>
      </w:pPr>
      <w:bookmarkStart w:id="133" w:name="_bookmark22"/>
      <w:bookmarkEnd w:id="133"/>
      <w:r w:rsidRPr="00FD40B8">
        <w:rPr>
          <w:color w:val="131727" w:themeColor="text1"/>
          <w:w w:val="105"/>
          <w:position w:val="6"/>
          <w:sz w:val="10"/>
        </w:rPr>
        <w:t>16</w:t>
      </w:r>
      <w:r w:rsidRPr="00FD40B8">
        <w:rPr>
          <w:color w:val="131727" w:themeColor="text1"/>
          <w:spacing w:val="34"/>
          <w:w w:val="105"/>
          <w:position w:val="6"/>
          <w:sz w:val="10"/>
        </w:rPr>
        <w:t xml:space="preserve"> </w:t>
      </w:r>
      <w:r w:rsidRPr="00FD40B8">
        <w:rPr>
          <w:color w:val="131727" w:themeColor="text1"/>
          <w:w w:val="105"/>
          <w:sz w:val="16"/>
        </w:rPr>
        <w:t>Dillon,</w:t>
      </w:r>
      <w:r w:rsidRPr="00FD40B8">
        <w:rPr>
          <w:color w:val="131727" w:themeColor="text1"/>
          <w:spacing w:val="19"/>
          <w:w w:val="105"/>
          <w:sz w:val="16"/>
        </w:rPr>
        <w:t xml:space="preserve"> </w:t>
      </w:r>
      <w:r w:rsidRPr="00FD40B8">
        <w:rPr>
          <w:color w:val="131727" w:themeColor="text1"/>
          <w:w w:val="105"/>
          <w:sz w:val="16"/>
        </w:rPr>
        <w:t>M.C.</w:t>
      </w:r>
      <w:r w:rsidRPr="00FD40B8">
        <w:rPr>
          <w:color w:val="131727" w:themeColor="text1"/>
          <w:spacing w:val="20"/>
          <w:w w:val="105"/>
          <w:sz w:val="16"/>
        </w:rPr>
        <w:t xml:space="preserve"> </w:t>
      </w:r>
      <w:r w:rsidRPr="00FD40B8">
        <w:rPr>
          <w:color w:val="131727" w:themeColor="text1"/>
          <w:w w:val="105"/>
          <w:sz w:val="16"/>
        </w:rPr>
        <w:t>3</w:t>
      </w:r>
      <w:r w:rsidRPr="00FD40B8">
        <w:rPr>
          <w:color w:val="131727" w:themeColor="text1"/>
          <w:spacing w:val="20"/>
          <w:w w:val="105"/>
          <w:sz w:val="16"/>
        </w:rPr>
        <w:t xml:space="preserve"> </w:t>
      </w:r>
      <w:r w:rsidRPr="00FD40B8">
        <w:rPr>
          <w:color w:val="131727" w:themeColor="text1"/>
          <w:w w:val="105"/>
          <w:sz w:val="16"/>
        </w:rPr>
        <w:t>February</w:t>
      </w:r>
      <w:r w:rsidRPr="00FD40B8">
        <w:rPr>
          <w:color w:val="131727" w:themeColor="text1"/>
          <w:spacing w:val="19"/>
          <w:w w:val="105"/>
          <w:sz w:val="16"/>
        </w:rPr>
        <w:t xml:space="preserve"> </w:t>
      </w:r>
      <w:r w:rsidRPr="00FD40B8">
        <w:rPr>
          <w:color w:val="131727" w:themeColor="text1"/>
          <w:w w:val="105"/>
          <w:sz w:val="16"/>
        </w:rPr>
        <w:t>2022. Remote</w:t>
      </w:r>
      <w:r w:rsidRPr="00FD40B8">
        <w:rPr>
          <w:color w:val="131727" w:themeColor="text1"/>
          <w:spacing w:val="19"/>
          <w:w w:val="105"/>
          <w:sz w:val="16"/>
        </w:rPr>
        <w:t xml:space="preserve"> </w:t>
      </w:r>
      <w:r w:rsidRPr="00FD40B8">
        <w:rPr>
          <w:color w:val="131727" w:themeColor="text1"/>
          <w:w w:val="105"/>
          <w:sz w:val="16"/>
        </w:rPr>
        <w:t>Indigenous</w:t>
      </w:r>
      <w:r w:rsidRPr="00FD40B8">
        <w:rPr>
          <w:color w:val="131727" w:themeColor="text1"/>
          <w:spacing w:val="17"/>
          <w:w w:val="105"/>
          <w:sz w:val="16"/>
        </w:rPr>
        <w:t xml:space="preserve"> </w:t>
      </w:r>
      <w:r w:rsidRPr="00FD40B8">
        <w:rPr>
          <w:color w:val="131727" w:themeColor="text1"/>
          <w:w w:val="105"/>
          <w:sz w:val="16"/>
        </w:rPr>
        <w:t>housing</w:t>
      </w:r>
      <w:r w:rsidRPr="00FD40B8">
        <w:rPr>
          <w:color w:val="131727" w:themeColor="text1"/>
          <w:spacing w:val="17"/>
          <w:w w:val="105"/>
          <w:sz w:val="16"/>
        </w:rPr>
        <w:t xml:space="preserve"> </w:t>
      </w:r>
      <w:r w:rsidRPr="00FD40B8">
        <w:rPr>
          <w:color w:val="131727" w:themeColor="text1"/>
          <w:w w:val="105"/>
          <w:sz w:val="16"/>
        </w:rPr>
        <w:t>requires</w:t>
      </w:r>
      <w:r w:rsidRPr="00FD40B8">
        <w:rPr>
          <w:color w:val="131727" w:themeColor="text1"/>
          <w:spacing w:val="23"/>
          <w:w w:val="105"/>
          <w:sz w:val="16"/>
        </w:rPr>
        <w:t xml:space="preserve"> </w:t>
      </w:r>
      <w:r w:rsidRPr="00FD40B8">
        <w:rPr>
          <w:color w:val="131727" w:themeColor="text1"/>
          <w:w w:val="105"/>
          <w:sz w:val="16"/>
        </w:rPr>
        <w:t>ongoing</w:t>
      </w:r>
      <w:r w:rsidRPr="00FD40B8">
        <w:rPr>
          <w:color w:val="131727" w:themeColor="text1"/>
          <w:spacing w:val="17"/>
          <w:w w:val="105"/>
          <w:sz w:val="16"/>
        </w:rPr>
        <w:t xml:space="preserve"> </w:t>
      </w:r>
      <w:r w:rsidRPr="00FD40B8">
        <w:rPr>
          <w:color w:val="131727" w:themeColor="text1"/>
          <w:w w:val="105"/>
          <w:sz w:val="16"/>
        </w:rPr>
        <w:t>policy</w:t>
      </w:r>
      <w:r w:rsidRPr="00FD40B8">
        <w:rPr>
          <w:color w:val="131727" w:themeColor="text1"/>
          <w:spacing w:val="19"/>
          <w:w w:val="105"/>
          <w:sz w:val="16"/>
        </w:rPr>
        <w:t xml:space="preserve"> </w:t>
      </w:r>
      <w:r w:rsidRPr="00FD40B8">
        <w:rPr>
          <w:color w:val="131727" w:themeColor="text1"/>
          <w:w w:val="105"/>
          <w:sz w:val="16"/>
        </w:rPr>
        <w:t>focus:</w:t>
      </w:r>
      <w:r w:rsidRPr="00FD40B8">
        <w:rPr>
          <w:color w:val="131727" w:themeColor="text1"/>
          <w:spacing w:val="20"/>
          <w:w w:val="105"/>
          <w:sz w:val="16"/>
        </w:rPr>
        <w:t xml:space="preserve"> </w:t>
      </w:r>
      <w:r w:rsidRPr="00FD40B8">
        <w:rPr>
          <w:color w:val="131727" w:themeColor="text1"/>
          <w:w w:val="105"/>
          <w:sz w:val="16"/>
        </w:rPr>
        <w:t>Submission</w:t>
      </w:r>
      <w:r w:rsidRPr="00FD40B8">
        <w:rPr>
          <w:color w:val="131727" w:themeColor="text1"/>
          <w:spacing w:val="23"/>
          <w:w w:val="105"/>
          <w:sz w:val="16"/>
        </w:rPr>
        <w:t xml:space="preserve"> </w:t>
      </w:r>
      <w:r w:rsidRPr="00FD40B8">
        <w:rPr>
          <w:color w:val="131727" w:themeColor="text1"/>
          <w:w w:val="105"/>
          <w:sz w:val="16"/>
        </w:rPr>
        <w:t>to</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Review</w:t>
      </w:r>
      <w:r w:rsidRPr="00FD40B8">
        <w:rPr>
          <w:color w:val="131727" w:themeColor="text1"/>
          <w:spacing w:val="20"/>
          <w:w w:val="105"/>
          <w:sz w:val="16"/>
        </w:rPr>
        <w:t xml:space="preserve"> </w:t>
      </w:r>
      <w:r w:rsidRPr="00FD40B8">
        <w:rPr>
          <w:color w:val="131727" w:themeColor="text1"/>
          <w:w w:val="105"/>
          <w:sz w:val="16"/>
        </w:rPr>
        <w:t>of</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National</w:t>
      </w:r>
      <w:r w:rsidRPr="00FD40B8">
        <w:rPr>
          <w:color w:val="131727" w:themeColor="text1"/>
          <w:spacing w:val="38"/>
          <w:w w:val="105"/>
          <w:sz w:val="16"/>
        </w:rPr>
        <w:t xml:space="preserve"> </w:t>
      </w:r>
      <w:r w:rsidRPr="00FD40B8">
        <w:rPr>
          <w:color w:val="131727" w:themeColor="text1"/>
          <w:w w:val="105"/>
          <w:sz w:val="16"/>
        </w:rPr>
        <w:t>Housing</w:t>
      </w:r>
      <w:r w:rsidRPr="00FD40B8">
        <w:rPr>
          <w:color w:val="131727" w:themeColor="text1"/>
          <w:spacing w:val="40"/>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Homelessness</w:t>
      </w:r>
      <w:r w:rsidRPr="00FD40B8">
        <w:rPr>
          <w:color w:val="131727" w:themeColor="text1"/>
          <w:spacing w:val="40"/>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Centre</w:t>
      </w:r>
      <w:r w:rsidRPr="00FD40B8">
        <w:rPr>
          <w:color w:val="131727" w:themeColor="text1"/>
          <w:spacing w:val="40"/>
          <w:w w:val="105"/>
          <w:sz w:val="16"/>
        </w:rPr>
        <w:t xml:space="preserve"> </w:t>
      </w:r>
      <w:r w:rsidRPr="00FD40B8">
        <w:rPr>
          <w:color w:val="131727" w:themeColor="text1"/>
          <w:w w:val="105"/>
          <w:sz w:val="16"/>
        </w:rPr>
        <w:t>for</w:t>
      </w:r>
      <w:r w:rsidRPr="00FD40B8">
        <w:rPr>
          <w:color w:val="131727" w:themeColor="text1"/>
          <w:spacing w:val="40"/>
          <w:w w:val="105"/>
          <w:sz w:val="16"/>
        </w:rPr>
        <w:t xml:space="preserve"> </w:t>
      </w:r>
      <w:r w:rsidRPr="00FD40B8">
        <w:rPr>
          <w:color w:val="131727" w:themeColor="text1"/>
          <w:w w:val="105"/>
          <w:sz w:val="16"/>
        </w:rPr>
        <w:t>Aboriginal</w:t>
      </w:r>
      <w:r w:rsidRPr="00FD40B8">
        <w:rPr>
          <w:color w:val="131727" w:themeColor="text1"/>
          <w:spacing w:val="38"/>
          <w:w w:val="105"/>
          <w:sz w:val="16"/>
        </w:rPr>
        <w:t xml:space="preserve"> </w:t>
      </w:r>
      <w:r w:rsidRPr="00FD40B8">
        <w:rPr>
          <w:color w:val="131727" w:themeColor="text1"/>
          <w:w w:val="105"/>
          <w:sz w:val="16"/>
        </w:rPr>
        <w:t>Economic</w:t>
      </w:r>
      <w:r w:rsidRPr="00FD40B8">
        <w:rPr>
          <w:color w:val="131727" w:themeColor="text1"/>
          <w:spacing w:val="40"/>
          <w:w w:val="105"/>
          <w:sz w:val="16"/>
        </w:rPr>
        <w:t xml:space="preserve"> </w:t>
      </w:r>
      <w:r w:rsidRPr="00FD40B8">
        <w:rPr>
          <w:color w:val="131727" w:themeColor="text1"/>
          <w:w w:val="105"/>
          <w:sz w:val="16"/>
        </w:rPr>
        <w:t>Policy</w:t>
      </w:r>
      <w:r w:rsidRPr="00FD40B8">
        <w:rPr>
          <w:color w:val="131727" w:themeColor="text1"/>
          <w:spacing w:val="40"/>
          <w:w w:val="105"/>
          <w:sz w:val="16"/>
        </w:rPr>
        <w:t xml:space="preserve"> </w:t>
      </w:r>
      <w:r w:rsidRPr="00FD40B8">
        <w:rPr>
          <w:color w:val="131727" w:themeColor="text1"/>
          <w:w w:val="105"/>
          <w:sz w:val="16"/>
        </w:rPr>
        <w:t>Research,</w:t>
      </w:r>
      <w:r w:rsidRPr="00FD40B8">
        <w:rPr>
          <w:color w:val="131727" w:themeColor="text1"/>
          <w:spacing w:val="40"/>
          <w:w w:val="105"/>
          <w:sz w:val="16"/>
        </w:rPr>
        <w:t xml:space="preserve"> </w:t>
      </w:r>
      <w:r w:rsidRPr="00FD40B8">
        <w:rPr>
          <w:color w:val="131727" w:themeColor="text1"/>
          <w:w w:val="105"/>
          <w:sz w:val="16"/>
        </w:rPr>
        <w:t>ANU</w:t>
      </w:r>
      <w:r w:rsidRPr="00FD40B8">
        <w:rPr>
          <w:color w:val="131727" w:themeColor="text1"/>
          <w:spacing w:val="40"/>
          <w:w w:val="105"/>
          <w:sz w:val="16"/>
        </w:rPr>
        <w:t xml:space="preserve"> </w:t>
      </w:r>
      <w:r w:rsidRPr="00FD40B8">
        <w:rPr>
          <w:color w:val="131727" w:themeColor="text1"/>
          <w:w w:val="105"/>
          <w:sz w:val="16"/>
        </w:rPr>
        <w:t>Canberra.</w:t>
      </w:r>
    </w:p>
    <w:p w14:paraId="2A826672" w14:textId="77777777" w:rsidR="00811887" w:rsidRPr="00FD40B8" w:rsidRDefault="00811887" w:rsidP="00811887">
      <w:pPr>
        <w:spacing w:line="266" w:lineRule="auto"/>
        <w:ind w:left="508" w:right="650"/>
        <w:rPr>
          <w:color w:val="131727" w:themeColor="text1"/>
          <w:sz w:val="16"/>
        </w:rPr>
      </w:pPr>
      <w:bookmarkStart w:id="134" w:name="_bookmark23"/>
      <w:bookmarkEnd w:id="134"/>
      <w:r w:rsidRPr="00FD40B8">
        <w:rPr>
          <w:color w:val="131727" w:themeColor="text1"/>
          <w:w w:val="105"/>
          <w:position w:val="6"/>
          <w:sz w:val="10"/>
        </w:rPr>
        <w:t>17</w:t>
      </w:r>
      <w:r w:rsidRPr="00FD40B8">
        <w:rPr>
          <w:color w:val="131727" w:themeColor="text1"/>
          <w:spacing w:val="36"/>
          <w:w w:val="105"/>
          <w:position w:val="6"/>
          <w:sz w:val="10"/>
        </w:rPr>
        <w:t xml:space="preserve"> </w:t>
      </w:r>
      <w:r w:rsidRPr="00FD40B8">
        <w:rPr>
          <w:color w:val="131727" w:themeColor="text1"/>
          <w:w w:val="105"/>
          <w:sz w:val="16"/>
        </w:rPr>
        <w:t>Ware</w:t>
      </w:r>
      <w:r w:rsidRPr="00FD40B8">
        <w:rPr>
          <w:color w:val="131727" w:themeColor="text1"/>
          <w:spacing w:val="21"/>
          <w:w w:val="105"/>
          <w:sz w:val="16"/>
        </w:rPr>
        <w:t xml:space="preserve"> </w:t>
      </w:r>
      <w:r w:rsidRPr="00FD40B8">
        <w:rPr>
          <w:color w:val="131727" w:themeColor="text1"/>
          <w:w w:val="105"/>
          <w:sz w:val="16"/>
        </w:rPr>
        <w:t>V-A.</w:t>
      </w:r>
      <w:r w:rsidRPr="00FD40B8">
        <w:rPr>
          <w:color w:val="131727" w:themeColor="text1"/>
          <w:spacing w:val="22"/>
          <w:w w:val="105"/>
          <w:sz w:val="16"/>
        </w:rPr>
        <w:t xml:space="preserve"> </w:t>
      </w:r>
      <w:r w:rsidRPr="00FD40B8">
        <w:rPr>
          <w:color w:val="131727" w:themeColor="text1"/>
          <w:w w:val="105"/>
          <w:sz w:val="16"/>
        </w:rPr>
        <w:t>2013.</w:t>
      </w:r>
      <w:r w:rsidRPr="00FD40B8">
        <w:rPr>
          <w:color w:val="131727" w:themeColor="text1"/>
          <w:spacing w:val="22"/>
          <w:w w:val="105"/>
          <w:sz w:val="16"/>
        </w:rPr>
        <w:t xml:space="preserve"> </w:t>
      </w:r>
      <w:r w:rsidRPr="00FD40B8">
        <w:rPr>
          <w:color w:val="131727" w:themeColor="text1"/>
          <w:w w:val="105"/>
          <w:sz w:val="16"/>
        </w:rPr>
        <w:t>Housing</w:t>
      </w:r>
      <w:r w:rsidRPr="00FD40B8">
        <w:rPr>
          <w:color w:val="131727" w:themeColor="text1"/>
          <w:spacing w:val="20"/>
          <w:w w:val="105"/>
          <w:sz w:val="16"/>
        </w:rPr>
        <w:t xml:space="preserve"> </w:t>
      </w:r>
      <w:r w:rsidRPr="00FD40B8">
        <w:rPr>
          <w:color w:val="131727" w:themeColor="text1"/>
          <w:w w:val="105"/>
          <w:sz w:val="16"/>
        </w:rPr>
        <w:t>strategies</w:t>
      </w:r>
      <w:r w:rsidRPr="00FD40B8">
        <w:rPr>
          <w:color w:val="131727" w:themeColor="text1"/>
          <w:spacing w:val="20"/>
          <w:w w:val="105"/>
          <w:sz w:val="16"/>
        </w:rPr>
        <w:t xml:space="preserve"> </w:t>
      </w:r>
      <w:r w:rsidRPr="00FD40B8">
        <w:rPr>
          <w:color w:val="131727" w:themeColor="text1"/>
          <w:w w:val="105"/>
          <w:sz w:val="16"/>
        </w:rPr>
        <w:t>that</w:t>
      </w:r>
      <w:r w:rsidRPr="00FD40B8">
        <w:rPr>
          <w:color w:val="131727" w:themeColor="text1"/>
          <w:spacing w:val="21"/>
          <w:w w:val="105"/>
          <w:sz w:val="16"/>
        </w:rPr>
        <w:t xml:space="preserve"> </w:t>
      </w:r>
      <w:r w:rsidRPr="00FD40B8">
        <w:rPr>
          <w:color w:val="131727" w:themeColor="text1"/>
          <w:w w:val="105"/>
          <w:sz w:val="16"/>
        </w:rPr>
        <w:t>improve</w:t>
      </w:r>
      <w:r w:rsidRPr="00FD40B8">
        <w:rPr>
          <w:color w:val="131727" w:themeColor="text1"/>
          <w:spacing w:val="21"/>
          <w:w w:val="105"/>
          <w:sz w:val="16"/>
        </w:rPr>
        <w:t xml:space="preserve"> </w:t>
      </w:r>
      <w:r w:rsidRPr="00FD40B8">
        <w:rPr>
          <w:color w:val="131727" w:themeColor="text1"/>
          <w:w w:val="105"/>
          <w:sz w:val="16"/>
        </w:rPr>
        <w:t>Indigenous</w:t>
      </w:r>
      <w:r w:rsidRPr="00FD40B8">
        <w:rPr>
          <w:color w:val="131727" w:themeColor="text1"/>
          <w:spacing w:val="20"/>
          <w:w w:val="105"/>
          <w:sz w:val="16"/>
        </w:rPr>
        <w:t xml:space="preserve"> </w:t>
      </w:r>
      <w:r w:rsidRPr="00FD40B8">
        <w:rPr>
          <w:color w:val="131727" w:themeColor="text1"/>
          <w:w w:val="105"/>
          <w:sz w:val="16"/>
        </w:rPr>
        <w:t>health</w:t>
      </w:r>
      <w:r w:rsidRPr="00FD40B8">
        <w:rPr>
          <w:color w:val="131727" w:themeColor="text1"/>
          <w:spacing w:val="25"/>
          <w:w w:val="105"/>
          <w:sz w:val="16"/>
        </w:rPr>
        <w:t xml:space="preserve"> </w:t>
      </w:r>
      <w:r w:rsidRPr="00FD40B8">
        <w:rPr>
          <w:color w:val="131727" w:themeColor="text1"/>
          <w:w w:val="105"/>
          <w:sz w:val="16"/>
        </w:rPr>
        <w:t>outcomes.</w:t>
      </w:r>
      <w:r w:rsidRPr="00FD40B8">
        <w:rPr>
          <w:color w:val="131727" w:themeColor="text1"/>
          <w:spacing w:val="22"/>
          <w:w w:val="105"/>
          <w:sz w:val="16"/>
        </w:rPr>
        <w:t xml:space="preserve"> </w:t>
      </w:r>
      <w:r w:rsidRPr="00FD40B8">
        <w:rPr>
          <w:color w:val="131727" w:themeColor="text1"/>
          <w:w w:val="105"/>
          <w:sz w:val="16"/>
        </w:rPr>
        <w:t>Resource</w:t>
      </w:r>
      <w:r w:rsidRPr="00FD40B8">
        <w:rPr>
          <w:color w:val="131727" w:themeColor="text1"/>
          <w:spacing w:val="21"/>
          <w:w w:val="105"/>
          <w:sz w:val="16"/>
        </w:rPr>
        <w:t xml:space="preserve"> </w:t>
      </w:r>
      <w:r w:rsidRPr="00FD40B8">
        <w:rPr>
          <w:color w:val="131727" w:themeColor="text1"/>
          <w:w w:val="105"/>
          <w:sz w:val="16"/>
        </w:rPr>
        <w:t>sheet</w:t>
      </w:r>
      <w:r w:rsidRPr="00FD40B8">
        <w:rPr>
          <w:color w:val="131727" w:themeColor="text1"/>
          <w:spacing w:val="21"/>
          <w:w w:val="105"/>
          <w:sz w:val="16"/>
        </w:rPr>
        <w:t xml:space="preserve"> </w:t>
      </w:r>
      <w:r w:rsidRPr="00FD40B8">
        <w:rPr>
          <w:color w:val="131727" w:themeColor="text1"/>
          <w:w w:val="105"/>
          <w:sz w:val="16"/>
        </w:rPr>
        <w:t>no.</w:t>
      </w:r>
      <w:r w:rsidRPr="00FD40B8">
        <w:rPr>
          <w:color w:val="131727" w:themeColor="text1"/>
          <w:spacing w:val="22"/>
          <w:w w:val="105"/>
          <w:sz w:val="16"/>
        </w:rPr>
        <w:t xml:space="preserve"> </w:t>
      </w:r>
      <w:r w:rsidRPr="00FD40B8">
        <w:rPr>
          <w:color w:val="131727" w:themeColor="text1"/>
          <w:w w:val="105"/>
          <w:sz w:val="16"/>
        </w:rPr>
        <w:t>25.</w:t>
      </w:r>
      <w:r w:rsidRPr="00FD40B8">
        <w:rPr>
          <w:color w:val="131727" w:themeColor="text1"/>
          <w:spacing w:val="22"/>
          <w:w w:val="105"/>
          <w:sz w:val="16"/>
        </w:rPr>
        <w:t xml:space="preserve"> </w:t>
      </w:r>
      <w:r w:rsidRPr="00FD40B8">
        <w:rPr>
          <w:color w:val="131727" w:themeColor="text1"/>
          <w:w w:val="105"/>
          <w:sz w:val="16"/>
        </w:rPr>
        <w:t>Produced</w:t>
      </w:r>
      <w:r w:rsidRPr="00FD40B8">
        <w:rPr>
          <w:color w:val="131727" w:themeColor="text1"/>
          <w:spacing w:val="24"/>
          <w:w w:val="105"/>
          <w:sz w:val="16"/>
        </w:rPr>
        <w:t xml:space="preserve"> </w:t>
      </w:r>
      <w:r w:rsidRPr="00FD40B8">
        <w:rPr>
          <w:color w:val="131727" w:themeColor="text1"/>
          <w:w w:val="105"/>
          <w:sz w:val="16"/>
        </w:rPr>
        <w:t>for</w:t>
      </w:r>
      <w:r w:rsidRPr="00FD40B8">
        <w:rPr>
          <w:color w:val="131727" w:themeColor="text1"/>
          <w:spacing w:val="22"/>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Closing</w:t>
      </w:r>
      <w:r w:rsidRPr="00FD40B8">
        <w:rPr>
          <w:color w:val="131727" w:themeColor="text1"/>
          <w:spacing w:val="40"/>
          <w:w w:val="105"/>
          <w:sz w:val="16"/>
        </w:rPr>
        <w:t xml:space="preserve"> </w:t>
      </w:r>
      <w:r w:rsidRPr="00FD40B8">
        <w:rPr>
          <w:color w:val="131727" w:themeColor="text1"/>
          <w:w w:val="105"/>
          <w:sz w:val="16"/>
        </w:rPr>
        <w:t>the</w:t>
      </w:r>
      <w:r w:rsidRPr="00FD40B8">
        <w:rPr>
          <w:color w:val="131727" w:themeColor="text1"/>
          <w:spacing w:val="26"/>
          <w:w w:val="105"/>
          <w:sz w:val="16"/>
        </w:rPr>
        <w:t xml:space="preserve"> </w:t>
      </w:r>
      <w:r w:rsidRPr="00FD40B8">
        <w:rPr>
          <w:color w:val="131727" w:themeColor="text1"/>
          <w:w w:val="105"/>
          <w:sz w:val="16"/>
        </w:rPr>
        <w:t>Gap</w:t>
      </w:r>
      <w:r w:rsidRPr="00FD40B8">
        <w:rPr>
          <w:color w:val="131727" w:themeColor="text1"/>
          <w:spacing w:val="29"/>
          <w:w w:val="105"/>
          <w:sz w:val="16"/>
        </w:rPr>
        <w:t xml:space="preserve"> </w:t>
      </w:r>
      <w:r w:rsidRPr="00FD40B8">
        <w:rPr>
          <w:color w:val="131727" w:themeColor="text1"/>
          <w:w w:val="105"/>
          <w:sz w:val="16"/>
        </w:rPr>
        <w:t>Clearinghouse.</w:t>
      </w:r>
      <w:r w:rsidRPr="00FD40B8">
        <w:rPr>
          <w:color w:val="131727" w:themeColor="text1"/>
          <w:spacing w:val="27"/>
          <w:w w:val="105"/>
          <w:sz w:val="16"/>
        </w:rPr>
        <w:t xml:space="preserve"> </w:t>
      </w:r>
      <w:r w:rsidRPr="00FD40B8">
        <w:rPr>
          <w:color w:val="131727" w:themeColor="text1"/>
          <w:w w:val="105"/>
          <w:sz w:val="16"/>
        </w:rPr>
        <w:t>Canberra:</w:t>
      </w:r>
      <w:r w:rsidRPr="00FD40B8">
        <w:rPr>
          <w:color w:val="131727" w:themeColor="text1"/>
          <w:spacing w:val="20"/>
          <w:w w:val="105"/>
          <w:sz w:val="16"/>
        </w:rPr>
        <w:t xml:space="preserve"> </w:t>
      </w:r>
      <w:r w:rsidRPr="00FD40B8">
        <w:rPr>
          <w:color w:val="131727" w:themeColor="text1"/>
          <w:w w:val="105"/>
          <w:sz w:val="16"/>
        </w:rPr>
        <w:t>Australian</w:t>
      </w:r>
      <w:r w:rsidRPr="00FD40B8">
        <w:rPr>
          <w:color w:val="131727" w:themeColor="text1"/>
          <w:spacing w:val="30"/>
          <w:w w:val="105"/>
          <w:sz w:val="16"/>
        </w:rPr>
        <w:t xml:space="preserve"> </w:t>
      </w:r>
      <w:r w:rsidRPr="00FD40B8">
        <w:rPr>
          <w:color w:val="131727" w:themeColor="text1"/>
          <w:w w:val="105"/>
          <w:sz w:val="16"/>
        </w:rPr>
        <w:t>Institute</w:t>
      </w:r>
      <w:r w:rsidRPr="00FD40B8">
        <w:rPr>
          <w:color w:val="131727" w:themeColor="text1"/>
          <w:spacing w:val="26"/>
          <w:w w:val="105"/>
          <w:sz w:val="16"/>
        </w:rPr>
        <w:t xml:space="preserve"> </w:t>
      </w:r>
      <w:r w:rsidRPr="00FD40B8">
        <w:rPr>
          <w:color w:val="131727" w:themeColor="text1"/>
          <w:w w:val="105"/>
          <w:sz w:val="16"/>
        </w:rPr>
        <w:t>of</w:t>
      </w:r>
      <w:r w:rsidRPr="00FD40B8">
        <w:rPr>
          <w:color w:val="131727" w:themeColor="text1"/>
          <w:spacing w:val="27"/>
          <w:w w:val="105"/>
          <w:sz w:val="16"/>
        </w:rPr>
        <w:t xml:space="preserve"> </w:t>
      </w:r>
      <w:r w:rsidRPr="00FD40B8">
        <w:rPr>
          <w:color w:val="131727" w:themeColor="text1"/>
          <w:w w:val="105"/>
          <w:sz w:val="16"/>
        </w:rPr>
        <w:t>Health</w:t>
      </w:r>
      <w:r w:rsidRPr="00FD40B8">
        <w:rPr>
          <w:color w:val="131727" w:themeColor="text1"/>
          <w:spacing w:val="30"/>
          <w:w w:val="105"/>
          <w:sz w:val="16"/>
        </w:rPr>
        <w:t xml:space="preserve"> </w:t>
      </w:r>
      <w:r w:rsidRPr="00FD40B8">
        <w:rPr>
          <w:color w:val="131727" w:themeColor="text1"/>
          <w:w w:val="105"/>
          <w:sz w:val="16"/>
        </w:rPr>
        <w:t>and</w:t>
      </w:r>
      <w:r w:rsidRPr="00FD40B8">
        <w:rPr>
          <w:color w:val="131727" w:themeColor="text1"/>
          <w:spacing w:val="29"/>
          <w:w w:val="105"/>
          <w:sz w:val="16"/>
        </w:rPr>
        <w:t xml:space="preserve"> </w:t>
      </w:r>
      <w:r w:rsidRPr="00FD40B8">
        <w:rPr>
          <w:color w:val="131727" w:themeColor="text1"/>
          <w:w w:val="105"/>
          <w:sz w:val="16"/>
        </w:rPr>
        <w:t>Welfare</w:t>
      </w:r>
      <w:r w:rsidRPr="00FD40B8">
        <w:rPr>
          <w:color w:val="131727" w:themeColor="text1"/>
          <w:spacing w:val="26"/>
          <w:w w:val="105"/>
          <w:sz w:val="16"/>
        </w:rPr>
        <w:t xml:space="preserve"> </w:t>
      </w:r>
      <w:r w:rsidRPr="00FD40B8">
        <w:rPr>
          <w:color w:val="131727" w:themeColor="text1"/>
          <w:w w:val="105"/>
          <w:sz w:val="16"/>
        </w:rPr>
        <w:t>&amp;</w:t>
      </w:r>
      <w:r w:rsidRPr="00FD40B8">
        <w:rPr>
          <w:color w:val="131727" w:themeColor="text1"/>
          <w:spacing w:val="29"/>
          <w:w w:val="105"/>
          <w:sz w:val="16"/>
        </w:rPr>
        <w:t xml:space="preserve"> </w:t>
      </w:r>
      <w:r w:rsidRPr="00FD40B8">
        <w:rPr>
          <w:color w:val="131727" w:themeColor="text1"/>
          <w:w w:val="105"/>
          <w:sz w:val="16"/>
        </w:rPr>
        <w:t>Melbourne:</w:t>
      </w:r>
      <w:r w:rsidRPr="00FD40B8">
        <w:rPr>
          <w:color w:val="131727" w:themeColor="text1"/>
          <w:spacing w:val="27"/>
          <w:w w:val="105"/>
          <w:sz w:val="16"/>
        </w:rPr>
        <w:t xml:space="preserve"> </w:t>
      </w:r>
      <w:r w:rsidRPr="00FD40B8">
        <w:rPr>
          <w:color w:val="131727" w:themeColor="text1"/>
          <w:w w:val="105"/>
          <w:sz w:val="16"/>
        </w:rPr>
        <w:t>Australian</w:t>
      </w:r>
      <w:r w:rsidRPr="00FD40B8">
        <w:rPr>
          <w:color w:val="131727" w:themeColor="text1"/>
          <w:spacing w:val="30"/>
          <w:w w:val="105"/>
          <w:sz w:val="16"/>
        </w:rPr>
        <w:t xml:space="preserve"> </w:t>
      </w:r>
      <w:r w:rsidRPr="00FD40B8">
        <w:rPr>
          <w:color w:val="131727" w:themeColor="text1"/>
          <w:w w:val="105"/>
          <w:sz w:val="16"/>
        </w:rPr>
        <w:t>Institute</w:t>
      </w:r>
      <w:r w:rsidRPr="00FD40B8">
        <w:rPr>
          <w:color w:val="131727" w:themeColor="text1"/>
          <w:spacing w:val="26"/>
          <w:w w:val="105"/>
          <w:sz w:val="16"/>
        </w:rPr>
        <w:t xml:space="preserve"> </w:t>
      </w:r>
      <w:r w:rsidRPr="00FD40B8">
        <w:rPr>
          <w:color w:val="131727" w:themeColor="text1"/>
          <w:w w:val="105"/>
          <w:sz w:val="16"/>
        </w:rPr>
        <w:t>of</w:t>
      </w:r>
      <w:r w:rsidRPr="00FD40B8">
        <w:rPr>
          <w:color w:val="131727" w:themeColor="text1"/>
          <w:spacing w:val="27"/>
          <w:w w:val="105"/>
          <w:sz w:val="16"/>
        </w:rPr>
        <w:t xml:space="preserve"> </w:t>
      </w:r>
      <w:r w:rsidRPr="00FD40B8">
        <w:rPr>
          <w:color w:val="131727" w:themeColor="text1"/>
          <w:w w:val="105"/>
          <w:sz w:val="16"/>
        </w:rPr>
        <w:t>Family</w:t>
      </w:r>
      <w:r w:rsidRPr="00FD40B8">
        <w:rPr>
          <w:color w:val="131727" w:themeColor="text1"/>
          <w:spacing w:val="26"/>
          <w:w w:val="105"/>
          <w:sz w:val="16"/>
        </w:rPr>
        <w:t xml:space="preserve"> </w:t>
      </w:r>
      <w:r w:rsidRPr="00FD40B8">
        <w:rPr>
          <w:color w:val="131727" w:themeColor="text1"/>
          <w:w w:val="105"/>
          <w:sz w:val="16"/>
        </w:rPr>
        <w:t>Studies.</w:t>
      </w:r>
      <w:r w:rsidRPr="00FD40B8">
        <w:rPr>
          <w:color w:val="131727" w:themeColor="text1"/>
          <w:spacing w:val="33"/>
          <w:w w:val="105"/>
          <w:sz w:val="16"/>
        </w:rPr>
        <w:t xml:space="preserve"> </w:t>
      </w:r>
      <w:bookmarkStart w:id="135" w:name="_bookmark24"/>
      <w:bookmarkEnd w:id="135"/>
      <w:r w:rsidRPr="00FD40B8">
        <w:rPr>
          <w:color w:val="131727" w:themeColor="text1"/>
          <w:w w:val="105"/>
          <w:position w:val="6"/>
          <w:sz w:val="10"/>
        </w:rPr>
        <w:t>18</w:t>
      </w:r>
      <w:r w:rsidRPr="00FD40B8">
        <w:rPr>
          <w:color w:val="131727" w:themeColor="text1"/>
          <w:spacing w:val="40"/>
          <w:w w:val="105"/>
          <w:position w:val="6"/>
          <w:sz w:val="10"/>
        </w:rPr>
        <w:t xml:space="preserve"> </w:t>
      </w:r>
      <w:r w:rsidRPr="00FD40B8">
        <w:rPr>
          <w:color w:val="131727" w:themeColor="text1"/>
          <w:w w:val="105"/>
          <w:sz w:val="16"/>
        </w:rPr>
        <w:t>Dillon,</w:t>
      </w:r>
      <w:r w:rsidRPr="00FD40B8">
        <w:rPr>
          <w:color w:val="131727" w:themeColor="text1"/>
          <w:spacing w:val="27"/>
          <w:w w:val="105"/>
          <w:sz w:val="16"/>
        </w:rPr>
        <w:t xml:space="preserve"> </w:t>
      </w:r>
      <w:r w:rsidRPr="00FD40B8">
        <w:rPr>
          <w:color w:val="131727" w:themeColor="text1"/>
          <w:w w:val="105"/>
          <w:sz w:val="16"/>
        </w:rPr>
        <w:t>M.C.</w:t>
      </w:r>
      <w:r w:rsidRPr="00FD40B8">
        <w:rPr>
          <w:color w:val="131727" w:themeColor="text1"/>
          <w:spacing w:val="28"/>
          <w:w w:val="105"/>
          <w:sz w:val="16"/>
        </w:rPr>
        <w:t xml:space="preserve"> </w:t>
      </w:r>
      <w:r w:rsidRPr="00FD40B8">
        <w:rPr>
          <w:color w:val="131727" w:themeColor="text1"/>
          <w:w w:val="105"/>
          <w:sz w:val="16"/>
        </w:rPr>
        <w:t>3</w:t>
      </w:r>
      <w:r w:rsidRPr="00FD40B8">
        <w:rPr>
          <w:color w:val="131727" w:themeColor="text1"/>
          <w:spacing w:val="28"/>
          <w:w w:val="105"/>
          <w:sz w:val="16"/>
        </w:rPr>
        <w:t xml:space="preserve"> </w:t>
      </w:r>
      <w:r w:rsidRPr="00FD40B8">
        <w:rPr>
          <w:color w:val="131727" w:themeColor="text1"/>
          <w:w w:val="105"/>
          <w:sz w:val="16"/>
        </w:rPr>
        <w:t>February</w:t>
      </w:r>
      <w:r w:rsidRPr="00FD40B8">
        <w:rPr>
          <w:color w:val="131727" w:themeColor="text1"/>
          <w:spacing w:val="27"/>
          <w:w w:val="105"/>
          <w:sz w:val="16"/>
        </w:rPr>
        <w:t xml:space="preserve"> </w:t>
      </w:r>
      <w:r w:rsidRPr="00FD40B8">
        <w:rPr>
          <w:color w:val="131727" w:themeColor="text1"/>
          <w:w w:val="105"/>
          <w:sz w:val="16"/>
        </w:rPr>
        <w:t>2022.</w:t>
      </w:r>
      <w:r w:rsidRPr="00FD40B8">
        <w:rPr>
          <w:color w:val="131727" w:themeColor="text1"/>
          <w:spacing w:val="20"/>
          <w:w w:val="105"/>
          <w:sz w:val="16"/>
        </w:rPr>
        <w:t xml:space="preserve"> </w:t>
      </w:r>
      <w:r w:rsidRPr="00FD40B8">
        <w:rPr>
          <w:color w:val="131727" w:themeColor="text1"/>
          <w:w w:val="105"/>
          <w:sz w:val="16"/>
        </w:rPr>
        <w:t>Remote</w:t>
      </w:r>
      <w:r w:rsidRPr="00FD40B8">
        <w:rPr>
          <w:color w:val="131727" w:themeColor="text1"/>
          <w:spacing w:val="27"/>
          <w:w w:val="105"/>
          <w:sz w:val="16"/>
        </w:rPr>
        <w:t xml:space="preserve"> </w:t>
      </w:r>
      <w:r w:rsidRPr="00FD40B8">
        <w:rPr>
          <w:color w:val="131727" w:themeColor="text1"/>
          <w:w w:val="105"/>
          <w:sz w:val="16"/>
        </w:rPr>
        <w:t>Indigenous</w:t>
      </w:r>
      <w:r w:rsidRPr="00FD40B8">
        <w:rPr>
          <w:color w:val="131727" w:themeColor="text1"/>
          <w:spacing w:val="25"/>
          <w:w w:val="105"/>
          <w:sz w:val="16"/>
        </w:rPr>
        <w:t xml:space="preserve"> </w:t>
      </w:r>
      <w:r w:rsidRPr="00FD40B8">
        <w:rPr>
          <w:color w:val="131727" w:themeColor="text1"/>
          <w:w w:val="105"/>
          <w:sz w:val="16"/>
        </w:rPr>
        <w:t>housing</w:t>
      </w:r>
      <w:r w:rsidRPr="00FD40B8">
        <w:rPr>
          <w:color w:val="131727" w:themeColor="text1"/>
          <w:spacing w:val="25"/>
          <w:w w:val="105"/>
          <w:sz w:val="16"/>
        </w:rPr>
        <w:t xml:space="preserve"> </w:t>
      </w:r>
      <w:r w:rsidRPr="00FD40B8">
        <w:rPr>
          <w:color w:val="131727" w:themeColor="text1"/>
          <w:w w:val="105"/>
          <w:sz w:val="16"/>
        </w:rPr>
        <w:t>requires</w:t>
      </w:r>
      <w:r w:rsidRPr="00FD40B8">
        <w:rPr>
          <w:color w:val="131727" w:themeColor="text1"/>
          <w:spacing w:val="31"/>
          <w:w w:val="105"/>
          <w:sz w:val="16"/>
        </w:rPr>
        <w:t xml:space="preserve"> </w:t>
      </w:r>
      <w:r w:rsidRPr="00FD40B8">
        <w:rPr>
          <w:color w:val="131727" w:themeColor="text1"/>
          <w:w w:val="105"/>
          <w:sz w:val="16"/>
        </w:rPr>
        <w:t>ongoing</w:t>
      </w:r>
      <w:r w:rsidRPr="00FD40B8">
        <w:rPr>
          <w:color w:val="131727" w:themeColor="text1"/>
          <w:spacing w:val="25"/>
          <w:w w:val="105"/>
          <w:sz w:val="16"/>
        </w:rPr>
        <w:t xml:space="preserve"> </w:t>
      </w:r>
      <w:r w:rsidRPr="00FD40B8">
        <w:rPr>
          <w:color w:val="131727" w:themeColor="text1"/>
          <w:w w:val="105"/>
          <w:sz w:val="16"/>
        </w:rPr>
        <w:t>policy</w:t>
      </w:r>
      <w:r w:rsidRPr="00FD40B8">
        <w:rPr>
          <w:color w:val="131727" w:themeColor="text1"/>
          <w:spacing w:val="27"/>
          <w:w w:val="105"/>
          <w:sz w:val="16"/>
        </w:rPr>
        <w:t xml:space="preserve"> </w:t>
      </w:r>
      <w:r w:rsidRPr="00FD40B8">
        <w:rPr>
          <w:color w:val="131727" w:themeColor="text1"/>
          <w:w w:val="105"/>
          <w:sz w:val="16"/>
        </w:rPr>
        <w:t>focus:</w:t>
      </w:r>
      <w:r w:rsidRPr="00FD40B8">
        <w:rPr>
          <w:color w:val="131727" w:themeColor="text1"/>
          <w:spacing w:val="28"/>
          <w:w w:val="105"/>
          <w:sz w:val="16"/>
        </w:rPr>
        <w:t xml:space="preserve"> </w:t>
      </w:r>
      <w:r w:rsidRPr="00FD40B8">
        <w:rPr>
          <w:color w:val="131727" w:themeColor="text1"/>
          <w:w w:val="105"/>
          <w:sz w:val="16"/>
        </w:rPr>
        <w:t>Submission</w:t>
      </w:r>
      <w:r w:rsidRPr="00FD40B8">
        <w:rPr>
          <w:color w:val="131727" w:themeColor="text1"/>
          <w:spacing w:val="31"/>
          <w:w w:val="105"/>
          <w:sz w:val="16"/>
        </w:rPr>
        <w:t xml:space="preserve"> </w:t>
      </w:r>
      <w:r w:rsidRPr="00FD40B8">
        <w:rPr>
          <w:color w:val="131727" w:themeColor="text1"/>
          <w:w w:val="105"/>
          <w:sz w:val="16"/>
        </w:rPr>
        <w:t>to</w:t>
      </w:r>
      <w:r w:rsidRPr="00FD40B8">
        <w:rPr>
          <w:color w:val="131727" w:themeColor="text1"/>
          <w:spacing w:val="25"/>
          <w:w w:val="105"/>
          <w:sz w:val="16"/>
        </w:rPr>
        <w:t xml:space="preserve"> </w:t>
      </w:r>
      <w:r w:rsidRPr="00FD40B8">
        <w:rPr>
          <w:color w:val="131727" w:themeColor="text1"/>
          <w:w w:val="105"/>
          <w:sz w:val="16"/>
        </w:rPr>
        <w:t>the</w:t>
      </w:r>
      <w:r w:rsidRPr="00FD40B8">
        <w:rPr>
          <w:color w:val="131727" w:themeColor="text1"/>
          <w:spacing w:val="27"/>
          <w:w w:val="105"/>
          <w:sz w:val="16"/>
        </w:rPr>
        <w:t xml:space="preserve"> </w:t>
      </w:r>
      <w:r w:rsidRPr="00FD40B8">
        <w:rPr>
          <w:color w:val="131727" w:themeColor="text1"/>
          <w:w w:val="105"/>
          <w:sz w:val="16"/>
        </w:rPr>
        <w:t>Review</w:t>
      </w:r>
      <w:r w:rsidRPr="00FD40B8">
        <w:rPr>
          <w:color w:val="131727" w:themeColor="text1"/>
          <w:spacing w:val="28"/>
          <w:w w:val="105"/>
          <w:sz w:val="16"/>
        </w:rPr>
        <w:t xml:space="preserve"> </w:t>
      </w:r>
      <w:r w:rsidRPr="00FD40B8">
        <w:rPr>
          <w:color w:val="131727" w:themeColor="text1"/>
          <w:w w:val="105"/>
          <w:sz w:val="16"/>
        </w:rPr>
        <w:t>of</w:t>
      </w:r>
      <w:r w:rsidRPr="00FD40B8">
        <w:rPr>
          <w:color w:val="131727" w:themeColor="text1"/>
          <w:spacing w:val="28"/>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National</w:t>
      </w:r>
      <w:r w:rsidRPr="00FD40B8">
        <w:rPr>
          <w:color w:val="131727" w:themeColor="text1"/>
          <w:spacing w:val="38"/>
          <w:w w:val="105"/>
          <w:sz w:val="16"/>
        </w:rPr>
        <w:t xml:space="preserve"> </w:t>
      </w:r>
      <w:r w:rsidRPr="00FD40B8">
        <w:rPr>
          <w:color w:val="131727" w:themeColor="text1"/>
          <w:w w:val="105"/>
          <w:sz w:val="16"/>
        </w:rPr>
        <w:t>Housing</w:t>
      </w:r>
      <w:r w:rsidRPr="00FD40B8">
        <w:rPr>
          <w:color w:val="131727" w:themeColor="text1"/>
          <w:spacing w:val="40"/>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Homelessness</w:t>
      </w:r>
      <w:r w:rsidRPr="00FD40B8">
        <w:rPr>
          <w:color w:val="131727" w:themeColor="text1"/>
          <w:spacing w:val="40"/>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Centre</w:t>
      </w:r>
      <w:r w:rsidRPr="00FD40B8">
        <w:rPr>
          <w:color w:val="131727" w:themeColor="text1"/>
          <w:spacing w:val="40"/>
          <w:w w:val="105"/>
          <w:sz w:val="16"/>
        </w:rPr>
        <w:t xml:space="preserve"> </w:t>
      </w:r>
      <w:r w:rsidRPr="00FD40B8">
        <w:rPr>
          <w:color w:val="131727" w:themeColor="text1"/>
          <w:w w:val="105"/>
          <w:sz w:val="16"/>
        </w:rPr>
        <w:t>for</w:t>
      </w:r>
      <w:r w:rsidRPr="00FD40B8">
        <w:rPr>
          <w:color w:val="131727" w:themeColor="text1"/>
          <w:spacing w:val="40"/>
          <w:w w:val="105"/>
          <w:sz w:val="16"/>
        </w:rPr>
        <w:t xml:space="preserve"> </w:t>
      </w:r>
      <w:r w:rsidRPr="00FD40B8">
        <w:rPr>
          <w:color w:val="131727" w:themeColor="text1"/>
          <w:w w:val="105"/>
          <w:sz w:val="16"/>
        </w:rPr>
        <w:t>Aboriginal</w:t>
      </w:r>
      <w:r w:rsidRPr="00FD40B8">
        <w:rPr>
          <w:color w:val="131727" w:themeColor="text1"/>
          <w:spacing w:val="38"/>
          <w:w w:val="105"/>
          <w:sz w:val="16"/>
        </w:rPr>
        <w:t xml:space="preserve"> </w:t>
      </w:r>
      <w:r w:rsidRPr="00FD40B8">
        <w:rPr>
          <w:color w:val="131727" w:themeColor="text1"/>
          <w:w w:val="105"/>
          <w:sz w:val="16"/>
        </w:rPr>
        <w:t>Economic</w:t>
      </w:r>
      <w:r w:rsidRPr="00FD40B8">
        <w:rPr>
          <w:color w:val="131727" w:themeColor="text1"/>
          <w:spacing w:val="40"/>
          <w:w w:val="105"/>
          <w:sz w:val="16"/>
        </w:rPr>
        <w:t xml:space="preserve"> </w:t>
      </w:r>
      <w:r w:rsidRPr="00FD40B8">
        <w:rPr>
          <w:color w:val="131727" w:themeColor="text1"/>
          <w:w w:val="105"/>
          <w:sz w:val="16"/>
        </w:rPr>
        <w:t>Policy</w:t>
      </w:r>
      <w:r w:rsidRPr="00FD40B8">
        <w:rPr>
          <w:color w:val="131727" w:themeColor="text1"/>
          <w:spacing w:val="40"/>
          <w:w w:val="105"/>
          <w:sz w:val="16"/>
        </w:rPr>
        <w:t xml:space="preserve"> </w:t>
      </w:r>
      <w:r w:rsidRPr="00FD40B8">
        <w:rPr>
          <w:color w:val="131727" w:themeColor="text1"/>
          <w:w w:val="105"/>
          <w:sz w:val="16"/>
        </w:rPr>
        <w:t>Research,</w:t>
      </w:r>
      <w:r w:rsidRPr="00FD40B8">
        <w:rPr>
          <w:color w:val="131727" w:themeColor="text1"/>
          <w:spacing w:val="40"/>
          <w:w w:val="105"/>
          <w:sz w:val="16"/>
        </w:rPr>
        <w:t xml:space="preserve"> </w:t>
      </w:r>
      <w:r w:rsidRPr="00FD40B8">
        <w:rPr>
          <w:color w:val="131727" w:themeColor="text1"/>
          <w:w w:val="105"/>
          <w:sz w:val="16"/>
        </w:rPr>
        <w:t>ANU</w:t>
      </w:r>
      <w:r w:rsidRPr="00FD40B8">
        <w:rPr>
          <w:color w:val="131727" w:themeColor="text1"/>
          <w:spacing w:val="40"/>
          <w:w w:val="105"/>
          <w:sz w:val="16"/>
        </w:rPr>
        <w:t xml:space="preserve"> </w:t>
      </w:r>
      <w:r w:rsidRPr="00FD40B8">
        <w:rPr>
          <w:color w:val="131727" w:themeColor="text1"/>
          <w:w w:val="105"/>
          <w:sz w:val="16"/>
        </w:rPr>
        <w:t>Canberra</w:t>
      </w:r>
    </w:p>
    <w:p w14:paraId="67A0EBF1" w14:textId="77777777" w:rsidR="00811887" w:rsidRPr="00FD40B8" w:rsidRDefault="00811887" w:rsidP="00811887">
      <w:pPr>
        <w:spacing w:line="195" w:lineRule="exact"/>
        <w:ind w:left="508"/>
        <w:rPr>
          <w:color w:val="131727" w:themeColor="text1"/>
          <w:sz w:val="16"/>
        </w:rPr>
      </w:pPr>
      <w:bookmarkStart w:id="136" w:name="_bookmark25"/>
      <w:bookmarkEnd w:id="136"/>
      <w:r w:rsidRPr="00FD40B8">
        <w:rPr>
          <w:color w:val="131727" w:themeColor="text1"/>
          <w:w w:val="105"/>
          <w:position w:val="6"/>
          <w:sz w:val="10"/>
        </w:rPr>
        <w:lastRenderedPageBreak/>
        <w:t>19</w:t>
      </w:r>
      <w:r w:rsidRPr="00FD40B8">
        <w:rPr>
          <w:color w:val="131727" w:themeColor="text1"/>
          <w:spacing w:val="24"/>
          <w:w w:val="105"/>
          <w:position w:val="6"/>
          <w:sz w:val="10"/>
        </w:rPr>
        <w:t xml:space="preserve"> </w:t>
      </w:r>
      <w:r w:rsidRPr="00FD40B8">
        <w:rPr>
          <w:color w:val="131727" w:themeColor="text1"/>
          <w:w w:val="105"/>
          <w:sz w:val="16"/>
        </w:rPr>
        <w:t>WHO,</w:t>
      </w:r>
      <w:r w:rsidRPr="00FD40B8">
        <w:rPr>
          <w:color w:val="131727" w:themeColor="text1"/>
          <w:spacing w:val="9"/>
          <w:w w:val="105"/>
          <w:sz w:val="16"/>
        </w:rPr>
        <w:t xml:space="preserve"> </w:t>
      </w:r>
      <w:r w:rsidRPr="00FD40B8">
        <w:rPr>
          <w:color w:val="131727" w:themeColor="text1"/>
          <w:w w:val="105"/>
          <w:sz w:val="16"/>
        </w:rPr>
        <w:t>2018,</w:t>
      </w:r>
      <w:r w:rsidRPr="00FD40B8">
        <w:rPr>
          <w:color w:val="131727" w:themeColor="text1"/>
          <w:spacing w:val="9"/>
          <w:w w:val="105"/>
          <w:sz w:val="16"/>
        </w:rPr>
        <w:t xml:space="preserve"> </w:t>
      </w:r>
      <w:r w:rsidRPr="00FD40B8">
        <w:rPr>
          <w:color w:val="131727" w:themeColor="text1"/>
          <w:w w:val="105"/>
          <w:sz w:val="16"/>
        </w:rPr>
        <w:t>p.</w:t>
      </w:r>
      <w:r w:rsidRPr="00FD40B8">
        <w:rPr>
          <w:color w:val="131727" w:themeColor="text1"/>
          <w:spacing w:val="11"/>
          <w:w w:val="105"/>
          <w:sz w:val="16"/>
        </w:rPr>
        <w:t xml:space="preserve"> </w:t>
      </w:r>
      <w:r w:rsidRPr="00FD40B8">
        <w:rPr>
          <w:color w:val="131727" w:themeColor="text1"/>
          <w:spacing w:val="-5"/>
          <w:w w:val="105"/>
          <w:sz w:val="16"/>
        </w:rPr>
        <w:t>xv.</w:t>
      </w:r>
    </w:p>
    <w:p w14:paraId="23887629" w14:textId="77777777" w:rsidR="00811887" w:rsidRPr="00FD40B8" w:rsidRDefault="00811887" w:rsidP="00811887">
      <w:pPr>
        <w:spacing w:before="23" w:line="266" w:lineRule="auto"/>
        <w:ind w:left="508" w:right="598"/>
        <w:rPr>
          <w:color w:val="131727" w:themeColor="text1"/>
          <w:sz w:val="16"/>
        </w:rPr>
      </w:pPr>
      <w:bookmarkStart w:id="137" w:name="_bookmark26"/>
      <w:bookmarkEnd w:id="137"/>
      <w:r w:rsidRPr="00FD40B8">
        <w:rPr>
          <w:color w:val="131727" w:themeColor="text1"/>
          <w:w w:val="105"/>
          <w:position w:val="6"/>
          <w:sz w:val="10"/>
        </w:rPr>
        <w:t>20</w:t>
      </w:r>
      <w:r w:rsidRPr="00FD40B8">
        <w:rPr>
          <w:color w:val="131727" w:themeColor="text1"/>
          <w:spacing w:val="31"/>
          <w:w w:val="105"/>
          <w:position w:val="6"/>
          <w:sz w:val="10"/>
        </w:rPr>
        <w:t xml:space="preserve"> </w:t>
      </w:r>
      <w:r w:rsidRPr="00FD40B8">
        <w:rPr>
          <w:color w:val="131727" w:themeColor="text1"/>
          <w:w w:val="105"/>
          <w:sz w:val="16"/>
        </w:rPr>
        <w:t>AIHW. 2023. Tier 2 – Determinants of health: 2.01 Housing. Available at:</w:t>
      </w:r>
      <w:r w:rsidRPr="00FD40B8">
        <w:rPr>
          <w:color w:val="131727" w:themeColor="text1"/>
          <w:spacing w:val="27"/>
          <w:w w:val="105"/>
          <w:sz w:val="16"/>
        </w:rPr>
        <w:t xml:space="preserve"> </w:t>
      </w:r>
      <w:hyperlink r:id="rId81" w:anchor="references">
        <w:r w:rsidRPr="00FD40B8">
          <w:rPr>
            <w:color w:val="131727" w:themeColor="text1"/>
            <w:w w:val="105"/>
            <w:sz w:val="16"/>
          </w:rPr>
          <w:t>www.indigenoushpf.gov.au/measures/2-01-</w:t>
        </w:r>
      </w:hyperlink>
      <w:r w:rsidRPr="00FD40B8">
        <w:rPr>
          <w:color w:val="131727" w:themeColor="text1"/>
          <w:spacing w:val="40"/>
          <w:w w:val="105"/>
          <w:sz w:val="16"/>
        </w:rPr>
        <w:t xml:space="preserve"> </w:t>
      </w:r>
      <w:hyperlink r:id="rId82" w:anchor="references">
        <w:r w:rsidRPr="00FD40B8">
          <w:rPr>
            <w:color w:val="131727" w:themeColor="text1"/>
            <w:spacing w:val="-2"/>
            <w:w w:val="105"/>
            <w:sz w:val="16"/>
          </w:rPr>
          <w:t>housing#references.</w:t>
        </w:r>
      </w:hyperlink>
    </w:p>
    <w:p w14:paraId="4529D52A" w14:textId="77777777" w:rsidR="00811887" w:rsidRPr="00FD40B8" w:rsidRDefault="00811887" w:rsidP="00811887">
      <w:pPr>
        <w:spacing w:line="266" w:lineRule="auto"/>
        <w:rPr>
          <w:color w:val="131727" w:themeColor="text1"/>
          <w:sz w:val="16"/>
        </w:rPr>
        <w:sectPr w:rsidR="00811887" w:rsidRPr="00FD40B8" w:rsidSect="00811887">
          <w:pgSz w:w="11910" w:h="16840"/>
          <w:pgMar w:top="1400" w:right="720" w:bottom="1080" w:left="740" w:header="0" w:footer="885" w:gutter="0"/>
          <w:cols w:space="720"/>
        </w:sectPr>
      </w:pPr>
    </w:p>
    <w:p w14:paraId="70E39707" w14:textId="77777777" w:rsidR="00811887" w:rsidRPr="00FD40B8" w:rsidRDefault="00811887" w:rsidP="00811887">
      <w:pPr>
        <w:pStyle w:val="BodyText"/>
        <w:spacing w:before="103" w:line="264" w:lineRule="auto"/>
        <w:ind w:left="508" w:right="598"/>
        <w:rPr>
          <w:color w:val="131727" w:themeColor="text1"/>
          <w:sz w:val="13"/>
        </w:rPr>
      </w:pPr>
      <w:r w:rsidRPr="00FD40B8">
        <w:rPr>
          <w:color w:val="131727" w:themeColor="text1"/>
          <w:w w:val="110"/>
        </w:rPr>
        <w:lastRenderedPageBreak/>
        <w:t>There is also a clear economic rationale for social housing investment for Aboriginal and Torres Strait Islander people where “upfront investment in housing interventions is a cost-effective means of improving</w:t>
      </w:r>
      <w:r w:rsidRPr="00FD40B8">
        <w:rPr>
          <w:color w:val="131727" w:themeColor="text1"/>
          <w:spacing w:val="-10"/>
          <w:w w:val="110"/>
        </w:rPr>
        <w:t xml:space="preserve"> </w:t>
      </w:r>
      <w:r w:rsidRPr="00FD40B8">
        <w:rPr>
          <w:color w:val="131727" w:themeColor="text1"/>
          <w:w w:val="110"/>
        </w:rPr>
        <w:t>Indigenous</w:t>
      </w:r>
      <w:r w:rsidRPr="00FD40B8">
        <w:rPr>
          <w:color w:val="131727" w:themeColor="text1"/>
          <w:spacing w:val="-4"/>
          <w:w w:val="110"/>
        </w:rPr>
        <w:t xml:space="preserve"> </w:t>
      </w:r>
      <w:r w:rsidRPr="00FD40B8">
        <w:rPr>
          <w:color w:val="131727" w:themeColor="text1"/>
          <w:w w:val="110"/>
        </w:rPr>
        <w:t>health</w:t>
      </w:r>
      <w:r w:rsidRPr="00FD40B8">
        <w:rPr>
          <w:color w:val="131727" w:themeColor="text1"/>
          <w:spacing w:val="-9"/>
          <w:w w:val="110"/>
        </w:rPr>
        <w:t xml:space="preserve"> </w:t>
      </w:r>
      <w:r w:rsidRPr="00FD40B8">
        <w:rPr>
          <w:color w:val="131727" w:themeColor="text1"/>
          <w:w w:val="110"/>
        </w:rPr>
        <w:t>outcomes</w:t>
      </w:r>
      <w:r w:rsidRPr="00FD40B8">
        <w:rPr>
          <w:color w:val="131727" w:themeColor="text1"/>
          <w:spacing w:val="-8"/>
          <w:w w:val="110"/>
        </w:rPr>
        <w:t xml:space="preserve"> </w:t>
      </w:r>
      <w:r w:rsidRPr="00FD40B8">
        <w:rPr>
          <w:color w:val="131727" w:themeColor="text1"/>
          <w:w w:val="110"/>
        </w:rPr>
        <w:t>over</w:t>
      </w:r>
      <w:r w:rsidRPr="00FD40B8">
        <w:rPr>
          <w:color w:val="131727" w:themeColor="text1"/>
          <w:spacing w:val="-8"/>
          <w:w w:val="110"/>
        </w:rPr>
        <w:t xml:space="preserve"> </w:t>
      </w:r>
      <w:r w:rsidRPr="00FD40B8">
        <w:rPr>
          <w:color w:val="131727" w:themeColor="text1"/>
          <w:w w:val="110"/>
        </w:rPr>
        <w:t>the</w:t>
      </w:r>
      <w:r w:rsidRPr="00FD40B8">
        <w:rPr>
          <w:color w:val="131727" w:themeColor="text1"/>
          <w:spacing w:val="-10"/>
          <w:w w:val="110"/>
        </w:rPr>
        <w:t xml:space="preserve"> </w:t>
      </w:r>
      <w:r w:rsidRPr="00FD40B8">
        <w:rPr>
          <w:color w:val="131727" w:themeColor="text1"/>
          <w:w w:val="110"/>
        </w:rPr>
        <w:t>longer</w:t>
      </w:r>
      <w:r w:rsidRPr="00FD40B8">
        <w:rPr>
          <w:color w:val="131727" w:themeColor="text1"/>
          <w:spacing w:val="-8"/>
          <w:w w:val="110"/>
        </w:rPr>
        <w:t xml:space="preserve"> </w:t>
      </w:r>
      <w:r w:rsidRPr="00FD40B8">
        <w:rPr>
          <w:color w:val="131727" w:themeColor="text1"/>
          <w:w w:val="110"/>
        </w:rPr>
        <w:t>term”</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10"/>
          <w:w w:val="110"/>
        </w:rPr>
        <w:t xml:space="preserve"> </w:t>
      </w:r>
      <w:r w:rsidRPr="00FD40B8">
        <w:rPr>
          <w:color w:val="131727" w:themeColor="text1"/>
          <w:w w:val="110"/>
        </w:rPr>
        <w:t>“a</w:t>
      </w:r>
      <w:r w:rsidRPr="00FD40B8">
        <w:rPr>
          <w:color w:val="131727" w:themeColor="text1"/>
          <w:spacing w:val="-7"/>
          <w:w w:val="110"/>
        </w:rPr>
        <w:t xml:space="preserve"> </w:t>
      </w:r>
      <w:r w:rsidRPr="00FD40B8">
        <w:rPr>
          <w:color w:val="131727" w:themeColor="text1"/>
          <w:w w:val="110"/>
        </w:rPr>
        <w:t>major</w:t>
      </w:r>
      <w:r w:rsidRPr="00FD40B8">
        <w:rPr>
          <w:color w:val="131727" w:themeColor="text1"/>
          <w:spacing w:val="-8"/>
          <w:w w:val="110"/>
        </w:rPr>
        <w:t xml:space="preserve"> </w:t>
      </w:r>
      <w:r w:rsidRPr="00FD40B8">
        <w:rPr>
          <w:color w:val="131727" w:themeColor="text1"/>
          <w:w w:val="110"/>
        </w:rPr>
        <w:t>entry</w:t>
      </w:r>
      <w:r w:rsidRPr="00FD40B8">
        <w:rPr>
          <w:color w:val="131727" w:themeColor="text1"/>
          <w:spacing w:val="-8"/>
          <w:w w:val="110"/>
        </w:rPr>
        <w:t xml:space="preserve"> </w:t>
      </w:r>
      <w:r w:rsidRPr="00FD40B8">
        <w:rPr>
          <w:color w:val="131727" w:themeColor="text1"/>
          <w:w w:val="110"/>
        </w:rPr>
        <w:t>point</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11"/>
          <w:w w:val="110"/>
        </w:rPr>
        <w:t xml:space="preserve"> </w:t>
      </w:r>
      <w:r w:rsidRPr="00FD40B8">
        <w:rPr>
          <w:color w:val="131727" w:themeColor="text1"/>
          <w:w w:val="110"/>
        </w:rPr>
        <w:t>intersectoral public health programmes and primary prevention”</w:t>
      </w:r>
      <w:hyperlink w:anchor="_bookmark28" w:history="1">
        <w:r w:rsidRPr="00FD40B8">
          <w:rPr>
            <w:color w:val="131727" w:themeColor="text1"/>
            <w:w w:val="110"/>
          </w:rPr>
          <w:t>.</w:t>
        </w:r>
        <w:r w:rsidRPr="00FD40B8">
          <w:rPr>
            <w:color w:val="131727" w:themeColor="text1"/>
            <w:w w:val="110"/>
            <w:position w:val="8"/>
            <w:sz w:val="13"/>
          </w:rPr>
          <w:t>21</w:t>
        </w:r>
      </w:hyperlink>
    </w:p>
    <w:p w14:paraId="6625E186" w14:textId="77777777" w:rsidR="00811887" w:rsidRPr="00FD40B8" w:rsidRDefault="00811887" w:rsidP="00811887">
      <w:pPr>
        <w:pStyle w:val="BodyText"/>
        <w:spacing w:before="69"/>
        <w:rPr>
          <w:color w:val="131727" w:themeColor="text1"/>
        </w:rPr>
      </w:pPr>
    </w:p>
    <w:p w14:paraId="5649C6CB" w14:textId="77777777" w:rsidR="00811887" w:rsidRPr="00FD40B8" w:rsidRDefault="00811887" w:rsidP="00811887">
      <w:pPr>
        <w:pStyle w:val="Heading9"/>
        <w:rPr>
          <w:color w:val="131727" w:themeColor="text1"/>
        </w:rPr>
      </w:pPr>
      <w:bookmarkStart w:id="138" w:name="_bookmark27"/>
      <w:bookmarkEnd w:id="138"/>
      <w:r w:rsidRPr="00FD40B8">
        <w:rPr>
          <w:color w:val="131727" w:themeColor="text1"/>
          <w:w w:val="85"/>
        </w:rPr>
        <w:t>C</w:t>
      </w:r>
      <w:r w:rsidRPr="00FD40B8">
        <w:rPr>
          <w:color w:val="131727" w:themeColor="text1"/>
          <w:spacing w:val="-38"/>
          <w:w w:val="85"/>
        </w:rPr>
        <w:t xml:space="preserve"> </w:t>
      </w:r>
      <w:r w:rsidRPr="00FD40B8">
        <w:rPr>
          <w:color w:val="131727" w:themeColor="text1"/>
          <w:spacing w:val="22"/>
          <w:w w:val="85"/>
        </w:rPr>
        <w:t>URREN</w:t>
      </w:r>
      <w:r w:rsidRPr="00FD40B8">
        <w:rPr>
          <w:color w:val="131727" w:themeColor="text1"/>
          <w:spacing w:val="-36"/>
          <w:w w:val="85"/>
        </w:rPr>
        <w:t xml:space="preserve"> </w:t>
      </w:r>
      <w:r w:rsidRPr="00FD40B8">
        <w:rPr>
          <w:color w:val="131727" w:themeColor="text1"/>
          <w:w w:val="85"/>
        </w:rPr>
        <w:t>T</w:t>
      </w:r>
      <w:r w:rsidRPr="00FD40B8">
        <w:rPr>
          <w:color w:val="131727" w:themeColor="text1"/>
          <w:spacing w:val="40"/>
        </w:rPr>
        <w:t xml:space="preserve"> </w:t>
      </w:r>
      <w:r w:rsidRPr="00FD40B8">
        <w:rPr>
          <w:color w:val="131727" w:themeColor="text1"/>
          <w:w w:val="85"/>
        </w:rPr>
        <w:t>P</w:t>
      </w:r>
      <w:r w:rsidRPr="00FD40B8">
        <w:rPr>
          <w:color w:val="131727" w:themeColor="text1"/>
          <w:spacing w:val="-34"/>
          <w:w w:val="85"/>
        </w:rPr>
        <w:t xml:space="preserve"> </w:t>
      </w:r>
      <w:r w:rsidRPr="00FD40B8">
        <w:rPr>
          <w:color w:val="131727" w:themeColor="text1"/>
          <w:spacing w:val="13"/>
          <w:w w:val="85"/>
        </w:rPr>
        <w:t>IC</w:t>
      </w:r>
      <w:r w:rsidRPr="00FD40B8">
        <w:rPr>
          <w:color w:val="131727" w:themeColor="text1"/>
          <w:spacing w:val="-38"/>
          <w:w w:val="85"/>
        </w:rPr>
        <w:t xml:space="preserve"> </w:t>
      </w:r>
      <w:r w:rsidRPr="00FD40B8">
        <w:rPr>
          <w:color w:val="131727" w:themeColor="text1"/>
          <w:spacing w:val="13"/>
          <w:w w:val="85"/>
        </w:rPr>
        <w:t>TU</w:t>
      </w:r>
      <w:r w:rsidRPr="00FD40B8">
        <w:rPr>
          <w:color w:val="131727" w:themeColor="text1"/>
          <w:spacing w:val="-36"/>
          <w:w w:val="85"/>
        </w:rPr>
        <w:t xml:space="preserve"> </w:t>
      </w:r>
      <w:r w:rsidRPr="00FD40B8">
        <w:rPr>
          <w:color w:val="131727" w:themeColor="text1"/>
          <w:spacing w:val="14"/>
          <w:w w:val="85"/>
        </w:rPr>
        <w:t>RE</w:t>
      </w:r>
      <w:r w:rsidRPr="00FD40B8">
        <w:rPr>
          <w:color w:val="131727" w:themeColor="text1"/>
          <w:spacing w:val="45"/>
        </w:rPr>
        <w:t xml:space="preserve"> </w:t>
      </w:r>
      <w:r w:rsidRPr="00FD40B8">
        <w:rPr>
          <w:color w:val="131727" w:themeColor="text1"/>
          <w:spacing w:val="13"/>
          <w:w w:val="85"/>
        </w:rPr>
        <w:t>OF</w:t>
      </w:r>
      <w:r w:rsidRPr="00FD40B8">
        <w:rPr>
          <w:color w:val="131727" w:themeColor="text1"/>
          <w:spacing w:val="44"/>
        </w:rPr>
        <w:t xml:space="preserve"> </w:t>
      </w:r>
      <w:r w:rsidRPr="00FD40B8">
        <w:rPr>
          <w:color w:val="131727" w:themeColor="text1"/>
          <w:w w:val="85"/>
        </w:rPr>
        <w:t>H</w:t>
      </w:r>
      <w:r w:rsidRPr="00FD40B8">
        <w:rPr>
          <w:color w:val="131727" w:themeColor="text1"/>
          <w:spacing w:val="-38"/>
          <w:w w:val="85"/>
        </w:rPr>
        <w:t xml:space="preserve"> </w:t>
      </w:r>
      <w:r w:rsidRPr="00FD40B8">
        <w:rPr>
          <w:color w:val="131727" w:themeColor="text1"/>
          <w:spacing w:val="13"/>
          <w:w w:val="85"/>
        </w:rPr>
        <w:t>OM</w:t>
      </w:r>
      <w:r w:rsidRPr="00FD40B8">
        <w:rPr>
          <w:color w:val="131727" w:themeColor="text1"/>
          <w:spacing w:val="-36"/>
          <w:w w:val="85"/>
        </w:rPr>
        <w:t xml:space="preserve"> </w:t>
      </w:r>
      <w:r w:rsidRPr="00FD40B8">
        <w:rPr>
          <w:color w:val="131727" w:themeColor="text1"/>
          <w:spacing w:val="21"/>
          <w:w w:val="85"/>
        </w:rPr>
        <w:t>ELES</w:t>
      </w:r>
      <w:r w:rsidRPr="00FD40B8">
        <w:rPr>
          <w:color w:val="131727" w:themeColor="text1"/>
          <w:spacing w:val="-38"/>
          <w:w w:val="85"/>
        </w:rPr>
        <w:t xml:space="preserve"> </w:t>
      </w:r>
      <w:r w:rsidRPr="00FD40B8">
        <w:rPr>
          <w:color w:val="131727" w:themeColor="text1"/>
          <w:w w:val="85"/>
        </w:rPr>
        <w:t>S</w:t>
      </w:r>
      <w:r w:rsidRPr="00FD40B8">
        <w:rPr>
          <w:color w:val="131727" w:themeColor="text1"/>
          <w:spacing w:val="-38"/>
          <w:w w:val="85"/>
        </w:rPr>
        <w:t xml:space="preserve"> </w:t>
      </w:r>
      <w:r w:rsidRPr="00FD40B8">
        <w:rPr>
          <w:color w:val="131727" w:themeColor="text1"/>
          <w:w w:val="85"/>
        </w:rPr>
        <w:t>N</w:t>
      </w:r>
      <w:r w:rsidRPr="00FD40B8">
        <w:rPr>
          <w:color w:val="131727" w:themeColor="text1"/>
          <w:spacing w:val="-36"/>
          <w:w w:val="85"/>
        </w:rPr>
        <w:t xml:space="preserve"> </w:t>
      </w:r>
      <w:r w:rsidRPr="00FD40B8">
        <w:rPr>
          <w:color w:val="131727" w:themeColor="text1"/>
          <w:spacing w:val="14"/>
          <w:w w:val="85"/>
        </w:rPr>
        <w:t>ES</w:t>
      </w:r>
      <w:r w:rsidRPr="00FD40B8">
        <w:rPr>
          <w:color w:val="131727" w:themeColor="text1"/>
          <w:spacing w:val="-38"/>
          <w:w w:val="85"/>
        </w:rPr>
        <w:t xml:space="preserve"> </w:t>
      </w:r>
      <w:r w:rsidRPr="00FD40B8">
        <w:rPr>
          <w:color w:val="131727" w:themeColor="text1"/>
          <w:w w:val="85"/>
        </w:rPr>
        <w:t>S</w:t>
      </w:r>
      <w:r w:rsidRPr="00FD40B8">
        <w:rPr>
          <w:color w:val="131727" w:themeColor="text1"/>
          <w:spacing w:val="42"/>
        </w:rPr>
        <w:t xml:space="preserve"> </w:t>
      </w:r>
      <w:r w:rsidRPr="00FD40B8">
        <w:rPr>
          <w:color w:val="131727" w:themeColor="text1"/>
          <w:spacing w:val="18"/>
          <w:w w:val="85"/>
        </w:rPr>
        <w:t>AND</w:t>
      </w:r>
      <w:r w:rsidRPr="00FD40B8">
        <w:rPr>
          <w:color w:val="131727" w:themeColor="text1"/>
          <w:spacing w:val="40"/>
        </w:rPr>
        <w:t xml:space="preserve"> </w:t>
      </w:r>
      <w:r w:rsidRPr="00FD40B8">
        <w:rPr>
          <w:color w:val="131727" w:themeColor="text1"/>
          <w:w w:val="85"/>
        </w:rPr>
        <w:t>O</w:t>
      </w:r>
      <w:r w:rsidRPr="00FD40B8">
        <w:rPr>
          <w:color w:val="131727" w:themeColor="text1"/>
          <w:spacing w:val="-37"/>
          <w:w w:val="85"/>
        </w:rPr>
        <w:t xml:space="preserve"> </w:t>
      </w:r>
      <w:r w:rsidRPr="00FD40B8">
        <w:rPr>
          <w:color w:val="131727" w:themeColor="text1"/>
          <w:spacing w:val="21"/>
          <w:w w:val="85"/>
        </w:rPr>
        <w:t>VERC</w:t>
      </w:r>
      <w:r w:rsidRPr="00FD40B8">
        <w:rPr>
          <w:color w:val="131727" w:themeColor="text1"/>
          <w:spacing w:val="-38"/>
          <w:w w:val="85"/>
        </w:rPr>
        <w:t xml:space="preserve"> </w:t>
      </w:r>
      <w:r w:rsidRPr="00FD40B8">
        <w:rPr>
          <w:color w:val="131727" w:themeColor="text1"/>
          <w:w w:val="85"/>
        </w:rPr>
        <w:t>R</w:t>
      </w:r>
      <w:r w:rsidRPr="00FD40B8">
        <w:rPr>
          <w:color w:val="131727" w:themeColor="text1"/>
          <w:spacing w:val="-35"/>
          <w:w w:val="85"/>
        </w:rPr>
        <w:t xml:space="preserve"> </w:t>
      </w:r>
      <w:r w:rsidRPr="00FD40B8">
        <w:rPr>
          <w:color w:val="131727" w:themeColor="text1"/>
          <w:spacing w:val="17"/>
          <w:w w:val="85"/>
        </w:rPr>
        <w:t>OWD</w:t>
      </w:r>
      <w:r w:rsidRPr="00FD40B8">
        <w:rPr>
          <w:color w:val="131727" w:themeColor="text1"/>
          <w:spacing w:val="-34"/>
          <w:w w:val="85"/>
        </w:rPr>
        <w:t xml:space="preserve"> </w:t>
      </w:r>
      <w:r w:rsidRPr="00FD40B8">
        <w:rPr>
          <w:color w:val="131727" w:themeColor="text1"/>
          <w:spacing w:val="13"/>
          <w:w w:val="85"/>
        </w:rPr>
        <w:t>IN</w:t>
      </w:r>
      <w:r w:rsidRPr="00FD40B8">
        <w:rPr>
          <w:color w:val="131727" w:themeColor="text1"/>
          <w:spacing w:val="-35"/>
          <w:w w:val="85"/>
        </w:rPr>
        <w:t xml:space="preserve"> </w:t>
      </w:r>
      <w:r w:rsidRPr="00FD40B8">
        <w:rPr>
          <w:color w:val="131727" w:themeColor="text1"/>
          <w:spacing w:val="-10"/>
          <w:w w:val="85"/>
        </w:rPr>
        <w:t>G</w:t>
      </w:r>
    </w:p>
    <w:p w14:paraId="675C2FE9" w14:textId="77777777" w:rsidR="00811887" w:rsidRPr="00FD40B8" w:rsidRDefault="00811887" w:rsidP="00811887">
      <w:pPr>
        <w:pStyle w:val="BodyText"/>
        <w:spacing w:before="57" w:line="261" w:lineRule="auto"/>
        <w:ind w:left="508" w:right="432"/>
        <w:rPr>
          <w:color w:val="131727" w:themeColor="text1"/>
          <w:sz w:val="13"/>
        </w:rPr>
      </w:pPr>
      <w:r w:rsidRPr="00FD40B8">
        <w:rPr>
          <w:color w:val="131727" w:themeColor="text1"/>
          <w:w w:val="110"/>
        </w:rPr>
        <w:t>Over 20% or one in five people experiencing homelessness in Australia are Aboriginal and Torres Strait Islander people – which is almost 25,000 individuals. There are particularly high rates in the Northern Territory</w:t>
      </w:r>
      <w:r w:rsidRPr="00FD40B8">
        <w:rPr>
          <w:color w:val="131727" w:themeColor="text1"/>
          <w:spacing w:val="-11"/>
          <w:w w:val="110"/>
        </w:rPr>
        <w:t xml:space="preserve"> </w:t>
      </w:r>
      <w:r w:rsidRPr="00FD40B8">
        <w:rPr>
          <w:color w:val="131727" w:themeColor="text1"/>
          <w:w w:val="110"/>
        </w:rPr>
        <w:t>(18.7%),</w:t>
      </w:r>
      <w:r w:rsidRPr="00FD40B8">
        <w:rPr>
          <w:color w:val="131727" w:themeColor="text1"/>
          <w:spacing w:val="-9"/>
          <w:w w:val="110"/>
        </w:rPr>
        <w:t xml:space="preserve"> </w:t>
      </w:r>
      <w:r w:rsidRPr="00FD40B8">
        <w:rPr>
          <w:color w:val="131727" w:themeColor="text1"/>
          <w:w w:val="110"/>
        </w:rPr>
        <w:t>Western</w:t>
      </w:r>
      <w:r w:rsidRPr="00FD40B8">
        <w:rPr>
          <w:color w:val="131727" w:themeColor="text1"/>
          <w:spacing w:val="-8"/>
          <w:w w:val="110"/>
        </w:rPr>
        <w:t xml:space="preserve"> </w:t>
      </w:r>
      <w:r w:rsidRPr="00FD40B8">
        <w:rPr>
          <w:color w:val="131727" w:themeColor="text1"/>
          <w:w w:val="110"/>
        </w:rPr>
        <w:t>Australia</w:t>
      </w:r>
      <w:r w:rsidRPr="00FD40B8">
        <w:rPr>
          <w:color w:val="131727" w:themeColor="text1"/>
          <w:spacing w:val="-10"/>
          <w:w w:val="110"/>
        </w:rPr>
        <w:t xml:space="preserve"> </w:t>
      </w:r>
      <w:r w:rsidRPr="00FD40B8">
        <w:rPr>
          <w:color w:val="131727" w:themeColor="text1"/>
          <w:w w:val="110"/>
        </w:rPr>
        <w:t>(3.8%),</w:t>
      </w:r>
      <w:r w:rsidRPr="00FD40B8">
        <w:rPr>
          <w:color w:val="131727" w:themeColor="text1"/>
          <w:spacing w:val="-9"/>
          <w:w w:val="110"/>
        </w:rPr>
        <w:t xml:space="preserve"> </w:t>
      </w:r>
      <w:r w:rsidRPr="00FD40B8">
        <w:rPr>
          <w:color w:val="131727" w:themeColor="text1"/>
          <w:w w:val="110"/>
        </w:rPr>
        <w:t>and</w:t>
      </w:r>
      <w:r w:rsidRPr="00FD40B8">
        <w:rPr>
          <w:color w:val="131727" w:themeColor="text1"/>
          <w:spacing w:val="-9"/>
          <w:w w:val="110"/>
        </w:rPr>
        <w:t xml:space="preserve"> </w:t>
      </w:r>
      <w:r w:rsidRPr="00FD40B8">
        <w:rPr>
          <w:color w:val="131727" w:themeColor="text1"/>
          <w:w w:val="110"/>
        </w:rPr>
        <w:t>South</w:t>
      </w:r>
      <w:r w:rsidRPr="00FD40B8">
        <w:rPr>
          <w:color w:val="131727" w:themeColor="text1"/>
          <w:spacing w:val="-12"/>
          <w:w w:val="110"/>
        </w:rPr>
        <w:t xml:space="preserve"> </w:t>
      </w:r>
      <w:r w:rsidRPr="00FD40B8">
        <w:rPr>
          <w:color w:val="131727" w:themeColor="text1"/>
          <w:w w:val="110"/>
        </w:rPr>
        <w:t>Australia</w:t>
      </w:r>
      <w:r w:rsidRPr="00FD40B8">
        <w:rPr>
          <w:color w:val="131727" w:themeColor="text1"/>
          <w:spacing w:val="-10"/>
          <w:w w:val="110"/>
        </w:rPr>
        <w:t xml:space="preserve"> </w:t>
      </w:r>
      <w:r w:rsidRPr="00FD40B8">
        <w:rPr>
          <w:color w:val="131727" w:themeColor="text1"/>
          <w:w w:val="110"/>
        </w:rPr>
        <w:t>(3.3%)</w:t>
      </w:r>
      <w:hyperlink w:anchor="_bookmark29" w:history="1">
        <w:r w:rsidRPr="00FD40B8">
          <w:rPr>
            <w:color w:val="131727" w:themeColor="text1"/>
            <w:w w:val="110"/>
          </w:rPr>
          <w:t>.</w:t>
        </w:r>
        <w:r w:rsidRPr="00FD40B8">
          <w:rPr>
            <w:color w:val="131727" w:themeColor="text1"/>
            <w:w w:val="110"/>
            <w:position w:val="8"/>
            <w:sz w:val="13"/>
          </w:rPr>
          <w:t>22</w:t>
        </w:r>
      </w:hyperlink>
      <w:r w:rsidRPr="00FD40B8">
        <w:rPr>
          <w:color w:val="131727" w:themeColor="text1"/>
          <w:spacing w:val="7"/>
          <w:w w:val="110"/>
          <w:position w:val="8"/>
          <w:sz w:val="13"/>
        </w:rPr>
        <w:t xml:space="preserve"> </w:t>
      </w:r>
      <w:r w:rsidRPr="00FD40B8">
        <w:rPr>
          <w:color w:val="131727" w:themeColor="text1"/>
          <w:w w:val="110"/>
        </w:rPr>
        <w:t>At</w:t>
      </w:r>
      <w:r w:rsidRPr="00FD40B8">
        <w:rPr>
          <w:color w:val="131727" w:themeColor="text1"/>
          <w:spacing w:val="-9"/>
          <w:w w:val="110"/>
        </w:rPr>
        <w:t xml:space="preserve"> </w:t>
      </w:r>
      <w:r w:rsidRPr="00FD40B8">
        <w:rPr>
          <w:color w:val="131727" w:themeColor="text1"/>
          <w:w w:val="110"/>
        </w:rPr>
        <w:t>3%,</w:t>
      </w:r>
      <w:r w:rsidRPr="00FD40B8">
        <w:rPr>
          <w:color w:val="131727" w:themeColor="text1"/>
          <w:spacing w:val="-13"/>
          <w:w w:val="110"/>
        </w:rPr>
        <w:t xml:space="preserve"> </w:t>
      </w:r>
      <w:r w:rsidRPr="00FD40B8">
        <w:rPr>
          <w:color w:val="131727" w:themeColor="text1"/>
          <w:w w:val="110"/>
        </w:rPr>
        <w:t>the</w:t>
      </w:r>
      <w:r w:rsidRPr="00FD40B8">
        <w:rPr>
          <w:color w:val="131727" w:themeColor="text1"/>
          <w:spacing w:val="-12"/>
          <w:w w:val="110"/>
        </w:rPr>
        <w:t xml:space="preserve"> </w:t>
      </w:r>
      <w:r w:rsidRPr="00FD40B8">
        <w:rPr>
          <w:color w:val="131727" w:themeColor="text1"/>
          <w:w w:val="110"/>
        </w:rPr>
        <w:t>homelessness</w:t>
      </w:r>
      <w:r w:rsidRPr="00FD40B8">
        <w:rPr>
          <w:color w:val="131727" w:themeColor="text1"/>
          <w:spacing w:val="-11"/>
          <w:w w:val="110"/>
        </w:rPr>
        <w:t xml:space="preserve"> </w:t>
      </w:r>
      <w:r w:rsidRPr="00FD40B8">
        <w:rPr>
          <w:color w:val="131727" w:themeColor="text1"/>
          <w:w w:val="110"/>
        </w:rPr>
        <w:t>rate</w:t>
      </w:r>
      <w:r w:rsidRPr="00FD40B8">
        <w:rPr>
          <w:color w:val="131727" w:themeColor="text1"/>
          <w:spacing w:val="-10"/>
          <w:w w:val="110"/>
        </w:rPr>
        <w:t xml:space="preserve"> </w:t>
      </w:r>
      <w:r w:rsidRPr="00FD40B8">
        <w:rPr>
          <w:color w:val="131727" w:themeColor="text1"/>
          <w:w w:val="110"/>
        </w:rPr>
        <w:t xml:space="preserve">for Aboriginal and Torres Strait Islander people is almost 9 times higher than the non-Indigenous rate of </w:t>
      </w:r>
      <w:r w:rsidRPr="00FD40B8">
        <w:rPr>
          <w:color w:val="131727" w:themeColor="text1"/>
          <w:spacing w:val="-2"/>
          <w:w w:val="110"/>
        </w:rPr>
        <w:t>0.3%</w:t>
      </w:r>
      <w:hyperlink w:anchor="_bookmark30" w:history="1">
        <w:r w:rsidRPr="00FD40B8">
          <w:rPr>
            <w:color w:val="131727" w:themeColor="text1"/>
            <w:spacing w:val="-2"/>
            <w:w w:val="110"/>
          </w:rPr>
          <w:t>.</w:t>
        </w:r>
        <w:r w:rsidRPr="00FD40B8">
          <w:rPr>
            <w:color w:val="131727" w:themeColor="text1"/>
            <w:spacing w:val="-2"/>
            <w:w w:val="110"/>
            <w:position w:val="8"/>
            <w:sz w:val="13"/>
          </w:rPr>
          <w:t>23</w:t>
        </w:r>
      </w:hyperlink>
    </w:p>
    <w:p w14:paraId="56A6F980" w14:textId="77777777" w:rsidR="00811887" w:rsidRPr="00FD40B8" w:rsidRDefault="00811887" w:rsidP="00811887">
      <w:pPr>
        <w:pStyle w:val="BodyText"/>
        <w:spacing w:before="126" w:line="264" w:lineRule="auto"/>
        <w:ind w:left="508" w:right="598"/>
        <w:rPr>
          <w:color w:val="131727" w:themeColor="text1"/>
          <w:sz w:val="13"/>
        </w:rPr>
      </w:pPr>
      <w:r w:rsidRPr="00FD40B8">
        <w:rPr>
          <w:color w:val="131727" w:themeColor="text1"/>
          <w:w w:val="110"/>
        </w:rPr>
        <w:t>Of Aboriginal and</w:t>
      </w:r>
      <w:r w:rsidRPr="00FD40B8">
        <w:rPr>
          <w:color w:val="131727" w:themeColor="text1"/>
          <w:spacing w:val="-5"/>
          <w:w w:val="110"/>
        </w:rPr>
        <w:t xml:space="preserve"> </w:t>
      </w:r>
      <w:r w:rsidRPr="00FD40B8">
        <w:rPr>
          <w:color w:val="131727" w:themeColor="text1"/>
          <w:w w:val="110"/>
        </w:rPr>
        <w:t>Torres Strait Islander</w:t>
      </w:r>
      <w:r w:rsidRPr="00FD40B8">
        <w:rPr>
          <w:color w:val="131727" w:themeColor="text1"/>
          <w:spacing w:val="-2"/>
          <w:w w:val="110"/>
        </w:rPr>
        <w:t xml:space="preserve"> </w:t>
      </w:r>
      <w:r w:rsidRPr="00FD40B8">
        <w:rPr>
          <w:color w:val="131727" w:themeColor="text1"/>
          <w:w w:val="110"/>
        </w:rPr>
        <w:t>people experiencing homelessness,</w:t>
      </w:r>
      <w:r w:rsidRPr="00FD40B8">
        <w:rPr>
          <w:color w:val="131727" w:themeColor="text1"/>
          <w:spacing w:val="-5"/>
          <w:w w:val="110"/>
        </w:rPr>
        <w:t xml:space="preserve"> </w:t>
      </w:r>
      <w:r w:rsidRPr="00FD40B8">
        <w:rPr>
          <w:color w:val="131727" w:themeColor="text1"/>
          <w:w w:val="110"/>
        </w:rPr>
        <w:t>60% were</w:t>
      </w:r>
      <w:r w:rsidRPr="00FD40B8">
        <w:rPr>
          <w:color w:val="131727" w:themeColor="text1"/>
          <w:spacing w:val="-5"/>
          <w:w w:val="110"/>
        </w:rPr>
        <w:t xml:space="preserve"> </w:t>
      </w:r>
      <w:r w:rsidRPr="00FD40B8">
        <w:rPr>
          <w:color w:val="131727" w:themeColor="text1"/>
          <w:w w:val="110"/>
        </w:rPr>
        <w:t>living in</w:t>
      </w:r>
      <w:r w:rsidRPr="00FD40B8">
        <w:rPr>
          <w:color w:val="131727" w:themeColor="text1"/>
          <w:spacing w:val="-4"/>
          <w:w w:val="110"/>
        </w:rPr>
        <w:t xml:space="preserve"> </w:t>
      </w:r>
      <w:r w:rsidRPr="00FD40B8">
        <w:rPr>
          <w:color w:val="131727" w:themeColor="text1"/>
          <w:w w:val="110"/>
        </w:rPr>
        <w:t>severely crowded dwellings, 19% were in supported accommodation for the homeless and 9% were living in improvised dwellings, tents or sleeping out., the remaining 12% were living in boarding houses, temporary lodgings or staying temporarily with other households</w:t>
      </w:r>
      <w:hyperlink w:anchor="_bookmark31" w:history="1">
        <w:r w:rsidRPr="00FD40B8">
          <w:rPr>
            <w:color w:val="131727" w:themeColor="text1"/>
            <w:w w:val="110"/>
          </w:rPr>
          <w:t>.</w:t>
        </w:r>
        <w:r w:rsidRPr="00FD40B8">
          <w:rPr>
            <w:color w:val="131727" w:themeColor="text1"/>
            <w:w w:val="110"/>
            <w:position w:val="8"/>
            <w:sz w:val="13"/>
          </w:rPr>
          <w:t>24</w:t>
        </w:r>
      </w:hyperlink>
    </w:p>
    <w:p w14:paraId="5EBE8701" w14:textId="77777777" w:rsidR="00811887" w:rsidRPr="00FD40B8" w:rsidRDefault="00811887" w:rsidP="00811887">
      <w:pPr>
        <w:pStyle w:val="BodyText"/>
        <w:spacing w:before="123" w:line="261" w:lineRule="auto"/>
        <w:ind w:left="508" w:right="598"/>
        <w:rPr>
          <w:color w:val="131727" w:themeColor="text1"/>
          <w:sz w:val="13"/>
        </w:rPr>
      </w:pPr>
      <w:r w:rsidRPr="00FD40B8">
        <w:rPr>
          <w:color w:val="131727" w:themeColor="text1"/>
          <w:w w:val="110"/>
        </w:rPr>
        <w:t>Further,</w:t>
      </w:r>
      <w:r w:rsidRPr="00FD40B8">
        <w:rPr>
          <w:color w:val="131727" w:themeColor="text1"/>
          <w:spacing w:val="-6"/>
          <w:w w:val="110"/>
        </w:rPr>
        <w:t xml:space="preserve"> </w:t>
      </w:r>
      <w:r w:rsidRPr="00FD40B8">
        <w:rPr>
          <w:color w:val="131727" w:themeColor="text1"/>
          <w:w w:val="110"/>
        </w:rPr>
        <w:t>over</w:t>
      </w:r>
      <w:r w:rsidRPr="00FD40B8">
        <w:rPr>
          <w:color w:val="131727" w:themeColor="text1"/>
          <w:spacing w:val="-4"/>
          <w:w w:val="110"/>
        </w:rPr>
        <w:t xml:space="preserve"> </w:t>
      </w:r>
      <w:r w:rsidRPr="00FD40B8">
        <w:rPr>
          <w:color w:val="131727" w:themeColor="text1"/>
          <w:w w:val="110"/>
        </w:rPr>
        <w:t>one</w:t>
      </w:r>
      <w:r w:rsidRPr="00FD40B8">
        <w:rPr>
          <w:color w:val="131727" w:themeColor="text1"/>
          <w:spacing w:val="-2"/>
          <w:w w:val="110"/>
        </w:rPr>
        <w:t xml:space="preserve"> </w:t>
      </w: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three</w:t>
      </w:r>
      <w:r w:rsidRPr="00FD40B8">
        <w:rPr>
          <w:color w:val="131727" w:themeColor="text1"/>
          <w:spacing w:val="-2"/>
          <w:w w:val="110"/>
        </w:rPr>
        <w:t xml:space="preserve"> </w:t>
      </w:r>
      <w:r w:rsidRPr="00FD40B8">
        <w:rPr>
          <w:color w:val="131727" w:themeColor="text1"/>
          <w:w w:val="110"/>
        </w:rPr>
        <w:t>homeless Aboriginal and</w:t>
      </w:r>
      <w:r w:rsidRPr="00FD40B8">
        <w:rPr>
          <w:color w:val="131727" w:themeColor="text1"/>
          <w:spacing w:val="-2"/>
          <w:w w:val="110"/>
        </w:rPr>
        <w:t xml:space="preserve"> </w:t>
      </w:r>
      <w:r w:rsidRPr="00FD40B8">
        <w:rPr>
          <w:color w:val="131727" w:themeColor="text1"/>
          <w:w w:val="110"/>
        </w:rPr>
        <w:t>Torres</w:t>
      </w:r>
      <w:r w:rsidRPr="00FD40B8">
        <w:rPr>
          <w:color w:val="131727" w:themeColor="text1"/>
          <w:spacing w:val="-1"/>
          <w:w w:val="110"/>
        </w:rPr>
        <w:t xml:space="preserve"> </w:t>
      </w:r>
      <w:r w:rsidRPr="00FD40B8">
        <w:rPr>
          <w:color w:val="131727" w:themeColor="text1"/>
          <w:w w:val="110"/>
        </w:rPr>
        <w:t>Strait</w:t>
      </w:r>
      <w:r w:rsidRPr="00FD40B8">
        <w:rPr>
          <w:color w:val="131727" w:themeColor="text1"/>
          <w:spacing w:val="-1"/>
          <w:w w:val="110"/>
        </w:rPr>
        <w:t xml:space="preserve"> </w:t>
      </w:r>
      <w:r w:rsidRPr="00FD40B8">
        <w:rPr>
          <w:color w:val="131727" w:themeColor="text1"/>
          <w:w w:val="110"/>
        </w:rPr>
        <w:t>Islander</w:t>
      </w:r>
      <w:r w:rsidRPr="00FD40B8">
        <w:rPr>
          <w:color w:val="131727" w:themeColor="text1"/>
          <w:spacing w:val="-3"/>
          <w:w w:val="110"/>
        </w:rPr>
        <w:t xml:space="preserve"> </w:t>
      </w:r>
      <w:r w:rsidRPr="00FD40B8">
        <w:rPr>
          <w:color w:val="131727" w:themeColor="text1"/>
          <w:w w:val="110"/>
        </w:rPr>
        <w:t>people</w:t>
      </w:r>
      <w:r w:rsidRPr="00FD40B8">
        <w:rPr>
          <w:color w:val="131727" w:themeColor="text1"/>
          <w:spacing w:val="-2"/>
          <w:w w:val="110"/>
        </w:rPr>
        <w:t xml:space="preserve"> </w:t>
      </w:r>
      <w:r w:rsidRPr="00FD40B8">
        <w:rPr>
          <w:color w:val="131727" w:themeColor="text1"/>
          <w:w w:val="110"/>
        </w:rPr>
        <w:t>were</w:t>
      </w:r>
      <w:r w:rsidRPr="00FD40B8">
        <w:rPr>
          <w:color w:val="131727" w:themeColor="text1"/>
          <w:spacing w:val="-2"/>
          <w:w w:val="110"/>
        </w:rPr>
        <w:t xml:space="preserve"> </w:t>
      </w:r>
      <w:r w:rsidRPr="00FD40B8">
        <w:rPr>
          <w:color w:val="131727" w:themeColor="text1"/>
          <w:w w:val="110"/>
        </w:rPr>
        <w:t>children</w:t>
      </w:r>
      <w:r w:rsidRPr="00FD40B8">
        <w:rPr>
          <w:color w:val="131727" w:themeColor="text1"/>
          <w:spacing w:val="-2"/>
          <w:w w:val="110"/>
        </w:rPr>
        <w:t xml:space="preserve"> </w:t>
      </w:r>
      <w:r w:rsidRPr="00FD40B8">
        <w:rPr>
          <w:color w:val="131727" w:themeColor="text1"/>
          <w:w w:val="110"/>
        </w:rPr>
        <w:t>(23.6%</w:t>
      </w:r>
      <w:r w:rsidRPr="00FD40B8">
        <w:rPr>
          <w:color w:val="131727" w:themeColor="text1"/>
          <w:spacing w:val="-5"/>
          <w:w w:val="110"/>
        </w:rPr>
        <w:t xml:space="preserve"> </w:t>
      </w:r>
      <w:r w:rsidRPr="00FD40B8">
        <w:rPr>
          <w:color w:val="131727" w:themeColor="text1"/>
          <w:w w:val="110"/>
        </w:rPr>
        <w:t>of those experiencing homelessness were under 12 years of age, and a further 13.3% were aged between 12 and 18 years)</w:t>
      </w:r>
      <w:hyperlink w:anchor="_bookmark32" w:history="1">
        <w:r w:rsidRPr="00FD40B8">
          <w:rPr>
            <w:color w:val="131727" w:themeColor="text1"/>
            <w:w w:val="110"/>
          </w:rPr>
          <w:t>.</w:t>
        </w:r>
        <w:r w:rsidRPr="00FD40B8">
          <w:rPr>
            <w:color w:val="131727" w:themeColor="text1"/>
            <w:w w:val="110"/>
            <w:position w:val="8"/>
            <w:sz w:val="13"/>
          </w:rPr>
          <w:t>25</w:t>
        </w:r>
      </w:hyperlink>
    </w:p>
    <w:p w14:paraId="4E4E1398" w14:textId="77777777" w:rsidR="00811887" w:rsidRPr="00FD40B8" w:rsidRDefault="00811887" w:rsidP="00811887">
      <w:pPr>
        <w:pStyle w:val="BodyText"/>
        <w:spacing w:before="124" w:line="266" w:lineRule="auto"/>
        <w:ind w:left="508" w:right="598"/>
        <w:rPr>
          <w:color w:val="131727" w:themeColor="text1"/>
          <w:sz w:val="13"/>
        </w:rPr>
      </w:pPr>
      <w:r w:rsidRPr="00FD40B8">
        <w:rPr>
          <w:color w:val="131727" w:themeColor="text1"/>
          <w:w w:val="110"/>
        </w:rPr>
        <w:t>There</w:t>
      </w:r>
      <w:r w:rsidRPr="00FD40B8">
        <w:rPr>
          <w:color w:val="131727" w:themeColor="text1"/>
          <w:spacing w:val="-1"/>
          <w:w w:val="110"/>
        </w:rPr>
        <w:t xml:space="preserve"> </w:t>
      </w:r>
      <w:r w:rsidRPr="00FD40B8">
        <w:rPr>
          <w:color w:val="131727" w:themeColor="text1"/>
          <w:w w:val="110"/>
        </w:rPr>
        <w:t>are</w:t>
      </w:r>
      <w:r w:rsidRPr="00FD40B8">
        <w:rPr>
          <w:color w:val="131727" w:themeColor="text1"/>
          <w:spacing w:val="-1"/>
          <w:w w:val="110"/>
        </w:rPr>
        <w:t xml:space="preserve"> </w:t>
      </w:r>
      <w:r w:rsidRPr="00FD40B8">
        <w:rPr>
          <w:color w:val="131727" w:themeColor="text1"/>
          <w:w w:val="110"/>
        </w:rPr>
        <w:t>also significant</w:t>
      </w:r>
      <w:r w:rsidRPr="00FD40B8">
        <w:rPr>
          <w:color w:val="131727" w:themeColor="text1"/>
          <w:spacing w:val="-6"/>
          <w:w w:val="110"/>
        </w:rPr>
        <w:t xml:space="preserve"> </w:t>
      </w:r>
      <w:r w:rsidRPr="00FD40B8">
        <w:rPr>
          <w:color w:val="131727" w:themeColor="text1"/>
          <w:w w:val="110"/>
        </w:rPr>
        <w:t>levels</w:t>
      </w:r>
      <w:r w:rsidRPr="00FD40B8">
        <w:rPr>
          <w:color w:val="131727" w:themeColor="text1"/>
          <w:spacing w:val="-4"/>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overcrowding</w:t>
      </w:r>
      <w:r w:rsidRPr="00FD40B8">
        <w:rPr>
          <w:color w:val="131727" w:themeColor="text1"/>
          <w:spacing w:val="-1"/>
          <w:w w:val="110"/>
        </w:rPr>
        <w:t xml:space="preserve"> </w:t>
      </w:r>
      <w:r w:rsidRPr="00FD40B8">
        <w:rPr>
          <w:color w:val="131727" w:themeColor="text1"/>
          <w:w w:val="110"/>
        </w:rPr>
        <w:t>in Aboriginal and</w:t>
      </w:r>
      <w:r w:rsidRPr="00FD40B8">
        <w:rPr>
          <w:color w:val="131727" w:themeColor="text1"/>
          <w:spacing w:val="-1"/>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3"/>
          <w:w w:val="110"/>
        </w:rPr>
        <w:t xml:space="preserve"> </w:t>
      </w:r>
      <w:r w:rsidRPr="00FD40B8">
        <w:rPr>
          <w:color w:val="131727" w:themeColor="text1"/>
          <w:w w:val="110"/>
        </w:rPr>
        <w:t>households. There are various definitions of overcrowding used by</w:t>
      </w:r>
      <w:r w:rsidRPr="00FD40B8">
        <w:rPr>
          <w:color w:val="131727" w:themeColor="text1"/>
          <w:spacing w:val="-1"/>
          <w:w w:val="110"/>
        </w:rPr>
        <w:t xml:space="preserve"> </w:t>
      </w:r>
      <w:r w:rsidRPr="00FD40B8">
        <w:rPr>
          <w:color w:val="131727" w:themeColor="text1"/>
          <w:w w:val="110"/>
        </w:rPr>
        <w:t>different authorities. The ABS’ estimate of homelessness includes those</w:t>
      </w:r>
      <w:r w:rsidRPr="00FD40B8">
        <w:rPr>
          <w:color w:val="131727" w:themeColor="text1"/>
          <w:spacing w:val="-1"/>
          <w:w w:val="110"/>
        </w:rPr>
        <w:t xml:space="preserve"> </w:t>
      </w:r>
      <w:r w:rsidRPr="00FD40B8">
        <w:rPr>
          <w:color w:val="131727" w:themeColor="text1"/>
          <w:w w:val="110"/>
        </w:rPr>
        <w:t>living</w:t>
      </w:r>
      <w:r w:rsidRPr="00FD40B8">
        <w:rPr>
          <w:color w:val="131727" w:themeColor="text1"/>
          <w:spacing w:val="-1"/>
          <w:w w:val="110"/>
        </w:rPr>
        <w:t xml:space="preserve"> </w:t>
      </w:r>
      <w:r w:rsidRPr="00FD40B8">
        <w:rPr>
          <w:color w:val="131727" w:themeColor="text1"/>
          <w:w w:val="110"/>
        </w:rPr>
        <w:t>in severely</w:t>
      </w:r>
      <w:r w:rsidRPr="00FD40B8">
        <w:rPr>
          <w:color w:val="131727" w:themeColor="text1"/>
          <w:spacing w:val="-2"/>
          <w:w w:val="110"/>
        </w:rPr>
        <w:t xml:space="preserve"> </w:t>
      </w:r>
      <w:r w:rsidRPr="00FD40B8">
        <w:rPr>
          <w:color w:val="131727" w:themeColor="text1"/>
          <w:w w:val="110"/>
        </w:rPr>
        <w:t xml:space="preserve">crowded dwellings (defined as needing 4+ additional bedrooms). However, many Aboriginal and Torres Strait Islander people also live in ‘moderately overcrowded’ houses defined as needing one to three additional bedrooms – just under one in ten (9.5%) of Aboriginal and Torres Strait Islander households nationally require at least one additional </w:t>
      </w:r>
      <w:r w:rsidRPr="00FD40B8">
        <w:rPr>
          <w:color w:val="131727" w:themeColor="text1"/>
          <w:spacing w:val="-2"/>
          <w:w w:val="110"/>
        </w:rPr>
        <w:t>bedroom.</w:t>
      </w:r>
      <w:hyperlink w:anchor="_bookmark33" w:history="1">
        <w:r w:rsidRPr="00FD40B8">
          <w:rPr>
            <w:color w:val="131727" w:themeColor="text1"/>
            <w:spacing w:val="-2"/>
            <w:w w:val="110"/>
            <w:position w:val="8"/>
            <w:sz w:val="13"/>
          </w:rPr>
          <w:t>26</w:t>
        </w:r>
      </w:hyperlink>
    </w:p>
    <w:p w14:paraId="24528D14" w14:textId="77777777" w:rsidR="00811887" w:rsidRPr="00FD40B8" w:rsidRDefault="00811887" w:rsidP="00811887">
      <w:pPr>
        <w:pStyle w:val="BodyText"/>
        <w:spacing w:before="103" w:line="266" w:lineRule="auto"/>
        <w:ind w:left="508" w:right="547"/>
        <w:rPr>
          <w:color w:val="131727" w:themeColor="text1"/>
          <w:sz w:val="13"/>
        </w:rPr>
      </w:pPr>
      <w:r w:rsidRPr="00FD40B8">
        <w:rPr>
          <w:color w:val="131727" w:themeColor="text1"/>
          <w:w w:val="110"/>
        </w:rPr>
        <w:t>Remote</w:t>
      </w:r>
      <w:r w:rsidRPr="00FD40B8">
        <w:rPr>
          <w:color w:val="131727" w:themeColor="text1"/>
          <w:spacing w:val="-7"/>
          <w:w w:val="110"/>
        </w:rPr>
        <w:t xml:space="preserve"> </w:t>
      </w:r>
      <w:r w:rsidRPr="00FD40B8">
        <w:rPr>
          <w:color w:val="131727" w:themeColor="text1"/>
          <w:w w:val="110"/>
        </w:rPr>
        <w:t>areas</w:t>
      </w:r>
      <w:hyperlink w:anchor="_bookmark34" w:history="1">
        <w:r w:rsidRPr="00FD40B8">
          <w:rPr>
            <w:color w:val="131727" w:themeColor="text1"/>
            <w:w w:val="110"/>
            <w:position w:val="8"/>
            <w:sz w:val="13"/>
          </w:rPr>
          <w:t>27</w:t>
        </w:r>
      </w:hyperlink>
      <w:r w:rsidRPr="00FD40B8">
        <w:rPr>
          <w:color w:val="131727" w:themeColor="text1"/>
          <w:spacing w:val="15"/>
          <w:w w:val="110"/>
          <w:position w:val="8"/>
          <w:sz w:val="13"/>
        </w:rPr>
        <w:t xml:space="preserve"> </w:t>
      </w:r>
      <w:r w:rsidRPr="00FD40B8">
        <w:rPr>
          <w:color w:val="131727" w:themeColor="text1"/>
          <w:w w:val="110"/>
        </w:rPr>
        <w:t>face</w:t>
      </w:r>
      <w:r w:rsidRPr="00FD40B8">
        <w:rPr>
          <w:color w:val="131727" w:themeColor="text1"/>
          <w:spacing w:val="-1"/>
          <w:w w:val="110"/>
        </w:rPr>
        <w:t xml:space="preserve"> </w:t>
      </w:r>
      <w:r w:rsidRPr="00FD40B8">
        <w:rPr>
          <w:color w:val="131727" w:themeColor="text1"/>
          <w:w w:val="110"/>
        </w:rPr>
        <w:t>a</w:t>
      </w:r>
      <w:r w:rsidRPr="00FD40B8">
        <w:rPr>
          <w:color w:val="131727" w:themeColor="text1"/>
          <w:spacing w:val="-2"/>
          <w:w w:val="110"/>
        </w:rPr>
        <w:t xml:space="preserve"> </w:t>
      </w:r>
      <w:r w:rsidRPr="00FD40B8">
        <w:rPr>
          <w:color w:val="131727" w:themeColor="text1"/>
          <w:w w:val="110"/>
        </w:rPr>
        <w:t>more</w:t>
      </w:r>
      <w:r w:rsidRPr="00FD40B8">
        <w:rPr>
          <w:color w:val="131727" w:themeColor="text1"/>
          <w:spacing w:val="-1"/>
          <w:w w:val="110"/>
        </w:rPr>
        <w:t xml:space="preserve"> </w:t>
      </w:r>
      <w:r w:rsidRPr="00FD40B8">
        <w:rPr>
          <w:color w:val="131727" w:themeColor="text1"/>
          <w:w w:val="110"/>
        </w:rPr>
        <w:t>acute</w:t>
      </w:r>
      <w:r w:rsidRPr="00FD40B8">
        <w:rPr>
          <w:color w:val="131727" w:themeColor="text1"/>
          <w:spacing w:val="-2"/>
          <w:w w:val="110"/>
        </w:rPr>
        <w:t xml:space="preserve"> </w:t>
      </w:r>
      <w:r w:rsidRPr="00FD40B8">
        <w:rPr>
          <w:color w:val="131727" w:themeColor="text1"/>
          <w:w w:val="110"/>
        </w:rPr>
        <w:t>housing</w:t>
      </w:r>
      <w:r w:rsidRPr="00FD40B8">
        <w:rPr>
          <w:color w:val="131727" w:themeColor="text1"/>
          <w:spacing w:val="-6"/>
          <w:w w:val="110"/>
        </w:rPr>
        <w:t xml:space="preserve"> </w:t>
      </w:r>
      <w:r w:rsidRPr="00FD40B8">
        <w:rPr>
          <w:color w:val="131727" w:themeColor="text1"/>
          <w:w w:val="110"/>
        </w:rPr>
        <w:t>crisis,</w:t>
      </w:r>
      <w:r w:rsidRPr="00FD40B8">
        <w:rPr>
          <w:color w:val="131727" w:themeColor="text1"/>
          <w:spacing w:val="-1"/>
          <w:w w:val="110"/>
        </w:rPr>
        <w:t xml:space="preserve"> </w:t>
      </w:r>
      <w:r w:rsidRPr="00FD40B8">
        <w:rPr>
          <w:color w:val="131727" w:themeColor="text1"/>
          <w:w w:val="110"/>
        </w:rPr>
        <w:t>with</w:t>
      </w:r>
      <w:r w:rsidRPr="00FD40B8">
        <w:rPr>
          <w:color w:val="131727" w:themeColor="text1"/>
          <w:spacing w:val="-5"/>
          <w:w w:val="110"/>
        </w:rPr>
        <w:t xml:space="preserve"> </w:t>
      </w:r>
      <w:r w:rsidRPr="00FD40B8">
        <w:rPr>
          <w:color w:val="131727" w:themeColor="text1"/>
          <w:w w:val="110"/>
        </w:rPr>
        <w:t>significantly</w:t>
      </w:r>
      <w:r w:rsidRPr="00FD40B8">
        <w:rPr>
          <w:color w:val="131727" w:themeColor="text1"/>
          <w:spacing w:val="-3"/>
          <w:w w:val="110"/>
        </w:rPr>
        <w:t xml:space="preserve"> </w:t>
      </w:r>
      <w:r w:rsidRPr="00FD40B8">
        <w:rPr>
          <w:color w:val="131727" w:themeColor="text1"/>
          <w:w w:val="110"/>
        </w:rPr>
        <w:t>higher</w:t>
      </w:r>
      <w:r w:rsidRPr="00FD40B8">
        <w:rPr>
          <w:color w:val="131727" w:themeColor="text1"/>
          <w:spacing w:val="-3"/>
          <w:w w:val="110"/>
        </w:rPr>
        <w:t xml:space="preserve"> </w:t>
      </w:r>
      <w:r w:rsidRPr="00FD40B8">
        <w:rPr>
          <w:color w:val="131727" w:themeColor="text1"/>
          <w:w w:val="110"/>
        </w:rPr>
        <w:t>rates</w:t>
      </w:r>
      <w:r w:rsidRPr="00FD40B8">
        <w:rPr>
          <w:color w:val="131727" w:themeColor="text1"/>
          <w:spacing w:val="-4"/>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overcrowding</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poor housing</w:t>
      </w:r>
      <w:r w:rsidRPr="00FD40B8">
        <w:rPr>
          <w:color w:val="131727" w:themeColor="text1"/>
          <w:spacing w:val="-1"/>
          <w:w w:val="110"/>
        </w:rPr>
        <w:t xml:space="preserve"> </w:t>
      </w:r>
      <w:r w:rsidRPr="00FD40B8">
        <w:rPr>
          <w:color w:val="131727" w:themeColor="text1"/>
          <w:w w:val="110"/>
        </w:rPr>
        <w:t>conditions. In remote areas, almost one in four Aboriginal and Torres Strait Islander</w:t>
      </w:r>
      <w:r w:rsidRPr="00FD40B8">
        <w:rPr>
          <w:color w:val="131727" w:themeColor="text1"/>
          <w:spacing w:val="-3"/>
          <w:w w:val="110"/>
        </w:rPr>
        <w:t xml:space="preserve"> </w:t>
      </w:r>
      <w:r w:rsidRPr="00FD40B8">
        <w:rPr>
          <w:color w:val="131727" w:themeColor="text1"/>
          <w:w w:val="110"/>
        </w:rPr>
        <w:t>households (24%) need at least 1 extra bedroom (compared with 8% in non-remote areas). Overcrowding is highest in very remote Northern Territory where over half of houses need at least 1 extra bedroom (53%), and very</w:t>
      </w:r>
      <w:r w:rsidRPr="00FD40B8">
        <w:rPr>
          <w:color w:val="131727" w:themeColor="text1"/>
          <w:spacing w:val="-6"/>
          <w:w w:val="110"/>
        </w:rPr>
        <w:t xml:space="preserve"> </w:t>
      </w:r>
      <w:r w:rsidRPr="00FD40B8">
        <w:rPr>
          <w:color w:val="131727" w:themeColor="text1"/>
          <w:w w:val="110"/>
        </w:rPr>
        <w:t>remote</w:t>
      </w:r>
      <w:r w:rsidRPr="00FD40B8">
        <w:rPr>
          <w:color w:val="131727" w:themeColor="text1"/>
          <w:spacing w:val="-8"/>
          <w:w w:val="110"/>
        </w:rPr>
        <w:t xml:space="preserve"> </w:t>
      </w:r>
      <w:r w:rsidRPr="00FD40B8">
        <w:rPr>
          <w:color w:val="131727" w:themeColor="text1"/>
          <w:w w:val="110"/>
        </w:rPr>
        <w:t>Western</w:t>
      </w:r>
      <w:r w:rsidRPr="00FD40B8">
        <w:rPr>
          <w:color w:val="131727" w:themeColor="text1"/>
          <w:spacing w:val="-3"/>
          <w:w w:val="110"/>
        </w:rPr>
        <w:t xml:space="preserve"> </w:t>
      </w:r>
      <w:r w:rsidRPr="00FD40B8">
        <w:rPr>
          <w:color w:val="131727" w:themeColor="text1"/>
          <w:w w:val="110"/>
        </w:rPr>
        <w:t>Australia</w:t>
      </w:r>
      <w:r w:rsidRPr="00FD40B8">
        <w:rPr>
          <w:color w:val="131727" w:themeColor="text1"/>
          <w:spacing w:val="-5"/>
          <w:w w:val="110"/>
        </w:rPr>
        <w:t xml:space="preserve"> </w:t>
      </w:r>
      <w:r w:rsidRPr="00FD40B8">
        <w:rPr>
          <w:color w:val="131727" w:themeColor="text1"/>
          <w:w w:val="110"/>
        </w:rPr>
        <w:t>where</w:t>
      </w:r>
      <w:r w:rsidRPr="00FD40B8">
        <w:rPr>
          <w:color w:val="131727" w:themeColor="text1"/>
          <w:spacing w:val="-4"/>
          <w:w w:val="110"/>
        </w:rPr>
        <w:t xml:space="preserve"> </w:t>
      </w:r>
      <w:r w:rsidRPr="00FD40B8">
        <w:rPr>
          <w:color w:val="131727" w:themeColor="text1"/>
          <w:w w:val="110"/>
        </w:rPr>
        <w:t>almost one</w:t>
      </w:r>
      <w:r w:rsidRPr="00FD40B8">
        <w:rPr>
          <w:color w:val="131727" w:themeColor="text1"/>
          <w:spacing w:val="-8"/>
          <w:w w:val="110"/>
        </w:rPr>
        <w:t xml:space="preserve"> </w:t>
      </w:r>
      <w:r w:rsidRPr="00FD40B8">
        <w:rPr>
          <w:color w:val="131727" w:themeColor="text1"/>
          <w:w w:val="110"/>
        </w:rPr>
        <w:t>in</w:t>
      </w:r>
      <w:r w:rsidRPr="00FD40B8">
        <w:rPr>
          <w:color w:val="131727" w:themeColor="text1"/>
          <w:spacing w:val="-7"/>
          <w:w w:val="110"/>
        </w:rPr>
        <w:t xml:space="preserve"> </w:t>
      </w:r>
      <w:r w:rsidRPr="00FD40B8">
        <w:rPr>
          <w:color w:val="131727" w:themeColor="text1"/>
          <w:w w:val="110"/>
        </w:rPr>
        <w:t>four</w:t>
      </w:r>
      <w:r w:rsidRPr="00FD40B8">
        <w:rPr>
          <w:color w:val="131727" w:themeColor="text1"/>
          <w:spacing w:val="-5"/>
          <w:w w:val="110"/>
        </w:rPr>
        <w:t xml:space="preserve"> </w:t>
      </w:r>
      <w:r w:rsidRPr="00FD40B8">
        <w:rPr>
          <w:color w:val="131727" w:themeColor="text1"/>
          <w:w w:val="110"/>
        </w:rPr>
        <w:t>(23%).</w:t>
      </w:r>
      <w:r w:rsidRPr="00FD40B8">
        <w:rPr>
          <w:color w:val="131727" w:themeColor="text1"/>
          <w:spacing w:val="-3"/>
          <w:w w:val="110"/>
        </w:rPr>
        <w:t xml:space="preserve"> </w:t>
      </w:r>
      <w:r w:rsidRPr="00FD40B8">
        <w:rPr>
          <w:color w:val="131727" w:themeColor="text1"/>
          <w:w w:val="110"/>
        </w:rPr>
        <w:t>are</w:t>
      </w:r>
      <w:r w:rsidRPr="00FD40B8">
        <w:rPr>
          <w:color w:val="131727" w:themeColor="text1"/>
          <w:spacing w:val="-4"/>
          <w:w w:val="110"/>
        </w:rPr>
        <w:t xml:space="preserve"> </w:t>
      </w:r>
      <w:r w:rsidRPr="00FD40B8">
        <w:rPr>
          <w:color w:val="131727" w:themeColor="text1"/>
          <w:w w:val="110"/>
        </w:rPr>
        <w:t>overcrowded.</w:t>
      </w:r>
      <w:r w:rsidRPr="00FD40B8">
        <w:rPr>
          <w:color w:val="131727" w:themeColor="text1"/>
          <w:spacing w:val="-7"/>
          <w:w w:val="110"/>
        </w:rPr>
        <w:t xml:space="preserve"> </w:t>
      </w:r>
      <w:r w:rsidRPr="00FD40B8">
        <w:rPr>
          <w:color w:val="131727" w:themeColor="text1"/>
          <w:w w:val="110"/>
        </w:rPr>
        <w:t>The</w:t>
      </w:r>
      <w:r w:rsidRPr="00FD40B8">
        <w:rPr>
          <w:color w:val="131727" w:themeColor="text1"/>
          <w:spacing w:val="-8"/>
          <w:w w:val="110"/>
        </w:rPr>
        <w:t xml:space="preserve"> </w:t>
      </w:r>
      <w:r w:rsidRPr="00FD40B8">
        <w:rPr>
          <w:color w:val="131727" w:themeColor="text1"/>
          <w:w w:val="110"/>
        </w:rPr>
        <w:t>figure</w:t>
      </w:r>
      <w:r w:rsidRPr="00FD40B8">
        <w:rPr>
          <w:color w:val="131727" w:themeColor="text1"/>
          <w:spacing w:val="-8"/>
          <w:w w:val="110"/>
        </w:rPr>
        <w:t xml:space="preserve"> </w:t>
      </w:r>
      <w:r w:rsidRPr="00FD40B8">
        <w:rPr>
          <w:color w:val="131727" w:themeColor="text1"/>
          <w:w w:val="110"/>
        </w:rPr>
        <w:t>is</w:t>
      </w:r>
      <w:r w:rsidRPr="00FD40B8">
        <w:rPr>
          <w:color w:val="131727" w:themeColor="text1"/>
          <w:spacing w:val="-7"/>
          <w:w w:val="110"/>
        </w:rPr>
        <w:t xml:space="preserve"> </w:t>
      </w:r>
      <w:r w:rsidRPr="00FD40B8">
        <w:rPr>
          <w:color w:val="131727" w:themeColor="text1"/>
          <w:w w:val="110"/>
        </w:rPr>
        <w:t>also vastly higher than for non-Indigenous households where only 2.5% of houses in remote areas and 3.3% of houses in non-remote areas need at least one extra bedroom.</w:t>
      </w:r>
      <w:hyperlink w:anchor="_bookmark35" w:history="1">
        <w:r w:rsidRPr="00FD40B8">
          <w:rPr>
            <w:color w:val="131727" w:themeColor="text1"/>
            <w:w w:val="110"/>
            <w:position w:val="8"/>
            <w:sz w:val="13"/>
          </w:rPr>
          <w:t>28</w:t>
        </w:r>
      </w:hyperlink>
    </w:p>
    <w:p w14:paraId="0DFB1076" w14:textId="77777777" w:rsidR="00811887" w:rsidRPr="00FD40B8" w:rsidRDefault="00811887" w:rsidP="00811887">
      <w:pPr>
        <w:pStyle w:val="BodyText"/>
        <w:rPr>
          <w:color w:val="131727" w:themeColor="text1"/>
        </w:rPr>
      </w:pPr>
    </w:p>
    <w:p w14:paraId="73B32A53" w14:textId="77777777" w:rsidR="00811887" w:rsidRPr="00FD40B8" w:rsidRDefault="00811887" w:rsidP="00811887">
      <w:pPr>
        <w:pStyle w:val="BodyText"/>
        <w:rPr>
          <w:color w:val="131727" w:themeColor="text1"/>
        </w:rPr>
      </w:pPr>
    </w:p>
    <w:p w14:paraId="3B6B997B" w14:textId="77777777" w:rsidR="00811887" w:rsidRPr="00FD40B8" w:rsidRDefault="00811887" w:rsidP="00811887">
      <w:pPr>
        <w:pStyle w:val="BodyText"/>
        <w:rPr>
          <w:color w:val="131727" w:themeColor="text1"/>
        </w:rPr>
      </w:pPr>
    </w:p>
    <w:p w14:paraId="29EBC9BE" w14:textId="77777777" w:rsidR="00811887" w:rsidRPr="00FD40B8" w:rsidRDefault="00811887" w:rsidP="00811887">
      <w:pPr>
        <w:pStyle w:val="BodyText"/>
        <w:rPr>
          <w:color w:val="131727" w:themeColor="text1"/>
        </w:rPr>
      </w:pPr>
    </w:p>
    <w:p w14:paraId="55A7517E" w14:textId="77777777" w:rsidR="00811887" w:rsidRPr="00FD40B8" w:rsidRDefault="00811887" w:rsidP="00811887">
      <w:pPr>
        <w:pStyle w:val="BodyText"/>
        <w:rPr>
          <w:color w:val="131727" w:themeColor="text1"/>
        </w:rPr>
      </w:pPr>
    </w:p>
    <w:p w14:paraId="0EEE35F4" w14:textId="77777777" w:rsidR="00811887" w:rsidRPr="00FD40B8" w:rsidRDefault="00811887" w:rsidP="00811887">
      <w:pPr>
        <w:pStyle w:val="BodyText"/>
        <w:spacing w:before="180"/>
        <w:rPr>
          <w:color w:val="131727" w:themeColor="text1"/>
        </w:rPr>
      </w:pPr>
      <w:r w:rsidRPr="00FD40B8">
        <w:rPr>
          <w:noProof/>
          <w:color w:val="131727" w:themeColor="text1"/>
        </w:rPr>
        <mc:AlternateContent>
          <mc:Choice Requires="wps">
            <w:drawing>
              <wp:anchor distT="0" distB="0" distL="0" distR="0" simplePos="0" relativeHeight="251738112" behindDoc="1" locked="0" layoutInCell="1" allowOverlap="1" wp14:anchorId="544D94BC" wp14:editId="3F4FDB25">
                <wp:simplePos x="0" y="0"/>
                <wp:positionH relativeFrom="page">
                  <wp:posOffset>792784</wp:posOffset>
                </wp:positionH>
                <wp:positionV relativeFrom="paragraph">
                  <wp:posOffset>285135</wp:posOffset>
                </wp:positionV>
                <wp:extent cx="1830070" cy="6350"/>
                <wp:effectExtent l="0" t="0" r="0" b="0"/>
                <wp:wrapTopAndBottom/>
                <wp:docPr id="129" name="Graphic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CCD1D" id="Graphic 129" o:spid="_x0000_s1026" alt="&quot;&quot;" style="position:absolute;margin-left:62.4pt;margin-top:22.45pt;width:144.1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" path="m1829689,l,,,6096r1829689,l1829689,xe" fillcolor="black" stroked="f">
                <v:path arrowok="t"/>
                <w10:wrap type="topAndBottom" anchorx="page"/>
              </v:shape>
            </w:pict>
          </mc:Fallback>
        </mc:AlternateContent>
      </w:r>
    </w:p>
    <w:p w14:paraId="639889AF" w14:textId="77777777" w:rsidR="00811887" w:rsidRPr="00FD40B8" w:rsidRDefault="00811887" w:rsidP="00811887">
      <w:pPr>
        <w:spacing w:before="118" w:line="268" w:lineRule="auto"/>
        <w:ind w:left="508" w:right="532"/>
        <w:rPr>
          <w:color w:val="131727" w:themeColor="text1"/>
          <w:sz w:val="16"/>
        </w:rPr>
      </w:pPr>
      <w:bookmarkStart w:id="139" w:name="_bookmark28"/>
      <w:bookmarkEnd w:id="139"/>
      <w:r w:rsidRPr="00FD40B8">
        <w:rPr>
          <w:color w:val="131727" w:themeColor="text1"/>
          <w:w w:val="105"/>
          <w:position w:val="6"/>
          <w:sz w:val="10"/>
        </w:rPr>
        <w:t>21</w:t>
      </w:r>
      <w:r w:rsidRPr="00FD40B8">
        <w:rPr>
          <w:color w:val="131727" w:themeColor="text1"/>
          <w:spacing w:val="30"/>
          <w:w w:val="105"/>
          <w:position w:val="6"/>
          <w:sz w:val="10"/>
        </w:rPr>
        <w:t xml:space="preserve"> </w:t>
      </w:r>
      <w:r w:rsidRPr="00FD40B8">
        <w:rPr>
          <w:color w:val="131727" w:themeColor="text1"/>
          <w:w w:val="105"/>
          <w:sz w:val="16"/>
        </w:rPr>
        <w:t>Garnett</w:t>
      </w:r>
      <w:r w:rsidRPr="00FD40B8">
        <w:rPr>
          <w:color w:val="131727" w:themeColor="text1"/>
          <w:spacing w:val="15"/>
          <w:w w:val="105"/>
          <w:sz w:val="16"/>
        </w:rPr>
        <w:t xml:space="preserve"> </w:t>
      </w:r>
      <w:r w:rsidRPr="00FD40B8">
        <w:rPr>
          <w:color w:val="131727" w:themeColor="text1"/>
          <w:w w:val="105"/>
          <w:sz w:val="16"/>
        </w:rPr>
        <w:t>ST,</w:t>
      </w:r>
      <w:r w:rsidRPr="00FD40B8">
        <w:rPr>
          <w:color w:val="131727" w:themeColor="text1"/>
          <w:spacing w:val="15"/>
          <w:w w:val="105"/>
          <w:sz w:val="16"/>
        </w:rPr>
        <w:t xml:space="preserve"> </w:t>
      </w:r>
      <w:r w:rsidRPr="00FD40B8">
        <w:rPr>
          <w:color w:val="131727" w:themeColor="text1"/>
          <w:w w:val="105"/>
          <w:sz w:val="16"/>
        </w:rPr>
        <w:t>Sithole</w:t>
      </w:r>
      <w:r w:rsidRPr="00FD40B8">
        <w:rPr>
          <w:color w:val="131727" w:themeColor="text1"/>
          <w:spacing w:val="15"/>
          <w:w w:val="105"/>
          <w:sz w:val="16"/>
        </w:rPr>
        <w:t xml:space="preserve"> </w:t>
      </w:r>
      <w:r w:rsidRPr="00FD40B8">
        <w:rPr>
          <w:color w:val="131727" w:themeColor="text1"/>
          <w:w w:val="105"/>
          <w:sz w:val="16"/>
        </w:rPr>
        <w:t>B,</w:t>
      </w:r>
      <w:r w:rsidRPr="00FD40B8">
        <w:rPr>
          <w:color w:val="131727" w:themeColor="text1"/>
          <w:spacing w:val="15"/>
          <w:w w:val="105"/>
          <w:sz w:val="16"/>
        </w:rPr>
        <w:t xml:space="preserve"> </w:t>
      </w:r>
      <w:r w:rsidRPr="00FD40B8">
        <w:rPr>
          <w:color w:val="131727" w:themeColor="text1"/>
          <w:w w:val="105"/>
          <w:sz w:val="16"/>
        </w:rPr>
        <w:t>Whitehead</w:t>
      </w:r>
      <w:r w:rsidRPr="00FD40B8">
        <w:rPr>
          <w:color w:val="131727" w:themeColor="text1"/>
          <w:spacing w:val="17"/>
          <w:w w:val="105"/>
          <w:sz w:val="16"/>
        </w:rPr>
        <w:t xml:space="preserve"> </w:t>
      </w:r>
      <w:r w:rsidRPr="00FD40B8">
        <w:rPr>
          <w:color w:val="131727" w:themeColor="text1"/>
          <w:w w:val="105"/>
          <w:sz w:val="16"/>
        </w:rPr>
        <w:t>PJ,</w:t>
      </w:r>
      <w:r w:rsidRPr="00FD40B8">
        <w:rPr>
          <w:color w:val="131727" w:themeColor="text1"/>
          <w:spacing w:val="15"/>
          <w:w w:val="105"/>
          <w:sz w:val="16"/>
        </w:rPr>
        <w:t xml:space="preserve"> </w:t>
      </w:r>
      <w:r w:rsidRPr="00FD40B8">
        <w:rPr>
          <w:color w:val="131727" w:themeColor="text1"/>
          <w:w w:val="105"/>
          <w:sz w:val="16"/>
        </w:rPr>
        <w:t>Burgess</w:t>
      </w:r>
      <w:r w:rsidRPr="00FD40B8">
        <w:rPr>
          <w:color w:val="131727" w:themeColor="text1"/>
          <w:spacing w:val="14"/>
          <w:w w:val="105"/>
          <w:sz w:val="16"/>
        </w:rPr>
        <w:t xml:space="preserve"> </w:t>
      </w:r>
      <w:r w:rsidRPr="00FD40B8">
        <w:rPr>
          <w:color w:val="131727" w:themeColor="text1"/>
          <w:w w:val="105"/>
          <w:sz w:val="16"/>
        </w:rPr>
        <w:t>CP,</w:t>
      </w:r>
      <w:r w:rsidRPr="00FD40B8">
        <w:rPr>
          <w:color w:val="131727" w:themeColor="text1"/>
          <w:spacing w:val="15"/>
          <w:w w:val="105"/>
          <w:sz w:val="16"/>
        </w:rPr>
        <w:t xml:space="preserve"> </w:t>
      </w:r>
      <w:r w:rsidRPr="00FD40B8">
        <w:rPr>
          <w:color w:val="131727" w:themeColor="text1"/>
          <w:w w:val="105"/>
          <w:sz w:val="16"/>
        </w:rPr>
        <w:t>Johnston</w:t>
      </w:r>
      <w:r w:rsidRPr="00FD40B8">
        <w:rPr>
          <w:color w:val="131727" w:themeColor="text1"/>
          <w:spacing w:val="19"/>
          <w:w w:val="105"/>
          <w:sz w:val="16"/>
        </w:rPr>
        <w:t xml:space="preserve"> </w:t>
      </w:r>
      <w:r w:rsidRPr="00FD40B8">
        <w:rPr>
          <w:color w:val="131727" w:themeColor="text1"/>
          <w:w w:val="105"/>
          <w:sz w:val="16"/>
        </w:rPr>
        <w:t>FH</w:t>
      </w:r>
      <w:r w:rsidRPr="00FD40B8">
        <w:rPr>
          <w:color w:val="131727" w:themeColor="text1"/>
          <w:spacing w:val="16"/>
          <w:w w:val="105"/>
          <w:sz w:val="16"/>
        </w:rPr>
        <w:t xml:space="preserve"> </w:t>
      </w:r>
      <w:r w:rsidRPr="00FD40B8">
        <w:rPr>
          <w:color w:val="131727" w:themeColor="text1"/>
          <w:w w:val="105"/>
          <w:sz w:val="16"/>
        </w:rPr>
        <w:t>&amp;</w:t>
      </w:r>
      <w:r w:rsidRPr="00FD40B8">
        <w:rPr>
          <w:color w:val="131727" w:themeColor="text1"/>
          <w:spacing w:val="17"/>
          <w:w w:val="105"/>
          <w:sz w:val="16"/>
        </w:rPr>
        <w:t xml:space="preserve"> </w:t>
      </w:r>
      <w:r w:rsidRPr="00FD40B8">
        <w:rPr>
          <w:color w:val="131727" w:themeColor="text1"/>
          <w:w w:val="105"/>
          <w:sz w:val="16"/>
        </w:rPr>
        <w:t>Lea T</w:t>
      </w:r>
      <w:r w:rsidRPr="00FD40B8">
        <w:rPr>
          <w:color w:val="131727" w:themeColor="text1"/>
          <w:spacing w:val="14"/>
          <w:w w:val="105"/>
          <w:sz w:val="16"/>
        </w:rPr>
        <w:t xml:space="preserve"> </w:t>
      </w:r>
      <w:r w:rsidRPr="00FD40B8">
        <w:rPr>
          <w:color w:val="131727" w:themeColor="text1"/>
          <w:w w:val="105"/>
          <w:sz w:val="16"/>
        </w:rPr>
        <w:t>2009.</w:t>
      </w:r>
      <w:r w:rsidRPr="00FD40B8">
        <w:rPr>
          <w:color w:val="131727" w:themeColor="text1"/>
          <w:spacing w:val="16"/>
          <w:w w:val="105"/>
          <w:sz w:val="16"/>
        </w:rPr>
        <w:t xml:space="preserve"> </w:t>
      </w:r>
      <w:r w:rsidRPr="00FD40B8">
        <w:rPr>
          <w:color w:val="131727" w:themeColor="text1"/>
          <w:w w:val="105"/>
          <w:sz w:val="16"/>
        </w:rPr>
        <w:t>Healthy</w:t>
      </w:r>
      <w:r w:rsidRPr="00FD40B8">
        <w:rPr>
          <w:color w:val="131727" w:themeColor="text1"/>
          <w:spacing w:val="15"/>
          <w:w w:val="105"/>
          <w:sz w:val="16"/>
        </w:rPr>
        <w:t xml:space="preserve"> </w:t>
      </w:r>
      <w:r w:rsidRPr="00FD40B8">
        <w:rPr>
          <w:color w:val="131727" w:themeColor="text1"/>
          <w:w w:val="105"/>
          <w:sz w:val="16"/>
        </w:rPr>
        <w:t>country,</w:t>
      </w:r>
      <w:r w:rsidRPr="00FD40B8">
        <w:rPr>
          <w:color w:val="131727" w:themeColor="text1"/>
          <w:spacing w:val="15"/>
          <w:w w:val="105"/>
          <w:sz w:val="16"/>
        </w:rPr>
        <w:t xml:space="preserve"> </w:t>
      </w:r>
      <w:r w:rsidRPr="00FD40B8">
        <w:rPr>
          <w:color w:val="131727" w:themeColor="text1"/>
          <w:w w:val="105"/>
          <w:sz w:val="16"/>
        </w:rPr>
        <w:t>healthy</w:t>
      </w:r>
      <w:r w:rsidRPr="00FD40B8">
        <w:rPr>
          <w:color w:val="131727" w:themeColor="text1"/>
          <w:spacing w:val="15"/>
          <w:w w:val="105"/>
          <w:sz w:val="16"/>
        </w:rPr>
        <w:t xml:space="preserve"> </w:t>
      </w:r>
      <w:r w:rsidRPr="00FD40B8">
        <w:rPr>
          <w:color w:val="131727" w:themeColor="text1"/>
          <w:w w:val="105"/>
          <w:sz w:val="16"/>
        </w:rPr>
        <w:t>people:</w:t>
      </w:r>
      <w:r w:rsidRPr="00FD40B8">
        <w:rPr>
          <w:color w:val="131727" w:themeColor="text1"/>
          <w:spacing w:val="16"/>
          <w:w w:val="105"/>
          <w:sz w:val="16"/>
        </w:rPr>
        <w:t xml:space="preserve"> </w:t>
      </w:r>
      <w:r w:rsidRPr="00FD40B8">
        <w:rPr>
          <w:color w:val="131727" w:themeColor="text1"/>
          <w:w w:val="105"/>
          <w:sz w:val="16"/>
        </w:rPr>
        <w:t>policy</w:t>
      </w:r>
      <w:r w:rsidRPr="00FD40B8">
        <w:rPr>
          <w:color w:val="131727" w:themeColor="text1"/>
          <w:spacing w:val="21"/>
          <w:w w:val="105"/>
          <w:sz w:val="16"/>
        </w:rPr>
        <w:t xml:space="preserve"> </w:t>
      </w:r>
      <w:r w:rsidRPr="00FD40B8">
        <w:rPr>
          <w:color w:val="131727" w:themeColor="text1"/>
          <w:w w:val="105"/>
          <w:sz w:val="16"/>
        </w:rPr>
        <w:t>implications</w:t>
      </w:r>
      <w:r w:rsidRPr="00FD40B8">
        <w:rPr>
          <w:color w:val="131727" w:themeColor="text1"/>
          <w:spacing w:val="14"/>
          <w:w w:val="105"/>
          <w:sz w:val="16"/>
        </w:rPr>
        <w:t xml:space="preserve"> </w:t>
      </w:r>
      <w:r w:rsidRPr="00FD40B8">
        <w:rPr>
          <w:color w:val="131727" w:themeColor="text1"/>
          <w:w w:val="105"/>
          <w:sz w:val="16"/>
        </w:rPr>
        <w:t>of</w:t>
      </w:r>
      <w:r w:rsidRPr="00FD40B8">
        <w:rPr>
          <w:color w:val="131727" w:themeColor="text1"/>
          <w:spacing w:val="40"/>
          <w:w w:val="105"/>
          <w:sz w:val="16"/>
        </w:rPr>
        <w:t xml:space="preserve"> </w:t>
      </w:r>
      <w:r w:rsidRPr="00FD40B8">
        <w:rPr>
          <w:color w:val="131727" w:themeColor="text1"/>
          <w:w w:val="105"/>
          <w:sz w:val="16"/>
        </w:rPr>
        <w:t>links</w:t>
      </w:r>
      <w:r w:rsidRPr="00FD40B8">
        <w:rPr>
          <w:color w:val="131727" w:themeColor="text1"/>
          <w:spacing w:val="30"/>
          <w:w w:val="105"/>
          <w:sz w:val="16"/>
        </w:rPr>
        <w:t xml:space="preserve"> </w:t>
      </w:r>
      <w:r w:rsidRPr="00FD40B8">
        <w:rPr>
          <w:color w:val="131727" w:themeColor="text1"/>
          <w:w w:val="105"/>
          <w:sz w:val="16"/>
        </w:rPr>
        <w:t>between</w:t>
      </w:r>
      <w:r w:rsidRPr="00FD40B8">
        <w:rPr>
          <w:color w:val="131727" w:themeColor="text1"/>
          <w:spacing w:val="36"/>
          <w:w w:val="105"/>
          <w:sz w:val="16"/>
        </w:rPr>
        <w:t xml:space="preserve"> </w:t>
      </w:r>
      <w:r w:rsidRPr="00FD40B8">
        <w:rPr>
          <w:color w:val="131727" w:themeColor="text1"/>
          <w:w w:val="105"/>
          <w:sz w:val="16"/>
        </w:rPr>
        <w:t>Indigenous</w:t>
      </w:r>
      <w:r w:rsidRPr="00FD40B8">
        <w:rPr>
          <w:color w:val="131727" w:themeColor="text1"/>
          <w:spacing w:val="30"/>
          <w:w w:val="105"/>
          <w:sz w:val="16"/>
        </w:rPr>
        <w:t xml:space="preserve"> </w:t>
      </w:r>
      <w:r w:rsidRPr="00FD40B8">
        <w:rPr>
          <w:color w:val="131727" w:themeColor="text1"/>
          <w:w w:val="105"/>
          <w:sz w:val="16"/>
        </w:rPr>
        <w:t>human</w:t>
      </w:r>
      <w:r w:rsidRPr="00FD40B8">
        <w:rPr>
          <w:color w:val="131727" w:themeColor="text1"/>
          <w:spacing w:val="36"/>
          <w:w w:val="105"/>
          <w:sz w:val="16"/>
        </w:rPr>
        <w:t xml:space="preserve"> </w:t>
      </w:r>
      <w:r w:rsidRPr="00FD40B8">
        <w:rPr>
          <w:color w:val="131727" w:themeColor="text1"/>
          <w:w w:val="105"/>
          <w:sz w:val="16"/>
        </w:rPr>
        <w:t>health</w:t>
      </w:r>
      <w:r w:rsidRPr="00FD40B8">
        <w:rPr>
          <w:color w:val="131727" w:themeColor="text1"/>
          <w:spacing w:val="28"/>
          <w:w w:val="105"/>
          <w:sz w:val="16"/>
        </w:rPr>
        <w:t xml:space="preserve"> </w:t>
      </w:r>
      <w:r w:rsidRPr="00FD40B8">
        <w:rPr>
          <w:color w:val="131727" w:themeColor="text1"/>
          <w:w w:val="105"/>
          <w:sz w:val="16"/>
        </w:rPr>
        <w:t>and</w:t>
      </w:r>
      <w:r w:rsidRPr="00FD40B8">
        <w:rPr>
          <w:color w:val="131727" w:themeColor="text1"/>
          <w:spacing w:val="34"/>
          <w:w w:val="105"/>
          <w:sz w:val="16"/>
        </w:rPr>
        <w:t xml:space="preserve"> </w:t>
      </w:r>
      <w:r w:rsidRPr="00FD40B8">
        <w:rPr>
          <w:color w:val="131727" w:themeColor="text1"/>
          <w:w w:val="105"/>
          <w:sz w:val="16"/>
        </w:rPr>
        <w:t>environmental</w:t>
      </w:r>
      <w:r w:rsidRPr="00FD40B8">
        <w:rPr>
          <w:color w:val="131727" w:themeColor="text1"/>
          <w:spacing w:val="28"/>
          <w:w w:val="105"/>
          <w:sz w:val="16"/>
        </w:rPr>
        <w:t xml:space="preserve"> </w:t>
      </w:r>
      <w:r w:rsidRPr="00FD40B8">
        <w:rPr>
          <w:color w:val="131727" w:themeColor="text1"/>
          <w:w w:val="105"/>
          <w:sz w:val="16"/>
        </w:rPr>
        <w:t>conditions</w:t>
      </w:r>
      <w:r w:rsidRPr="00FD40B8">
        <w:rPr>
          <w:color w:val="131727" w:themeColor="text1"/>
          <w:spacing w:val="30"/>
          <w:w w:val="105"/>
          <w:sz w:val="16"/>
        </w:rPr>
        <w:t xml:space="preserve"> </w:t>
      </w:r>
      <w:r w:rsidRPr="00FD40B8">
        <w:rPr>
          <w:color w:val="131727" w:themeColor="text1"/>
          <w:w w:val="105"/>
          <w:sz w:val="16"/>
        </w:rPr>
        <w:t>in</w:t>
      </w:r>
      <w:r w:rsidRPr="00FD40B8">
        <w:rPr>
          <w:color w:val="131727" w:themeColor="text1"/>
          <w:spacing w:val="36"/>
          <w:w w:val="105"/>
          <w:sz w:val="16"/>
        </w:rPr>
        <w:t xml:space="preserve"> </w:t>
      </w:r>
      <w:r w:rsidRPr="00FD40B8">
        <w:rPr>
          <w:color w:val="131727" w:themeColor="text1"/>
          <w:w w:val="105"/>
          <w:sz w:val="16"/>
        </w:rPr>
        <w:t>tropical</w:t>
      </w:r>
      <w:r w:rsidRPr="00FD40B8">
        <w:rPr>
          <w:color w:val="131727" w:themeColor="text1"/>
          <w:spacing w:val="28"/>
          <w:w w:val="105"/>
          <w:sz w:val="16"/>
        </w:rPr>
        <w:t xml:space="preserve"> </w:t>
      </w:r>
      <w:r w:rsidRPr="00FD40B8">
        <w:rPr>
          <w:color w:val="131727" w:themeColor="text1"/>
          <w:w w:val="105"/>
          <w:sz w:val="16"/>
        </w:rPr>
        <w:t>Australia.</w:t>
      </w:r>
      <w:r w:rsidRPr="00FD40B8">
        <w:rPr>
          <w:color w:val="131727" w:themeColor="text1"/>
          <w:spacing w:val="33"/>
          <w:w w:val="105"/>
          <w:sz w:val="16"/>
        </w:rPr>
        <w:t xml:space="preserve"> </w:t>
      </w:r>
      <w:r w:rsidRPr="00FD40B8">
        <w:rPr>
          <w:color w:val="131727" w:themeColor="text1"/>
          <w:w w:val="105"/>
          <w:sz w:val="16"/>
        </w:rPr>
        <w:t>Australian</w:t>
      </w:r>
      <w:r w:rsidRPr="00FD40B8">
        <w:rPr>
          <w:color w:val="131727" w:themeColor="text1"/>
          <w:spacing w:val="36"/>
          <w:w w:val="105"/>
          <w:sz w:val="16"/>
        </w:rPr>
        <w:t xml:space="preserve"> </w:t>
      </w:r>
      <w:r w:rsidRPr="00FD40B8">
        <w:rPr>
          <w:color w:val="131727" w:themeColor="text1"/>
          <w:w w:val="105"/>
          <w:sz w:val="16"/>
        </w:rPr>
        <w:t>Journal</w:t>
      </w:r>
      <w:r w:rsidRPr="00FD40B8">
        <w:rPr>
          <w:color w:val="131727" w:themeColor="text1"/>
          <w:spacing w:val="28"/>
          <w:w w:val="105"/>
          <w:sz w:val="16"/>
        </w:rPr>
        <w:t xml:space="preserve"> </w:t>
      </w:r>
      <w:r w:rsidRPr="00FD40B8">
        <w:rPr>
          <w:color w:val="131727" w:themeColor="text1"/>
          <w:w w:val="105"/>
          <w:sz w:val="16"/>
        </w:rPr>
        <w:t>of</w:t>
      </w:r>
      <w:r w:rsidRPr="00FD40B8">
        <w:rPr>
          <w:color w:val="131727" w:themeColor="text1"/>
          <w:spacing w:val="33"/>
          <w:w w:val="105"/>
          <w:sz w:val="16"/>
        </w:rPr>
        <w:t xml:space="preserve"> </w:t>
      </w:r>
      <w:r w:rsidRPr="00FD40B8">
        <w:rPr>
          <w:color w:val="131727" w:themeColor="text1"/>
          <w:w w:val="105"/>
          <w:sz w:val="16"/>
        </w:rPr>
        <w:t>Public</w:t>
      </w:r>
      <w:r w:rsidRPr="00FD40B8">
        <w:rPr>
          <w:color w:val="131727" w:themeColor="text1"/>
          <w:spacing w:val="40"/>
          <w:w w:val="105"/>
          <w:sz w:val="16"/>
        </w:rPr>
        <w:t xml:space="preserve"> </w:t>
      </w:r>
      <w:r w:rsidRPr="00FD40B8">
        <w:rPr>
          <w:color w:val="131727" w:themeColor="text1"/>
          <w:w w:val="105"/>
          <w:sz w:val="16"/>
        </w:rPr>
        <w:t>Administration 68(1):53–66.doi:10.1111/j.1467-8500.2008.00609.</w:t>
      </w:r>
    </w:p>
    <w:p w14:paraId="6DE6F9AE" w14:textId="77777777" w:rsidR="00811887" w:rsidRPr="00FD40B8" w:rsidRDefault="00811887" w:rsidP="00811887">
      <w:pPr>
        <w:spacing w:line="266" w:lineRule="auto"/>
        <w:ind w:left="508" w:right="1258"/>
        <w:rPr>
          <w:color w:val="131727" w:themeColor="text1"/>
          <w:sz w:val="16"/>
        </w:rPr>
      </w:pPr>
      <w:bookmarkStart w:id="140" w:name="_bookmark29"/>
      <w:bookmarkEnd w:id="140"/>
      <w:r w:rsidRPr="00FD40B8">
        <w:rPr>
          <w:color w:val="131727" w:themeColor="text1"/>
          <w:w w:val="105"/>
          <w:position w:val="6"/>
          <w:sz w:val="10"/>
        </w:rPr>
        <w:t xml:space="preserve">22 </w:t>
      </w:r>
      <w:r w:rsidRPr="00FD40B8">
        <w:rPr>
          <w:color w:val="131727" w:themeColor="text1"/>
          <w:w w:val="105"/>
          <w:sz w:val="16"/>
        </w:rPr>
        <w:t xml:space="preserve">ABS 2022. Estimating Homelessness: Census. Available at: </w:t>
      </w:r>
      <w:hyperlink r:id="rId83" w:anchor="aboriginal-and-torres-strait-islander-peoples">
        <w:r w:rsidRPr="00FD40B8">
          <w:rPr>
            <w:color w:val="131727" w:themeColor="text1"/>
            <w:w w:val="105"/>
            <w:sz w:val="16"/>
          </w:rPr>
          <w:t>https://www.abs.gov.au/statistics/people/housing/estimating-</w:t>
        </w:r>
      </w:hyperlink>
      <w:r w:rsidRPr="00FD40B8">
        <w:rPr>
          <w:color w:val="131727" w:themeColor="text1"/>
          <w:spacing w:val="40"/>
          <w:w w:val="105"/>
          <w:sz w:val="16"/>
        </w:rPr>
        <w:t xml:space="preserve"> </w:t>
      </w:r>
      <w:hyperlink r:id="rId84" w:anchor="aboriginal-and-torres-strait-islander-peoples">
        <w:r w:rsidRPr="00FD40B8">
          <w:rPr>
            <w:color w:val="131727" w:themeColor="text1"/>
            <w:w w:val="105"/>
            <w:sz w:val="16"/>
          </w:rPr>
          <w:t>homelessness-census/latest-release#aboriginal-and-torres-strait-islander-peoples.</w:t>
        </w:r>
      </w:hyperlink>
      <w:r w:rsidRPr="00FD40B8">
        <w:rPr>
          <w:color w:val="131727" w:themeColor="text1"/>
          <w:spacing w:val="36"/>
          <w:w w:val="105"/>
          <w:sz w:val="16"/>
        </w:rPr>
        <w:t xml:space="preserve"> </w:t>
      </w:r>
      <w:r w:rsidRPr="00FD40B8">
        <w:rPr>
          <w:color w:val="131727" w:themeColor="text1"/>
          <w:w w:val="105"/>
          <w:sz w:val="16"/>
        </w:rPr>
        <w:t>((accessed</w:t>
      </w:r>
      <w:r w:rsidRPr="00FD40B8">
        <w:rPr>
          <w:color w:val="131727" w:themeColor="text1"/>
          <w:spacing w:val="38"/>
          <w:w w:val="105"/>
          <w:sz w:val="16"/>
        </w:rPr>
        <w:t xml:space="preserve"> </w:t>
      </w:r>
      <w:r w:rsidRPr="00FD40B8">
        <w:rPr>
          <w:color w:val="131727" w:themeColor="text1"/>
          <w:w w:val="105"/>
          <w:sz w:val="16"/>
        </w:rPr>
        <w:t>Feb</w:t>
      </w:r>
      <w:r w:rsidRPr="00FD40B8">
        <w:rPr>
          <w:color w:val="131727" w:themeColor="text1"/>
          <w:spacing w:val="39"/>
          <w:w w:val="105"/>
          <w:sz w:val="16"/>
        </w:rPr>
        <w:t xml:space="preserve"> </w:t>
      </w:r>
      <w:r w:rsidRPr="00FD40B8">
        <w:rPr>
          <w:color w:val="131727" w:themeColor="text1"/>
          <w:w w:val="105"/>
          <w:sz w:val="16"/>
        </w:rPr>
        <w:t>2024)).</w:t>
      </w:r>
    </w:p>
    <w:p w14:paraId="510572C2" w14:textId="77777777" w:rsidR="00811887" w:rsidRPr="00FD40B8" w:rsidRDefault="00811887" w:rsidP="00811887">
      <w:pPr>
        <w:spacing w:line="194" w:lineRule="exact"/>
        <w:ind w:left="508"/>
        <w:rPr>
          <w:color w:val="131727" w:themeColor="text1"/>
          <w:sz w:val="16"/>
        </w:rPr>
      </w:pPr>
      <w:bookmarkStart w:id="141" w:name="_bookmark30"/>
      <w:bookmarkEnd w:id="141"/>
      <w:r w:rsidRPr="00FD40B8">
        <w:rPr>
          <w:color w:val="131727" w:themeColor="text1"/>
          <w:w w:val="110"/>
          <w:position w:val="6"/>
          <w:sz w:val="10"/>
        </w:rPr>
        <w:t>23</w:t>
      </w:r>
      <w:r w:rsidRPr="00FD40B8">
        <w:rPr>
          <w:color w:val="131727" w:themeColor="text1"/>
          <w:spacing w:val="15"/>
          <w:w w:val="110"/>
          <w:position w:val="6"/>
          <w:sz w:val="10"/>
        </w:rPr>
        <w:t xml:space="preserve"> </w:t>
      </w:r>
      <w:r w:rsidRPr="00FD40B8">
        <w:rPr>
          <w:color w:val="131727" w:themeColor="text1"/>
          <w:w w:val="110"/>
          <w:sz w:val="16"/>
        </w:rPr>
        <w:t>Equity</w:t>
      </w:r>
      <w:r w:rsidRPr="00FD40B8">
        <w:rPr>
          <w:color w:val="131727" w:themeColor="text1"/>
          <w:spacing w:val="-2"/>
          <w:w w:val="110"/>
          <w:sz w:val="16"/>
        </w:rPr>
        <w:t xml:space="preserve"> </w:t>
      </w:r>
      <w:r w:rsidRPr="00FD40B8">
        <w:rPr>
          <w:color w:val="131727" w:themeColor="text1"/>
          <w:w w:val="110"/>
          <w:sz w:val="16"/>
        </w:rPr>
        <w:t>Economics</w:t>
      </w:r>
      <w:r w:rsidRPr="00FD40B8">
        <w:rPr>
          <w:color w:val="131727" w:themeColor="text1"/>
          <w:spacing w:val="-1"/>
          <w:w w:val="110"/>
          <w:sz w:val="16"/>
        </w:rPr>
        <w:t xml:space="preserve"> </w:t>
      </w:r>
      <w:r w:rsidRPr="00FD40B8">
        <w:rPr>
          <w:color w:val="131727" w:themeColor="text1"/>
          <w:w w:val="110"/>
          <w:sz w:val="16"/>
        </w:rPr>
        <w:t>calculations</w:t>
      </w:r>
      <w:r w:rsidRPr="00FD40B8">
        <w:rPr>
          <w:color w:val="131727" w:themeColor="text1"/>
          <w:spacing w:val="-1"/>
          <w:w w:val="110"/>
          <w:sz w:val="16"/>
        </w:rPr>
        <w:t xml:space="preserve"> </w:t>
      </w:r>
      <w:r w:rsidRPr="00FD40B8">
        <w:rPr>
          <w:color w:val="131727" w:themeColor="text1"/>
          <w:w w:val="110"/>
          <w:sz w:val="16"/>
        </w:rPr>
        <w:t>from</w:t>
      </w:r>
      <w:r w:rsidRPr="00FD40B8">
        <w:rPr>
          <w:color w:val="131727" w:themeColor="text1"/>
          <w:spacing w:val="-1"/>
          <w:w w:val="110"/>
          <w:sz w:val="16"/>
        </w:rPr>
        <w:t xml:space="preserve"> </w:t>
      </w:r>
      <w:r w:rsidRPr="00FD40B8">
        <w:rPr>
          <w:color w:val="131727" w:themeColor="text1"/>
          <w:w w:val="110"/>
          <w:sz w:val="16"/>
        </w:rPr>
        <w:t>ABS 2021.</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1"/>
          <w:w w:val="110"/>
          <w:sz w:val="16"/>
        </w:rPr>
        <w:t xml:space="preserve"> </w:t>
      </w:r>
      <w:r w:rsidRPr="00FD40B8">
        <w:rPr>
          <w:color w:val="131727" w:themeColor="text1"/>
          <w:w w:val="110"/>
          <w:sz w:val="16"/>
        </w:rPr>
        <w:t>Homelessness. [Census</w:t>
      </w:r>
      <w:r w:rsidRPr="00FD40B8">
        <w:rPr>
          <w:color w:val="131727" w:themeColor="text1"/>
          <w:spacing w:val="-1"/>
          <w:w w:val="110"/>
          <w:sz w:val="16"/>
        </w:rPr>
        <w:t xml:space="preserve"> </w:t>
      </w:r>
      <w:r w:rsidRPr="00FD40B8">
        <w:rPr>
          <w:color w:val="131727" w:themeColor="text1"/>
          <w:spacing w:val="-2"/>
          <w:w w:val="110"/>
          <w:sz w:val="16"/>
        </w:rPr>
        <w:t>TableBuilder].</w:t>
      </w:r>
    </w:p>
    <w:p w14:paraId="591061B4" w14:textId="77777777" w:rsidR="00811887" w:rsidRPr="00FD40B8" w:rsidRDefault="00811887" w:rsidP="00811887">
      <w:pPr>
        <w:spacing w:before="22"/>
        <w:ind w:left="508"/>
        <w:rPr>
          <w:color w:val="131727" w:themeColor="text1"/>
          <w:sz w:val="16"/>
        </w:rPr>
      </w:pPr>
      <w:bookmarkStart w:id="142" w:name="_bookmark31"/>
      <w:bookmarkEnd w:id="142"/>
      <w:r w:rsidRPr="00FD40B8">
        <w:rPr>
          <w:color w:val="131727" w:themeColor="text1"/>
          <w:w w:val="110"/>
          <w:position w:val="6"/>
          <w:sz w:val="10"/>
        </w:rPr>
        <w:t>24</w:t>
      </w:r>
      <w:r w:rsidRPr="00FD40B8">
        <w:rPr>
          <w:color w:val="131727" w:themeColor="text1"/>
          <w:spacing w:val="15"/>
          <w:w w:val="110"/>
          <w:position w:val="6"/>
          <w:sz w:val="10"/>
        </w:rPr>
        <w:t xml:space="preserve"> </w:t>
      </w:r>
      <w:r w:rsidRPr="00FD40B8">
        <w:rPr>
          <w:color w:val="131727" w:themeColor="text1"/>
          <w:w w:val="110"/>
          <w:sz w:val="16"/>
        </w:rPr>
        <w:t>Equity</w:t>
      </w:r>
      <w:r w:rsidRPr="00FD40B8">
        <w:rPr>
          <w:color w:val="131727" w:themeColor="text1"/>
          <w:spacing w:val="-2"/>
          <w:w w:val="110"/>
          <w:sz w:val="16"/>
        </w:rPr>
        <w:t xml:space="preserve"> </w:t>
      </w:r>
      <w:r w:rsidRPr="00FD40B8">
        <w:rPr>
          <w:color w:val="131727" w:themeColor="text1"/>
          <w:w w:val="110"/>
          <w:sz w:val="16"/>
        </w:rPr>
        <w:t>Economics</w:t>
      </w:r>
      <w:r w:rsidRPr="00FD40B8">
        <w:rPr>
          <w:color w:val="131727" w:themeColor="text1"/>
          <w:spacing w:val="-1"/>
          <w:w w:val="110"/>
          <w:sz w:val="16"/>
        </w:rPr>
        <w:t xml:space="preserve"> </w:t>
      </w:r>
      <w:r w:rsidRPr="00FD40B8">
        <w:rPr>
          <w:color w:val="131727" w:themeColor="text1"/>
          <w:w w:val="110"/>
          <w:sz w:val="16"/>
        </w:rPr>
        <w:t>calculations</w:t>
      </w:r>
      <w:r w:rsidRPr="00FD40B8">
        <w:rPr>
          <w:color w:val="131727" w:themeColor="text1"/>
          <w:spacing w:val="-1"/>
          <w:w w:val="110"/>
          <w:sz w:val="16"/>
        </w:rPr>
        <w:t xml:space="preserve"> </w:t>
      </w:r>
      <w:r w:rsidRPr="00FD40B8">
        <w:rPr>
          <w:color w:val="131727" w:themeColor="text1"/>
          <w:w w:val="110"/>
          <w:sz w:val="16"/>
        </w:rPr>
        <w:t>from</w:t>
      </w:r>
      <w:r w:rsidRPr="00FD40B8">
        <w:rPr>
          <w:color w:val="131727" w:themeColor="text1"/>
          <w:spacing w:val="-1"/>
          <w:w w:val="110"/>
          <w:sz w:val="16"/>
        </w:rPr>
        <w:t xml:space="preserve"> </w:t>
      </w:r>
      <w:r w:rsidRPr="00FD40B8">
        <w:rPr>
          <w:color w:val="131727" w:themeColor="text1"/>
          <w:w w:val="110"/>
          <w:sz w:val="16"/>
        </w:rPr>
        <w:t>ABS 2021.</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1"/>
          <w:w w:val="110"/>
          <w:sz w:val="16"/>
        </w:rPr>
        <w:t xml:space="preserve"> </w:t>
      </w:r>
      <w:r w:rsidRPr="00FD40B8">
        <w:rPr>
          <w:color w:val="131727" w:themeColor="text1"/>
          <w:w w:val="110"/>
          <w:sz w:val="16"/>
        </w:rPr>
        <w:t>Homelessness. [Census</w:t>
      </w:r>
      <w:r w:rsidRPr="00FD40B8">
        <w:rPr>
          <w:color w:val="131727" w:themeColor="text1"/>
          <w:spacing w:val="-1"/>
          <w:w w:val="110"/>
          <w:sz w:val="16"/>
        </w:rPr>
        <w:t xml:space="preserve"> </w:t>
      </w:r>
      <w:r w:rsidRPr="00FD40B8">
        <w:rPr>
          <w:color w:val="131727" w:themeColor="text1"/>
          <w:spacing w:val="-2"/>
          <w:w w:val="110"/>
          <w:sz w:val="16"/>
        </w:rPr>
        <w:t>TableBuilder].</w:t>
      </w:r>
    </w:p>
    <w:p w14:paraId="64811F70" w14:textId="77777777" w:rsidR="00811887" w:rsidRPr="00FD40B8" w:rsidRDefault="00811887" w:rsidP="00811887">
      <w:pPr>
        <w:spacing w:before="18"/>
        <w:ind w:left="508"/>
        <w:rPr>
          <w:color w:val="131727" w:themeColor="text1"/>
          <w:sz w:val="16"/>
        </w:rPr>
      </w:pPr>
      <w:bookmarkStart w:id="143" w:name="_bookmark32"/>
      <w:bookmarkEnd w:id="143"/>
      <w:r w:rsidRPr="00FD40B8">
        <w:rPr>
          <w:color w:val="131727" w:themeColor="text1"/>
          <w:w w:val="110"/>
          <w:position w:val="6"/>
          <w:sz w:val="10"/>
        </w:rPr>
        <w:t>25</w:t>
      </w:r>
      <w:r w:rsidRPr="00FD40B8">
        <w:rPr>
          <w:color w:val="131727" w:themeColor="text1"/>
          <w:spacing w:val="14"/>
          <w:w w:val="110"/>
          <w:position w:val="6"/>
          <w:sz w:val="10"/>
        </w:rPr>
        <w:t xml:space="preserve"> </w:t>
      </w:r>
      <w:r w:rsidRPr="00FD40B8">
        <w:rPr>
          <w:color w:val="131727" w:themeColor="text1"/>
          <w:w w:val="110"/>
          <w:sz w:val="16"/>
        </w:rPr>
        <w:t>ABS</w:t>
      </w:r>
      <w:r w:rsidRPr="00FD40B8">
        <w:rPr>
          <w:color w:val="131727" w:themeColor="text1"/>
          <w:spacing w:val="-1"/>
          <w:w w:val="110"/>
          <w:sz w:val="16"/>
        </w:rPr>
        <w:t xml:space="preserve"> </w:t>
      </w:r>
      <w:r w:rsidRPr="00FD40B8">
        <w:rPr>
          <w:color w:val="131727" w:themeColor="text1"/>
          <w:w w:val="110"/>
          <w:sz w:val="16"/>
        </w:rPr>
        <w:t>2022.</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2"/>
          <w:w w:val="110"/>
          <w:sz w:val="16"/>
        </w:rPr>
        <w:t xml:space="preserve"> </w:t>
      </w:r>
      <w:r w:rsidRPr="00FD40B8">
        <w:rPr>
          <w:color w:val="131727" w:themeColor="text1"/>
          <w:w w:val="110"/>
          <w:sz w:val="16"/>
        </w:rPr>
        <w:t xml:space="preserve">Homelessness: </w:t>
      </w:r>
      <w:r w:rsidRPr="00FD40B8">
        <w:rPr>
          <w:color w:val="131727" w:themeColor="text1"/>
          <w:spacing w:val="-2"/>
          <w:w w:val="110"/>
          <w:sz w:val="16"/>
        </w:rPr>
        <w:t>Census.</w:t>
      </w:r>
    </w:p>
    <w:p w14:paraId="489FFEDA" w14:textId="77777777" w:rsidR="00811887" w:rsidRPr="00FD40B8" w:rsidRDefault="00811887" w:rsidP="00811887">
      <w:pPr>
        <w:spacing w:before="23" w:line="266" w:lineRule="auto"/>
        <w:ind w:left="508" w:right="897"/>
        <w:rPr>
          <w:color w:val="131727" w:themeColor="text1"/>
          <w:sz w:val="16"/>
        </w:rPr>
      </w:pPr>
      <w:bookmarkStart w:id="144" w:name="_bookmark33"/>
      <w:bookmarkEnd w:id="144"/>
      <w:r w:rsidRPr="00FD40B8">
        <w:rPr>
          <w:color w:val="131727" w:themeColor="text1"/>
          <w:w w:val="105"/>
          <w:position w:val="6"/>
          <w:sz w:val="10"/>
        </w:rPr>
        <w:t>26</w:t>
      </w:r>
      <w:r w:rsidRPr="00FD40B8">
        <w:rPr>
          <w:color w:val="131727" w:themeColor="text1"/>
          <w:spacing w:val="40"/>
          <w:w w:val="105"/>
          <w:position w:val="6"/>
          <w:sz w:val="10"/>
        </w:rPr>
        <w:t xml:space="preserve"> </w:t>
      </w:r>
      <w:r w:rsidRPr="00FD40B8">
        <w:rPr>
          <w:color w:val="131727" w:themeColor="text1"/>
          <w:w w:val="105"/>
          <w:sz w:val="16"/>
        </w:rPr>
        <w:t>ABS 2022.</w:t>
      </w:r>
      <w:r w:rsidRPr="00FD40B8">
        <w:rPr>
          <w:color w:val="131727" w:themeColor="text1"/>
          <w:spacing w:val="40"/>
          <w:w w:val="105"/>
          <w:sz w:val="16"/>
        </w:rPr>
        <w:t xml:space="preserve"> </w:t>
      </w:r>
      <w:r w:rsidRPr="00FD40B8">
        <w:rPr>
          <w:color w:val="131727" w:themeColor="text1"/>
          <w:w w:val="105"/>
          <w:sz w:val="16"/>
        </w:rPr>
        <w:t>Housing Statistics for Aboriginal and</w:t>
      </w:r>
      <w:r w:rsidRPr="00FD40B8">
        <w:rPr>
          <w:color w:val="131727" w:themeColor="text1"/>
          <w:spacing w:val="33"/>
          <w:w w:val="105"/>
          <w:sz w:val="16"/>
        </w:rPr>
        <w:t xml:space="preserve"> </w:t>
      </w:r>
      <w:r w:rsidRPr="00FD40B8">
        <w:rPr>
          <w:color w:val="131727" w:themeColor="text1"/>
          <w:w w:val="105"/>
          <w:sz w:val="16"/>
        </w:rPr>
        <w:t>Torres Strait Islander Peoples. Available at:</w:t>
      </w:r>
      <w:r w:rsidRPr="00FD40B8">
        <w:rPr>
          <w:color w:val="131727" w:themeColor="text1"/>
          <w:spacing w:val="40"/>
          <w:w w:val="105"/>
          <w:sz w:val="16"/>
        </w:rPr>
        <w:t xml:space="preserve"> </w:t>
      </w:r>
      <w:hyperlink r:id="rId85" w:anchor="housing-suitability-and-overcrowding">
        <w:r w:rsidRPr="00FD40B8">
          <w:rPr>
            <w:color w:val="131727" w:themeColor="text1"/>
            <w:spacing w:val="-2"/>
            <w:w w:val="105"/>
            <w:sz w:val="16"/>
          </w:rPr>
          <w:t>https://www.abs.gov.au/statistics/people/aboriginal-and-torres-strait-islander-peoples/housing-statistics-aboriginal-and-torres-</w:t>
        </w:r>
      </w:hyperlink>
      <w:r w:rsidRPr="00FD40B8">
        <w:rPr>
          <w:color w:val="131727" w:themeColor="text1"/>
          <w:spacing w:val="80"/>
          <w:w w:val="105"/>
          <w:sz w:val="16"/>
        </w:rPr>
        <w:t xml:space="preserve">   </w:t>
      </w:r>
      <w:hyperlink r:id="rId86" w:anchor="housing-suitability-and-overcrowding">
        <w:r w:rsidRPr="00FD40B8">
          <w:rPr>
            <w:color w:val="131727" w:themeColor="text1"/>
            <w:spacing w:val="-2"/>
            <w:w w:val="105"/>
            <w:sz w:val="16"/>
          </w:rPr>
          <w:t>strait-islander-peoples/latest-release#housing-suitability-and-overcrowding.</w:t>
        </w:r>
      </w:hyperlink>
    </w:p>
    <w:p w14:paraId="3D00D201" w14:textId="77777777" w:rsidR="00811887" w:rsidRPr="00FD40B8" w:rsidRDefault="00811887" w:rsidP="00811887">
      <w:pPr>
        <w:spacing w:line="198" w:lineRule="exact"/>
        <w:ind w:left="508"/>
        <w:rPr>
          <w:color w:val="131727" w:themeColor="text1"/>
          <w:sz w:val="16"/>
        </w:rPr>
      </w:pPr>
      <w:bookmarkStart w:id="145" w:name="_bookmark34"/>
      <w:bookmarkEnd w:id="145"/>
      <w:r w:rsidRPr="00FD40B8">
        <w:rPr>
          <w:color w:val="131727" w:themeColor="text1"/>
          <w:w w:val="110"/>
          <w:position w:val="6"/>
          <w:sz w:val="10"/>
        </w:rPr>
        <w:lastRenderedPageBreak/>
        <w:t>27</w:t>
      </w:r>
      <w:r w:rsidRPr="00FD40B8">
        <w:rPr>
          <w:color w:val="131727" w:themeColor="text1"/>
          <w:spacing w:val="12"/>
          <w:w w:val="110"/>
          <w:position w:val="6"/>
          <w:sz w:val="10"/>
        </w:rPr>
        <w:t xml:space="preserve"> </w:t>
      </w:r>
      <w:r w:rsidRPr="00FD40B8">
        <w:rPr>
          <w:color w:val="131727" w:themeColor="text1"/>
          <w:w w:val="110"/>
          <w:sz w:val="16"/>
        </w:rPr>
        <w:t>Based on the</w:t>
      </w:r>
      <w:r w:rsidRPr="00FD40B8">
        <w:rPr>
          <w:color w:val="131727" w:themeColor="text1"/>
          <w:spacing w:val="-3"/>
          <w:w w:val="110"/>
          <w:sz w:val="16"/>
        </w:rPr>
        <w:t xml:space="preserve"> </w:t>
      </w:r>
      <w:r w:rsidRPr="00FD40B8">
        <w:rPr>
          <w:color w:val="131727" w:themeColor="text1"/>
          <w:w w:val="110"/>
          <w:sz w:val="16"/>
        </w:rPr>
        <w:t>ABS</w:t>
      </w:r>
      <w:r w:rsidRPr="00FD40B8">
        <w:rPr>
          <w:color w:val="131727" w:themeColor="text1"/>
          <w:spacing w:val="-2"/>
          <w:w w:val="110"/>
          <w:sz w:val="16"/>
        </w:rPr>
        <w:t xml:space="preserve"> </w:t>
      </w:r>
      <w:r w:rsidRPr="00FD40B8">
        <w:rPr>
          <w:color w:val="131727" w:themeColor="text1"/>
          <w:w w:val="110"/>
          <w:sz w:val="16"/>
        </w:rPr>
        <w:t>Australian</w:t>
      </w:r>
      <w:r w:rsidRPr="00FD40B8">
        <w:rPr>
          <w:color w:val="131727" w:themeColor="text1"/>
          <w:spacing w:val="3"/>
          <w:w w:val="110"/>
          <w:sz w:val="16"/>
        </w:rPr>
        <w:t xml:space="preserve"> </w:t>
      </w:r>
      <w:r w:rsidRPr="00FD40B8">
        <w:rPr>
          <w:color w:val="131727" w:themeColor="text1"/>
          <w:w w:val="110"/>
          <w:sz w:val="16"/>
        </w:rPr>
        <w:t>Statistical</w:t>
      </w:r>
      <w:r w:rsidRPr="00FD40B8">
        <w:rPr>
          <w:color w:val="131727" w:themeColor="text1"/>
          <w:spacing w:val="-4"/>
          <w:w w:val="110"/>
          <w:sz w:val="16"/>
        </w:rPr>
        <w:t xml:space="preserve"> </w:t>
      </w:r>
      <w:r w:rsidRPr="00FD40B8">
        <w:rPr>
          <w:color w:val="131727" w:themeColor="text1"/>
          <w:w w:val="110"/>
          <w:sz w:val="16"/>
        </w:rPr>
        <w:t>Geographic</w:t>
      </w:r>
      <w:r w:rsidRPr="00FD40B8">
        <w:rPr>
          <w:color w:val="131727" w:themeColor="text1"/>
          <w:spacing w:val="-1"/>
          <w:w w:val="110"/>
          <w:sz w:val="16"/>
        </w:rPr>
        <w:t xml:space="preserve"> </w:t>
      </w:r>
      <w:r w:rsidRPr="00FD40B8">
        <w:rPr>
          <w:color w:val="131727" w:themeColor="text1"/>
          <w:w w:val="110"/>
          <w:sz w:val="16"/>
        </w:rPr>
        <w:t>Standard (ASGS)</w:t>
      </w:r>
      <w:r w:rsidRPr="00FD40B8">
        <w:rPr>
          <w:color w:val="131727" w:themeColor="text1"/>
          <w:spacing w:val="-6"/>
          <w:w w:val="110"/>
          <w:sz w:val="16"/>
        </w:rPr>
        <w:t xml:space="preserve"> </w:t>
      </w:r>
      <w:r w:rsidRPr="00FD40B8">
        <w:rPr>
          <w:color w:val="131727" w:themeColor="text1"/>
          <w:w w:val="110"/>
          <w:sz w:val="16"/>
        </w:rPr>
        <w:t>classes</w:t>
      </w:r>
      <w:r w:rsidRPr="00FD40B8">
        <w:rPr>
          <w:color w:val="131727" w:themeColor="text1"/>
          <w:spacing w:val="1"/>
          <w:w w:val="110"/>
          <w:sz w:val="16"/>
        </w:rPr>
        <w:t xml:space="preserve"> </w:t>
      </w:r>
      <w:r w:rsidRPr="00FD40B8">
        <w:rPr>
          <w:color w:val="131727" w:themeColor="text1"/>
          <w:w w:val="110"/>
          <w:sz w:val="16"/>
        </w:rPr>
        <w:t>of</w:t>
      </w:r>
      <w:r w:rsidRPr="00FD40B8">
        <w:rPr>
          <w:color w:val="131727" w:themeColor="text1"/>
          <w:spacing w:val="-2"/>
          <w:w w:val="110"/>
          <w:sz w:val="16"/>
        </w:rPr>
        <w:t xml:space="preserve"> </w:t>
      </w:r>
      <w:r w:rsidRPr="00FD40B8">
        <w:rPr>
          <w:color w:val="131727" w:themeColor="text1"/>
          <w:w w:val="110"/>
          <w:sz w:val="16"/>
        </w:rPr>
        <w:t>remote</w:t>
      </w:r>
      <w:r w:rsidRPr="00FD40B8">
        <w:rPr>
          <w:color w:val="131727" w:themeColor="text1"/>
          <w:spacing w:val="-2"/>
          <w:w w:val="110"/>
          <w:sz w:val="16"/>
        </w:rPr>
        <w:t xml:space="preserve"> </w:t>
      </w:r>
      <w:r w:rsidRPr="00FD40B8">
        <w:rPr>
          <w:color w:val="131727" w:themeColor="text1"/>
          <w:w w:val="110"/>
          <w:sz w:val="16"/>
        </w:rPr>
        <w:t>and</w:t>
      </w:r>
      <w:r w:rsidRPr="00FD40B8">
        <w:rPr>
          <w:color w:val="131727" w:themeColor="text1"/>
          <w:spacing w:val="-1"/>
          <w:w w:val="110"/>
          <w:sz w:val="16"/>
        </w:rPr>
        <w:t xml:space="preserve"> </w:t>
      </w:r>
      <w:r w:rsidRPr="00FD40B8">
        <w:rPr>
          <w:color w:val="131727" w:themeColor="text1"/>
          <w:w w:val="110"/>
          <w:sz w:val="16"/>
        </w:rPr>
        <w:t>very</w:t>
      </w:r>
      <w:r w:rsidRPr="00FD40B8">
        <w:rPr>
          <w:color w:val="131727" w:themeColor="text1"/>
          <w:spacing w:val="-3"/>
          <w:w w:val="110"/>
          <w:sz w:val="16"/>
        </w:rPr>
        <w:t xml:space="preserve"> </w:t>
      </w:r>
      <w:r w:rsidRPr="00FD40B8">
        <w:rPr>
          <w:color w:val="131727" w:themeColor="text1"/>
          <w:w w:val="110"/>
          <w:sz w:val="16"/>
        </w:rPr>
        <w:t>remote</w:t>
      </w:r>
      <w:r w:rsidRPr="00FD40B8">
        <w:rPr>
          <w:color w:val="131727" w:themeColor="text1"/>
          <w:spacing w:val="-2"/>
          <w:w w:val="110"/>
          <w:sz w:val="16"/>
        </w:rPr>
        <w:t xml:space="preserve"> Australia.</w:t>
      </w:r>
    </w:p>
    <w:p w14:paraId="63853DEA" w14:textId="77777777" w:rsidR="00811887" w:rsidRPr="00FD40B8" w:rsidRDefault="00811887" w:rsidP="00811887">
      <w:pPr>
        <w:spacing w:before="17"/>
        <w:ind w:left="508"/>
        <w:rPr>
          <w:color w:val="131727" w:themeColor="text1"/>
          <w:sz w:val="16"/>
        </w:rPr>
      </w:pPr>
      <w:bookmarkStart w:id="146" w:name="_bookmark35"/>
      <w:bookmarkEnd w:id="146"/>
      <w:r w:rsidRPr="00FD40B8">
        <w:rPr>
          <w:color w:val="131727" w:themeColor="text1"/>
          <w:w w:val="110"/>
          <w:position w:val="6"/>
          <w:sz w:val="10"/>
        </w:rPr>
        <w:t>28</w:t>
      </w:r>
      <w:r w:rsidRPr="00FD40B8">
        <w:rPr>
          <w:color w:val="131727" w:themeColor="text1"/>
          <w:spacing w:val="15"/>
          <w:w w:val="110"/>
          <w:position w:val="6"/>
          <w:sz w:val="10"/>
        </w:rPr>
        <w:t xml:space="preserve"> </w:t>
      </w:r>
      <w:r w:rsidRPr="00FD40B8">
        <w:rPr>
          <w:color w:val="131727" w:themeColor="text1"/>
          <w:w w:val="110"/>
          <w:sz w:val="16"/>
        </w:rPr>
        <w:t>Equity</w:t>
      </w:r>
      <w:r w:rsidRPr="00FD40B8">
        <w:rPr>
          <w:color w:val="131727" w:themeColor="text1"/>
          <w:spacing w:val="-2"/>
          <w:w w:val="110"/>
          <w:sz w:val="16"/>
        </w:rPr>
        <w:t xml:space="preserve"> </w:t>
      </w:r>
      <w:r w:rsidRPr="00FD40B8">
        <w:rPr>
          <w:color w:val="131727" w:themeColor="text1"/>
          <w:w w:val="110"/>
          <w:sz w:val="16"/>
        </w:rPr>
        <w:t>Economics</w:t>
      </w:r>
      <w:r w:rsidRPr="00FD40B8">
        <w:rPr>
          <w:color w:val="131727" w:themeColor="text1"/>
          <w:spacing w:val="-1"/>
          <w:w w:val="110"/>
          <w:sz w:val="16"/>
        </w:rPr>
        <w:t xml:space="preserve"> </w:t>
      </w:r>
      <w:r w:rsidRPr="00FD40B8">
        <w:rPr>
          <w:color w:val="131727" w:themeColor="text1"/>
          <w:w w:val="110"/>
          <w:sz w:val="16"/>
        </w:rPr>
        <w:t>calculations</w:t>
      </w:r>
      <w:r w:rsidRPr="00FD40B8">
        <w:rPr>
          <w:color w:val="131727" w:themeColor="text1"/>
          <w:spacing w:val="-1"/>
          <w:w w:val="110"/>
          <w:sz w:val="16"/>
        </w:rPr>
        <w:t xml:space="preserve"> </w:t>
      </w:r>
      <w:r w:rsidRPr="00FD40B8">
        <w:rPr>
          <w:color w:val="131727" w:themeColor="text1"/>
          <w:w w:val="110"/>
          <w:sz w:val="16"/>
        </w:rPr>
        <w:t>from</w:t>
      </w:r>
      <w:r w:rsidRPr="00FD40B8">
        <w:rPr>
          <w:color w:val="131727" w:themeColor="text1"/>
          <w:spacing w:val="-1"/>
          <w:w w:val="110"/>
          <w:sz w:val="16"/>
        </w:rPr>
        <w:t xml:space="preserve"> </w:t>
      </w:r>
      <w:r w:rsidRPr="00FD40B8">
        <w:rPr>
          <w:color w:val="131727" w:themeColor="text1"/>
          <w:w w:val="110"/>
          <w:sz w:val="16"/>
        </w:rPr>
        <w:t>ABS 2021.</w:t>
      </w:r>
      <w:r w:rsidRPr="00FD40B8">
        <w:rPr>
          <w:color w:val="131727" w:themeColor="text1"/>
          <w:spacing w:val="1"/>
          <w:w w:val="110"/>
          <w:sz w:val="16"/>
        </w:rPr>
        <w:t xml:space="preserve"> </w:t>
      </w:r>
      <w:r w:rsidRPr="00FD40B8">
        <w:rPr>
          <w:color w:val="131727" w:themeColor="text1"/>
          <w:w w:val="110"/>
          <w:sz w:val="16"/>
        </w:rPr>
        <w:t>Estimating</w:t>
      </w:r>
      <w:r w:rsidRPr="00FD40B8">
        <w:rPr>
          <w:color w:val="131727" w:themeColor="text1"/>
          <w:spacing w:val="-1"/>
          <w:w w:val="110"/>
          <w:sz w:val="16"/>
        </w:rPr>
        <w:t xml:space="preserve"> </w:t>
      </w:r>
      <w:r w:rsidRPr="00FD40B8">
        <w:rPr>
          <w:color w:val="131727" w:themeColor="text1"/>
          <w:w w:val="110"/>
          <w:sz w:val="16"/>
        </w:rPr>
        <w:t>Homelessness. [Census</w:t>
      </w:r>
      <w:r w:rsidRPr="00FD40B8">
        <w:rPr>
          <w:color w:val="131727" w:themeColor="text1"/>
          <w:spacing w:val="-1"/>
          <w:w w:val="110"/>
          <w:sz w:val="16"/>
        </w:rPr>
        <w:t xml:space="preserve"> </w:t>
      </w:r>
      <w:r w:rsidRPr="00FD40B8">
        <w:rPr>
          <w:color w:val="131727" w:themeColor="text1"/>
          <w:spacing w:val="-2"/>
          <w:w w:val="110"/>
          <w:sz w:val="16"/>
        </w:rPr>
        <w:t>TableBuilder]</w:t>
      </w:r>
    </w:p>
    <w:p w14:paraId="09A513C7" w14:textId="77777777" w:rsidR="00811887" w:rsidRPr="00FD40B8" w:rsidRDefault="00811887" w:rsidP="00811887">
      <w:pPr>
        <w:rPr>
          <w:color w:val="131727" w:themeColor="text1"/>
          <w:sz w:val="16"/>
        </w:rPr>
        <w:sectPr w:rsidR="00811887" w:rsidRPr="00FD40B8" w:rsidSect="00811887">
          <w:pgSz w:w="11910" w:h="16840"/>
          <w:pgMar w:top="1320" w:right="720" w:bottom="1080" w:left="740" w:header="0" w:footer="885" w:gutter="0"/>
          <w:cols w:space="720"/>
        </w:sectPr>
      </w:pPr>
    </w:p>
    <w:p w14:paraId="1CF45DA3" w14:textId="77777777" w:rsidR="00811887" w:rsidRPr="00FD40B8" w:rsidRDefault="00811887" w:rsidP="00811887">
      <w:pPr>
        <w:pStyle w:val="BodyText"/>
        <w:spacing w:before="103" w:line="268" w:lineRule="auto"/>
        <w:ind w:left="508" w:right="532"/>
        <w:rPr>
          <w:color w:val="131727" w:themeColor="text1"/>
        </w:rPr>
      </w:pPr>
      <w:r w:rsidRPr="00FD40B8">
        <w:rPr>
          <w:color w:val="131727" w:themeColor="text1"/>
          <w:w w:val="110"/>
        </w:rPr>
        <w:lastRenderedPageBreak/>
        <w:t>This</w:t>
      </w:r>
      <w:r w:rsidRPr="00FD40B8">
        <w:rPr>
          <w:color w:val="131727" w:themeColor="text1"/>
          <w:spacing w:val="-4"/>
          <w:w w:val="110"/>
        </w:rPr>
        <w:t xml:space="preserve"> </w:t>
      </w:r>
      <w:r w:rsidRPr="00FD40B8">
        <w:rPr>
          <w:color w:val="131727" w:themeColor="text1"/>
          <w:w w:val="110"/>
        </w:rPr>
        <w:t>significant</w:t>
      </w:r>
      <w:r w:rsidRPr="00FD40B8">
        <w:rPr>
          <w:color w:val="131727" w:themeColor="text1"/>
          <w:spacing w:val="-1"/>
          <w:w w:val="110"/>
        </w:rPr>
        <w:t xml:space="preserve"> </w:t>
      </w:r>
      <w:r w:rsidRPr="00FD40B8">
        <w:rPr>
          <w:color w:val="131727" w:themeColor="text1"/>
          <w:w w:val="110"/>
        </w:rPr>
        <w:t>disparity</w:t>
      </w:r>
      <w:r w:rsidRPr="00FD40B8">
        <w:rPr>
          <w:color w:val="131727" w:themeColor="text1"/>
          <w:spacing w:val="-7"/>
          <w:w w:val="110"/>
        </w:rPr>
        <w:t xml:space="preserve"> </w:t>
      </w:r>
      <w:r w:rsidRPr="00FD40B8">
        <w:rPr>
          <w:color w:val="131727" w:themeColor="text1"/>
          <w:w w:val="110"/>
        </w:rPr>
        <w:t>is</w:t>
      </w:r>
      <w:r w:rsidRPr="00FD40B8">
        <w:rPr>
          <w:color w:val="131727" w:themeColor="text1"/>
          <w:spacing w:val="-4"/>
          <w:w w:val="110"/>
        </w:rPr>
        <w:t xml:space="preserve"> </w:t>
      </w:r>
      <w:r w:rsidRPr="00FD40B8">
        <w:rPr>
          <w:color w:val="131727" w:themeColor="text1"/>
          <w:w w:val="110"/>
        </w:rPr>
        <w:t>partly</w:t>
      </w:r>
      <w:r w:rsidRPr="00FD40B8">
        <w:rPr>
          <w:color w:val="131727" w:themeColor="text1"/>
          <w:spacing w:val="-3"/>
          <w:w w:val="110"/>
        </w:rPr>
        <w:t xml:space="preserve"> </w:t>
      </w:r>
      <w:r w:rsidRPr="00FD40B8">
        <w:rPr>
          <w:color w:val="131727" w:themeColor="text1"/>
          <w:w w:val="110"/>
        </w:rPr>
        <w:t>due</w:t>
      </w:r>
      <w:r w:rsidRPr="00FD40B8">
        <w:rPr>
          <w:color w:val="131727" w:themeColor="text1"/>
          <w:spacing w:val="-1"/>
          <w:w w:val="110"/>
        </w:rPr>
        <w:t xml:space="preserve"> </w:t>
      </w:r>
      <w:r w:rsidRPr="00FD40B8">
        <w:rPr>
          <w:color w:val="131727" w:themeColor="text1"/>
          <w:w w:val="110"/>
        </w:rPr>
        <w:t>to the</w:t>
      </w:r>
      <w:r w:rsidRPr="00FD40B8">
        <w:rPr>
          <w:color w:val="131727" w:themeColor="text1"/>
          <w:spacing w:val="-1"/>
          <w:w w:val="110"/>
        </w:rPr>
        <w:t xml:space="preserve"> </w:t>
      </w:r>
      <w:r w:rsidRPr="00FD40B8">
        <w:rPr>
          <w:color w:val="131727" w:themeColor="text1"/>
          <w:w w:val="110"/>
        </w:rPr>
        <w:t>absence</w:t>
      </w:r>
      <w:r w:rsidRPr="00FD40B8">
        <w:rPr>
          <w:color w:val="131727" w:themeColor="text1"/>
          <w:spacing w:val="-6"/>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mainstream</w:t>
      </w:r>
      <w:r w:rsidRPr="00FD40B8">
        <w:rPr>
          <w:color w:val="131727" w:themeColor="text1"/>
          <w:spacing w:val="-6"/>
          <w:w w:val="110"/>
        </w:rPr>
        <w:t xml:space="preserve"> </w:t>
      </w:r>
      <w:r w:rsidRPr="00FD40B8">
        <w:rPr>
          <w:color w:val="131727" w:themeColor="text1"/>
          <w:w w:val="110"/>
        </w:rPr>
        <w:t>housing</w:t>
      </w:r>
      <w:r w:rsidRPr="00FD40B8">
        <w:rPr>
          <w:color w:val="131727" w:themeColor="text1"/>
          <w:spacing w:val="-6"/>
          <w:w w:val="110"/>
        </w:rPr>
        <w:t xml:space="preserve"> </w:t>
      </w:r>
      <w:r w:rsidRPr="00FD40B8">
        <w:rPr>
          <w:color w:val="131727" w:themeColor="text1"/>
          <w:w w:val="110"/>
        </w:rPr>
        <w:t>options in remote Aboriginal and Torres Strait Islander communities. Unlike non-remote areas with more diverse housing choices, remote communities often lack readily available housing, making overcrowding a pressing issue.</w:t>
      </w:r>
    </w:p>
    <w:p w14:paraId="65B8ED5C" w14:textId="77777777" w:rsidR="00811887" w:rsidRPr="00FD40B8" w:rsidRDefault="00811887" w:rsidP="00811887">
      <w:pPr>
        <w:pStyle w:val="BodyText"/>
        <w:spacing w:before="117" w:line="266" w:lineRule="auto"/>
        <w:ind w:left="508" w:right="598"/>
        <w:rPr>
          <w:color w:val="131727" w:themeColor="text1"/>
          <w:sz w:val="13"/>
        </w:rPr>
      </w:pPr>
      <w:r w:rsidRPr="00FD40B8">
        <w:rPr>
          <w:color w:val="131727" w:themeColor="text1"/>
          <w:w w:val="110"/>
        </w:rPr>
        <w:t>Aboriginal and Torres Strait Islander people living in overcrowded housing are also more likely to experience poor housing standards— that is, their housing has major structural problems or lack basic facilities</w:t>
      </w:r>
      <w:r w:rsidRPr="00FD40B8">
        <w:rPr>
          <w:color w:val="131727" w:themeColor="text1"/>
          <w:spacing w:val="-7"/>
          <w:w w:val="110"/>
        </w:rPr>
        <w:t xml:space="preserve"> </w:t>
      </w:r>
      <w:r w:rsidRPr="00FD40B8">
        <w:rPr>
          <w:color w:val="131727" w:themeColor="text1"/>
          <w:w w:val="110"/>
        </w:rPr>
        <w:t>(e.g.</w:t>
      </w:r>
      <w:r w:rsidRPr="00FD40B8">
        <w:rPr>
          <w:color w:val="131727" w:themeColor="text1"/>
          <w:spacing w:val="-8"/>
          <w:w w:val="110"/>
        </w:rPr>
        <w:t xml:space="preserve"> </w:t>
      </w:r>
      <w:r w:rsidRPr="00FD40B8">
        <w:rPr>
          <w:color w:val="131727" w:themeColor="text1"/>
          <w:w w:val="110"/>
        </w:rPr>
        <w:t>working</w:t>
      </w:r>
      <w:r w:rsidRPr="00FD40B8">
        <w:rPr>
          <w:color w:val="131727" w:themeColor="text1"/>
          <w:spacing w:val="-8"/>
          <w:w w:val="110"/>
        </w:rPr>
        <w:t xml:space="preserve"> </w:t>
      </w:r>
      <w:r w:rsidRPr="00FD40B8">
        <w:rPr>
          <w:color w:val="131727" w:themeColor="text1"/>
          <w:w w:val="110"/>
        </w:rPr>
        <w:t>kitchen,</w:t>
      </w:r>
      <w:r w:rsidRPr="00FD40B8">
        <w:rPr>
          <w:color w:val="131727" w:themeColor="text1"/>
          <w:spacing w:val="-8"/>
          <w:w w:val="110"/>
        </w:rPr>
        <w:t xml:space="preserve"> </w:t>
      </w:r>
      <w:r w:rsidRPr="00FD40B8">
        <w:rPr>
          <w:color w:val="131727" w:themeColor="text1"/>
          <w:w w:val="110"/>
        </w:rPr>
        <w:t>toilet</w:t>
      </w:r>
      <w:r w:rsidRPr="00FD40B8">
        <w:rPr>
          <w:color w:val="131727" w:themeColor="text1"/>
          <w:spacing w:val="-9"/>
          <w:w w:val="110"/>
        </w:rPr>
        <w:t xml:space="preserve"> </w:t>
      </w:r>
      <w:r w:rsidRPr="00FD40B8">
        <w:rPr>
          <w:color w:val="131727" w:themeColor="text1"/>
          <w:w w:val="110"/>
        </w:rPr>
        <w:t>etc.).</w:t>
      </w:r>
      <w:r w:rsidRPr="00FD40B8">
        <w:rPr>
          <w:color w:val="131727" w:themeColor="text1"/>
          <w:spacing w:val="-8"/>
          <w:w w:val="110"/>
        </w:rPr>
        <w:t xml:space="preserve"> </w:t>
      </w:r>
      <w:r w:rsidRPr="00FD40B8">
        <w:rPr>
          <w:color w:val="131727" w:themeColor="text1"/>
          <w:w w:val="110"/>
        </w:rPr>
        <w:t>The</w:t>
      </w:r>
      <w:r w:rsidRPr="00FD40B8">
        <w:rPr>
          <w:color w:val="131727" w:themeColor="text1"/>
          <w:spacing w:val="-8"/>
          <w:w w:val="110"/>
        </w:rPr>
        <w:t xml:space="preserve"> </w:t>
      </w:r>
      <w:r w:rsidRPr="00FD40B8">
        <w:rPr>
          <w:color w:val="131727" w:themeColor="text1"/>
          <w:w w:val="110"/>
        </w:rPr>
        <w:t>most</w:t>
      </w:r>
      <w:r w:rsidRPr="00FD40B8">
        <w:rPr>
          <w:color w:val="131727" w:themeColor="text1"/>
          <w:spacing w:val="-8"/>
          <w:w w:val="110"/>
        </w:rPr>
        <w:t xml:space="preserve"> </w:t>
      </w:r>
      <w:r w:rsidRPr="00FD40B8">
        <w:rPr>
          <w:color w:val="131727" w:themeColor="text1"/>
          <w:w w:val="110"/>
        </w:rPr>
        <w:t>recent</w:t>
      </w:r>
      <w:r w:rsidRPr="00FD40B8">
        <w:rPr>
          <w:color w:val="131727" w:themeColor="text1"/>
          <w:spacing w:val="-8"/>
          <w:w w:val="110"/>
        </w:rPr>
        <w:t xml:space="preserve"> </w:t>
      </w:r>
      <w:r w:rsidRPr="00FD40B8">
        <w:rPr>
          <w:color w:val="131727" w:themeColor="text1"/>
          <w:w w:val="110"/>
        </w:rPr>
        <w:t>National</w:t>
      </w:r>
      <w:r w:rsidRPr="00FD40B8">
        <w:rPr>
          <w:color w:val="131727" w:themeColor="text1"/>
          <w:spacing w:val="-7"/>
          <w:w w:val="110"/>
        </w:rPr>
        <w:t xml:space="preserve"> </w:t>
      </w:r>
      <w:r w:rsidRPr="00FD40B8">
        <w:rPr>
          <w:color w:val="131727" w:themeColor="text1"/>
          <w:w w:val="110"/>
        </w:rPr>
        <w:t>Aboriginal</w:t>
      </w:r>
      <w:r w:rsidRPr="00FD40B8">
        <w:rPr>
          <w:color w:val="131727" w:themeColor="text1"/>
          <w:spacing w:val="-7"/>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Torres</w:t>
      </w:r>
      <w:r w:rsidRPr="00FD40B8">
        <w:rPr>
          <w:color w:val="131727" w:themeColor="text1"/>
          <w:spacing w:val="-8"/>
          <w:w w:val="110"/>
        </w:rPr>
        <w:t xml:space="preserve"> </w:t>
      </w:r>
      <w:r w:rsidRPr="00FD40B8">
        <w:rPr>
          <w:color w:val="131727" w:themeColor="text1"/>
          <w:w w:val="110"/>
        </w:rPr>
        <w:t>Strait</w:t>
      </w:r>
      <w:r w:rsidRPr="00FD40B8">
        <w:rPr>
          <w:color w:val="131727" w:themeColor="text1"/>
          <w:spacing w:val="-8"/>
          <w:w w:val="110"/>
        </w:rPr>
        <w:t xml:space="preserve"> </w:t>
      </w:r>
      <w:r w:rsidRPr="00FD40B8">
        <w:rPr>
          <w:color w:val="131727" w:themeColor="text1"/>
          <w:w w:val="110"/>
        </w:rPr>
        <w:t>Islander Health</w:t>
      </w:r>
      <w:r w:rsidRPr="00FD40B8">
        <w:rPr>
          <w:color w:val="131727" w:themeColor="text1"/>
          <w:spacing w:val="-3"/>
          <w:w w:val="110"/>
        </w:rPr>
        <w:t xml:space="preserve"> </w:t>
      </w:r>
      <w:r w:rsidRPr="00FD40B8">
        <w:rPr>
          <w:color w:val="131727" w:themeColor="text1"/>
          <w:w w:val="110"/>
        </w:rPr>
        <w:t>Survey</w:t>
      </w:r>
      <w:r w:rsidRPr="00FD40B8">
        <w:rPr>
          <w:color w:val="131727" w:themeColor="text1"/>
          <w:spacing w:val="-1"/>
          <w:w w:val="110"/>
        </w:rPr>
        <w:t xml:space="preserve"> </w:t>
      </w:r>
      <w:r w:rsidRPr="00FD40B8">
        <w:rPr>
          <w:color w:val="131727" w:themeColor="text1"/>
          <w:w w:val="110"/>
        </w:rPr>
        <w:t>(NATSIHS)</w:t>
      </w:r>
      <w:r w:rsidRPr="00FD40B8">
        <w:rPr>
          <w:color w:val="131727" w:themeColor="text1"/>
          <w:spacing w:val="-1"/>
          <w:w w:val="110"/>
        </w:rPr>
        <w:t xml:space="preserve"> </w:t>
      </w:r>
      <w:r w:rsidRPr="00FD40B8">
        <w:rPr>
          <w:color w:val="131727" w:themeColor="text1"/>
          <w:w w:val="110"/>
        </w:rPr>
        <w:t>survey, undertaken</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3"/>
          <w:w w:val="110"/>
        </w:rPr>
        <w:t xml:space="preserve"> </w:t>
      </w:r>
      <w:r w:rsidRPr="00FD40B8">
        <w:rPr>
          <w:color w:val="131727" w:themeColor="text1"/>
          <w:w w:val="110"/>
        </w:rPr>
        <w:t>2018-19, found that</w:t>
      </w:r>
      <w:r w:rsidRPr="00FD40B8">
        <w:rPr>
          <w:color w:val="131727" w:themeColor="text1"/>
          <w:spacing w:val="-3"/>
          <w:w w:val="110"/>
        </w:rPr>
        <w:t xml:space="preserve"> </w:t>
      </w:r>
      <w:r w:rsidRPr="00FD40B8">
        <w:rPr>
          <w:color w:val="131727" w:themeColor="text1"/>
          <w:w w:val="110"/>
        </w:rPr>
        <w:t>69%</w:t>
      </w:r>
      <w:r w:rsidRPr="00FD40B8">
        <w:rPr>
          <w:color w:val="131727" w:themeColor="text1"/>
          <w:spacing w:val="-3"/>
          <w:w w:val="110"/>
        </w:rPr>
        <w:t xml:space="preserve"> </w:t>
      </w:r>
      <w:r w:rsidRPr="00FD40B8">
        <w:rPr>
          <w:color w:val="131727" w:themeColor="text1"/>
          <w:w w:val="110"/>
        </w:rPr>
        <w:t>of overcrowded dwellings</w:t>
      </w:r>
      <w:r w:rsidRPr="00FD40B8">
        <w:rPr>
          <w:color w:val="131727" w:themeColor="text1"/>
          <w:spacing w:val="-2"/>
          <w:w w:val="110"/>
        </w:rPr>
        <w:t xml:space="preserve"> </w:t>
      </w:r>
      <w:r w:rsidRPr="00FD40B8">
        <w:rPr>
          <w:color w:val="131727" w:themeColor="text1"/>
          <w:w w:val="110"/>
        </w:rPr>
        <w:t>met an</w:t>
      </w:r>
      <w:r w:rsidRPr="00FD40B8">
        <w:rPr>
          <w:color w:val="131727" w:themeColor="text1"/>
          <w:spacing w:val="-1"/>
          <w:w w:val="110"/>
        </w:rPr>
        <w:t xml:space="preserve"> </w:t>
      </w:r>
      <w:r w:rsidRPr="00FD40B8">
        <w:rPr>
          <w:color w:val="131727" w:themeColor="text1"/>
          <w:w w:val="110"/>
        </w:rPr>
        <w:t>acceptable</w:t>
      </w:r>
      <w:r w:rsidRPr="00FD40B8">
        <w:rPr>
          <w:color w:val="131727" w:themeColor="text1"/>
          <w:spacing w:val="-6"/>
          <w:w w:val="110"/>
        </w:rPr>
        <w:t xml:space="preserve"> </w:t>
      </w:r>
      <w:r w:rsidRPr="00FD40B8">
        <w:rPr>
          <w:color w:val="131727" w:themeColor="text1"/>
          <w:w w:val="110"/>
        </w:rPr>
        <w:t>standard</w:t>
      </w:r>
      <w:r w:rsidRPr="00FD40B8">
        <w:rPr>
          <w:color w:val="131727" w:themeColor="text1"/>
          <w:spacing w:val="-6"/>
          <w:w w:val="110"/>
        </w:rPr>
        <w:t xml:space="preserve"> </w:t>
      </w:r>
      <w:r w:rsidRPr="00FD40B8">
        <w:rPr>
          <w:color w:val="131727" w:themeColor="text1"/>
          <w:w w:val="110"/>
        </w:rPr>
        <w:t>compared</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81%</w:t>
      </w:r>
      <w:r w:rsidRPr="00FD40B8">
        <w:rPr>
          <w:color w:val="131727" w:themeColor="text1"/>
          <w:spacing w:val="-2"/>
          <w:w w:val="110"/>
        </w:rPr>
        <w:t xml:space="preserve"> </w:t>
      </w:r>
      <w:r w:rsidRPr="00FD40B8">
        <w:rPr>
          <w:color w:val="131727" w:themeColor="text1"/>
          <w:w w:val="110"/>
        </w:rPr>
        <w:t>of dwellings</w:t>
      </w:r>
      <w:r w:rsidRPr="00FD40B8">
        <w:rPr>
          <w:color w:val="131727" w:themeColor="text1"/>
          <w:spacing w:val="-5"/>
          <w:w w:val="110"/>
        </w:rPr>
        <w:t xml:space="preserve"> </w:t>
      </w:r>
      <w:r w:rsidRPr="00FD40B8">
        <w:rPr>
          <w:color w:val="131727" w:themeColor="text1"/>
          <w:w w:val="110"/>
        </w:rPr>
        <w:t>that</w:t>
      </w:r>
      <w:r w:rsidRPr="00FD40B8">
        <w:rPr>
          <w:color w:val="131727" w:themeColor="text1"/>
          <w:spacing w:val="-2"/>
          <w:w w:val="110"/>
        </w:rPr>
        <w:t xml:space="preserve"> </w:t>
      </w:r>
      <w:r w:rsidRPr="00FD40B8">
        <w:rPr>
          <w:color w:val="131727" w:themeColor="text1"/>
          <w:w w:val="110"/>
        </w:rPr>
        <w:t>are</w:t>
      </w:r>
      <w:r w:rsidRPr="00FD40B8">
        <w:rPr>
          <w:color w:val="131727" w:themeColor="text1"/>
          <w:spacing w:val="-2"/>
          <w:w w:val="110"/>
        </w:rPr>
        <w:t xml:space="preserve"> </w:t>
      </w:r>
      <w:r w:rsidRPr="00FD40B8">
        <w:rPr>
          <w:color w:val="131727" w:themeColor="text1"/>
          <w:w w:val="110"/>
        </w:rPr>
        <w:t>not</w:t>
      </w:r>
      <w:r w:rsidRPr="00FD40B8">
        <w:rPr>
          <w:color w:val="131727" w:themeColor="text1"/>
          <w:spacing w:val="-6"/>
          <w:w w:val="110"/>
        </w:rPr>
        <w:t xml:space="preserve"> </w:t>
      </w:r>
      <w:r w:rsidRPr="00FD40B8">
        <w:rPr>
          <w:color w:val="131727" w:themeColor="text1"/>
          <w:w w:val="110"/>
        </w:rPr>
        <w:t>overcrowded.</w:t>
      </w:r>
      <w:r w:rsidRPr="00FD40B8">
        <w:rPr>
          <w:color w:val="131727" w:themeColor="text1"/>
          <w:spacing w:val="-2"/>
          <w:w w:val="110"/>
        </w:rPr>
        <w:t xml:space="preserve"> </w:t>
      </w:r>
      <w:r w:rsidRPr="00FD40B8">
        <w:rPr>
          <w:color w:val="131727" w:themeColor="text1"/>
          <w:w w:val="110"/>
        </w:rPr>
        <w:t>This is particularly</w:t>
      </w:r>
      <w:r w:rsidRPr="00FD40B8">
        <w:rPr>
          <w:color w:val="131727" w:themeColor="text1"/>
          <w:spacing w:val="-4"/>
          <w:w w:val="110"/>
        </w:rPr>
        <w:t xml:space="preserve"> </w:t>
      </w:r>
      <w:r w:rsidRPr="00FD40B8">
        <w:rPr>
          <w:color w:val="131727" w:themeColor="text1"/>
          <w:w w:val="110"/>
        </w:rPr>
        <w:t>the case</w:t>
      </w:r>
      <w:r w:rsidRPr="00FD40B8">
        <w:rPr>
          <w:color w:val="131727" w:themeColor="text1"/>
          <w:spacing w:val="-2"/>
          <w:w w:val="110"/>
        </w:rPr>
        <w:t xml:space="preserve"> </w:t>
      </w:r>
      <w:r w:rsidRPr="00FD40B8">
        <w:rPr>
          <w:color w:val="131727" w:themeColor="text1"/>
          <w:w w:val="110"/>
        </w:rPr>
        <w:t>in remote areas only</w:t>
      </w:r>
      <w:r w:rsidRPr="00FD40B8">
        <w:rPr>
          <w:color w:val="131727" w:themeColor="text1"/>
          <w:spacing w:val="-3"/>
          <w:w w:val="110"/>
        </w:rPr>
        <w:t xml:space="preserve"> </w:t>
      </w:r>
      <w:r w:rsidRPr="00FD40B8">
        <w:rPr>
          <w:color w:val="131727" w:themeColor="text1"/>
          <w:w w:val="110"/>
        </w:rPr>
        <w:t>around half (52.5%) of overcrowded dwellings housing Aboriginal and</w:t>
      </w:r>
      <w:r w:rsidRPr="00FD40B8">
        <w:rPr>
          <w:color w:val="131727" w:themeColor="text1"/>
          <w:spacing w:val="-2"/>
          <w:w w:val="110"/>
        </w:rPr>
        <w:t xml:space="preserve"> </w:t>
      </w:r>
      <w:r w:rsidRPr="00FD40B8">
        <w:rPr>
          <w:color w:val="131727" w:themeColor="text1"/>
          <w:w w:val="110"/>
        </w:rPr>
        <w:t>Torres Strait Islander people were of an acceptable standard. Even dwellings without overcrowding had significant structural problems and a lack of facilities, with 31.8% or just under one in three houses deemed not of an acceptable standard.</w:t>
      </w:r>
      <w:hyperlink w:anchor="_bookmark37" w:history="1">
        <w:r w:rsidRPr="00FD40B8">
          <w:rPr>
            <w:color w:val="131727" w:themeColor="text1"/>
            <w:w w:val="110"/>
            <w:position w:val="8"/>
            <w:sz w:val="13"/>
          </w:rPr>
          <w:t>29</w:t>
        </w:r>
      </w:hyperlink>
    </w:p>
    <w:p w14:paraId="0276D6A4" w14:textId="77777777" w:rsidR="00811887" w:rsidRPr="00FD40B8" w:rsidRDefault="00811887" w:rsidP="00811887">
      <w:pPr>
        <w:pStyle w:val="BodyText"/>
        <w:spacing w:before="81"/>
        <w:rPr>
          <w:color w:val="131727" w:themeColor="text1"/>
        </w:rPr>
      </w:pPr>
    </w:p>
    <w:p w14:paraId="2414FA7E" w14:textId="77777777" w:rsidR="00811887" w:rsidRPr="00FD40B8" w:rsidRDefault="00811887" w:rsidP="00811887">
      <w:pPr>
        <w:pStyle w:val="Heading9"/>
        <w:rPr>
          <w:color w:val="131727" w:themeColor="text1"/>
        </w:rPr>
      </w:pPr>
      <w:bookmarkStart w:id="147" w:name="_bookmark36"/>
      <w:bookmarkEnd w:id="147"/>
      <w:r w:rsidRPr="00FD40B8">
        <w:rPr>
          <w:color w:val="131727" w:themeColor="text1"/>
          <w:spacing w:val="14"/>
          <w:w w:val="85"/>
        </w:rPr>
        <w:t>ES</w:t>
      </w:r>
      <w:r w:rsidRPr="00FD40B8">
        <w:rPr>
          <w:color w:val="131727" w:themeColor="text1"/>
          <w:spacing w:val="-36"/>
          <w:w w:val="85"/>
        </w:rPr>
        <w:t xml:space="preserve"> </w:t>
      </w:r>
      <w:r w:rsidRPr="00FD40B8">
        <w:rPr>
          <w:color w:val="131727" w:themeColor="text1"/>
          <w:spacing w:val="18"/>
          <w:w w:val="85"/>
        </w:rPr>
        <w:t>TIM</w:t>
      </w:r>
      <w:r w:rsidRPr="00FD40B8">
        <w:rPr>
          <w:color w:val="131727" w:themeColor="text1"/>
          <w:spacing w:val="-34"/>
          <w:w w:val="85"/>
        </w:rPr>
        <w:t xml:space="preserve"> </w:t>
      </w:r>
      <w:r w:rsidRPr="00FD40B8">
        <w:rPr>
          <w:color w:val="131727" w:themeColor="text1"/>
          <w:spacing w:val="14"/>
          <w:w w:val="85"/>
        </w:rPr>
        <w:t>AT</w:t>
      </w:r>
      <w:r w:rsidRPr="00FD40B8">
        <w:rPr>
          <w:color w:val="131727" w:themeColor="text1"/>
          <w:spacing w:val="-35"/>
          <w:w w:val="85"/>
        </w:rPr>
        <w:t xml:space="preserve"> </w:t>
      </w:r>
      <w:r w:rsidRPr="00FD40B8">
        <w:rPr>
          <w:color w:val="131727" w:themeColor="text1"/>
          <w:spacing w:val="13"/>
          <w:w w:val="85"/>
        </w:rPr>
        <w:t>IN</w:t>
      </w:r>
      <w:r w:rsidRPr="00FD40B8">
        <w:rPr>
          <w:color w:val="131727" w:themeColor="text1"/>
          <w:spacing w:val="-33"/>
          <w:w w:val="85"/>
        </w:rPr>
        <w:t xml:space="preserve"> </w:t>
      </w:r>
      <w:r w:rsidRPr="00FD40B8">
        <w:rPr>
          <w:color w:val="131727" w:themeColor="text1"/>
          <w:w w:val="85"/>
        </w:rPr>
        <w:t>G</w:t>
      </w:r>
      <w:r w:rsidRPr="00FD40B8">
        <w:rPr>
          <w:color w:val="131727" w:themeColor="text1"/>
          <w:spacing w:val="46"/>
        </w:rPr>
        <w:t xml:space="preserve"> </w:t>
      </w:r>
      <w:r w:rsidRPr="00FD40B8">
        <w:rPr>
          <w:color w:val="131727" w:themeColor="text1"/>
          <w:w w:val="85"/>
        </w:rPr>
        <w:t>H</w:t>
      </w:r>
      <w:r w:rsidRPr="00FD40B8">
        <w:rPr>
          <w:color w:val="131727" w:themeColor="text1"/>
          <w:spacing w:val="-36"/>
          <w:w w:val="85"/>
        </w:rPr>
        <w:t xml:space="preserve"> </w:t>
      </w:r>
      <w:r w:rsidRPr="00FD40B8">
        <w:rPr>
          <w:color w:val="131727" w:themeColor="text1"/>
          <w:w w:val="85"/>
        </w:rPr>
        <w:t>O</w:t>
      </w:r>
      <w:r w:rsidRPr="00FD40B8">
        <w:rPr>
          <w:color w:val="131727" w:themeColor="text1"/>
          <w:spacing w:val="-34"/>
          <w:w w:val="85"/>
        </w:rPr>
        <w:t xml:space="preserve"> </w:t>
      </w:r>
      <w:r w:rsidRPr="00FD40B8">
        <w:rPr>
          <w:color w:val="131727" w:themeColor="text1"/>
          <w:spacing w:val="14"/>
          <w:w w:val="85"/>
        </w:rPr>
        <w:t>US</w:t>
      </w:r>
      <w:r w:rsidRPr="00FD40B8">
        <w:rPr>
          <w:color w:val="131727" w:themeColor="text1"/>
          <w:spacing w:val="-36"/>
          <w:w w:val="85"/>
        </w:rPr>
        <w:t xml:space="preserve"> </w:t>
      </w:r>
      <w:r w:rsidRPr="00FD40B8">
        <w:rPr>
          <w:color w:val="131727" w:themeColor="text1"/>
          <w:spacing w:val="13"/>
          <w:w w:val="85"/>
        </w:rPr>
        <w:t>IN</w:t>
      </w:r>
      <w:r w:rsidRPr="00FD40B8">
        <w:rPr>
          <w:color w:val="131727" w:themeColor="text1"/>
          <w:spacing w:val="-34"/>
          <w:w w:val="85"/>
        </w:rPr>
        <w:t xml:space="preserve"> </w:t>
      </w:r>
      <w:r w:rsidRPr="00FD40B8">
        <w:rPr>
          <w:color w:val="131727" w:themeColor="text1"/>
          <w:w w:val="85"/>
        </w:rPr>
        <w:t>G</w:t>
      </w:r>
      <w:r w:rsidRPr="00FD40B8">
        <w:rPr>
          <w:color w:val="131727" w:themeColor="text1"/>
          <w:spacing w:val="47"/>
        </w:rPr>
        <w:t xml:space="preserve"> </w:t>
      </w:r>
      <w:r w:rsidRPr="00FD40B8">
        <w:rPr>
          <w:color w:val="131727" w:themeColor="text1"/>
          <w:w w:val="85"/>
        </w:rPr>
        <w:t>N</w:t>
      </w:r>
      <w:r w:rsidRPr="00FD40B8">
        <w:rPr>
          <w:color w:val="131727" w:themeColor="text1"/>
          <w:spacing w:val="-34"/>
          <w:w w:val="85"/>
        </w:rPr>
        <w:t xml:space="preserve"> </w:t>
      </w:r>
      <w:r w:rsidRPr="00FD40B8">
        <w:rPr>
          <w:color w:val="131727" w:themeColor="text1"/>
          <w:spacing w:val="14"/>
          <w:w w:val="85"/>
        </w:rPr>
        <w:t>EED</w:t>
      </w:r>
    </w:p>
    <w:p w14:paraId="53DA6DFF" w14:textId="77777777" w:rsidR="00811887" w:rsidRPr="00FD40B8" w:rsidRDefault="00811887" w:rsidP="00811887">
      <w:pPr>
        <w:pStyle w:val="Heading8"/>
        <w:spacing w:before="30"/>
        <w:rPr>
          <w:color w:val="131727" w:themeColor="text1"/>
        </w:rPr>
      </w:pPr>
      <w:r w:rsidRPr="00FD40B8">
        <w:rPr>
          <w:color w:val="131727" w:themeColor="text1"/>
        </w:rPr>
        <w:t>Notes</w:t>
      </w:r>
      <w:r w:rsidRPr="00FD40B8">
        <w:rPr>
          <w:color w:val="131727" w:themeColor="text1"/>
          <w:spacing w:val="-1"/>
        </w:rPr>
        <w:t xml:space="preserve"> </w:t>
      </w:r>
      <w:r w:rsidRPr="00FD40B8">
        <w:rPr>
          <w:color w:val="131727" w:themeColor="text1"/>
        </w:rPr>
        <w:t xml:space="preserve">on </w:t>
      </w:r>
      <w:r w:rsidRPr="00FD40B8">
        <w:rPr>
          <w:color w:val="131727" w:themeColor="text1"/>
          <w:spacing w:val="-2"/>
        </w:rPr>
        <w:t>methodology</w:t>
      </w:r>
    </w:p>
    <w:p w14:paraId="7DBA9F48" w14:textId="77777777" w:rsidR="00811887" w:rsidRPr="00FD40B8" w:rsidRDefault="00811887" w:rsidP="00811887">
      <w:pPr>
        <w:pStyle w:val="BodyText"/>
        <w:spacing w:before="146" w:line="268" w:lineRule="auto"/>
        <w:ind w:left="508" w:right="598"/>
        <w:rPr>
          <w:color w:val="131727" w:themeColor="text1"/>
        </w:rPr>
      </w:pPr>
      <w:r w:rsidRPr="00FD40B8">
        <w:rPr>
          <w:color w:val="131727" w:themeColor="text1"/>
          <w:w w:val="110"/>
        </w:rPr>
        <w:t>The analysis of Aboriginal and Torres Strait Islander housing need should be considered a minimum estimate and is based on people experiencing homelessness and overcrowding. We have taken a conservative approach and chosen to exclude other marginally housed (people in other improvised dwellings and</w:t>
      </w:r>
      <w:r w:rsidRPr="00FD40B8">
        <w:rPr>
          <w:color w:val="131727" w:themeColor="text1"/>
          <w:spacing w:val="-1"/>
          <w:w w:val="110"/>
        </w:rPr>
        <w:t xml:space="preserve"> </w:t>
      </w:r>
      <w:r w:rsidRPr="00FD40B8">
        <w:rPr>
          <w:color w:val="131727" w:themeColor="text1"/>
          <w:w w:val="110"/>
        </w:rPr>
        <w:t>those</w:t>
      </w:r>
      <w:r w:rsidRPr="00FD40B8">
        <w:rPr>
          <w:color w:val="131727" w:themeColor="text1"/>
          <w:spacing w:val="-1"/>
          <w:w w:val="110"/>
        </w:rPr>
        <w:t xml:space="preserve"> </w:t>
      </w:r>
      <w:r w:rsidRPr="00FD40B8">
        <w:rPr>
          <w:color w:val="131727" w:themeColor="text1"/>
          <w:w w:val="110"/>
        </w:rPr>
        <w:t>marginally</w:t>
      </w:r>
      <w:r w:rsidRPr="00FD40B8">
        <w:rPr>
          <w:color w:val="131727" w:themeColor="text1"/>
          <w:spacing w:val="-6"/>
          <w:w w:val="110"/>
        </w:rPr>
        <w:t xml:space="preserve"> </w:t>
      </w:r>
      <w:r w:rsidRPr="00FD40B8">
        <w:rPr>
          <w:color w:val="131727" w:themeColor="text1"/>
          <w:w w:val="110"/>
        </w:rPr>
        <w:t>housed</w:t>
      </w:r>
      <w:r w:rsidRPr="00FD40B8">
        <w:rPr>
          <w:color w:val="131727" w:themeColor="text1"/>
          <w:spacing w:val="-5"/>
          <w:w w:val="110"/>
        </w:rPr>
        <w:t xml:space="preserve"> </w:t>
      </w:r>
      <w:r w:rsidRPr="00FD40B8">
        <w:rPr>
          <w:color w:val="131727" w:themeColor="text1"/>
          <w:w w:val="110"/>
        </w:rPr>
        <w:t>in caravan</w:t>
      </w:r>
      <w:r w:rsidRPr="00FD40B8">
        <w:rPr>
          <w:color w:val="131727" w:themeColor="text1"/>
          <w:spacing w:val="-4"/>
          <w:w w:val="110"/>
        </w:rPr>
        <w:t xml:space="preserve"> </w:t>
      </w:r>
      <w:r w:rsidRPr="00FD40B8">
        <w:rPr>
          <w:color w:val="131727" w:themeColor="text1"/>
          <w:w w:val="110"/>
        </w:rPr>
        <w:t>parks),</w:t>
      </w:r>
      <w:r w:rsidRPr="00FD40B8">
        <w:rPr>
          <w:color w:val="131727" w:themeColor="text1"/>
          <w:spacing w:val="-1"/>
          <w:w w:val="110"/>
        </w:rPr>
        <w:t xml:space="preserve"> </w:t>
      </w:r>
      <w:r w:rsidRPr="00FD40B8">
        <w:rPr>
          <w:color w:val="131727" w:themeColor="text1"/>
          <w:w w:val="110"/>
        </w:rPr>
        <w:t>instead</w:t>
      </w:r>
      <w:r w:rsidRPr="00FD40B8">
        <w:rPr>
          <w:color w:val="131727" w:themeColor="text1"/>
          <w:spacing w:val="-5"/>
          <w:w w:val="110"/>
        </w:rPr>
        <w:t xml:space="preserve"> </w:t>
      </w:r>
      <w:r w:rsidRPr="00FD40B8">
        <w:rPr>
          <w:color w:val="131727" w:themeColor="text1"/>
          <w:w w:val="110"/>
        </w:rPr>
        <w:t>focusing</w:t>
      </w:r>
      <w:r w:rsidRPr="00FD40B8">
        <w:rPr>
          <w:color w:val="131727" w:themeColor="text1"/>
          <w:spacing w:val="-5"/>
          <w:w w:val="110"/>
        </w:rPr>
        <w:t xml:space="preserve"> </w:t>
      </w:r>
      <w:r w:rsidRPr="00FD40B8">
        <w:rPr>
          <w:color w:val="131727" w:themeColor="text1"/>
          <w:w w:val="110"/>
        </w:rPr>
        <w:t>only</w:t>
      </w:r>
      <w:r w:rsidRPr="00FD40B8">
        <w:rPr>
          <w:color w:val="131727" w:themeColor="text1"/>
          <w:spacing w:val="-6"/>
          <w:w w:val="110"/>
        </w:rPr>
        <w:t xml:space="preserve"> </w:t>
      </w:r>
      <w:r w:rsidRPr="00FD40B8">
        <w:rPr>
          <w:color w:val="131727" w:themeColor="text1"/>
          <w:w w:val="110"/>
        </w:rPr>
        <w:t>on those</w:t>
      </w:r>
      <w:r w:rsidRPr="00FD40B8">
        <w:rPr>
          <w:color w:val="131727" w:themeColor="text1"/>
          <w:spacing w:val="-1"/>
          <w:w w:val="110"/>
        </w:rPr>
        <w:t xml:space="preserve"> </w:t>
      </w:r>
      <w:r w:rsidRPr="00FD40B8">
        <w:rPr>
          <w:color w:val="131727" w:themeColor="text1"/>
          <w:w w:val="110"/>
        </w:rPr>
        <w:t>that</w:t>
      </w:r>
      <w:r w:rsidRPr="00FD40B8">
        <w:rPr>
          <w:color w:val="131727" w:themeColor="text1"/>
          <w:spacing w:val="-1"/>
          <w:w w:val="110"/>
        </w:rPr>
        <w:t xml:space="preserve"> </w:t>
      </w:r>
      <w:r w:rsidRPr="00FD40B8">
        <w:rPr>
          <w:color w:val="131727" w:themeColor="text1"/>
          <w:w w:val="110"/>
        </w:rPr>
        <w:t>meet</w:t>
      </w:r>
      <w:r w:rsidRPr="00FD40B8">
        <w:rPr>
          <w:color w:val="131727" w:themeColor="text1"/>
          <w:spacing w:val="-5"/>
          <w:w w:val="110"/>
        </w:rPr>
        <w:t xml:space="preserve"> </w:t>
      </w:r>
      <w:r w:rsidRPr="00FD40B8">
        <w:rPr>
          <w:color w:val="131727" w:themeColor="text1"/>
          <w:w w:val="110"/>
        </w:rPr>
        <w:t>the ABS definition of homelessness or in overcrowded dwellings.</w:t>
      </w:r>
    </w:p>
    <w:p w14:paraId="7B7D9094" w14:textId="77777777" w:rsidR="00811887" w:rsidRPr="00FD40B8" w:rsidRDefault="00811887" w:rsidP="00811887">
      <w:pPr>
        <w:pStyle w:val="BodyText"/>
        <w:spacing w:before="117"/>
        <w:ind w:left="508"/>
        <w:rPr>
          <w:color w:val="131727" w:themeColor="text1"/>
        </w:rPr>
      </w:pPr>
      <w:r w:rsidRPr="00FD40B8">
        <w:rPr>
          <w:color w:val="131727" w:themeColor="text1"/>
          <w:w w:val="110"/>
        </w:rPr>
        <w:t>Data</w:t>
      </w:r>
      <w:r w:rsidRPr="00FD40B8">
        <w:rPr>
          <w:color w:val="131727" w:themeColor="text1"/>
          <w:spacing w:val="-1"/>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from</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1"/>
          <w:w w:val="110"/>
        </w:rPr>
        <w:t xml:space="preserve"> </w:t>
      </w:r>
      <w:r w:rsidRPr="00FD40B8">
        <w:rPr>
          <w:color w:val="131727" w:themeColor="text1"/>
          <w:w w:val="110"/>
        </w:rPr>
        <w:t>2021</w:t>
      </w:r>
      <w:r w:rsidRPr="00FD40B8">
        <w:rPr>
          <w:color w:val="131727" w:themeColor="text1"/>
          <w:spacing w:val="2"/>
          <w:w w:val="110"/>
        </w:rPr>
        <w:t xml:space="preserve"> </w:t>
      </w:r>
      <w:r w:rsidRPr="00FD40B8">
        <w:rPr>
          <w:color w:val="131727" w:themeColor="text1"/>
          <w:w w:val="110"/>
        </w:rPr>
        <w:t>Census</w:t>
      </w:r>
      <w:r w:rsidRPr="00FD40B8">
        <w:rPr>
          <w:color w:val="131727" w:themeColor="text1"/>
          <w:spacing w:val="-2"/>
          <w:w w:val="110"/>
        </w:rPr>
        <w:t xml:space="preserve"> </w:t>
      </w:r>
      <w:r w:rsidRPr="00FD40B8">
        <w:rPr>
          <w:color w:val="131727" w:themeColor="text1"/>
          <w:w w:val="110"/>
        </w:rPr>
        <w:t>data Table</w:t>
      </w:r>
      <w:r w:rsidRPr="00FD40B8">
        <w:rPr>
          <w:color w:val="131727" w:themeColor="text1"/>
          <w:spacing w:val="1"/>
          <w:w w:val="110"/>
        </w:rPr>
        <w:t xml:space="preserve"> </w:t>
      </w:r>
      <w:r w:rsidRPr="00FD40B8">
        <w:rPr>
          <w:color w:val="131727" w:themeColor="text1"/>
          <w:w w:val="110"/>
        </w:rPr>
        <w:t>Builder except</w:t>
      </w:r>
      <w:r w:rsidRPr="00FD40B8">
        <w:rPr>
          <w:color w:val="131727" w:themeColor="text1"/>
          <w:spacing w:val="1"/>
          <w:w w:val="110"/>
        </w:rPr>
        <w:t xml:space="preserve"> </w:t>
      </w:r>
      <w:r w:rsidRPr="00FD40B8">
        <w:rPr>
          <w:color w:val="131727" w:themeColor="text1"/>
          <w:w w:val="110"/>
        </w:rPr>
        <w:t>where</w:t>
      </w:r>
      <w:r w:rsidRPr="00FD40B8">
        <w:rPr>
          <w:color w:val="131727" w:themeColor="text1"/>
          <w:spacing w:val="-3"/>
          <w:w w:val="110"/>
        </w:rPr>
        <w:t xml:space="preserve"> </w:t>
      </w:r>
      <w:r w:rsidRPr="00FD40B8">
        <w:rPr>
          <w:color w:val="131727" w:themeColor="text1"/>
          <w:spacing w:val="-2"/>
          <w:w w:val="110"/>
        </w:rPr>
        <w:t>outlined.</w:t>
      </w:r>
    </w:p>
    <w:p w14:paraId="1B206EAF" w14:textId="77777777" w:rsidR="00811887" w:rsidRPr="00FD40B8" w:rsidRDefault="00811887" w:rsidP="00811887">
      <w:pPr>
        <w:pStyle w:val="BodyText"/>
        <w:spacing w:before="149" w:line="261" w:lineRule="auto"/>
        <w:ind w:left="508" w:right="749"/>
        <w:rPr>
          <w:color w:val="131727" w:themeColor="text1"/>
        </w:rPr>
      </w:pPr>
      <w:r w:rsidRPr="00FD40B8">
        <w:rPr>
          <w:color w:val="131727" w:themeColor="text1"/>
          <w:w w:val="110"/>
        </w:rPr>
        <w:t>In developing our methodology, we reviewed the approach in the Commonwealth’s 2017 Remote Indigenous Housing review</w:t>
      </w:r>
      <w:hyperlink w:anchor="_bookmark38" w:history="1">
        <w:r w:rsidRPr="00FD40B8">
          <w:rPr>
            <w:color w:val="131727" w:themeColor="text1"/>
            <w:w w:val="110"/>
          </w:rPr>
          <w:t>,</w:t>
        </w:r>
        <w:r w:rsidRPr="00FD40B8">
          <w:rPr>
            <w:color w:val="131727" w:themeColor="text1"/>
            <w:w w:val="110"/>
            <w:position w:val="8"/>
            <w:sz w:val="13"/>
          </w:rPr>
          <w:t>30</w:t>
        </w:r>
      </w:hyperlink>
      <w:r w:rsidRPr="00FD40B8">
        <w:rPr>
          <w:color w:val="131727" w:themeColor="text1"/>
          <w:spacing w:val="15"/>
          <w:w w:val="110"/>
          <w:position w:val="8"/>
          <w:sz w:val="13"/>
        </w:rPr>
        <w:t xml:space="preserve"> </w:t>
      </w:r>
      <w:r w:rsidRPr="00FD40B8">
        <w:rPr>
          <w:color w:val="131727" w:themeColor="text1"/>
          <w:w w:val="110"/>
        </w:rPr>
        <w:t>noting</w:t>
      </w:r>
      <w:r w:rsidRPr="00FD40B8">
        <w:rPr>
          <w:color w:val="131727" w:themeColor="text1"/>
          <w:spacing w:val="-3"/>
          <w:w w:val="110"/>
        </w:rPr>
        <w:t xml:space="preserve"> </w:t>
      </w:r>
      <w:r w:rsidRPr="00FD40B8">
        <w:rPr>
          <w:color w:val="131727" w:themeColor="text1"/>
          <w:w w:val="110"/>
        </w:rPr>
        <w:t>only</w:t>
      </w:r>
      <w:r w:rsidRPr="00FD40B8">
        <w:rPr>
          <w:color w:val="131727" w:themeColor="text1"/>
          <w:spacing w:val="-5"/>
          <w:w w:val="110"/>
        </w:rPr>
        <w:t xml:space="preserve"> </w:t>
      </w:r>
      <w:r w:rsidRPr="00FD40B8">
        <w:rPr>
          <w:color w:val="131727" w:themeColor="text1"/>
          <w:w w:val="110"/>
        </w:rPr>
        <w:t>limited</w:t>
      </w:r>
      <w:r w:rsidRPr="00FD40B8">
        <w:rPr>
          <w:color w:val="131727" w:themeColor="text1"/>
          <w:spacing w:val="-5"/>
          <w:w w:val="110"/>
        </w:rPr>
        <w:t xml:space="preserve"> </w:t>
      </w:r>
      <w:r w:rsidRPr="00FD40B8">
        <w:rPr>
          <w:color w:val="131727" w:themeColor="text1"/>
          <w:w w:val="110"/>
        </w:rPr>
        <w:t>information on the methodology</w:t>
      </w:r>
      <w:r w:rsidRPr="00FD40B8">
        <w:rPr>
          <w:color w:val="131727" w:themeColor="text1"/>
          <w:spacing w:val="-1"/>
          <w:w w:val="110"/>
        </w:rPr>
        <w:t xml:space="preserve"> </w:t>
      </w:r>
      <w:r w:rsidRPr="00FD40B8">
        <w:rPr>
          <w:color w:val="131727" w:themeColor="text1"/>
          <w:w w:val="110"/>
        </w:rPr>
        <w:t>is publicly</w:t>
      </w:r>
      <w:r w:rsidRPr="00FD40B8">
        <w:rPr>
          <w:color w:val="131727" w:themeColor="text1"/>
          <w:spacing w:val="-2"/>
          <w:w w:val="110"/>
        </w:rPr>
        <w:t xml:space="preserve"> </w:t>
      </w:r>
      <w:r w:rsidRPr="00FD40B8">
        <w:rPr>
          <w:color w:val="131727" w:themeColor="text1"/>
          <w:w w:val="110"/>
        </w:rPr>
        <w:t>available. That</w:t>
      </w:r>
      <w:r w:rsidRPr="00FD40B8">
        <w:rPr>
          <w:color w:val="131727" w:themeColor="text1"/>
          <w:spacing w:val="-3"/>
          <w:w w:val="110"/>
        </w:rPr>
        <w:t xml:space="preserve"> </w:t>
      </w:r>
      <w:r w:rsidRPr="00FD40B8">
        <w:rPr>
          <w:color w:val="131727" w:themeColor="text1"/>
          <w:w w:val="110"/>
        </w:rPr>
        <w:t>review</w:t>
      </w:r>
      <w:r w:rsidRPr="00FD40B8">
        <w:rPr>
          <w:color w:val="131727" w:themeColor="text1"/>
          <w:spacing w:val="-5"/>
          <w:w w:val="110"/>
        </w:rPr>
        <w:t xml:space="preserve"> </w:t>
      </w:r>
      <w:r w:rsidRPr="00FD40B8">
        <w:rPr>
          <w:color w:val="131727" w:themeColor="text1"/>
          <w:w w:val="110"/>
        </w:rPr>
        <w:t>estimated</w:t>
      </w:r>
      <w:r w:rsidRPr="00FD40B8">
        <w:rPr>
          <w:color w:val="131727" w:themeColor="text1"/>
          <w:spacing w:val="-8"/>
          <w:w w:val="110"/>
        </w:rPr>
        <w:t xml:space="preserve"> </w:t>
      </w:r>
      <w:r w:rsidRPr="00FD40B8">
        <w:rPr>
          <w:color w:val="131727" w:themeColor="text1"/>
          <w:w w:val="110"/>
        </w:rPr>
        <w:t>5,500</w:t>
      </w:r>
      <w:r w:rsidRPr="00FD40B8">
        <w:rPr>
          <w:color w:val="131727" w:themeColor="text1"/>
          <w:spacing w:val="-6"/>
          <w:w w:val="110"/>
        </w:rPr>
        <w:t xml:space="preserve"> </w:t>
      </w:r>
      <w:r w:rsidRPr="00FD40B8">
        <w:rPr>
          <w:color w:val="131727" w:themeColor="text1"/>
          <w:w w:val="110"/>
        </w:rPr>
        <w:t>new</w:t>
      </w:r>
      <w:r w:rsidRPr="00FD40B8">
        <w:rPr>
          <w:color w:val="131727" w:themeColor="text1"/>
          <w:spacing w:val="-4"/>
          <w:w w:val="110"/>
        </w:rPr>
        <w:t xml:space="preserve"> </w:t>
      </w:r>
      <w:r w:rsidRPr="00FD40B8">
        <w:rPr>
          <w:color w:val="131727" w:themeColor="text1"/>
          <w:w w:val="110"/>
        </w:rPr>
        <w:t>dwellings</w:t>
      </w:r>
      <w:r w:rsidRPr="00FD40B8">
        <w:rPr>
          <w:color w:val="131727" w:themeColor="text1"/>
          <w:spacing w:val="-1"/>
          <w:w w:val="110"/>
        </w:rPr>
        <w:t xml:space="preserve"> </w:t>
      </w:r>
      <w:r w:rsidRPr="00FD40B8">
        <w:rPr>
          <w:color w:val="131727" w:themeColor="text1"/>
          <w:w w:val="110"/>
        </w:rPr>
        <w:t>were</w:t>
      </w:r>
      <w:r w:rsidRPr="00FD40B8">
        <w:rPr>
          <w:color w:val="131727" w:themeColor="text1"/>
          <w:spacing w:val="-8"/>
          <w:w w:val="110"/>
        </w:rPr>
        <w:t xml:space="preserve"> </w:t>
      </w:r>
      <w:r w:rsidRPr="00FD40B8">
        <w:rPr>
          <w:color w:val="131727" w:themeColor="text1"/>
          <w:w w:val="110"/>
        </w:rPr>
        <w:t>needed</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6"/>
          <w:w w:val="110"/>
        </w:rPr>
        <w:t xml:space="preserve"> </w:t>
      </w:r>
      <w:r w:rsidRPr="00FD40B8">
        <w:rPr>
          <w:color w:val="131727" w:themeColor="text1"/>
          <w:w w:val="110"/>
        </w:rPr>
        <w:t>house</w:t>
      </w:r>
      <w:r w:rsidRPr="00FD40B8">
        <w:rPr>
          <w:color w:val="131727" w:themeColor="text1"/>
          <w:spacing w:val="-3"/>
          <w:w w:val="110"/>
        </w:rPr>
        <w:t xml:space="preserve"> </w:t>
      </w:r>
      <w:r w:rsidRPr="00FD40B8">
        <w:rPr>
          <w:color w:val="131727" w:themeColor="text1"/>
          <w:w w:val="110"/>
        </w:rPr>
        <w:t>Aboriginal</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Torres</w:t>
      </w:r>
      <w:r w:rsidRPr="00FD40B8">
        <w:rPr>
          <w:color w:val="131727" w:themeColor="text1"/>
          <w:spacing w:val="-1"/>
          <w:w w:val="110"/>
        </w:rPr>
        <w:t xml:space="preserve"> </w:t>
      </w:r>
      <w:r w:rsidRPr="00FD40B8">
        <w:rPr>
          <w:color w:val="131727" w:themeColor="text1"/>
          <w:w w:val="110"/>
        </w:rPr>
        <w:t>Strait</w:t>
      </w:r>
      <w:r w:rsidRPr="00FD40B8">
        <w:rPr>
          <w:color w:val="131727" w:themeColor="text1"/>
          <w:spacing w:val="-8"/>
          <w:w w:val="110"/>
        </w:rPr>
        <w:t xml:space="preserve"> </w:t>
      </w:r>
      <w:r w:rsidRPr="00FD40B8">
        <w:rPr>
          <w:color w:val="131727" w:themeColor="text1"/>
          <w:w w:val="110"/>
        </w:rPr>
        <w:t>Islander people in remote communities</w:t>
      </w:r>
      <w:hyperlink w:anchor="_bookmark39" w:history="1">
        <w:r w:rsidRPr="00FD40B8">
          <w:rPr>
            <w:color w:val="131727" w:themeColor="text1"/>
            <w:w w:val="110"/>
          </w:rPr>
          <w:t>.</w:t>
        </w:r>
        <w:r w:rsidRPr="00FD40B8">
          <w:rPr>
            <w:color w:val="131727" w:themeColor="text1"/>
            <w:w w:val="110"/>
            <w:position w:val="8"/>
            <w:sz w:val="13"/>
          </w:rPr>
          <w:t>31</w:t>
        </w:r>
      </w:hyperlink>
      <w:r w:rsidRPr="00FD40B8">
        <w:rPr>
          <w:color w:val="131727" w:themeColor="text1"/>
          <w:spacing w:val="28"/>
          <w:w w:val="110"/>
          <w:position w:val="8"/>
          <w:sz w:val="13"/>
        </w:rPr>
        <w:t xml:space="preserve"> </w:t>
      </w:r>
      <w:r w:rsidRPr="00FD40B8">
        <w:rPr>
          <w:color w:val="131727" w:themeColor="text1"/>
          <w:w w:val="110"/>
        </w:rPr>
        <w:t xml:space="preserve">Our methodology differs from the 2017 approach in three key </w:t>
      </w:r>
      <w:r w:rsidRPr="00FD40B8">
        <w:rPr>
          <w:color w:val="131727" w:themeColor="text1"/>
          <w:spacing w:val="-2"/>
          <w:w w:val="110"/>
        </w:rPr>
        <w:t>respects:</w:t>
      </w:r>
    </w:p>
    <w:p w14:paraId="4642FF39" w14:textId="77777777" w:rsidR="00811887" w:rsidRPr="00FD40B8" w:rsidRDefault="00811887" w:rsidP="00FB2FE9">
      <w:pPr>
        <w:pStyle w:val="ListParagraph"/>
        <w:widowControl w:val="0"/>
        <w:numPr>
          <w:ilvl w:val="0"/>
          <w:numId w:val="66"/>
        </w:numPr>
        <w:tabs>
          <w:tab w:val="left" w:pos="1228"/>
        </w:tabs>
        <w:autoSpaceDE w:val="0"/>
        <w:autoSpaceDN w:val="0"/>
        <w:spacing w:before="125" w:after="0" w:line="266" w:lineRule="auto"/>
        <w:ind w:right="1085"/>
        <w:contextualSpacing w:val="0"/>
        <w:rPr>
          <w:color w:val="131727" w:themeColor="text1"/>
          <w:sz w:val="20"/>
        </w:rPr>
      </w:pPr>
      <w:r w:rsidRPr="00FD40B8">
        <w:rPr>
          <w:color w:val="131727" w:themeColor="text1"/>
          <w:w w:val="110"/>
          <w:sz w:val="20"/>
        </w:rPr>
        <w:t>we</w:t>
      </w:r>
      <w:r w:rsidRPr="00FD40B8">
        <w:rPr>
          <w:color w:val="131727" w:themeColor="text1"/>
          <w:spacing w:val="-2"/>
          <w:w w:val="110"/>
          <w:sz w:val="20"/>
        </w:rPr>
        <w:t xml:space="preserve"> </w:t>
      </w:r>
      <w:r w:rsidRPr="00FD40B8">
        <w:rPr>
          <w:color w:val="131727" w:themeColor="text1"/>
          <w:w w:val="110"/>
          <w:sz w:val="20"/>
        </w:rPr>
        <w:t>use</w:t>
      </w:r>
      <w:r w:rsidRPr="00FD40B8">
        <w:rPr>
          <w:color w:val="131727" w:themeColor="text1"/>
          <w:spacing w:val="-6"/>
          <w:w w:val="110"/>
          <w:sz w:val="20"/>
        </w:rPr>
        <w:t xml:space="preserve"> </w:t>
      </w:r>
      <w:r w:rsidRPr="00FD40B8">
        <w:rPr>
          <w:color w:val="131727" w:themeColor="text1"/>
          <w:w w:val="110"/>
          <w:sz w:val="20"/>
        </w:rPr>
        <w:t>a</w:t>
      </w:r>
      <w:r w:rsidRPr="00FD40B8">
        <w:rPr>
          <w:color w:val="131727" w:themeColor="text1"/>
          <w:spacing w:val="-3"/>
          <w:w w:val="110"/>
          <w:sz w:val="20"/>
        </w:rPr>
        <w:t xml:space="preserve"> </w:t>
      </w:r>
      <w:r w:rsidRPr="00FD40B8">
        <w:rPr>
          <w:color w:val="131727" w:themeColor="text1"/>
          <w:w w:val="110"/>
          <w:sz w:val="20"/>
        </w:rPr>
        <w:t>broader</w:t>
      </w:r>
      <w:r w:rsidRPr="00FD40B8">
        <w:rPr>
          <w:color w:val="131727" w:themeColor="text1"/>
          <w:spacing w:val="-8"/>
          <w:w w:val="110"/>
          <w:sz w:val="20"/>
        </w:rPr>
        <w:t xml:space="preserve"> </w:t>
      </w:r>
      <w:r w:rsidRPr="00FD40B8">
        <w:rPr>
          <w:color w:val="131727" w:themeColor="text1"/>
          <w:w w:val="110"/>
          <w:sz w:val="20"/>
        </w:rPr>
        <w:t>definition</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5"/>
          <w:w w:val="110"/>
          <w:sz w:val="20"/>
        </w:rPr>
        <w:t xml:space="preserve"> </w:t>
      </w:r>
      <w:r w:rsidRPr="00FD40B8">
        <w:rPr>
          <w:color w:val="131727" w:themeColor="text1"/>
          <w:w w:val="110"/>
          <w:sz w:val="20"/>
        </w:rPr>
        <w:t>overcrowding</w:t>
      </w:r>
      <w:r w:rsidRPr="00FD40B8">
        <w:rPr>
          <w:color w:val="131727" w:themeColor="text1"/>
          <w:spacing w:val="-2"/>
          <w:w w:val="110"/>
          <w:sz w:val="20"/>
        </w:rPr>
        <w:t xml:space="preserve"> </w:t>
      </w:r>
      <w:r w:rsidRPr="00FD40B8">
        <w:rPr>
          <w:color w:val="131727" w:themeColor="text1"/>
          <w:w w:val="110"/>
          <w:sz w:val="20"/>
        </w:rPr>
        <w:t>to</w:t>
      </w:r>
      <w:r w:rsidRPr="00FD40B8">
        <w:rPr>
          <w:color w:val="131727" w:themeColor="text1"/>
          <w:spacing w:val="-5"/>
          <w:w w:val="110"/>
          <w:sz w:val="20"/>
        </w:rPr>
        <w:t xml:space="preserve"> </w:t>
      </w:r>
      <w:r w:rsidRPr="00FD40B8">
        <w:rPr>
          <w:color w:val="131727" w:themeColor="text1"/>
          <w:w w:val="110"/>
          <w:sz w:val="20"/>
        </w:rPr>
        <w:t>include</w:t>
      </w:r>
      <w:r w:rsidRPr="00FD40B8">
        <w:rPr>
          <w:color w:val="131727" w:themeColor="text1"/>
          <w:spacing w:val="-1"/>
          <w:w w:val="110"/>
          <w:sz w:val="20"/>
        </w:rPr>
        <w:t xml:space="preserve"> </w:t>
      </w:r>
      <w:r w:rsidRPr="00FD40B8">
        <w:rPr>
          <w:color w:val="131727" w:themeColor="text1"/>
          <w:w w:val="110"/>
          <w:sz w:val="20"/>
        </w:rPr>
        <w:t>all</w:t>
      </w:r>
      <w:r w:rsidRPr="00FD40B8">
        <w:rPr>
          <w:color w:val="131727" w:themeColor="text1"/>
          <w:spacing w:val="-5"/>
          <w:w w:val="110"/>
          <w:sz w:val="20"/>
        </w:rPr>
        <w:t xml:space="preserve"> </w:t>
      </w:r>
      <w:r w:rsidRPr="00FD40B8">
        <w:rPr>
          <w:color w:val="131727" w:themeColor="text1"/>
          <w:w w:val="110"/>
          <w:sz w:val="20"/>
        </w:rPr>
        <w:t>households who</w:t>
      </w:r>
      <w:r w:rsidRPr="00FD40B8">
        <w:rPr>
          <w:color w:val="131727" w:themeColor="text1"/>
          <w:spacing w:val="-5"/>
          <w:w w:val="110"/>
          <w:sz w:val="20"/>
        </w:rPr>
        <w:t xml:space="preserve"> </w:t>
      </w:r>
      <w:r w:rsidRPr="00FD40B8">
        <w:rPr>
          <w:color w:val="131727" w:themeColor="text1"/>
          <w:w w:val="110"/>
          <w:sz w:val="20"/>
        </w:rPr>
        <w:t>need</w:t>
      </w:r>
      <w:r w:rsidRPr="00FD40B8">
        <w:rPr>
          <w:color w:val="131727" w:themeColor="text1"/>
          <w:spacing w:val="-2"/>
          <w:w w:val="110"/>
          <w:sz w:val="20"/>
        </w:rPr>
        <w:t xml:space="preserve"> </w:t>
      </w:r>
      <w:r w:rsidRPr="00FD40B8">
        <w:rPr>
          <w:color w:val="131727" w:themeColor="text1"/>
          <w:w w:val="110"/>
          <w:sz w:val="20"/>
        </w:rPr>
        <w:t xml:space="preserve">additional </w:t>
      </w:r>
      <w:r w:rsidRPr="00FD40B8">
        <w:rPr>
          <w:color w:val="131727" w:themeColor="text1"/>
          <w:spacing w:val="-2"/>
          <w:w w:val="110"/>
          <w:sz w:val="20"/>
        </w:rPr>
        <w:t>bedrooms;</w:t>
      </w:r>
    </w:p>
    <w:p w14:paraId="13460AC5" w14:textId="77777777" w:rsidR="00811887" w:rsidRPr="00FD40B8" w:rsidRDefault="00811887" w:rsidP="00FB2FE9">
      <w:pPr>
        <w:pStyle w:val="ListParagraph"/>
        <w:widowControl w:val="0"/>
        <w:numPr>
          <w:ilvl w:val="0"/>
          <w:numId w:val="66"/>
        </w:numPr>
        <w:tabs>
          <w:tab w:val="left" w:pos="1228"/>
        </w:tabs>
        <w:autoSpaceDE w:val="0"/>
        <w:autoSpaceDN w:val="0"/>
        <w:spacing w:before="115" w:after="0" w:line="266" w:lineRule="auto"/>
        <w:ind w:right="1236"/>
        <w:contextualSpacing w:val="0"/>
        <w:rPr>
          <w:color w:val="131727" w:themeColor="text1"/>
          <w:sz w:val="20"/>
        </w:rPr>
      </w:pPr>
      <w:r w:rsidRPr="00FD40B8">
        <w:rPr>
          <w:color w:val="131727" w:themeColor="text1"/>
          <w:w w:val="110"/>
          <w:sz w:val="20"/>
        </w:rPr>
        <w:t>We</w:t>
      </w:r>
      <w:r w:rsidRPr="00FD40B8">
        <w:rPr>
          <w:color w:val="131727" w:themeColor="text1"/>
          <w:spacing w:val="-5"/>
          <w:w w:val="110"/>
          <w:sz w:val="20"/>
        </w:rPr>
        <w:t xml:space="preserve"> </w:t>
      </w:r>
      <w:r w:rsidRPr="00FD40B8">
        <w:rPr>
          <w:color w:val="131727" w:themeColor="text1"/>
          <w:w w:val="110"/>
          <w:sz w:val="20"/>
        </w:rPr>
        <w:t>use a</w:t>
      </w:r>
      <w:r w:rsidRPr="00FD40B8">
        <w:rPr>
          <w:color w:val="131727" w:themeColor="text1"/>
          <w:spacing w:val="-6"/>
          <w:w w:val="110"/>
          <w:sz w:val="20"/>
        </w:rPr>
        <w:t xml:space="preserve"> </w:t>
      </w:r>
      <w:r w:rsidRPr="00FD40B8">
        <w:rPr>
          <w:color w:val="131727" w:themeColor="text1"/>
          <w:w w:val="110"/>
          <w:sz w:val="20"/>
        </w:rPr>
        <w:t>narrower</w:t>
      </w:r>
      <w:r w:rsidRPr="00FD40B8">
        <w:rPr>
          <w:color w:val="131727" w:themeColor="text1"/>
          <w:spacing w:val="-2"/>
          <w:w w:val="110"/>
          <w:sz w:val="20"/>
        </w:rPr>
        <w:t xml:space="preserve"> </w:t>
      </w:r>
      <w:r w:rsidRPr="00FD40B8">
        <w:rPr>
          <w:color w:val="131727" w:themeColor="text1"/>
          <w:w w:val="110"/>
          <w:sz w:val="20"/>
        </w:rPr>
        <w:t>definition</w:t>
      </w:r>
      <w:r w:rsidRPr="00FD40B8">
        <w:rPr>
          <w:color w:val="131727" w:themeColor="text1"/>
          <w:spacing w:val="-4"/>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homelessness, removing those who are homeless</w:t>
      </w:r>
      <w:r w:rsidRPr="00FD40B8">
        <w:rPr>
          <w:color w:val="131727" w:themeColor="text1"/>
          <w:spacing w:val="-3"/>
          <w:w w:val="110"/>
          <w:sz w:val="20"/>
        </w:rPr>
        <w:t xml:space="preserve"> </w:t>
      </w:r>
      <w:r w:rsidRPr="00FD40B8">
        <w:rPr>
          <w:color w:val="131727" w:themeColor="text1"/>
          <w:w w:val="110"/>
          <w:sz w:val="20"/>
        </w:rPr>
        <w:t>due to overcrowding (to avoid double counting) and excluding other marginally housed people.</w:t>
      </w:r>
    </w:p>
    <w:p w14:paraId="0117F1F9" w14:textId="77777777" w:rsidR="00811887" w:rsidRPr="00FD40B8" w:rsidRDefault="00811887" w:rsidP="00FB2FE9">
      <w:pPr>
        <w:pStyle w:val="ListParagraph"/>
        <w:widowControl w:val="0"/>
        <w:numPr>
          <w:ilvl w:val="0"/>
          <w:numId w:val="66"/>
        </w:numPr>
        <w:tabs>
          <w:tab w:val="left" w:pos="1228"/>
        </w:tabs>
        <w:autoSpaceDE w:val="0"/>
        <w:autoSpaceDN w:val="0"/>
        <w:spacing w:before="116" w:after="0" w:line="268" w:lineRule="auto"/>
        <w:ind w:right="973"/>
        <w:contextualSpacing w:val="0"/>
        <w:rPr>
          <w:color w:val="131727" w:themeColor="text1"/>
          <w:sz w:val="20"/>
        </w:rPr>
      </w:pPr>
      <w:r w:rsidRPr="00FD40B8">
        <w:rPr>
          <w:color w:val="131727" w:themeColor="text1"/>
          <w:w w:val="110"/>
          <w:sz w:val="20"/>
        </w:rPr>
        <w:t>we primarily use 2021 data, providing a snapshot in time, which does not include forward population projections or account</w:t>
      </w:r>
      <w:r w:rsidRPr="00FD40B8">
        <w:rPr>
          <w:color w:val="131727" w:themeColor="text1"/>
          <w:spacing w:val="-2"/>
          <w:w w:val="110"/>
          <w:sz w:val="20"/>
        </w:rPr>
        <w:t xml:space="preserve"> </w:t>
      </w:r>
      <w:r w:rsidRPr="00FD40B8">
        <w:rPr>
          <w:color w:val="131727" w:themeColor="text1"/>
          <w:w w:val="110"/>
          <w:sz w:val="20"/>
        </w:rPr>
        <w:t>for events that</w:t>
      </w:r>
      <w:r w:rsidRPr="00FD40B8">
        <w:rPr>
          <w:color w:val="131727" w:themeColor="text1"/>
          <w:spacing w:val="-2"/>
          <w:w w:val="110"/>
          <w:sz w:val="20"/>
        </w:rPr>
        <w:t xml:space="preserve"> </w:t>
      </w:r>
      <w:r w:rsidRPr="00FD40B8">
        <w:rPr>
          <w:color w:val="131727" w:themeColor="text1"/>
          <w:w w:val="110"/>
          <w:sz w:val="20"/>
        </w:rPr>
        <w:t>may</w:t>
      </w:r>
      <w:r w:rsidRPr="00FD40B8">
        <w:rPr>
          <w:color w:val="131727" w:themeColor="text1"/>
          <w:spacing w:val="-4"/>
          <w:w w:val="110"/>
          <w:sz w:val="20"/>
        </w:rPr>
        <w:t xml:space="preserve"> </w:t>
      </w:r>
      <w:r w:rsidRPr="00FD40B8">
        <w:rPr>
          <w:color w:val="131727" w:themeColor="text1"/>
          <w:w w:val="110"/>
          <w:sz w:val="20"/>
        </w:rPr>
        <w:t>have compounded housing</w:t>
      </w:r>
      <w:r w:rsidRPr="00FD40B8">
        <w:rPr>
          <w:color w:val="131727" w:themeColor="text1"/>
          <w:spacing w:val="-2"/>
          <w:w w:val="110"/>
          <w:sz w:val="20"/>
        </w:rPr>
        <w:t xml:space="preserve"> </w:t>
      </w:r>
      <w:r w:rsidRPr="00FD40B8">
        <w:rPr>
          <w:color w:val="131727" w:themeColor="text1"/>
          <w:w w:val="110"/>
          <w:sz w:val="20"/>
        </w:rPr>
        <w:t>issues for Aboriginal and Torres Strait Islander people in recent years, including major flood events in Northern Australia.</w:t>
      </w:r>
    </w:p>
    <w:p w14:paraId="0EAA9F19" w14:textId="77777777" w:rsidR="00811887" w:rsidRPr="00FD40B8" w:rsidRDefault="00811887" w:rsidP="00811887">
      <w:pPr>
        <w:pStyle w:val="BodyText"/>
        <w:spacing w:before="118"/>
        <w:ind w:left="508"/>
        <w:rPr>
          <w:color w:val="131727" w:themeColor="text1"/>
        </w:rPr>
      </w:pPr>
      <w:r w:rsidRPr="00FD40B8">
        <w:rPr>
          <w:color w:val="131727" w:themeColor="text1"/>
          <w:w w:val="110"/>
        </w:rPr>
        <w:t>Our</w:t>
      </w:r>
      <w:r w:rsidRPr="00FD40B8">
        <w:rPr>
          <w:color w:val="131727" w:themeColor="text1"/>
          <w:spacing w:val="-3"/>
          <w:w w:val="110"/>
        </w:rPr>
        <w:t xml:space="preserve"> </w:t>
      </w:r>
      <w:r w:rsidRPr="00FD40B8">
        <w:rPr>
          <w:color w:val="131727" w:themeColor="text1"/>
          <w:w w:val="110"/>
        </w:rPr>
        <w:t>full</w:t>
      </w:r>
      <w:r w:rsidRPr="00FD40B8">
        <w:rPr>
          <w:color w:val="131727" w:themeColor="text1"/>
          <w:spacing w:val="-1"/>
          <w:w w:val="110"/>
        </w:rPr>
        <w:t xml:space="preserve"> </w:t>
      </w:r>
      <w:r w:rsidRPr="00FD40B8">
        <w:rPr>
          <w:color w:val="131727" w:themeColor="text1"/>
          <w:w w:val="110"/>
        </w:rPr>
        <w:t>methodology</w:t>
      </w:r>
      <w:r w:rsidRPr="00FD40B8">
        <w:rPr>
          <w:color w:val="131727" w:themeColor="text1"/>
          <w:spacing w:val="-7"/>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provided</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Appendix</w:t>
      </w:r>
      <w:r w:rsidRPr="00FD40B8">
        <w:rPr>
          <w:color w:val="131727" w:themeColor="text1"/>
          <w:spacing w:val="-1"/>
          <w:w w:val="110"/>
        </w:rPr>
        <w:t xml:space="preserve"> </w:t>
      </w:r>
      <w:r w:rsidRPr="00FD40B8">
        <w:rPr>
          <w:color w:val="131727" w:themeColor="text1"/>
          <w:spacing w:val="-5"/>
          <w:w w:val="110"/>
        </w:rPr>
        <w:t>B.</w:t>
      </w:r>
    </w:p>
    <w:p w14:paraId="42A63A0E" w14:textId="77777777" w:rsidR="00811887" w:rsidRPr="00FD40B8" w:rsidRDefault="00811887" w:rsidP="00811887">
      <w:pPr>
        <w:pStyle w:val="BodyText"/>
        <w:rPr>
          <w:color w:val="131727" w:themeColor="text1"/>
        </w:rPr>
      </w:pPr>
    </w:p>
    <w:p w14:paraId="7E0E045C" w14:textId="77777777" w:rsidR="00811887" w:rsidRPr="00FD40B8" w:rsidRDefault="00811887" w:rsidP="00811887">
      <w:pPr>
        <w:pStyle w:val="BodyText"/>
        <w:rPr>
          <w:color w:val="131727" w:themeColor="text1"/>
        </w:rPr>
      </w:pPr>
    </w:p>
    <w:p w14:paraId="7ACA3AB3" w14:textId="77777777" w:rsidR="00811887" w:rsidRPr="00FD40B8" w:rsidRDefault="00811887" w:rsidP="00811887">
      <w:pPr>
        <w:pStyle w:val="BodyText"/>
        <w:rPr>
          <w:color w:val="131727" w:themeColor="text1"/>
        </w:rPr>
      </w:pPr>
    </w:p>
    <w:p w14:paraId="3B3AD9D7" w14:textId="77777777" w:rsidR="00811887" w:rsidRPr="00FD40B8" w:rsidRDefault="00811887" w:rsidP="00811887">
      <w:pPr>
        <w:pStyle w:val="BodyText"/>
        <w:rPr>
          <w:color w:val="131727" w:themeColor="text1"/>
        </w:rPr>
      </w:pPr>
    </w:p>
    <w:p w14:paraId="5BC3EDD6" w14:textId="77777777" w:rsidR="00811887" w:rsidRPr="00FD40B8" w:rsidRDefault="00811887" w:rsidP="00811887">
      <w:pPr>
        <w:pStyle w:val="BodyText"/>
        <w:rPr>
          <w:color w:val="131727" w:themeColor="text1"/>
        </w:rPr>
      </w:pPr>
    </w:p>
    <w:p w14:paraId="068817B1" w14:textId="77777777" w:rsidR="00811887" w:rsidRPr="00FD40B8" w:rsidRDefault="00811887" w:rsidP="00811887">
      <w:pPr>
        <w:pStyle w:val="BodyText"/>
        <w:spacing w:before="185"/>
        <w:rPr>
          <w:color w:val="131727" w:themeColor="text1"/>
        </w:rPr>
      </w:pPr>
      <w:r w:rsidRPr="00FD40B8">
        <w:rPr>
          <w:noProof/>
          <w:color w:val="131727" w:themeColor="text1"/>
        </w:rPr>
        <mc:AlternateContent>
          <mc:Choice Requires="wps">
            <w:drawing>
              <wp:anchor distT="0" distB="0" distL="0" distR="0" simplePos="0" relativeHeight="251739136" behindDoc="1" locked="0" layoutInCell="1" allowOverlap="1" wp14:anchorId="7596F507" wp14:editId="3B42FE89">
                <wp:simplePos x="0" y="0"/>
                <wp:positionH relativeFrom="page">
                  <wp:posOffset>792784</wp:posOffset>
                </wp:positionH>
                <wp:positionV relativeFrom="paragraph">
                  <wp:posOffset>288296</wp:posOffset>
                </wp:positionV>
                <wp:extent cx="1830070" cy="6350"/>
                <wp:effectExtent l="0" t="0" r="0" b="0"/>
                <wp:wrapTopAndBottom/>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80EDC" id="Graphic 130" o:spid="_x0000_s1026" alt="&quot;&quot;" style="position:absolute;margin-left:62.4pt;margin-top:22.7pt;width:144.1pt;height:.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" path="m1829689,l,,,6095r1829689,l1829689,xe" fillcolor="black" stroked="f">
                <v:path arrowok="t"/>
                <w10:wrap type="topAndBottom" anchorx="page"/>
              </v:shape>
            </w:pict>
          </mc:Fallback>
        </mc:AlternateContent>
      </w:r>
    </w:p>
    <w:p w14:paraId="2E0198D3" w14:textId="77777777" w:rsidR="00811887" w:rsidRPr="00FD40B8" w:rsidRDefault="00811887" w:rsidP="00811887">
      <w:pPr>
        <w:spacing w:before="123" w:line="268" w:lineRule="auto"/>
        <w:ind w:left="508" w:right="942"/>
        <w:rPr>
          <w:color w:val="131727" w:themeColor="text1"/>
          <w:sz w:val="16"/>
        </w:rPr>
      </w:pPr>
      <w:bookmarkStart w:id="148" w:name="_bookmark37"/>
      <w:bookmarkEnd w:id="148"/>
      <w:r w:rsidRPr="00FD40B8">
        <w:rPr>
          <w:color w:val="131727" w:themeColor="text1"/>
          <w:w w:val="110"/>
          <w:position w:val="6"/>
          <w:sz w:val="10"/>
        </w:rPr>
        <w:t>29</w:t>
      </w:r>
      <w:r w:rsidRPr="00FD40B8">
        <w:rPr>
          <w:color w:val="131727" w:themeColor="text1"/>
          <w:spacing w:val="19"/>
          <w:w w:val="110"/>
          <w:position w:val="6"/>
          <w:sz w:val="10"/>
        </w:rPr>
        <w:t xml:space="preserve"> </w:t>
      </w:r>
      <w:r w:rsidRPr="00FD40B8">
        <w:rPr>
          <w:color w:val="131727" w:themeColor="text1"/>
          <w:w w:val="110"/>
          <w:sz w:val="16"/>
        </w:rPr>
        <w:t>Housing Statistics for Aboriginal and/or Torres Strait Islander Peoples, 2001. Table 1.1. Whether dwelling of an acceptable</w:t>
      </w:r>
      <w:r w:rsidRPr="00FD40B8">
        <w:rPr>
          <w:color w:val="131727" w:themeColor="text1"/>
          <w:spacing w:val="40"/>
          <w:w w:val="110"/>
          <w:sz w:val="16"/>
        </w:rPr>
        <w:t xml:space="preserve"> </w:t>
      </w:r>
      <w:r w:rsidRPr="00FD40B8">
        <w:rPr>
          <w:color w:val="131727" w:themeColor="text1"/>
          <w:w w:val="110"/>
          <w:sz w:val="16"/>
        </w:rPr>
        <w:t>standard, Aboriginal</w:t>
      </w:r>
      <w:r w:rsidRPr="00FD40B8">
        <w:rPr>
          <w:color w:val="131727" w:themeColor="text1"/>
          <w:spacing w:val="-2"/>
          <w:w w:val="110"/>
          <w:sz w:val="16"/>
        </w:rPr>
        <w:t xml:space="preserve"> </w:t>
      </w:r>
      <w:r w:rsidRPr="00FD40B8">
        <w:rPr>
          <w:color w:val="131727" w:themeColor="text1"/>
          <w:w w:val="110"/>
          <w:sz w:val="16"/>
        </w:rPr>
        <w:t>and Torres</w:t>
      </w:r>
      <w:r w:rsidRPr="00FD40B8">
        <w:rPr>
          <w:color w:val="131727" w:themeColor="text1"/>
          <w:spacing w:val="-1"/>
          <w:w w:val="110"/>
          <w:sz w:val="16"/>
        </w:rPr>
        <w:t xml:space="preserve"> </w:t>
      </w:r>
      <w:r w:rsidRPr="00FD40B8">
        <w:rPr>
          <w:color w:val="131727" w:themeColor="text1"/>
          <w:w w:val="110"/>
          <w:sz w:val="16"/>
        </w:rPr>
        <w:t>Strait Islander households, State/Territory, NATSISS 2008 and 2014-15, NATSIHS 2012-13 and</w:t>
      </w:r>
      <w:r w:rsidRPr="00FD40B8">
        <w:rPr>
          <w:color w:val="131727" w:themeColor="text1"/>
          <w:spacing w:val="40"/>
          <w:w w:val="110"/>
          <w:sz w:val="16"/>
        </w:rPr>
        <w:t xml:space="preserve"> </w:t>
      </w:r>
      <w:r w:rsidRPr="00FD40B8">
        <w:rPr>
          <w:color w:val="131727" w:themeColor="text1"/>
          <w:spacing w:val="-2"/>
          <w:w w:val="110"/>
          <w:sz w:val="16"/>
        </w:rPr>
        <w:t>2018-19.</w:t>
      </w:r>
    </w:p>
    <w:p w14:paraId="0E50A0FC" w14:textId="77777777" w:rsidR="00811887" w:rsidRPr="00FD40B8" w:rsidRDefault="00811887" w:rsidP="00811887">
      <w:pPr>
        <w:spacing w:line="266" w:lineRule="auto"/>
        <w:ind w:left="508" w:right="823"/>
        <w:rPr>
          <w:color w:val="131727" w:themeColor="text1"/>
          <w:sz w:val="16"/>
        </w:rPr>
      </w:pPr>
      <w:bookmarkStart w:id="149" w:name="_bookmark38"/>
      <w:bookmarkEnd w:id="149"/>
      <w:r w:rsidRPr="00FD40B8">
        <w:rPr>
          <w:color w:val="131727" w:themeColor="text1"/>
          <w:w w:val="105"/>
          <w:position w:val="6"/>
          <w:sz w:val="10"/>
        </w:rPr>
        <w:t>30</w:t>
      </w:r>
      <w:r w:rsidRPr="00FD40B8">
        <w:rPr>
          <w:color w:val="131727" w:themeColor="text1"/>
          <w:spacing w:val="30"/>
          <w:w w:val="105"/>
          <w:position w:val="6"/>
          <w:sz w:val="10"/>
        </w:rPr>
        <w:t xml:space="preserve"> </w:t>
      </w:r>
      <w:r w:rsidRPr="00FD40B8">
        <w:rPr>
          <w:color w:val="131727" w:themeColor="text1"/>
          <w:w w:val="105"/>
          <w:sz w:val="16"/>
        </w:rPr>
        <w:t>Commonwealth</w:t>
      </w:r>
      <w:r w:rsidRPr="00FD40B8">
        <w:rPr>
          <w:color w:val="131727" w:themeColor="text1"/>
          <w:spacing w:val="19"/>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Australia, 2017.</w:t>
      </w:r>
      <w:r w:rsidRPr="00FD40B8">
        <w:rPr>
          <w:color w:val="131727" w:themeColor="text1"/>
          <w:spacing w:val="16"/>
          <w:w w:val="105"/>
          <w:sz w:val="16"/>
        </w:rPr>
        <w:t xml:space="preserve"> </w:t>
      </w:r>
      <w:r w:rsidRPr="00FD40B8">
        <w:rPr>
          <w:color w:val="131727" w:themeColor="text1"/>
          <w:w w:val="105"/>
          <w:sz w:val="16"/>
        </w:rPr>
        <w:t>Department of</w:t>
      </w:r>
      <w:r w:rsidRPr="00FD40B8">
        <w:rPr>
          <w:color w:val="131727" w:themeColor="text1"/>
          <w:spacing w:val="16"/>
          <w:w w:val="105"/>
          <w:sz w:val="16"/>
        </w:rPr>
        <w:t xml:space="preserve"> </w:t>
      </w:r>
      <w:r w:rsidRPr="00FD40B8">
        <w:rPr>
          <w:color w:val="131727" w:themeColor="text1"/>
          <w:w w:val="105"/>
          <w:sz w:val="16"/>
        </w:rPr>
        <w:t>the Prime Minister</w:t>
      </w:r>
      <w:r w:rsidRPr="00FD40B8">
        <w:rPr>
          <w:color w:val="131727" w:themeColor="text1"/>
          <w:spacing w:val="16"/>
          <w:w w:val="105"/>
          <w:sz w:val="16"/>
        </w:rPr>
        <w:t xml:space="preserve"> </w:t>
      </w:r>
      <w:r w:rsidRPr="00FD40B8">
        <w:rPr>
          <w:color w:val="131727" w:themeColor="text1"/>
          <w:w w:val="105"/>
          <w:sz w:val="16"/>
        </w:rPr>
        <w:t>and Cabinet, Remote Housing Review:</w:t>
      </w:r>
      <w:r w:rsidRPr="00FD40B8">
        <w:rPr>
          <w:color w:val="131727" w:themeColor="text1"/>
          <w:spacing w:val="16"/>
          <w:w w:val="105"/>
          <w:sz w:val="16"/>
        </w:rPr>
        <w:t xml:space="preserve"> </w:t>
      </w:r>
      <w:r w:rsidRPr="00FD40B8">
        <w:rPr>
          <w:color w:val="131727" w:themeColor="text1"/>
          <w:w w:val="105"/>
          <w:sz w:val="16"/>
        </w:rPr>
        <w:t>A</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6"/>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National</w:t>
      </w:r>
      <w:r w:rsidRPr="00FD40B8">
        <w:rPr>
          <w:color w:val="131727" w:themeColor="text1"/>
          <w:spacing w:val="37"/>
          <w:w w:val="105"/>
          <w:sz w:val="16"/>
        </w:rPr>
        <w:t xml:space="preserve"> </w:t>
      </w:r>
      <w:r w:rsidRPr="00FD40B8">
        <w:rPr>
          <w:color w:val="131727" w:themeColor="text1"/>
          <w:w w:val="105"/>
          <w:sz w:val="16"/>
        </w:rPr>
        <w:t>Partnership</w:t>
      </w:r>
      <w:r w:rsidRPr="00FD40B8">
        <w:rPr>
          <w:color w:val="131727" w:themeColor="text1"/>
          <w:spacing w:val="40"/>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on</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40"/>
          <w:w w:val="105"/>
          <w:sz w:val="16"/>
        </w:rPr>
        <w:t xml:space="preserve"> </w:t>
      </w:r>
      <w:r w:rsidRPr="00FD40B8">
        <w:rPr>
          <w:color w:val="131727" w:themeColor="text1"/>
          <w:w w:val="105"/>
          <w:sz w:val="16"/>
        </w:rPr>
        <w:t>Indigenous</w:t>
      </w:r>
      <w:r w:rsidRPr="00FD40B8">
        <w:rPr>
          <w:color w:val="131727" w:themeColor="text1"/>
          <w:spacing w:val="39"/>
          <w:w w:val="105"/>
          <w:sz w:val="16"/>
        </w:rPr>
        <w:t xml:space="preserve"> </w:t>
      </w:r>
      <w:r w:rsidRPr="00FD40B8">
        <w:rPr>
          <w:color w:val="131727" w:themeColor="text1"/>
          <w:w w:val="105"/>
          <w:sz w:val="16"/>
        </w:rPr>
        <w:t>Housing</w:t>
      </w:r>
      <w:r w:rsidRPr="00FD40B8">
        <w:rPr>
          <w:color w:val="131727" w:themeColor="text1"/>
          <w:spacing w:val="39"/>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40"/>
          <w:w w:val="105"/>
          <w:sz w:val="16"/>
        </w:rPr>
        <w:t xml:space="preserve"> </w:t>
      </w:r>
      <w:r w:rsidRPr="00FD40B8">
        <w:rPr>
          <w:color w:val="131727" w:themeColor="text1"/>
          <w:w w:val="105"/>
          <w:sz w:val="16"/>
        </w:rPr>
        <w:t>Housing</w:t>
      </w:r>
      <w:r w:rsidRPr="00FD40B8">
        <w:rPr>
          <w:color w:val="131727" w:themeColor="text1"/>
          <w:spacing w:val="39"/>
          <w:w w:val="105"/>
          <w:sz w:val="16"/>
        </w:rPr>
        <w:t xml:space="preserve"> </w:t>
      </w:r>
      <w:r w:rsidRPr="00FD40B8">
        <w:rPr>
          <w:color w:val="131727" w:themeColor="text1"/>
          <w:w w:val="105"/>
          <w:sz w:val="16"/>
        </w:rPr>
        <w:t>Strategy</w:t>
      </w:r>
      <w:r w:rsidRPr="00FD40B8">
        <w:rPr>
          <w:color w:val="131727" w:themeColor="text1"/>
          <w:spacing w:val="40"/>
          <w:w w:val="105"/>
          <w:sz w:val="16"/>
        </w:rPr>
        <w:t xml:space="preserve"> </w:t>
      </w:r>
      <w:r w:rsidRPr="00FD40B8">
        <w:rPr>
          <w:color w:val="131727" w:themeColor="text1"/>
          <w:w w:val="105"/>
          <w:sz w:val="16"/>
        </w:rPr>
        <w:t>(2008-2018).</w:t>
      </w:r>
    </w:p>
    <w:p w14:paraId="463C9E37" w14:textId="77777777" w:rsidR="00811887" w:rsidRPr="00FD40B8" w:rsidRDefault="00811887" w:rsidP="00811887">
      <w:pPr>
        <w:spacing w:line="266" w:lineRule="auto"/>
        <w:ind w:left="508" w:right="823"/>
        <w:rPr>
          <w:color w:val="131727" w:themeColor="text1"/>
          <w:sz w:val="16"/>
        </w:rPr>
      </w:pPr>
      <w:bookmarkStart w:id="150" w:name="_bookmark39"/>
      <w:bookmarkEnd w:id="150"/>
      <w:r w:rsidRPr="00FD40B8">
        <w:rPr>
          <w:color w:val="131727" w:themeColor="text1"/>
          <w:w w:val="105"/>
          <w:position w:val="6"/>
          <w:sz w:val="10"/>
        </w:rPr>
        <w:lastRenderedPageBreak/>
        <w:t>31</w:t>
      </w:r>
      <w:r w:rsidRPr="00FD40B8">
        <w:rPr>
          <w:color w:val="131727" w:themeColor="text1"/>
          <w:spacing w:val="30"/>
          <w:w w:val="105"/>
          <w:position w:val="6"/>
          <w:sz w:val="10"/>
        </w:rPr>
        <w:t xml:space="preserve"> </w:t>
      </w:r>
      <w:r w:rsidRPr="00FD40B8">
        <w:rPr>
          <w:color w:val="131727" w:themeColor="text1"/>
          <w:w w:val="105"/>
          <w:sz w:val="16"/>
        </w:rPr>
        <w:t>Commonwealth</w:t>
      </w:r>
      <w:r w:rsidRPr="00FD40B8">
        <w:rPr>
          <w:color w:val="131727" w:themeColor="text1"/>
          <w:spacing w:val="19"/>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Australia, 2017.</w:t>
      </w:r>
      <w:r w:rsidRPr="00FD40B8">
        <w:rPr>
          <w:color w:val="131727" w:themeColor="text1"/>
          <w:spacing w:val="16"/>
          <w:w w:val="105"/>
          <w:sz w:val="16"/>
        </w:rPr>
        <w:t xml:space="preserve"> </w:t>
      </w:r>
      <w:r w:rsidRPr="00FD40B8">
        <w:rPr>
          <w:color w:val="131727" w:themeColor="text1"/>
          <w:w w:val="105"/>
          <w:sz w:val="16"/>
        </w:rPr>
        <w:t>Department of</w:t>
      </w:r>
      <w:r w:rsidRPr="00FD40B8">
        <w:rPr>
          <w:color w:val="131727" w:themeColor="text1"/>
          <w:spacing w:val="16"/>
          <w:w w:val="105"/>
          <w:sz w:val="16"/>
        </w:rPr>
        <w:t xml:space="preserve"> </w:t>
      </w:r>
      <w:r w:rsidRPr="00FD40B8">
        <w:rPr>
          <w:color w:val="131727" w:themeColor="text1"/>
          <w:w w:val="105"/>
          <w:sz w:val="16"/>
        </w:rPr>
        <w:t>the Prime Minister</w:t>
      </w:r>
      <w:r w:rsidRPr="00FD40B8">
        <w:rPr>
          <w:color w:val="131727" w:themeColor="text1"/>
          <w:spacing w:val="16"/>
          <w:w w:val="105"/>
          <w:sz w:val="16"/>
        </w:rPr>
        <w:t xml:space="preserve"> </w:t>
      </w:r>
      <w:r w:rsidRPr="00FD40B8">
        <w:rPr>
          <w:color w:val="131727" w:themeColor="text1"/>
          <w:w w:val="105"/>
          <w:sz w:val="16"/>
        </w:rPr>
        <w:t>and Cabinet, Remote Housing Review:</w:t>
      </w:r>
      <w:r w:rsidRPr="00FD40B8">
        <w:rPr>
          <w:color w:val="131727" w:themeColor="text1"/>
          <w:spacing w:val="16"/>
          <w:w w:val="105"/>
          <w:sz w:val="16"/>
        </w:rPr>
        <w:t xml:space="preserve"> </w:t>
      </w:r>
      <w:r w:rsidRPr="00FD40B8">
        <w:rPr>
          <w:color w:val="131727" w:themeColor="text1"/>
          <w:w w:val="105"/>
          <w:sz w:val="16"/>
        </w:rPr>
        <w:t>A</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6"/>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National</w:t>
      </w:r>
      <w:r w:rsidRPr="00FD40B8">
        <w:rPr>
          <w:color w:val="131727" w:themeColor="text1"/>
          <w:spacing w:val="37"/>
          <w:w w:val="105"/>
          <w:sz w:val="16"/>
        </w:rPr>
        <w:t xml:space="preserve"> </w:t>
      </w:r>
      <w:r w:rsidRPr="00FD40B8">
        <w:rPr>
          <w:color w:val="131727" w:themeColor="text1"/>
          <w:w w:val="105"/>
          <w:sz w:val="16"/>
        </w:rPr>
        <w:t>Partnership</w:t>
      </w:r>
      <w:r w:rsidRPr="00FD40B8">
        <w:rPr>
          <w:color w:val="131727" w:themeColor="text1"/>
          <w:spacing w:val="40"/>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on</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40"/>
          <w:w w:val="105"/>
          <w:sz w:val="16"/>
        </w:rPr>
        <w:t xml:space="preserve"> </w:t>
      </w:r>
      <w:r w:rsidRPr="00FD40B8">
        <w:rPr>
          <w:color w:val="131727" w:themeColor="text1"/>
          <w:w w:val="105"/>
          <w:sz w:val="16"/>
        </w:rPr>
        <w:t>Indigenous</w:t>
      </w:r>
      <w:r w:rsidRPr="00FD40B8">
        <w:rPr>
          <w:color w:val="131727" w:themeColor="text1"/>
          <w:spacing w:val="39"/>
          <w:w w:val="105"/>
          <w:sz w:val="16"/>
        </w:rPr>
        <w:t xml:space="preserve"> </w:t>
      </w:r>
      <w:r w:rsidRPr="00FD40B8">
        <w:rPr>
          <w:color w:val="131727" w:themeColor="text1"/>
          <w:w w:val="105"/>
          <w:sz w:val="16"/>
        </w:rPr>
        <w:t>Housing</w:t>
      </w:r>
      <w:r w:rsidRPr="00FD40B8">
        <w:rPr>
          <w:color w:val="131727" w:themeColor="text1"/>
          <w:spacing w:val="39"/>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40"/>
          <w:w w:val="105"/>
          <w:sz w:val="16"/>
        </w:rPr>
        <w:t xml:space="preserve"> </w:t>
      </w:r>
      <w:r w:rsidRPr="00FD40B8">
        <w:rPr>
          <w:color w:val="131727" w:themeColor="text1"/>
          <w:w w:val="105"/>
          <w:sz w:val="16"/>
        </w:rPr>
        <w:t>Housing</w:t>
      </w:r>
      <w:r w:rsidRPr="00FD40B8">
        <w:rPr>
          <w:color w:val="131727" w:themeColor="text1"/>
          <w:spacing w:val="39"/>
          <w:w w:val="105"/>
          <w:sz w:val="16"/>
        </w:rPr>
        <w:t xml:space="preserve"> </w:t>
      </w:r>
      <w:r w:rsidRPr="00FD40B8">
        <w:rPr>
          <w:color w:val="131727" w:themeColor="text1"/>
          <w:w w:val="105"/>
          <w:sz w:val="16"/>
        </w:rPr>
        <w:t>Strategy</w:t>
      </w:r>
      <w:r w:rsidRPr="00FD40B8">
        <w:rPr>
          <w:color w:val="131727" w:themeColor="text1"/>
          <w:spacing w:val="40"/>
          <w:w w:val="105"/>
          <w:sz w:val="16"/>
        </w:rPr>
        <w:t xml:space="preserve"> </w:t>
      </w:r>
      <w:r w:rsidRPr="00FD40B8">
        <w:rPr>
          <w:color w:val="131727" w:themeColor="text1"/>
          <w:w w:val="105"/>
          <w:sz w:val="16"/>
        </w:rPr>
        <w:t>(2008-2018).</w:t>
      </w:r>
    </w:p>
    <w:p w14:paraId="1E8E8670"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5CC84416" w14:textId="77777777" w:rsidR="00811887" w:rsidRPr="00FD40B8" w:rsidRDefault="00811887" w:rsidP="00811887">
      <w:pPr>
        <w:spacing w:before="103" w:line="268" w:lineRule="auto"/>
        <w:ind w:left="508" w:right="532"/>
        <w:rPr>
          <w:color w:val="131727" w:themeColor="text1"/>
          <w:sz w:val="20"/>
        </w:rPr>
      </w:pPr>
      <w:r w:rsidRPr="00FD40B8">
        <w:rPr>
          <w:color w:val="131727" w:themeColor="text1"/>
          <w:w w:val="110"/>
          <w:sz w:val="20"/>
        </w:rPr>
        <w:lastRenderedPageBreak/>
        <w:t xml:space="preserve">Our analysis is necessarily dependent on the reliability of publicly available data and challenges with existing data means that our estimate is likely to be conservative. For example, the ABS acknowledges that Aboriginal and Torres Strait Islander homeless figures in the 2021 Census are underestimated – </w:t>
      </w:r>
      <w:r w:rsidRPr="00FD40B8">
        <w:rPr>
          <w:color w:val="131727" w:themeColor="text1"/>
          <w:sz w:val="20"/>
        </w:rPr>
        <w:t>“</w:t>
      </w:r>
      <w:r w:rsidRPr="00FD40B8">
        <w:rPr>
          <w:i/>
          <w:color w:val="131727" w:themeColor="text1"/>
          <w:sz w:val="20"/>
        </w:rPr>
        <w:t>Aboriginal</w:t>
      </w:r>
      <w:r w:rsidRPr="00FD40B8">
        <w:rPr>
          <w:i/>
          <w:color w:val="131727" w:themeColor="text1"/>
          <w:spacing w:val="31"/>
          <w:sz w:val="20"/>
        </w:rPr>
        <w:t xml:space="preserve"> </w:t>
      </w:r>
      <w:r w:rsidRPr="00FD40B8">
        <w:rPr>
          <w:i/>
          <w:color w:val="131727" w:themeColor="text1"/>
          <w:sz w:val="20"/>
        </w:rPr>
        <w:t>and Torres Strait</w:t>
      </w:r>
      <w:r w:rsidRPr="00FD40B8">
        <w:rPr>
          <w:i/>
          <w:color w:val="131727" w:themeColor="text1"/>
          <w:spacing w:val="31"/>
          <w:sz w:val="20"/>
        </w:rPr>
        <w:t xml:space="preserve"> </w:t>
      </w:r>
      <w:r w:rsidRPr="00FD40B8">
        <w:rPr>
          <w:i/>
          <w:color w:val="131727" w:themeColor="text1"/>
          <w:sz w:val="20"/>
        </w:rPr>
        <w:t>Islander Australians have been under enumerated in the Census and estimates of</w:t>
      </w:r>
      <w:r w:rsidRPr="00FD40B8">
        <w:rPr>
          <w:i/>
          <w:color w:val="131727" w:themeColor="text1"/>
          <w:spacing w:val="40"/>
          <w:sz w:val="20"/>
        </w:rPr>
        <w:t xml:space="preserve"> </w:t>
      </w:r>
      <w:r w:rsidRPr="00FD40B8">
        <w:rPr>
          <w:i/>
          <w:color w:val="131727" w:themeColor="text1"/>
          <w:sz w:val="20"/>
        </w:rPr>
        <w:t>homelessness</w:t>
      </w:r>
      <w:r w:rsidRPr="00FD40B8">
        <w:rPr>
          <w:i/>
          <w:color w:val="131727" w:themeColor="text1"/>
          <w:spacing w:val="27"/>
          <w:sz w:val="20"/>
        </w:rPr>
        <w:t xml:space="preserve"> </w:t>
      </w:r>
      <w:r w:rsidRPr="00FD40B8">
        <w:rPr>
          <w:i/>
          <w:color w:val="131727" w:themeColor="text1"/>
          <w:sz w:val="20"/>
        </w:rPr>
        <w:t>based on</w:t>
      </w:r>
      <w:r w:rsidRPr="00FD40B8">
        <w:rPr>
          <w:i/>
          <w:color w:val="131727" w:themeColor="text1"/>
          <w:spacing w:val="32"/>
          <w:sz w:val="20"/>
        </w:rPr>
        <w:t xml:space="preserve"> </w:t>
      </w:r>
      <w:r w:rsidRPr="00FD40B8">
        <w:rPr>
          <w:i/>
          <w:color w:val="131727" w:themeColor="text1"/>
          <w:sz w:val="20"/>
        </w:rPr>
        <w:t>Census</w:t>
      </w:r>
      <w:r w:rsidRPr="00FD40B8">
        <w:rPr>
          <w:i/>
          <w:color w:val="131727" w:themeColor="text1"/>
          <w:spacing w:val="35"/>
          <w:sz w:val="20"/>
        </w:rPr>
        <w:t xml:space="preserve"> </w:t>
      </w:r>
      <w:r w:rsidRPr="00FD40B8">
        <w:rPr>
          <w:i/>
          <w:color w:val="131727" w:themeColor="text1"/>
          <w:sz w:val="20"/>
        </w:rPr>
        <w:t>data will</w:t>
      </w:r>
      <w:r w:rsidRPr="00FD40B8">
        <w:rPr>
          <w:i/>
          <w:color w:val="131727" w:themeColor="text1"/>
          <w:spacing w:val="29"/>
          <w:sz w:val="20"/>
        </w:rPr>
        <w:t xml:space="preserve"> </w:t>
      </w:r>
      <w:r w:rsidRPr="00FD40B8">
        <w:rPr>
          <w:i/>
          <w:color w:val="131727" w:themeColor="text1"/>
          <w:sz w:val="20"/>
        </w:rPr>
        <w:t>be</w:t>
      </w:r>
      <w:r w:rsidRPr="00FD40B8">
        <w:rPr>
          <w:i/>
          <w:color w:val="131727" w:themeColor="text1"/>
          <w:spacing w:val="35"/>
          <w:sz w:val="20"/>
        </w:rPr>
        <w:t xml:space="preserve"> </w:t>
      </w:r>
      <w:r w:rsidRPr="00FD40B8">
        <w:rPr>
          <w:i/>
          <w:color w:val="131727" w:themeColor="text1"/>
          <w:sz w:val="20"/>
        </w:rPr>
        <w:t>an</w:t>
      </w:r>
      <w:r w:rsidRPr="00FD40B8">
        <w:rPr>
          <w:i/>
          <w:color w:val="131727" w:themeColor="text1"/>
          <w:spacing w:val="32"/>
          <w:sz w:val="20"/>
        </w:rPr>
        <w:t xml:space="preserve"> </w:t>
      </w:r>
      <w:r w:rsidRPr="00FD40B8">
        <w:rPr>
          <w:i/>
          <w:color w:val="131727" w:themeColor="text1"/>
          <w:sz w:val="20"/>
        </w:rPr>
        <w:t>underestimation.</w:t>
      </w:r>
      <w:r w:rsidRPr="00FD40B8">
        <w:rPr>
          <w:i/>
          <w:color w:val="131727" w:themeColor="text1"/>
          <w:spacing w:val="35"/>
          <w:sz w:val="20"/>
        </w:rPr>
        <w:t xml:space="preserve"> </w:t>
      </w:r>
      <w:r w:rsidRPr="00FD40B8">
        <w:rPr>
          <w:i/>
          <w:color w:val="131727" w:themeColor="text1"/>
          <w:sz w:val="20"/>
        </w:rPr>
        <w:t>In</w:t>
      </w:r>
      <w:r w:rsidRPr="00FD40B8">
        <w:rPr>
          <w:i/>
          <w:color w:val="131727" w:themeColor="text1"/>
          <w:spacing w:val="32"/>
          <w:sz w:val="20"/>
        </w:rPr>
        <w:t xml:space="preserve"> </w:t>
      </w:r>
      <w:r w:rsidRPr="00FD40B8">
        <w:rPr>
          <w:i/>
          <w:color w:val="131727" w:themeColor="text1"/>
          <w:sz w:val="20"/>
        </w:rPr>
        <w:t>the</w:t>
      </w:r>
      <w:r w:rsidRPr="00FD40B8">
        <w:rPr>
          <w:i/>
          <w:color w:val="131727" w:themeColor="text1"/>
          <w:spacing w:val="27"/>
          <w:sz w:val="20"/>
        </w:rPr>
        <w:t xml:space="preserve"> </w:t>
      </w:r>
      <w:r w:rsidRPr="00FD40B8">
        <w:rPr>
          <w:i/>
          <w:color w:val="131727" w:themeColor="text1"/>
          <w:sz w:val="20"/>
        </w:rPr>
        <w:t>2021</w:t>
      </w:r>
      <w:r w:rsidRPr="00FD40B8">
        <w:rPr>
          <w:i/>
          <w:color w:val="131727" w:themeColor="text1"/>
          <w:spacing w:val="33"/>
          <w:sz w:val="20"/>
        </w:rPr>
        <w:t xml:space="preserve"> </w:t>
      </w:r>
      <w:r w:rsidRPr="00FD40B8">
        <w:rPr>
          <w:i/>
          <w:color w:val="131727" w:themeColor="text1"/>
          <w:sz w:val="20"/>
        </w:rPr>
        <w:t>Census, the</w:t>
      </w:r>
      <w:r w:rsidRPr="00FD40B8">
        <w:rPr>
          <w:i/>
          <w:color w:val="131727" w:themeColor="text1"/>
          <w:spacing w:val="35"/>
          <w:sz w:val="20"/>
        </w:rPr>
        <w:t xml:space="preserve"> </w:t>
      </w:r>
      <w:r w:rsidRPr="00FD40B8">
        <w:rPr>
          <w:i/>
          <w:color w:val="131727" w:themeColor="text1"/>
          <w:sz w:val="20"/>
        </w:rPr>
        <w:t>net</w:t>
      </w:r>
      <w:r w:rsidRPr="00FD40B8">
        <w:rPr>
          <w:i/>
          <w:color w:val="131727" w:themeColor="text1"/>
          <w:spacing w:val="36"/>
          <w:sz w:val="20"/>
        </w:rPr>
        <w:t xml:space="preserve"> </w:t>
      </w:r>
      <w:r w:rsidRPr="00FD40B8">
        <w:rPr>
          <w:i/>
          <w:color w:val="131727" w:themeColor="text1"/>
          <w:sz w:val="20"/>
        </w:rPr>
        <w:t>undercount</w:t>
      </w:r>
      <w:r w:rsidRPr="00FD40B8">
        <w:rPr>
          <w:i/>
          <w:color w:val="131727" w:themeColor="text1"/>
          <w:spacing w:val="36"/>
          <w:sz w:val="20"/>
        </w:rPr>
        <w:t xml:space="preserve"> </w:t>
      </w:r>
      <w:r w:rsidRPr="00FD40B8">
        <w:rPr>
          <w:i/>
          <w:color w:val="131727" w:themeColor="text1"/>
          <w:sz w:val="20"/>
        </w:rPr>
        <w:t>for Aboriginal and</w:t>
      </w:r>
      <w:r w:rsidRPr="00FD40B8">
        <w:rPr>
          <w:i/>
          <w:color w:val="131727" w:themeColor="text1"/>
          <w:spacing w:val="24"/>
          <w:sz w:val="20"/>
        </w:rPr>
        <w:t xml:space="preserve"> </w:t>
      </w:r>
      <w:r w:rsidRPr="00FD40B8">
        <w:rPr>
          <w:i/>
          <w:color w:val="131727" w:themeColor="text1"/>
          <w:sz w:val="20"/>
        </w:rPr>
        <w:t>Torres</w:t>
      </w:r>
      <w:r w:rsidRPr="00FD40B8">
        <w:rPr>
          <w:i/>
          <w:color w:val="131727" w:themeColor="text1"/>
          <w:spacing w:val="25"/>
          <w:sz w:val="20"/>
        </w:rPr>
        <w:t xml:space="preserve"> </w:t>
      </w:r>
      <w:r w:rsidRPr="00FD40B8">
        <w:rPr>
          <w:i/>
          <w:color w:val="131727" w:themeColor="text1"/>
          <w:sz w:val="20"/>
        </w:rPr>
        <w:t>Strait</w:t>
      </w:r>
      <w:r w:rsidRPr="00FD40B8">
        <w:rPr>
          <w:i/>
          <w:color w:val="131727" w:themeColor="text1"/>
          <w:spacing w:val="26"/>
          <w:sz w:val="20"/>
        </w:rPr>
        <w:t xml:space="preserve"> </w:t>
      </w:r>
      <w:r w:rsidRPr="00FD40B8">
        <w:rPr>
          <w:i/>
          <w:color w:val="131727" w:themeColor="text1"/>
          <w:sz w:val="20"/>
        </w:rPr>
        <w:t>Islander</w:t>
      </w:r>
      <w:r w:rsidRPr="00FD40B8">
        <w:rPr>
          <w:i/>
          <w:color w:val="131727" w:themeColor="text1"/>
          <w:spacing w:val="22"/>
          <w:sz w:val="20"/>
        </w:rPr>
        <w:t xml:space="preserve"> </w:t>
      </w:r>
      <w:r w:rsidRPr="00FD40B8">
        <w:rPr>
          <w:i/>
          <w:color w:val="131727" w:themeColor="text1"/>
          <w:sz w:val="20"/>
        </w:rPr>
        <w:t>peoples was</w:t>
      </w:r>
      <w:r w:rsidRPr="00FD40B8">
        <w:rPr>
          <w:i/>
          <w:color w:val="131727" w:themeColor="text1"/>
          <w:spacing w:val="25"/>
          <w:sz w:val="20"/>
        </w:rPr>
        <w:t xml:space="preserve"> </w:t>
      </w:r>
      <w:r w:rsidRPr="00FD40B8">
        <w:rPr>
          <w:i/>
          <w:color w:val="131727" w:themeColor="text1"/>
          <w:sz w:val="20"/>
        </w:rPr>
        <w:t>17.4%.</w:t>
      </w:r>
      <w:r w:rsidRPr="00FD40B8">
        <w:rPr>
          <w:i/>
          <w:color w:val="131727" w:themeColor="text1"/>
          <w:spacing w:val="25"/>
          <w:sz w:val="20"/>
        </w:rPr>
        <w:t xml:space="preserve"> </w:t>
      </w:r>
      <w:r w:rsidRPr="00FD40B8">
        <w:rPr>
          <w:i/>
          <w:color w:val="131727" w:themeColor="text1"/>
          <w:sz w:val="20"/>
        </w:rPr>
        <w:t>Some</w:t>
      </w:r>
      <w:r w:rsidRPr="00FD40B8">
        <w:rPr>
          <w:i/>
          <w:color w:val="131727" w:themeColor="text1"/>
          <w:spacing w:val="25"/>
          <w:sz w:val="20"/>
        </w:rPr>
        <w:t xml:space="preserve"> </w:t>
      </w:r>
      <w:r w:rsidRPr="00FD40B8">
        <w:rPr>
          <w:i/>
          <w:color w:val="131727" w:themeColor="text1"/>
          <w:sz w:val="20"/>
        </w:rPr>
        <w:t>of those who were</w:t>
      </w:r>
      <w:r w:rsidRPr="00FD40B8">
        <w:rPr>
          <w:i/>
          <w:color w:val="131727" w:themeColor="text1"/>
          <w:spacing w:val="25"/>
          <w:sz w:val="20"/>
        </w:rPr>
        <w:t xml:space="preserve"> </w:t>
      </w:r>
      <w:r w:rsidRPr="00FD40B8">
        <w:rPr>
          <w:i/>
          <w:color w:val="131727" w:themeColor="text1"/>
          <w:sz w:val="20"/>
        </w:rPr>
        <w:t>under-enumerated</w:t>
      </w:r>
      <w:r w:rsidRPr="00FD40B8">
        <w:rPr>
          <w:i/>
          <w:color w:val="131727" w:themeColor="text1"/>
          <w:spacing w:val="22"/>
          <w:sz w:val="20"/>
        </w:rPr>
        <w:t xml:space="preserve"> </w:t>
      </w:r>
      <w:r w:rsidRPr="00FD40B8">
        <w:rPr>
          <w:i/>
          <w:color w:val="131727" w:themeColor="text1"/>
          <w:sz w:val="20"/>
        </w:rPr>
        <w:t xml:space="preserve">may have </w:t>
      </w:r>
      <w:r w:rsidRPr="00FD40B8">
        <w:rPr>
          <w:i/>
          <w:color w:val="131727" w:themeColor="text1"/>
          <w:spacing w:val="-2"/>
          <w:w w:val="110"/>
          <w:sz w:val="20"/>
        </w:rPr>
        <w:t>been</w:t>
      </w:r>
      <w:r w:rsidRPr="00FD40B8">
        <w:rPr>
          <w:i/>
          <w:color w:val="131727" w:themeColor="text1"/>
          <w:spacing w:val="-7"/>
          <w:w w:val="110"/>
          <w:sz w:val="20"/>
        </w:rPr>
        <w:t xml:space="preserve"> </w:t>
      </w:r>
      <w:r w:rsidRPr="00FD40B8">
        <w:rPr>
          <w:i/>
          <w:color w:val="131727" w:themeColor="text1"/>
          <w:spacing w:val="-2"/>
          <w:w w:val="110"/>
          <w:sz w:val="20"/>
        </w:rPr>
        <w:t>experiencing</w:t>
      </w:r>
      <w:r w:rsidRPr="00FD40B8">
        <w:rPr>
          <w:i/>
          <w:color w:val="131727" w:themeColor="text1"/>
          <w:spacing w:val="-6"/>
          <w:w w:val="110"/>
          <w:sz w:val="20"/>
        </w:rPr>
        <w:t xml:space="preserve"> </w:t>
      </w:r>
      <w:r w:rsidRPr="00FD40B8">
        <w:rPr>
          <w:i/>
          <w:color w:val="131727" w:themeColor="text1"/>
          <w:spacing w:val="-2"/>
          <w:w w:val="110"/>
          <w:sz w:val="20"/>
        </w:rPr>
        <w:t>homelessness</w:t>
      </w:r>
      <w:r w:rsidRPr="00FD40B8">
        <w:rPr>
          <w:i/>
          <w:color w:val="131727" w:themeColor="text1"/>
          <w:spacing w:val="-4"/>
          <w:w w:val="110"/>
          <w:sz w:val="20"/>
        </w:rPr>
        <w:t xml:space="preserve"> </w:t>
      </w:r>
      <w:r w:rsidRPr="00FD40B8">
        <w:rPr>
          <w:i/>
          <w:color w:val="131727" w:themeColor="text1"/>
          <w:spacing w:val="-2"/>
          <w:w w:val="110"/>
          <w:sz w:val="20"/>
        </w:rPr>
        <w:t>at</w:t>
      </w:r>
      <w:r w:rsidRPr="00FD40B8">
        <w:rPr>
          <w:i/>
          <w:color w:val="131727" w:themeColor="text1"/>
          <w:spacing w:val="-7"/>
          <w:w w:val="110"/>
          <w:sz w:val="20"/>
        </w:rPr>
        <w:t xml:space="preserve"> </w:t>
      </w:r>
      <w:r w:rsidRPr="00FD40B8">
        <w:rPr>
          <w:i/>
          <w:color w:val="131727" w:themeColor="text1"/>
          <w:spacing w:val="-2"/>
          <w:w w:val="110"/>
          <w:sz w:val="20"/>
        </w:rPr>
        <w:t>the</w:t>
      </w:r>
      <w:r w:rsidRPr="00FD40B8">
        <w:rPr>
          <w:i/>
          <w:color w:val="131727" w:themeColor="text1"/>
          <w:spacing w:val="-4"/>
          <w:w w:val="110"/>
          <w:sz w:val="20"/>
        </w:rPr>
        <w:t xml:space="preserve"> </w:t>
      </w:r>
      <w:r w:rsidRPr="00FD40B8">
        <w:rPr>
          <w:i/>
          <w:color w:val="131727" w:themeColor="text1"/>
          <w:spacing w:val="-2"/>
          <w:w w:val="110"/>
          <w:sz w:val="20"/>
        </w:rPr>
        <w:t>time</w:t>
      </w:r>
      <w:r w:rsidRPr="00FD40B8">
        <w:rPr>
          <w:i/>
          <w:color w:val="131727" w:themeColor="text1"/>
          <w:spacing w:val="-4"/>
          <w:w w:val="110"/>
          <w:sz w:val="20"/>
        </w:rPr>
        <w:t xml:space="preserve"> </w:t>
      </w:r>
      <w:r w:rsidRPr="00FD40B8">
        <w:rPr>
          <w:i/>
          <w:color w:val="131727" w:themeColor="text1"/>
          <w:spacing w:val="-2"/>
          <w:w w:val="110"/>
          <w:sz w:val="20"/>
        </w:rPr>
        <w:t>of</w:t>
      </w:r>
      <w:r w:rsidRPr="00FD40B8">
        <w:rPr>
          <w:i/>
          <w:color w:val="131727" w:themeColor="text1"/>
          <w:spacing w:val="-9"/>
          <w:w w:val="110"/>
          <w:sz w:val="20"/>
        </w:rPr>
        <w:t xml:space="preserve"> </w:t>
      </w:r>
      <w:r w:rsidRPr="00FD40B8">
        <w:rPr>
          <w:i/>
          <w:color w:val="131727" w:themeColor="text1"/>
          <w:spacing w:val="-2"/>
          <w:w w:val="110"/>
          <w:sz w:val="20"/>
        </w:rPr>
        <w:t>the</w:t>
      </w:r>
      <w:r w:rsidRPr="00FD40B8">
        <w:rPr>
          <w:i/>
          <w:color w:val="131727" w:themeColor="text1"/>
          <w:spacing w:val="-4"/>
          <w:w w:val="110"/>
          <w:sz w:val="20"/>
        </w:rPr>
        <w:t xml:space="preserve"> </w:t>
      </w:r>
      <w:r w:rsidRPr="00FD40B8">
        <w:rPr>
          <w:i/>
          <w:color w:val="131727" w:themeColor="text1"/>
          <w:spacing w:val="-2"/>
          <w:w w:val="110"/>
          <w:sz w:val="20"/>
        </w:rPr>
        <w:t>Census</w:t>
      </w:r>
      <w:r w:rsidRPr="00FD40B8">
        <w:rPr>
          <w:color w:val="131727" w:themeColor="text1"/>
          <w:spacing w:val="-2"/>
          <w:w w:val="110"/>
          <w:sz w:val="20"/>
        </w:rPr>
        <w:t>.” This</w:t>
      </w:r>
      <w:r w:rsidRPr="00FD40B8">
        <w:rPr>
          <w:color w:val="131727" w:themeColor="text1"/>
          <w:spacing w:val="-7"/>
          <w:w w:val="110"/>
          <w:sz w:val="20"/>
        </w:rPr>
        <w:t xml:space="preserve"> </w:t>
      </w:r>
      <w:r w:rsidRPr="00FD40B8">
        <w:rPr>
          <w:color w:val="131727" w:themeColor="text1"/>
          <w:spacing w:val="-2"/>
          <w:w w:val="110"/>
          <w:sz w:val="20"/>
        </w:rPr>
        <w:t>undercount</w:t>
      </w:r>
      <w:r w:rsidRPr="00FD40B8">
        <w:rPr>
          <w:color w:val="131727" w:themeColor="text1"/>
          <w:spacing w:val="-9"/>
          <w:w w:val="110"/>
          <w:sz w:val="20"/>
        </w:rPr>
        <w:t xml:space="preserve"> </w:t>
      </w:r>
      <w:r w:rsidRPr="00FD40B8">
        <w:rPr>
          <w:color w:val="131727" w:themeColor="text1"/>
          <w:spacing w:val="-2"/>
          <w:w w:val="110"/>
          <w:sz w:val="20"/>
        </w:rPr>
        <w:t>is likely</w:t>
      </w:r>
      <w:r w:rsidRPr="00FD40B8">
        <w:rPr>
          <w:color w:val="131727" w:themeColor="text1"/>
          <w:spacing w:val="-6"/>
          <w:w w:val="110"/>
          <w:sz w:val="20"/>
        </w:rPr>
        <w:t xml:space="preserve"> </w:t>
      </w:r>
      <w:r w:rsidRPr="00FD40B8">
        <w:rPr>
          <w:color w:val="131727" w:themeColor="text1"/>
          <w:spacing w:val="-2"/>
          <w:w w:val="110"/>
          <w:sz w:val="20"/>
        </w:rPr>
        <w:t>to</w:t>
      </w:r>
      <w:r w:rsidRPr="00FD40B8">
        <w:rPr>
          <w:color w:val="131727" w:themeColor="text1"/>
          <w:spacing w:val="-7"/>
          <w:w w:val="110"/>
          <w:sz w:val="20"/>
        </w:rPr>
        <w:t xml:space="preserve"> </w:t>
      </w:r>
      <w:r w:rsidRPr="00FD40B8">
        <w:rPr>
          <w:color w:val="131727" w:themeColor="text1"/>
          <w:spacing w:val="-2"/>
          <w:w w:val="110"/>
          <w:sz w:val="20"/>
        </w:rPr>
        <w:t>be</w:t>
      </w:r>
      <w:r w:rsidRPr="00FD40B8">
        <w:rPr>
          <w:color w:val="131727" w:themeColor="text1"/>
          <w:spacing w:val="-4"/>
          <w:w w:val="110"/>
          <w:sz w:val="20"/>
        </w:rPr>
        <w:t xml:space="preserve"> </w:t>
      </w:r>
      <w:r w:rsidRPr="00FD40B8">
        <w:rPr>
          <w:color w:val="131727" w:themeColor="text1"/>
          <w:spacing w:val="-2"/>
          <w:w w:val="110"/>
          <w:sz w:val="20"/>
        </w:rPr>
        <w:t>amplified</w:t>
      </w:r>
      <w:r w:rsidRPr="00FD40B8">
        <w:rPr>
          <w:color w:val="131727" w:themeColor="text1"/>
          <w:spacing w:val="-9"/>
          <w:w w:val="110"/>
          <w:sz w:val="20"/>
        </w:rPr>
        <w:t xml:space="preserve"> </w:t>
      </w:r>
      <w:r w:rsidRPr="00FD40B8">
        <w:rPr>
          <w:color w:val="131727" w:themeColor="text1"/>
          <w:spacing w:val="-2"/>
          <w:w w:val="110"/>
          <w:sz w:val="20"/>
        </w:rPr>
        <w:t xml:space="preserve">in </w:t>
      </w:r>
      <w:r w:rsidRPr="00FD40B8">
        <w:rPr>
          <w:color w:val="131727" w:themeColor="text1"/>
          <w:w w:val="110"/>
          <w:sz w:val="20"/>
        </w:rPr>
        <w:t>remote Indigenous communities where collection of Census data is more difficult, and often involves collection via field officers over a longer time period. This means that people can be missed when they move between</w:t>
      </w:r>
      <w:r w:rsidRPr="00FD40B8">
        <w:rPr>
          <w:color w:val="131727" w:themeColor="text1"/>
          <w:spacing w:val="-3"/>
          <w:w w:val="110"/>
          <w:sz w:val="20"/>
        </w:rPr>
        <w:t xml:space="preserve"> </w:t>
      </w:r>
      <w:r w:rsidRPr="00FD40B8">
        <w:rPr>
          <w:color w:val="131727" w:themeColor="text1"/>
          <w:w w:val="110"/>
          <w:sz w:val="20"/>
        </w:rPr>
        <w:t>locations – as is</w:t>
      </w:r>
      <w:r w:rsidRPr="00FD40B8">
        <w:rPr>
          <w:color w:val="131727" w:themeColor="text1"/>
          <w:spacing w:val="-2"/>
          <w:w w:val="110"/>
          <w:sz w:val="20"/>
        </w:rPr>
        <w:t xml:space="preserve"> </w:t>
      </w:r>
      <w:r w:rsidRPr="00FD40B8">
        <w:rPr>
          <w:color w:val="131727" w:themeColor="text1"/>
          <w:w w:val="110"/>
          <w:sz w:val="20"/>
        </w:rPr>
        <w:t>often the case for</w:t>
      </w:r>
      <w:r w:rsidRPr="00FD40B8">
        <w:rPr>
          <w:color w:val="131727" w:themeColor="text1"/>
          <w:spacing w:val="-1"/>
          <w:w w:val="110"/>
          <w:sz w:val="20"/>
        </w:rPr>
        <w:t xml:space="preserve"> </w:t>
      </w:r>
      <w:r w:rsidRPr="00FD40B8">
        <w:rPr>
          <w:color w:val="131727" w:themeColor="text1"/>
          <w:w w:val="110"/>
          <w:sz w:val="20"/>
        </w:rPr>
        <w:t>people with</w:t>
      </w:r>
      <w:r w:rsidRPr="00FD40B8">
        <w:rPr>
          <w:color w:val="131727" w:themeColor="text1"/>
          <w:spacing w:val="-3"/>
          <w:w w:val="110"/>
          <w:sz w:val="20"/>
        </w:rPr>
        <w:t xml:space="preserve"> </w:t>
      </w:r>
      <w:r w:rsidRPr="00FD40B8">
        <w:rPr>
          <w:color w:val="131727" w:themeColor="text1"/>
          <w:w w:val="110"/>
          <w:sz w:val="20"/>
        </w:rPr>
        <w:t>insecure or</w:t>
      </w:r>
      <w:r w:rsidRPr="00FD40B8">
        <w:rPr>
          <w:color w:val="131727" w:themeColor="text1"/>
          <w:spacing w:val="-5"/>
          <w:w w:val="110"/>
          <w:sz w:val="20"/>
        </w:rPr>
        <w:t xml:space="preserve"> </w:t>
      </w:r>
      <w:r w:rsidRPr="00FD40B8">
        <w:rPr>
          <w:color w:val="131727" w:themeColor="text1"/>
          <w:w w:val="110"/>
          <w:sz w:val="20"/>
        </w:rPr>
        <w:t>no</w:t>
      </w:r>
      <w:r w:rsidRPr="00FD40B8">
        <w:rPr>
          <w:color w:val="131727" w:themeColor="text1"/>
          <w:spacing w:val="-2"/>
          <w:w w:val="110"/>
          <w:sz w:val="20"/>
        </w:rPr>
        <w:t xml:space="preserve"> </w:t>
      </w:r>
      <w:r w:rsidRPr="00FD40B8">
        <w:rPr>
          <w:color w:val="131727" w:themeColor="text1"/>
          <w:w w:val="110"/>
          <w:sz w:val="20"/>
        </w:rPr>
        <w:t>housing, and</w:t>
      </w:r>
      <w:r w:rsidRPr="00FD40B8">
        <w:rPr>
          <w:color w:val="131727" w:themeColor="text1"/>
          <w:spacing w:val="-4"/>
          <w:w w:val="110"/>
          <w:sz w:val="20"/>
        </w:rPr>
        <w:t xml:space="preserve"> </w:t>
      </w:r>
      <w:r w:rsidRPr="00FD40B8">
        <w:rPr>
          <w:color w:val="131727" w:themeColor="text1"/>
          <w:w w:val="110"/>
          <w:sz w:val="20"/>
        </w:rPr>
        <w:t>for</w:t>
      </w:r>
      <w:r w:rsidRPr="00FD40B8">
        <w:rPr>
          <w:color w:val="131727" w:themeColor="text1"/>
          <w:spacing w:val="-1"/>
          <w:w w:val="110"/>
          <w:sz w:val="20"/>
        </w:rPr>
        <w:t xml:space="preserve"> </w:t>
      </w:r>
      <w:r w:rsidRPr="00FD40B8">
        <w:rPr>
          <w:color w:val="131727" w:themeColor="text1"/>
          <w:w w:val="110"/>
          <w:sz w:val="20"/>
        </w:rPr>
        <w:t>Aboriginal and Torres Strait Islander people with cultural and family obligations and the need to travel to access certain services.</w:t>
      </w:r>
    </w:p>
    <w:p w14:paraId="09E8F230" w14:textId="77777777" w:rsidR="00811887" w:rsidRPr="00FD40B8" w:rsidRDefault="00811887" w:rsidP="00811887">
      <w:pPr>
        <w:pStyle w:val="BodyText"/>
        <w:spacing w:before="109" w:line="268" w:lineRule="auto"/>
        <w:ind w:left="508" w:right="598"/>
        <w:rPr>
          <w:color w:val="131727" w:themeColor="text1"/>
        </w:rPr>
      </w:pPr>
      <w:r w:rsidRPr="00FD40B8">
        <w:rPr>
          <w:color w:val="131727" w:themeColor="text1"/>
          <w:w w:val="110"/>
        </w:rPr>
        <w:t>Our figure is also likely to be a conservative estimate of need as, unlike the Commonwealth’s 2017 Remote Indigenous Housing review, it does not include future population growth projections. We decided not to include projections due to available population projections being outdated and due to their</w:t>
      </w:r>
      <w:r w:rsidRPr="00FD40B8">
        <w:rPr>
          <w:color w:val="131727" w:themeColor="text1"/>
          <w:spacing w:val="-6"/>
          <w:w w:val="110"/>
        </w:rPr>
        <w:t xml:space="preserve"> </w:t>
      </w:r>
      <w:r w:rsidRPr="00FD40B8">
        <w:rPr>
          <w:color w:val="131727" w:themeColor="text1"/>
          <w:w w:val="110"/>
        </w:rPr>
        <w:t>inconsistency</w:t>
      </w:r>
      <w:r w:rsidRPr="00FD40B8">
        <w:rPr>
          <w:color w:val="131727" w:themeColor="text1"/>
          <w:spacing w:val="-1"/>
          <w:w w:val="110"/>
        </w:rPr>
        <w:t xml:space="preserve"> </w:t>
      </w:r>
      <w:r w:rsidRPr="00FD40B8">
        <w:rPr>
          <w:color w:val="131727" w:themeColor="text1"/>
          <w:w w:val="110"/>
        </w:rPr>
        <w:t>with 2021 Census</w:t>
      </w:r>
      <w:r w:rsidRPr="00FD40B8">
        <w:rPr>
          <w:color w:val="131727" w:themeColor="text1"/>
          <w:spacing w:val="-3"/>
          <w:w w:val="110"/>
        </w:rPr>
        <w:t xml:space="preserve"> </w:t>
      </w:r>
      <w:r w:rsidRPr="00FD40B8">
        <w:rPr>
          <w:color w:val="131727" w:themeColor="text1"/>
          <w:w w:val="110"/>
        </w:rPr>
        <w:t>data</w:t>
      </w:r>
      <w:hyperlink w:anchor="_bookmark40" w:history="1">
        <w:r w:rsidRPr="00FD40B8">
          <w:rPr>
            <w:color w:val="131727" w:themeColor="text1"/>
            <w:w w:val="110"/>
          </w:rPr>
          <w:t>.</w:t>
        </w:r>
        <w:r w:rsidRPr="00FD40B8">
          <w:rPr>
            <w:color w:val="131727" w:themeColor="text1"/>
            <w:w w:val="110"/>
            <w:vertAlign w:val="superscript"/>
          </w:rPr>
          <w:t>32</w:t>
        </w:r>
      </w:hyperlink>
      <w:r w:rsidRPr="00FD40B8">
        <w:rPr>
          <w:color w:val="131727" w:themeColor="text1"/>
          <w:spacing w:val="-2"/>
          <w:w w:val="110"/>
        </w:rPr>
        <w:t xml:space="preserve"> </w:t>
      </w:r>
      <w:r w:rsidRPr="00FD40B8">
        <w:rPr>
          <w:color w:val="131727" w:themeColor="text1"/>
          <w:w w:val="110"/>
        </w:rPr>
        <w:t>These population data</w:t>
      </w:r>
      <w:r w:rsidRPr="00FD40B8">
        <w:rPr>
          <w:color w:val="131727" w:themeColor="text1"/>
          <w:spacing w:val="-2"/>
          <w:w w:val="110"/>
        </w:rPr>
        <w:t xml:space="preserve"> </w:t>
      </w:r>
      <w:r w:rsidRPr="00FD40B8">
        <w:rPr>
          <w:color w:val="131727" w:themeColor="text1"/>
          <w:w w:val="110"/>
        </w:rPr>
        <w:t>challenges</w:t>
      </w:r>
      <w:r w:rsidRPr="00FD40B8">
        <w:rPr>
          <w:color w:val="131727" w:themeColor="text1"/>
          <w:spacing w:val="-3"/>
          <w:w w:val="110"/>
        </w:rPr>
        <w:t xml:space="preserve"> </w:t>
      </w:r>
      <w:r w:rsidRPr="00FD40B8">
        <w:rPr>
          <w:color w:val="131727" w:themeColor="text1"/>
          <w:w w:val="110"/>
        </w:rPr>
        <w:t>hinder</w:t>
      </w:r>
      <w:r w:rsidRPr="00FD40B8">
        <w:rPr>
          <w:color w:val="131727" w:themeColor="text1"/>
          <w:spacing w:val="-3"/>
          <w:w w:val="110"/>
        </w:rPr>
        <w:t xml:space="preserve"> </w:t>
      </w:r>
      <w:r w:rsidRPr="00FD40B8">
        <w:rPr>
          <w:color w:val="131727" w:themeColor="text1"/>
          <w:w w:val="110"/>
        </w:rPr>
        <w:t>interpretations of trends like homelessness rates, as they might be influenced by demographic shifts rather than actual improvements. For more information see Appendix B.</w:t>
      </w:r>
    </w:p>
    <w:p w14:paraId="489FC805" w14:textId="77777777" w:rsidR="00811887" w:rsidRPr="00FD40B8" w:rsidRDefault="00811887" w:rsidP="00811887">
      <w:pPr>
        <w:pStyle w:val="BodyText"/>
        <w:rPr>
          <w:color w:val="131727" w:themeColor="text1"/>
        </w:rPr>
      </w:pPr>
    </w:p>
    <w:p w14:paraId="34C94494" w14:textId="77777777" w:rsidR="00811887" w:rsidRPr="00FD40B8" w:rsidRDefault="00811887" w:rsidP="00811887">
      <w:pPr>
        <w:pStyle w:val="BodyText"/>
        <w:rPr>
          <w:color w:val="131727" w:themeColor="text1"/>
        </w:rPr>
      </w:pPr>
    </w:p>
    <w:p w14:paraId="2858B6A9" w14:textId="77777777" w:rsidR="00811887" w:rsidRPr="00FD40B8" w:rsidRDefault="00811887" w:rsidP="00811887">
      <w:pPr>
        <w:pStyle w:val="BodyText"/>
        <w:rPr>
          <w:color w:val="131727" w:themeColor="text1"/>
        </w:rPr>
      </w:pPr>
    </w:p>
    <w:p w14:paraId="6E644383" w14:textId="77777777" w:rsidR="00811887" w:rsidRPr="00FD40B8" w:rsidRDefault="00811887" w:rsidP="00811887">
      <w:pPr>
        <w:pStyle w:val="BodyText"/>
        <w:rPr>
          <w:color w:val="131727" w:themeColor="text1"/>
        </w:rPr>
      </w:pPr>
    </w:p>
    <w:p w14:paraId="177EFBCB" w14:textId="77777777" w:rsidR="00811887" w:rsidRPr="00FD40B8" w:rsidRDefault="00811887" w:rsidP="00811887">
      <w:pPr>
        <w:pStyle w:val="BodyText"/>
        <w:rPr>
          <w:color w:val="131727" w:themeColor="text1"/>
        </w:rPr>
      </w:pPr>
    </w:p>
    <w:p w14:paraId="7D8E5051" w14:textId="77777777" w:rsidR="00811887" w:rsidRPr="00FD40B8" w:rsidRDefault="00811887" w:rsidP="00811887">
      <w:pPr>
        <w:pStyle w:val="BodyText"/>
        <w:rPr>
          <w:color w:val="131727" w:themeColor="text1"/>
        </w:rPr>
      </w:pPr>
    </w:p>
    <w:p w14:paraId="57AC2EC2" w14:textId="77777777" w:rsidR="00811887" w:rsidRPr="00FD40B8" w:rsidRDefault="00811887" w:rsidP="00811887">
      <w:pPr>
        <w:pStyle w:val="BodyText"/>
        <w:rPr>
          <w:color w:val="131727" w:themeColor="text1"/>
        </w:rPr>
      </w:pPr>
    </w:p>
    <w:p w14:paraId="038AA1B8" w14:textId="77777777" w:rsidR="00811887" w:rsidRPr="00FD40B8" w:rsidRDefault="00811887" w:rsidP="00811887">
      <w:pPr>
        <w:pStyle w:val="BodyText"/>
        <w:rPr>
          <w:color w:val="131727" w:themeColor="text1"/>
        </w:rPr>
      </w:pPr>
    </w:p>
    <w:p w14:paraId="786AD021" w14:textId="77777777" w:rsidR="00811887" w:rsidRPr="00FD40B8" w:rsidRDefault="00811887" w:rsidP="00811887">
      <w:pPr>
        <w:pStyle w:val="BodyText"/>
        <w:rPr>
          <w:color w:val="131727" w:themeColor="text1"/>
        </w:rPr>
      </w:pPr>
    </w:p>
    <w:p w14:paraId="34BF7C59" w14:textId="77777777" w:rsidR="00811887" w:rsidRPr="00FD40B8" w:rsidRDefault="00811887" w:rsidP="00811887">
      <w:pPr>
        <w:pStyle w:val="BodyText"/>
        <w:rPr>
          <w:color w:val="131727" w:themeColor="text1"/>
        </w:rPr>
      </w:pPr>
    </w:p>
    <w:p w14:paraId="31122DA3" w14:textId="77777777" w:rsidR="00811887" w:rsidRPr="00FD40B8" w:rsidRDefault="00811887" w:rsidP="00811887">
      <w:pPr>
        <w:pStyle w:val="BodyText"/>
        <w:rPr>
          <w:color w:val="131727" w:themeColor="text1"/>
        </w:rPr>
      </w:pPr>
    </w:p>
    <w:p w14:paraId="216D8EBF" w14:textId="77777777" w:rsidR="00811887" w:rsidRPr="00FD40B8" w:rsidRDefault="00811887" w:rsidP="00811887">
      <w:pPr>
        <w:pStyle w:val="BodyText"/>
        <w:rPr>
          <w:color w:val="131727" w:themeColor="text1"/>
        </w:rPr>
      </w:pPr>
    </w:p>
    <w:p w14:paraId="030A08A3" w14:textId="77777777" w:rsidR="00811887" w:rsidRPr="00FD40B8" w:rsidRDefault="00811887" w:rsidP="00811887">
      <w:pPr>
        <w:pStyle w:val="BodyText"/>
        <w:rPr>
          <w:color w:val="131727" w:themeColor="text1"/>
        </w:rPr>
      </w:pPr>
    </w:p>
    <w:p w14:paraId="32FA0120" w14:textId="77777777" w:rsidR="00811887" w:rsidRPr="00FD40B8" w:rsidRDefault="00811887" w:rsidP="00811887">
      <w:pPr>
        <w:pStyle w:val="BodyText"/>
        <w:rPr>
          <w:color w:val="131727" w:themeColor="text1"/>
        </w:rPr>
      </w:pPr>
    </w:p>
    <w:p w14:paraId="3C09ED0A" w14:textId="77777777" w:rsidR="00811887" w:rsidRPr="00FD40B8" w:rsidRDefault="00811887" w:rsidP="00811887">
      <w:pPr>
        <w:pStyle w:val="BodyText"/>
        <w:rPr>
          <w:color w:val="131727" w:themeColor="text1"/>
        </w:rPr>
      </w:pPr>
    </w:p>
    <w:p w14:paraId="63D75CE4" w14:textId="77777777" w:rsidR="00811887" w:rsidRPr="00FD40B8" w:rsidRDefault="00811887" w:rsidP="00811887">
      <w:pPr>
        <w:pStyle w:val="BodyText"/>
        <w:rPr>
          <w:color w:val="131727" w:themeColor="text1"/>
        </w:rPr>
      </w:pPr>
    </w:p>
    <w:p w14:paraId="581382E0" w14:textId="77777777" w:rsidR="00811887" w:rsidRPr="00FD40B8" w:rsidRDefault="00811887" w:rsidP="00811887">
      <w:pPr>
        <w:pStyle w:val="BodyText"/>
        <w:rPr>
          <w:color w:val="131727" w:themeColor="text1"/>
        </w:rPr>
      </w:pPr>
    </w:p>
    <w:p w14:paraId="7F90A25D" w14:textId="77777777" w:rsidR="00811887" w:rsidRPr="00FD40B8" w:rsidRDefault="00811887" w:rsidP="00811887">
      <w:pPr>
        <w:pStyle w:val="BodyText"/>
        <w:rPr>
          <w:color w:val="131727" w:themeColor="text1"/>
        </w:rPr>
      </w:pPr>
    </w:p>
    <w:p w14:paraId="6AB1C590" w14:textId="77777777" w:rsidR="00811887" w:rsidRPr="00FD40B8" w:rsidRDefault="00811887" w:rsidP="00811887">
      <w:pPr>
        <w:pStyle w:val="BodyText"/>
        <w:rPr>
          <w:color w:val="131727" w:themeColor="text1"/>
        </w:rPr>
      </w:pPr>
    </w:p>
    <w:p w14:paraId="40F52836" w14:textId="77777777" w:rsidR="00811887" w:rsidRPr="00FD40B8" w:rsidRDefault="00811887" w:rsidP="00811887">
      <w:pPr>
        <w:pStyle w:val="BodyText"/>
        <w:rPr>
          <w:color w:val="131727" w:themeColor="text1"/>
        </w:rPr>
      </w:pPr>
    </w:p>
    <w:p w14:paraId="181485F9" w14:textId="77777777" w:rsidR="00811887" w:rsidRPr="00FD40B8" w:rsidRDefault="00811887" w:rsidP="00811887">
      <w:pPr>
        <w:pStyle w:val="BodyText"/>
        <w:rPr>
          <w:color w:val="131727" w:themeColor="text1"/>
        </w:rPr>
      </w:pPr>
    </w:p>
    <w:p w14:paraId="66645994" w14:textId="77777777" w:rsidR="00811887" w:rsidRPr="00FD40B8" w:rsidRDefault="00811887" w:rsidP="00811887">
      <w:pPr>
        <w:pStyle w:val="BodyText"/>
        <w:rPr>
          <w:color w:val="131727" w:themeColor="text1"/>
        </w:rPr>
      </w:pPr>
    </w:p>
    <w:p w14:paraId="32CD5E7B" w14:textId="77777777" w:rsidR="00811887" w:rsidRPr="00FD40B8" w:rsidRDefault="00811887" w:rsidP="00811887">
      <w:pPr>
        <w:pStyle w:val="BodyText"/>
        <w:rPr>
          <w:color w:val="131727" w:themeColor="text1"/>
        </w:rPr>
      </w:pPr>
    </w:p>
    <w:p w14:paraId="0BAE54C0" w14:textId="77777777" w:rsidR="00811887" w:rsidRPr="00FD40B8" w:rsidRDefault="00811887" w:rsidP="00811887">
      <w:pPr>
        <w:pStyle w:val="BodyText"/>
        <w:rPr>
          <w:color w:val="131727" w:themeColor="text1"/>
        </w:rPr>
      </w:pPr>
    </w:p>
    <w:p w14:paraId="39F608D7" w14:textId="77777777" w:rsidR="00811887" w:rsidRPr="00FD40B8" w:rsidRDefault="00811887" w:rsidP="00811887">
      <w:pPr>
        <w:pStyle w:val="BodyText"/>
        <w:rPr>
          <w:color w:val="131727" w:themeColor="text1"/>
        </w:rPr>
      </w:pPr>
    </w:p>
    <w:p w14:paraId="2EBDF7B3" w14:textId="77777777" w:rsidR="00811887" w:rsidRPr="00FD40B8" w:rsidRDefault="00811887" w:rsidP="00811887">
      <w:pPr>
        <w:pStyle w:val="BodyText"/>
        <w:rPr>
          <w:color w:val="131727" w:themeColor="text1"/>
        </w:rPr>
      </w:pPr>
    </w:p>
    <w:p w14:paraId="48D44E77" w14:textId="77777777" w:rsidR="00811887" w:rsidRPr="00FD40B8" w:rsidRDefault="00811887" w:rsidP="00811887">
      <w:pPr>
        <w:pStyle w:val="BodyText"/>
        <w:rPr>
          <w:color w:val="131727" w:themeColor="text1"/>
        </w:rPr>
      </w:pPr>
    </w:p>
    <w:p w14:paraId="13D30D2A" w14:textId="77777777" w:rsidR="00811887" w:rsidRPr="00FD40B8" w:rsidRDefault="00811887" w:rsidP="00811887">
      <w:pPr>
        <w:pStyle w:val="BodyText"/>
        <w:rPr>
          <w:color w:val="131727" w:themeColor="text1"/>
        </w:rPr>
      </w:pPr>
    </w:p>
    <w:p w14:paraId="22ACC73F" w14:textId="77777777" w:rsidR="00811887" w:rsidRPr="00FD40B8" w:rsidRDefault="00811887" w:rsidP="00811887">
      <w:pPr>
        <w:pStyle w:val="BodyText"/>
        <w:rPr>
          <w:color w:val="131727" w:themeColor="text1"/>
        </w:rPr>
      </w:pPr>
    </w:p>
    <w:p w14:paraId="59647E32" w14:textId="77777777" w:rsidR="00811887" w:rsidRPr="00FD40B8" w:rsidRDefault="00811887" w:rsidP="00811887">
      <w:pPr>
        <w:pStyle w:val="BodyText"/>
        <w:rPr>
          <w:color w:val="131727" w:themeColor="text1"/>
        </w:rPr>
      </w:pPr>
    </w:p>
    <w:p w14:paraId="7F4A3AD9" w14:textId="77777777" w:rsidR="00811887" w:rsidRPr="00FD40B8" w:rsidRDefault="00811887" w:rsidP="00811887">
      <w:pPr>
        <w:pStyle w:val="BodyText"/>
        <w:rPr>
          <w:color w:val="131727" w:themeColor="text1"/>
        </w:rPr>
      </w:pPr>
    </w:p>
    <w:p w14:paraId="5DC08C3E" w14:textId="77777777" w:rsidR="00811887" w:rsidRPr="00FD40B8" w:rsidRDefault="00811887" w:rsidP="00811887">
      <w:pPr>
        <w:pStyle w:val="BodyText"/>
        <w:rPr>
          <w:color w:val="131727" w:themeColor="text1"/>
        </w:rPr>
      </w:pPr>
    </w:p>
    <w:p w14:paraId="3ED118A4" w14:textId="77777777" w:rsidR="00811887" w:rsidRPr="00FD40B8" w:rsidRDefault="00811887" w:rsidP="00811887">
      <w:pPr>
        <w:pStyle w:val="BodyText"/>
        <w:spacing w:before="101"/>
        <w:rPr>
          <w:color w:val="131727" w:themeColor="text1"/>
        </w:rPr>
      </w:pPr>
      <w:r w:rsidRPr="00FD40B8">
        <w:rPr>
          <w:noProof/>
          <w:color w:val="131727" w:themeColor="text1"/>
        </w:rPr>
        <mc:AlternateContent>
          <mc:Choice Requires="wps">
            <w:drawing>
              <wp:anchor distT="0" distB="0" distL="0" distR="0" simplePos="0" relativeHeight="251740160" behindDoc="1" locked="0" layoutInCell="1" allowOverlap="1" wp14:anchorId="142BA451" wp14:editId="694B6308">
                <wp:simplePos x="0" y="0"/>
                <wp:positionH relativeFrom="page">
                  <wp:posOffset>792784</wp:posOffset>
                </wp:positionH>
                <wp:positionV relativeFrom="paragraph">
                  <wp:posOffset>234457</wp:posOffset>
                </wp:positionV>
                <wp:extent cx="1830070" cy="6350"/>
                <wp:effectExtent l="0" t="0" r="0" b="0"/>
                <wp:wrapTopAndBottom/>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29D72" id="Graphic 131" o:spid="_x0000_s1026" alt="&quot;&quot;" style="position:absolute;margin-left:62.4pt;margin-top:18.45pt;width:144.1pt;height:.5pt;z-index:-25157632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" path="m1829689,l,,,6096r1829689,l1829689,xe" fillcolor="black" stroked="f">
                <v:path arrowok="t"/>
                <w10:wrap type="topAndBottom" anchorx="page"/>
              </v:shape>
            </w:pict>
          </mc:Fallback>
        </mc:AlternateContent>
      </w:r>
    </w:p>
    <w:p w14:paraId="76AB178D" w14:textId="77777777" w:rsidR="00811887" w:rsidRPr="00FD40B8" w:rsidRDefault="00811887" w:rsidP="00811887">
      <w:pPr>
        <w:spacing w:before="118" w:line="268" w:lineRule="auto"/>
        <w:ind w:left="508" w:right="598"/>
        <w:rPr>
          <w:color w:val="131727" w:themeColor="text1"/>
          <w:sz w:val="16"/>
        </w:rPr>
      </w:pPr>
      <w:bookmarkStart w:id="151" w:name="_bookmark40"/>
      <w:bookmarkEnd w:id="151"/>
      <w:r w:rsidRPr="00FD40B8">
        <w:rPr>
          <w:color w:val="131727" w:themeColor="text1"/>
          <w:w w:val="105"/>
          <w:position w:val="6"/>
          <w:sz w:val="10"/>
        </w:rPr>
        <w:t>32</w:t>
      </w:r>
      <w:r w:rsidRPr="00FD40B8">
        <w:rPr>
          <w:color w:val="131727" w:themeColor="text1"/>
          <w:spacing w:val="40"/>
          <w:w w:val="105"/>
          <w:position w:val="6"/>
          <w:sz w:val="10"/>
        </w:rPr>
        <w:t xml:space="preserve"> </w:t>
      </w:r>
      <w:r w:rsidRPr="00FD40B8">
        <w:rPr>
          <w:color w:val="131727" w:themeColor="text1"/>
          <w:w w:val="105"/>
          <w:sz w:val="16"/>
        </w:rPr>
        <w:t>Most</w:t>
      </w:r>
      <w:r w:rsidRPr="00FD40B8">
        <w:rPr>
          <w:color w:val="131727" w:themeColor="text1"/>
          <w:spacing w:val="28"/>
          <w:w w:val="105"/>
          <w:sz w:val="16"/>
        </w:rPr>
        <w:t xml:space="preserve"> </w:t>
      </w:r>
      <w:r w:rsidRPr="00FD40B8">
        <w:rPr>
          <w:color w:val="131727" w:themeColor="text1"/>
          <w:w w:val="105"/>
          <w:sz w:val="16"/>
        </w:rPr>
        <w:t>recent</w:t>
      </w:r>
      <w:r w:rsidRPr="00FD40B8">
        <w:rPr>
          <w:color w:val="131727" w:themeColor="text1"/>
          <w:spacing w:val="28"/>
          <w:w w:val="105"/>
          <w:sz w:val="16"/>
        </w:rPr>
        <w:t xml:space="preserve"> </w:t>
      </w:r>
      <w:r w:rsidRPr="00FD40B8">
        <w:rPr>
          <w:color w:val="131727" w:themeColor="text1"/>
          <w:w w:val="105"/>
          <w:sz w:val="16"/>
        </w:rPr>
        <w:t>population</w:t>
      </w:r>
      <w:r w:rsidRPr="00FD40B8">
        <w:rPr>
          <w:color w:val="131727" w:themeColor="text1"/>
          <w:spacing w:val="33"/>
          <w:w w:val="105"/>
          <w:sz w:val="16"/>
        </w:rPr>
        <w:t xml:space="preserve"> </w:t>
      </w:r>
      <w:r w:rsidRPr="00FD40B8">
        <w:rPr>
          <w:color w:val="131727" w:themeColor="text1"/>
          <w:w w:val="105"/>
          <w:sz w:val="16"/>
        </w:rPr>
        <w:t>projections</w:t>
      </w:r>
      <w:r w:rsidRPr="00FD40B8">
        <w:rPr>
          <w:color w:val="131727" w:themeColor="text1"/>
          <w:spacing w:val="27"/>
          <w:w w:val="105"/>
          <w:sz w:val="16"/>
        </w:rPr>
        <w:t xml:space="preserve"> </w:t>
      </w:r>
      <w:r w:rsidRPr="00FD40B8">
        <w:rPr>
          <w:color w:val="131727" w:themeColor="text1"/>
          <w:w w:val="105"/>
          <w:sz w:val="16"/>
        </w:rPr>
        <w:t>are</w:t>
      </w:r>
      <w:r w:rsidRPr="00FD40B8">
        <w:rPr>
          <w:color w:val="131727" w:themeColor="text1"/>
          <w:spacing w:val="28"/>
          <w:w w:val="105"/>
          <w:sz w:val="16"/>
        </w:rPr>
        <w:t xml:space="preserve"> </w:t>
      </w:r>
      <w:r w:rsidRPr="00FD40B8">
        <w:rPr>
          <w:color w:val="131727" w:themeColor="text1"/>
          <w:w w:val="105"/>
          <w:sz w:val="16"/>
        </w:rPr>
        <w:t>from</w:t>
      </w:r>
      <w:r w:rsidRPr="00FD40B8">
        <w:rPr>
          <w:color w:val="131727" w:themeColor="text1"/>
          <w:spacing w:val="28"/>
          <w:w w:val="105"/>
          <w:sz w:val="16"/>
        </w:rPr>
        <w:t xml:space="preserve"> </w:t>
      </w:r>
      <w:r w:rsidRPr="00FD40B8">
        <w:rPr>
          <w:color w:val="131727" w:themeColor="text1"/>
          <w:w w:val="105"/>
          <w:sz w:val="16"/>
        </w:rPr>
        <w:t>2016.</w:t>
      </w:r>
      <w:r w:rsidRPr="00FD40B8">
        <w:rPr>
          <w:color w:val="131727" w:themeColor="text1"/>
          <w:spacing w:val="39"/>
          <w:w w:val="105"/>
          <w:sz w:val="16"/>
        </w:rPr>
        <w:t xml:space="preserve"> </w:t>
      </w:r>
      <w:r w:rsidRPr="00FD40B8">
        <w:rPr>
          <w:color w:val="131727" w:themeColor="text1"/>
          <w:w w:val="105"/>
          <w:sz w:val="16"/>
        </w:rPr>
        <w:t>There</w:t>
      </w:r>
      <w:r w:rsidRPr="00FD40B8">
        <w:rPr>
          <w:color w:val="131727" w:themeColor="text1"/>
          <w:spacing w:val="28"/>
          <w:w w:val="105"/>
          <w:sz w:val="16"/>
        </w:rPr>
        <w:t xml:space="preserve"> </w:t>
      </w:r>
      <w:r w:rsidRPr="00FD40B8">
        <w:rPr>
          <w:color w:val="131727" w:themeColor="text1"/>
          <w:w w:val="105"/>
          <w:sz w:val="16"/>
        </w:rPr>
        <w:t>are</w:t>
      </w:r>
      <w:r w:rsidRPr="00FD40B8">
        <w:rPr>
          <w:color w:val="131727" w:themeColor="text1"/>
          <w:spacing w:val="28"/>
          <w:w w:val="105"/>
          <w:sz w:val="16"/>
        </w:rPr>
        <w:t xml:space="preserve"> </w:t>
      </w:r>
      <w:r w:rsidRPr="00FD40B8">
        <w:rPr>
          <w:color w:val="131727" w:themeColor="text1"/>
          <w:w w:val="105"/>
          <w:sz w:val="16"/>
        </w:rPr>
        <w:t>also</w:t>
      </w:r>
      <w:r w:rsidRPr="00FD40B8">
        <w:rPr>
          <w:color w:val="131727" w:themeColor="text1"/>
          <w:spacing w:val="27"/>
          <w:w w:val="105"/>
          <w:sz w:val="16"/>
        </w:rPr>
        <w:t xml:space="preserve"> </w:t>
      </w:r>
      <w:r w:rsidRPr="00FD40B8">
        <w:rPr>
          <w:color w:val="131727" w:themeColor="text1"/>
          <w:w w:val="105"/>
          <w:sz w:val="16"/>
        </w:rPr>
        <w:t>challenges</w:t>
      </w:r>
      <w:r w:rsidRPr="00FD40B8">
        <w:rPr>
          <w:color w:val="131727" w:themeColor="text1"/>
          <w:spacing w:val="27"/>
          <w:w w:val="105"/>
          <w:sz w:val="16"/>
        </w:rPr>
        <w:t xml:space="preserve"> </w:t>
      </w:r>
      <w:r w:rsidRPr="00FD40B8">
        <w:rPr>
          <w:color w:val="131727" w:themeColor="text1"/>
          <w:w w:val="105"/>
          <w:sz w:val="16"/>
        </w:rPr>
        <w:t>with</w:t>
      </w:r>
      <w:r w:rsidRPr="00FD40B8">
        <w:rPr>
          <w:color w:val="131727" w:themeColor="text1"/>
          <w:spacing w:val="33"/>
          <w:w w:val="105"/>
          <w:sz w:val="16"/>
        </w:rPr>
        <w:t xml:space="preserve"> </w:t>
      </w:r>
      <w:r w:rsidRPr="00FD40B8">
        <w:rPr>
          <w:color w:val="131727" w:themeColor="text1"/>
          <w:w w:val="105"/>
          <w:sz w:val="16"/>
        </w:rPr>
        <w:t>current</w:t>
      </w:r>
      <w:r w:rsidRPr="00FD40B8">
        <w:rPr>
          <w:color w:val="131727" w:themeColor="text1"/>
          <w:spacing w:val="28"/>
          <w:w w:val="105"/>
          <w:sz w:val="16"/>
        </w:rPr>
        <w:t xml:space="preserve"> </w:t>
      </w:r>
      <w:r w:rsidRPr="00FD40B8">
        <w:rPr>
          <w:color w:val="131727" w:themeColor="text1"/>
          <w:w w:val="105"/>
          <w:sz w:val="16"/>
        </w:rPr>
        <w:t>population</w:t>
      </w:r>
      <w:r w:rsidRPr="00FD40B8">
        <w:rPr>
          <w:color w:val="131727" w:themeColor="text1"/>
          <w:spacing w:val="33"/>
          <w:w w:val="105"/>
          <w:sz w:val="16"/>
        </w:rPr>
        <w:t xml:space="preserve"> </w:t>
      </w:r>
      <w:r w:rsidRPr="00FD40B8">
        <w:rPr>
          <w:color w:val="131727" w:themeColor="text1"/>
          <w:w w:val="105"/>
          <w:sz w:val="16"/>
        </w:rPr>
        <w:t>estimates</w:t>
      </w:r>
      <w:r w:rsidRPr="00FD40B8">
        <w:rPr>
          <w:color w:val="131727" w:themeColor="text1"/>
          <w:spacing w:val="27"/>
          <w:w w:val="105"/>
          <w:sz w:val="16"/>
        </w:rPr>
        <w:t xml:space="preserve"> </w:t>
      </w:r>
      <w:r w:rsidRPr="00FD40B8">
        <w:rPr>
          <w:color w:val="131727" w:themeColor="text1"/>
          <w:w w:val="105"/>
          <w:sz w:val="16"/>
        </w:rPr>
        <w:t>due</w:t>
      </w:r>
      <w:r w:rsidRPr="00FD40B8">
        <w:rPr>
          <w:color w:val="131727" w:themeColor="text1"/>
          <w:spacing w:val="28"/>
          <w:w w:val="105"/>
          <w:sz w:val="16"/>
        </w:rPr>
        <w:t xml:space="preserve"> </w:t>
      </w:r>
      <w:r w:rsidRPr="00FD40B8">
        <w:rPr>
          <w:color w:val="131727" w:themeColor="text1"/>
          <w:w w:val="105"/>
          <w:sz w:val="16"/>
        </w:rPr>
        <w:t>to</w:t>
      </w:r>
      <w:r w:rsidRPr="00FD40B8">
        <w:rPr>
          <w:color w:val="131727" w:themeColor="text1"/>
          <w:spacing w:val="40"/>
          <w:w w:val="105"/>
          <w:sz w:val="16"/>
        </w:rPr>
        <w:t xml:space="preserve"> </w:t>
      </w:r>
      <w:r w:rsidRPr="00FD40B8">
        <w:rPr>
          <w:color w:val="131727" w:themeColor="text1"/>
          <w:w w:val="105"/>
          <w:sz w:val="16"/>
        </w:rPr>
        <w:t>challenges</w:t>
      </w:r>
      <w:r w:rsidRPr="00FD40B8">
        <w:rPr>
          <w:color w:val="131727" w:themeColor="text1"/>
          <w:spacing w:val="19"/>
          <w:w w:val="105"/>
          <w:sz w:val="16"/>
        </w:rPr>
        <w:t xml:space="preserve"> </w:t>
      </w:r>
      <w:r w:rsidRPr="00FD40B8">
        <w:rPr>
          <w:color w:val="131727" w:themeColor="text1"/>
          <w:w w:val="105"/>
          <w:sz w:val="16"/>
        </w:rPr>
        <w:t>with</w:t>
      </w:r>
      <w:r w:rsidRPr="00FD40B8">
        <w:rPr>
          <w:color w:val="131727" w:themeColor="text1"/>
          <w:spacing w:val="25"/>
          <w:w w:val="105"/>
          <w:sz w:val="16"/>
        </w:rPr>
        <w:t xml:space="preserve"> </w:t>
      </w:r>
      <w:r w:rsidRPr="00FD40B8">
        <w:rPr>
          <w:color w:val="131727" w:themeColor="text1"/>
          <w:w w:val="105"/>
          <w:sz w:val="16"/>
        </w:rPr>
        <w:t>changing</w:t>
      </w:r>
      <w:r w:rsidRPr="00FD40B8">
        <w:rPr>
          <w:color w:val="131727" w:themeColor="text1"/>
          <w:spacing w:val="25"/>
          <w:w w:val="105"/>
          <w:sz w:val="16"/>
        </w:rPr>
        <w:t xml:space="preserve"> </w:t>
      </w:r>
      <w:r w:rsidRPr="00FD40B8">
        <w:rPr>
          <w:color w:val="131727" w:themeColor="text1"/>
          <w:w w:val="105"/>
          <w:sz w:val="16"/>
        </w:rPr>
        <w:t>norms</w:t>
      </w:r>
      <w:r w:rsidRPr="00FD40B8">
        <w:rPr>
          <w:color w:val="131727" w:themeColor="text1"/>
          <w:spacing w:val="19"/>
          <w:w w:val="105"/>
          <w:sz w:val="16"/>
        </w:rPr>
        <w:t xml:space="preserve"> </w:t>
      </w:r>
      <w:r w:rsidRPr="00FD40B8">
        <w:rPr>
          <w:color w:val="131727" w:themeColor="text1"/>
          <w:w w:val="105"/>
          <w:sz w:val="16"/>
        </w:rPr>
        <w:t>around</w:t>
      </w:r>
      <w:r w:rsidRPr="00FD40B8">
        <w:rPr>
          <w:color w:val="131727" w:themeColor="text1"/>
          <w:spacing w:val="26"/>
          <w:w w:val="105"/>
          <w:sz w:val="16"/>
        </w:rPr>
        <w:t xml:space="preserve"> </w:t>
      </w:r>
      <w:r w:rsidRPr="00FD40B8">
        <w:rPr>
          <w:color w:val="131727" w:themeColor="text1"/>
          <w:w w:val="105"/>
          <w:sz w:val="16"/>
        </w:rPr>
        <w:t>self-identification.</w:t>
      </w:r>
      <w:r w:rsidRPr="00FD40B8">
        <w:rPr>
          <w:color w:val="131727" w:themeColor="text1"/>
          <w:spacing w:val="22"/>
          <w:w w:val="105"/>
          <w:sz w:val="16"/>
        </w:rPr>
        <w:t xml:space="preserve"> </w:t>
      </w:r>
      <w:r w:rsidRPr="00FD40B8">
        <w:rPr>
          <w:color w:val="131727" w:themeColor="text1"/>
          <w:w w:val="105"/>
          <w:sz w:val="16"/>
        </w:rPr>
        <w:t>The</w:t>
      </w:r>
      <w:r w:rsidRPr="00FD40B8">
        <w:rPr>
          <w:color w:val="131727" w:themeColor="text1"/>
          <w:spacing w:val="20"/>
          <w:w w:val="105"/>
          <w:sz w:val="16"/>
        </w:rPr>
        <w:t xml:space="preserve"> </w:t>
      </w:r>
      <w:r w:rsidRPr="00FD40B8">
        <w:rPr>
          <w:color w:val="131727" w:themeColor="text1"/>
          <w:w w:val="105"/>
          <w:sz w:val="16"/>
        </w:rPr>
        <w:t>ABS</w:t>
      </w:r>
      <w:r w:rsidRPr="00FD40B8">
        <w:rPr>
          <w:color w:val="131727" w:themeColor="text1"/>
          <w:spacing w:val="20"/>
          <w:w w:val="105"/>
          <w:sz w:val="16"/>
        </w:rPr>
        <w:t xml:space="preserve"> </w:t>
      </w:r>
      <w:r w:rsidRPr="00FD40B8">
        <w:rPr>
          <w:color w:val="131727" w:themeColor="text1"/>
          <w:w w:val="105"/>
          <w:sz w:val="16"/>
        </w:rPr>
        <w:t>is</w:t>
      </w:r>
      <w:r w:rsidRPr="00FD40B8">
        <w:rPr>
          <w:color w:val="131727" w:themeColor="text1"/>
          <w:spacing w:val="19"/>
          <w:w w:val="105"/>
          <w:sz w:val="16"/>
        </w:rPr>
        <w:t xml:space="preserve"> </w:t>
      </w:r>
      <w:r w:rsidRPr="00FD40B8">
        <w:rPr>
          <w:color w:val="131727" w:themeColor="text1"/>
          <w:w w:val="105"/>
          <w:sz w:val="16"/>
        </w:rPr>
        <w:t>currently</w:t>
      </w:r>
      <w:r w:rsidRPr="00FD40B8">
        <w:rPr>
          <w:color w:val="131727" w:themeColor="text1"/>
          <w:spacing w:val="20"/>
          <w:w w:val="105"/>
          <w:sz w:val="16"/>
        </w:rPr>
        <w:t xml:space="preserve"> </w:t>
      </w:r>
      <w:r w:rsidRPr="00FD40B8">
        <w:rPr>
          <w:color w:val="131727" w:themeColor="text1"/>
          <w:w w:val="105"/>
          <w:sz w:val="16"/>
        </w:rPr>
        <w:t>working</w:t>
      </w:r>
      <w:r w:rsidRPr="00FD40B8">
        <w:rPr>
          <w:color w:val="131727" w:themeColor="text1"/>
          <w:spacing w:val="19"/>
          <w:w w:val="105"/>
          <w:sz w:val="16"/>
        </w:rPr>
        <w:t xml:space="preserve"> </w:t>
      </w:r>
      <w:r w:rsidRPr="00FD40B8">
        <w:rPr>
          <w:color w:val="131727" w:themeColor="text1"/>
          <w:w w:val="105"/>
          <w:sz w:val="16"/>
        </w:rPr>
        <w:t>new</w:t>
      </w:r>
      <w:r w:rsidRPr="00FD40B8">
        <w:rPr>
          <w:color w:val="131727" w:themeColor="text1"/>
          <w:spacing w:val="22"/>
          <w:w w:val="105"/>
          <w:sz w:val="16"/>
        </w:rPr>
        <w:t xml:space="preserve"> </w:t>
      </w:r>
      <w:r w:rsidRPr="00FD40B8">
        <w:rPr>
          <w:color w:val="131727" w:themeColor="text1"/>
          <w:w w:val="105"/>
          <w:sz w:val="16"/>
        </w:rPr>
        <w:t>population</w:t>
      </w:r>
      <w:r w:rsidRPr="00FD40B8">
        <w:rPr>
          <w:color w:val="131727" w:themeColor="text1"/>
          <w:spacing w:val="25"/>
          <w:w w:val="105"/>
          <w:sz w:val="16"/>
        </w:rPr>
        <w:t xml:space="preserve"> </w:t>
      </w:r>
      <w:r w:rsidRPr="00FD40B8">
        <w:rPr>
          <w:color w:val="131727" w:themeColor="text1"/>
          <w:w w:val="105"/>
          <w:sz w:val="16"/>
        </w:rPr>
        <w:t>projects</w:t>
      </w:r>
      <w:r w:rsidRPr="00FD40B8">
        <w:rPr>
          <w:color w:val="131727" w:themeColor="text1"/>
          <w:spacing w:val="18"/>
          <w:w w:val="105"/>
          <w:sz w:val="16"/>
        </w:rPr>
        <w:t xml:space="preserve"> </w:t>
      </w:r>
      <w:r w:rsidRPr="00FD40B8">
        <w:rPr>
          <w:color w:val="131727" w:themeColor="text1"/>
          <w:w w:val="105"/>
          <w:sz w:val="16"/>
        </w:rPr>
        <w:t>set</w:t>
      </w:r>
      <w:r w:rsidRPr="00FD40B8">
        <w:rPr>
          <w:color w:val="131727" w:themeColor="text1"/>
          <w:spacing w:val="20"/>
          <w:w w:val="105"/>
          <w:sz w:val="16"/>
        </w:rPr>
        <w:t xml:space="preserve"> </w:t>
      </w:r>
      <w:r w:rsidRPr="00FD40B8">
        <w:rPr>
          <w:color w:val="131727" w:themeColor="text1"/>
          <w:w w:val="105"/>
          <w:sz w:val="16"/>
        </w:rPr>
        <w:t>to</w:t>
      </w:r>
      <w:r w:rsidRPr="00FD40B8">
        <w:rPr>
          <w:color w:val="131727" w:themeColor="text1"/>
          <w:spacing w:val="19"/>
          <w:w w:val="105"/>
          <w:sz w:val="16"/>
        </w:rPr>
        <w:t xml:space="preserve"> </w:t>
      </w:r>
      <w:r w:rsidRPr="00FD40B8">
        <w:rPr>
          <w:color w:val="131727" w:themeColor="text1"/>
          <w:w w:val="105"/>
          <w:sz w:val="16"/>
        </w:rPr>
        <w:t>be</w:t>
      </w:r>
      <w:r w:rsidRPr="00FD40B8">
        <w:rPr>
          <w:color w:val="131727" w:themeColor="text1"/>
          <w:spacing w:val="20"/>
          <w:w w:val="105"/>
          <w:sz w:val="16"/>
        </w:rPr>
        <w:t xml:space="preserve"> </w:t>
      </w:r>
      <w:r w:rsidRPr="00FD40B8">
        <w:rPr>
          <w:color w:val="131727" w:themeColor="text1"/>
          <w:w w:val="105"/>
          <w:sz w:val="16"/>
        </w:rPr>
        <w:t>released</w:t>
      </w:r>
      <w:r w:rsidRPr="00FD40B8">
        <w:rPr>
          <w:color w:val="131727" w:themeColor="text1"/>
          <w:spacing w:val="40"/>
          <w:w w:val="105"/>
          <w:sz w:val="16"/>
        </w:rPr>
        <w:t xml:space="preserve"> </w:t>
      </w:r>
      <w:r w:rsidRPr="00FD40B8">
        <w:rPr>
          <w:color w:val="131727" w:themeColor="text1"/>
          <w:w w:val="105"/>
          <w:sz w:val="16"/>
        </w:rPr>
        <w:t>at the end of July.</w:t>
      </w:r>
    </w:p>
    <w:p w14:paraId="1CB38379" w14:textId="77777777" w:rsidR="00811887" w:rsidRPr="00FD40B8" w:rsidRDefault="00811887" w:rsidP="00811887">
      <w:pPr>
        <w:spacing w:line="268" w:lineRule="auto"/>
        <w:rPr>
          <w:color w:val="131727" w:themeColor="text1"/>
          <w:sz w:val="16"/>
        </w:rPr>
        <w:sectPr w:rsidR="00811887" w:rsidRPr="00FD40B8" w:rsidSect="00811887">
          <w:pgSz w:w="11910" w:h="16840"/>
          <w:pgMar w:top="1320" w:right="720" w:bottom="1080" w:left="740" w:header="0" w:footer="885" w:gutter="0"/>
          <w:cols w:space="720"/>
        </w:sectPr>
      </w:pPr>
    </w:p>
    <w:p w14:paraId="2DC76730" w14:textId="77777777" w:rsidR="00811887" w:rsidRPr="00FD40B8" w:rsidRDefault="00811887" w:rsidP="00811887">
      <w:pPr>
        <w:pStyle w:val="Heading8"/>
        <w:spacing w:before="81"/>
        <w:rPr>
          <w:color w:val="131727" w:themeColor="text1"/>
        </w:rPr>
      </w:pPr>
      <w:r w:rsidRPr="00FD40B8">
        <w:rPr>
          <w:color w:val="131727" w:themeColor="text1"/>
        </w:rPr>
        <w:lastRenderedPageBreak/>
        <w:t>Estimation</w:t>
      </w:r>
      <w:r w:rsidRPr="00FD40B8">
        <w:rPr>
          <w:color w:val="131727" w:themeColor="text1"/>
          <w:spacing w:val="-6"/>
        </w:rPr>
        <w:t xml:space="preserve"> </w:t>
      </w:r>
      <w:r w:rsidRPr="00FD40B8">
        <w:rPr>
          <w:color w:val="131727" w:themeColor="text1"/>
        </w:rPr>
        <w:t>of</w:t>
      </w:r>
      <w:r w:rsidRPr="00FD40B8">
        <w:rPr>
          <w:color w:val="131727" w:themeColor="text1"/>
          <w:spacing w:val="-2"/>
        </w:rPr>
        <w:t xml:space="preserve"> </w:t>
      </w:r>
      <w:r w:rsidRPr="00FD40B8">
        <w:rPr>
          <w:color w:val="131727" w:themeColor="text1"/>
          <w:spacing w:val="-4"/>
        </w:rPr>
        <w:t>need</w:t>
      </w:r>
    </w:p>
    <w:p w14:paraId="55CE790C" w14:textId="77777777" w:rsidR="00811887" w:rsidRPr="00FD40B8" w:rsidRDefault="00811887" w:rsidP="00811887">
      <w:pPr>
        <w:pStyle w:val="BodyText"/>
        <w:spacing w:before="261" w:line="264" w:lineRule="auto"/>
        <w:ind w:left="508" w:right="557"/>
        <w:rPr>
          <w:color w:val="131727" w:themeColor="text1"/>
        </w:rPr>
      </w:pPr>
      <w:r w:rsidRPr="00FD40B8">
        <w:rPr>
          <w:color w:val="131727" w:themeColor="text1"/>
          <w:w w:val="110"/>
        </w:rPr>
        <w:t>Based</w:t>
      </w:r>
      <w:r w:rsidRPr="00FD40B8">
        <w:rPr>
          <w:color w:val="131727" w:themeColor="text1"/>
          <w:spacing w:val="-3"/>
          <w:w w:val="110"/>
        </w:rPr>
        <w:t xml:space="preserve"> </w:t>
      </w:r>
      <w:r w:rsidRPr="00FD40B8">
        <w:rPr>
          <w:color w:val="131727" w:themeColor="text1"/>
          <w:w w:val="110"/>
        </w:rPr>
        <w:t>on</w:t>
      </w:r>
      <w:r w:rsidRPr="00FD40B8">
        <w:rPr>
          <w:color w:val="131727" w:themeColor="text1"/>
          <w:spacing w:val="-2"/>
          <w:w w:val="110"/>
        </w:rPr>
        <w:t xml:space="preserve"> </w:t>
      </w:r>
      <w:r w:rsidRPr="00FD40B8">
        <w:rPr>
          <w:color w:val="131727" w:themeColor="text1"/>
          <w:w w:val="110"/>
        </w:rPr>
        <w:t>our analysis, a conservative estimate</w:t>
      </w:r>
      <w:r w:rsidRPr="00FD40B8">
        <w:rPr>
          <w:color w:val="131727" w:themeColor="text1"/>
          <w:spacing w:val="-3"/>
          <w:w w:val="110"/>
        </w:rPr>
        <w:t xml:space="preserve"> </w:t>
      </w:r>
      <w:r w:rsidRPr="00FD40B8">
        <w:rPr>
          <w:color w:val="131727" w:themeColor="text1"/>
          <w:w w:val="110"/>
        </w:rPr>
        <w:t>of Aboriginal and Torres</w:t>
      </w:r>
      <w:r w:rsidRPr="00FD40B8">
        <w:rPr>
          <w:color w:val="131727" w:themeColor="text1"/>
          <w:spacing w:val="-1"/>
          <w:w w:val="110"/>
        </w:rPr>
        <w:t xml:space="preserve"> </w:t>
      </w:r>
      <w:r w:rsidRPr="00FD40B8">
        <w:rPr>
          <w:color w:val="131727" w:themeColor="text1"/>
          <w:w w:val="110"/>
        </w:rPr>
        <w:t>Strait</w:t>
      </w:r>
      <w:r w:rsidRPr="00FD40B8">
        <w:rPr>
          <w:color w:val="131727" w:themeColor="text1"/>
          <w:spacing w:val="-3"/>
          <w:w w:val="110"/>
        </w:rPr>
        <w:t xml:space="preserve"> </w:t>
      </w:r>
      <w:r w:rsidRPr="00FD40B8">
        <w:rPr>
          <w:color w:val="131727" w:themeColor="text1"/>
          <w:w w:val="110"/>
        </w:rPr>
        <w:t>Islander housing</w:t>
      </w:r>
      <w:r w:rsidRPr="00FD40B8">
        <w:rPr>
          <w:color w:val="131727" w:themeColor="text1"/>
          <w:spacing w:val="-3"/>
          <w:w w:val="110"/>
        </w:rPr>
        <w:t xml:space="preserve"> </w:t>
      </w:r>
      <w:r w:rsidRPr="00FD40B8">
        <w:rPr>
          <w:color w:val="131727" w:themeColor="text1"/>
          <w:w w:val="110"/>
        </w:rPr>
        <w:t>need is an additional 18,342 houses nationally</w:t>
      </w:r>
      <w:hyperlink w:anchor="_bookmark41" w:history="1">
        <w:r w:rsidRPr="00FD40B8">
          <w:rPr>
            <w:color w:val="131727" w:themeColor="text1"/>
            <w:w w:val="110"/>
            <w:position w:val="8"/>
            <w:sz w:val="13"/>
          </w:rPr>
          <w:t>33</w:t>
        </w:r>
      </w:hyperlink>
      <w:r w:rsidRPr="00FD40B8">
        <w:rPr>
          <w:color w:val="131727" w:themeColor="text1"/>
          <w:spacing w:val="29"/>
          <w:w w:val="110"/>
          <w:position w:val="8"/>
          <w:sz w:val="13"/>
        </w:rPr>
        <w:t xml:space="preserve"> </w:t>
      </w:r>
      <w:r w:rsidRPr="00FD40B8">
        <w:rPr>
          <w:color w:val="131727" w:themeColor="text1"/>
          <w:w w:val="110"/>
        </w:rPr>
        <w:t>— of which3,248 houses (around 18%) are required to house people experiencing homelessness</w:t>
      </w:r>
      <w:hyperlink w:anchor="_bookmark42" w:history="1">
        <w:r w:rsidRPr="00FD40B8">
          <w:rPr>
            <w:color w:val="131727" w:themeColor="text1"/>
            <w:w w:val="110"/>
            <w:position w:val="8"/>
            <w:sz w:val="13"/>
          </w:rPr>
          <w:t>34</w:t>
        </w:r>
      </w:hyperlink>
      <w:r w:rsidRPr="00FD40B8">
        <w:rPr>
          <w:color w:val="131727" w:themeColor="text1"/>
          <w:spacing w:val="22"/>
          <w:w w:val="110"/>
          <w:position w:val="8"/>
          <w:sz w:val="13"/>
        </w:rPr>
        <w:t xml:space="preserve"> </w:t>
      </w:r>
      <w:r w:rsidRPr="00FD40B8">
        <w:rPr>
          <w:color w:val="131727" w:themeColor="text1"/>
          <w:w w:val="110"/>
        </w:rPr>
        <w:t>and 15,094 houses (around 82%) are required to house those living in</w:t>
      </w:r>
      <w:r w:rsidRPr="00FD40B8">
        <w:rPr>
          <w:color w:val="131727" w:themeColor="text1"/>
          <w:spacing w:val="-1"/>
          <w:w w:val="110"/>
        </w:rPr>
        <w:t xml:space="preserve"> </w:t>
      </w:r>
      <w:r w:rsidRPr="00FD40B8">
        <w:rPr>
          <w:color w:val="131727" w:themeColor="text1"/>
          <w:w w:val="110"/>
        </w:rPr>
        <w:t>overcrowded dwellings (see Figure 1)</w:t>
      </w:r>
      <w:hyperlink w:anchor="_bookmark43" w:history="1">
        <w:r w:rsidRPr="00FD40B8">
          <w:rPr>
            <w:color w:val="131727" w:themeColor="text1"/>
            <w:w w:val="110"/>
          </w:rPr>
          <w:t>.</w:t>
        </w:r>
        <w:r w:rsidRPr="00FD40B8">
          <w:rPr>
            <w:color w:val="131727" w:themeColor="text1"/>
            <w:w w:val="110"/>
            <w:position w:val="8"/>
            <w:sz w:val="13"/>
          </w:rPr>
          <w:t>35</w:t>
        </w:r>
      </w:hyperlink>
      <w:r w:rsidRPr="00FD40B8">
        <w:rPr>
          <w:color w:val="131727" w:themeColor="text1"/>
          <w:spacing w:val="72"/>
          <w:w w:val="110"/>
          <w:position w:val="8"/>
          <w:sz w:val="13"/>
        </w:rPr>
        <w:t xml:space="preserve"> </w:t>
      </w:r>
      <w:r w:rsidRPr="00FD40B8">
        <w:rPr>
          <w:color w:val="131727" w:themeColor="text1"/>
          <w:w w:val="110"/>
        </w:rPr>
        <w:t>Of these, 5,261 are needed in remote and very remote areas. The most common</w:t>
      </w:r>
      <w:r w:rsidRPr="00FD40B8">
        <w:rPr>
          <w:color w:val="131727" w:themeColor="text1"/>
          <w:spacing w:val="19"/>
          <w:w w:val="110"/>
        </w:rPr>
        <w:t xml:space="preserve"> </w:t>
      </w:r>
      <w:r w:rsidRPr="00FD40B8">
        <w:rPr>
          <w:color w:val="131727" w:themeColor="text1"/>
          <w:w w:val="110"/>
        </w:rPr>
        <w:t>housing types needed are three-bedroom homes</w:t>
      </w:r>
      <w:r w:rsidRPr="00FD40B8">
        <w:rPr>
          <w:color w:val="131727" w:themeColor="text1"/>
          <w:spacing w:val="17"/>
          <w:w w:val="110"/>
        </w:rPr>
        <w:t xml:space="preserve"> </w:t>
      </w:r>
      <w:r w:rsidRPr="00FD40B8">
        <w:rPr>
          <w:color w:val="131727" w:themeColor="text1"/>
          <w:w w:val="110"/>
        </w:rPr>
        <w:t>(53% of total), four-bedroom</w:t>
      </w:r>
      <w:r w:rsidRPr="00FD40B8">
        <w:rPr>
          <w:color w:val="131727" w:themeColor="text1"/>
          <w:spacing w:val="40"/>
          <w:w w:val="110"/>
        </w:rPr>
        <w:t xml:space="preserve"> </w:t>
      </w:r>
      <w:r w:rsidRPr="00FD40B8">
        <w:rPr>
          <w:color w:val="131727" w:themeColor="text1"/>
          <w:w w:val="110"/>
        </w:rPr>
        <w:t>homes (22%) and two-bedroom homes (18%). the remainder of homes required are five-bedroom</w:t>
      </w:r>
      <w:r w:rsidRPr="00FD40B8">
        <w:rPr>
          <w:color w:val="131727" w:themeColor="text1"/>
          <w:spacing w:val="80"/>
          <w:w w:val="110"/>
        </w:rPr>
        <w:t xml:space="preserve"> </w:t>
      </w:r>
      <w:r w:rsidRPr="00FD40B8">
        <w:rPr>
          <w:color w:val="131727" w:themeColor="text1"/>
          <w:w w:val="110"/>
        </w:rPr>
        <w:t>homes (4%) and one-bedroom homes (3%). A further, also conservative, estimate is that 69,500 existing houses are likely to need either substantial repair or replacement due to significant structural problems or a lack of basic facilities.</w:t>
      </w:r>
    </w:p>
    <w:p w14:paraId="6D06AEAD" w14:textId="77777777" w:rsidR="00811887" w:rsidRPr="00FD40B8" w:rsidRDefault="00811887" w:rsidP="00811887">
      <w:pPr>
        <w:pStyle w:val="BodyText"/>
        <w:rPr>
          <w:color w:val="131727" w:themeColor="text1"/>
        </w:rPr>
      </w:pPr>
    </w:p>
    <w:p w14:paraId="34682393" w14:textId="77777777" w:rsidR="00811887" w:rsidRPr="00FD40B8" w:rsidRDefault="00811887" w:rsidP="00811887">
      <w:pPr>
        <w:pStyle w:val="BodyText"/>
        <w:spacing w:before="96"/>
        <w:rPr>
          <w:color w:val="131727" w:themeColor="text1"/>
        </w:rPr>
      </w:pPr>
    </w:p>
    <w:p w14:paraId="1A299AA4" w14:textId="77777777" w:rsidR="00811887" w:rsidRDefault="00811887" w:rsidP="00811887">
      <w:pPr>
        <w:spacing w:before="1"/>
        <w:ind w:left="508"/>
        <w:rPr>
          <w:rFonts w:ascii="Book Antiqua"/>
          <w:b/>
          <w:color w:val="131727" w:themeColor="text1"/>
          <w:spacing w:val="-4"/>
          <w:sz w:val="21"/>
        </w:rPr>
      </w:pPr>
      <w:r w:rsidRPr="00FD40B8">
        <w:rPr>
          <w:rFonts w:ascii="Book Antiqua"/>
          <w:b/>
          <w:color w:val="131727" w:themeColor="text1"/>
          <w:sz w:val="21"/>
        </w:rPr>
        <w:t>Figure</w:t>
      </w:r>
      <w:r w:rsidRPr="00FD40B8">
        <w:rPr>
          <w:rFonts w:ascii="Book Antiqua"/>
          <w:b/>
          <w:color w:val="131727" w:themeColor="text1"/>
          <w:spacing w:val="-6"/>
          <w:sz w:val="21"/>
        </w:rPr>
        <w:t xml:space="preserve"> </w:t>
      </w:r>
      <w:r w:rsidRPr="00FD40B8">
        <w:rPr>
          <w:rFonts w:ascii="Book Antiqua"/>
          <w:b/>
          <w:color w:val="131727" w:themeColor="text1"/>
          <w:sz w:val="21"/>
        </w:rPr>
        <w:t>1.</w:t>
      </w:r>
      <w:r w:rsidRPr="00FD40B8">
        <w:rPr>
          <w:rFonts w:ascii="Book Antiqua"/>
          <w:b/>
          <w:color w:val="131727" w:themeColor="text1"/>
          <w:spacing w:val="-9"/>
          <w:sz w:val="21"/>
        </w:rPr>
        <w:t xml:space="preserve"> </w:t>
      </w:r>
      <w:r w:rsidRPr="00FD40B8">
        <w:rPr>
          <w:rFonts w:ascii="Book Antiqua"/>
          <w:b/>
          <w:color w:val="131727" w:themeColor="text1"/>
          <w:sz w:val="21"/>
        </w:rPr>
        <w:t>Estimated</w:t>
      </w:r>
      <w:r w:rsidRPr="00FD40B8">
        <w:rPr>
          <w:rFonts w:ascii="Book Antiqua"/>
          <w:b/>
          <w:color w:val="131727" w:themeColor="text1"/>
          <w:spacing w:val="-7"/>
          <w:sz w:val="21"/>
        </w:rPr>
        <w:t xml:space="preserve"> </w:t>
      </w:r>
      <w:r w:rsidRPr="00FD40B8">
        <w:rPr>
          <w:rFonts w:ascii="Book Antiqua"/>
          <w:b/>
          <w:color w:val="131727" w:themeColor="text1"/>
          <w:sz w:val="21"/>
        </w:rPr>
        <w:t>national</w:t>
      </w:r>
      <w:r w:rsidRPr="00FD40B8">
        <w:rPr>
          <w:rFonts w:ascii="Book Antiqua"/>
          <w:b/>
          <w:color w:val="131727" w:themeColor="text1"/>
          <w:spacing w:val="-4"/>
          <w:sz w:val="21"/>
        </w:rPr>
        <w:t xml:space="preserve"> </w:t>
      </w:r>
      <w:r w:rsidRPr="00FD40B8">
        <w:rPr>
          <w:rFonts w:ascii="Book Antiqua"/>
          <w:b/>
          <w:color w:val="131727" w:themeColor="text1"/>
          <w:sz w:val="21"/>
        </w:rPr>
        <w:t>Aboriginal</w:t>
      </w:r>
      <w:r w:rsidRPr="00FD40B8">
        <w:rPr>
          <w:rFonts w:ascii="Book Antiqua"/>
          <w:b/>
          <w:color w:val="131727" w:themeColor="text1"/>
          <w:spacing w:val="-8"/>
          <w:sz w:val="21"/>
        </w:rPr>
        <w:t xml:space="preserve"> </w:t>
      </w:r>
      <w:r w:rsidRPr="00FD40B8">
        <w:rPr>
          <w:rFonts w:ascii="Book Antiqua"/>
          <w:b/>
          <w:color w:val="131727" w:themeColor="text1"/>
          <w:sz w:val="21"/>
        </w:rPr>
        <w:t>and</w:t>
      </w:r>
      <w:r w:rsidRPr="00FD40B8">
        <w:rPr>
          <w:rFonts w:ascii="Book Antiqua"/>
          <w:b/>
          <w:color w:val="131727" w:themeColor="text1"/>
          <w:spacing w:val="-4"/>
          <w:sz w:val="21"/>
        </w:rPr>
        <w:t xml:space="preserve"> </w:t>
      </w:r>
      <w:r w:rsidRPr="00FD40B8">
        <w:rPr>
          <w:rFonts w:ascii="Book Antiqua"/>
          <w:b/>
          <w:color w:val="131727" w:themeColor="text1"/>
          <w:sz w:val="21"/>
        </w:rPr>
        <w:t>Torres</w:t>
      </w:r>
      <w:r w:rsidRPr="00FD40B8">
        <w:rPr>
          <w:rFonts w:ascii="Book Antiqua"/>
          <w:b/>
          <w:color w:val="131727" w:themeColor="text1"/>
          <w:spacing w:val="-8"/>
          <w:sz w:val="21"/>
        </w:rPr>
        <w:t xml:space="preserve"> </w:t>
      </w:r>
      <w:r w:rsidRPr="00FD40B8">
        <w:rPr>
          <w:rFonts w:ascii="Book Antiqua"/>
          <w:b/>
          <w:color w:val="131727" w:themeColor="text1"/>
          <w:sz w:val="21"/>
        </w:rPr>
        <w:t>Strait</w:t>
      </w:r>
      <w:r w:rsidRPr="00FD40B8">
        <w:rPr>
          <w:rFonts w:ascii="Book Antiqua"/>
          <w:b/>
          <w:color w:val="131727" w:themeColor="text1"/>
          <w:spacing w:val="-4"/>
          <w:sz w:val="21"/>
        </w:rPr>
        <w:t xml:space="preserve"> </w:t>
      </w:r>
      <w:r w:rsidRPr="00FD40B8">
        <w:rPr>
          <w:rFonts w:ascii="Book Antiqua"/>
          <w:b/>
          <w:color w:val="131727" w:themeColor="text1"/>
          <w:sz w:val="21"/>
        </w:rPr>
        <w:t>Islander</w:t>
      </w:r>
      <w:r w:rsidRPr="00FD40B8">
        <w:rPr>
          <w:rFonts w:ascii="Book Antiqua"/>
          <w:b/>
          <w:color w:val="131727" w:themeColor="text1"/>
          <w:spacing w:val="-5"/>
          <w:sz w:val="21"/>
        </w:rPr>
        <w:t xml:space="preserve"> </w:t>
      </w:r>
      <w:r w:rsidRPr="00FD40B8">
        <w:rPr>
          <w:rFonts w:ascii="Book Antiqua"/>
          <w:b/>
          <w:color w:val="131727" w:themeColor="text1"/>
          <w:sz w:val="21"/>
        </w:rPr>
        <w:t>housing</w:t>
      </w:r>
      <w:r w:rsidRPr="00FD40B8">
        <w:rPr>
          <w:rFonts w:ascii="Book Antiqua"/>
          <w:b/>
          <w:color w:val="131727" w:themeColor="text1"/>
          <w:spacing w:val="-3"/>
          <w:sz w:val="21"/>
        </w:rPr>
        <w:t xml:space="preserve"> </w:t>
      </w:r>
      <w:r w:rsidRPr="00FD40B8">
        <w:rPr>
          <w:rFonts w:ascii="Book Antiqua"/>
          <w:b/>
          <w:color w:val="131727" w:themeColor="text1"/>
          <w:spacing w:val="-4"/>
          <w:sz w:val="21"/>
        </w:rPr>
        <w:t>need</w:t>
      </w:r>
    </w:p>
    <w:p w14:paraId="491E500E" w14:textId="77777777" w:rsidR="00811887" w:rsidRPr="00FD40B8" w:rsidRDefault="00811887" w:rsidP="00811887">
      <w:pPr>
        <w:spacing w:before="1"/>
        <w:ind w:left="508"/>
        <w:rPr>
          <w:rFonts w:ascii="Book Antiqua"/>
          <w:b/>
          <w:color w:val="131727" w:themeColor="text1"/>
        </w:rPr>
      </w:pPr>
      <w:r w:rsidRPr="00BE1BA1">
        <w:rPr>
          <w:noProof/>
        </w:rPr>
        <w:drawing>
          <wp:inline distT="0" distB="0" distL="0" distR="0" wp14:anchorId="0C231F2C" wp14:editId="3A6F98BA">
            <wp:extent cx="6038850" cy="2114550"/>
            <wp:effectExtent l="0" t="0" r="0" b="0"/>
            <wp:docPr id="552420819" name="Picture 1" descr="3,248 houses needed to house the homeless&#10;15,094 houses needed to reduce overcrowding&#10;up to 69,500 houses that need significant repairs or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20819" name="Picture 1" descr="3,248 houses needed to house the homeless&#10;15,094 houses needed to reduce overcrowding&#10;up to 69,500 houses that need significant repairs or replacem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38850" cy="2114550"/>
                    </a:xfrm>
                    <a:prstGeom prst="rect">
                      <a:avLst/>
                    </a:prstGeom>
                    <a:noFill/>
                    <a:ln>
                      <a:noFill/>
                    </a:ln>
                  </pic:spPr>
                </pic:pic>
              </a:graphicData>
            </a:graphic>
          </wp:inline>
        </w:drawing>
      </w:r>
    </w:p>
    <w:p w14:paraId="2AF2180E" w14:textId="77777777" w:rsidR="00811887" w:rsidRPr="00FD40B8" w:rsidRDefault="00811887" w:rsidP="00811887">
      <w:pPr>
        <w:spacing w:before="211"/>
        <w:ind w:left="508"/>
        <w:rPr>
          <w:rFonts w:ascii="Book Antiqua"/>
          <w:color w:val="131727" w:themeColor="text1"/>
          <w:sz w:val="18"/>
        </w:rPr>
      </w:pPr>
      <w:r w:rsidRPr="00FD40B8">
        <w:rPr>
          <w:rFonts w:ascii="Book Antiqua"/>
          <w:color w:val="131727" w:themeColor="text1"/>
          <w:sz w:val="18"/>
        </w:rPr>
        <w:t>Source:</w:t>
      </w:r>
      <w:r w:rsidRPr="00FD40B8">
        <w:rPr>
          <w:rFonts w:ascii="Book Antiqua"/>
          <w:color w:val="131727" w:themeColor="text1"/>
          <w:spacing w:val="-4"/>
          <w:sz w:val="18"/>
        </w:rPr>
        <w:t xml:space="preserve"> </w:t>
      </w:r>
      <w:r w:rsidRPr="00FD40B8">
        <w:rPr>
          <w:rFonts w:ascii="Book Antiqua"/>
          <w:color w:val="131727" w:themeColor="text1"/>
          <w:sz w:val="18"/>
        </w:rPr>
        <w:t>Equity</w:t>
      </w:r>
      <w:r w:rsidRPr="00FD40B8">
        <w:rPr>
          <w:rFonts w:ascii="Book Antiqua"/>
          <w:color w:val="131727" w:themeColor="text1"/>
          <w:spacing w:val="-1"/>
          <w:sz w:val="18"/>
        </w:rPr>
        <w:t xml:space="preserve"> </w:t>
      </w:r>
      <w:r w:rsidRPr="00FD40B8">
        <w:rPr>
          <w:rFonts w:ascii="Book Antiqua"/>
          <w:color w:val="131727" w:themeColor="text1"/>
          <w:sz w:val="18"/>
        </w:rPr>
        <w:t>Economics</w:t>
      </w:r>
      <w:r w:rsidRPr="00FD40B8">
        <w:rPr>
          <w:rFonts w:ascii="Book Antiqua"/>
          <w:color w:val="131727" w:themeColor="text1"/>
          <w:spacing w:val="-4"/>
          <w:sz w:val="18"/>
        </w:rPr>
        <w:t xml:space="preserve"> </w:t>
      </w:r>
      <w:r w:rsidRPr="00FD40B8">
        <w:rPr>
          <w:rFonts w:ascii="Book Antiqua"/>
          <w:color w:val="131727" w:themeColor="text1"/>
          <w:sz w:val="18"/>
        </w:rPr>
        <w:t>calculations</w:t>
      </w:r>
      <w:r w:rsidRPr="00FD40B8">
        <w:rPr>
          <w:rFonts w:ascii="Book Antiqua"/>
          <w:color w:val="131727" w:themeColor="text1"/>
          <w:spacing w:val="-11"/>
          <w:sz w:val="18"/>
        </w:rPr>
        <w:t xml:space="preserve"> </w:t>
      </w:r>
      <w:r w:rsidRPr="00FD40B8">
        <w:rPr>
          <w:rFonts w:ascii="Book Antiqua"/>
          <w:color w:val="131727" w:themeColor="text1"/>
          <w:sz w:val="18"/>
        </w:rPr>
        <w:t>from</w:t>
      </w:r>
      <w:r w:rsidRPr="00FD40B8">
        <w:rPr>
          <w:rFonts w:ascii="Book Antiqua"/>
          <w:color w:val="131727" w:themeColor="text1"/>
          <w:spacing w:val="-8"/>
          <w:sz w:val="18"/>
        </w:rPr>
        <w:t xml:space="preserve"> </w:t>
      </w:r>
      <w:r w:rsidRPr="00FD40B8">
        <w:rPr>
          <w:rFonts w:ascii="Book Antiqua"/>
          <w:color w:val="131727" w:themeColor="text1"/>
          <w:sz w:val="18"/>
        </w:rPr>
        <w:t>ABS</w:t>
      </w:r>
      <w:r w:rsidRPr="00FD40B8">
        <w:rPr>
          <w:rFonts w:ascii="Book Antiqua"/>
          <w:color w:val="131727" w:themeColor="text1"/>
          <w:spacing w:val="-5"/>
          <w:sz w:val="18"/>
        </w:rPr>
        <w:t xml:space="preserve"> </w:t>
      </w:r>
      <w:r w:rsidRPr="00FD40B8">
        <w:rPr>
          <w:rFonts w:ascii="Book Antiqua"/>
          <w:color w:val="131727" w:themeColor="text1"/>
          <w:sz w:val="18"/>
        </w:rPr>
        <w:t>2021.</w:t>
      </w:r>
      <w:r w:rsidRPr="00FD40B8">
        <w:rPr>
          <w:rFonts w:ascii="Book Antiqua"/>
          <w:color w:val="131727" w:themeColor="text1"/>
          <w:spacing w:val="-3"/>
          <w:sz w:val="18"/>
        </w:rPr>
        <w:t xml:space="preserve"> </w:t>
      </w:r>
      <w:r w:rsidRPr="00FD40B8">
        <w:rPr>
          <w:rFonts w:ascii="Book Antiqua"/>
          <w:color w:val="131727" w:themeColor="text1"/>
          <w:sz w:val="18"/>
        </w:rPr>
        <w:t>Estimating</w:t>
      </w:r>
      <w:r w:rsidRPr="00FD40B8">
        <w:rPr>
          <w:rFonts w:ascii="Book Antiqua"/>
          <w:color w:val="131727" w:themeColor="text1"/>
          <w:spacing w:val="-7"/>
          <w:sz w:val="18"/>
        </w:rPr>
        <w:t xml:space="preserve"> </w:t>
      </w:r>
      <w:r w:rsidRPr="00FD40B8">
        <w:rPr>
          <w:rFonts w:ascii="Book Antiqua"/>
          <w:color w:val="131727" w:themeColor="text1"/>
          <w:sz w:val="18"/>
        </w:rPr>
        <w:t>Homelessness.</w:t>
      </w:r>
      <w:r w:rsidRPr="00FD40B8">
        <w:rPr>
          <w:rFonts w:ascii="Book Antiqua"/>
          <w:color w:val="131727" w:themeColor="text1"/>
          <w:spacing w:val="-3"/>
          <w:sz w:val="18"/>
        </w:rPr>
        <w:t xml:space="preserve"> </w:t>
      </w:r>
      <w:r w:rsidRPr="00FD40B8">
        <w:rPr>
          <w:rFonts w:ascii="Book Antiqua"/>
          <w:color w:val="131727" w:themeColor="text1"/>
          <w:sz w:val="18"/>
        </w:rPr>
        <w:t>[Census</w:t>
      </w:r>
      <w:r w:rsidRPr="00FD40B8">
        <w:rPr>
          <w:rFonts w:ascii="Book Antiqua"/>
          <w:color w:val="131727" w:themeColor="text1"/>
          <w:spacing w:val="-6"/>
          <w:sz w:val="18"/>
        </w:rPr>
        <w:t xml:space="preserve"> </w:t>
      </w:r>
      <w:r w:rsidRPr="00FD40B8">
        <w:rPr>
          <w:rFonts w:ascii="Book Antiqua"/>
          <w:color w:val="131727" w:themeColor="text1"/>
          <w:spacing w:val="-2"/>
          <w:sz w:val="18"/>
        </w:rPr>
        <w:t>TableBuilder].</w:t>
      </w:r>
    </w:p>
    <w:p w14:paraId="2491AB4D" w14:textId="77777777" w:rsidR="00811887" w:rsidRPr="00FD40B8" w:rsidRDefault="00811887" w:rsidP="00811887">
      <w:pPr>
        <w:pStyle w:val="BodyText"/>
        <w:rPr>
          <w:rFonts w:ascii="Book Antiqua"/>
          <w:color w:val="131727" w:themeColor="text1"/>
        </w:rPr>
      </w:pPr>
    </w:p>
    <w:p w14:paraId="03657720" w14:textId="77777777" w:rsidR="00811887" w:rsidRPr="00FD40B8" w:rsidRDefault="00811887" w:rsidP="00811887">
      <w:pPr>
        <w:pStyle w:val="BodyText"/>
        <w:rPr>
          <w:rFonts w:ascii="Book Antiqua"/>
          <w:color w:val="131727" w:themeColor="text1"/>
        </w:rPr>
      </w:pPr>
    </w:p>
    <w:p w14:paraId="6697CB68" w14:textId="77777777" w:rsidR="00811887" w:rsidRPr="00FD40B8" w:rsidRDefault="00811887" w:rsidP="00811887">
      <w:pPr>
        <w:pStyle w:val="BodyText"/>
        <w:rPr>
          <w:rFonts w:ascii="Book Antiqua"/>
          <w:color w:val="131727" w:themeColor="text1"/>
        </w:rPr>
      </w:pPr>
    </w:p>
    <w:p w14:paraId="68634B3E" w14:textId="77777777" w:rsidR="00811887" w:rsidRPr="00FD40B8" w:rsidRDefault="00811887" w:rsidP="00811887">
      <w:pPr>
        <w:pStyle w:val="BodyText"/>
        <w:rPr>
          <w:rFonts w:ascii="Book Antiqua"/>
          <w:color w:val="131727" w:themeColor="text1"/>
        </w:rPr>
      </w:pPr>
    </w:p>
    <w:p w14:paraId="444A6A08" w14:textId="77777777" w:rsidR="00811887" w:rsidRPr="00FD40B8" w:rsidRDefault="00811887" w:rsidP="00811887">
      <w:pPr>
        <w:pStyle w:val="BodyText"/>
        <w:rPr>
          <w:rFonts w:ascii="Book Antiqua"/>
          <w:color w:val="131727" w:themeColor="text1"/>
        </w:rPr>
      </w:pPr>
    </w:p>
    <w:p w14:paraId="75D28CF2" w14:textId="77777777" w:rsidR="00811887" w:rsidRPr="00FD40B8" w:rsidRDefault="00811887" w:rsidP="00811887">
      <w:pPr>
        <w:pStyle w:val="BodyText"/>
        <w:rPr>
          <w:rFonts w:ascii="Book Antiqua"/>
          <w:color w:val="131727" w:themeColor="text1"/>
        </w:rPr>
      </w:pPr>
    </w:p>
    <w:p w14:paraId="29760A2A" w14:textId="77777777" w:rsidR="00811887" w:rsidRPr="00FD40B8" w:rsidRDefault="00811887" w:rsidP="00811887">
      <w:pPr>
        <w:pStyle w:val="BodyText"/>
        <w:rPr>
          <w:rFonts w:ascii="Book Antiqua"/>
          <w:color w:val="131727" w:themeColor="text1"/>
        </w:rPr>
      </w:pPr>
    </w:p>
    <w:p w14:paraId="3070B69D" w14:textId="77777777" w:rsidR="00811887" w:rsidRPr="00FD40B8" w:rsidRDefault="00811887" w:rsidP="00811887">
      <w:pPr>
        <w:pStyle w:val="BodyText"/>
        <w:rPr>
          <w:rFonts w:ascii="Book Antiqua"/>
          <w:color w:val="131727" w:themeColor="text1"/>
        </w:rPr>
      </w:pPr>
    </w:p>
    <w:p w14:paraId="6F1A7834" w14:textId="77777777" w:rsidR="00811887" w:rsidRPr="00FD40B8" w:rsidRDefault="00811887" w:rsidP="00811887">
      <w:pPr>
        <w:pStyle w:val="BodyText"/>
        <w:rPr>
          <w:rFonts w:ascii="Book Antiqua"/>
          <w:color w:val="131727" w:themeColor="text1"/>
        </w:rPr>
      </w:pPr>
    </w:p>
    <w:p w14:paraId="6582548E" w14:textId="77777777" w:rsidR="00811887" w:rsidRPr="00FD40B8" w:rsidRDefault="00811887" w:rsidP="00811887">
      <w:pPr>
        <w:pStyle w:val="BodyText"/>
        <w:rPr>
          <w:rFonts w:ascii="Book Antiqua"/>
          <w:color w:val="131727" w:themeColor="text1"/>
        </w:rPr>
      </w:pPr>
    </w:p>
    <w:p w14:paraId="53F2BA8E" w14:textId="77777777" w:rsidR="00811887" w:rsidRPr="00FD40B8" w:rsidRDefault="00811887" w:rsidP="00811887">
      <w:pPr>
        <w:pStyle w:val="BodyText"/>
        <w:rPr>
          <w:rFonts w:ascii="Book Antiqua"/>
          <w:color w:val="131727" w:themeColor="text1"/>
        </w:rPr>
      </w:pPr>
    </w:p>
    <w:p w14:paraId="21EBB3CD" w14:textId="77777777" w:rsidR="00811887" w:rsidRPr="00FD40B8" w:rsidRDefault="00811887" w:rsidP="00811887">
      <w:pPr>
        <w:pStyle w:val="BodyText"/>
        <w:rPr>
          <w:rFonts w:ascii="Book Antiqua"/>
          <w:color w:val="131727" w:themeColor="text1"/>
        </w:rPr>
      </w:pPr>
    </w:p>
    <w:p w14:paraId="6A5D8D9F" w14:textId="77777777" w:rsidR="00811887" w:rsidRPr="00FD40B8" w:rsidRDefault="00811887" w:rsidP="00811887">
      <w:pPr>
        <w:pStyle w:val="BodyText"/>
        <w:rPr>
          <w:rFonts w:ascii="Book Antiqua"/>
          <w:color w:val="131727" w:themeColor="text1"/>
        </w:rPr>
      </w:pPr>
    </w:p>
    <w:p w14:paraId="220EF7E9" w14:textId="77777777" w:rsidR="00811887" w:rsidRPr="00FD40B8" w:rsidRDefault="00811887" w:rsidP="00811887">
      <w:pPr>
        <w:pStyle w:val="BodyText"/>
        <w:rPr>
          <w:rFonts w:ascii="Book Antiqua"/>
          <w:color w:val="131727" w:themeColor="text1"/>
        </w:rPr>
      </w:pPr>
    </w:p>
    <w:p w14:paraId="334975BE" w14:textId="77777777" w:rsidR="00811887" w:rsidRPr="00FD40B8" w:rsidRDefault="00811887" w:rsidP="00811887">
      <w:pPr>
        <w:pStyle w:val="BodyText"/>
        <w:rPr>
          <w:rFonts w:ascii="Book Antiqua"/>
          <w:color w:val="131727" w:themeColor="text1"/>
        </w:rPr>
      </w:pPr>
    </w:p>
    <w:p w14:paraId="2436DA88" w14:textId="77777777" w:rsidR="00811887" w:rsidRPr="00FD40B8" w:rsidRDefault="00811887" w:rsidP="00811887">
      <w:pPr>
        <w:pStyle w:val="BodyText"/>
        <w:spacing w:before="152"/>
        <w:rPr>
          <w:rFonts w:ascii="Book Antiqua"/>
          <w:color w:val="131727" w:themeColor="text1"/>
        </w:rPr>
      </w:pPr>
      <w:r w:rsidRPr="00FD40B8">
        <w:rPr>
          <w:noProof/>
          <w:color w:val="131727" w:themeColor="text1"/>
        </w:rPr>
        <mc:AlternateContent>
          <mc:Choice Requires="wps">
            <w:drawing>
              <wp:anchor distT="0" distB="0" distL="0" distR="0" simplePos="0" relativeHeight="251741184" behindDoc="1" locked="0" layoutInCell="1" allowOverlap="1" wp14:anchorId="6642E4D2" wp14:editId="2F51308B">
                <wp:simplePos x="0" y="0"/>
                <wp:positionH relativeFrom="page">
                  <wp:posOffset>792784</wp:posOffset>
                </wp:positionH>
                <wp:positionV relativeFrom="paragraph">
                  <wp:posOffset>270014</wp:posOffset>
                </wp:positionV>
                <wp:extent cx="1830070" cy="6350"/>
                <wp:effectExtent l="0" t="0" r="0" b="0"/>
                <wp:wrapTopAndBottom/>
                <wp:docPr id="144" name="Graphic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F0CD6" id="Graphic 144" o:spid="_x0000_s1026" alt="&quot;&quot;" style="position:absolute;margin-left:62.4pt;margin-top:21.25pt;width:144.1pt;height:.5pt;z-index:-25157529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" path="m1829689,l,,,6096r1829689,l1829689,xe" fillcolor="black" stroked="f">
                <v:path arrowok="t"/>
                <w10:wrap type="topAndBottom" anchorx="page"/>
              </v:shape>
            </w:pict>
          </mc:Fallback>
        </mc:AlternateContent>
      </w:r>
    </w:p>
    <w:p w14:paraId="676A6B72" w14:textId="77777777" w:rsidR="00811887" w:rsidRPr="00FD40B8" w:rsidRDefault="00811887" w:rsidP="00811887">
      <w:pPr>
        <w:spacing w:before="123" w:line="266" w:lineRule="auto"/>
        <w:ind w:left="508" w:right="598"/>
        <w:rPr>
          <w:color w:val="131727" w:themeColor="text1"/>
          <w:sz w:val="16"/>
        </w:rPr>
      </w:pPr>
      <w:bookmarkStart w:id="152" w:name="_bookmark41"/>
      <w:bookmarkEnd w:id="152"/>
      <w:r w:rsidRPr="00FD40B8">
        <w:rPr>
          <w:color w:val="131727" w:themeColor="text1"/>
          <w:w w:val="110"/>
          <w:position w:val="6"/>
          <w:sz w:val="10"/>
        </w:rPr>
        <w:t>33</w:t>
      </w:r>
      <w:r w:rsidRPr="00FD40B8">
        <w:rPr>
          <w:color w:val="131727" w:themeColor="text1"/>
          <w:spacing w:val="12"/>
          <w:w w:val="110"/>
          <w:position w:val="6"/>
          <w:sz w:val="10"/>
        </w:rPr>
        <w:t xml:space="preserve"> </w:t>
      </w:r>
      <w:r w:rsidRPr="00FD40B8">
        <w:rPr>
          <w:color w:val="131727" w:themeColor="text1"/>
          <w:w w:val="110"/>
          <w:sz w:val="16"/>
        </w:rPr>
        <w:t>Note,</w:t>
      </w:r>
      <w:r w:rsidRPr="00FD40B8">
        <w:rPr>
          <w:color w:val="131727" w:themeColor="text1"/>
          <w:spacing w:val="-3"/>
          <w:w w:val="110"/>
          <w:sz w:val="16"/>
        </w:rPr>
        <w:t xml:space="preserve"> </w:t>
      </w:r>
      <w:r w:rsidRPr="00FD40B8">
        <w:rPr>
          <w:color w:val="131727" w:themeColor="text1"/>
          <w:w w:val="110"/>
          <w:sz w:val="16"/>
        </w:rPr>
        <w:t>the</w:t>
      </w:r>
      <w:r w:rsidRPr="00FD40B8">
        <w:rPr>
          <w:color w:val="131727" w:themeColor="text1"/>
          <w:spacing w:val="-3"/>
          <w:w w:val="110"/>
          <w:sz w:val="16"/>
        </w:rPr>
        <w:t xml:space="preserve"> </w:t>
      </w:r>
      <w:r w:rsidRPr="00FD40B8">
        <w:rPr>
          <w:color w:val="131727" w:themeColor="text1"/>
          <w:w w:val="110"/>
          <w:sz w:val="16"/>
        </w:rPr>
        <w:t>number</w:t>
      </w:r>
      <w:r w:rsidRPr="00FD40B8">
        <w:rPr>
          <w:color w:val="131727" w:themeColor="text1"/>
          <w:spacing w:val="-2"/>
          <w:w w:val="110"/>
          <w:sz w:val="16"/>
        </w:rPr>
        <w:t xml:space="preserve"> </w:t>
      </w:r>
      <w:r w:rsidRPr="00FD40B8">
        <w:rPr>
          <w:color w:val="131727" w:themeColor="text1"/>
          <w:w w:val="110"/>
          <w:sz w:val="16"/>
        </w:rPr>
        <w:t>has</w:t>
      </w:r>
      <w:r w:rsidRPr="00FD40B8">
        <w:rPr>
          <w:color w:val="131727" w:themeColor="text1"/>
          <w:spacing w:val="-4"/>
          <w:w w:val="110"/>
          <w:sz w:val="16"/>
        </w:rPr>
        <w:t xml:space="preserve"> </w:t>
      </w:r>
      <w:r w:rsidRPr="00FD40B8">
        <w:rPr>
          <w:color w:val="131727" w:themeColor="text1"/>
          <w:w w:val="110"/>
          <w:sz w:val="16"/>
        </w:rPr>
        <w:t>changed</w:t>
      </w:r>
      <w:r w:rsidRPr="00FD40B8">
        <w:rPr>
          <w:color w:val="131727" w:themeColor="text1"/>
          <w:spacing w:val="-1"/>
          <w:w w:val="110"/>
          <w:sz w:val="16"/>
        </w:rPr>
        <w:t xml:space="preserve"> </w:t>
      </w:r>
      <w:r w:rsidRPr="00FD40B8">
        <w:rPr>
          <w:color w:val="131727" w:themeColor="text1"/>
          <w:w w:val="110"/>
          <w:sz w:val="16"/>
        </w:rPr>
        <w:t>slightly</w:t>
      </w:r>
      <w:r w:rsidRPr="00FD40B8">
        <w:rPr>
          <w:color w:val="131727" w:themeColor="text1"/>
          <w:spacing w:val="-3"/>
          <w:w w:val="110"/>
          <w:sz w:val="16"/>
        </w:rPr>
        <w:t xml:space="preserve"> </w:t>
      </w:r>
      <w:r w:rsidRPr="00FD40B8">
        <w:rPr>
          <w:color w:val="131727" w:themeColor="text1"/>
          <w:w w:val="110"/>
          <w:sz w:val="16"/>
        </w:rPr>
        <w:t>since</w:t>
      </w:r>
      <w:r w:rsidRPr="00FD40B8">
        <w:rPr>
          <w:color w:val="131727" w:themeColor="text1"/>
          <w:spacing w:val="-3"/>
          <w:w w:val="110"/>
          <w:sz w:val="16"/>
        </w:rPr>
        <w:t xml:space="preserve"> </w:t>
      </w:r>
      <w:r w:rsidRPr="00FD40B8">
        <w:rPr>
          <w:color w:val="131727" w:themeColor="text1"/>
          <w:w w:val="110"/>
          <w:sz w:val="16"/>
        </w:rPr>
        <w:t>the</w:t>
      </w:r>
      <w:r w:rsidRPr="00FD40B8">
        <w:rPr>
          <w:color w:val="131727" w:themeColor="text1"/>
          <w:spacing w:val="-3"/>
          <w:w w:val="110"/>
          <w:sz w:val="16"/>
        </w:rPr>
        <w:t xml:space="preserve"> </w:t>
      </w:r>
      <w:r w:rsidRPr="00FD40B8">
        <w:rPr>
          <w:color w:val="131727" w:themeColor="text1"/>
          <w:w w:val="110"/>
          <w:sz w:val="16"/>
        </w:rPr>
        <w:t>interim</w:t>
      </w:r>
      <w:r w:rsidRPr="00FD40B8">
        <w:rPr>
          <w:color w:val="131727" w:themeColor="text1"/>
          <w:spacing w:val="-3"/>
          <w:w w:val="110"/>
          <w:sz w:val="16"/>
        </w:rPr>
        <w:t xml:space="preserve"> </w:t>
      </w:r>
      <w:r w:rsidRPr="00FD40B8">
        <w:rPr>
          <w:color w:val="131727" w:themeColor="text1"/>
          <w:w w:val="110"/>
          <w:sz w:val="16"/>
        </w:rPr>
        <w:t>report</w:t>
      </w:r>
      <w:r w:rsidRPr="00FD40B8">
        <w:rPr>
          <w:color w:val="131727" w:themeColor="text1"/>
          <w:spacing w:val="-3"/>
          <w:w w:val="110"/>
          <w:sz w:val="16"/>
        </w:rPr>
        <w:t xml:space="preserve"> </w:t>
      </w:r>
      <w:r w:rsidRPr="00FD40B8">
        <w:rPr>
          <w:color w:val="131727" w:themeColor="text1"/>
          <w:w w:val="110"/>
          <w:sz w:val="16"/>
        </w:rPr>
        <w:t>due</w:t>
      </w:r>
      <w:r w:rsidRPr="00FD40B8">
        <w:rPr>
          <w:color w:val="131727" w:themeColor="text1"/>
          <w:spacing w:val="-3"/>
          <w:w w:val="110"/>
          <w:sz w:val="16"/>
        </w:rPr>
        <w:t xml:space="preserve"> </w:t>
      </w:r>
      <w:r w:rsidRPr="00FD40B8">
        <w:rPr>
          <w:color w:val="131727" w:themeColor="text1"/>
          <w:w w:val="110"/>
          <w:sz w:val="16"/>
        </w:rPr>
        <w:t>to an improvement</w:t>
      </w:r>
      <w:r w:rsidRPr="00FD40B8">
        <w:rPr>
          <w:color w:val="131727" w:themeColor="text1"/>
          <w:spacing w:val="-1"/>
          <w:w w:val="110"/>
          <w:sz w:val="16"/>
        </w:rPr>
        <w:t xml:space="preserve"> </w:t>
      </w:r>
      <w:r w:rsidRPr="00FD40B8">
        <w:rPr>
          <w:color w:val="131727" w:themeColor="text1"/>
          <w:w w:val="110"/>
          <w:sz w:val="16"/>
        </w:rPr>
        <w:t>in the</w:t>
      </w:r>
      <w:r w:rsidRPr="00FD40B8">
        <w:rPr>
          <w:color w:val="131727" w:themeColor="text1"/>
          <w:spacing w:val="-3"/>
          <w:w w:val="110"/>
          <w:sz w:val="16"/>
        </w:rPr>
        <w:t xml:space="preserve"> </w:t>
      </w:r>
      <w:r w:rsidRPr="00FD40B8">
        <w:rPr>
          <w:color w:val="131727" w:themeColor="text1"/>
          <w:w w:val="110"/>
          <w:sz w:val="16"/>
        </w:rPr>
        <w:t>approach of</w:t>
      </w:r>
      <w:r w:rsidRPr="00FD40B8">
        <w:rPr>
          <w:color w:val="131727" w:themeColor="text1"/>
          <w:spacing w:val="-2"/>
          <w:w w:val="110"/>
          <w:sz w:val="16"/>
        </w:rPr>
        <w:t xml:space="preserve"> </w:t>
      </w:r>
      <w:r w:rsidRPr="00FD40B8">
        <w:rPr>
          <w:color w:val="131727" w:themeColor="text1"/>
          <w:w w:val="110"/>
          <w:sz w:val="16"/>
        </w:rPr>
        <w:t>calculating</w:t>
      </w:r>
      <w:r w:rsidRPr="00FD40B8">
        <w:rPr>
          <w:color w:val="131727" w:themeColor="text1"/>
          <w:spacing w:val="-4"/>
          <w:w w:val="110"/>
          <w:sz w:val="16"/>
        </w:rPr>
        <w:t xml:space="preserve"> </w:t>
      </w:r>
      <w:r w:rsidRPr="00FD40B8">
        <w:rPr>
          <w:color w:val="131727" w:themeColor="text1"/>
          <w:w w:val="110"/>
          <w:sz w:val="16"/>
        </w:rPr>
        <w:t>total</w:t>
      </w:r>
      <w:r w:rsidRPr="00FD40B8">
        <w:rPr>
          <w:color w:val="131727" w:themeColor="text1"/>
          <w:spacing w:val="40"/>
          <w:w w:val="110"/>
          <w:sz w:val="16"/>
        </w:rPr>
        <w:t xml:space="preserve"> </w:t>
      </w:r>
      <w:r w:rsidRPr="00FD40B8">
        <w:rPr>
          <w:color w:val="131727" w:themeColor="text1"/>
          <w:w w:val="110"/>
          <w:sz w:val="16"/>
        </w:rPr>
        <w:t>number of houses (i.e. using national level data rather than the sum of rounded disaggregated data).</w:t>
      </w:r>
    </w:p>
    <w:p w14:paraId="78A8DEA9" w14:textId="77777777" w:rsidR="00811887" w:rsidRPr="00FD40B8" w:rsidRDefault="00811887" w:rsidP="00811887">
      <w:pPr>
        <w:spacing w:line="268" w:lineRule="auto"/>
        <w:ind w:left="508" w:right="532"/>
        <w:rPr>
          <w:color w:val="131727" w:themeColor="text1"/>
          <w:sz w:val="16"/>
        </w:rPr>
      </w:pPr>
      <w:bookmarkStart w:id="153" w:name="_bookmark42"/>
      <w:bookmarkEnd w:id="153"/>
      <w:r w:rsidRPr="00FD40B8">
        <w:rPr>
          <w:color w:val="131727" w:themeColor="text1"/>
          <w:w w:val="105"/>
          <w:sz w:val="16"/>
        </w:rPr>
        <w:t>34</w:t>
      </w:r>
      <w:r w:rsidRPr="00FD40B8">
        <w:rPr>
          <w:color w:val="131727" w:themeColor="text1"/>
          <w:spacing w:val="26"/>
          <w:w w:val="105"/>
          <w:sz w:val="16"/>
        </w:rPr>
        <w:t xml:space="preserve"> </w:t>
      </w:r>
      <w:r w:rsidRPr="00FD40B8">
        <w:rPr>
          <w:color w:val="131727" w:themeColor="text1"/>
          <w:w w:val="105"/>
          <w:sz w:val="16"/>
        </w:rPr>
        <w:t>As</w:t>
      </w:r>
      <w:r w:rsidRPr="00FD40B8">
        <w:rPr>
          <w:color w:val="131727" w:themeColor="text1"/>
          <w:spacing w:val="23"/>
          <w:w w:val="105"/>
          <w:sz w:val="16"/>
        </w:rPr>
        <w:t xml:space="preserve"> </w:t>
      </w:r>
      <w:r w:rsidRPr="00FD40B8">
        <w:rPr>
          <w:color w:val="131727" w:themeColor="text1"/>
          <w:w w:val="105"/>
          <w:sz w:val="16"/>
        </w:rPr>
        <w:t>noted</w:t>
      </w:r>
      <w:r w:rsidRPr="00FD40B8">
        <w:rPr>
          <w:color w:val="131727" w:themeColor="text1"/>
          <w:spacing w:val="28"/>
          <w:w w:val="105"/>
          <w:sz w:val="16"/>
        </w:rPr>
        <w:t xml:space="preserve"> </w:t>
      </w:r>
      <w:r w:rsidRPr="00FD40B8">
        <w:rPr>
          <w:color w:val="131727" w:themeColor="text1"/>
          <w:w w:val="105"/>
          <w:sz w:val="16"/>
        </w:rPr>
        <w:t>in</w:t>
      </w:r>
      <w:r w:rsidRPr="00FD40B8">
        <w:rPr>
          <w:color w:val="131727" w:themeColor="text1"/>
          <w:spacing w:val="29"/>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methodology,</w:t>
      </w:r>
      <w:r w:rsidRPr="00FD40B8">
        <w:rPr>
          <w:color w:val="131727" w:themeColor="text1"/>
          <w:spacing w:val="25"/>
          <w:w w:val="105"/>
          <w:sz w:val="16"/>
        </w:rPr>
        <w:t xml:space="preserve"> </w:t>
      </w:r>
      <w:r w:rsidRPr="00FD40B8">
        <w:rPr>
          <w:color w:val="131727" w:themeColor="text1"/>
          <w:w w:val="105"/>
          <w:sz w:val="16"/>
        </w:rPr>
        <w:t>people</w:t>
      </w:r>
      <w:r w:rsidRPr="00FD40B8">
        <w:rPr>
          <w:color w:val="131727" w:themeColor="text1"/>
          <w:spacing w:val="25"/>
          <w:w w:val="105"/>
          <w:sz w:val="16"/>
        </w:rPr>
        <w:t xml:space="preserve"> </w:t>
      </w:r>
      <w:r w:rsidRPr="00FD40B8">
        <w:rPr>
          <w:color w:val="131727" w:themeColor="text1"/>
          <w:w w:val="105"/>
          <w:sz w:val="16"/>
        </w:rPr>
        <w:t>in</w:t>
      </w:r>
      <w:r w:rsidRPr="00FD40B8">
        <w:rPr>
          <w:color w:val="131727" w:themeColor="text1"/>
          <w:spacing w:val="29"/>
          <w:w w:val="105"/>
          <w:sz w:val="16"/>
        </w:rPr>
        <w:t xml:space="preserve"> </w:t>
      </w:r>
      <w:r w:rsidRPr="00FD40B8">
        <w:rPr>
          <w:color w:val="131727" w:themeColor="text1"/>
          <w:w w:val="105"/>
          <w:sz w:val="16"/>
        </w:rPr>
        <w:t>severely</w:t>
      </w:r>
      <w:r w:rsidRPr="00FD40B8">
        <w:rPr>
          <w:color w:val="131727" w:themeColor="text1"/>
          <w:spacing w:val="25"/>
          <w:w w:val="105"/>
          <w:sz w:val="16"/>
        </w:rPr>
        <w:t xml:space="preserve"> </w:t>
      </w:r>
      <w:r w:rsidRPr="00FD40B8">
        <w:rPr>
          <w:color w:val="131727" w:themeColor="text1"/>
          <w:w w:val="105"/>
          <w:sz w:val="16"/>
        </w:rPr>
        <w:t>overcrowded</w:t>
      </w:r>
      <w:r w:rsidRPr="00FD40B8">
        <w:rPr>
          <w:color w:val="131727" w:themeColor="text1"/>
          <w:spacing w:val="28"/>
          <w:w w:val="105"/>
          <w:sz w:val="16"/>
        </w:rPr>
        <w:t xml:space="preserve"> </w:t>
      </w:r>
      <w:r w:rsidRPr="00FD40B8">
        <w:rPr>
          <w:color w:val="131727" w:themeColor="text1"/>
          <w:w w:val="105"/>
          <w:sz w:val="16"/>
        </w:rPr>
        <w:t>housing</w:t>
      </w:r>
      <w:r w:rsidRPr="00FD40B8">
        <w:rPr>
          <w:color w:val="131727" w:themeColor="text1"/>
          <w:spacing w:val="23"/>
          <w:w w:val="105"/>
          <w:sz w:val="16"/>
        </w:rPr>
        <w:t xml:space="preserve"> </w:t>
      </w:r>
      <w:r w:rsidRPr="00FD40B8">
        <w:rPr>
          <w:color w:val="131727" w:themeColor="text1"/>
          <w:w w:val="105"/>
          <w:sz w:val="16"/>
        </w:rPr>
        <w:t>have</w:t>
      </w:r>
      <w:r w:rsidRPr="00FD40B8">
        <w:rPr>
          <w:color w:val="131727" w:themeColor="text1"/>
          <w:spacing w:val="25"/>
          <w:w w:val="105"/>
          <w:sz w:val="16"/>
        </w:rPr>
        <w:t xml:space="preserve"> </w:t>
      </w:r>
      <w:r w:rsidRPr="00FD40B8">
        <w:rPr>
          <w:color w:val="131727" w:themeColor="text1"/>
          <w:w w:val="105"/>
          <w:sz w:val="16"/>
        </w:rPr>
        <w:t>been</w:t>
      </w:r>
      <w:r w:rsidRPr="00FD40B8">
        <w:rPr>
          <w:color w:val="131727" w:themeColor="text1"/>
          <w:spacing w:val="29"/>
          <w:w w:val="105"/>
          <w:sz w:val="16"/>
        </w:rPr>
        <w:t xml:space="preserve"> </w:t>
      </w:r>
      <w:r w:rsidRPr="00FD40B8">
        <w:rPr>
          <w:color w:val="131727" w:themeColor="text1"/>
          <w:w w:val="105"/>
          <w:sz w:val="16"/>
        </w:rPr>
        <w:t>excluded</w:t>
      </w:r>
      <w:r w:rsidRPr="00FD40B8">
        <w:rPr>
          <w:color w:val="131727" w:themeColor="text1"/>
          <w:spacing w:val="28"/>
          <w:w w:val="105"/>
          <w:sz w:val="16"/>
        </w:rPr>
        <w:t xml:space="preserve"> </w:t>
      </w:r>
      <w:r w:rsidRPr="00FD40B8">
        <w:rPr>
          <w:color w:val="131727" w:themeColor="text1"/>
          <w:w w:val="105"/>
          <w:sz w:val="16"/>
        </w:rPr>
        <w:t>from</w:t>
      </w:r>
      <w:r w:rsidRPr="00FD40B8">
        <w:rPr>
          <w:color w:val="131727" w:themeColor="text1"/>
          <w:spacing w:val="25"/>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‘homeless’</w:t>
      </w:r>
      <w:r w:rsidRPr="00FD40B8">
        <w:rPr>
          <w:color w:val="131727" w:themeColor="text1"/>
          <w:spacing w:val="26"/>
          <w:w w:val="105"/>
          <w:sz w:val="16"/>
        </w:rPr>
        <w:t xml:space="preserve"> </w:t>
      </w:r>
      <w:r w:rsidRPr="00FD40B8">
        <w:rPr>
          <w:color w:val="131727" w:themeColor="text1"/>
          <w:w w:val="105"/>
          <w:sz w:val="16"/>
        </w:rPr>
        <w:t>category</w:t>
      </w:r>
      <w:r w:rsidRPr="00FD40B8">
        <w:rPr>
          <w:color w:val="131727" w:themeColor="text1"/>
          <w:spacing w:val="25"/>
          <w:w w:val="105"/>
          <w:sz w:val="16"/>
        </w:rPr>
        <w:t xml:space="preserve"> </w:t>
      </w:r>
      <w:r w:rsidRPr="00FD40B8">
        <w:rPr>
          <w:color w:val="131727" w:themeColor="text1"/>
          <w:w w:val="105"/>
          <w:sz w:val="16"/>
        </w:rPr>
        <w:t>of</w:t>
      </w:r>
      <w:r w:rsidRPr="00FD40B8">
        <w:rPr>
          <w:color w:val="131727" w:themeColor="text1"/>
          <w:spacing w:val="40"/>
          <w:w w:val="105"/>
          <w:sz w:val="16"/>
        </w:rPr>
        <w:t xml:space="preserve"> </w:t>
      </w:r>
      <w:r w:rsidRPr="00FD40B8">
        <w:rPr>
          <w:color w:val="131727" w:themeColor="text1"/>
          <w:w w:val="105"/>
          <w:sz w:val="16"/>
        </w:rPr>
        <w:t>housing</w:t>
      </w:r>
      <w:r w:rsidRPr="00FD40B8">
        <w:rPr>
          <w:color w:val="131727" w:themeColor="text1"/>
          <w:spacing w:val="17"/>
          <w:w w:val="105"/>
          <w:sz w:val="16"/>
        </w:rPr>
        <w:t xml:space="preserve"> </w:t>
      </w:r>
      <w:r w:rsidRPr="00FD40B8">
        <w:rPr>
          <w:color w:val="131727" w:themeColor="text1"/>
          <w:w w:val="105"/>
          <w:sz w:val="16"/>
        </w:rPr>
        <w:t>need</w:t>
      </w:r>
      <w:r w:rsidRPr="00FD40B8">
        <w:rPr>
          <w:color w:val="131727" w:themeColor="text1"/>
          <w:spacing w:val="21"/>
          <w:w w:val="105"/>
          <w:sz w:val="16"/>
        </w:rPr>
        <w:t xml:space="preserve"> </w:t>
      </w:r>
      <w:r w:rsidRPr="00FD40B8">
        <w:rPr>
          <w:color w:val="131727" w:themeColor="text1"/>
          <w:w w:val="105"/>
          <w:sz w:val="16"/>
        </w:rPr>
        <w:t>to</w:t>
      </w:r>
      <w:r w:rsidRPr="00FD40B8">
        <w:rPr>
          <w:color w:val="131727" w:themeColor="text1"/>
          <w:spacing w:val="17"/>
          <w:w w:val="105"/>
          <w:sz w:val="16"/>
        </w:rPr>
        <w:t xml:space="preserve"> </w:t>
      </w:r>
      <w:r w:rsidRPr="00FD40B8">
        <w:rPr>
          <w:color w:val="131727" w:themeColor="text1"/>
          <w:w w:val="105"/>
          <w:sz w:val="16"/>
        </w:rPr>
        <w:t>avoid</w:t>
      </w:r>
      <w:r w:rsidRPr="00FD40B8">
        <w:rPr>
          <w:color w:val="131727" w:themeColor="text1"/>
          <w:spacing w:val="21"/>
          <w:w w:val="105"/>
          <w:sz w:val="16"/>
        </w:rPr>
        <w:t xml:space="preserve"> </w:t>
      </w:r>
      <w:r w:rsidRPr="00FD40B8">
        <w:rPr>
          <w:color w:val="131727" w:themeColor="text1"/>
          <w:w w:val="105"/>
          <w:sz w:val="16"/>
        </w:rPr>
        <w:t>double</w:t>
      </w:r>
      <w:r w:rsidRPr="00FD40B8">
        <w:rPr>
          <w:color w:val="131727" w:themeColor="text1"/>
          <w:spacing w:val="18"/>
          <w:w w:val="105"/>
          <w:sz w:val="16"/>
        </w:rPr>
        <w:t xml:space="preserve"> </w:t>
      </w:r>
      <w:r w:rsidRPr="00FD40B8">
        <w:rPr>
          <w:color w:val="131727" w:themeColor="text1"/>
          <w:w w:val="105"/>
          <w:sz w:val="16"/>
        </w:rPr>
        <w:t>counting.</w:t>
      </w:r>
      <w:r w:rsidRPr="00FD40B8">
        <w:rPr>
          <w:color w:val="131727" w:themeColor="text1"/>
          <w:spacing w:val="20"/>
          <w:w w:val="105"/>
          <w:sz w:val="16"/>
        </w:rPr>
        <w:t xml:space="preserve"> </w:t>
      </w:r>
      <w:r w:rsidRPr="00FD40B8">
        <w:rPr>
          <w:color w:val="131727" w:themeColor="text1"/>
          <w:w w:val="105"/>
          <w:sz w:val="16"/>
        </w:rPr>
        <w:t>This</w:t>
      </w:r>
      <w:r w:rsidRPr="00FD40B8">
        <w:rPr>
          <w:color w:val="131727" w:themeColor="text1"/>
          <w:spacing w:val="17"/>
          <w:w w:val="105"/>
          <w:sz w:val="16"/>
        </w:rPr>
        <w:t xml:space="preserve"> </w:t>
      </w:r>
      <w:r w:rsidRPr="00FD40B8">
        <w:rPr>
          <w:color w:val="131727" w:themeColor="text1"/>
          <w:w w:val="105"/>
          <w:sz w:val="16"/>
        </w:rPr>
        <w:t>cohort</w:t>
      </w:r>
      <w:r w:rsidRPr="00FD40B8">
        <w:rPr>
          <w:color w:val="131727" w:themeColor="text1"/>
          <w:spacing w:val="26"/>
          <w:w w:val="105"/>
          <w:sz w:val="16"/>
        </w:rPr>
        <w:t xml:space="preserve"> </w:t>
      </w:r>
      <w:r w:rsidRPr="00FD40B8">
        <w:rPr>
          <w:color w:val="131727" w:themeColor="text1"/>
          <w:w w:val="105"/>
          <w:sz w:val="16"/>
        </w:rPr>
        <w:t>–</w:t>
      </w:r>
      <w:r w:rsidRPr="00FD40B8">
        <w:rPr>
          <w:color w:val="131727" w:themeColor="text1"/>
          <w:spacing w:val="22"/>
          <w:w w:val="105"/>
          <w:sz w:val="16"/>
        </w:rPr>
        <w:t xml:space="preserve"> </w:t>
      </w:r>
      <w:r w:rsidRPr="00FD40B8">
        <w:rPr>
          <w:color w:val="131727" w:themeColor="text1"/>
          <w:w w:val="105"/>
          <w:sz w:val="16"/>
        </w:rPr>
        <w:t>which</w:t>
      </w:r>
      <w:r w:rsidRPr="00FD40B8">
        <w:rPr>
          <w:color w:val="131727" w:themeColor="text1"/>
          <w:spacing w:val="22"/>
          <w:w w:val="105"/>
          <w:sz w:val="16"/>
        </w:rPr>
        <w:t xml:space="preserve"> </w:t>
      </w:r>
      <w:r w:rsidRPr="00FD40B8">
        <w:rPr>
          <w:color w:val="131727" w:themeColor="text1"/>
          <w:w w:val="105"/>
          <w:sz w:val="16"/>
        </w:rPr>
        <w:t>is</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8"/>
          <w:w w:val="105"/>
          <w:sz w:val="16"/>
        </w:rPr>
        <w:t xml:space="preserve"> </w:t>
      </w:r>
      <w:r w:rsidRPr="00FD40B8">
        <w:rPr>
          <w:color w:val="131727" w:themeColor="text1"/>
          <w:w w:val="105"/>
          <w:sz w:val="16"/>
        </w:rPr>
        <w:t>largest</w:t>
      </w:r>
      <w:r w:rsidRPr="00FD40B8">
        <w:rPr>
          <w:color w:val="131727" w:themeColor="text1"/>
          <w:spacing w:val="18"/>
          <w:w w:val="105"/>
          <w:sz w:val="16"/>
        </w:rPr>
        <w:t xml:space="preserve"> </w:t>
      </w:r>
      <w:r w:rsidRPr="00FD40B8">
        <w:rPr>
          <w:color w:val="131727" w:themeColor="text1"/>
          <w:w w:val="105"/>
          <w:sz w:val="16"/>
        </w:rPr>
        <w:t>proportion</w:t>
      </w:r>
      <w:r w:rsidRPr="00FD40B8">
        <w:rPr>
          <w:color w:val="131727" w:themeColor="text1"/>
          <w:spacing w:val="22"/>
          <w:w w:val="105"/>
          <w:sz w:val="16"/>
        </w:rPr>
        <w:t xml:space="preserve"> </w:t>
      </w:r>
      <w:r w:rsidRPr="00FD40B8">
        <w:rPr>
          <w:color w:val="131727" w:themeColor="text1"/>
          <w:w w:val="105"/>
          <w:sz w:val="16"/>
        </w:rPr>
        <w:t>of</w:t>
      </w:r>
      <w:r w:rsidRPr="00FD40B8">
        <w:rPr>
          <w:color w:val="131727" w:themeColor="text1"/>
          <w:spacing w:val="20"/>
          <w:w w:val="105"/>
          <w:sz w:val="16"/>
        </w:rPr>
        <w:t xml:space="preserve"> </w:t>
      </w:r>
      <w:r w:rsidRPr="00FD40B8">
        <w:rPr>
          <w:color w:val="131727" w:themeColor="text1"/>
          <w:w w:val="105"/>
          <w:sz w:val="16"/>
        </w:rPr>
        <w:t>Aboriginal</w:t>
      </w:r>
      <w:r w:rsidRPr="00FD40B8">
        <w:rPr>
          <w:color w:val="131727" w:themeColor="text1"/>
          <w:spacing w:val="16"/>
          <w:w w:val="105"/>
          <w:sz w:val="16"/>
        </w:rPr>
        <w:t xml:space="preserve"> </w:t>
      </w:r>
      <w:r w:rsidRPr="00FD40B8">
        <w:rPr>
          <w:color w:val="131727" w:themeColor="text1"/>
          <w:w w:val="105"/>
          <w:sz w:val="16"/>
        </w:rPr>
        <w:t>and</w:t>
      </w:r>
      <w:r w:rsidRPr="00FD40B8">
        <w:rPr>
          <w:color w:val="131727" w:themeColor="text1"/>
          <w:spacing w:val="21"/>
          <w:w w:val="105"/>
          <w:sz w:val="16"/>
        </w:rPr>
        <w:t xml:space="preserve"> </w:t>
      </w:r>
      <w:r w:rsidRPr="00FD40B8">
        <w:rPr>
          <w:color w:val="131727" w:themeColor="text1"/>
          <w:w w:val="105"/>
          <w:sz w:val="16"/>
        </w:rPr>
        <w:t>Torres</w:t>
      </w:r>
      <w:r w:rsidRPr="00FD40B8">
        <w:rPr>
          <w:color w:val="131727" w:themeColor="text1"/>
          <w:spacing w:val="17"/>
          <w:w w:val="105"/>
          <w:sz w:val="16"/>
        </w:rPr>
        <w:t xml:space="preserve"> </w:t>
      </w:r>
      <w:r w:rsidRPr="00FD40B8">
        <w:rPr>
          <w:color w:val="131727" w:themeColor="text1"/>
          <w:w w:val="105"/>
          <w:sz w:val="16"/>
        </w:rPr>
        <w:t>Strait</w:t>
      </w:r>
      <w:r w:rsidRPr="00FD40B8">
        <w:rPr>
          <w:color w:val="131727" w:themeColor="text1"/>
          <w:spacing w:val="18"/>
          <w:w w:val="105"/>
          <w:sz w:val="16"/>
        </w:rPr>
        <w:t xml:space="preserve"> </w:t>
      </w:r>
      <w:r w:rsidRPr="00FD40B8">
        <w:rPr>
          <w:color w:val="131727" w:themeColor="text1"/>
          <w:w w:val="105"/>
          <w:sz w:val="16"/>
        </w:rPr>
        <w:t>Islander</w:t>
      </w:r>
      <w:r w:rsidRPr="00FD40B8">
        <w:rPr>
          <w:color w:val="131727" w:themeColor="text1"/>
          <w:spacing w:val="20"/>
          <w:w w:val="105"/>
          <w:sz w:val="16"/>
        </w:rPr>
        <w:t xml:space="preserve"> </w:t>
      </w:r>
      <w:r w:rsidRPr="00FD40B8">
        <w:rPr>
          <w:color w:val="131727" w:themeColor="text1"/>
          <w:w w:val="105"/>
          <w:sz w:val="16"/>
        </w:rPr>
        <w:t>people</w:t>
      </w:r>
      <w:r w:rsidRPr="00FD40B8">
        <w:rPr>
          <w:color w:val="131727" w:themeColor="text1"/>
          <w:spacing w:val="40"/>
          <w:w w:val="105"/>
          <w:sz w:val="16"/>
        </w:rPr>
        <w:t xml:space="preserve"> </w:t>
      </w:r>
      <w:r w:rsidRPr="00FD40B8">
        <w:rPr>
          <w:color w:val="131727" w:themeColor="text1"/>
          <w:w w:val="105"/>
          <w:sz w:val="16"/>
        </w:rPr>
        <w:t>experiencing</w:t>
      </w:r>
      <w:r w:rsidRPr="00FD40B8">
        <w:rPr>
          <w:color w:val="131727" w:themeColor="text1"/>
          <w:spacing w:val="26"/>
          <w:w w:val="105"/>
          <w:sz w:val="16"/>
        </w:rPr>
        <w:t xml:space="preserve"> </w:t>
      </w:r>
      <w:r w:rsidRPr="00FD40B8">
        <w:rPr>
          <w:color w:val="131727" w:themeColor="text1"/>
          <w:w w:val="105"/>
          <w:sz w:val="16"/>
        </w:rPr>
        <w:t>homeless</w:t>
      </w:r>
      <w:r w:rsidRPr="00FD40B8">
        <w:rPr>
          <w:color w:val="131727" w:themeColor="text1"/>
          <w:spacing w:val="32"/>
          <w:w w:val="105"/>
          <w:sz w:val="16"/>
        </w:rPr>
        <w:t xml:space="preserve"> </w:t>
      </w:r>
      <w:r w:rsidRPr="00FD40B8">
        <w:rPr>
          <w:color w:val="131727" w:themeColor="text1"/>
          <w:w w:val="105"/>
          <w:sz w:val="16"/>
        </w:rPr>
        <w:t>in</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28"/>
          <w:w w:val="105"/>
          <w:sz w:val="16"/>
        </w:rPr>
        <w:t xml:space="preserve"> </w:t>
      </w:r>
      <w:r w:rsidRPr="00FD40B8">
        <w:rPr>
          <w:color w:val="131727" w:themeColor="text1"/>
          <w:w w:val="105"/>
          <w:sz w:val="16"/>
        </w:rPr>
        <w:t>ABS</w:t>
      </w:r>
      <w:r w:rsidRPr="00FD40B8">
        <w:rPr>
          <w:color w:val="131727" w:themeColor="text1"/>
          <w:spacing w:val="28"/>
          <w:w w:val="105"/>
          <w:sz w:val="16"/>
        </w:rPr>
        <w:t xml:space="preserve"> </w:t>
      </w:r>
      <w:r w:rsidRPr="00FD40B8">
        <w:rPr>
          <w:color w:val="131727" w:themeColor="text1"/>
          <w:w w:val="105"/>
          <w:sz w:val="16"/>
        </w:rPr>
        <w:t>data</w:t>
      </w:r>
      <w:r w:rsidRPr="00FD40B8">
        <w:rPr>
          <w:color w:val="131727" w:themeColor="text1"/>
          <w:spacing w:val="31"/>
          <w:w w:val="105"/>
          <w:sz w:val="16"/>
        </w:rPr>
        <w:t xml:space="preserve"> </w:t>
      </w:r>
      <w:r w:rsidRPr="00FD40B8">
        <w:rPr>
          <w:color w:val="131727" w:themeColor="text1"/>
          <w:w w:val="105"/>
          <w:sz w:val="16"/>
        </w:rPr>
        <w:t>–</w:t>
      </w:r>
      <w:r w:rsidRPr="00FD40B8">
        <w:rPr>
          <w:color w:val="131727" w:themeColor="text1"/>
          <w:spacing w:val="26"/>
          <w:w w:val="105"/>
          <w:sz w:val="16"/>
        </w:rPr>
        <w:t xml:space="preserve"> </w:t>
      </w:r>
      <w:r w:rsidRPr="00FD40B8">
        <w:rPr>
          <w:color w:val="131727" w:themeColor="text1"/>
          <w:w w:val="105"/>
          <w:sz w:val="16"/>
        </w:rPr>
        <w:t>have</w:t>
      </w:r>
      <w:r w:rsidRPr="00FD40B8">
        <w:rPr>
          <w:color w:val="131727" w:themeColor="text1"/>
          <w:spacing w:val="28"/>
          <w:w w:val="105"/>
          <w:sz w:val="16"/>
        </w:rPr>
        <w:t xml:space="preserve"> </w:t>
      </w:r>
      <w:r w:rsidRPr="00FD40B8">
        <w:rPr>
          <w:color w:val="131727" w:themeColor="text1"/>
          <w:w w:val="105"/>
          <w:sz w:val="16"/>
        </w:rPr>
        <w:t>been</w:t>
      </w:r>
      <w:r w:rsidRPr="00FD40B8">
        <w:rPr>
          <w:color w:val="131727" w:themeColor="text1"/>
          <w:spacing w:val="32"/>
          <w:w w:val="105"/>
          <w:sz w:val="16"/>
        </w:rPr>
        <w:t xml:space="preserve"> </w:t>
      </w:r>
      <w:r w:rsidRPr="00FD40B8">
        <w:rPr>
          <w:color w:val="131727" w:themeColor="text1"/>
          <w:w w:val="105"/>
          <w:sz w:val="16"/>
        </w:rPr>
        <w:t>picked</w:t>
      </w:r>
      <w:r w:rsidRPr="00FD40B8">
        <w:rPr>
          <w:color w:val="131727" w:themeColor="text1"/>
          <w:spacing w:val="29"/>
          <w:w w:val="105"/>
          <w:sz w:val="16"/>
        </w:rPr>
        <w:t xml:space="preserve"> </w:t>
      </w:r>
      <w:r w:rsidRPr="00FD40B8">
        <w:rPr>
          <w:color w:val="131727" w:themeColor="text1"/>
          <w:w w:val="105"/>
          <w:sz w:val="16"/>
        </w:rPr>
        <w:t>up</w:t>
      </w:r>
      <w:r w:rsidRPr="00FD40B8">
        <w:rPr>
          <w:color w:val="131727" w:themeColor="text1"/>
          <w:spacing w:val="23"/>
          <w:w w:val="105"/>
          <w:sz w:val="16"/>
        </w:rPr>
        <w:t xml:space="preserve"> </w:t>
      </w:r>
      <w:r w:rsidRPr="00FD40B8">
        <w:rPr>
          <w:color w:val="131727" w:themeColor="text1"/>
          <w:w w:val="105"/>
          <w:sz w:val="16"/>
        </w:rPr>
        <w:t>in</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20"/>
          <w:w w:val="105"/>
          <w:sz w:val="16"/>
        </w:rPr>
        <w:t xml:space="preserve"> </w:t>
      </w:r>
      <w:r w:rsidRPr="00FD40B8">
        <w:rPr>
          <w:color w:val="131727" w:themeColor="text1"/>
          <w:w w:val="105"/>
          <w:sz w:val="16"/>
        </w:rPr>
        <w:t>calculation</w:t>
      </w:r>
      <w:r w:rsidRPr="00FD40B8">
        <w:rPr>
          <w:color w:val="131727" w:themeColor="text1"/>
          <w:spacing w:val="32"/>
          <w:w w:val="105"/>
          <w:sz w:val="16"/>
        </w:rPr>
        <w:t xml:space="preserve"> </w:t>
      </w:r>
      <w:r w:rsidRPr="00FD40B8">
        <w:rPr>
          <w:color w:val="131727" w:themeColor="text1"/>
          <w:w w:val="105"/>
          <w:sz w:val="16"/>
        </w:rPr>
        <w:t>of</w:t>
      </w:r>
      <w:r w:rsidRPr="00FD40B8">
        <w:rPr>
          <w:color w:val="131727" w:themeColor="text1"/>
          <w:spacing w:val="29"/>
          <w:w w:val="105"/>
          <w:sz w:val="16"/>
        </w:rPr>
        <w:t xml:space="preserve"> </w:t>
      </w:r>
      <w:r w:rsidRPr="00FD40B8">
        <w:rPr>
          <w:color w:val="131727" w:themeColor="text1"/>
          <w:w w:val="105"/>
          <w:sz w:val="16"/>
        </w:rPr>
        <w:t>houses</w:t>
      </w:r>
      <w:r w:rsidRPr="00FD40B8">
        <w:rPr>
          <w:color w:val="131727" w:themeColor="text1"/>
          <w:spacing w:val="26"/>
          <w:w w:val="105"/>
          <w:sz w:val="16"/>
        </w:rPr>
        <w:t xml:space="preserve"> </w:t>
      </w:r>
      <w:r w:rsidRPr="00FD40B8">
        <w:rPr>
          <w:color w:val="131727" w:themeColor="text1"/>
          <w:w w:val="105"/>
          <w:sz w:val="16"/>
        </w:rPr>
        <w:t>required</w:t>
      </w:r>
      <w:r w:rsidRPr="00FD40B8">
        <w:rPr>
          <w:color w:val="131727" w:themeColor="text1"/>
          <w:spacing w:val="31"/>
          <w:w w:val="105"/>
          <w:sz w:val="16"/>
        </w:rPr>
        <w:t xml:space="preserve"> </w:t>
      </w:r>
      <w:r w:rsidRPr="00FD40B8">
        <w:rPr>
          <w:color w:val="131727" w:themeColor="text1"/>
          <w:w w:val="105"/>
          <w:sz w:val="16"/>
        </w:rPr>
        <w:t>to</w:t>
      </w:r>
      <w:r w:rsidRPr="00FD40B8">
        <w:rPr>
          <w:color w:val="131727" w:themeColor="text1"/>
          <w:spacing w:val="26"/>
          <w:w w:val="105"/>
          <w:sz w:val="16"/>
        </w:rPr>
        <w:t xml:space="preserve"> </w:t>
      </w:r>
      <w:r w:rsidRPr="00FD40B8">
        <w:rPr>
          <w:color w:val="131727" w:themeColor="text1"/>
          <w:w w:val="105"/>
          <w:sz w:val="16"/>
        </w:rPr>
        <w:t>address</w:t>
      </w:r>
      <w:r w:rsidRPr="00FD40B8">
        <w:rPr>
          <w:color w:val="131727" w:themeColor="text1"/>
          <w:spacing w:val="26"/>
          <w:w w:val="105"/>
          <w:sz w:val="16"/>
        </w:rPr>
        <w:t xml:space="preserve"> </w:t>
      </w:r>
      <w:r w:rsidRPr="00FD40B8">
        <w:rPr>
          <w:color w:val="131727" w:themeColor="text1"/>
          <w:w w:val="105"/>
          <w:sz w:val="16"/>
        </w:rPr>
        <w:t>overcrowding.</w:t>
      </w:r>
    </w:p>
    <w:p w14:paraId="0172E8F8" w14:textId="77777777" w:rsidR="00811887" w:rsidRPr="00FD40B8" w:rsidRDefault="00811887" w:rsidP="00811887">
      <w:pPr>
        <w:spacing w:line="266" w:lineRule="auto"/>
        <w:ind w:left="508" w:right="598"/>
        <w:rPr>
          <w:color w:val="131727" w:themeColor="text1"/>
          <w:sz w:val="16"/>
        </w:rPr>
      </w:pPr>
      <w:bookmarkStart w:id="154" w:name="_bookmark43"/>
      <w:bookmarkEnd w:id="154"/>
      <w:r w:rsidRPr="00FD40B8">
        <w:rPr>
          <w:color w:val="131727" w:themeColor="text1"/>
          <w:w w:val="105"/>
          <w:position w:val="6"/>
          <w:sz w:val="10"/>
        </w:rPr>
        <w:t>35</w:t>
      </w:r>
      <w:r w:rsidRPr="00FD40B8">
        <w:rPr>
          <w:color w:val="131727" w:themeColor="text1"/>
          <w:spacing w:val="80"/>
          <w:w w:val="105"/>
          <w:position w:val="6"/>
          <w:sz w:val="10"/>
        </w:rPr>
        <w:t xml:space="preserve"> </w:t>
      </w:r>
      <w:r w:rsidRPr="00FD40B8">
        <w:rPr>
          <w:color w:val="131727" w:themeColor="text1"/>
          <w:w w:val="105"/>
          <w:sz w:val="16"/>
        </w:rPr>
        <w:t>We</w:t>
      </w:r>
      <w:r w:rsidRPr="00FD40B8">
        <w:rPr>
          <w:color w:val="131727" w:themeColor="text1"/>
          <w:spacing w:val="25"/>
          <w:w w:val="105"/>
          <w:sz w:val="16"/>
        </w:rPr>
        <w:t xml:space="preserve"> </w:t>
      </w:r>
      <w:r w:rsidRPr="00FD40B8">
        <w:rPr>
          <w:color w:val="131727" w:themeColor="text1"/>
          <w:w w:val="105"/>
          <w:sz w:val="16"/>
        </w:rPr>
        <w:t>are</w:t>
      </w:r>
      <w:r w:rsidRPr="00FD40B8">
        <w:rPr>
          <w:color w:val="131727" w:themeColor="text1"/>
          <w:spacing w:val="25"/>
          <w:w w:val="105"/>
          <w:sz w:val="16"/>
        </w:rPr>
        <w:t xml:space="preserve"> </w:t>
      </w:r>
      <w:r w:rsidRPr="00FD40B8">
        <w:rPr>
          <w:color w:val="131727" w:themeColor="text1"/>
          <w:w w:val="105"/>
          <w:sz w:val="16"/>
        </w:rPr>
        <w:t>unsure</w:t>
      </w:r>
      <w:r w:rsidRPr="00FD40B8">
        <w:rPr>
          <w:color w:val="131727" w:themeColor="text1"/>
          <w:spacing w:val="25"/>
          <w:w w:val="105"/>
          <w:sz w:val="16"/>
        </w:rPr>
        <w:t xml:space="preserve"> </w:t>
      </w:r>
      <w:r w:rsidRPr="00FD40B8">
        <w:rPr>
          <w:color w:val="131727" w:themeColor="text1"/>
          <w:w w:val="105"/>
          <w:sz w:val="16"/>
        </w:rPr>
        <w:t>of</w:t>
      </w:r>
      <w:r w:rsidRPr="00FD40B8">
        <w:rPr>
          <w:color w:val="131727" w:themeColor="text1"/>
          <w:spacing w:val="27"/>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exact</w:t>
      </w:r>
      <w:r w:rsidRPr="00FD40B8">
        <w:rPr>
          <w:color w:val="131727" w:themeColor="text1"/>
          <w:spacing w:val="25"/>
          <w:w w:val="105"/>
          <w:sz w:val="16"/>
        </w:rPr>
        <w:t xml:space="preserve"> </w:t>
      </w:r>
      <w:r w:rsidRPr="00FD40B8">
        <w:rPr>
          <w:color w:val="131727" w:themeColor="text1"/>
          <w:w w:val="105"/>
          <w:sz w:val="16"/>
        </w:rPr>
        <w:t>methodology</w:t>
      </w:r>
      <w:r w:rsidRPr="00FD40B8">
        <w:rPr>
          <w:color w:val="131727" w:themeColor="text1"/>
          <w:spacing w:val="25"/>
          <w:w w:val="105"/>
          <w:sz w:val="16"/>
        </w:rPr>
        <w:t xml:space="preserve"> </w:t>
      </w:r>
      <w:r w:rsidRPr="00FD40B8">
        <w:rPr>
          <w:color w:val="131727" w:themeColor="text1"/>
          <w:w w:val="105"/>
          <w:sz w:val="16"/>
        </w:rPr>
        <w:t>behind</w:t>
      </w:r>
      <w:r w:rsidRPr="00FD40B8">
        <w:rPr>
          <w:color w:val="131727" w:themeColor="text1"/>
          <w:spacing w:val="28"/>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5,500</w:t>
      </w:r>
      <w:r w:rsidRPr="00FD40B8">
        <w:rPr>
          <w:color w:val="131727" w:themeColor="text1"/>
          <w:spacing w:val="27"/>
          <w:w w:val="105"/>
          <w:sz w:val="16"/>
        </w:rPr>
        <w:t xml:space="preserve"> </w:t>
      </w:r>
      <w:r w:rsidRPr="00FD40B8">
        <w:rPr>
          <w:color w:val="131727" w:themeColor="text1"/>
          <w:w w:val="105"/>
          <w:sz w:val="16"/>
        </w:rPr>
        <w:t>dwellings</w:t>
      </w:r>
      <w:r w:rsidRPr="00FD40B8">
        <w:rPr>
          <w:color w:val="131727" w:themeColor="text1"/>
          <w:spacing w:val="24"/>
          <w:w w:val="105"/>
          <w:sz w:val="16"/>
        </w:rPr>
        <w:t xml:space="preserve"> </w:t>
      </w:r>
      <w:r w:rsidRPr="00FD40B8">
        <w:rPr>
          <w:color w:val="131727" w:themeColor="text1"/>
          <w:w w:val="105"/>
          <w:sz w:val="16"/>
        </w:rPr>
        <w:t>needed</w:t>
      </w:r>
      <w:r w:rsidRPr="00FD40B8">
        <w:rPr>
          <w:color w:val="131727" w:themeColor="text1"/>
          <w:spacing w:val="28"/>
          <w:w w:val="105"/>
          <w:sz w:val="16"/>
        </w:rPr>
        <w:t xml:space="preserve"> </w:t>
      </w:r>
      <w:r w:rsidRPr="00FD40B8">
        <w:rPr>
          <w:color w:val="131727" w:themeColor="text1"/>
          <w:w w:val="105"/>
          <w:sz w:val="16"/>
        </w:rPr>
        <w:t>in</w:t>
      </w:r>
      <w:r w:rsidRPr="00FD40B8">
        <w:rPr>
          <w:color w:val="131727" w:themeColor="text1"/>
          <w:spacing w:val="30"/>
          <w:w w:val="105"/>
          <w:sz w:val="16"/>
        </w:rPr>
        <w:t xml:space="preserve"> </w:t>
      </w:r>
      <w:r w:rsidRPr="00FD40B8">
        <w:rPr>
          <w:color w:val="131727" w:themeColor="text1"/>
          <w:w w:val="105"/>
          <w:sz w:val="16"/>
        </w:rPr>
        <w:t>remote</w:t>
      </w:r>
      <w:r w:rsidRPr="00FD40B8">
        <w:rPr>
          <w:color w:val="131727" w:themeColor="text1"/>
          <w:spacing w:val="25"/>
          <w:w w:val="105"/>
          <w:sz w:val="16"/>
        </w:rPr>
        <w:t xml:space="preserve"> </w:t>
      </w:r>
      <w:r w:rsidRPr="00FD40B8">
        <w:rPr>
          <w:color w:val="131727" w:themeColor="text1"/>
          <w:w w:val="105"/>
          <w:sz w:val="16"/>
        </w:rPr>
        <w:t>communities</w:t>
      </w:r>
      <w:r w:rsidRPr="00FD40B8">
        <w:rPr>
          <w:color w:val="131727" w:themeColor="text1"/>
          <w:spacing w:val="24"/>
          <w:w w:val="105"/>
          <w:sz w:val="16"/>
        </w:rPr>
        <w:t xml:space="preserve"> </w:t>
      </w:r>
      <w:r w:rsidRPr="00FD40B8">
        <w:rPr>
          <w:color w:val="131727" w:themeColor="text1"/>
          <w:w w:val="105"/>
          <w:sz w:val="16"/>
        </w:rPr>
        <w:t>estimated</w:t>
      </w:r>
      <w:r w:rsidRPr="00FD40B8">
        <w:rPr>
          <w:color w:val="131727" w:themeColor="text1"/>
          <w:spacing w:val="28"/>
          <w:w w:val="105"/>
          <w:sz w:val="16"/>
        </w:rPr>
        <w:t xml:space="preserve"> </w:t>
      </w:r>
      <w:r w:rsidRPr="00FD40B8">
        <w:rPr>
          <w:color w:val="131727" w:themeColor="text1"/>
          <w:w w:val="105"/>
          <w:sz w:val="16"/>
        </w:rPr>
        <w:t>in</w:t>
      </w:r>
      <w:r w:rsidRPr="00FD40B8">
        <w:rPr>
          <w:color w:val="131727" w:themeColor="text1"/>
          <w:spacing w:val="30"/>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2017</w:t>
      </w:r>
      <w:r w:rsidRPr="00FD40B8">
        <w:rPr>
          <w:color w:val="131727" w:themeColor="text1"/>
          <w:spacing w:val="40"/>
          <w:w w:val="105"/>
          <w:sz w:val="16"/>
        </w:rPr>
        <w:t xml:space="preserve"> </w:t>
      </w:r>
      <w:r w:rsidRPr="00FD40B8">
        <w:rPr>
          <w:color w:val="131727" w:themeColor="text1"/>
          <w:w w:val="105"/>
          <w:sz w:val="16"/>
        </w:rPr>
        <w:t>Remote</w:t>
      </w:r>
      <w:r w:rsidRPr="00FD40B8">
        <w:rPr>
          <w:color w:val="131727" w:themeColor="text1"/>
          <w:spacing w:val="17"/>
          <w:w w:val="105"/>
          <w:sz w:val="16"/>
        </w:rPr>
        <w:t xml:space="preserve"> </w:t>
      </w:r>
      <w:r w:rsidRPr="00FD40B8">
        <w:rPr>
          <w:color w:val="131727" w:themeColor="text1"/>
          <w:w w:val="105"/>
          <w:sz w:val="16"/>
        </w:rPr>
        <w:t>Housing Review,</w:t>
      </w:r>
      <w:r w:rsidRPr="00FD40B8">
        <w:rPr>
          <w:color w:val="131727" w:themeColor="text1"/>
          <w:spacing w:val="17"/>
          <w:w w:val="105"/>
          <w:sz w:val="16"/>
        </w:rPr>
        <w:t xml:space="preserve"> </w:t>
      </w:r>
      <w:r w:rsidRPr="00FD40B8">
        <w:rPr>
          <w:color w:val="131727" w:themeColor="text1"/>
          <w:w w:val="105"/>
          <w:sz w:val="16"/>
        </w:rPr>
        <w:t>as the</w:t>
      </w:r>
      <w:r w:rsidRPr="00FD40B8">
        <w:rPr>
          <w:color w:val="131727" w:themeColor="text1"/>
          <w:spacing w:val="17"/>
          <w:w w:val="105"/>
          <w:sz w:val="16"/>
        </w:rPr>
        <w:t xml:space="preserve"> </w:t>
      </w:r>
      <w:r w:rsidRPr="00FD40B8">
        <w:rPr>
          <w:color w:val="131727" w:themeColor="text1"/>
          <w:w w:val="105"/>
          <w:sz w:val="16"/>
        </w:rPr>
        <w:t>full methodology</w:t>
      </w:r>
      <w:r w:rsidRPr="00FD40B8">
        <w:rPr>
          <w:color w:val="131727" w:themeColor="text1"/>
          <w:spacing w:val="24"/>
          <w:w w:val="105"/>
          <w:sz w:val="16"/>
        </w:rPr>
        <w:t xml:space="preserve"> </w:t>
      </w:r>
      <w:r w:rsidRPr="00FD40B8">
        <w:rPr>
          <w:color w:val="131727" w:themeColor="text1"/>
          <w:w w:val="105"/>
          <w:sz w:val="16"/>
        </w:rPr>
        <w:t>is not</w:t>
      </w:r>
      <w:r w:rsidRPr="00FD40B8">
        <w:rPr>
          <w:color w:val="131727" w:themeColor="text1"/>
          <w:spacing w:val="17"/>
          <w:w w:val="105"/>
          <w:sz w:val="16"/>
        </w:rPr>
        <w:t xml:space="preserve"> </w:t>
      </w:r>
      <w:r w:rsidRPr="00FD40B8">
        <w:rPr>
          <w:color w:val="131727" w:themeColor="text1"/>
          <w:w w:val="105"/>
          <w:sz w:val="16"/>
        </w:rPr>
        <w:t>publicly</w:t>
      </w:r>
      <w:r w:rsidRPr="00FD40B8">
        <w:rPr>
          <w:color w:val="131727" w:themeColor="text1"/>
          <w:spacing w:val="17"/>
          <w:w w:val="105"/>
          <w:sz w:val="16"/>
        </w:rPr>
        <w:t xml:space="preserve"> </w:t>
      </w:r>
      <w:r w:rsidRPr="00FD40B8">
        <w:rPr>
          <w:color w:val="131727" w:themeColor="text1"/>
          <w:w w:val="105"/>
          <w:sz w:val="16"/>
        </w:rPr>
        <w:t>available.</w:t>
      </w:r>
      <w:r w:rsidRPr="00FD40B8">
        <w:rPr>
          <w:color w:val="131727" w:themeColor="text1"/>
          <w:spacing w:val="18"/>
          <w:w w:val="105"/>
          <w:sz w:val="16"/>
        </w:rPr>
        <w:t xml:space="preserve"> </w:t>
      </w:r>
      <w:r w:rsidRPr="00FD40B8">
        <w:rPr>
          <w:color w:val="131727" w:themeColor="text1"/>
          <w:w w:val="105"/>
          <w:sz w:val="16"/>
        </w:rPr>
        <w:t>But</w:t>
      </w:r>
      <w:r w:rsidRPr="00FD40B8">
        <w:rPr>
          <w:color w:val="131727" w:themeColor="text1"/>
          <w:spacing w:val="17"/>
          <w:w w:val="105"/>
          <w:sz w:val="16"/>
        </w:rPr>
        <w:t xml:space="preserve"> </w:t>
      </w:r>
      <w:r w:rsidRPr="00FD40B8">
        <w:rPr>
          <w:color w:val="131727" w:themeColor="text1"/>
          <w:w w:val="105"/>
          <w:sz w:val="16"/>
        </w:rPr>
        <w:t>we</w:t>
      </w:r>
      <w:r w:rsidRPr="00FD40B8">
        <w:rPr>
          <w:color w:val="131727" w:themeColor="text1"/>
          <w:spacing w:val="17"/>
          <w:w w:val="105"/>
          <w:sz w:val="16"/>
        </w:rPr>
        <w:t xml:space="preserve"> </w:t>
      </w:r>
      <w:r w:rsidRPr="00FD40B8">
        <w:rPr>
          <w:color w:val="131727" w:themeColor="text1"/>
          <w:w w:val="105"/>
          <w:sz w:val="16"/>
        </w:rPr>
        <w:t>expect</w:t>
      </w:r>
      <w:r w:rsidRPr="00FD40B8">
        <w:rPr>
          <w:color w:val="131727" w:themeColor="text1"/>
          <w:spacing w:val="17"/>
          <w:w w:val="105"/>
          <w:sz w:val="16"/>
        </w:rPr>
        <w:t xml:space="preserve"> </w:t>
      </w:r>
      <w:r w:rsidRPr="00FD40B8">
        <w:rPr>
          <w:color w:val="131727" w:themeColor="text1"/>
          <w:w w:val="105"/>
          <w:sz w:val="16"/>
        </w:rPr>
        <w:t>our</w:t>
      </w:r>
      <w:r w:rsidRPr="00FD40B8">
        <w:rPr>
          <w:color w:val="131727" w:themeColor="text1"/>
          <w:spacing w:val="18"/>
          <w:w w:val="105"/>
          <w:sz w:val="16"/>
        </w:rPr>
        <w:t xml:space="preserve"> </w:t>
      </w:r>
      <w:r w:rsidRPr="00FD40B8">
        <w:rPr>
          <w:color w:val="131727" w:themeColor="text1"/>
          <w:w w:val="105"/>
          <w:sz w:val="16"/>
        </w:rPr>
        <w:t>calculations are</w:t>
      </w:r>
      <w:r w:rsidRPr="00FD40B8">
        <w:rPr>
          <w:color w:val="131727" w:themeColor="text1"/>
          <w:spacing w:val="17"/>
          <w:w w:val="105"/>
          <w:sz w:val="16"/>
        </w:rPr>
        <w:t xml:space="preserve"> </w:t>
      </w:r>
      <w:r w:rsidRPr="00FD40B8">
        <w:rPr>
          <w:color w:val="131727" w:themeColor="text1"/>
          <w:w w:val="105"/>
          <w:sz w:val="16"/>
        </w:rPr>
        <w:t>likely</w:t>
      </w:r>
      <w:r w:rsidRPr="00FD40B8">
        <w:rPr>
          <w:color w:val="131727" w:themeColor="text1"/>
          <w:spacing w:val="17"/>
          <w:w w:val="105"/>
          <w:sz w:val="16"/>
        </w:rPr>
        <w:t xml:space="preserve"> </w:t>
      </w:r>
      <w:r w:rsidRPr="00FD40B8">
        <w:rPr>
          <w:color w:val="131727" w:themeColor="text1"/>
          <w:w w:val="105"/>
          <w:sz w:val="16"/>
        </w:rPr>
        <w:t>different</w:t>
      </w:r>
      <w:r w:rsidRPr="00FD40B8">
        <w:rPr>
          <w:color w:val="131727" w:themeColor="text1"/>
          <w:spacing w:val="37"/>
          <w:w w:val="105"/>
          <w:sz w:val="16"/>
        </w:rPr>
        <w:t xml:space="preserve"> </w:t>
      </w:r>
      <w:r w:rsidRPr="00FD40B8">
        <w:rPr>
          <w:color w:val="131727" w:themeColor="text1"/>
          <w:w w:val="105"/>
          <w:sz w:val="16"/>
        </w:rPr>
        <w:t>due</w:t>
      </w:r>
      <w:r w:rsidRPr="00FD40B8">
        <w:rPr>
          <w:color w:val="131727" w:themeColor="text1"/>
          <w:spacing w:val="17"/>
          <w:w w:val="105"/>
          <w:sz w:val="16"/>
        </w:rPr>
        <w:t xml:space="preserve"> </w:t>
      </w:r>
      <w:r w:rsidRPr="00FD40B8">
        <w:rPr>
          <w:color w:val="131727" w:themeColor="text1"/>
          <w:w w:val="105"/>
          <w:sz w:val="16"/>
        </w:rPr>
        <w:t>to</w:t>
      </w:r>
      <w:r w:rsidRPr="00FD40B8">
        <w:rPr>
          <w:color w:val="131727" w:themeColor="text1"/>
          <w:spacing w:val="40"/>
          <w:w w:val="105"/>
          <w:sz w:val="16"/>
        </w:rPr>
        <w:t xml:space="preserve"> </w:t>
      </w:r>
      <w:r w:rsidRPr="00FD40B8">
        <w:rPr>
          <w:color w:val="131727" w:themeColor="text1"/>
          <w:w w:val="105"/>
          <w:sz w:val="16"/>
        </w:rPr>
        <w:t>differences</w:t>
      </w:r>
      <w:r w:rsidRPr="00FD40B8">
        <w:rPr>
          <w:color w:val="131727" w:themeColor="text1"/>
          <w:spacing w:val="19"/>
          <w:w w:val="105"/>
          <w:sz w:val="16"/>
        </w:rPr>
        <w:t xml:space="preserve"> </w:t>
      </w:r>
      <w:r w:rsidRPr="00FD40B8">
        <w:rPr>
          <w:color w:val="131727" w:themeColor="text1"/>
          <w:w w:val="105"/>
          <w:sz w:val="16"/>
        </w:rPr>
        <w:t>in</w:t>
      </w:r>
      <w:r w:rsidRPr="00FD40B8">
        <w:rPr>
          <w:color w:val="131727" w:themeColor="text1"/>
          <w:spacing w:val="24"/>
          <w:w w:val="105"/>
          <w:sz w:val="16"/>
        </w:rPr>
        <w:t xml:space="preserve"> </w:t>
      </w:r>
      <w:r w:rsidRPr="00FD40B8">
        <w:rPr>
          <w:color w:val="131727" w:themeColor="text1"/>
          <w:w w:val="105"/>
          <w:sz w:val="16"/>
        </w:rPr>
        <w:t>methodology</w:t>
      </w:r>
      <w:r w:rsidRPr="00FD40B8">
        <w:rPr>
          <w:color w:val="131727" w:themeColor="text1"/>
          <w:spacing w:val="20"/>
          <w:w w:val="105"/>
          <w:sz w:val="16"/>
        </w:rPr>
        <w:t xml:space="preserve"> </w:t>
      </w:r>
      <w:r w:rsidRPr="00FD40B8">
        <w:rPr>
          <w:color w:val="131727" w:themeColor="text1"/>
          <w:w w:val="105"/>
          <w:sz w:val="16"/>
        </w:rPr>
        <w:t>(e.g.</w:t>
      </w:r>
      <w:r w:rsidRPr="00FD40B8">
        <w:rPr>
          <w:color w:val="131727" w:themeColor="text1"/>
          <w:spacing w:val="22"/>
          <w:w w:val="105"/>
          <w:sz w:val="16"/>
        </w:rPr>
        <w:t xml:space="preserve"> </w:t>
      </w:r>
      <w:r w:rsidRPr="00FD40B8">
        <w:rPr>
          <w:color w:val="131727" w:themeColor="text1"/>
          <w:w w:val="105"/>
          <w:sz w:val="16"/>
        </w:rPr>
        <w:t>including</w:t>
      </w:r>
      <w:r w:rsidRPr="00FD40B8">
        <w:rPr>
          <w:color w:val="131727" w:themeColor="text1"/>
          <w:spacing w:val="19"/>
          <w:w w:val="105"/>
          <w:sz w:val="16"/>
        </w:rPr>
        <w:t xml:space="preserve"> </w:t>
      </w:r>
      <w:r w:rsidRPr="00FD40B8">
        <w:rPr>
          <w:color w:val="131727" w:themeColor="text1"/>
          <w:w w:val="105"/>
          <w:sz w:val="16"/>
        </w:rPr>
        <w:t>estimating</w:t>
      </w:r>
      <w:r w:rsidRPr="00FD40B8">
        <w:rPr>
          <w:color w:val="131727" w:themeColor="text1"/>
          <w:spacing w:val="19"/>
          <w:w w:val="105"/>
          <w:sz w:val="16"/>
        </w:rPr>
        <w:t xml:space="preserve"> </w:t>
      </w:r>
      <w:r w:rsidRPr="00FD40B8">
        <w:rPr>
          <w:color w:val="131727" w:themeColor="text1"/>
          <w:w w:val="105"/>
          <w:sz w:val="16"/>
        </w:rPr>
        <w:t>the</w:t>
      </w:r>
      <w:r w:rsidRPr="00FD40B8">
        <w:rPr>
          <w:color w:val="131727" w:themeColor="text1"/>
          <w:spacing w:val="20"/>
          <w:w w:val="105"/>
          <w:sz w:val="16"/>
        </w:rPr>
        <w:t xml:space="preserve"> </w:t>
      </w:r>
      <w:r w:rsidRPr="00FD40B8">
        <w:rPr>
          <w:color w:val="131727" w:themeColor="text1"/>
          <w:w w:val="105"/>
          <w:sz w:val="16"/>
        </w:rPr>
        <w:t>need</w:t>
      </w:r>
      <w:r w:rsidRPr="00FD40B8">
        <w:rPr>
          <w:color w:val="131727" w:themeColor="text1"/>
          <w:spacing w:val="23"/>
          <w:w w:val="105"/>
          <w:sz w:val="16"/>
        </w:rPr>
        <w:t xml:space="preserve"> </w:t>
      </w:r>
      <w:r w:rsidRPr="00FD40B8">
        <w:rPr>
          <w:color w:val="131727" w:themeColor="text1"/>
          <w:w w:val="105"/>
          <w:sz w:val="16"/>
        </w:rPr>
        <w:t>for</w:t>
      </w:r>
      <w:r w:rsidRPr="00FD40B8">
        <w:rPr>
          <w:color w:val="131727" w:themeColor="text1"/>
          <w:spacing w:val="22"/>
          <w:w w:val="105"/>
          <w:sz w:val="16"/>
        </w:rPr>
        <w:t xml:space="preserve"> </w:t>
      </w:r>
      <w:r w:rsidRPr="00FD40B8">
        <w:rPr>
          <w:color w:val="131727" w:themeColor="text1"/>
          <w:w w:val="105"/>
          <w:sz w:val="16"/>
        </w:rPr>
        <w:t>one</w:t>
      </w:r>
      <w:r w:rsidRPr="00FD40B8">
        <w:rPr>
          <w:color w:val="131727" w:themeColor="text1"/>
          <w:spacing w:val="20"/>
          <w:w w:val="105"/>
          <w:sz w:val="16"/>
        </w:rPr>
        <w:t xml:space="preserve"> </w:t>
      </w:r>
      <w:r w:rsidRPr="00FD40B8">
        <w:rPr>
          <w:color w:val="131727" w:themeColor="text1"/>
          <w:w w:val="105"/>
          <w:sz w:val="16"/>
        </w:rPr>
        <w:t>and</w:t>
      </w:r>
      <w:r w:rsidRPr="00FD40B8">
        <w:rPr>
          <w:color w:val="131727" w:themeColor="text1"/>
          <w:spacing w:val="16"/>
          <w:w w:val="105"/>
          <w:sz w:val="16"/>
        </w:rPr>
        <w:t xml:space="preserve"> </w:t>
      </w:r>
      <w:r w:rsidRPr="00FD40B8">
        <w:rPr>
          <w:color w:val="131727" w:themeColor="text1"/>
          <w:w w:val="105"/>
          <w:sz w:val="16"/>
        </w:rPr>
        <w:t>two</w:t>
      </w:r>
      <w:r w:rsidRPr="00FD40B8">
        <w:rPr>
          <w:color w:val="131727" w:themeColor="text1"/>
          <w:spacing w:val="19"/>
          <w:w w:val="105"/>
          <w:sz w:val="16"/>
        </w:rPr>
        <w:t xml:space="preserve"> </w:t>
      </w:r>
      <w:r w:rsidRPr="00FD40B8">
        <w:rPr>
          <w:color w:val="131727" w:themeColor="text1"/>
          <w:w w:val="105"/>
          <w:sz w:val="16"/>
        </w:rPr>
        <w:t>extra</w:t>
      </w:r>
      <w:r w:rsidRPr="00FD40B8">
        <w:rPr>
          <w:color w:val="131727" w:themeColor="text1"/>
          <w:spacing w:val="24"/>
          <w:w w:val="105"/>
          <w:sz w:val="16"/>
        </w:rPr>
        <w:t xml:space="preserve"> </w:t>
      </w:r>
      <w:r w:rsidRPr="00FD40B8">
        <w:rPr>
          <w:color w:val="131727" w:themeColor="text1"/>
          <w:w w:val="105"/>
          <w:sz w:val="16"/>
        </w:rPr>
        <w:t>bedrooms)</w:t>
      </w:r>
      <w:r w:rsidRPr="00FD40B8">
        <w:rPr>
          <w:color w:val="131727" w:themeColor="text1"/>
          <w:spacing w:val="20"/>
          <w:w w:val="105"/>
          <w:sz w:val="16"/>
        </w:rPr>
        <w:t xml:space="preserve"> </w:t>
      </w:r>
      <w:r w:rsidRPr="00FD40B8">
        <w:rPr>
          <w:color w:val="131727" w:themeColor="text1"/>
          <w:w w:val="105"/>
          <w:sz w:val="16"/>
        </w:rPr>
        <w:t>and</w:t>
      </w:r>
      <w:r w:rsidRPr="00FD40B8">
        <w:rPr>
          <w:color w:val="131727" w:themeColor="text1"/>
          <w:spacing w:val="23"/>
          <w:w w:val="105"/>
          <w:sz w:val="16"/>
        </w:rPr>
        <w:t xml:space="preserve"> </w:t>
      </w:r>
      <w:r w:rsidRPr="00FD40B8">
        <w:rPr>
          <w:color w:val="131727" w:themeColor="text1"/>
          <w:w w:val="105"/>
          <w:sz w:val="16"/>
        </w:rPr>
        <w:lastRenderedPageBreak/>
        <w:t>estimating</w:t>
      </w:r>
      <w:r w:rsidRPr="00FD40B8">
        <w:rPr>
          <w:color w:val="131727" w:themeColor="text1"/>
          <w:spacing w:val="19"/>
          <w:w w:val="105"/>
          <w:sz w:val="16"/>
        </w:rPr>
        <w:t xml:space="preserve"> </w:t>
      </w:r>
      <w:r w:rsidRPr="00FD40B8">
        <w:rPr>
          <w:color w:val="131727" w:themeColor="text1"/>
          <w:w w:val="105"/>
          <w:sz w:val="16"/>
        </w:rPr>
        <w:t>housing</w:t>
      </w:r>
      <w:r w:rsidRPr="00FD40B8">
        <w:rPr>
          <w:color w:val="131727" w:themeColor="text1"/>
          <w:spacing w:val="19"/>
          <w:w w:val="105"/>
          <w:sz w:val="16"/>
        </w:rPr>
        <w:t xml:space="preserve"> </w:t>
      </w:r>
      <w:r w:rsidRPr="00FD40B8">
        <w:rPr>
          <w:color w:val="131727" w:themeColor="text1"/>
          <w:w w:val="105"/>
          <w:sz w:val="16"/>
        </w:rPr>
        <w:t>need</w:t>
      </w:r>
      <w:r w:rsidRPr="00FD40B8">
        <w:rPr>
          <w:color w:val="131727" w:themeColor="text1"/>
          <w:spacing w:val="23"/>
          <w:w w:val="105"/>
          <w:sz w:val="16"/>
        </w:rPr>
        <w:t xml:space="preserve"> </w:t>
      </w:r>
      <w:r w:rsidRPr="00FD40B8">
        <w:rPr>
          <w:color w:val="131727" w:themeColor="text1"/>
          <w:w w:val="105"/>
          <w:sz w:val="16"/>
        </w:rPr>
        <w:t>at</w:t>
      </w:r>
      <w:r w:rsidRPr="00FD40B8">
        <w:rPr>
          <w:color w:val="131727" w:themeColor="text1"/>
          <w:spacing w:val="20"/>
          <w:w w:val="105"/>
          <w:sz w:val="16"/>
        </w:rPr>
        <w:t xml:space="preserve"> </w:t>
      </w:r>
      <w:r w:rsidRPr="00FD40B8">
        <w:rPr>
          <w:color w:val="131727" w:themeColor="text1"/>
          <w:w w:val="105"/>
          <w:sz w:val="16"/>
        </w:rPr>
        <w:t>a</w:t>
      </w:r>
      <w:r w:rsidRPr="00FD40B8">
        <w:rPr>
          <w:color w:val="131727" w:themeColor="text1"/>
          <w:spacing w:val="40"/>
          <w:w w:val="105"/>
          <w:sz w:val="16"/>
        </w:rPr>
        <w:t xml:space="preserve"> </w:t>
      </w:r>
      <w:r w:rsidRPr="00FD40B8">
        <w:rPr>
          <w:color w:val="131727" w:themeColor="text1"/>
          <w:w w:val="105"/>
          <w:sz w:val="16"/>
        </w:rPr>
        <w:t>national level (rather</w:t>
      </w:r>
      <w:r w:rsidRPr="00FD40B8">
        <w:rPr>
          <w:color w:val="131727" w:themeColor="text1"/>
          <w:spacing w:val="15"/>
          <w:w w:val="105"/>
          <w:sz w:val="16"/>
        </w:rPr>
        <w:t xml:space="preserve"> </w:t>
      </w:r>
      <w:r w:rsidRPr="00FD40B8">
        <w:rPr>
          <w:color w:val="131727" w:themeColor="text1"/>
          <w:w w:val="105"/>
          <w:sz w:val="16"/>
        </w:rPr>
        <w:t>than</w:t>
      </w:r>
      <w:r w:rsidRPr="00FD40B8">
        <w:rPr>
          <w:color w:val="131727" w:themeColor="text1"/>
          <w:spacing w:val="18"/>
          <w:w w:val="105"/>
          <w:sz w:val="16"/>
        </w:rPr>
        <w:t xml:space="preserve"> </w:t>
      </w:r>
      <w:r w:rsidRPr="00FD40B8">
        <w:rPr>
          <w:color w:val="131727" w:themeColor="text1"/>
          <w:w w:val="105"/>
          <w:sz w:val="16"/>
        </w:rPr>
        <w:t>just</w:t>
      </w:r>
      <w:r w:rsidRPr="00FD40B8">
        <w:rPr>
          <w:color w:val="131727" w:themeColor="text1"/>
          <w:spacing w:val="14"/>
          <w:w w:val="105"/>
          <w:sz w:val="16"/>
        </w:rPr>
        <w:t xml:space="preserve"> </w:t>
      </w:r>
      <w:r w:rsidRPr="00FD40B8">
        <w:rPr>
          <w:color w:val="131727" w:themeColor="text1"/>
          <w:w w:val="105"/>
          <w:sz w:val="16"/>
        </w:rPr>
        <w:t>remote).</w:t>
      </w:r>
      <w:r w:rsidRPr="00FD40B8">
        <w:rPr>
          <w:color w:val="131727" w:themeColor="text1"/>
          <w:spacing w:val="15"/>
          <w:w w:val="105"/>
          <w:sz w:val="16"/>
        </w:rPr>
        <w:t xml:space="preserve"> </w:t>
      </w:r>
      <w:r w:rsidRPr="00FD40B8">
        <w:rPr>
          <w:color w:val="131727" w:themeColor="text1"/>
          <w:w w:val="105"/>
          <w:sz w:val="16"/>
        </w:rPr>
        <w:t>For</w:t>
      </w:r>
      <w:r w:rsidRPr="00FD40B8">
        <w:rPr>
          <w:color w:val="131727" w:themeColor="text1"/>
          <w:spacing w:val="15"/>
          <w:w w:val="105"/>
          <w:sz w:val="16"/>
        </w:rPr>
        <w:t xml:space="preserve"> </w:t>
      </w:r>
      <w:r w:rsidRPr="00FD40B8">
        <w:rPr>
          <w:color w:val="131727" w:themeColor="text1"/>
          <w:w w:val="105"/>
          <w:sz w:val="16"/>
        </w:rPr>
        <w:t>remote</w:t>
      </w:r>
      <w:r w:rsidRPr="00FD40B8">
        <w:rPr>
          <w:color w:val="131727" w:themeColor="text1"/>
          <w:spacing w:val="14"/>
          <w:w w:val="105"/>
          <w:sz w:val="16"/>
        </w:rPr>
        <w:t xml:space="preserve"> </w:t>
      </w:r>
      <w:r w:rsidRPr="00FD40B8">
        <w:rPr>
          <w:color w:val="131727" w:themeColor="text1"/>
          <w:w w:val="105"/>
          <w:sz w:val="16"/>
        </w:rPr>
        <w:t>communities,</w:t>
      </w:r>
      <w:r w:rsidRPr="00FD40B8">
        <w:rPr>
          <w:color w:val="131727" w:themeColor="text1"/>
          <w:spacing w:val="14"/>
          <w:w w:val="105"/>
          <w:sz w:val="16"/>
        </w:rPr>
        <w:t xml:space="preserve"> </w:t>
      </w:r>
      <w:r w:rsidRPr="00FD40B8">
        <w:rPr>
          <w:color w:val="131727" w:themeColor="text1"/>
          <w:w w:val="105"/>
          <w:sz w:val="16"/>
        </w:rPr>
        <w:t>we</w:t>
      </w:r>
      <w:r w:rsidRPr="00FD40B8">
        <w:rPr>
          <w:color w:val="131727" w:themeColor="text1"/>
          <w:spacing w:val="20"/>
          <w:w w:val="105"/>
          <w:sz w:val="16"/>
        </w:rPr>
        <w:t xml:space="preserve"> </w:t>
      </w:r>
      <w:r w:rsidRPr="00FD40B8">
        <w:rPr>
          <w:color w:val="131727" w:themeColor="text1"/>
          <w:w w:val="105"/>
          <w:sz w:val="16"/>
        </w:rPr>
        <w:t>estimate</w:t>
      </w:r>
      <w:r w:rsidRPr="00FD40B8">
        <w:rPr>
          <w:color w:val="131727" w:themeColor="text1"/>
          <w:spacing w:val="14"/>
          <w:w w:val="105"/>
          <w:sz w:val="16"/>
        </w:rPr>
        <w:t xml:space="preserve"> </w:t>
      </w:r>
      <w:r w:rsidRPr="00FD40B8">
        <w:rPr>
          <w:color w:val="131727" w:themeColor="text1"/>
          <w:w w:val="105"/>
          <w:sz w:val="16"/>
        </w:rPr>
        <w:t>a</w:t>
      </w:r>
      <w:r w:rsidRPr="00FD40B8">
        <w:rPr>
          <w:color w:val="131727" w:themeColor="text1"/>
          <w:spacing w:val="18"/>
          <w:w w:val="105"/>
          <w:sz w:val="16"/>
        </w:rPr>
        <w:t xml:space="preserve"> </w:t>
      </w:r>
      <w:r w:rsidRPr="00FD40B8">
        <w:rPr>
          <w:color w:val="131727" w:themeColor="text1"/>
          <w:w w:val="105"/>
          <w:sz w:val="16"/>
        </w:rPr>
        <w:t>need</w:t>
      </w:r>
      <w:r w:rsidRPr="00FD40B8">
        <w:rPr>
          <w:color w:val="131727" w:themeColor="text1"/>
          <w:spacing w:val="17"/>
          <w:w w:val="105"/>
          <w:sz w:val="16"/>
        </w:rPr>
        <w:t xml:space="preserve"> </w:t>
      </w:r>
      <w:r w:rsidRPr="00FD40B8">
        <w:rPr>
          <w:color w:val="131727" w:themeColor="text1"/>
          <w:w w:val="105"/>
          <w:sz w:val="16"/>
        </w:rPr>
        <w:t>of</w:t>
      </w:r>
      <w:r w:rsidRPr="00FD40B8">
        <w:rPr>
          <w:color w:val="131727" w:themeColor="text1"/>
          <w:spacing w:val="15"/>
          <w:w w:val="105"/>
          <w:sz w:val="16"/>
        </w:rPr>
        <w:t xml:space="preserve"> </w:t>
      </w:r>
      <w:r w:rsidRPr="00FD40B8">
        <w:rPr>
          <w:color w:val="131727" w:themeColor="text1"/>
          <w:w w:val="105"/>
          <w:sz w:val="16"/>
        </w:rPr>
        <w:t>5,261</w:t>
      </w:r>
      <w:r w:rsidRPr="00FD40B8">
        <w:rPr>
          <w:color w:val="131727" w:themeColor="text1"/>
          <w:spacing w:val="15"/>
          <w:w w:val="105"/>
          <w:sz w:val="16"/>
        </w:rPr>
        <w:t xml:space="preserve"> </w:t>
      </w:r>
      <w:r w:rsidRPr="00FD40B8">
        <w:rPr>
          <w:color w:val="131727" w:themeColor="text1"/>
          <w:w w:val="105"/>
          <w:sz w:val="16"/>
        </w:rPr>
        <w:t>houses.</w:t>
      </w:r>
      <w:r w:rsidRPr="00FD40B8">
        <w:rPr>
          <w:color w:val="131727" w:themeColor="text1"/>
          <w:spacing w:val="80"/>
          <w:w w:val="105"/>
          <w:sz w:val="16"/>
        </w:rPr>
        <w:t xml:space="preserve"> </w:t>
      </w:r>
      <w:r w:rsidRPr="00FD40B8">
        <w:rPr>
          <w:color w:val="131727" w:themeColor="text1"/>
          <w:w w:val="105"/>
          <w:sz w:val="16"/>
        </w:rPr>
        <w:t>It</w:t>
      </w:r>
      <w:r w:rsidRPr="00FD40B8">
        <w:rPr>
          <w:color w:val="131727" w:themeColor="text1"/>
          <w:spacing w:val="14"/>
          <w:w w:val="105"/>
          <w:sz w:val="16"/>
        </w:rPr>
        <w:t xml:space="preserve"> </w:t>
      </w:r>
      <w:r w:rsidRPr="00FD40B8">
        <w:rPr>
          <w:color w:val="131727" w:themeColor="text1"/>
          <w:w w:val="105"/>
          <w:sz w:val="16"/>
        </w:rPr>
        <w:t>is</w:t>
      </w:r>
      <w:r w:rsidRPr="00FD40B8">
        <w:rPr>
          <w:color w:val="131727" w:themeColor="text1"/>
          <w:spacing w:val="13"/>
          <w:w w:val="105"/>
          <w:sz w:val="16"/>
        </w:rPr>
        <w:t xml:space="preserve"> </w:t>
      </w:r>
      <w:r w:rsidRPr="00FD40B8">
        <w:rPr>
          <w:color w:val="131727" w:themeColor="text1"/>
          <w:w w:val="105"/>
          <w:sz w:val="16"/>
        </w:rPr>
        <w:t>also</w:t>
      </w:r>
      <w:r w:rsidRPr="00FD40B8">
        <w:rPr>
          <w:color w:val="131727" w:themeColor="text1"/>
          <w:spacing w:val="13"/>
          <w:w w:val="105"/>
          <w:sz w:val="16"/>
        </w:rPr>
        <w:t xml:space="preserve"> </w:t>
      </w:r>
      <w:r w:rsidRPr="00FD40B8">
        <w:rPr>
          <w:color w:val="131727" w:themeColor="text1"/>
          <w:w w:val="105"/>
          <w:sz w:val="16"/>
        </w:rPr>
        <w:t>possible</w:t>
      </w:r>
      <w:r w:rsidRPr="00FD40B8">
        <w:rPr>
          <w:color w:val="131727" w:themeColor="text1"/>
          <w:spacing w:val="14"/>
          <w:w w:val="105"/>
          <w:sz w:val="16"/>
        </w:rPr>
        <w:t xml:space="preserve"> </w:t>
      </w:r>
      <w:r w:rsidRPr="00FD40B8">
        <w:rPr>
          <w:color w:val="131727" w:themeColor="text1"/>
          <w:w w:val="105"/>
          <w:sz w:val="16"/>
        </w:rPr>
        <w:t>this</w:t>
      </w:r>
      <w:r w:rsidRPr="00FD40B8">
        <w:rPr>
          <w:color w:val="131727" w:themeColor="text1"/>
          <w:spacing w:val="13"/>
          <w:w w:val="105"/>
          <w:sz w:val="16"/>
        </w:rPr>
        <w:t xml:space="preserve"> </w:t>
      </w:r>
      <w:r w:rsidRPr="00FD40B8">
        <w:rPr>
          <w:color w:val="131727" w:themeColor="text1"/>
          <w:w w:val="105"/>
          <w:sz w:val="16"/>
        </w:rPr>
        <w:t>slight</w:t>
      </w:r>
      <w:r w:rsidRPr="00FD40B8">
        <w:rPr>
          <w:color w:val="131727" w:themeColor="text1"/>
          <w:spacing w:val="40"/>
          <w:w w:val="105"/>
          <w:sz w:val="16"/>
        </w:rPr>
        <w:t xml:space="preserve"> </w:t>
      </w:r>
      <w:r w:rsidRPr="00FD40B8">
        <w:rPr>
          <w:color w:val="131727" w:themeColor="text1"/>
          <w:w w:val="105"/>
          <w:sz w:val="16"/>
        </w:rPr>
        <w:t>decrease is because of new investment in</w:t>
      </w:r>
      <w:r w:rsidRPr="00FD40B8">
        <w:rPr>
          <w:color w:val="131727" w:themeColor="text1"/>
          <w:spacing w:val="40"/>
          <w:w w:val="105"/>
          <w:sz w:val="16"/>
        </w:rPr>
        <w:t xml:space="preserve"> </w:t>
      </w:r>
      <w:r w:rsidRPr="00FD40B8">
        <w:rPr>
          <w:color w:val="131727" w:themeColor="text1"/>
          <w:w w:val="105"/>
          <w:sz w:val="16"/>
        </w:rPr>
        <w:t>the Northern</w:t>
      </w:r>
      <w:r w:rsidRPr="00FD40B8">
        <w:rPr>
          <w:color w:val="131727" w:themeColor="text1"/>
          <w:spacing w:val="40"/>
          <w:w w:val="105"/>
          <w:sz w:val="16"/>
        </w:rPr>
        <w:t xml:space="preserve"> </w:t>
      </w:r>
      <w:r w:rsidRPr="00FD40B8">
        <w:rPr>
          <w:color w:val="131727" w:themeColor="text1"/>
          <w:w w:val="105"/>
          <w:sz w:val="16"/>
        </w:rPr>
        <w:t>Territory.</w:t>
      </w:r>
    </w:p>
    <w:p w14:paraId="3060110A"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707A8725" w14:textId="77777777" w:rsidR="00811887" w:rsidRPr="00FD40B8" w:rsidRDefault="00811887" w:rsidP="00811887">
      <w:pPr>
        <w:pStyle w:val="Heading8"/>
        <w:spacing w:before="77"/>
        <w:rPr>
          <w:color w:val="131727" w:themeColor="text1"/>
          <w:sz w:val="16"/>
        </w:rPr>
      </w:pPr>
      <w:r w:rsidRPr="00FD40B8">
        <w:rPr>
          <w:color w:val="131727" w:themeColor="text1"/>
        </w:rPr>
        <w:lastRenderedPageBreak/>
        <w:t>Housing</w:t>
      </w:r>
      <w:r w:rsidRPr="00FD40B8">
        <w:rPr>
          <w:color w:val="131727" w:themeColor="text1"/>
          <w:spacing w:val="-5"/>
        </w:rPr>
        <w:t xml:space="preserve"> </w:t>
      </w:r>
      <w:r w:rsidRPr="00FD40B8">
        <w:rPr>
          <w:color w:val="131727" w:themeColor="text1"/>
        </w:rPr>
        <w:t>need</w:t>
      </w:r>
      <w:r w:rsidRPr="00FD40B8">
        <w:rPr>
          <w:color w:val="131727" w:themeColor="text1"/>
          <w:spacing w:val="1"/>
        </w:rPr>
        <w:t xml:space="preserve"> </w:t>
      </w:r>
      <w:r w:rsidRPr="00FD40B8">
        <w:rPr>
          <w:color w:val="131727" w:themeColor="text1"/>
        </w:rPr>
        <w:t>by</w:t>
      </w:r>
      <w:r w:rsidRPr="00FD40B8">
        <w:rPr>
          <w:color w:val="131727" w:themeColor="text1"/>
          <w:spacing w:val="-3"/>
        </w:rPr>
        <w:t xml:space="preserve"> </w:t>
      </w:r>
      <w:r w:rsidRPr="00FD40B8">
        <w:rPr>
          <w:color w:val="131727" w:themeColor="text1"/>
        </w:rPr>
        <w:t>Indigenous</w:t>
      </w:r>
      <w:r w:rsidRPr="00FD40B8">
        <w:rPr>
          <w:color w:val="131727" w:themeColor="text1"/>
          <w:spacing w:val="-5"/>
        </w:rPr>
        <w:t xml:space="preserve"> </w:t>
      </w:r>
      <w:r w:rsidRPr="00FD40B8">
        <w:rPr>
          <w:color w:val="131727" w:themeColor="text1"/>
          <w:spacing w:val="-2"/>
        </w:rPr>
        <w:t>Region</w:t>
      </w:r>
      <w:hyperlink w:anchor="_bookmark44" w:history="1">
        <w:r w:rsidRPr="00FD40B8">
          <w:rPr>
            <w:color w:val="131727" w:themeColor="text1"/>
            <w:spacing w:val="-2"/>
            <w:position w:val="6"/>
            <w:sz w:val="16"/>
          </w:rPr>
          <w:t>36</w:t>
        </w:r>
      </w:hyperlink>
    </w:p>
    <w:p w14:paraId="279F8BF8" w14:textId="77777777" w:rsidR="00811887" w:rsidRPr="00FD40B8" w:rsidRDefault="00811887" w:rsidP="00811887">
      <w:pPr>
        <w:pStyle w:val="BodyText"/>
        <w:spacing w:before="145" w:line="268" w:lineRule="auto"/>
        <w:ind w:left="508" w:right="823"/>
        <w:rPr>
          <w:color w:val="131727" w:themeColor="text1"/>
        </w:rPr>
      </w:pPr>
      <w:r w:rsidRPr="00FD40B8">
        <w:rPr>
          <w:color w:val="131727" w:themeColor="text1"/>
          <w:w w:val="110"/>
        </w:rPr>
        <w:t>An analysis of homelessness and overcrowding by</w:t>
      </w:r>
      <w:r w:rsidRPr="00FD40B8">
        <w:rPr>
          <w:color w:val="131727" w:themeColor="text1"/>
          <w:spacing w:val="-1"/>
          <w:w w:val="110"/>
        </w:rPr>
        <w:t xml:space="preserve"> </w:t>
      </w:r>
      <w:r w:rsidRPr="00FD40B8">
        <w:rPr>
          <w:color w:val="131727" w:themeColor="text1"/>
          <w:w w:val="110"/>
        </w:rPr>
        <w:t>Indigenous Region and comparing housing need across regions reveals two key insights:</w:t>
      </w:r>
    </w:p>
    <w:p w14:paraId="2EC96C28" w14:textId="77777777" w:rsidR="00811887" w:rsidRPr="00FD40B8" w:rsidRDefault="00811887" w:rsidP="00811887">
      <w:pPr>
        <w:pStyle w:val="ListParagraph"/>
        <w:widowControl w:val="0"/>
        <w:numPr>
          <w:ilvl w:val="0"/>
          <w:numId w:val="33"/>
        </w:numPr>
        <w:tabs>
          <w:tab w:val="left" w:pos="1228"/>
        </w:tabs>
        <w:autoSpaceDE w:val="0"/>
        <w:autoSpaceDN w:val="0"/>
        <w:spacing w:before="120" w:after="0" w:line="276" w:lineRule="auto"/>
        <w:ind w:right="737"/>
        <w:contextualSpacing w:val="0"/>
        <w:rPr>
          <w:rFonts w:ascii="Symbol" w:hAnsi="Symbol"/>
          <w:color w:val="131727" w:themeColor="text1"/>
          <w:sz w:val="20"/>
        </w:rPr>
      </w:pPr>
      <w:r w:rsidRPr="00FD40B8">
        <w:rPr>
          <w:color w:val="131727" w:themeColor="text1"/>
          <w:w w:val="110"/>
          <w:sz w:val="20"/>
        </w:rPr>
        <w:t>When</w:t>
      </w:r>
      <w:r w:rsidRPr="00FD40B8">
        <w:rPr>
          <w:color w:val="131727" w:themeColor="text1"/>
          <w:spacing w:val="-6"/>
          <w:w w:val="110"/>
          <w:sz w:val="20"/>
        </w:rPr>
        <w:t xml:space="preserve"> </w:t>
      </w:r>
      <w:r w:rsidRPr="00FD40B8">
        <w:rPr>
          <w:color w:val="131727" w:themeColor="text1"/>
          <w:w w:val="110"/>
          <w:sz w:val="20"/>
        </w:rPr>
        <w:t>looking</w:t>
      </w:r>
      <w:r w:rsidRPr="00FD40B8">
        <w:rPr>
          <w:color w:val="131727" w:themeColor="text1"/>
          <w:spacing w:val="-3"/>
          <w:w w:val="110"/>
          <w:sz w:val="20"/>
        </w:rPr>
        <w:t xml:space="preserve"> </w:t>
      </w:r>
      <w:r w:rsidRPr="00FD40B8">
        <w:rPr>
          <w:color w:val="131727" w:themeColor="text1"/>
          <w:w w:val="110"/>
          <w:sz w:val="20"/>
        </w:rPr>
        <w:t>at</w:t>
      </w:r>
      <w:r w:rsidRPr="00FD40B8">
        <w:rPr>
          <w:color w:val="131727" w:themeColor="text1"/>
          <w:spacing w:val="-3"/>
          <w:w w:val="110"/>
          <w:sz w:val="20"/>
        </w:rPr>
        <w:t xml:space="preserve"> </w:t>
      </w: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absolute</w:t>
      </w:r>
      <w:r w:rsidRPr="00FD40B8">
        <w:rPr>
          <w:color w:val="131727" w:themeColor="text1"/>
          <w:spacing w:val="-8"/>
          <w:w w:val="110"/>
          <w:sz w:val="20"/>
        </w:rPr>
        <w:t xml:space="preserve"> </w:t>
      </w:r>
      <w:r w:rsidRPr="00FD40B8">
        <w:rPr>
          <w:color w:val="131727" w:themeColor="text1"/>
          <w:w w:val="110"/>
          <w:sz w:val="20"/>
        </w:rPr>
        <w:t>number</w:t>
      </w:r>
      <w:r w:rsidRPr="00FD40B8">
        <w:rPr>
          <w:color w:val="131727" w:themeColor="text1"/>
          <w:spacing w:val="-8"/>
          <w:w w:val="110"/>
          <w:sz w:val="20"/>
        </w:rPr>
        <w:t xml:space="preserve"> </w:t>
      </w:r>
      <w:r w:rsidRPr="00FD40B8">
        <w:rPr>
          <w:color w:val="131727" w:themeColor="text1"/>
          <w:w w:val="110"/>
          <w:sz w:val="20"/>
        </w:rPr>
        <w:t>of</w:t>
      </w:r>
      <w:r w:rsidRPr="00FD40B8">
        <w:rPr>
          <w:color w:val="131727" w:themeColor="text1"/>
          <w:spacing w:val="-5"/>
          <w:w w:val="110"/>
          <w:sz w:val="20"/>
        </w:rPr>
        <w:t xml:space="preserve"> </w:t>
      </w:r>
      <w:r w:rsidRPr="00FD40B8">
        <w:rPr>
          <w:color w:val="131727" w:themeColor="text1"/>
          <w:w w:val="110"/>
          <w:sz w:val="20"/>
        </w:rPr>
        <w:t>houses</w:t>
      </w:r>
      <w:r w:rsidRPr="00FD40B8">
        <w:rPr>
          <w:color w:val="131727" w:themeColor="text1"/>
          <w:spacing w:val="-5"/>
          <w:w w:val="110"/>
          <w:sz w:val="20"/>
        </w:rPr>
        <w:t xml:space="preserve"> </w:t>
      </w:r>
      <w:r w:rsidRPr="00FD40B8">
        <w:rPr>
          <w:color w:val="131727" w:themeColor="text1"/>
          <w:w w:val="110"/>
          <w:sz w:val="20"/>
        </w:rPr>
        <w:t>needed,</w:t>
      </w:r>
      <w:r w:rsidRPr="00FD40B8">
        <w:rPr>
          <w:color w:val="131727" w:themeColor="text1"/>
          <w:spacing w:val="-3"/>
          <w:w w:val="110"/>
          <w:sz w:val="20"/>
        </w:rPr>
        <w:t xml:space="preserve"> </w:t>
      </w:r>
      <w:r w:rsidRPr="00FD40B8">
        <w:rPr>
          <w:color w:val="131727" w:themeColor="text1"/>
          <w:w w:val="110"/>
          <w:sz w:val="20"/>
        </w:rPr>
        <w:t>Queensland</w:t>
      </w:r>
      <w:r w:rsidRPr="00FD40B8">
        <w:rPr>
          <w:color w:val="131727" w:themeColor="text1"/>
          <w:spacing w:val="-3"/>
          <w:w w:val="110"/>
          <w:sz w:val="20"/>
        </w:rPr>
        <w:t xml:space="preserve"> </w:t>
      </w:r>
      <w:r w:rsidRPr="00FD40B8">
        <w:rPr>
          <w:color w:val="131727" w:themeColor="text1"/>
          <w:w w:val="110"/>
          <w:sz w:val="20"/>
        </w:rPr>
        <w:t>(5,173),</w:t>
      </w:r>
      <w:r w:rsidRPr="00FD40B8">
        <w:rPr>
          <w:color w:val="131727" w:themeColor="text1"/>
          <w:spacing w:val="-7"/>
          <w:w w:val="110"/>
          <w:sz w:val="20"/>
        </w:rPr>
        <w:t xml:space="preserve"> </w:t>
      </w:r>
      <w:r w:rsidRPr="00FD40B8">
        <w:rPr>
          <w:color w:val="131727" w:themeColor="text1"/>
          <w:w w:val="110"/>
          <w:sz w:val="20"/>
        </w:rPr>
        <w:t>followed</w:t>
      </w:r>
      <w:r w:rsidRPr="00FD40B8">
        <w:rPr>
          <w:color w:val="131727" w:themeColor="text1"/>
          <w:spacing w:val="-7"/>
          <w:w w:val="110"/>
          <w:sz w:val="20"/>
        </w:rPr>
        <w:t xml:space="preserve"> </w:t>
      </w:r>
      <w:r w:rsidRPr="00FD40B8">
        <w:rPr>
          <w:color w:val="131727" w:themeColor="text1"/>
          <w:w w:val="110"/>
          <w:sz w:val="20"/>
        </w:rPr>
        <w:t>by</w:t>
      </w:r>
      <w:r w:rsidRPr="00FD40B8">
        <w:rPr>
          <w:color w:val="131727" w:themeColor="text1"/>
          <w:spacing w:val="-4"/>
          <w:w w:val="110"/>
          <w:sz w:val="20"/>
        </w:rPr>
        <w:t xml:space="preserve"> </w:t>
      </w:r>
      <w:r w:rsidRPr="00FD40B8">
        <w:rPr>
          <w:color w:val="131727" w:themeColor="text1"/>
          <w:w w:val="110"/>
          <w:sz w:val="20"/>
        </w:rPr>
        <w:t>New South</w:t>
      </w:r>
      <w:r w:rsidRPr="00FD40B8">
        <w:rPr>
          <w:color w:val="131727" w:themeColor="text1"/>
          <w:spacing w:val="-3"/>
          <w:w w:val="110"/>
          <w:sz w:val="20"/>
        </w:rPr>
        <w:t xml:space="preserve"> </w:t>
      </w:r>
      <w:r w:rsidRPr="00FD40B8">
        <w:rPr>
          <w:color w:val="131727" w:themeColor="text1"/>
          <w:w w:val="110"/>
          <w:sz w:val="20"/>
        </w:rPr>
        <w:t>Wales (NSW)</w:t>
      </w:r>
      <w:r w:rsidRPr="00FD40B8">
        <w:rPr>
          <w:color w:val="131727" w:themeColor="text1"/>
          <w:spacing w:val="-1"/>
          <w:w w:val="110"/>
          <w:sz w:val="20"/>
        </w:rPr>
        <w:t xml:space="preserve"> </w:t>
      </w:r>
      <w:r w:rsidRPr="00FD40B8">
        <w:rPr>
          <w:color w:val="131727" w:themeColor="text1"/>
          <w:w w:val="110"/>
          <w:sz w:val="20"/>
        </w:rPr>
        <w:t>(4,375)</w:t>
      </w:r>
      <w:r w:rsidRPr="00FD40B8">
        <w:rPr>
          <w:color w:val="131727" w:themeColor="text1"/>
          <w:spacing w:val="-1"/>
          <w:w w:val="110"/>
          <w:sz w:val="20"/>
        </w:rPr>
        <w:t xml:space="preserve"> </w:t>
      </w:r>
      <w:r w:rsidRPr="00FD40B8">
        <w:rPr>
          <w:color w:val="131727" w:themeColor="text1"/>
          <w:w w:val="110"/>
          <w:sz w:val="20"/>
        </w:rPr>
        <w:t>and the Northern Territory</w:t>
      </w:r>
      <w:r w:rsidRPr="00FD40B8">
        <w:rPr>
          <w:color w:val="131727" w:themeColor="text1"/>
          <w:spacing w:val="-5"/>
          <w:w w:val="110"/>
          <w:sz w:val="20"/>
        </w:rPr>
        <w:t xml:space="preserve"> </w:t>
      </w:r>
      <w:r w:rsidRPr="00FD40B8">
        <w:rPr>
          <w:color w:val="131727" w:themeColor="text1"/>
          <w:w w:val="110"/>
          <w:sz w:val="20"/>
        </w:rPr>
        <w:t>(3,577)</w:t>
      </w:r>
      <w:r w:rsidRPr="00FD40B8">
        <w:rPr>
          <w:color w:val="131727" w:themeColor="text1"/>
          <w:spacing w:val="-1"/>
          <w:w w:val="110"/>
          <w:sz w:val="20"/>
        </w:rPr>
        <w:t xml:space="preserve"> </w:t>
      </w:r>
      <w:r w:rsidRPr="00FD40B8">
        <w:rPr>
          <w:color w:val="131727" w:themeColor="text1"/>
          <w:w w:val="110"/>
          <w:sz w:val="20"/>
        </w:rPr>
        <w:t>top</w:t>
      </w:r>
      <w:r w:rsidRPr="00FD40B8">
        <w:rPr>
          <w:color w:val="131727" w:themeColor="text1"/>
          <w:spacing w:val="-4"/>
          <w:w w:val="110"/>
          <w:sz w:val="20"/>
        </w:rPr>
        <w:t xml:space="preserve"> </w:t>
      </w:r>
      <w:r w:rsidRPr="00FD40B8">
        <w:rPr>
          <w:color w:val="131727" w:themeColor="text1"/>
          <w:w w:val="110"/>
          <w:sz w:val="20"/>
        </w:rPr>
        <w:t>the</w:t>
      </w:r>
      <w:r w:rsidRPr="00FD40B8">
        <w:rPr>
          <w:color w:val="131727" w:themeColor="text1"/>
          <w:spacing w:val="-4"/>
          <w:w w:val="110"/>
          <w:sz w:val="20"/>
        </w:rPr>
        <w:t xml:space="preserve"> </w:t>
      </w:r>
      <w:r w:rsidRPr="00FD40B8">
        <w:rPr>
          <w:color w:val="131727" w:themeColor="text1"/>
          <w:w w:val="110"/>
          <w:sz w:val="20"/>
        </w:rPr>
        <w:t>list.</w:t>
      </w:r>
      <w:r w:rsidRPr="00FD40B8">
        <w:rPr>
          <w:color w:val="131727" w:themeColor="text1"/>
          <w:spacing w:val="-4"/>
          <w:w w:val="110"/>
          <w:sz w:val="20"/>
        </w:rPr>
        <w:t xml:space="preserve"> </w:t>
      </w:r>
      <w:r w:rsidRPr="00FD40B8">
        <w:rPr>
          <w:color w:val="131727" w:themeColor="text1"/>
          <w:w w:val="110"/>
          <w:sz w:val="20"/>
        </w:rPr>
        <w:t>Reflective</w:t>
      </w:r>
      <w:r w:rsidRPr="00FD40B8">
        <w:rPr>
          <w:color w:val="131727" w:themeColor="text1"/>
          <w:spacing w:val="-4"/>
          <w:w w:val="110"/>
          <w:sz w:val="20"/>
        </w:rPr>
        <w:t xml:space="preserve"> </w:t>
      </w:r>
      <w:r w:rsidRPr="00FD40B8">
        <w:rPr>
          <w:color w:val="131727" w:themeColor="text1"/>
          <w:w w:val="110"/>
          <w:sz w:val="20"/>
        </w:rPr>
        <w:t>of their larger populations, the most houses in absolute terms needed are generally found in more urban areas including in Brisbane (1,828), the NSW Central and North Coast (1,639), Sydney – Wollongong</w:t>
      </w:r>
      <w:r w:rsidRPr="00FD40B8">
        <w:rPr>
          <w:color w:val="131727" w:themeColor="text1"/>
          <w:spacing w:val="-2"/>
          <w:w w:val="110"/>
          <w:sz w:val="20"/>
        </w:rPr>
        <w:t xml:space="preserve"> </w:t>
      </w:r>
      <w:r w:rsidRPr="00FD40B8">
        <w:rPr>
          <w:color w:val="131727" w:themeColor="text1"/>
          <w:w w:val="110"/>
          <w:sz w:val="20"/>
        </w:rPr>
        <w:t>(1,442),</w:t>
      </w:r>
      <w:r w:rsidRPr="00FD40B8">
        <w:rPr>
          <w:color w:val="131727" w:themeColor="text1"/>
          <w:spacing w:val="-2"/>
          <w:w w:val="110"/>
          <w:sz w:val="20"/>
        </w:rPr>
        <w:t xml:space="preserve"> </w:t>
      </w:r>
      <w:r w:rsidRPr="00FD40B8">
        <w:rPr>
          <w:color w:val="131727" w:themeColor="text1"/>
          <w:w w:val="110"/>
          <w:sz w:val="20"/>
        </w:rPr>
        <w:t>and</w:t>
      </w:r>
      <w:r w:rsidRPr="00FD40B8">
        <w:rPr>
          <w:color w:val="131727" w:themeColor="text1"/>
          <w:spacing w:val="-7"/>
          <w:w w:val="110"/>
          <w:sz w:val="20"/>
        </w:rPr>
        <w:t xml:space="preserve"> </w:t>
      </w:r>
      <w:r w:rsidRPr="00FD40B8">
        <w:rPr>
          <w:color w:val="131727" w:themeColor="text1"/>
          <w:w w:val="110"/>
          <w:sz w:val="20"/>
        </w:rPr>
        <w:t>Cairns –</w:t>
      </w:r>
      <w:r w:rsidRPr="00FD40B8">
        <w:rPr>
          <w:color w:val="131727" w:themeColor="text1"/>
          <w:spacing w:val="-2"/>
          <w:w w:val="110"/>
          <w:sz w:val="20"/>
        </w:rPr>
        <w:t xml:space="preserve"> </w:t>
      </w:r>
      <w:r w:rsidRPr="00FD40B8">
        <w:rPr>
          <w:color w:val="131727" w:themeColor="text1"/>
          <w:w w:val="110"/>
          <w:sz w:val="20"/>
        </w:rPr>
        <w:t>Atherton</w:t>
      </w:r>
      <w:r w:rsidRPr="00FD40B8">
        <w:rPr>
          <w:color w:val="131727" w:themeColor="text1"/>
          <w:spacing w:val="-1"/>
          <w:w w:val="110"/>
          <w:sz w:val="20"/>
        </w:rPr>
        <w:t xml:space="preserve"> </w:t>
      </w:r>
      <w:r w:rsidRPr="00FD40B8">
        <w:rPr>
          <w:color w:val="131727" w:themeColor="text1"/>
          <w:w w:val="110"/>
          <w:sz w:val="20"/>
        </w:rPr>
        <w:t>(883).</w:t>
      </w:r>
      <w:r w:rsidRPr="00FD40B8">
        <w:rPr>
          <w:color w:val="131727" w:themeColor="text1"/>
          <w:spacing w:val="-2"/>
          <w:w w:val="110"/>
          <w:sz w:val="20"/>
        </w:rPr>
        <w:t xml:space="preserve"> </w:t>
      </w:r>
      <w:r w:rsidRPr="00FD40B8">
        <w:rPr>
          <w:color w:val="131727" w:themeColor="text1"/>
          <w:w w:val="110"/>
          <w:sz w:val="20"/>
        </w:rPr>
        <w:t>However, the</w:t>
      </w:r>
      <w:r w:rsidRPr="00FD40B8">
        <w:rPr>
          <w:color w:val="131727" w:themeColor="text1"/>
          <w:spacing w:val="-2"/>
          <w:w w:val="110"/>
          <w:sz w:val="20"/>
        </w:rPr>
        <w:t xml:space="preserve"> </w:t>
      </w:r>
      <w:r w:rsidRPr="00FD40B8">
        <w:rPr>
          <w:color w:val="131727" w:themeColor="text1"/>
          <w:w w:val="110"/>
          <w:sz w:val="20"/>
        </w:rPr>
        <w:t>regions</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Jabiru</w:t>
      </w:r>
      <w:r w:rsidRPr="00FD40B8">
        <w:rPr>
          <w:color w:val="131727" w:themeColor="text1"/>
          <w:spacing w:val="-5"/>
          <w:w w:val="110"/>
          <w:sz w:val="20"/>
        </w:rPr>
        <w:t xml:space="preserve"> </w:t>
      </w:r>
      <w:r w:rsidRPr="00FD40B8">
        <w:rPr>
          <w:color w:val="131727" w:themeColor="text1"/>
          <w:w w:val="110"/>
          <w:sz w:val="20"/>
        </w:rPr>
        <w:t>–</w:t>
      </w:r>
      <w:r w:rsidRPr="00FD40B8">
        <w:rPr>
          <w:color w:val="131727" w:themeColor="text1"/>
          <w:spacing w:val="-2"/>
          <w:w w:val="110"/>
          <w:sz w:val="20"/>
        </w:rPr>
        <w:t xml:space="preserve"> </w:t>
      </w:r>
      <w:r w:rsidRPr="00FD40B8">
        <w:rPr>
          <w:color w:val="131727" w:themeColor="text1"/>
          <w:w w:val="110"/>
          <w:sz w:val="20"/>
        </w:rPr>
        <w:t>Tiwi (743), Nhulunbuy (681) and Katherine (601) in the Northern Territory also have high numbers of houses needed. A full breakdown of houses needed by Indigenous Region is at Appendix C. More detailed analysis by Indigenous Area</w:t>
      </w:r>
      <w:r w:rsidRPr="00FD40B8">
        <w:rPr>
          <w:color w:val="131727" w:themeColor="text1"/>
          <w:spacing w:val="-1"/>
          <w:w w:val="110"/>
          <w:sz w:val="20"/>
        </w:rPr>
        <w:t xml:space="preserve"> </w:t>
      </w:r>
      <w:r w:rsidRPr="00FD40B8">
        <w:rPr>
          <w:color w:val="131727" w:themeColor="text1"/>
          <w:w w:val="110"/>
          <w:sz w:val="20"/>
        </w:rPr>
        <w:t>for the top 50 highest need areas is at Appendix D.</w:t>
      </w:r>
    </w:p>
    <w:p w14:paraId="004703D1" w14:textId="77777777" w:rsidR="00811887" w:rsidRPr="00FD40B8" w:rsidRDefault="00811887" w:rsidP="00811887">
      <w:pPr>
        <w:pStyle w:val="ListParagraph"/>
        <w:widowControl w:val="0"/>
        <w:numPr>
          <w:ilvl w:val="0"/>
          <w:numId w:val="33"/>
        </w:numPr>
        <w:tabs>
          <w:tab w:val="left" w:pos="1228"/>
        </w:tabs>
        <w:autoSpaceDE w:val="0"/>
        <w:autoSpaceDN w:val="0"/>
        <w:spacing w:after="0" w:line="240" w:lineRule="exact"/>
        <w:ind w:hanging="360"/>
        <w:contextualSpacing w:val="0"/>
        <w:rPr>
          <w:rFonts w:ascii="Symbol" w:hAnsi="Symbol"/>
          <w:color w:val="131727" w:themeColor="text1"/>
          <w:sz w:val="21"/>
        </w:rPr>
      </w:pPr>
      <w:r w:rsidRPr="00FD40B8">
        <w:rPr>
          <w:color w:val="131727" w:themeColor="text1"/>
          <w:w w:val="110"/>
          <w:sz w:val="20"/>
        </w:rPr>
        <w:t>However,</w:t>
      </w:r>
      <w:r w:rsidRPr="00FD40B8">
        <w:rPr>
          <w:color w:val="131727" w:themeColor="text1"/>
          <w:spacing w:val="-1"/>
          <w:w w:val="110"/>
          <w:sz w:val="20"/>
        </w:rPr>
        <w:t xml:space="preserve"> </w:t>
      </w:r>
      <w:r w:rsidRPr="00FD40B8">
        <w:rPr>
          <w:color w:val="131727" w:themeColor="text1"/>
          <w:w w:val="110"/>
          <w:sz w:val="20"/>
        </w:rPr>
        <w:t>when considering</w:t>
      </w:r>
      <w:r w:rsidRPr="00FD40B8">
        <w:rPr>
          <w:color w:val="131727" w:themeColor="text1"/>
          <w:spacing w:val="-5"/>
          <w:w w:val="110"/>
          <w:sz w:val="20"/>
        </w:rPr>
        <w:t xml:space="preserve"> </w:t>
      </w:r>
      <w:r w:rsidRPr="00FD40B8">
        <w:rPr>
          <w:color w:val="131727" w:themeColor="text1"/>
          <w:w w:val="110"/>
          <w:sz w:val="20"/>
        </w:rPr>
        <w:t>the</w:t>
      </w:r>
      <w:r w:rsidRPr="00FD40B8">
        <w:rPr>
          <w:color w:val="131727" w:themeColor="text1"/>
          <w:spacing w:val="-5"/>
          <w:w w:val="110"/>
          <w:sz w:val="20"/>
        </w:rPr>
        <w:t xml:space="preserve"> </w:t>
      </w:r>
      <w:r w:rsidRPr="00FD40B8">
        <w:rPr>
          <w:color w:val="131727" w:themeColor="text1"/>
          <w:w w:val="110"/>
          <w:sz w:val="20"/>
        </w:rPr>
        <w:t>number</w:t>
      </w:r>
      <w:r w:rsidRPr="00FD40B8">
        <w:rPr>
          <w:color w:val="131727" w:themeColor="text1"/>
          <w:spacing w:val="-3"/>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people</w:t>
      </w:r>
      <w:r w:rsidRPr="00FD40B8">
        <w:rPr>
          <w:color w:val="131727" w:themeColor="text1"/>
          <w:spacing w:val="-5"/>
          <w:w w:val="110"/>
          <w:sz w:val="20"/>
        </w:rPr>
        <w:t xml:space="preserve"> </w:t>
      </w:r>
      <w:r w:rsidRPr="00FD40B8">
        <w:rPr>
          <w:color w:val="131727" w:themeColor="text1"/>
          <w:w w:val="110"/>
          <w:sz w:val="20"/>
        </w:rPr>
        <w:t>needing</w:t>
      </w:r>
      <w:r w:rsidRPr="00FD40B8">
        <w:rPr>
          <w:color w:val="131727" w:themeColor="text1"/>
          <w:spacing w:val="-6"/>
          <w:w w:val="110"/>
          <w:sz w:val="20"/>
        </w:rPr>
        <w:t xml:space="preserve"> </w:t>
      </w:r>
      <w:r w:rsidRPr="00FD40B8">
        <w:rPr>
          <w:color w:val="131727" w:themeColor="text1"/>
          <w:w w:val="110"/>
          <w:sz w:val="20"/>
        </w:rPr>
        <w:t>housing as</w:t>
      </w:r>
      <w:r w:rsidRPr="00FD40B8">
        <w:rPr>
          <w:color w:val="131727" w:themeColor="text1"/>
          <w:spacing w:val="1"/>
          <w:w w:val="110"/>
          <w:sz w:val="20"/>
        </w:rPr>
        <w:t xml:space="preserve"> </w:t>
      </w:r>
      <w:r w:rsidRPr="00FD40B8">
        <w:rPr>
          <w:color w:val="131727" w:themeColor="text1"/>
          <w:w w:val="110"/>
          <w:sz w:val="20"/>
        </w:rPr>
        <w:t>a</w:t>
      </w:r>
      <w:r w:rsidRPr="00FD40B8">
        <w:rPr>
          <w:color w:val="131727" w:themeColor="text1"/>
          <w:spacing w:val="-2"/>
          <w:w w:val="110"/>
          <w:sz w:val="20"/>
        </w:rPr>
        <w:t xml:space="preserve"> </w:t>
      </w:r>
      <w:r w:rsidRPr="00FD40B8">
        <w:rPr>
          <w:color w:val="131727" w:themeColor="text1"/>
          <w:w w:val="110"/>
          <w:sz w:val="20"/>
        </w:rPr>
        <w:t>proportion of</w:t>
      </w:r>
      <w:r w:rsidRPr="00FD40B8">
        <w:rPr>
          <w:color w:val="131727" w:themeColor="text1"/>
          <w:spacing w:val="1"/>
          <w:w w:val="110"/>
          <w:sz w:val="20"/>
        </w:rPr>
        <w:t xml:space="preserve"> </w:t>
      </w:r>
      <w:r w:rsidRPr="00FD40B8">
        <w:rPr>
          <w:color w:val="131727" w:themeColor="text1"/>
          <w:spacing w:val="-5"/>
          <w:w w:val="110"/>
          <w:sz w:val="20"/>
        </w:rPr>
        <w:t>the</w:t>
      </w:r>
    </w:p>
    <w:p w14:paraId="3F6A0EC4" w14:textId="77777777" w:rsidR="00811887" w:rsidRPr="00FD40B8" w:rsidRDefault="00811887" w:rsidP="00811887">
      <w:pPr>
        <w:pStyle w:val="BodyText"/>
        <w:spacing w:before="34" w:line="276" w:lineRule="auto"/>
        <w:ind w:left="1228" w:right="598"/>
        <w:rPr>
          <w:color w:val="131727" w:themeColor="text1"/>
        </w:rPr>
      </w:pPr>
      <w:r w:rsidRPr="00FD40B8">
        <w:rPr>
          <w:color w:val="131727" w:themeColor="text1"/>
          <w:w w:val="110"/>
        </w:rPr>
        <w:t>Aboriginal and Torres Strait Islander</w:t>
      </w:r>
      <w:r w:rsidRPr="00FD40B8">
        <w:rPr>
          <w:color w:val="131727" w:themeColor="text1"/>
          <w:spacing w:val="-1"/>
          <w:w w:val="110"/>
        </w:rPr>
        <w:t xml:space="preserve"> </w:t>
      </w:r>
      <w:r w:rsidRPr="00FD40B8">
        <w:rPr>
          <w:color w:val="131727" w:themeColor="text1"/>
          <w:w w:val="110"/>
        </w:rPr>
        <w:t>population</w:t>
      </w:r>
      <w:r w:rsidRPr="00FD40B8">
        <w:rPr>
          <w:color w:val="131727" w:themeColor="text1"/>
          <w:spacing w:val="-3"/>
          <w:w w:val="110"/>
        </w:rPr>
        <w:t xml:space="preserve"> </w:t>
      </w:r>
      <w:r w:rsidRPr="00FD40B8">
        <w:rPr>
          <w:color w:val="131727" w:themeColor="text1"/>
          <w:w w:val="110"/>
        </w:rPr>
        <w:t>size</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3"/>
          <w:w w:val="110"/>
        </w:rPr>
        <w:t xml:space="preserve"> </w:t>
      </w:r>
      <w:r w:rsidRPr="00FD40B8">
        <w:rPr>
          <w:color w:val="131727" w:themeColor="text1"/>
          <w:w w:val="110"/>
        </w:rPr>
        <w:t>each region (a</w:t>
      </w:r>
      <w:r w:rsidRPr="00FD40B8">
        <w:rPr>
          <w:color w:val="131727" w:themeColor="text1"/>
          <w:spacing w:val="-1"/>
          <w:w w:val="110"/>
        </w:rPr>
        <w:t xml:space="preserve"> </w:t>
      </w:r>
      <w:r w:rsidRPr="00FD40B8">
        <w:rPr>
          <w:color w:val="131727" w:themeColor="text1"/>
          <w:w w:val="110"/>
        </w:rPr>
        <w:t>more</w:t>
      </w:r>
      <w:r w:rsidRPr="00FD40B8">
        <w:rPr>
          <w:color w:val="131727" w:themeColor="text1"/>
          <w:spacing w:val="-4"/>
          <w:w w:val="110"/>
        </w:rPr>
        <w:t xml:space="preserve"> </w:t>
      </w:r>
      <w:r w:rsidRPr="00FD40B8">
        <w:rPr>
          <w:color w:val="131727" w:themeColor="text1"/>
          <w:w w:val="110"/>
        </w:rPr>
        <w:t>suitable</w:t>
      </w:r>
      <w:r w:rsidRPr="00FD40B8">
        <w:rPr>
          <w:color w:val="131727" w:themeColor="text1"/>
          <w:spacing w:val="-4"/>
          <w:w w:val="110"/>
        </w:rPr>
        <w:t xml:space="preserve"> </w:t>
      </w:r>
      <w:r w:rsidRPr="00FD40B8">
        <w:rPr>
          <w:color w:val="131727" w:themeColor="text1"/>
          <w:w w:val="110"/>
        </w:rPr>
        <w:t>indicator</w:t>
      </w:r>
      <w:r w:rsidRPr="00FD40B8">
        <w:rPr>
          <w:color w:val="131727" w:themeColor="text1"/>
          <w:spacing w:val="-1"/>
          <w:w w:val="110"/>
        </w:rPr>
        <w:t xml:space="preserve"> </w:t>
      </w:r>
      <w:r w:rsidRPr="00FD40B8">
        <w:rPr>
          <w:color w:val="131727" w:themeColor="text1"/>
          <w:w w:val="110"/>
        </w:rPr>
        <w:t>of relative</w:t>
      </w:r>
      <w:r w:rsidRPr="00FD40B8">
        <w:rPr>
          <w:color w:val="131727" w:themeColor="text1"/>
          <w:spacing w:val="-3"/>
          <w:w w:val="110"/>
        </w:rPr>
        <w:t xml:space="preserve"> </w:t>
      </w:r>
      <w:r w:rsidRPr="00FD40B8">
        <w:rPr>
          <w:color w:val="131727" w:themeColor="text1"/>
          <w:w w:val="110"/>
        </w:rPr>
        <w:t>need), the highest</w:t>
      </w:r>
      <w:r w:rsidRPr="00FD40B8">
        <w:rPr>
          <w:color w:val="131727" w:themeColor="text1"/>
          <w:spacing w:val="-3"/>
          <w:w w:val="110"/>
        </w:rPr>
        <w:t xml:space="preserve"> </w:t>
      </w:r>
      <w:r w:rsidRPr="00FD40B8">
        <w:rPr>
          <w:color w:val="131727" w:themeColor="text1"/>
          <w:w w:val="110"/>
        </w:rPr>
        <w:t>need</w:t>
      </w:r>
      <w:r w:rsidRPr="00FD40B8">
        <w:rPr>
          <w:color w:val="131727" w:themeColor="text1"/>
          <w:spacing w:val="-4"/>
          <w:w w:val="110"/>
        </w:rPr>
        <w:t xml:space="preserve"> </w:t>
      </w:r>
      <w:r w:rsidRPr="00FD40B8">
        <w:rPr>
          <w:color w:val="131727" w:themeColor="text1"/>
          <w:w w:val="110"/>
        </w:rPr>
        <w:t>is in Northern</w:t>
      </w:r>
      <w:r w:rsidRPr="00FD40B8">
        <w:rPr>
          <w:color w:val="131727" w:themeColor="text1"/>
          <w:spacing w:val="-2"/>
          <w:w w:val="110"/>
        </w:rPr>
        <w:t xml:space="preserve"> </w:t>
      </w:r>
      <w:r w:rsidRPr="00FD40B8">
        <w:rPr>
          <w:color w:val="131727" w:themeColor="text1"/>
          <w:w w:val="110"/>
        </w:rPr>
        <w:t>Territory (17.7%), followed by</w:t>
      </w:r>
      <w:r w:rsidRPr="00FD40B8">
        <w:rPr>
          <w:color w:val="131727" w:themeColor="text1"/>
          <w:spacing w:val="-4"/>
          <w:w w:val="110"/>
        </w:rPr>
        <w:t xml:space="preserve"> </w:t>
      </w:r>
      <w:r w:rsidRPr="00FD40B8">
        <w:rPr>
          <w:color w:val="131727" w:themeColor="text1"/>
          <w:w w:val="110"/>
        </w:rPr>
        <w:t>Western Australia (7.5%),</w:t>
      </w:r>
      <w:r w:rsidRPr="00FD40B8">
        <w:rPr>
          <w:color w:val="131727" w:themeColor="text1"/>
          <w:spacing w:val="-13"/>
          <w:w w:val="110"/>
        </w:rPr>
        <w:t xml:space="preserve"> </w:t>
      </w:r>
      <w:r w:rsidRPr="00FD40B8">
        <w:rPr>
          <w:color w:val="131727" w:themeColor="text1"/>
          <w:w w:val="110"/>
        </w:rPr>
        <w:t>South</w:t>
      </w:r>
      <w:r w:rsidRPr="00FD40B8">
        <w:rPr>
          <w:color w:val="131727" w:themeColor="text1"/>
          <w:spacing w:val="-12"/>
          <w:w w:val="110"/>
        </w:rPr>
        <w:t xml:space="preserve"> </w:t>
      </w:r>
      <w:r w:rsidRPr="00FD40B8">
        <w:rPr>
          <w:color w:val="131727" w:themeColor="text1"/>
          <w:w w:val="110"/>
        </w:rPr>
        <w:t>Australia</w:t>
      </w:r>
      <w:r w:rsidRPr="00FD40B8">
        <w:rPr>
          <w:color w:val="131727" w:themeColor="text1"/>
          <w:spacing w:val="-13"/>
          <w:w w:val="110"/>
        </w:rPr>
        <w:t xml:space="preserve"> </w:t>
      </w:r>
      <w:r w:rsidRPr="00FD40B8">
        <w:rPr>
          <w:color w:val="131727" w:themeColor="text1"/>
          <w:w w:val="110"/>
        </w:rPr>
        <w:t>(7.5%),</w:t>
      </w:r>
      <w:r w:rsidRPr="00FD40B8">
        <w:rPr>
          <w:color w:val="131727" w:themeColor="text1"/>
          <w:spacing w:val="-12"/>
          <w:w w:val="110"/>
        </w:rPr>
        <w:t xml:space="preserve"> </w:t>
      </w:r>
      <w:r w:rsidRPr="00FD40B8">
        <w:rPr>
          <w:color w:val="131727" w:themeColor="text1"/>
          <w:w w:val="110"/>
        </w:rPr>
        <w:t>Queensland</w:t>
      </w:r>
      <w:r w:rsidRPr="00FD40B8">
        <w:rPr>
          <w:color w:val="131727" w:themeColor="text1"/>
          <w:spacing w:val="-13"/>
          <w:w w:val="110"/>
        </w:rPr>
        <w:t xml:space="preserve"> </w:t>
      </w:r>
      <w:r w:rsidRPr="00FD40B8">
        <w:rPr>
          <w:color w:val="131727" w:themeColor="text1"/>
          <w:w w:val="110"/>
        </w:rPr>
        <w:t>(6.7%),</w:t>
      </w:r>
      <w:r w:rsidRPr="00FD40B8">
        <w:rPr>
          <w:color w:val="131727" w:themeColor="text1"/>
          <w:spacing w:val="-12"/>
          <w:w w:val="110"/>
        </w:rPr>
        <w:t xml:space="preserve"> </w:t>
      </w:r>
      <w:r w:rsidRPr="00FD40B8">
        <w:rPr>
          <w:color w:val="131727" w:themeColor="text1"/>
          <w:w w:val="110"/>
        </w:rPr>
        <w:t>Victoria</w:t>
      </w:r>
      <w:r w:rsidRPr="00FD40B8">
        <w:rPr>
          <w:color w:val="131727" w:themeColor="text1"/>
          <w:spacing w:val="-13"/>
          <w:w w:val="110"/>
        </w:rPr>
        <w:t xml:space="preserve"> </w:t>
      </w:r>
      <w:r w:rsidRPr="00FD40B8">
        <w:rPr>
          <w:color w:val="131727" w:themeColor="text1"/>
          <w:w w:val="110"/>
        </w:rPr>
        <w:t>(6.2%),</w:t>
      </w:r>
      <w:r w:rsidRPr="00FD40B8">
        <w:rPr>
          <w:color w:val="131727" w:themeColor="text1"/>
          <w:spacing w:val="-11"/>
          <w:w w:val="110"/>
        </w:rPr>
        <w:t xml:space="preserve"> </w:t>
      </w:r>
      <w:r w:rsidRPr="00FD40B8">
        <w:rPr>
          <w:color w:val="131727" w:themeColor="text1"/>
          <w:w w:val="110"/>
        </w:rPr>
        <w:t>and</w:t>
      </w:r>
      <w:r w:rsidRPr="00FD40B8">
        <w:rPr>
          <w:color w:val="131727" w:themeColor="text1"/>
          <w:spacing w:val="-12"/>
          <w:w w:val="110"/>
        </w:rPr>
        <w:t xml:space="preserve"> </w:t>
      </w:r>
      <w:r w:rsidRPr="00FD40B8">
        <w:rPr>
          <w:color w:val="131727" w:themeColor="text1"/>
          <w:w w:val="110"/>
        </w:rPr>
        <w:t>New</w:t>
      </w:r>
      <w:r w:rsidRPr="00FD40B8">
        <w:rPr>
          <w:color w:val="131727" w:themeColor="text1"/>
          <w:spacing w:val="-12"/>
          <w:w w:val="110"/>
        </w:rPr>
        <w:t xml:space="preserve"> </w:t>
      </w:r>
      <w:r w:rsidRPr="00FD40B8">
        <w:rPr>
          <w:color w:val="131727" w:themeColor="text1"/>
          <w:w w:val="110"/>
        </w:rPr>
        <w:t>South</w:t>
      </w:r>
      <w:r w:rsidRPr="00FD40B8">
        <w:rPr>
          <w:color w:val="131727" w:themeColor="text1"/>
          <w:spacing w:val="-13"/>
          <w:w w:val="110"/>
        </w:rPr>
        <w:t xml:space="preserve"> </w:t>
      </w:r>
      <w:r w:rsidRPr="00FD40B8">
        <w:rPr>
          <w:color w:val="131727" w:themeColor="text1"/>
          <w:w w:val="110"/>
        </w:rPr>
        <w:t>Wales</w:t>
      </w:r>
      <w:r w:rsidRPr="00FD40B8">
        <w:rPr>
          <w:color w:val="131727" w:themeColor="text1"/>
          <w:spacing w:val="-12"/>
          <w:w w:val="110"/>
        </w:rPr>
        <w:t xml:space="preserve"> </w:t>
      </w:r>
      <w:r w:rsidRPr="00FD40B8">
        <w:rPr>
          <w:color w:val="131727" w:themeColor="text1"/>
          <w:w w:val="110"/>
        </w:rPr>
        <w:t>and</w:t>
      </w:r>
      <w:r w:rsidRPr="00FD40B8">
        <w:rPr>
          <w:color w:val="131727" w:themeColor="text1"/>
          <w:spacing w:val="-11"/>
          <w:w w:val="110"/>
        </w:rPr>
        <w:t xml:space="preserve"> </w:t>
      </w:r>
      <w:r w:rsidRPr="00FD40B8">
        <w:rPr>
          <w:color w:val="131727" w:themeColor="text1"/>
          <w:w w:val="110"/>
        </w:rPr>
        <w:t>the ACT (both 4.9%). The highest need Indigenous Areas by state or territory are given below in Figure 2.</w:t>
      </w:r>
    </w:p>
    <w:p w14:paraId="62C544A0" w14:textId="77777777" w:rsidR="00811887" w:rsidRDefault="00811887" w:rsidP="00811887">
      <w:pPr>
        <w:spacing w:before="193"/>
        <w:ind w:left="508"/>
        <w:rPr>
          <w:rFonts w:ascii="Book Antiqua"/>
          <w:b/>
          <w:color w:val="131727" w:themeColor="text1"/>
          <w:spacing w:val="-2"/>
          <w:sz w:val="21"/>
        </w:rPr>
      </w:pPr>
      <w:r w:rsidRPr="00FD40B8">
        <w:rPr>
          <w:rFonts w:ascii="Book Antiqua"/>
          <w:b/>
          <w:color w:val="131727" w:themeColor="text1"/>
          <w:sz w:val="21"/>
        </w:rPr>
        <w:t>Figure</w:t>
      </w:r>
      <w:r w:rsidRPr="00FD40B8">
        <w:rPr>
          <w:rFonts w:ascii="Book Antiqua"/>
          <w:b/>
          <w:color w:val="131727" w:themeColor="text1"/>
          <w:spacing w:val="-6"/>
          <w:sz w:val="21"/>
        </w:rPr>
        <w:t xml:space="preserve"> </w:t>
      </w:r>
      <w:r w:rsidRPr="00FD40B8">
        <w:rPr>
          <w:rFonts w:ascii="Book Antiqua"/>
          <w:b/>
          <w:color w:val="131727" w:themeColor="text1"/>
          <w:sz w:val="21"/>
        </w:rPr>
        <w:t>2.</w:t>
      </w:r>
      <w:r w:rsidRPr="00FD40B8">
        <w:rPr>
          <w:rFonts w:ascii="Book Antiqua"/>
          <w:b/>
          <w:color w:val="131727" w:themeColor="text1"/>
          <w:spacing w:val="-9"/>
          <w:sz w:val="21"/>
        </w:rPr>
        <w:t xml:space="preserve"> </w:t>
      </w:r>
      <w:r w:rsidRPr="00FD40B8">
        <w:rPr>
          <w:rFonts w:ascii="Book Antiqua"/>
          <w:b/>
          <w:color w:val="131727" w:themeColor="text1"/>
          <w:sz w:val="21"/>
        </w:rPr>
        <w:t>Highest</w:t>
      </w:r>
      <w:r w:rsidRPr="00FD40B8">
        <w:rPr>
          <w:rFonts w:ascii="Book Antiqua"/>
          <w:b/>
          <w:color w:val="131727" w:themeColor="text1"/>
          <w:spacing w:val="-4"/>
          <w:sz w:val="21"/>
        </w:rPr>
        <w:t xml:space="preserve"> </w:t>
      </w:r>
      <w:r w:rsidRPr="00FD40B8">
        <w:rPr>
          <w:rFonts w:ascii="Book Antiqua"/>
          <w:b/>
          <w:color w:val="131727" w:themeColor="text1"/>
          <w:sz w:val="21"/>
        </w:rPr>
        <w:t>need</w:t>
      </w:r>
      <w:r w:rsidRPr="00FD40B8">
        <w:rPr>
          <w:rFonts w:ascii="Book Antiqua"/>
          <w:b/>
          <w:color w:val="131727" w:themeColor="text1"/>
          <w:spacing w:val="-8"/>
          <w:sz w:val="21"/>
        </w:rPr>
        <w:t xml:space="preserve"> </w:t>
      </w:r>
      <w:r w:rsidRPr="00FD40B8">
        <w:rPr>
          <w:rFonts w:ascii="Book Antiqua"/>
          <w:b/>
          <w:color w:val="131727" w:themeColor="text1"/>
          <w:sz w:val="21"/>
        </w:rPr>
        <w:t>Indigenous</w:t>
      </w:r>
      <w:r w:rsidRPr="00FD40B8">
        <w:rPr>
          <w:rFonts w:ascii="Book Antiqua"/>
          <w:b/>
          <w:color w:val="131727" w:themeColor="text1"/>
          <w:spacing w:val="-7"/>
          <w:sz w:val="21"/>
        </w:rPr>
        <w:t xml:space="preserve"> </w:t>
      </w:r>
      <w:r w:rsidRPr="00FD40B8">
        <w:rPr>
          <w:rFonts w:ascii="Book Antiqua"/>
          <w:b/>
          <w:color w:val="131727" w:themeColor="text1"/>
          <w:sz w:val="21"/>
        </w:rPr>
        <w:t>Regions</w:t>
      </w:r>
      <w:r w:rsidRPr="00FD40B8">
        <w:rPr>
          <w:rFonts w:ascii="Book Antiqua"/>
          <w:b/>
          <w:color w:val="131727" w:themeColor="text1"/>
          <w:spacing w:val="-6"/>
          <w:sz w:val="21"/>
        </w:rPr>
        <w:t xml:space="preserve"> </w:t>
      </w:r>
      <w:r w:rsidRPr="00FD40B8">
        <w:rPr>
          <w:rFonts w:ascii="Book Antiqua"/>
          <w:b/>
          <w:color w:val="131727" w:themeColor="text1"/>
          <w:sz w:val="21"/>
        </w:rPr>
        <w:t>by</w:t>
      </w:r>
      <w:r w:rsidRPr="00FD40B8">
        <w:rPr>
          <w:rFonts w:ascii="Book Antiqua"/>
          <w:b/>
          <w:color w:val="131727" w:themeColor="text1"/>
          <w:spacing w:val="-7"/>
          <w:sz w:val="21"/>
        </w:rPr>
        <w:t xml:space="preserve"> </w:t>
      </w:r>
      <w:r w:rsidRPr="00FD40B8">
        <w:rPr>
          <w:rFonts w:ascii="Book Antiqua"/>
          <w:b/>
          <w:color w:val="131727" w:themeColor="text1"/>
          <w:sz w:val="21"/>
        </w:rPr>
        <w:t>proportion</w:t>
      </w:r>
      <w:r w:rsidRPr="00FD40B8">
        <w:rPr>
          <w:rFonts w:ascii="Book Antiqua"/>
          <w:b/>
          <w:color w:val="131727" w:themeColor="text1"/>
          <w:spacing w:val="-4"/>
          <w:sz w:val="21"/>
        </w:rPr>
        <w:t xml:space="preserve"> </w:t>
      </w:r>
      <w:r w:rsidRPr="00FD40B8">
        <w:rPr>
          <w:rFonts w:ascii="Book Antiqua"/>
          <w:b/>
          <w:color w:val="131727" w:themeColor="text1"/>
          <w:sz w:val="21"/>
        </w:rPr>
        <w:t>of</w:t>
      </w:r>
      <w:r w:rsidRPr="00FD40B8">
        <w:rPr>
          <w:rFonts w:ascii="Book Antiqua"/>
          <w:b/>
          <w:color w:val="131727" w:themeColor="text1"/>
          <w:spacing w:val="-10"/>
          <w:sz w:val="21"/>
        </w:rPr>
        <w:t xml:space="preserve"> </w:t>
      </w:r>
      <w:r w:rsidRPr="00FD40B8">
        <w:rPr>
          <w:rFonts w:ascii="Book Antiqua"/>
          <w:b/>
          <w:color w:val="131727" w:themeColor="text1"/>
          <w:sz w:val="21"/>
        </w:rPr>
        <w:t>population</w:t>
      </w:r>
      <w:r w:rsidRPr="00FD40B8">
        <w:rPr>
          <w:rFonts w:ascii="Book Antiqua"/>
          <w:b/>
          <w:color w:val="131727" w:themeColor="text1"/>
          <w:spacing w:val="-9"/>
          <w:sz w:val="21"/>
        </w:rPr>
        <w:t xml:space="preserve"> </w:t>
      </w:r>
      <w:r w:rsidRPr="00FD40B8">
        <w:rPr>
          <w:rFonts w:ascii="Book Antiqua"/>
          <w:b/>
          <w:color w:val="131727" w:themeColor="text1"/>
          <w:sz w:val="21"/>
        </w:rPr>
        <w:t>needing</w:t>
      </w:r>
      <w:r w:rsidRPr="00FD40B8">
        <w:rPr>
          <w:rFonts w:ascii="Book Antiqua"/>
          <w:b/>
          <w:color w:val="131727" w:themeColor="text1"/>
          <w:spacing w:val="-2"/>
          <w:sz w:val="21"/>
        </w:rPr>
        <w:t xml:space="preserve"> housing</w:t>
      </w:r>
    </w:p>
    <w:p w14:paraId="44E6AB08" w14:textId="77777777" w:rsidR="00811887" w:rsidRPr="00FD40B8" w:rsidRDefault="00811887" w:rsidP="00811887">
      <w:pPr>
        <w:spacing w:before="193"/>
        <w:ind w:left="508"/>
        <w:rPr>
          <w:rFonts w:ascii="Book Antiqua"/>
          <w:b/>
          <w:color w:val="131727" w:themeColor="text1"/>
          <w:sz w:val="21"/>
        </w:rPr>
      </w:pPr>
    </w:p>
    <w:p w14:paraId="603C23E0" w14:textId="77777777" w:rsidR="00811887" w:rsidRDefault="00811887" w:rsidP="00811887">
      <w:pPr>
        <w:pStyle w:val="BodyText"/>
        <w:spacing w:before="9"/>
        <w:jc w:val="center"/>
        <w:rPr>
          <w:rFonts w:ascii="Book Antiqua"/>
          <w:b/>
          <w:sz w:val="9"/>
        </w:rPr>
      </w:pPr>
      <w:r>
        <w:rPr>
          <w:noProof/>
        </w:rPr>
        <w:drawing>
          <wp:inline distT="0" distB="0" distL="0" distR="0" wp14:anchorId="58C01FAF" wp14:editId="5D8C5896">
            <wp:extent cx="3939967" cy="3801237"/>
            <wp:effectExtent l="0" t="0" r="3810" b="8890"/>
            <wp:docPr id="145" name="Image 145" descr="Figure 2 displays a map of Australia with coloured houses to display areas that are priority. &#10;&#10;Red-coloured houses indicates need of greater than 20%; orange 11-20%; yellow 6-10% and green is 5% or less.&#10;&#10;Red houses include regions in Katherine, Jabiru-Tiwi, Nhulunbuy.&#10;&#10;Orange houses include regions in Kalgoorlie, West Kimberly, Kununurra, Tennant Creek, Aputula, Mt Isa and Cape York.&#10;&#10;Yellow houses include regions in Torres Strait, Cairns, Rockhampton, Victoria, Adelaide, Port Augusta and Port Lincon, Geraldton and Broome. &#10;&#10;Green houses include regions in Tasmania and new South Wales.&#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Figure 2 displays a map of Australia with coloured houses to display areas that are priority. &#10;&#10;Red-coloured houses indicates need of greater than 20%; orange 11-20%; yellow 6-10% and green is 5% or less.&#10;&#10;Red houses include regions in Katherine, Jabiru-Tiwi, Nhulunbuy.&#10;&#10;Orange houses include regions in Kalgoorlie, West Kimberly, Kununurra, Tennant Creek, Aputula, Mt Isa and Cape York.&#10;&#10;Yellow houses include regions in Torres Strait, Cairns, Rockhampton, Victoria, Adelaide, Port Augusta and Port Lincon, Geraldton and Broome. &#10;&#10;Green houses include regions in Tasmania and new South Wales.&#1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39967" cy="3801237"/>
                    </a:xfrm>
                    <a:prstGeom prst="rect">
                      <a:avLst/>
                    </a:prstGeom>
                  </pic:spPr>
                </pic:pic>
              </a:graphicData>
            </a:graphic>
          </wp:inline>
        </w:drawing>
      </w:r>
    </w:p>
    <w:p w14:paraId="7E393DA2" w14:textId="77777777" w:rsidR="00811887" w:rsidRDefault="00811887" w:rsidP="00811887">
      <w:pPr>
        <w:pStyle w:val="BodyText"/>
        <w:spacing w:before="30"/>
        <w:rPr>
          <w:rFonts w:ascii="Book Antiqua"/>
          <w:b/>
          <w:sz w:val="21"/>
        </w:rPr>
      </w:pPr>
    </w:p>
    <w:p w14:paraId="74FE7A51" w14:textId="77777777" w:rsidR="00811887" w:rsidRPr="00FD40B8" w:rsidRDefault="00811887" w:rsidP="00811887">
      <w:pPr>
        <w:spacing w:before="1" w:line="364" w:lineRule="auto"/>
        <w:ind w:left="508" w:right="598"/>
        <w:rPr>
          <w:rFonts w:ascii="Book Antiqua"/>
          <w:color w:val="131727" w:themeColor="text1"/>
          <w:sz w:val="18"/>
        </w:rPr>
      </w:pPr>
      <w:bookmarkStart w:id="155" w:name="_Hlk176950675"/>
      <w:r w:rsidRPr="00FD40B8">
        <w:rPr>
          <w:rFonts w:ascii="Book Antiqua"/>
          <w:color w:val="131727" w:themeColor="text1"/>
          <w:sz w:val="18"/>
        </w:rPr>
        <w:t>A</w:t>
      </w:r>
      <w:r w:rsidRPr="00FD40B8">
        <w:rPr>
          <w:rFonts w:ascii="Book Antiqua"/>
          <w:color w:val="131727" w:themeColor="text1"/>
          <w:spacing w:val="-1"/>
          <w:sz w:val="18"/>
        </w:rPr>
        <w:t xml:space="preserve"> </w:t>
      </w:r>
      <w:r w:rsidRPr="00FD40B8">
        <w:rPr>
          <w:rFonts w:ascii="Book Antiqua"/>
          <w:color w:val="131727" w:themeColor="text1"/>
          <w:sz w:val="18"/>
        </w:rPr>
        <w:t>red-coloured house</w:t>
      </w:r>
      <w:r w:rsidRPr="00FD40B8">
        <w:rPr>
          <w:rFonts w:ascii="Book Antiqua"/>
          <w:color w:val="131727" w:themeColor="text1"/>
          <w:spacing w:val="-4"/>
          <w:sz w:val="18"/>
        </w:rPr>
        <w:t xml:space="preserve"> </w:t>
      </w:r>
      <w:r w:rsidRPr="00FD40B8">
        <w:rPr>
          <w:rFonts w:ascii="Book Antiqua"/>
          <w:color w:val="131727" w:themeColor="text1"/>
          <w:sz w:val="18"/>
        </w:rPr>
        <w:t>indicates</w:t>
      </w:r>
      <w:r w:rsidRPr="00FD40B8">
        <w:rPr>
          <w:rFonts w:ascii="Book Antiqua"/>
          <w:color w:val="131727" w:themeColor="text1"/>
          <w:spacing w:val="-4"/>
          <w:sz w:val="18"/>
        </w:rPr>
        <w:t xml:space="preserve"> </w:t>
      </w:r>
      <w:r w:rsidRPr="00FD40B8">
        <w:rPr>
          <w:rFonts w:ascii="Book Antiqua"/>
          <w:color w:val="131727" w:themeColor="text1"/>
          <w:sz w:val="18"/>
        </w:rPr>
        <w:t>need</w:t>
      </w:r>
      <w:r w:rsidRPr="00FD40B8">
        <w:rPr>
          <w:rFonts w:ascii="Book Antiqua"/>
          <w:color w:val="131727" w:themeColor="text1"/>
          <w:spacing w:val="-5"/>
          <w:sz w:val="18"/>
        </w:rPr>
        <w:t xml:space="preserve"> </w:t>
      </w:r>
      <w:r w:rsidRPr="00FD40B8">
        <w:rPr>
          <w:rFonts w:ascii="Book Antiqua"/>
          <w:color w:val="131727" w:themeColor="text1"/>
          <w:sz w:val="18"/>
        </w:rPr>
        <w:t>of greater</w:t>
      </w:r>
      <w:r w:rsidRPr="00FD40B8">
        <w:rPr>
          <w:rFonts w:ascii="Book Antiqua"/>
          <w:color w:val="131727" w:themeColor="text1"/>
          <w:spacing w:val="-4"/>
          <w:sz w:val="18"/>
        </w:rPr>
        <w:t xml:space="preserve"> </w:t>
      </w:r>
      <w:r w:rsidRPr="00FD40B8">
        <w:rPr>
          <w:rFonts w:ascii="Book Antiqua"/>
          <w:color w:val="131727" w:themeColor="text1"/>
          <w:sz w:val="18"/>
        </w:rPr>
        <w:t>than</w:t>
      </w:r>
      <w:r w:rsidRPr="00FD40B8">
        <w:rPr>
          <w:rFonts w:ascii="Book Antiqua"/>
          <w:color w:val="131727" w:themeColor="text1"/>
          <w:spacing w:val="-4"/>
          <w:sz w:val="18"/>
        </w:rPr>
        <w:t xml:space="preserve"> </w:t>
      </w:r>
      <w:r w:rsidRPr="00FD40B8">
        <w:rPr>
          <w:rFonts w:ascii="Book Antiqua"/>
          <w:color w:val="131727" w:themeColor="text1"/>
          <w:sz w:val="18"/>
        </w:rPr>
        <w:t>20%;</w:t>
      </w:r>
      <w:r w:rsidRPr="00FD40B8">
        <w:rPr>
          <w:rFonts w:ascii="Book Antiqua"/>
          <w:color w:val="131727" w:themeColor="text1"/>
          <w:spacing w:val="-1"/>
          <w:sz w:val="18"/>
        </w:rPr>
        <w:t xml:space="preserve"> </w:t>
      </w:r>
      <w:r w:rsidRPr="00FD40B8">
        <w:rPr>
          <w:rFonts w:ascii="Book Antiqua"/>
          <w:color w:val="131727" w:themeColor="text1"/>
          <w:sz w:val="18"/>
        </w:rPr>
        <w:t>orange 11-20%; yellow</w:t>
      </w:r>
      <w:r w:rsidRPr="00FD40B8">
        <w:rPr>
          <w:rFonts w:ascii="Book Antiqua"/>
          <w:color w:val="131727" w:themeColor="text1"/>
          <w:spacing w:val="-2"/>
          <w:sz w:val="18"/>
        </w:rPr>
        <w:t xml:space="preserve"> </w:t>
      </w:r>
      <w:r w:rsidRPr="00FD40B8">
        <w:rPr>
          <w:rFonts w:ascii="Book Antiqua"/>
          <w:color w:val="131727" w:themeColor="text1"/>
          <w:sz w:val="18"/>
        </w:rPr>
        <w:t>6-10%</w:t>
      </w:r>
      <w:r w:rsidRPr="00FD40B8">
        <w:rPr>
          <w:rFonts w:ascii="Book Antiqua"/>
          <w:color w:val="131727" w:themeColor="text1"/>
          <w:spacing w:val="-3"/>
          <w:sz w:val="18"/>
        </w:rPr>
        <w:t xml:space="preserve"> </w:t>
      </w:r>
      <w:r w:rsidRPr="00FD40B8">
        <w:rPr>
          <w:rFonts w:ascii="Book Antiqua"/>
          <w:color w:val="131727" w:themeColor="text1"/>
          <w:sz w:val="18"/>
        </w:rPr>
        <w:t>and</w:t>
      </w:r>
      <w:r w:rsidRPr="00FD40B8">
        <w:rPr>
          <w:rFonts w:ascii="Book Antiqua"/>
          <w:color w:val="131727" w:themeColor="text1"/>
          <w:spacing w:val="-5"/>
          <w:sz w:val="18"/>
        </w:rPr>
        <w:t xml:space="preserve"> </w:t>
      </w:r>
      <w:r w:rsidRPr="00FD40B8">
        <w:rPr>
          <w:rFonts w:ascii="Book Antiqua"/>
          <w:color w:val="131727" w:themeColor="text1"/>
          <w:sz w:val="18"/>
        </w:rPr>
        <w:t>green is 5%</w:t>
      </w:r>
      <w:r w:rsidRPr="00FD40B8">
        <w:rPr>
          <w:rFonts w:ascii="Book Antiqua"/>
          <w:color w:val="131727" w:themeColor="text1"/>
          <w:spacing w:val="-3"/>
          <w:sz w:val="18"/>
        </w:rPr>
        <w:t xml:space="preserve"> </w:t>
      </w:r>
      <w:r w:rsidRPr="00FD40B8">
        <w:rPr>
          <w:rFonts w:ascii="Book Antiqua"/>
          <w:color w:val="131727" w:themeColor="text1"/>
          <w:sz w:val="18"/>
        </w:rPr>
        <w:t>or</w:t>
      </w:r>
      <w:r w:rsidRPr="00FD40B8">
        <w:rPr>
          <w:rFonts w:ascii="Book Antiqua"/>
          <w:color w:val="131727" w:themeColor="text1"/>
          <w:spacing w:val="-4"/>
          <w:sz w:val="18"/>
        </w:rPr>
        <w:t xml:space="preserve"> </w:t>
      </w:r>
      <w:r w:rsidRPr="00FD40B8">
        <w:rPr>
          <w:rFonts w:ascii="Book Antiqua"/>
          <w:color w:val="131727" w:themeColor="text1"/>
          <w:sz w:val="18"/>
        </w:rPr>
        <w:t xml:space="preserve">less. </w:t>
      </w:r>
      <w:bookmarkEnd w:id="155"/>
      <w:r w:rsidRPr="00FD40B8">
        <w:rPr>
          <w:rFonts w:ascii="Book Antiqua"/>
          <w:color w:val="131727" w:themeColor="text1"/>
          <w:sz w:val="18"/>
        </w:rPr>
        <w:t>Source: Equity Economics calculations from ABS 2021. Estimating Homelessness. [Census TableBuilder].</w:t>
      </w:r>
    </w:p>
    <w:p w14:paraId="61A7690A" w14:textId="77777777" w:rsidR="00811887" w:rsidRPr="00FD40B8" w:rsidRDefault="00811887" w:rsidP="00811887">
      <w:pPr>
        <w:pStyle w:val="BodyText"/>
        <w:spacing w:before="171"/>
        <w:rPr>
          <w:rFonts w:ascii="Book Antiqua"/>
          <w:color w:val="131727" w:themeColor="text1"/>
        </w:rPr>
      </w:pPr>
      <w:r w:rsidRPr="00FD40B8">
        <w:rPr>
          <w:noProof/>
          <w:color w:val="131727" w:themeColor="text1"/>
        </w:rPr>
        <mc:AlternateContent>
          <mc:Choice Requires="wps">
            <w:drawing>
              <wp:anchor distT="0" distB="0" distL="0" distR="0" simplePos="0" relativeHeight="251742208" behindDoc="1" locked="0" layoutInCell="1" allowOverlap="1" wp14:anchorId="6C2F4E6D" wp14:editId="6DE0A6ED">
                <wp:simplePos x="0" y="0"/>
                <wp:positionH relativeFrom="page">
                  <wp:posOffset>792784</wp:posOffset>
                </wp:positionH>
                <wp:positionV relativeFrom="paragraph">
                  <wp:posOffset>281764</wp:posOffset>
                </wp:positionV>
                <wp:extent cx="1830070" cy="6350"/>
                <wp:effectExtent l="0" t="0" r="0" b="0"/>
                <wp:wrapTopAndBottom/>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25C306" id="Graphic 146" o:spid="_x0000_s1026" alt="&quot;&quot;" style="position:absolute;margin-left:62.4pt;margin-top:22.2pt;width:144.1pt;height:.5pt;z-index:-25157427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" path="m1829689,l,,,6095r1829689,l1829689,xe" fillcolor="black" stroked="f">
                <v:path arrowok="t"/>
                <w10:wrap type="topAndBottom" anchorx="page"/>
              </v:shape>
            </w:pict>
          </mc:Fallback>
        </mc:AlternateContent>
      </w:r>
    </w:p>
    <w:p w14:paraId="6E7588F6" w14:textId="77777777" w:rsidR="00811887" w:rsidRPr="00FD40B8" w:rsidRDefault="00811887" w:rsidP="00811887">
      <w:pPr>
        <w:spacing w:before="123" w:line="266" w:lineRule="auto"/>
        <w:ind w:left="508" w:right="532"/>
        <w:rPr>
          <w:color w:val="131727" w:themeColor="text1"/>
          <w:sz w:val="16"/>
        </w:rPr>
      </w:pPr>
      <w:bookmarkStart w:id="156" w:name="_bookmark44"/>
      <w:bookmarkEnd w:id="156"/>
      <w:r w:rsidRPr="00FD40B8">
        <w:rPr>
          <w:color w:val="131727" w:themeColor="text1"/>
          <w:w w:val="105"/>
          <w:position w:val="6"/>
          <w:sz w:val="10"/>
        </w:rPr>
        <w:t>36</w:t>
      </w:r>
      <w:r w:rsidRPr="00FD40B8">
        <w:rPr>
          <w:color w:val="131727" w:themeColor="text1"/>
          <w:spacing w:val="40"/>
          <w:w w:val="105"/>
          <w:position w:val="6"/>
          <w:sz w:val="10"/>
        </w:rPr>
        <w:t xml:space="preserve"> </w:t>
      </w:r>
      <w:r w:rsidRPr="00FD40B8">
        <w:rPr>
          <w:color w:val="131727" w:themeColor="text1"/>
          <w:w w:val="105"/>
          <w:sz w:val="16"/>
        </w:rPr>
        <w:t>Indigenous</w:t>
      </w:r>
      <w:r w:rsidRPr="00FD40B8">
        <w:rPr>
          <w:color w:val="131727" w:themeColor="text1"/>
          <w:spacing w:val="28"/>
          <w:w w:val="105"/>
          <w:sz w:val="16"/>
        </w:rPr>
        <w:t xml:space="preserve"> </w:t>
      </w:r>
      <w:r w:rsidRPr="00FD40B8">
        <w:rPr>
          <w:color w:val="131727" w:themeColor="text1"/>
          <w:w w:val="105"/>
          <w:sz w:val="16"/>
        </w:rPr>
        <w:t>Regions</w:t>
      </w:r>
      <w:r w:rsidRPr="00FD40B8">
        <w:rPr>
          <w:color w:val="131727" w:themeColor="text1"/>
          <w:spacing w:val="28"/>
          <w:w w:val="105"/>
          <w:sz w:val="16"/>
        </w:rPr>
        <w:t xml:space="preserve"> </w:t>
      </w:r>
      <w:r w:rsidRPr="00FD40B8">
        <w:rPr>
          <w:color w:val="131727" w:themeColor="text1"/>
          <w:w w:val="105"/>
          <w:sz w:val="16"/>
        </w:rPr>
        <w:t>are</w:t>
      </w:r>
      <w:r w:rsidRPr="00FD40B8">
        <w:rPr>
          <w:color w:val="131727" w:themeColor="text1"/>
          <w:spacing w:val="29"/>
          <w:w w:val="105"/>
          <w:sz w:val="16"/>
        </w:rPr>
        <w:t xml:space="preserve"> </w:t>
      </w:r>
      <w:r w:rsidRPr="00FD40B8">
        <w:rPr>
          <w:color w:val="131727" w:themeColor="text1"/>
          <w:w w:val="105"/>
          <w:sz w:val="16"/>
        </w:rPr>
        <w:t>a</w:t>
      </w:r>
      <w:r w:rsidRPr="00FD40B8">
        <w:rPr>
          <w:color w:val="131727" w:themeColor="text1"/>
          <w:spacing w:val="34"/>
          <w:w w:val="105"/>
          <w:sz w:val="16"/>
        </w:rPr>
        <w:t xml:space="preserve"> </w:t>
      </w:r>
      <w:r w:rsidRPr="00FD40B8">
        <w:rPr>
          <w:color w:val="131727" w:themeColor="text1"/>
          <w:w w:val="105"/>
          <w:sz w:val="16"/>
        </w:rPr>
        <w:t>component</w:t>
      </w:r>
      <w:r w:rsidRPr="00FD40B8">
        <w:rPr>
          <w:color w:val="131727" w:themeColor="text1"/>
          <w:spacing w:val="29"/>
          <w:w w:val="105"/>
          <w:sz w:val="16"/>
        </w:rPr>
        <w:t xml:space="preserve"> </w:t>
      </w:r>
      <w:r w:rsidRPr="00FD40B8">
        <w:rPr>
          <w:color w:val="131727" w:themeColor="text1"/>
          <w:w w:val="105"/>
          <w:sz w:val="16"/>
        </w:rPr>
        <w:t>of</w:t>
      </w:r>
      <w:r w:rsidRPr="00FD40B8">
        <w:rPr>
          <w:color w:val="131727" w:themeColor="text1"/>
          <w:spacing w:val="31"/>
          <w:w w:val="105"/>
          <w:sz w:val="16"/>
        </w:rPr>
        <w:t xml:space="preserve"> </w:t>
      </w:r>
      <w:r w:rsidRPr="00FD40B8">
        <w:rPr>
          <w:color w:val="131727" w:themeColor="text1"/>
          <w:w w:val="105"/>
          <w:sz w:val="16"/>
        </w:rPr>
        <w:t>the</w:t>
      </w:r>
      <w:r w:rsidRPr="00FD40B8">
        <w:rPr>
          <w:color w:val="131727" w:themeColor="text1"/>
          <w:spacing w:val="29"/>
          <w:w w:val="105"/>
          <w:sz w:val="16"/>
        </w:rPr>
        <w:t xml:space="preserve"> </w:t>
      </w:r>
      <w:r w:rsidRPr="00FD40B8">
        <w:rPr>
          <w:color w:val="131727" w:themeColor="text1"/>
          <w:w w:val="105"/>
          <w:sz w:val="16"/>
        </w:rPr>
        <w:t>Indigenous</w:t>
      </w:r>
      <w:r w:rsidRPr="00FD40B8">
        <w:rPr>
          <w:color w:val="131727" w:themeColor="text1"/>
          <w:spacing w:val="28"/>
          <w:w w:val="105"/>
          <w:sz w:val="16"/>
        </w:rPr>
        <w:t xml:space="preserve"> </w:t>
      </w:r>
      <w:r w:rsidRPr="00FD40B8">
        <w:rPr>
          <w:color w:val="131727" w:themeColor="text1"/>
          <w:w w:val="105"/>
          <w:sz w:val="16"/>
        </w:rPr>
        <w:t>Structure</w:t>
      </w:r>
      <w:r w:rsidRPr="00FD40B8">
        <w:rPr>
          <w:color w:val="131727" w:themeColor="text1"/>
          <w:spacing w:val="29"/>
          <w:w w:val="105"/>
          <w:sz w:val="16"/>
        </w:rPr>
        <w:t xml:space="preserve"> </w:t>
      </w:r>
      <w:r w:rsidRPr="00FD40B8">
        <w:rPr>
          <w:color w:val="131727" w:themeColor="text1"/>
          <w:w w:val="105"/>
          <w:sz w:val="16"/>
        </w:rPr>
        <w:t>hierarchy</w:t>
      </w:r>
      <w:r w:rsidRPr="00FD40B8">
        <w:rPr>
          <w:color w:val="131727" w:themeColor="text1"/>
          <w:spacing w:val="29"/>
          <w:w w:val="105"/>
          <w:sz w:val="16"/>
        </w:rPr>
        <w:t xml:space="preserve"> </w:t>
      </w:r>
      <w:r w:rsidRPr="00FD40B8">
        <w:rPr>
          <w:color w:val="131727" w:themeColor="text1"/>
          <w:w w:val="105"/>
          <w:sz w:val="16"/>
        </w:rPr>
        <w:t>under</w:t>
      </w:r>
      <w:r w:rsidRPr="00FD40B8">
        <w:rPr>
          <w:color w:val="131727" w:themeColor="text1"/>
          <w:spacing w:val="31"/>
          <w:w w:val="105"/>
          <w:sz w:val="16"/>
        </w:rPr>
        <w:t xml:space="preserve"> </w:t>
      </w:r>
      <w:r w:rsidRPr="00FD40B8">
        <w:rPr>
          <w:color w:val="131727" w:themeColor="text1"/>
          <w:w w:val="105"/>
          <w:sz w:val="16"/>
        </w:rPr>
        <w:t>the</w:t>
      </w:r>
      <w:r w:rsidRPr="00FD40B8">
        <w:rPr>
          <w:color w:val="131727" w:themeColor="text1"/>
          <w:spacing w:val="29"/>
          <w:w w:val="105"/>
          <w:sz w:val="16"/>
        </w:rPr>
        <w:t xml:space="preserve"> </w:t>
      </w:r>
      <w:r w:rsidRPr="00FD40B8">
        <w:rPr>
          <w:color w:val="131727" w:themeColor="text1"/>
          <w:w w:val="105"/>
          <w:sz w:val="16"/>
        </w:rPr>
        <w:t>Australian</w:t>
      </w:r>
      <w:r w:rsidRPr="00FD40B8">
        <w:rPr>
          <w:color w:val="131727" w:themeColor="text1"/>
          <w:spacing w:val="34"/>
          <w:w w:val="105"/>
          <w:sz w:val="16"/>
        </w:rPr>
        <w:t xml:space="preserve"> </w:t>
      </w:r>
      <w:r w:rsidRPr="00FD40B8">
        <w:rPr>
          <w:color w:val="131727" w:themeColor="text1"/>
          <w:w w:val="105"/>
          <w:sz w:val="16"/>
        </w:rPr>
        <w:t>Statistical</w:t>
      </w:r>
      <w:r w:rsidRPr="00FD40B8">
        <w:rPr>
          <w:color w:val="131727" w:themeColor="text1"/>
          <w:spacing w:val="26"/>
          <w:w w:val="105"/>
          <w:sz w:val="16"/>
        </w:rPr>
        <w:t xml:space="preserve"> </w:t>
      </w:r>
      <w:r w:rsidRPr="00FD40B8">
        <w:rPr>
          <w:color w:val="131727" w:themeColor="text1"/>
          <w:w w:val="105"/>
          <w:sz w:val="16"/>
        </w:rPr>
        <w:t>Geography</w:t>
      </w:r>
      <w:r w:rsidRPr="00FD40B8">
        <w:rPr>
          <w:color w:val="131727" w:themeColor="text1"/>
          <w:spacing w:val="29"/>
          <w:w w:val="105"/>
          <w:sz w:val="16"/>
        </w:rPr>
        <w:t xml:space="preserve"> </w:t>
      </w:r>
      <w:r w:rsidRPr="00FD40B8">
        <w:rPr>
          <w:color w:val="131727" w:themeColor="text1"/>
          <w:w w:val="105"/>
          <w:sz w:val="16"/>
        </w:rPr>
        <w:t>Standard</w:t>
      </w:r>
      <w:r w:rsidRPr="00FD40B8">
        <w:rPr>
          <w:color w:val="131727" w:themeColor="text1"/>
          <w:spacing w:val="40"/>
          <w:w w:val="105"/>
          <w:sz w:val="16"/>
        </w:rPr>
        <w:t xml:space="preserve"> </w:t>
      </w:r>
      <w:r w:rsidRPr="00FD40B8">
        <w:rPr>
          <w:color w:val="131727" w:themeColor="text1"/>
          <w:w w:val="105"/>
          <w:sz w:val="16"/>
        </w:rPr>
        <w:t>(ASGS).</w:t>
      </w:r>
      <w:r w:rsidRPr="00FD40B8">
        <w:rPr>
          <w:color w:val="131727" w:themeColor="text1"/>
          <w:spacing w:val="22"/>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Indigenous</w:t>
      </w:r>
      <w:r w:rsidRPr="00FD40B8">
        <w:rPr>
          <w:color w:val="131727" w:themeColor="text1"/>
          <w:spacing w:val="19"/>
          <w:w w:val="105"/>
          <w:sz w:val="16"/>
        </w:rPr>
        <w:t xml:space="preserve"> </w:t>
      </w:r>
      <w:r w:rsidRPr="00FD40B8">
        <w:rPr>
          <w:color w:val="131727" w:themeColor="text1"/>
          <w:w w:val="105"/>
          <w:sz w:val="16"/>
        </w:rPr>
        <w:t>Structure</w:t>
      </w:r>
      <w:r w:rsidRPr="00FD40B8">
        <w:rPr>
          <w:color w:val="131727" w:themeColor="text1"/>
          <w:spacing w:val="21"/>
          <w:w w:val="105"/>
          <w:sz w:val="16"/>
        </w:rPr>
        <w:t xml:space="preserve"> </w:t>
      </w:r>
      <w:r w:rsidRPr="00FD40B8">
        <w:rPr>
          <w:color w:val="131727" w:themeColor="text1"/>
          <w:w w:val="105"/>
          <w:sz w:val="16"/>
        </w:rPr>
        <w:t>is</w:t>
      </w:r>
      <w:r w:rsidRPr="00FD40B8">
        <w:rPr>
          <w:color w:val="131727" w:themeColor="text1"/>
          <w:spacing w:val="19"/>
          <w:w w:val="105"/>
          <w:sz w:val="16"/>
        </w:rPr>
        <w:t xml:space="preserve"> </w:t>
      </w:r>
      <w:r w:rsidRPr="00FD40B8">
        <w:rPr>
          <w:color w:val="131727" w:themeColor="text1"/>
          <w:w w:val="105"/>
          <w:sz w:val="16"/>
        </w:rPr>
        <w:t>a</w:t>
      </w:r>
      <w:r w:rsidRPr="00FD40B8">
        <w:rPr>
          <w:color w:val="131727" w:themeColor="text1"/>
          <w:spacing w:val="25"/>
          <w:w w:val="105"/>
          <w:sz w:val="16"/>
        </w:rPr>
        <w:t xml:space="preserve"> </w:t>
      </w:r>
      <w:r w:rsidRPr="00FD40B8">
        <w:rPr>
          <w:color w:val="131727" w:themeColor="text1"/>
          <w:w w:val="105"/>
          <w:sz w:val="16"/>
        </w:rPr>
        <w:t>geographical</w:t>
      </w:r>
      <w:r w:rsidRPr="00FD40B8">
        <w:rPr>
          <w:color w:val="131727" w:themeColor="text1"/>
          <w:spacing w:val="18"/>
          <w:w w:val="105"/>
          <w:sz w:val="16"/>
        </w:rPr>
        <w:t xml:space="preserve"> </w:t>
      </w:r>
      <w:r w:rsidRPr="00FD40B8">
        <w:rPr>
          <w:color w:val="131727" w:themeColor="text1"/>
          <w:w w:val="105"/>
          <w:sz w:val="16"/>
        </w:rPr>
        <w:t>standard</w:t>
      </w:r>
      <w:r w:rsidRPr="00FD40B8">
        <w:rPr>
          <w:color w:val="131727" w:themeColor="text1"/>
          <w:spacing w:val="23"/>
          <w:w w:val="105"/>
          <w:sz w:val="16"/>
        </w:rPr>
        <w:t xml:space="preserve"> </w:t>
      </w:r>
      <w:r w:rsidRPr="00FD40B8">
        <w:rPr>
          <w:color w:val="131727" w:themeColor="text1"/>
          <w:w w:val="105"/>
          <w:sz w:val="16"/>
        </w:rPr>
        <w:t>used</w:t>
      </w:r>
      <w:r w:rsidRPr="00FD40B8">
        <w:rPr>
          <w:color w:val="131727" w:themeColor="text1"/>
          <w:spacing w:val="23"/>
          <w:w w:val="105"/>
          <w:sz w:val="16"/>
        </w:rPr>
        <w:t xml:space="preserve"> </w:t>
      </w:r>
      <w:r w:rsidRPr="00FD40B8">
        <w:rPr>
          <w:color w:val="131727" w:themeColor="text1"/>
          <w:w w:val="105"/>
          <w:sz w:val="16"/>
        </w:rPr>
        <w:t>by</w:t>
      </w:r>
      <w:r w:rsidRPr="00FD40B8">
        <w:rPr>
          <w:color w:val="131727" w:themeColor="text1"/>
          <w:spacing w:val="14"/>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ABS</w:t>
      </w:r>
      <w:r w:rsidRPr="00FD40B8">
        <w:rPr>
          <w:color w:val="131727" w:themeColor="text1"/>
          <w:spacing w:val="21"/>
          <w:w w:val="105"/>
          <w:sz w:val="16"/>
        </w:rPr>
        <w:t xml:space="preserve"> </w:t>
      </w:r>
      <w:r w:rsidRPr="00FD40B8">
        <w:rPr>
          <w:color w:val="131727" w:themeColor="text1"/>
          <w:w w:val="105"/>
          <w:sz w:val="16"/>
        </w:rPr>
        <w:t>for</w:t>
      </w:r>
      <w:r w:rsidRPr="00FD40B8">
        <w:rPr>
          <w:color w:val="131727" w:themeColor="text1"/>
          <w:spacing w:val="22"/>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publication</w:t>
      </w:r>
      <w:r w:rsidRPr="00FD40B8">
        <w:rPr>
          <w:color w:val="131727" w:themeColor="text1"/>
          <w:spacing w:val="25"/>
          <w:w w:val="105"/>
          <w:sz w:val="16"/>
        </w:rPr>
        <w:t xml:space="preserve"> </w:t>
      </w:r>
      <w:r w:rsidRPr="00FD40B8">
        <w:rPr>
          <w:color w:val="131727" w:themeColor="text1"/>
          <w:w w:val="105"/>
          <w:sz w:val="16"/>
        </w:rPr>
        <w:t>and</w:t>
      </w:r>
      <w:r w:rsidRPr="00FD40B8">
        <w:rPr>
          <w:color w:val="131727" w:themeColor="text1"/>
          <w:spacing w:val="23"/>
          <w:w w:val="105"/>
          <w:sz w:val="16"/>
        </w:rPr>
        <w:t xml:space="preserve"> </w:t>
      </w:r>
      <w:r w:rsidRPr="00FD40B8">
        <w:rPr>
          <w:color w:val="131727" w:themeColor="text1"/>
          <w:w w:val="105"/>
          <w:sz w:val="16"/>
        </w:rPr>
        <w:t>analysis</w:t>
      </w:r>
      <w:r w:rsidRPr="00FD40B8">
        <w:rPr>
          <w:color w:val="131727" w:themeColor="text1"/>
          <w:spacing w:val="19"/>
          <w:w w:val="105"/>
          <w:sz w:val="16"/>
        </w:rPr>
        <w:t xml:space="preserve"> </w:t>
      </w:r>
      <w:r w:rsidRPr="00FD40B8">
        <w:rPr>
          <w:color w:val="131727" w:themeColor="text1"/>
          <w:w w:val="105"/>
          <w:sz w:val="16"/>
        </w:rPr>
        <w:t>of</w:t>
      </w:r>
      <w:r w:rsidRPr="00FD40B8">
        <w:rPr>
          <w:color w:val="131727" w:themeColor="text1"/>
          <w:spacing w:val="22"/>
          <w:w w:val="105"/>
          <w:sz w:val="16"/>
        </w:rPr>
        <w:t xml:space="preserve"> </w:t>
      </w:r>
      <w:r w:rsidRPr="00FD40B8">
        <w:rPr>
          <w:color w:val="131727" w:themeColor="text1"/>
          <w:w w:val="105"/>
          <w:sz w:val="16"/>
        </w:rPr>
        <w:t>statistics</w:t>
      </w:r>
      <w:r w:rsidRPr="00FD40B8">
        <w:rPr>
          <w:color w:val="131727" w:themeColor="text1"/>
          <w:spacing w:val="19"/>
          <w:w w:val="105"/>
          <w:sz w:val="16"/>
        </w:rPr>
        <w:t xml:space="preserve"> </w:t>
      </w:r>
      <w:r w:rsidRPr="00FD40B8">
        <w:rPr>
          <w:color w:val="131727" w:themeColor="text1"/>
          <w:w w:val="105"/>
          <w:sz w:val="16"/>
        </w:rPr>
        <w:t>about</w:t>
      </w:r>
      <w:r w:rsidRPr="00FD40B8">
        <w:rPr>
          <w:color w:val="131727" w:themeColor="text1"/>
          <w:spacing w:val="21"/>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Aboriginal</w:t>
      </w:r>
      <w:r w:rsidRPr="00FD40B8">
        <w:rPr>
          <w:color w:val="131727" w:themeColor="text1"/>
          <w:spacing w:val="23"/>
          <w:w w:val="105"/>
          <w:sz w:val="16"/>
        </w:rPr>
        <w:t xml:space="preserve"> </w:t>
      </w:r>
      <w:r w:rsidRPr="00FD40B8">
        <w:rPr>
          <w:color w:val="131727" w:themeColor="text1"/>
          <w:w w:val="105"/>
          <w:sz w:val="16"/>
        </w:rPr>
        <w:t>and/or</w:t>
      </w:r>
      <w:r w:rsidRPr="00FD40B8">
        <w:rPr>
          <w:color w:val="131727" w:themeColor="text1"/>
          <w:spacing w:val="28"/>
          <w:w w:val="105"/>
          <w:sz w:val="16"/>
        </w:rPr>
        <w:t xml:space="preserve"> </w:t>
      </w:r>
      <w:r w:rsidRPr="00FD40B8">
        <w:rPr>
          <w:color w:val="131727" w:themeColor="text1"/>
          <w:w w:val="105"/>
          <w:sz w:val="16"/>
        </w:rPr>
        <w:t>Torres</w:t>
      </w:r>
      <w:r w:rsidRPr="00FD40B8">
        <w:rPr>
          <w:color w:val="131727" w:themeColor="text1"/>
          <w:spacing w:val="25"/>
          <w:w w:val="105"/>
          <w:sz w:val="16"/>
        </w:rPr>
        <w:t xml:space="preserve"> </w:t>
      </w:r>
      <w:r w:rsidRPr="00FD40B8">
        <w:rPr>
          <w:color w:val="131727" w:themeColor="text1"/>
          <w:w w:val="105"/>
          <w:sz w:val="16"/>
        </w:rPr>
        <w:t>Strait</w:t>
      </w:r>
      <w:r w:rsidRPr="00FD40B8">
        <w:rPr>
          <w:color w:val="131727" w:themeColor="text1"/>
          <w:spacing w:val="27"/>
          <w:w w:val="105"/>
          <w:sz w:val="16"/>
        </w:rPr>
        <w:t xml:space="preserve"> </w:t>
      </w:r>
      <w:r w:rsidRPr="00FD40B8">
        <w:rPr>
          <w:color w:val="131727" w:themeColor="text1"/>
          <w:w w:val="105"/>
          <w:sz w:val="16"/>
        </w:rPr>
        <w:t>Islander</w:t>
      </w:r>
      <w:r w:rsidRPr="00FD40B8">
        <w:rPr>
          <w:color w:val="131727" w:themeColor="text1"/>
          <w:spacing w:val="28"/>
          <w:w w:val="105"/>
          <w:sz w:val="16"/>
        </w:rPr>
        <w:t xml:space="preserve"> </w:t>
      </w:r>
      <w:r w:rsidRPr="00FD40B8">
        <w:rPr>
          <w:color w:val="131727" w:themeColor="text1"/>
          <w:w w:val="105"/>
          <w:sz w:val="16"/>
        </w:rPr>
        <w:t>peoples</w:t>
      </w:r>
      <w:r w:rsidRPr="00FD40B8">
        <w:rPr>
          <w:color w:val="131727" w:themeColor="text1"/>
          <w:spacing w:val="25"/>
          <w:w w:val="105"/>
          <w:sz w:val="16"/>
        </w:rPr>
        <w:t xml:space="preserve"> </w:t>
      </w:r>
      <w:r w:rsidRPr="00FD40B8">
        <w:rPr>
          <w:color w:val="131727" w:themeColor="text1"/>
          <w:w w:val="105"/>
          <w:sz w:val="16"/>
        </w:rPr>
        <w:t>of</w:t>
      </w:r>
      <w:r w:rsidRPr="00FD40B8">
        <w:rPr>
          <w:color w:val="131727" w:themeColor="text1"/>
          <w:spacing w:val="28"/>
          <w:w w:val="105"/>
          <w:sz w:val="16"/>
        </w:rPr>
        <w:t xml:space="preserve"> </w:t>
      </w:r>
      <w:r w:rsidRPr="00FD40B8">
        <w:rPr>
          <w:color w:val="131727" w:themeColor="text1"/>
          <w:w w:val="105"/>
          <w:sz w:val="16"/>
        </w:rPr>
        <w:t>Australia.</w:t>
      </w:r>
      <w:r w:rsidRPr="00FD40B8">
        <w:rPr>
          <w:color w:val="131727" w:themeColor="text1"/>
          <w:spacing w:val="28"/>
          <w:w w:val="105"/>
          <w:sz w:val="16"/>
        </w:rPr>
        <w:t xml:space="preserve"> </w:t>
      </w:r>
      <w:r w:rsidRPr="00FD40B8">
        <w:rPr>
          <w:color w:val="131727" w:themeColor="text1"/>
          <w:w w:val="105"/>
          <w:sz w:val="16"/>
        </w:rPr>
        <w:t>We</w:t>
      </w:r>
      <w:r w:rsidRPr="00FD40B8">
        <w:rPr>
          <w:color w:val="131727" w:themeColor="text1"/>
          <w:spacing w:val="27"/>
          <w:w w:val="105"/>
          <w:sz w:val="16"/>
        </w:rPr>
        <w:t xml:space="preserve"> </w:t>
      </w:r>
      <w:r w:rsidRPr="00FD40B8">
        <w:rPr>
          <w:color w:val="131727" w:themeColor="text1"/>
          <w:w w:val="105"/>
          <w:sz w:val="16"/>
        </w:rPr>
        <w:t>have</w:t>
      </w:r>
      <w:r w:rsidRPr="00FD40B8">
        <w:rPr>
          <w:color w:val="131727" w:themeColor="text1"/>
          <w:spacing w:val="27"/>
          <w:w w:val="105"/>
          <w:sz w:val="16"/>
        </w:rPr>
        <w:t xml:space="preserve"> </w:t>
      </w:r>
      <w:r w:rsidRPr="00FD40B8">
        <w:rPr>
          <w:color w:val="131727" w:themeColor="text1"/>
          <w:w w:val="105"/>
          <w:sz w:val="16"/>
        </w:rPr>
        <w:t>chosen</w:t>
      </w:r>
      <w:r w:rsidRPr="00FD40B8">
        <w:rPr>
          <w:color w:val="131727" w:themeColor="text1"/>
          <w:spacing w:val="31"/>
          <w:w w:val="105"/>
          <w:sz w:val="16"/>
        </w:rPr>
        <w:t xml:space="preserve"> </w:t>
      </w:r>
      <w:r w:rsidRPr="00FD40B8">
        <w:rPr>
          <w:color w:val="131727" w:themeColor="text1"/>
          <w:w w:val="105"/>
          <w:sz w:val="16"/>
        </w:rPr>
        <w:t>to</w:t>
      </w:r>
      <w:r w:rsidRPr="00FD40B8">
        <w:rPr>
          <w:color w:val="131727" w:themeColor="text1"/>
          <w:spacing w:val="25"/>
          <w:w w:val="105"/>
          <w:sz w:val="16"/>
        </w:rPr>
        <w:t xml:space="preserve"> </w:t>
      </w:r>
      <w:r w:rsidRPr="00FD40B8">
        <w:rPr>
          <w:color w:val="131727" w:themeColor="text1"/>
          <w:w w:val="105"/>
          <w:sz w:val="16"/>
        </w:rPr>
        <w:t>present</w:t>
      </w:r>
      <w:r w:rsidRPr="00FD40B8">
        <w:rPr>
          <w:color w:val="131727" w:themeColor="text1"/>
          <w:spacing w:val="27"/>
          <w:w w:val="105"/>
          <w:sz w:val="16"/>
        </w:rPr>
        <w:t xml:space="preserve"> </w:t>
      </w:r>
      <w:r w:rsidRPr="00FD40B8">
        <w:rPr>
          <w:color w:val="131727" w:themeColor="text1"/>
          <w:w w:val="105"/>
          <w:sz w:val="16"/>
        </w:rPr>
        <w:t>the</w:t>
      </w:r>
      <w:r w:rsidRPr="00FD40B8">
        <w:rPr>
          <w:color w:val="131727" w:themeColor="text1"/>
          <w:spacing w:val="27"/>
          <w:w w:val="105"/>
          <w:sz w:val="16"/>
        </w:rPr>
        <w:t xml:space="preserve"> </w:t>
      </w:r>
      <w:r w:rsidRPr="00FD40B8">
        <w:rPr>
          <w:color w:val="131727" w:themeColor="text1"/>
          <w:w w:val="105"/>
          <w:sz w:val="16"/>
        </w:rPr>
        <w:t>data</w:t>
      </w:r>
      <w:r w:rsidRPr="00FD40B8">
        <w:rPr>
          <w:color w:val="131727" w:themeColor="text1"/>
          <w:spacing w:val="31"/>
          <w:w w:val="105"/>
          <w:sz w:val="16"/>
        </w:rPr>
        <w:t xml:space="preserve"> </w:t>
      </w:r>
      <w:r w:rsidRPr="00FD40B8">
        <w:rPr>
          <w:color w:val="131727" w:themeColor="text1"/>
          <w:w w:val="105"/>
          <w:sz w:val="16"/>
        </w:rPr>
        <w:lastRenderedPageBreak/>
        <w:t>for</w:t>
      </w:r>
      <w:r w:rsidRPr="00FD40B8">
        <w:rPr>
          <w:color w:val="131727" w:themeColor="text1"/>
          <w:spacing w:val="28"/>
          <w:w w:val="105"/>
          <w:sz w:val="16"/>
        </w:rPr>
        <w:t xml:space="preserve"> </w:t>
      </w:r>
      <w:r w:rsidRPr="00FD40B8">
        <w:rPr>
          <w:color w:val="131727" w:themeColor="text1"/>
          <w:w w:val="105"/>
          <w:sz w:val="16"/>
        </w:rPr>
        <w:t>Indigenous</w:t>
      </w:r>
      <w:r w:rsidRPr="00FD40B8">
        <w:rPr>
          <w:color w:val="131727" w:themeColor="text1"/>
          <w:spacing w:val="25"/>
          <w:w w:val="105"/>
          <w:sz w:val="16"/>
        </w:rPr>
        <w:t xml:space="preserve"> </w:t>
      </w:r>
      <w:r w:rsidRPr="00FD40B8">
        <w:rPr>
          <w:color w:val="131727" w:themeColor="text1"/>
          <w:w w:val="105"/>
          <w:sz w:val="16"/>
        </w:rPr>
        <w:t>Regions</w:t>
      </w:r>
      <w:r w:rsidRPr="00FD40B8">
        <w:rPr>
          <w:color w:val="131727" w:themeColor="text1"/>
          <w:spacing w:val="25"/>
          <w:w w:val="105"/>
          <w:sz w:val="16"/>
        </w:rPr>
        <w:t xml:space="preserve"> </w:t>
      </w:r>
      <w:r w:rsidRPr="00FD40B8">
        <w:rPr>
          <w:color w:val="131727" w:themeColor="text1"/>
          <w:w w:val="105"/>
          <w:sz w:val="16"/>
        </w:rPr>
        <w:t>in</w:t>
      </w:r>
      <w:r w:rsidRPr="00FD40B8">
        <w:rPr>
          <w:color w:val="131727" w:themeColor="text1"/>
          <w:spacing w:val="31"/>
          <w:w w:val="105"/>
          <w:sz w:val="16"/>
        </w:rPr>
        <w:t xml:space="preserve"> </w:t>
      </w:r>
      <w:r w:rsidRPr="00FD40B8">
        <w:rPr>
          <w:color w:val="131727" w:themeColor="text1"/>
          <w:w w:val="105"/>
          <w:sz w:val="16"/>
        </w:rPr>
        <w:t>this</w:t>
      </w:r>
      <w:r w:rsidRPr="00FD40B8">
        <w:rPr>
          <w:color w:val="131727" w:themeColor="text1"/>
          <w:spacing w:val="40"/>
          <w:w w:val="105"/>
          <w:sz w:val="16"/>
        </w:rPr>
        <w:t xml:space="preserve"> </w:t>
      </w:r>
      <w:r w:rsidRPr="00FD40B8">
        <w:rPr>
          <w:color w:val="131727" w:themeColor="text1"/>
          <w:w w:val="105"/>
          <w:sz w:val="16"/>
        </w:rPr>
        <w:t>report</w:t>
      </w:r>
      <w:r w:rsidRPr="00FD40B8">
        <w:rPr>
          <w:color w:val="131727" w:themeColor="text1"/>
          <w:spacing w:val="23"/>
          <w:w w:val="105"/>
          <w:sz w:val="16"/>
        </w:rPr>
        <w:t xml:space="preserve"> </w:t>
      </w:r>
      <w:r w:rsidRPr="00FD40B8">
        <w:rPr>
          <w:color w:val="131727" w:themeColor="text1"/>
          <w:w w:val="105"/>
          <w:sz w:val="16"/>
        </w:rPr>
        <w:t>for</w:t>
      </w:r>
      <w:r w:rsidRPr="00FD40B8">
        <w:rPr>
          <w:color w:val="131727" w:themeColor="text1"/>
          <w:spacing w:val="25"/>
          <w:w w:val="105"/>
          <w:sz w:val="16"/>
        </w:rPr>
        <w:t xml:space="preserve"> </w:t>
      </w:r>
      <w:r w:rsidRPr="00FD40B8">
        <w:rPr>
          <w:color w:val="131727" w:themeColor="text1"/>
          <w:w w:val="105"/>
          <w:sz w:val="16"/>
        </w:rPr>
        <w:t>ease</w:t>
      </w:r>
      <w:r w:rsidRPr="00FD40B8">
        <w:rPr>
          <w:color w:val="131727" w:themeColor="text1"/>
          <w:spacing w:val="30"/>
          <w:w w:val="105"/>
          <w:sz w:val="16"/>
        </w:rPr>
        <w:t xml:space="preserve"> </w:t>
      </w:r>
      <w:r w:rsidRPr="00FD40B8">
        <w:rPr>
          <w:color w:val="131727" w:themeColor="text1"/>
          <w:w w:val="105"/>
          <w:sz w:val="16"/>
        </w:rPr>
        <w:t>of</w:t>
      </w:r>
      <w:r w:rsidRPr="00FD40B8">
        <w:rPr>
          <w:color w:val="131727" w:themeColor="text1"/>
          <w:spacing w:val="25"/>
          <w:w w:val="105"/>
          <w:sz w:val="16"/>
        </w:rPr>
        <w:t xml:space="preserve"> </w:t>
      </w:r>
      <w:r w:rsidRPr="00FD40B8">
        <w:rPr>
          <w:color w:val="131727" w:themeColor="text1"/>
          <w:w w:val="105"/>
          <w:sz w:val="16"/>
        </w:rPr>
        <w:t>interpretation.</w:t>
      </w:r>
      <w:r w:rsidRPr="00FD40B8">
        <w:rPr>
          <w:color w:val="131727" w:themeColor="text1"/>
          <w:spacing w:val="30"/>
          <w:w w:val="105"/>
          <w:sz w:val="16"/>
        </w:rPr>
        <w:t xml:space="preserve"> </w:t>
      </w:r>
      <w:r w:rsidRPr="00FD40B8">
        <w:rPr>
          <w:color w:val="131727" w:themeColor="text1"/>
          <w:w w:val="105"/>
          <w:sz w:val="16"/>
        </w:rPr>
        <w:t>More</w:t>
      </w:r>
      <w:r w:rsidRPr="00FD40B8">
        <w:rPr>
          <w:color w:val="131727" w:themeColor="text1"/>
          <w:spacing w:val="23"/>
          <w:w w:val="105"/>
          <w:sz w:val="16"/>
        </w:rPr>
        <w:t xml:space="preserve"> </w:t>
      </w:r>
      <w:r w:rsidRPr="00FD40B8">
        <w:rPr>
          <w:color w:val="131727" w:themeColor="text1"/>
          <w:w w:val="105"/>
          <w:sz w:val="16"/>
        </w:rPr>
        <w:t>detailed</w:t>
      </w:r>
      <w:r w:rsidRPr="00FD40B8">
        <w:rPr>
          <w:color w:val="131727" w:themeColor="text1"/>
          <w:spacing w:val="26"/>
          <w:w w:val="105"/>
          <w:sz w:val="16"/>
        </w:rPr>
        <w:t xml:space="preserve"> </w:t>
      </w:r>
      <w:r w:rsidRPr="00FD40B8">
        <w:rPr>
          <w:color w:val="131727" w:themeColor="text1"/>
          <w:w w:val="105"/>
          <w:sz w:val="16"/>
        </w:rPr>
        <w:t>analysis</w:t>
      </w:r>
      <w:r w:rsidRPr="00FD40B8">
        <w:rPr>
          <w:color w:val="131727" w:themeColor="text1"/>
          <w:spacing w:val="22"/>
          <w:w w:val="105"/>
          <w:sz w:val="16"/>
        </w:rPr>
        <w:t xml:space="preserve"> </w:t>
      </w:r>
      <w:r w:rsidRPr="00FD40B8">
        <w:rPr>
          <w:color w:val="131727" w:themeColor="text1"/>
          <w:w w:val="105"/>
          <w:sz w:val="16"/>
        </w:rPr>
        <w:t>at</w:t>
      </w:r>
      <w:r w:rsidRPr="00FD40B8">
        <w:rPr>
          <w:color w:val="131727" w:themeColor="text1"/>
          <w:spacing w:val="23"/>
          <w:w w:val="105"/>
          <w:sz w:val="16"/>
        </w:rPr>
        <w:t xml:space="preserve"> </w:t>
      </w:r>
      <w:r w:rsidRPr="00FD40B8">
        <w:rPr>
          <w:color w:val="131727" w:themeColor="text1"/>
          <w:w w:val="105"/>
          <w:sz w:val="16"/>
        </w:rPr>
        <w:t>the</w:t>
      </w:r>
      <w:r w:rsidRPr="00FD40B8">
        <w:rPr>
          <w:color w:val="131727" w:themeColor="text1"/>
          <w:spacing w:val="23"/>
          <w:w w:val="105"/>
          <w:sz w:val="16"/>
        </w:rPr>
        <w:t xml:space="preserve"> </w:t>
      </w:r>
      <w:r w:rsidRPr="00FD40B8">
        <w:rPr>
          <w:color w:val="131727" w:themeColor="text1"/>
          <w:w w:val="105"/>
          <w:sz w:val="16"/>
        </w:rPr>
        <w:t>Indigenous</w:t>
      </w:r>
      <w:r w:rsidRPr="00FD40B8">
        <w:rPr>
          <w:color w:val="131727" w:themeColor="text1"/>
          <w:spacing w:val="22"/>
          <w:w w:val="105"/>
          <w:sz w:val="16"/>
        </w:rPr>
        <w:t xml:space="preserve"> </w:t>
      </w:r>
      <w:r w:rsidRPr="00FD40B8">
        <w:rPr>
          <w:color w:val="131727" w:themeColor="text1"/>
          <w:w w:val="105"/>
          <w:sz w:val="16"/>
        </w:rPr>
        <w:t>Area</w:t>
      </w:r>
      <w:r w:rsidRPr="00FD40B8">
        <w:rPr>
          <w:color w:val="131727" w:themeColor="text1"/>
          <w:spacing w:val="28"/>
          <w:w w:val="105"/>
          <w:sz w:val="16"/>
        </w:rPr>
        <w:t xml:space="preserve"> </w:t>
      </w:r>
      <w:r w:rsidRPr="00FD40B8">
        <w:rPr>
          <w:color w:val="131727" w:themeColor="text1"/>
          <w:w w:val="105"/>
          <w:sz w:val="16"/>
        </w:rPr>
        <w:t>level</w:t>
      </w:r>
      <w:r w:rsidRPr="00FD40B8">
        <w:rPr>
          <w:color w:val="131727" w:themeColor="text1"/>
          <w:spacing w:val="26"/>
          <w:w w:val="105"/>
          <w:sz w:val="16"/>
        </w:rPr>
        <w:t xml:space="preserve"> </w:t>
      </w:r>
      <w:r w:rsidRPr="00FD40B8">
        <w:rPr>
          <w:color w:val="131727" w:themeColor="text1"/>
          <w:w w:val="105"/>
          <w:sz w:val="16"/>
        </w:rPr>
        <w:t>is</w:t>
      </w:r>
      <w:r w:rsidRPr="00FD40B8">
        <w:rPr>
          <w:color w:val="131727" w:themeColor="text1"/>
          <w:spacing w:val="22"/>
          <w:w w:val="105"/>
          <w:sz w:val="16"/>
        </w:rPr>
        <w:t xml:space="preserve"> </w:t>
      </w:r>
      <w:r w:rsidRPr="00FD40B8">
        <w:rPr>
          <w:color w:val="131727" w:themeColor="text1"/>
          <w:w w:val="105"/>
          <w:sz w:val="16"/>
        </w:rPr>
        <w:t>available</w:t>
      </w:r>
      <w:r w:rsidRPr="00FD40B8">
        <w:rPr>
          <w:color w:val="131727" w:themeColor="text1"/>
          <w:spacing w:val="23"/>
          <w:w w:val="105"/>
          <w:sz w:val="16"/>
        </w:rPr>
        <w:t xml:space="preserve"> </w:t>
      </w:r>
      <w:r w:rsidRPr="00FD40B8">
        <w:rPr>
          <w:color w:val="131727" w:themeColor="text1"/>
          <w:w w:val="105"/>
          <w:sz w:val="16"/>
        </w:rPr>
        <w:t>in</w:t>
      </w:r>
      <w:r w:rsidRPr="00FD40B8">
        <w:rPr>
          <w:color w:val="131727" w:themeColor="text1"/>
          <w:spacing w:val="28"/>
          <w:w w:val="105"/>
          <w:sz w:val="16"/>
        </w:rPr>
        <w:t xml:space="preserve"> </w:t>
      </w:r>
      <w:r w:rsidRPr="00FD40B8">
        <w:rPr>
          <w:color w:val="131727" w:themeColor="text1"/>
          <w:w w:val="105"/>
          <w:sz w:val="16"/>
        </w:rPr>
        <w:t>the</w:t>
      </w:r>
      <w:r w:rsidRPr="00FD40B8">
        <w:rPr>
          <w:color w:val="131727" w:themeColor="text1"/>
          <w:spacing w:val="23"/>
          <w:w w:val="105"/>
          <w:sz w:val="16"/>
        </w:rPr>
        <w:t xml:space="preserve"> </w:t>
      </w:r>
      <w:r w:rsidRPr="00FD40B8">
        <w:rPr>
          <w:color w:val="131727" w:themeColor="text1"/>
          <w:w w:val="105"/>
          <w:sz w:val="16"/>
        </w:rPr>
        <w:t>appendix.</w:t>
      </w:r>
    </w:p>
    <w:p w14:paraId="2E142786"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563D17B8" w14:textId="77777777" w:rsidR="00811887" w:rsidRPr="00FD40B8" w:rsidRDefault="00811887" w:rsidP="00811887">
      <w:pPr>
        <w:pStyle w:val="Heading8"/>
        <w:spacing w:before="77"/>
        <w:rPr>
          <w:color w:val="131727" w:themeColor="text1"/>
        </w:rPr>
      </w:pPr>
      <w:r w:rsidRPr="00FD40B8">
        <w:rPr>
          <w:color w:val="131727" w:themeColor="text1"/>
        </w:rPr>
        <w:lastRenderedPageBreak/>
        <w:t>Housing</w:t>
      </w:r>
      <w:r w:rsidRPr="00FD40B8">
        <w:rPr>
          <w:color w:val="131727" w:themeColor="text1"/>
          <w:spacing w:val="-4"/>
        </w:rPr>
        <w:t xml:space="preserve"> </w:t>
      </w:r>
      <w:r w:rsidRPr="00FD40B8">
        <w:rPr>
          <w:color w:val="131727" w:themeColor="text1"/>
        </w:rPr>
        <w:t>need</w:t>
      </w:r>
      <w:r w:rsidRPr="00FD40B8">
        <w:rPr>
          <w:color w:val="131727" w:themeColor="text1"/>
          <w:spacing w:val="1"/>
        </w:rPr>
        <w:t xml:space="preserve"> </w:t>
      </w:r>
      <w:r w:rsidRPr="00FD40B8">
        <w:rPr>
          <w:color w:val="131727" w:themeColor="text1"/>
        </w:rPr>
        <w:t>by</w:t>
      </w:r>
      <w:r w:rsidRPr="00FD40B8">
        <w:rPr>
          <w:color w:val="131727" w:themeColor="text1"/>
          <w:spacing w:val="-2"/>
        </w:rPr>
        <w:t xml:space="preserve"> Remoteness</w:t>
      </w:r>
    </w:p>
    <w:p w14:paraId="00C3D819" w14:textId="77777777" w:rsidR="00811887" w:rsidRPr="00FD40B8" w:rsidRDefault="00811887" w:rsidP="00811887">
      <w:pPr>
        <w:pStyle w:val="BodyText"/>
        <w:spacing w:before="25" w:line="268" w:lineRule="auto"/>
        <w:ind w:left="508" w:right="598"/>
        <w:rPr>
          <w:color w:val="131727" w:themeColor="text1"/>
        </w:rPr>
      </w:pPr>
      <w:r w:rsidRPr="00FD40B8">
        <w:rPr>
          <w:color w:val="131727" w:themeColor="text1"/>
          <w:w w:val="110"/>
        </w:rPr>
        <w:t>Despite</w:t>
      </w:r>
      <w:r w:rsidRPr="00FD40B8">
        <w:rPr>
          <w:color w:val="131727" w:themeColor="text1"/>
          <w:spacing w:val="-3"/>
          <w:w w:val="110"/>
        </w:rPr>
        <w:t xml:space="preserve"> </w:t>
      </w:r>
      <w:r w:rsidRPr="00FD40B8">
        <w:rPr>
          <w:color w:val="131727" w:themeColor="text1"/>
          <w:w w:val="110"/>
        </w:rPr>
        <w:t>making up</w:t>
      </w:r>
      <w:r w:rsidRPr="00FD40B8">
        <w:rPr>
          <w:color w:val="131727" w:themeColor="text1"/>
          <w:spacing w:val="-3"/>
          <w:w w:val="110"/>
        </w:rPr>
        <w:t xml:space="preserve"> </w:t>
      </w:r>
      <w:r w:rsidRPr="00FD40B8">
        <w:rPr>
          <w:color w:val="131727" w:themeColor="text1"/>
          <w:w w:val="110"/>
        </w:rPr>
        <w:t>only</w:t>
      </w:r>
      <w:r w:rsidRPr="00FD40B8">
        <w:rPr>
          <w:color w:val="131727" w:themeColor="text1"/>
          <w:spacing w:val="-4"/>
          <w:w w:val="110"/>
        </w:rPr>
        <w:t xml:space="preserve"> </w:t>
      </w:r>
      <w:r w:rsidRPr="00FD40B8">
        <w:rPr>
          <w:color w:val="131727" w:themeColor="text1"/>
          <w:w w:val="110"/>
        </w:rPr>
        <w:t>15%</w:t>
      </w:r>
      <w:r w:rsidRPr="00FD40B8">
        <w:rPr>
          <w:color w:val="131727" w:themeColor="text1"/>
          <w:spacing w:val="-2"/>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population, remote</w:t>
      </w:r>
      <w:r w:rsidRPr="00FD40B8">
        <w:rPr>
          <w:color w:val="131727" w:themeColor="text1"/>
          <w:spacing w:val="-4"/>
          <w:w w:val="110"/>
        </w:rPr>
        <w:t xml:space="preserve"> </w:t>
      </w:r>
      <w:r w:rsidRPr="00FD40B8">
        <w:rPr>
          <w:color w:val="131727" w:themeColor="text1"/>
          <w:w w:val="110"/>
        </w:rPr>
        <w:t>and very remote areas</w:t>
      </w:r>
      <w:r w:rsidRPr="00FD40B8">
        <w:rPr>
          <w:color w:val="131727" w:themeColor="text1"/>
          <w:spacing w:val="-1"/>
          <w:w w:val="110"/>
        </w:rPr>
        <w:t xml:space="preserve"> </w:t>
      </w:r>
      <w:r w:rsidRPr="00FD40B8">
        <w:rPr>
          <w:color w:val="131727" w:themeColor="text1"/>
          <w:w w:val="110"/>
        </w:rPr>
        <w:t>make up</w:t>
      </w:r>
      <w:r w:rsidRPr="00FD40B8">
        <w:rPr>
          <w:color w:val="131727" w:themeColor="text1"/>
          <w:spacing w:val="-3"/>
          <w:w w:val="110"/>
        </w:rPr>
        <w:t xml:space="preserve"> </w:t>
      </w:r>
      <w:r w:rsidRPr="00FD40B8">
        <w:rPr>
          <w:color w:val="131727" w:themeColor="text1"/>
          <w:w w:val="110"/>
        </w:rPr>
        <w:t>almost</w:t>
      </w:r>
      <w:r w:rsidRPr="00FD40B8">
        <w:rPr>
          <w:color w:val="131727" w:themeColor="text1"/>
          <w:spacing w:val="-3"/>
          <w:w w:val="110"/>
        </w:rPr>
        <w:t xml:space="preserve"> </w:t>
      </w:r>
      <w:r w:rsidRPr="00FD40B8">
        <w:rPr>
          <w:color w:val="131727" w:themeColor="text1"/>
          <w:w w:val="110"/>
        </w:rPr>
        <w:t>30%</w:t>
      </w:r>
      <w:r w:rsidRPr="00FD40B8">
        <w:rPr>
          <w:color w:val="131727" w:themeColor="text1"/>
          <w:spacing w:val="-2"/>
          <w:w w:val="110"/>
        </w:rPr>
        <w:t xml:space="preserve"> </w:t>
      </w:r>
      <w:r w:rsidRPr="00FD40B8">
        <w:rPr>
          <w:color w:val="131727" w:themeColor="text1"/>
          <w:w w:val="110"/>
        </w:rPr>
        <w:t>of the total number of houses needed (5,262 houses). By far the largest number of houses is needed in remote and very remote Northern Territory (2,989), followed by Queensland (1,012), and</w:t>
      </w:r>
      <w:r w:rsidRPr="00FD40B8">
        <w:rPr>
          <w:color w:val="131727" w:themeColor="text1"/>
          <w:spacing w:val="-2"/>
          <w:w w:val="110"/>
        </w:rPr>
        <w:t xml:space="preserve"> </w:t>
      </w:r>
      <w:r w:rsidRPr="00FD40B8">
        <w:rPr>
          <w:color w:val="131727" w:themeColor="text1"/>
          <w:w w:val="110"/>
        </w:rPr>
        <w:t>Western Australia (917). A full breakdown of number of houses needed by remoteness is given in Appendix C.</w:t>
      </w:r>
    </w:p>
    <w:p w14:paraId="7445D9EC" w14:textId="77777777" w:rsidR="00811887" w:rsidRPr="00FD40B8" w:rsidRDefault="00811887" w:rsidP="00811887">
      <w:pPr>
        <w:pStyle w:val="BodyText"/>
        <w:spacing w:before="116" w:line="268" w:lineRule="auto"/>
        <w:ind w:left="508" w:right="576"/>
        <w:rPr>
          <w:color w:val="131727" w:themeColor="text1"/>
        </w:rPr>
      </w:pPr>
      <w:r w:rsidRPr="00FD40B8">
        <w:rPr>
          <w:color w:val="131727" w:themeColor="text1"/>
          <w:w w:val="110"/>
        </w:rPr>
        <w:t>The proportion of Aboriginal and Torres Strait Islander people needing housing is significantly higher in remote areas compared to non-remote areas. In remote areas, 13% of the population needs housing (11% in ‘remote’ and</w:t>
      </w:r>
      <w:r w:rsidRPr="00FD40B8">
        <w:rPr>
          <w:color w:val="131727" w:themeColor="text1"/>
          <w:spacing w:val="-3"/>
          <w:w w:val="110"/>
        </w:rPr>
        <w:t xml:space="preserve"> </w:t>
      </w:r>
      <w:r w:rsidRPr="00FD40B8">
        <w:rPr>
          <w:color w:val="131727" w:themeColor="text1"/>
          <w:w w:val="110"/>
        </w:rPr>
        <w:t>15%</w:t>
      </w:r>
      <w:r w:rsidRPr="00FD40B8">
        <w:rPr>
          <w:color w:val="131727" w:themeColor="text1"/>
          <w:spacing w:val="-2"/>
          <w:w w:val="110"/>
        </w:rPr>
        <w:t xml:space="preserve"> </w:t>
      </w:r>
      <w:r w:rsidRPr="00FD40B8">
        <w:rPr>
          <w:color w:val="131727" w:themeColor="text1"/>
          <w:w w:val="110"/>
        </w:rPr>
        <w:t>in ‘very remote’) due to</w:t>
      </w:r>
      <w:r w:rsidRPr="00FD40B8">
        <w:rPr>
          <w:color w:val="131727" w:themeColor="text1"/>
          <w:spacing w:val="-1"/>
          <w:w w:val="110"/>
        </w:rPr>
        <w:t xml:space="preserve"> </w:t>
      </w:r>
      <w:r w:rsidRPr="00FD40B8">
        <w:rPr>
          <w:color w:val="131727" w:themeColor="text1"/>
          <w:w w:val="110"/>
        </w:rPr>
        <w:t>homelessness</w:t>
      </w:r>
      <w:r w:rsidRPr="00FD40B8">
        <w:rPr>
          <w:color w:val="131727" w:themeColor="text1"/>
          <w:spacing w:val="-1"/>
          <w:w w:val="110"/>
        </w:rPr>
        <w:t xml:space="preserve"> </w:t>
      </w:r>
      <w:r w:rsidRPr="00FD40B8">
        <w:rPr>
          <w:color w:val="131727" w:themeColor="text1"/>
          <w:w w:val="110"/>
        </w:rPr>
        <w:t>or overcrowding. This contrasts with non-remote areas, where only 6% of the population needs housing due to overcrowding or homelessness (see</w:t>
      </w:r>
      <w:r w:rsidRPr="00FD40B8">
        <w:rPr>
          <w:color w:val="131727" w:themeColor="text1"/>
          <w:spacing w:val="-1"/>
          <w:w w:val="110"/>
        </w:rPr>
        <w:t xml:space="preserve"> </w:t>
      </w:r>
      <w:r w:rsidRPr="00FD40B8">
        <w:rPr>
          <w:color w:val="131727" w:themeColor="text1"/>
          <w:w w:val="110"/>
        </w:rPr>
        <w:t>Figure</w:t>
      </w:r>
      <w:r w:rsidRPr="00FD40B8">
        <w:rPr>
          <w:color w:val="131727" w:themeColor="text1"/>
          <w:spacing w:val="-6"/>
          <w:w w:val="110"/>
        </w:rPr>
        <w:t xml:space="preserve"> </w:t>
      </w:r>
      <w:r w:rsidRPr="00FD40B8">
        <w:rPr>
          <w:color w:val="131727" w:themeColor="text1"/>
          <w:w w:val="110"/>
        </w:rPr>
        <w:t>3). By</w:t>
      </w:r>
      <w:r w:rsidRPr="00FD40B8">
        <w:rPr>
          <w:color w:val="131727" w:themeColor="text1"/>
          <w:spacing w:val="-3"/>
          <w:w w:val="110"/>
        </w:rPr>
        <w:t xml:space="preserve"> </w:t>
      </w:r>
      <w:r w:rsidRPr="00FD40B8">
        <w:rPr>
          <w:color w:val="131727" w:themeColor="text1"/>
          <w:w w:val="110"/>
        </w:rPr>
        <w:t>state,</w:t>
      </w:r>
      <w:r w:rsidRPr="00FD40B8">
        <w:rPr>
          <w:color w:val="131727" w:themeColor="text1"/>
          <w:spacing w:val="-1"/>
          <w:w w:val="110"/>
        </w:rPr>
        <w:t xml:space="preserve"> </w:t>
      </w:r>
      <w:r w:rsidRPr="00FD40B8">
        <w:rPr>
          <w:color w:val="131727" w:themeColor="text1"/>
          <w:w w:val="110"/>
        </w:rPr>
        <w:t>Northern Territory</w:t>
      </w:r>
      <w:r w:rsidRPr="00FD40B8">
        <w:rPr>
          <w:color w:val="131727" w:themeColor="text1"/>
          <w:spacing w:val="-3"/>
          <w:w w:val="110"/>
        </w:rPr>
        <w:t xml:space="preserve"> </w:t>
      </w:r>
      <w:r w:rsidRPr="00FD40B8">
        <w:rPr>
          <w:color w:val="131727" w:themeColor="text1"/>
          <w:w w:val="110"/>
        </w:rPr>
        <w:t>has the</w:t>
      </w:r>
      <w:r w:rsidRPr="00FD40B8">
        <w:rPr>
          <w:color w:val="131727" w:themeColor="text1"/>
          <w:spacing w:val="-1"/>
          <w:w w:val="110"/>
        </w:rPr>
        <w:t xml:space="preserve"> </w:t>
      </w:r>
      <w:r w:rsidRPr="00FD40B8">
        <w:rPr>
          <w:color w:val="131727" w:themeColor="text1"/>
          <w:w w:val="110"/>
        </w:rPr>
        <w:t>highest</w:t>
      </w:r>
      <w:r w:rsidRPr="00FD40B8">
        <w:rPr>
          <w:color w:val="131727" w:themeColor="text1"/>
          <w:spacing w:val="-6"/>
          <w:w w:val="110"/>
        </w:rPr>
        <w:t xml:space="preserve"> </w:t>
      </w:r>
      <w:r w:rsidRPr="00FD40B8">
        <w:rPr>
          <w:color w:val="131727" w:themeColor="text1"/>
          <w:w w:val="110"/>
        </w:rPr>
        <w:t>proportion</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people</w:t>
      </w:r>
      <w:r w:rsidRPr="00FD40B8">
        <w:rPr>
          <w:color w:val="131727" w:themeColor="text1"/>
          <w:spacing w:val="-6"/>
          <w:w w:val="110"/>
        </w:rPr>
        <w:t xml:space="preserve"> </w:t>
      </w:r>
      <w:r w:rsidRPr="00FD40B8">
        <w:rPr>
          <w:color w:val="131727" w:themeColor="text1"/>
          <w:w w:val="110"/>
        </w:rPr>
        <w:t>in remote and very remote areas in need</w:t>
      </w:r>
      <w:r w:rsidRPr="00FD40B8">
        <w:rPr>
          <w:color w:val="131727" w:themeColor="text1"/>
          <w:spacing w:val="-2"/>
          <w:w w:val="110"/>
        </w:rPr>
        <w:t xml:space="preserve"> </w:t>
      </w:r>
      <w:r w:rsidRPr="00FD40B8">
        <w:rPr>
          <w:color w:val="131727" w:themeColor="text1"/>
          <w:w w:val="110"/>
        </w:rPr>
        <w:t>of housing (20%), followed by South Australia (12%),</w:t>
      </w:r>
      <w:r w:rsidRPr="00FD40B8">
        <w:rPr>
          <w:color w:val="131727" w:themeColor="text1"/>
          <w:spacing w:val="-1"/>
          <w:w w:val="110"/>
        </w:rPr>
        <w:t xml:space="preserve"> </w:t>
      </w:r>
      <w:r w:rsidRPr="00FD40B8">
        <w:rPr>
          <w:color w:val="131727" w:themeColor="text1"/>
          <w:w w:val="110"/>
        </w:rPr>
        <w:t>Western Australia and Queensland (10%) and Tasmania and New South Wales (5%).</w:t>
      </w:r>
    </w:p>
    <w:p w14:paraId="36C61E55" w14:textId="77777777" w:rsidR="00811887" w:rsidRPr="00FD40B8" w:rsidRDefault="00811887" w:rsidP="00811887">
      <w:pPr>
        <w:pStyle w:val="BodyText"/>
        <w:spacing w:before="151"/>
        <w:rPr>
          <w:color w:val="131727" w:themeColor="text1"/>
        </w:rPr>
      </w:pPr>
    </w:p>
    <w:p w14:paraId="698681F6" w14:textId="77777777" w:rsidR="00811887" w:rsidRPr="00FD40B8" w:rsidRDefault="00811887" w:rsidP="00811887">
      <w:pPr>
        <w:spacing w:line="208" w:lineRule="auto"/>
        <w:ind w:left="508"/>
        <w:rPr>
          <w:rFonts w:ascii="Book Antiqua"/>
          <w:b/>
          <w:color w:val="131727" w:themeColor="text1"/>
          <w:sz w:val="21"/>
        </w:rPr>
      </w:pPr>
      <w:r w:rsidRPr="00FD40B8">
        <w:rPr>
          <w:rFonts w:ascii="Book Antiqua"/>
          <w:b/>
          <w:color w:val="131727" w:themeColor="text1"/>
          <w:sz w:val="21"/>
        </w:rPr>
        <w:t>Figure</w:t>
      </w:r>
      <w:r w:rsidRPr="00FD40B8">
        <w:rPr>
          <w:rFonts w:ascii="Book Antiqua"/>
          <w:b/>
          <w:color w:val="131727" w:themeColor="text1"/>
          <w:spacing w:val="-2"/>
          <w:sz w:val="21"/>
        </w:rPr>
        <w:t xml:space="preserve"> </w:t>
      </w:r>
      <w:r w:rsidRPr="00FD40B8">
        <w:rPr>
          <w:rFonts w:ascii="Book Antiqua"/>
          <w:b/>
          <w:color w:val="131727" w:themeColor="text1"/>
          <w:sz w:val="21"/>
        </w:rPr>
        <w:t>3.</w:t>
      </w:r>
      <w:r w:rsidRPr="00FD40B8">
        <w:rPr>
          <w:rFonts w:ascii="Book Antiqua"/>
          <w:b/>
          <w:color w:val="131727" w:themeColor="text1"/>
          <w:spacing w:val="-6"/>
          <w:sz w:val="21"/>
        </w:rPr>
        <w:t xml:space="preserve"> </w:t>
      </w:r>
      <w:r w:rsidRPr="00FD40B8">
        <w:rPr>
          <w:rFonts w:ascii="Book Antiqua"/>
          <w:b/>
          <w:color w:val="131727" w:themeColor="text1"/>
          <w:sz w:val="21"/>
        </w:rPr>
        <w:t>Estimated</w:t>
      </w:r>
      <w:r w:rsidRPr="00FD40B8">
        <w:rPr>
          <w:rFonts w:ascii="Book Antiqua"/>
          <w:b/>
          <w:color w:val="131727" w:themeColor="text1"/>
          <w:spacing w:val="-2"/>
          <w:sz w:val="21"/>
        </w:rPr>
        <w:t xml:space="preserve"> </w:t>
      </w:r>
      <w:r w:rsidRPr="00FD40B8">
        <w:rPr>
          <w:rFonts w:ascii="Book Antiqua"/>
          <w:b/>
          <w:color w:val="131727" w:themeColor="text1"/>
          <w:sz w:val="21"/>
        </w:rPr>
        <w:t>Aboriginal</w:t>
      </w:r>
      <w:r w:rsidRPr="00FD40B8">
        <w:rPr>
          <w:rFonts w:ascii="Book Antiqua"/>
          <w:b/>
          <w:color w:val="131727" w:themeColor="text1"/>
          <w:spacing w:val="-1"/>
          <w:sz w:val="21"/>
        </w:rPr>
        <w:t xml:space="preserve"> </w:t>
      </w:r>
      <w:r w:rsidRPr="00FD40B8">
        <w:rPr>
          <w:rFonts w:ascii="Book Antiqua"/>
          <w:b/>
          <w:color w:val="131727" w:themeColor="text1"/>
          <w:sz w:val="21"/>
        </w:rPr>
        <w:t>and</w:t>
      </w:r>
      <w:r w:rsidRPr="00FD40B8">
        <w:rPr>
          <w:rFonts w:ascii="Book Antiqua"/>
          <w:b/>
          <w:color w:val="131727" w:themeColor="text1"/>
          <w:spacing w:val="-1"/>
          <w:sz w:val="21"/>
        </w:rPr>
        <w:t xml:space="preserve"> </w:t>
      </w:r>
      <w:r w:rsidRPr="00FD40B8">
        <w:rPr>
          <w:rFonts w:ascii="Book Antiqua"/>
          <w:b/>
          <w:color w:val="131727" w:themeColor="text1"/>
          <w:sz w:val="21"/>
        </w:rPr>
        <w:t>Torres</w:t>
      </w:r>
      <w:r w:rsidRPr="00FD40B8">
        <w:rPr>
          <w:rFonts w:ascii="Book Antiqua"/>
          <w:b/>
          <w:color w:val="131727" w:themeColor="text1"/>
          <w:spacing w:val="-1"/>
          <w:sz w:val="21"/>
        </w:rPr>
        <w:t xml:space="preserve"> </w:t>
      </w:r>
      <w:r w:rsidRPr="00FD40B8">
        <w:rPr>
          <w:rFonts w:ascii="Book Antiqua"/>
          <w:b/>
          <w:color w:val="131727" w:themeColor="text1"/>
          <w:sz w:val="21"/>
        </w:rPr>
        <w:t>Strait</w:t>
      </w:r>
      <w:r w:rsidRPr="00FD40B8">
        <w:rPr>
          <w:rFonts w:ascii="Book Antiqua"/>
          <w:b/>
          <w:color w:val="131727" w:themeColor="text1"/>
          <w:spacing w:val="-1"/>
          <w:sz w:val="21"/>
        </w:rPr>
        <w:t xml:space="preserve"> </w:t>
      </w:r>
      <w:r w:rsidRPr="00FD40B8">
        <w:rPr>
          <w:rFonts w:ascii="Book Antiqua"/>
          <w:b/>
          <w:color w:val="131727" w:themeColor="text1"/>
          <w:sz w:val="21"/>
        </w:rPr>
        <w:t>Islander</w:t>
      </w:r>
      <w:r w:rsidRPr="00FD40B8">
        <w:rPr>
          <w:rFonts w:ascii="Book Antiqua"/>
          <w:b/>
          <w:color w:val="131727" w:themeColor="text1"/>
          <w:spacing w:val="-2"/>
          <w:sz w:val="21"/>
        </w:rPr>
        <w:t xml:space="preserve"> </w:t>
      </w:r>
      <w:r w:rsidRPr="00FD40B8">
        <w:rPr>
          <w:rFonts w:ascii="Book Antiqua"/>
          <w:b/>
          <w:color w:val="131727" w:themeColor="text1"/>
          <w:sz w:val="21"/>
        </w:rPr>
        <w:t>housing needs</w:t>
      </w:r>
      <w:r w:rsidRPr="00FD40B8">
        <w:rPr>
          <w:rFonts w:ascii="Book Antiqua"/>
          <w:b/>
          <w:color w:val="131727" w:themeColor="text1"/>
          <w:spacing w:val="-1"/>
          <w:sz w:val="21"/>
        </w:rPr>
        <w:t xml:space="preserve"> </w:t>
      </w:r>
      <w:r w:rsidRPr="00FD40B8">
        <w:rPr>
          <w:rFonts w:ascii="Book Antiqua"/>
          <w:b/>
          <w:color w:val="131727" w:themeColor="text1"/>
          <w:sz w:val="21"/>
        </w:rPr>
        <w:t>due</w:t>
      </w:r>
      <w:r w:rsidRPr="00FD40B8">
        <w:rPr>
          <w:rFonts w:ascii="Book Antiqua"/>
          <w:b/>
          <w:color w:val="131727" w:themeColor="text1"/>
          <w:spacing w:val="-7"/>
          <w:sz w:val="21"/>
        </w:rPr>
        <w:t xml:space="preserve"> </w:t>
      </w:r>
      <w:r w:rsidRPr="00FD40B8">
        <w:rPr>
          <w:rFonts w:ascii="Book Antiqua"/>
          <w:b/>
          <w:color w:val="131727" w:themeColor="text1"/>
          <w:sz w:val="21"/>
        </w:rPr>
        <w:t>to</w:t>
      </w:r>
      <w:r w:rsidRPr="00FD40B8">
        <w:rPr>
          <w:rFonts w:ascii="Book Antiqua"/>
          <w:b/>
          <w:color w:val="131727" w:themeColor="text1"/>
          <w:spacing w:val="-5"/>
          <w:sz w:val="21"/>
        </w:rPr>
        <w:t xml:space="preserve"> </w:t>
      </w:r>
      <w:r w:rsidRPr="00FD40B8">
        <w:rPr>
          <w:rFonts w:ascii="Book Antiqua"/>
          <w:b/>
          <w:color w:val="131727" w:themeColor="text1"/>
          <w:sz w:val="21"/>
        </w:rPr>
        <w:t>homeless</w:t>
      </w:r>
      <w:r w:rsidRPr="00FD40B8">
        <w:rPr>
          <w:rFonts w:ascii="Book Antiqua"/>
          <w:b/>
          <w:color w:val="131727" w:themeColor="text1"/>
          <w:spacing w:val="-5"/>
          <w:sz w:val="21"/>
        </w:rPr>
        <w:t xml:space="preserve"> </w:t>
      </w:r>
      <w:r w:rsidRPr="00FD40B8">
        <w:rPr>
          <w:rFonts w:ascii="Book Antiqua"/>
          <w:b/>
          <w:color w:val="131727" w:themeColor="text1"/>
          <w:sz w:val="21"/>
        </w:rPr>
        <w:t>and overcrowding by remoteness</w:t>
      </w:r>
    </w:p>
    <w:p w14:paraId="6834A776" w14:textId="77777777" w:rsidR="00811887" w:rsidRDefault="00811887" w:rsidP="00811887">
      <w:pPr>
        <w:spacing w:before="223"/>
        <w:ind w:left="508"/>
        <w:rPr>
          <w:rFonts w:ascii="Book Antiqua"/>
          <w:color w:val="131727" w:themeColor="text1"/>
          <w:sz w:val="18"/>
        </w:rPr>
      </w:pPr>
      <w:r w:rsidRPr="00BE1BA1">
        <w:rPr>
          <w:noProof/>
        </w:rPr>
        <w:drawing>
          <wp:inline distT="0" distB="0" distL="0" distR="0" wp14:anchorId="5E70D1B3" wp14:editId="2929A6C1">
            <wp:extent cx="5734050" cy="2390775"/>
            <wp:effectExtent l="0" t="0" r="0" b="9525"/>
            <wp:docPr id="376413146" name="Picture 2" descr="Remote 13% of the population in need, 5,262 houses needed. Non-remote 6% of the population in need, 13,084 house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13146" name="Picture 2" descr="Remote 13% of the population in need, 5,262 houses needed. Non-remote 6% of the population in need, 13,084 houses need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4050" cy="2390775"/>
                    </a:xfrm>
                    <a:prstGeom prst="rect">
                      <a:avLst/>
                    </a:prstGeom>
                    <a:noFill/>
                    <a:ln>
                      <a:noFill/>
                    </a:ln>
                  </pic:spPr>
                </pic:pic>
              </a:graphicData>
            </a:graphic>
          </wp:inline>
        </w:drawing>
      </w:r>
    </w:p>
    <w:p w14:paraId="470945B0" w14:textId="77777777" w:rsidR="00811887" w:rsidRPr="00FD40B8" w:rsidRDefault="00811887" w:rsidP="00811887">
      <w:pPr>
        <w:spacing w:before="223"/>
        <w:ind w:left="508"/>
        <w:rPr>
          <w:rFonts w:ascii="Book Antiqua"/>
          <w:color w:val="131727" w:themeColor="text1"/>
          <w:sz w:val="18"/>
        </w:rPr>
      </w:pPr>
      <w:r w:rsidRPr="00FD40B8">
        <w:rPr>
          <w:rFonts w:ascii="Book Antiqua"/>
          <w:color w:val="131727" w:themeColor="text1"/>
          <w:sz w:val="18"/>
        </w:rPr>
        <w:t>Source:</w:t>
      </w:r>
      <w:r w:rsidRPr="00FD40B8">
        <w:rPr>
          <w:rFonts w:ascii="Book Antiqua"/>
          <w:color w:val="131727" w:themeColor="text1"/>
          <w:spacing w:val="-4"/>
          <w:sz w:val="18"/>
        </w:rPr>
        <w:t xml:space="preserve"> </w:t>
      </w:r>
      <w:r w:rsidRPr="00FD40B8">
        <w:rPr>
          <w:rFonts w:ascii="Book Antiqua"/>
          <w:color w:val="131727" w:themeColor="text1"/>
          <w:sz w:val="18"/>
        </w:rPr>
        <w:t>Equity</w:t>
      </w:r>
      <w:r w:rsidRPr="00FD40B8">
        <w:rPr>
          <w:rFonts w:ascii="Book Antiqua"/>
          <w:color w:val="131727" w:themeColor="text1"/>
          <w:spacing w:val="-2"/>
          <w:sz w:val="18"/>
        </w:rPr>
        <w:t xml:space="preserve"> </w:t>
      </w:r>
      <w:r w:rsidRPr="00FD40B8">
        <w:rPr>
          <w:rFonts w:ascii="Book Antiqua"/>
          <w:color w:val="131727" w:themeColor="text1"/>
          <w:sz w:val="18"/>
        </w:rPr>
        <w:t>Economics</w:t>
      </w:r>
      <w:r w:rsidRPr="00FD40B8">
        <w:rPr>
          <w:rFonts w:ascii="Book Antiqua"/>
          <w:color w:val="131727" w:themeColor="text1"/>
          <w:spacing w:val="-6"/>
          <w:sz w:val="18"/>
        </w:rPr>
        <w:t xml:space="preserve"> </w:t>
      </w:r>
      <w:r w:rsidRPr="00FD40B8">
        <w:rPr>
          <w:rFonts w:ascii="Book Antiqua"/>
          <w:color w:val="131727" w:themeColor="text1"/>
          <w:sz w:val="18"/>
        </w:rPr>
        <w:t>calculations</w:t>
      </w:r>
      <w:r w:rsidRPr="00FD40B8">
        <w:rPr>
          <w:rFonts w:ascii="Book Antiqua"/>
          <w:color w:val="131727" w:themeColor="text1"/>
          <w:spacing w:val="-11"/>
          <w:sz w:val="18"/>
        </w:rPr>
        <w:t xml:space="preserve"> </w:t>
      </w:r>
      <w:r w:rsidRPr="00FD40B8">
        <w:rPr>
          <w:rFonts w:ascii="Book Antiqua"/>
          <w:color w:val="131727" w:themeColor="text1"/>
          <w:sz w:val="18"/>
        </w:rPr>
        <w:t>from</w:t>
      </w:r>
      <w:r w:rsidRPr="00FD40B8">
        <w:rPr>
          <w:rFonts w:ascii="Book Antiqua"/>
          <w:color w:val="131727" w:themeColor="text1"/>
          <w:spacing w:val="-8"/>
          <w:sz w:val="18"/>
        </w:rPr>
        <w:t xml:space="preserve"> </w:t>
      </w:r>
      <w:r w:rsidRPr="00FD40B8">
        <w:rPr>
          <w:rFonts w:ascii="Book Antiqua"/>
          <w:color w:val="131727" w:themeColor="text1"/>
          <w:sz w:val="18"/>
        </w:rPr>
        <w:t>ABS</w:t>
      </w:r>
      <w:r w:rsidRPr="00FD40B8">
        <w:rPr>
          <w:rFonts w:ascii="Book Antiqua"/>
          <w:color w:val="131727" w:themeColor="text1"/>
          <w:spacing w:val="-5"/>
          <w:sz w:val="18"/>
        </w:rPr>
        <w:t xml:space="preserve"> </w:t>
      </w:r>
      <w:r w:rsidRPr="00FD40B8">
        <w:rPr>
          <w:rFonts w:ascii="Book Antiqua"/>
          <w:color w:val="131727" w:themeColor="text1"/>
          <w:sz w:val="18"/>
        </w:rPr>
        <w:t>2021.</w:t>
      </w:r>
      <w:r w:rsidRPr="00FD40B8">
        <w:rPr>
          <w:rFonts w:ascii="Book Antiqua"/>
          <w:color w:val="131727" w:themeColor="text1"/>
          <w:spacing w:val="-3"/>
          <w:sz w:val="18"/>
        </w:rPr>
        <w:t xml:space="preserve"> </w:t>
      </w:r>
      <w:r w:rsidRPr="00FD40B8">
        <w:rPr>
          <w:rFonts w:ascii="Book Antiqua"/>
          <w:color w:val="131727" w:themeColor="text1"/>
          <w:sz w:val="18"/>
        </w:rPr>
        <w:t>Estimating</w:t>
      </w:r>
      <w:r w:rsidRPr="00FD40B8">
        <w:rPr>
          <w:rFonts w:ascii="Book Antiqua"/>
          <w:color w:val="131727" w:themeColor="text1"/>
          <w:spacing w:val="-7"/>
          <w:sz w:val="18"/>
        </w:rPr>
        <w:t xml:space="preserve"> </w:t>
      </w:r>
      <w:r w:rsidRPr="00FD40B8">
        <w:rPr>
          <w:rFonts w:ascii="Book Antiqua"/>
          <w:color w:val="131727" w:themeColor="text1"/>
          <w:sz w:val="18"/>
        </w:rPr>
        <w:t>Homelessness.</w:t>
      </w:r>
      <w:r w:rsidRPr="00FD40B8">
        <w:rPr>
          <w:rFonts w:ascii="Book Antiqua"/>
          <w:color w:val="131727" w:themeColor="text1"/>
          <w:spacing w:val="-3"/>
          <w:sz w:val="18"/>
        </w:rPr>
        <w:t xml:space="preserve"> </w:t>
      </w:r>
      <w:r w:rsidRPr="00FD40B8">
        <w:rPr>
          <w:rFonts w:ascii="Book Antiqua"/>
          <w:color w:val="131727" w:themeColor="text1"/>
          <w:sz w:val="18"/>
        </w:rPr>
        <w:t>[Census</w:t>
      </w:r>
      <w:r w:rsidRPr="00FD40B8">
        <w:rPr>
          <w:rFonts w:ascii="Book Antiqua"/>
          <w:color w:val="131727" w:themeColor="text1"/>
          <w:spacing w:val="-6"/>
          <w:sz w:val="18"/>
        </w:rPr>
        <w:t xml:space="preserve"> </w:t>
      </w:r>
      <w:r w:rsidRPr="00FD40B8">
        <w:rPr>
          <w:rFonts w:ascii="Book Antiqua"/>
          <w:color w:val="131727" w:themeColor="text1"/>
          <w:spacing w:val="-2"/>
          <w:sz w:val="18"/>
        </w:rPr>
        <w:t>TableBuilder].</w:t>
      </w:r>
    </w:p>
    <w:p w14:paraId="49C35963" w14:textId="77777777" w:rsidR="00811887" w:rsidRPr="00FD40B8" w:rsidRDefault="00811887" w:rsidP="00811887">
      <w:pPr>
        <w:pStyle w:val="BodyText"/>
        <w:spacing w:before="147"/>
        <w:rPr>
          <w:rFonts w:ascii="Book Antiqua"/>
          <w:color w:val="131727" w:themeColor="text1"/>
          <w:sz w:val="18"/>
        </w:rPr>
      </w:pPr>
    </w:p>
    <w:p w14:paraId="66490CBF" w14:textId="77777777" w:rsidR="00811887" w:rsidRPr="00FD40B8" w:rsidRDefault="00811887" w:rsidP="00811887">
      <w:pPr>
        <w:ind w:left="508"/>
        <w:rPr>
          <w:rFonts w:ascii="Book Antiqua"/>
          <w:b/>
          <w:color w:val="131727" w:themeColor="text1"/>
          <w:sz w:val="20"/>
        </w:rPr>
      </w:pPr>
      <w:r w:rsidRPr="00FD40B8">
        <w:rPr>
          <w:rFonts w:ascii="Book Antiqua"/>
          <w:b/>
          <w:color w:val="131727" w:themeColor="text1"/>
          <w:sz w:val="20"/>
        </w:rPr>
        <w:t>Box</w:t>
      </w:r>
      <w:r w:rsidRPr="00FD40B8">
        <w:rPr>
          <w:rFonts w:ascii="Book Antiqua"/>
          <w:b/>
          <w:color w:val="131727" w:themeColor="text1"/>
          <w:spacing w:val="-6"/>
          <w:sz w:val="20"/>
        </w:rPr>
        <w:t xml:space="preserve"> </w:t>
      </w:r>
      <w:r w:rsidRPr="00FD40B8">
        <w:rPr>
          <w:rFonts w:ascii="Book Antiqua"/>
          <w:b/>
          <w:color w:val="131727" w:themeColor="text1"/>
          <w:sz w:val="20"/>
        </w:rPr>
        <w:t>1. The</w:t>
      </w:r>
      <w:r w:rsidRPr="00FD40B8">
        <w:rPr>
          <w:rFonts w:ascii="Book Antiqua"/>
          <w:b/>
          <w:color w:val="131727" w:themeColor="text1"/>
          <w:spacing w:val="-8"/>
          <w:sz w:val="20"/>
        </w:rPr>
        <w:t xml:space="preserve"> </w:t>
      </w:r>
      <w:r w:rsidRPr="00FD40B8">
        <w:rPr>
          <w:rFonts w:ascii="Book Antiqua"/>
          <w:b/>
          <w:color w:val="131727" w:themeColor="text1"/>
          <w:sz w:val="20"/>
        </w:rPr>
        <w:t>extra</w:t>
      </w:r>
      <w:r w:rsidRPr="00FD40B8">
        <w:rPr>
          <w:rFonts w:ascii="Book Antiqua"/>
          <w:b/>
          <w:color w:val="131727" w:themeColor="text1"/>
          <w:spacing w:val="-8"/>
          <w:sz w:val="20"/>
        </w:rPr>
        <w:t xml:space="preserve"> </w:t>
      </w:r>
      <w:r w:rsidRPr="00FD40B8">
        <w:rPr>
          <w:rFonts w:ascii="Book Antiqua"/>
          <w:b/>
          <w:color w:val="131727" w:themeColor="text1"/>
          <w:sz w:val="20"/>
        </w:rPr>
        <w:t>burden</w:t>
      </w:r>
      <w:r w:rsidRPr="00FD40B8">
        <w:rPr>
          <w:rFonts w:ascii="Book Antiqua"/>
          <w:b/>
          <w:color w:val="131727" w:themeColor="text1"/>
          <w:spacing w:val="-2"/>
          <w:sz w:val="20"/>
        </w:rPr>
        <w:t xml:space="preserve"> </w:t>
      </w:r>
      <w:r w:rsidRPr="00FD40B8">
        <w:rPr>
          <w:rFonts w:ascii="Book Antiqua"/>
          <w:b/>
          <w:color w:val="131727" w:themeColor="text1"/>
          <w:sz w:val="20"/>
        </w:rPr>
        <w:t>for</w:t>
      </w:r>
      <w:r w:rsidRPr="00FD40B8">
        <w:rPr>
          <w:rFonts w:ascii="Book Antiqua"/>
          <w:b/>
          <w:color w:val="131727" w:themeColor="text1"/>
          <w:spacing w:val="-5"/>
          <w:sz w:val="20"/>
        </w:rPr>
        <w:t xml:space="preserve"> </w:t>
      </w:r>
      <w:r w:rsidRPr="00FD40B8">
        <w:rPr>
          <w:rFonts w:ascii="Book Antiqua"/>
          <w:b/>
          <w:color w:val="131727" w:themeColor="text1"/>
          <w:sz w:val="20"/>
        </w:rPr>
        <w:t>remote</w:t>
      </w:r>
      <w:r w:rsidRPr="00FD40B8">
        <w:rPr>
          <w:rFonts w:ascii="Book Antiqua"/>
          <w:b/>
          <w:color w:val="131727" w:themeColor="text1"/>
          <w:spacing w:val="-8"/>
          <w:sz w:val="20"/>
        </w:rPr>
        <w:t xml:space="preserve"> </w:t>
      </w:r>
      <w:r w:rsidRPr="00FD40B8">
        <w:rPr>
          <w:rFonts w:ascii="Book Antiqua"/>
          <w:b/>
          <w:color w:val="131727" w:themeColor="text1"/>
          <w:sz w:val="20"/>
        </w:rPr>
        <w:t>and</w:t>
      </w:r>
      <w:r w:rsidRPr="00FD40B8">
        <w:rPr>
          <w:rFonts w:ascii="Book Antiqua"/>
          <w:b/>
          <w:color w:val="131727" w:themeColor="text1"/>
          <w:spacing w:val="-6"/>
          <w:sz w:val="20"/>
        </w:rPr>
        <w:t xml:space="preserve"> </w:t>
      </w:r>
      <w:r w:rsidRPr="00FD40B8">
        <w:rPr>
          <w:rFonts w:ascii="Book Antiqua"/>
          <w:b/>
          <w:color w:val="131727" w:themeColor="text1"/>
          <w:sz w:val="20"/>
        </w:rPr>
        <w:t>the</w:t>
      </w:r>
      <w:r w:rsidRPr="00FD40B8">
        <w:rPr>
          <w:rFonts w:ascii="Book Antiqua"/>
          <w:b/>
          <w:color w:val="131727" w:themeColor="text1"/>
          <w:spacing w:val="-8"/>
          <w:sz w:val="20"/>
        </w:rPr>
        <w:t xml:space="preserve"> </w:t>
      </w:r>
      <w:r w:rsidRPr="00FD40B8">
        <w:rPr>
          <w:rFonts w:ascii="Book Antiqua"/>
          <w:b/>
          <w:color w:val="131727" w:themeColor="text1"/>
          <w:sz w:val="20"/>
        </w:rPr>
        <w:t>need</w:t>
      </w:r>
      <w:r w:rsidRPr="00FD40B8">
        <w:rPr>
          <w:rFonts w:ascii="Book Antiqua"/>
          <w:b/>
          <w:color w:val="131727" w:themeColor="text1"/>
          <w:spacing w:val="-2"/>
          <w:sz w:val="20"/>
        </w:rPr>
        <w:t xml:space="preserve"> </w:t>
      </w:r>
      <w:r w:rsidRPr="00FD40B8">
        <w:rPr>
          <w:rFonts w:ascii="Book Antiqua"/>
          <w:b/>
          <w:color w:val="131727" w:themeColor="text1"/>
          <w:sz w:val="20"/>
        </w:rPr>
        <w:t>for</w:t>
      </w:r>
      <w:r w:rsidRPr="00FD40B8">
        <w:rPr>
          <w:rFonts w:ascii="Book Antiqua"/>
          <w:b/>
          <w:color w:val="131727" w:themeColor="text1"/>
          <w:spacing w:val="-9"/>
          <w:sz w:val="20"/>
        </w:rPr>
        <w:t xml:space="preserve"> </w:t>
      </w:r>
      <w:r w:rsidRPr="00FD40B8">
        <w:rPr>
          <w:rFonts w:ascii="Book Antiqua"/>
          <w:b/>
          <w:color w:val="131727" w:themeColor="text1"/>
          <w:sz w:val="20"/>
        </w:rPr>
        <w:t>strong</w:t>
      </w:r>
      <w:r w:rsidRPr="00FD40B8">
        <w:rPr>
          <w:rFonts w:ascii="Book Antiqua"/>
          <w:b/>
          <w:color w:val="131727" w:themeColor="text1"/>
          <w:spacing w:val="-5"/>
          <w:sz w:val="20"/>
        </w:rPr>
        <w:t xml:space="preserve"> </w:t>
      </w:r>
      <w:r w:rsidRPr="00FD40B8">
        <w:rPr>
          <w:rFonts w:ascii="Book Antiqua"/>
          <w:b/>
          <w:color w:val="131727" w:themeColor="text1"/>
          <w:sz w:val="20"/>
        </w:rPr>
        <w:t>government</w:t>
      </w:r>
      <w:r w:rsidRPr="00FD40B8">
        <w:rPr>
          <w:rFonts w:ascii="Book Antiqua"/>
          <w:b/>
          <w:color w:val="131727" w:themeColor="text1"/>
          <w:spacing w:val="-8"/>
          <w:sz w:val="20"/>
        </w:rPr>
        <w:t xml:space="preserve"> </w:t>
      </w:r>
      <w:r w:rsidRPr="00FD40B8">
        <w:rPr>
          <w:rFonts w:ascii="Book Antiqua"/>
          <w:b/>
          <w:color w:val="131727" w:themeColor="text1"/>
          <w:spacing w:val="-2"/>
          <w:sz w:val="20"/>
        </w:rPr>
        <w:t>involvement</w:t>
      </w:r>
    </w:p>
    <w:p w14:paraId="1B7AD6CD" w14:textId="77777777" w:rsidR="00811887" w:rsidRPr="00FD40B8" w:rsidRDefault="00811887" w:rsidP="00811887">
      <w:pPr>
        <w:pStyle w:val="BodyText"/>
        <w:spacing w:before="11"/>
        <w:rPr>
          <w:rFonts w:ascii="Book Antiqua"/>
          <w:b/>
          <w:color w:val="131727" w:themeColor="text1"/>
          <w:sz w:val="7"/>
        </w:rPr>
      </w:pPr>
      <w:r w:rsidRPr="00FD40B8">
        <w:rPr>
          <w:noProof/>
          <w:color w:val="131727" w:themeColor="text1"/>
        </w:rPr>
        <mc:AlternateContent>
          <mc:Choice Requires="wps">
            <w:drawing>
              <wp:anchor distT="0" distB="0" distL="0" distR="0" simplePos="0" relativeHeight="251743232" behindDoc="1" locked="0" layoutInCell="1" allowOverlap="1" wp14:anchorId="3DEF1514" wp14:editId="18086760">
                <wp:simplePos x="0" y="0"/>
                <wp:positionH relativeFrom="page">
                  <wp:posOffset>792784</wp:posOffset>
                </wp:positionH>
                <wp:positionV relativeFrom="paragraph">
                  <wp:posOffset>2491310</wp:posOffset>
                </wp:positionV>
                <wp:extent cx="1830070" cy="6350"/>
                <wp:effectExtent l="0" t="0" r="0" b="0"/>
                <wp:wrapTopAndBottom/>
                <wp:docPr id="158" name="Graphic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FD515" id="Graphic 158" o:spid="_x0000_s1026" alt="&quot;&quot;" style="position:absolute;margin-left:62.4pt;margin-top:196.15pt;width:144.1pt;height:.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" path="m1829689,l,,,6095r1829689,l1829689,xe" fillcolor="black" stroked="f">
                <v:path arrowok="t"/>
                <w10:wrap type="topAndBottom" anchorx="page"/>
              </v:shape>
            </w:pict>
          </mc:Fallback>
        </mc:AlternateContent>
      </w:r>
    </w:p>
    <w:p w14:paraId="528F4107" w14:textId="77777777" w:rsidR="00811887" w:rsidRDefault="00811887" w:rsidP="00811887">
      <w:pPr>
        <w:pStyle w:val="BodyText"/>
        <w:spacing w:before="25" w:line="266" w:lineRule="auto"/>
        <w:ind w:left="567" w:right="567"/>
        <w:rPr>
          <w:color w:val="000000"/>
        </w:rPr>
      </w:pPr>
      <w:r>
        <w:rPr>
          <w:noProof/>
          <w14:ligatures w14:val="standardContextual"/>
        </w:rPr>
        <mc:AlternateContent>
          <mc:Choice Requires="wps">
            <w:drawing>
              <wp:anchor distT="0" distB="0" distL="114300" distR="114300" simplePos="0" relativeHeight="251788288" behindDoc="1" locked="0" layoutInCell="1" allowOverlap="1" wp14:anchorId="15728FD1" wp14:editId="6703F268">
                <wp:simplePos x="0" y="0"/>
                <wp:positionH relativeFrom="margin">
                  <wp:posOffset>254495</wp:posOffset>
                </wp:positionH>
                <wp:positionV relativeFrom="paragraph">
                  <wp:posOffset>23718</wp:posOffset>
                </wp:positionV>
                <wp:extent cx="6163293" cy="2256311"/>
                <wp:effectExtent l="0" t="0" r="9525" b="0"/>
                <wp:wrapNone/>
                <wp:docPr id="202788410"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3293" cy="2256311"/>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075EF" id="Rectangle 3" o:spid="_x0000_s1026" alt="&quot;&quot;" style="position:absolute;margin-left:20.05pt;margin-top:1.85pt;width:485.3pt;height:177.65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" fillcolor="#cfdfdd" stroked="f" strokeweight=".5pt">
                <w10:wrap anchorx="margin"/>
              </v:rect>
            </w:pict>
          </mc:Fallback>
        </mc:AlternateContent>
      </w:r>
      <w:r>
        <w:rPr>
          <w:color w:val="000000"/>
          <w:w w:val="110"/>
        </w:rPr>
        <w:t>There is no housing market in remote areas (private rental or homeownership opportunities), leaving residents to</w:t>
      </w:r>
      <w:r>
        <w:rPr>
          <w:color w:val="000000"/>
          <w:spacing w:val="-1"/>
          <w:w w:val="110"/>
        </w:rPr>
        <w:t xml:space="preserve"> </w:t>
      </w:r>
      <w:r>
        <w:rPr>
          <w:color w:val="000000"/>
          <w:w w:val="110"/>
        </w:rPr>
        <w:t>rely</w:t>
      </w:r>
      <w:r>
        <w:rPr>
          <w:color w:val="000000"/>
          <w:spacing w:val="-7"/>
          <w:w w:val="110"/>
        </w:rPr>
        <w:t xml:space="preserve"> </w:t>
      </w:r>
      <w:r>
        <w:rPr>
          <w:color w:val="000000"/>
          <w:w w:val="110"/>
        </w:rPr>
        <w:t>on</w:t>
      </w:r>
      <w:r>
        <w:rPr>
          <w:color w:val="000000"/>
          <w:spacing w:val="-5"/>
          <w:w w:val="110"/>
        </w:rPr>
        <w:t xml:space="preserve"> </w:t>
      </w:r>
      <w:r>
        <w:rPr>
          <w:color w:val="000000"/>
          <w:w w:val="110"/>
        </w:rPr>
        <w:t>social housing and</w:t>
      </w:r>
      <w:r>
        <w:rPr>
          <w:color w:val="000000"/>
          <w:spacing w:val="-2"/>
          <w:w w:val="110"/>
        </w:rPr>
        <w:t xml:space="preserve"> </w:t>
      </w:r>
      <w:r>
        <w:rPr>
          <w:color w:val="000000"/>
          <w:w w:val="110"/>
        </w:rPr>
        <w:t>government</w:t>
      </w:r>
      <w:r>
        <w:rPr>
          <w:color w:val="000000"/>
          <w:spacing w:val="-6"/>
          <w:w w:val="110"/>
        </w:rPr>
        <w:t xml:space="preserve"> </w:t>
      </w:r>
      <w:r>
        <w:rPr>
          <w:color w:val="000000"/>
          <w:w w:val="110"/>
        </w:rPr>
        <w:t>investment.</w:t>
      </w:r>
      <w:r>
        <w:rPr>
          <w:color w:val="000000"/>
          <w:spacing w:val="-2"/>
          <w:w w:val="110"/>
        </w:rPr>
        <w:t xml:space="preserve"> </w:t>
      </w:r>
      <w:r>
        <w:rPr>
          <w:color w:val="000000"/>
          <w:w w:val="110"/>
        </w:rPr>
        <w:t>This makes the</w:t>
      </w:r>
      <w:r>
        <w:rPr>
          <w:color w:val="000000"/>
          <w:spacing w:val="-6"/>
          <w:w w:val="110"/>
        </w:rPr>
        <w:t xml:space="preserve"> </w:t>
      </w:r>
      <w:r>
        <w:rPr>
          <w:color w:val="000000"/>
          <w:w w:val="110"/>
        </w:rPr>
        <w:t>role</w:t>
      </w:r>
      <w:r>
        <w:rPr>
          <w:color w:val="000000"/>
          <w:spacing w:val="-2"/>
          <w:w w:val="110"/>
        </w:rPr>
        <w:t xml:space="preserve"> </w:t>
      </w:r>
      <w:r>
        <w:rPr>
          <w:color w:val="000000"/>
          <w:w w:val="110"/>
        </w:rPr>
        <w:t>of governments in the provision of social housing in remote and some regional areas much more significant and important than in urban areas.</w:t>
      </w:r>
    </w:p>
    <w:p w14:paraId="5CBE791E" w14:textId="77777777" w:rsidR="00811887" w:rsidRDefault="00811887" w:rsidP="00811887">
      <w:pPr>
        <w:pStyle w:val="BodyText"/>
        <w:spacing w:before="126" w:line="266" w:lineRule="auto"/>
        <w:ind w:left="567" w:right="567"/>
        <w:rPr>
          <w:color w:val="000000"/>
        </w:rPr>
      </w:pPr>
      <w:r>
        <w:rPr>
          <w:color w:val="000000"/>
          <w:w w:val="110"/>
        </w:rPr>
        <w:t>In other</w:t>
      </w:r>
      <w:r>
        <w:rPr>
          <w:color w:val="000000"/>
          <w:spacing w:val="-3"/>
          <w:w w:val="110"/>
        </w:rPr>
        <w:t xml:space="preserve"> </w:t>
      </w:r>
      <w:r>
        <w:rPr>
          <w:color w:val="000000"/>
          <w:w w:val="110"/>
        </w:rPr>
        <w:t>settings social housing tends to be allocated</w:t>
      </w:r>
      <w:r>
        <w:rPr>
          <w:color w:val="000000"/>
          <w:spacing w:val="-1"/>
          <w:w w:val="110"/>
        </w:rPr>
        <w:t xml:space="preserve"> </w:t>
      </w:r>
      <w:r>
        <w:rPr>
          <w:color w:val="000000"/>
          <w:w w:val="110"/>
        </w:rPr>
        <w:t>based</w:t>
      </w:r>
      <w:r>
        <w:rPr>
          <w:color w:val="000000"/>
          <w:spacing w:val="-1"/>
          <w:w w:val="110"/>
        </w:rPr>
        <w:t xml:space="preserve"> </w:t>
      </w:r>
      <w:r>
        <w:rPr>
          <w:color w:val="000000"/>
          <w:w w:val="110"/>
        </w:rPr>
        <w:t>on need.</w:t>
      </w:r>
      <w:r>
        <w:rPr>
          <w:color w:val="000000"/>
          <w:spacing w:val="-1"/>
          <w:w w:val="110"/>
        </w:rPr>
        <w:t xml:space="preserve"> </w:t>
      </w:r>
      <w:r>
        <w:rPr>
          <w:color w:val="000000"/>
          <w:w w:val="110"/>
        </w:rPr>
        <w:t>In many remote Aboriginal and Torres Strait Islander, this is all the housing there is, especially for local people. Even if there was a housing</w:t>
      </w:r>
      <w:r>
        <w:rPr>
          <w:color w:val="000000"/>
          <w:spacing w:val="-4"/>
          <w:w w:val="110"/>
        </w:rPr>
        <w:t xml:space="preserve"> </w:t>
      </w:r>
      <w:r>
        <w:rPr>
          <w:color w:val="000000"/>
          <w:w w:val="110"/>
        </w:rPr>
        <w:t>market, the</w:t>
      </w:r>
      <w:r>
        <w:rPr>
          <w:color w:val="000000"/>
          <w:spacing w:val="-4"/>
          <w:w w:val="110"/>
        </w:rPr>
        <w:t xml:space="preserve"> </w:t>
      </w:r>
      <w:r>
        <w:rPr>
          <w:color w:val="000000"/>
          <w:w w:val="110"/>
        </w:rPr>
        <w:t>incomes</w:t>
      </w:r>
      <w:r>
        <w:rPr>
          <w:color w:val="000000"/>
          <w:spacing w:val="-2"/>
          <w:w w:val="110"/>
        </w:rPr>
        <w:t xml:space="preserve"> </w:t>
      </w:r>
      <w:r>
        <w:rPr>
          <w:color w:val="000000"/>
          <w:w w:val="110"/>
        </w:rPr>
        <w:t>of</w:t>
      </w:r>
      <w:r>
        <w:rPr>
          <w:color w:val="000000"/>
          <w:spacing w:val="-2"/>
          <w:w w:val="110"/>
        </w:rPr>
        <w:t xml:space="preserve"> </w:t>
      </w:r>
      <w:r>
        <w:rPr>
          <w:color w:val="000000"/>
          <w:w w:val="110"/>
        </w:rPr>
        <w:t>many</w:t>
      </w:r>
      <w:r>
        <w:rPr>
          <w:color w:val="000000"/>
          <w:spacing w:val="-1"/>
          <w:w w:val="110"/>
        </w:rPr>
        <w:t xml:space="preserve"> </w:t>
      </w:r>
      <w:r>
        <w:rPr>
          <w:color w:val="000000"/>
          <w:w w:val="110"/>
        </w:rPr>
        <w:t>Aboriginal and Torres Strait Islander</w:t>
      </w:r>
      <w:r>
        <w:rPr>
          <w:color w:val="000000"/>
          <w:spacing w:val="-6"/>
          <w:w w:val="110"/>
        </w:rPr>
        <w:t xml:space="preserve"> </w:t>
      </w:r>
      <w:r>
        <w:rPr>
          <w:color w:val="000000"/>
          <w:w w:val="110"/>
        </w:rPr>
        <w:t>households</w:t>
      </w:r>
      <w:r>
        <w:rPr>
          <w:color w:val="000000"/>
          <w:spacing w:val="-2"/>
          <w:w w:val="110"/>
        </w:rPr>
        <w:t xml:space="preserve"> </w:t>
      </w:r>
      <w:r>
        <w:rPr>
          <w:color w:val="000000"/>
          <w:w w:val="110"/>
        </w:rPr>
        <w:t>in remote are not sufficient to buy a household out of social housing.</w:t>
      </w:r>
    </w:p>
    <w:p w14:paraId="123949FF" w14:textId="77777777" w:rsidR="00811887" w:rsidRDefault="00811887" w:rsidP="00811887">
      <w:pPr>
        <w:pStyle w:val="BodyText"/>
        <w:spacing w:before="109" w:line="259" w:lineRule="auto"/>
        <w:ind w:left="567" w:right="567"/>
        <w:rPr>
          <w:color w:val="000000"/>
        </w:rPr>
      </w:pPr>
      <w:r>
        <w:rPr>
          <w:color w:val="000000"/>
          <w:w w:val="110"/>
        </w:rPr>
        <w:t>Further, in mainstream social housing, expenditure on the ongoing management of properties and tenancies (not including asset depreciation) can be largely offset by rental revenues</w:t>
      </w:r>
      <w:hyperlink w:anchor="_bookmark45" w:history="1">
        <w:r>
          <w:rPr>
            <w:color w:val="000000"/>
            <w:w w:val="110"/>
          </w:rPr>
          <w:t>.</w:t>
        </w:r>
        <w:r>
          <w:rPr>
            <w:color w:val="000000"/>
            <w:w w:val="110"/>
            <w:position w:val="8"/>
            <w:sz w:val="13"/>
          </w:rPr>
          <w:t>37</w:t>
        </w:r>
      </w:hyperlink>
      <w:r>
        <w:rPr>
          <w:color w:val="000000"/>
          <w:spacing w:val="24"/>
          <w:w w:val="110"/>
          <w:position w:val="8"/>
          <w:sz w:val="13"/>
        </w:rPr>
        <w:t xml:space="preserve"> </w:t>
      </w:r>
      <w:r>
        <w:rPr>
          <w:color w:val="000000"/>
          <w:w w:val="110"/>
        </w:rPr>
        <w:t>In remote Aboriginal and</w:t>
      </w:r>
      <w:r>
        <w:rPr>
          <w:color w:val="000000"/>
          <w:spacing w:val="-2"/>
          <w:w w:val="110"/>
        </w:rPr>
        <w:t xml:space="preserve"> </w:t>
      </w:r>
      <w:r>
        <w:rPr>
          <w:color w:val="000000"/>
          <w:w w:val="110"/>
        </w:rPr>
        <w:t>Torres</w:t>
      </w:r>
      <w:r>
        <w:rPr>
          <w:color w:val="000000"/>
          <w:spacing w:val="-1"/>
          <w:w w:val="110"/>
        </w:rPr>
        <w:t xml:space="preserve"> </w:t>
      </w:r>
      <w:r>
        <w:rPr>
          <w:color w:val="000000"/>
          <w:w w:val="110"/>
        </w:rPr>
        <w:t>Strait</w:t>
      </w:r>
      <w:r>
        <w:rPr>
          <w:color w:val="000000"/>
          <w:spacing w:val="-2"/>
          <w:w w:val="110"/>
        </w:rPr>
        <w:t xml:space="preserve"> </w:t>
      </w:r>
      <w:r>
        <w:rPr>
          <w:color w:val="000000"/>
          <w:w w:val="110"/>
        </w:rPr>
        <w:t>Islander</w:t>
      </w:r>
      <w:r>
        <w:rPr>
          <w:color w:val="000000"/>
          <w:spacing w:val="-9"/>
          <w:w w:val="110"/>
        </w:rPr>
        <w:t xml:space="preserve"> </w:t>
      </w:r>
      <w:r>
        <w:rPr>
          <w:color w:val="000000"/>
          <w:w w:val="110"/>
        </w:rPr>
        <w:t>housing,</w:t>
      </w:r>
      <w:r>
        <w:rPr>
          <w:color w:val="000000"/>
          <w:spacing w:val="-2"/>
          <w:w w:val="110"/>
        </w:rPr>
        <w:t xml:space="preserve"> </w:t>
      </w:r>
      <w:r>
        <w:rPr>
          <w:color w:val="000000"/>
          <w:w w:val="110"/>
        </w:rPr>
        <w:t>rent</w:t>
      </w:r>
      <w:r>
        <w:rPr>
          <w:color w:val="000000"/>
          <w:spacing w:val="-2"/>
          <w:w w:val="110"/>
        </w:rPr>
        <w:t xml:space="preserve"> </w:t>
      </w:r>
      <w:r>
        <w:rPr>
          <w:color w:val="000000"/>
          <w:w w:val="110"/>
        </w:rPr>
        <w:t>revenues typically</w:t>
      </w:r>
      <w:r>
        <w:rPr>
          <w:color w:val="000000"/>
          <w:spacing w:val="-4"/>
          <w:w w:val="110"/>
        </w:rPr>
        <w:t xml:space="preserve"> </w:t>
      </w:r>
      <w:r>
        <w:rPr>
          <w:color w:val="000000"/>
          <w:w w:val="110"/>
        </w:rPr>
        <w:t>only</w:t>
      </w:r>
      <w:r>
        <w:rPr>
          <w:color w:val="000000"/>
          <w:spacing w:val="-8"/>
          <w:w w:val="110"/>
        </w:rPr>
        <w:t xml:space="preserve"> </w:t>
      </w:r>
      <w:r>
        <w:rPr>
          <w:color w:val="000000"/>
          <w:w w:val="110"/>
        </w:rPr>
        <w:t>cover</w:t>
      </w:r>
      <w:r>
        <w:rPr>
          <w:color w:val="000000"/>
          <w:spacing w:val="-4"/>
          <w:w w:val="110"/>
        </w:rPr>
        <w:t xml:space="preserve"> </w:t>
      </w:r>
      <w:r>
        <w:rPr>
          <w:color w:val="000000"/>
          <w:w w:val="110"/>
        </w:rPr>
        <w:t>an</w:t>
      </w:r>
      <w:r>
        <w:rPr>
          <w:color w:val="000000"/>
          <w:spacing w:val="-1"/>
          <w:w w:val="110"/>
        </w:rPr>
        <w:t xml:space="preserve"> </w:t>
      </w:r>
      <w:r>
        <w:rPr>
          <w:color w:val="000000"/>
          <w:w w:val="110"/>
        </w:rPr>
        <w:t>average</w:t>
      </w:r>
      <w:r>
        <w:rPr>
          <w:color w:val="000000"/>
          <w:spacing w:val="-7"/>
          <w:w w:val="110"/>
        </w:rPr>
        <w:t xml:space="preserve"> </w:t>
      </w:r>
      <w:r>
        <w:rPr>
          <w:color w:val="000000"/>
          <w:w w:val="110"/>
        </w:rPr>
        <w:t>of 16%</w:t>
      </w:r>
      <w:r>
        <w:rPr>
          <w:color w:val="000000"/>
          <w:spacing w:val="-6"/>
          <w:w w:val="110"/>
        </w:rPr>
        <w:t xml:space="preserve"> </w:t>
      </w:r>
      <w:r>
        <w:rPr>
          <w:color w:val="000000"/>
          <w:w w:val="110"/>
        </w:rPr>
        <w:t>of the recurrent expenditure on managing housing stock</w:t>
      </w:r>
      <w:hyperlink w:anchor="_bookmark46" w:history="1">
        <w:r>
          <w:rPr>
            <w:color w:val="000000"/>
            <w:w w:val="110"/>
          </w:rPr>
          <w:t>.</w:t>
        </w:r>
        <w:r>
          <w:rPr>
            <w:color w:val="000000"/>
            <w:w w:val="110"/>
            <w:position w:val="8"/>
            <w:sz w:val="13"/>
          </w:rPr>
          <w:t>38</w:t>
        </w:r>
      </w:hyperlink>
      <w:r>
        <w:rPr>
          <w:color w:val="000000"/>
          <w:spacing w:val="31"/>
          <w:w w:val="110"/>
          <w:position w:val="8"/>
          <w:sz w:val="13"/>
        </w:rPr>
        <w:t xml:space="preserve"> </w:t>
      </w:r>
      <w:r>
        <w:rPr>
          <w:color w:val="000000"/>
          <w:w w:val="110"/>
        </w:rPr>
        <w:t>This significant gap between revenue and</w:t>
      </w:r>
    </w:p>
    <w:p w14:paraId="3AD863CD" w14:textId="77777777" w:rsidR="00811887" w:rsidRPr="00FD40B8" w:rsidRDefault="00811887" w:rsidP="00811887">
      <w:pPr>
        <w:pStyle w:val="BodyText"/>
        <w:spacing w:before="28"/>
        <w:rPr>
          <w:rFonts w:ascii="Book Antiqua"/>
          <w:b/>
          <w:color w:val="131727" w:themeColor="text1"/>
        </w:rPr>
      </w:pPr>
    </w:p>
    <w:p w14:paraId="1A7970BD" w14:textId="77777777" w:rsidR="00811887" w:rsidRPr="00FD40B8" w:rsidRDefault="00811887" w:rsidP="00811887">
      <w:pPr>
        <w:spacing w:before="123"/>
        <w:ind w:left="508"/>
        <w:rPr>
          <w:color w:val="131727" w:themeColor="text1"/>
          <w:sz w:val="16"/>
        </w:rPr>
      </w:pPr>
      <w:bookmarkStart w:id="157" w:name="_bookmark45"/>
      <w:bookmarkEnd w:id="157"/>
      <w:r w:rsidRPr="00FD40B8">
        <w:rPr>
          <w:color w:val="131727" w:themeColor="text1"/>
          <w:w w:val="110"/>
          <w:position w:val="6"/>
          <w:sz w:val="10"/>
        </w:rPr>
        <w:t>37</w:t>
      </w:r>
      <w:r w:rsidRPr="00FD40B8">
        <w:rPr>
          <w:color w:val="131727" w:themeColor="text1"/>
          <w:spacing w:val="10"/>
          <w:w w:val="110"/>
          <w:position w:val="6"/>
          <w:sz w:val="10"/>
        </w:rPr>
        <w:t xml:space="preserve"> </w:t>
      </w:r>
      <w:r w:rsidRPr="00FD40B8">
        <w:rPr>
          <w:color w:val="131727" w:themeColor="text1"/>
          <w:w w:val="110"/>
          <w:sz w:val="16"/>
        </w:rPr>
        <w:t>Nous</w:t>
      </w:r>
      <w:r w:rsidRPr="00FD40B8">
        <w:rPr>
          <w:color w:val="131727" w:themeColor="text1"/>
          <w:spacing w:val="-6"/>
          <w:w w:val="110"/>
          <w:sz w:val="16"/>
        </w:rPr>
        <w:t xml:space="preserve"> </w:t>
      </w:r>
      <w:r w:rsidRPr="00FD40B8">
        <w:rPr>
          <w:color w:val="131727" w:themeColor="text1"/>
          <w:w w:val="110"/>
          <w:sz w:val="16"/>
        </w:rPr>
        <w:t>Group,</w:t>
      </w:r>
      <w:r w:rsidRPr="00FD40B8">
        <w:rPr>
          <w:color w:val="131727" w:themeColor="text1"/>
          <w:spacing w:val="-5"/>
          <w:w w:val="110"/>
          <w:sz w:val="16"/>
        </w:rPr>
        <w:t xml:space="preserve"> </w:t>
      </w:r>
      <w:r w:rsidRPr="00FD40B8">
        <w:rPr>
          <w:color w:val="131727" w:themeColor="text1"/>
          <w:w w:val="110"/>
          <w:sz w:val="16"/>
        </w:rPr>
        <w:t>Efficient</w:t>
      </w:r>
      <w:r w:rsidRPr="00FD40B8">
        <w:rPr>
          <w:color w:val="131727" w:themeColor="text1"/>
          <w:spacing w:val="-5"/>
          <w:w w:val="110"/>
          <w:sz w:val="16"/>
        </w:rPr>
        <w:t xml:space="preserve"> </w:t>
      </w:r>
      <w:r w:rsidRPr="00FD40B8">
        <w:rPr>
          <w:color w:val="131727" w:themeColor="text1"/>
          <w:w w:val="110"/>
          <w:sz w:val="16"/>
        </w:rPr>
        <w:t>system</w:t>
      </w:r>
      <w:r w:rsidRPr="00FD40B8">
        <w:rPr>
          <w:color w:val="131727" w:themeColor="text1"/>
          <w:spacing w:val="-5"/>
          <w:w w:val="110"/>
          <w:sz w:val="16"/>
        </w:rPr>
        <w:t xml:space="preserve"> </w:t>
      </w:r>
      <w:r w:rsidRPr="00FD40B8">
        <w:rPr>
          <w:color w:val="131727" w:themeColor="text1"/>
          <w:w w:val="110"/>
          <w:sz w:val="16"/>
        </w:rPr>
        <w:t>costs</w:t>
      </w:r>
      <w:r w:rsidRPr="00FD40B8">
        <w:rPr>
          <w:color w:val="131727" w:themeColor="text1"/>
          <w:spacing w:val="-3"/>
          <w:w w:val="110"/>
          <w:sz w:val="16"/>
        </w:rPr>
        <w:t xml:space="preserve"> </w:t>
      </w:r>
      <w:r w:rsidRPr="00FD40B8">
        <w:rPr>
          <w:color w:val="131727" w:themeColor="text1"/>
          <w:w w:val="110"/>
          <w:sz w:val="16"/>
        </w:rPr>
        <w:t>of</w:t>
      </w:r>
      <w:r w:rsidRPr="00FD40B8">
        <w:rPr>
          <w:color w:val="131727" w:themeColor="text1"/>
          <w:spacing w:val="-4"/>
          <w:w w:val="110"/>
          <w:sz w:val="16"/>
        </w:rPr>
        <w:t xml:space="preserve"> </w:t>
      </w:r>
      <w:r w:rsidRPr="00FD40B8">
        <w:rPr>
          <w:color w:val="131727" w:themeColor="text1"/>
          <w:w w:val="110"/>
          <w:sz w:val="16"/>
        </w:rPr>
        <w:t>Remote</w:t>
      </w:r>
      <w:r w:rsidRPr="00FD40B8">
        <w:rPr>
          <w:color w:val="131727" w:themeColor="text1"/>
          <w:spacing w:val="-5"/>
          <w:w w:val="110"/>
          <w:sz w:val="16"/>
        </w:rPr>
        <w:t xml:space="preserve"> </w:t>
      </w:r>
      <w:r w:rsidRPr="00FD40B8">
        <w:rPr>
          <w:color w:val="131727" w:themeColor="text1"/>
          <w:w w:val="110"/>
          <w:sz w:val="16"/>
        </w:rPr>
        <w:t>Indigenous</w:t>
      </w:r>
      <w:r w:rsidRPr="00FD40B8">
        <w:rPr>
          <w:color w:val="131727" w:themeColor="text1"/>
          <w:spacing w:val="-6"/>
          <w:w w:val="110"/>
          <w:sz w:val="16"/>
        </w:rPr>
        <w:t xml:space="preserve"> </w:t>
      </w:r>
      <w:r w:rsidRPr="00FD40B8">
        <w:rPr>
          <w:color w:val="131727" w:themeColor="text1"/>
          <w:w w:val="110"/>
          <w:sz w:val="16"/>
        </w:rPr>
        <w:t>housing,</w:t>
      </w:r>
      <w:r w:rsidRPr="00FD40B8">
        <w:rPr>
          <w:color w:val="131727" w:themeColor="text1"/>
          <w:spacing w:val="-5"/>
          <w:w w:val="110"/>
          <w:sz w:val="16"/>
        </w:rPr>
        <w:t xml:space="preserve"> </w:t>
      </w:r>
      <w:r w:rsidRPr="00FD40B8">
        <w:rPr>
          <w:color w:val="131727" w:themeColor="text1"/>
          <w:w w:val="110"/>
          <w:sz w:val="16"/>
        </w:rPr>
        <w:t>2017,</w:t>
      </w:r>
      <w:r w:rsidRPr="00FD40B8">
        <w:rPr>
          <w:color w:val="131727" w:themeColor="text1"/>
          <w:spacing w:val="-5"/>
          <w:w w:val="110"/>
          <w:sz w:val="16"/>
        </w:rPr>
        <w:t xml:space="preserve"> </w:t>
      </w:r>
      <w:r w:rsidRPr="00FD40B8">
        <w:rPr>
          <w:color w:val="131727" w:themeColor="text1"/>
          <w:w w:val="110"/>
          <w:sz w:val="16"/>
        </w:rPr>
        <w:t>for</w:t>
      </w:r>
      <w:r w:rsidRPr="00FD40B8">
        <w:rPr>
          <w:color w:val="131727" w:themeColor="text1"/>
          <w:spacing w:val="-4"/>
          <w:w w:val="110"/>
          <w:sz w:val="16"/>
        </w:rPr>
        <w:t xml:space="preserve"> </w:t>
      </w:r>
      <w:r w:rsidRPr="00FD40B8">
        <w:rPr>
          <w:color w:val="131727" w:themeColor="text1"/>
          <w:w w:val="110"/>
          <w:sz w:val="16"/>
        </w:rPr>
        <w:t>the</w:t>
      </w:r>
      <w:r w:rsidRPr="00FD40B8">
        <w:rPr>
          <w:color w:val="131727" w:themeColor="text1"/>
          <w:spacing w:val="-5"/>
          <w:w w:val="110"/>
          <w:sz w:val="16"/>
        </w:rPr>
        <w:t xml:space="preserve"> </w:t>
      </w:r>
      <w:r w:rsidRPr="00FD40B8">
        <w:rPr>
          <w:color w:val="131727" w:themeColor="text1"/>
          <w:w w:val="110"/>
          <w:sz w:val="16"/>
        </w:rPr>
        <w:t>NIAA</w:t>
      </w:r>
      <w:r w:rsidRPr="00FD40B8">
        <w:rPr>
          <w:color w:val="131727" w:themeColor="text1"/>
          <w:spacing w:val="-2"/>
          <w:w w:val="110"/>
          <w:sz w:val="16"/>
        </w:rPr>
        <w:t xml:space="preserve"> </w:t>
      </w:r>
      <w:r w:rsidRPr="00FD40B8">
        <w:rPr>
          <w:color w:val="131727" w:themeColor="text1"/>
          <w:w w:val="110"/>
          <w:sz w:val="16"/>
        </w:rPr>
        <w:t>Review</w:t>
      </w:r>
      <w:r w:rsidRPr="00FD40B8">
        <w:rPr>
          <w:color w:val="131727" w:themeColor="text1"/>
          <w:spacing w:val="-5"/>
          <w:w w:val="110"/>
          <w:sz w:val="16"/>
        </w:rPr>
        <w:t xml:space="preserve"> </w:t>
      </w:r>
      <w:r w:rsidRPr="00FD40B8">
        <w:rPr>
          <w:color w:val="131727" w:themeColor="text1"/>
          <w:w w:val="110"/>
          <w:sz w:val="16"/>
        </w:rPr>
        <w:t>of</w:t>
      </w:r>
      <w:r w:rsidRPr="00FD40B8">
        <w:rPr>
          <w:color w:val="131727" w:themeColor="text1"/>
          <w:spacing w:val="-4"/>
          <w:w w:val="110"/>
          <w:sz w:val="16"/>
        </w:rPr>
        <w:t xml:space="preserve"> </w:t>
      </w:r>
      <w:r w:rsidRPr="00FD40B8">
        <w:rPr>
          <w:color w:val="131727" w:themeColor="text1"/>
          <w:w w:val="110"/>
          <w:sz w:val="16"/>
        </w:rPr>
        <w:t>Remote</w:t>
      </w:r>
      <w:r w:rsidRPr="00FD40B8">
        <w:rPr>
          <w:color w:val="131727" w:themeColor="text1"/>
          <w:spacing w:val="-5"/>
          <w:w w:val="110"/>
          <w:sz w:val="16"/>
        </w:rPr>
        <w:t xml:space="preserve"> </w:t>
      </w:r>
      <w:r w:rsidRPr="00FD40B8">
        <w:rPr>
          <w:color w:val="131727" w:themeColor="text1"/>
          <w:spacing w:val="-2"/>
          <w:w w:val="110"/>
          <w:sz w:val="16"/>
        </w:rPr>
        <w:t>Housing.</w:t>
      </w:r>
    </w:p>
    <w:p w14:paraId="3FE6BE27" w14:textId="77777777" w:rsidR="00811887" w:rsidRPr="00FD40B8" w:rsidRDefault="00811887" w:rsidP="00811887">
      <w:pPr>
        <w:spacing w:before="18" w:line="268" w:lineRule="auto"/>
        <w:ind w:left="508" w:right="532"/>
        <w:rPr>
          <w:color w:val="131727" w:themeColor="text1"/>
          <w:sz w:val="16"/>
        </w:rPr>
      </w:pPr>
      <w:bookmarkStart w:id="158" w:name="_bookmark46"/>
      <w:bookmarkEnd w:id="158"/>
      <w:r w:rsidRPr="00FD40B8">
        <w:rPr>
          <w:color w:val="131727" w:themeColor="text1"/>
          <w:w w:val="105"/>
          <w:position w:val="6"/>
          <w:sz w:val="10"/>
        </w:rPr>
        <w:t>38</w:t>
      </w:r>
      <w:r w:rsidRPr="00FD40B8">
        <w:rPr>
          <w:color w:val="131727" w:themeColor="text1"/>
          <w:spacing w:val="35"/>
          <w:w w:val="105"/>
          <w:position w:val="6"/>
          <w:sz w:val="10"/>
        </w:rPr>
        <w:t xml:space="preserve"> </w:t>
      </w:r>
      <w:r w:rsidRPr="00FD40B8">
        <w:rPr>
          <w:color w:val="131727" w:themeColor="text1"/>
          <w:w w:val="105"/>
          <w:sz w:val="16"/>
        </w:rPr>
        <w:t>Figures</w:t>
      </w:r>
      <w:r w:rsidRPr="00FD40B8">
        <w:rPr>
          <w:color w:val="131727" w:themeColor="text1"/>
          <w:spacing w:val="19"/>
          <w:w w:val="105"/>
          <w:sz w:val="16"/>
        </w:rPr>
        <w:t xml:space="preserve"> </w:t>
      </w:r>
      <w:r w:rsidRPr="00FD40B8">
        <w:rPr>
          <w:color w:val="131727" w:themeColor="text1"/>
          <w:w w:val="105"/>
          <w:sz w:val="16"/>
        </w:rPr>
        <w:t>based</w:t>
      </w:r>
      <w:r w:rsidRPr="00FD40B8">
        <w:rPr>
          <w:color w:val="131727" w:themeColor="text1"/>
          <w:spacing w:val="23"/>
          <w:w w:val="105"/>
          <w:sz w:val="16"/>
        </w:rPr>
        <w:t xml:space="preserve"> </w:t>
      </w:r>
      <w:r w:rsidRPr="00FD40B8">
        <w:rPr>
          <w:color w:val="131727" w:themeColor="text1"/>
          <w:w w:val="105"/>
          <w:sz w:val="16"/>
        </w:rPr>
        <w:t>upon</w:t>
      </w:r>
      <w:r w:rsidRPr="00FD40B8">
        <w:rPr>
          <w:color w:val="131727" w:themeColor="text1"/>
          <w:spacing w:val="25"/>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gap</w:t>
      </w:r>
      <w:r w:rsidRPr="00FD40B8">
        <w:rPr>
          <w:color w:val="131727" w:themeColor="text1"/>
          <w:spacing w:val="23"/>
          <w:w w:val="105"/>
          <w:sz w:val="16"/>
        </w:rPr>
        <w:t xml:space="preserve"> </w:t>
      </w:r>
      <w:r w:rsidRPr="00FD40B8">
        <w:rPr>
          <w:color w:val="131727" w:themeColor="text1"/>
          <w:w w:val="105"/>
          <w:sz w:val="16"/>
        </w:rPr>
        <w:t>between</w:t>
      </w:r>
      <w:r w:rsidRPr="00FD40B8">
        <w:rPr>
          <w:color w:val="131727" w:themeColor="text1"/>
          <w:spacing w:val="25"/>
          <w:w w:val="105"/>
          <w:sz w:val="16"/>
        </w:rPr>
        <w:t xml:space="preserve"> </w:t>
      </w:r>
      <w:r w:rsidRPr="00FD40B8">
        <w:rPr>
          <w:color w:val="131727" w:themeColor="text1"/>
          <w:w w:val="105"/>
          <w:sz w:val="16"/>
        </w:rPr>
        <w:t>rental</w:t>
      </w:r>
      <w:r w:rsidRPr="00FD40B8">
        <w:rPr>
          <w:color w:val="131727" w:themeColor="text1"/>
          <w:spacing w:val="18"/>
          <w:w w:val="105"/>
          <w:sz w:val="16"/>
        </w:rPr>
        <w:t xml:space="preserve"> </w:t>
      </w:r>
      <w:r w:rsidRPr="00FD40B8">
        <w:rPr>
          <w:color w:val="131727" w:themeColor="text1"/>
          <w:w w:val="105"/>
          <w:sz w:val="16"/>
        </w:rPr>
        <w:t>income</w:t>
      </w:r>
      <w:r w:rsidRPr="00FD40B8">
        <w:rPr>
          <w:color w:val="131727" w:themeColor="text1"/>
          <w:spacing w:val="21"/>
          <w:w w:val="105"/>
          <w:sz w:val="16"/>
        </w:rPr>
        <w:t xml:space="preserve"> </w:t>
      </w:r>
      <w:r w:rsidRPr="00FD40B8">
        <w:rPr>
          <w:color w:val="131727" w:themeColor="text1"/>
          <w:w w:val="105"/>
          <w:sz w:val="16"/>
        </w:rPr>
        <w:t>and</w:t>
      </w:r>
      <w:r w:rsidRPr="00FD40B8">
        <w:rPr>
          <w:color w:val="131727" w:themeColor="text1"/>
          <w:spacing w:val="23"/>
          <w:w w:val="105"/>
          <w:sz w:val="16"/>
        </w:rPr>
        <w:t xml:space="preserve"> </w:t>
      </w:r>
      <w:r w:rsidRPr="00FD40B8">
        <w:rPr>
          <w:color w:val="131727" w:themeColor="text1"/>
          <w:w w:val="105"/>
          <w:sz w:val="16"/>
        </w:rPr>
        <w:t>total</w:t>
      </w:r>
      <w:r w:rsidRPr="00FD40B8">
        <w:rPr>
          <w:color w:val="131727" w:themeColor="text1"/>
          <w:spacing w:val="18"/>
          <w:w w:val="105"/>
          <w:sz w:val="16"/>
        </w:rPr>
        <w:t xml:space="preserve"> </w:t>
      </w:r>
      <w:r w:rsidRPr="00FD40B8">
        <w:rPr>
          <w:color w:val="131727" w:themeColor="text1"/>
          <w:w w:val="105"/>
          <w:sz w:val="16"/>
        </w:rPr>
        <w:t>recurrent</w:t>
      </w:r>
      <w:r w:rsidRPr="00FD40B8">
        <w:rPr>
          <w:color w:val="131727" w:themeColor="text1"/>
          <w:spacing w:val="21"/>
          <w:w w:val="105"/>
          <w:sz w:val="16"/>
        </w:rPr>
        <w:t xml:space="preserve"> </w:t>
      </w:r>
      <w:r w:rsidRPr="00FD40B8">
        <w:rPr>
          <w:color w:val="131727" w:themeColor="text1"/>
          <w:w w:val="105"/>
          <w:sz w:val="16"/>
        </w:rPr>
        <w:t>costs</w:t>
      </w:r>
      <w:r w:rsidRPr="00FD40B8">
        <w:rPr>
          <w:color w:val="131727" w:themeColor="text1"/>
          <w:spacing w:val="25"/>
          <w:w w:val="105"/>
          <w:sz w:val="16"/>
        </w:rPr>
        <w:t xml:space="preserve"> </w:t>
      </w:r>
      <w:r w:rsidRPr="00FD40B8">
        <w:rPr>
          <w:color w:val="131727" w:themeColor="text1"/>
          <w:w w:val="105"/>
          <w:sz w:val="16"/>
        </w:rPr>
        <w:t>in</w:t>
      </w:r>
      <w:r w:rsidRPr="00FD40B8">
        <w:rPr>
          <w:color w:val="131727" w:themeColor="text1"/>
          <w:spacing w:val="25"/>
          <w:w w:val="105"/>
          <w:sz w:val="16"/>
        </w:rPr>
        <w:t xml:space="preserve"> </w:t>
      </w:r>
      <w:r w:rsidRPr="00FD40B8">
        <w:rPr>
          <w:color w:val="131727" w:themeColor="text1"/>
          <w:w w:val="105"/>
          <w:sz w:val="16"/>
        </w:rPr>
        <w:t>2017/18</w:t>
      </w:r>
      <w:r w:rsidRPr="00FD40B8">
        <w:rPr>
          <w:color w:val="131727" w:themeColor="text1"/>
          <w:spacing w:val="22"/>
          <w:w w:val="105"/>
          <w:sz w:val="16"/>
        </w:rPr>
        <w:t xml:space="preserve"> </w:t>
      </w:r>
      <w:r w:rsidRPr="00FD40B8">
        <w:rPr>
          <w:color w:val="131727" w:themeColor="text1"/>
          <w:w w:val="105"/>
          <w:sz w:val="16"/>
        </w:rPr>
        <w:t>budgets</w:t>
      </w:r>
      <w:r w:rsidRPr="00FD40B8">
        <w:rPr>
          <w:color w:val="131727" w:themeColor="text1"/>
          <w:spacing w:val="18"/>
          <w:w w:val="105"/>
          <w:sz w:val="16"/>
        </w:rPr>
        <w:t xml:space="preserve"> </w:t>
      </w:r>
      <w:r w:rsidRPr="00FD40B8">
        <w:rPr>
          <w:color w:val="131727" w:themeColor="text1"/>
          <w:w w:val="105"/>
          <w:sz w:val="16"/>
        </w:rPr>
        <w:t>(not</w:t>
      </w:r>
      <w:r w:rsidRPr="00FD40B8">
        <w:rPr>
          <w:color w:val="131727" w:themeColor="text1"/>
          <w:spacing w:val="21"/>
          <w:w w:val="105"/>
          <w:sz w:val="16"/>
        </w:rPr>
        <w:t xml:space="preserve"> </w:t>
      </w:r>
      <w:r w:rsidRPr="00FD40B8">
        <w:rPr>
          <w:color w:val="131727" w:themeColor="text1"/>
          <w:w w:val="105"/>
          <w:sz w:val="16"/>
        </w:rPr>
        <w:t>including</w:t>
      </w:r>
      <w:r w:rsidRPr="00FD40B8">
        <w:rPr>
          <w:color w:val="131727" w:themeColor="text1"/>
          <w:spacing w:val="19"/>
          <w:w w:val="105"/>
          <w:sz w:val="16"/>
        </w:rPr>
        <w:t xml:space="preserve"> </w:t>
      </w:r>
      <w:r w:rsidRPr="00FD40B8">
        <w:rPr>
          <w:color w:val="131727" w:themeColor="text1"/>
          <w:w w:val="105"/>
          <w:sz w:val="16"/>
        </w:rPr>
        <w:t>depreciation)</w:t>
      </w:r>
      <w:r w:rsidRPr="00FD40B8">
        <w:rPr>
          <w:color w:val="131727" w:themeColor="text1"/>
          <w:spacing w:val="21"/>
          <w:w w:val="105"/>
          <w:sz w:val="16"/>
        </w:rPr>
        <w:t xml:space="preserve"> </w:t>
      </w:r>
      <w:r w:rsidRPr="00FD40B8">
        <w:rPr>
          <w:color w:val="131727" w:themeColor="text1"/>
          <w:w w:val="105"/>
          <w:sz w:val="16"/>
        </w:rPr>
        <w:t>for</w:t>
      </w:r>
      <w:r w:rsidRPr="00FD40B8">
        <w:rPr>
          <w:color w:val="131727" w:themeColor="text1"/>
          <w:spacing w:val="40"/>
          <w:w w:val="105"/>
          <w:sz w:val="16"/>
        </w:rPr>
        <w:t xml:space="preserve"> </w:t>
      </w:r>
      <w:r w:rsidRPr="00FD40B8">
        <w:rPr>
          <w:color w:val="131727" w:themeColor="text1"/>
          <w:w w:val="105"/>
          <w:sz w:val="16"/>
        </w:rPr>
        <w:t>the</w:t>
      </w:r>
      <w:r w:rsidRPr="00FD40B8">
        <w:rPr>
          <w:color w:val="131727" w:themeColor="text1"/>
          <w:spacing w:val="29"/>
          <w:w w:val="105"/>
          <w:sz w:val="16"/>
        </w:rPr>
        <w:t xml:space="preserve"> </w:t>
      </w:r>
      <w:r w:rsidRPr="00FD40B8">
        <w:rPr>
          <w:color w:val="131727" w:themeColor="text1"/>
          <w:w w:val="105"/>
          <w:sz w:val="16"/>
        </w:rPr>
        <w:t>NPARIH</w:t>
      </w:r>
      <w:r w:rsidRPr="00FD40B8">
        <w:rPr>
          <w:color w:val="131727" w:themeColor="text1"/>
          <w:spacing w:val="30"/>
          <w:w w:val="105"/>
          <w:sz w:val="16"/>
        </w:rPr>
        <w:t xml:space="preserve"> </w:t>
      </w:r>
      <w:r w:rsidRPr="00FD40B8">
        <w:rPr>
          <w:color w:val="131727" w:themeColor="text1"/>
          <w:w w:val="105"/>
          <w:sz w:val="16"/>
        </w:rPr>
        <w:t>program</w:t>
      </w:r>
      <w:r w:rsidRPr="00FD40B8">
        <w:rPr>
          <w:color w:val="131727" w:themeColor="text1"/>
          <w:spacing w:val="29"/>
          <w:w w:val="105"/>
          <w:sz w:val="16"/>
        </w:rPr>
        <w:t xml:space="preserve"> </w:t>
      </w:r>
      <w:r w:rsidRPr="00FD40B8">
        <w:rPr>
          <w:color w:val="131727" w:themeColor="text1"/>
          <w:w w:val="105"/>
          <w:sz w:val="16"/>
        </w:rPr>
        <w:t>from</w:t>
      </w:r>
      <w:r w:rsidRPr="00FD40B8">
        <w:rPr>
          <w:color w:val="131727" w:themeColor="text1"/>
          <w:spacing w:val="29"/>
          <w:w w:val="105"/>
          <w:sz w:val="16"/>
        </w:rPr>
        <w:t xml:space="preserve"> </w:t>
      </w:r>
      <w:r w:rsidRPr="00FD40B8">
        <w:rPr>
          <w:color w:val="131727" w:themeColor="text1"/>
          <w:w w:val="105"/>
          <w:sz w:val="16"/>
        </w:rPr>
        <w:t>data</w:t>
      </w:r>
      <w:r w:rsidRPr="00FD40B8">
        <w:rPr>
          <w:color w:val="131727" w:themeColor="text1"/>
          <w:spacing w:val="34"/>
          <w:w w:val="105"/>
          <w:sz w:val="16"/>
        </w:rPr>
        <w:t xml:space="preserve"> </w:t>
      </w:r>
      <w:r w:rsidRPr="00FD40B8">
        <w:rPr>
          <w:color w:val="131727" w:themeColor="text1"/>
          <w:w w:val="105"/>
          <w:sz w:val="16"/>
        </w:rPr>
        <w:t>provided</w:t>
      </w:r>
      <w:r w:rsidRPr="00FD40B8">
        <w:rPr>
          <w:color w:val="131727" w:themeColor="text1"/>
          <w:spacing w:val="32"/>
          <w:w w:val="105"/>
          <w:sz w:val="16"/>
        </w:rPr>
        <w:t xml:space="preserve"> </w:t>
      </w:r>
      <w:r w:rsidRPr="00FD40B8">
        <w:rPr>
          <w:color w:val="131727" w:themeColor="text1"/>
          <w:w w:val="105"/>
          <w:sz w:val="16"/>
        </w:rPr>
        <w:t>in</w:t>
      </w:r>
      <w:r w:rsidRPr="00FD40B8">
        <w:rPr>
          <w:color w:val="131727" w:themeColor="text1"/>
          <w:spacing w:val="34"/>
          <w:w w:val="105"/>
          <w:sz w:val="16"/>
        </w:rPr>
        <w:t xml:space="preserve"> </w:t>
      </w:r>
      <w:r w:rsidRPr="00FD40B8">
        <w:rPr>
          <w:color w:val="131727" w:themeColor="text1"/>
          <w:w w:val="105"/>
          <w:sz w:val="16"/>
        </w:rPr>
        <w:t>February</w:t>
      </w:r>
      <w:r w:rsidRPr="00FD40B8">
        <w:rPr>
          <w:color w:val="131727" w:themeColor="text1"/>
          <w:spacing w:val="29"/>
          <w:w w:val="105"/>
          <w:sz w:val="16"/>
        </w:rPr>
        <w:t xml:space="preserve"> </w:t>
      </w:r>
      <w:r w:rsidRPr="00FD40B8">
        <w:rPr>
          <w:color w:val="131727" w:themeColor="text1"/>
          <w:w w:val="105"/>
          <w:sz w:val="16"/>
        </w:rPr>
        <w:t>2017</w:t>
      </w:r>
      <w:r w:rsidRPr="00FD40B8">
        <w:rPr>
          <w:color w:val="131727" w:themeColor="text1"/>
          <w:spacing w:val="30"/>
          <w:w w:val="105"/>
          <w:sz w:val="16"/>
        </w:rPr>
        <w:t xml:space="preserve"> </w:t>
      </w:r>
      <w:r w:rsidRPr="00FD40B8">
        <w:rPr>
          <w:color w:val="131727" w:themeColor="text1"/>
          <w:w w:val="105"/>
          <w:sz w:val="16"/>
        </w:rPr>
        <w:t>from</w:t>
      </w:r>
      <w:r w:rsidRPr="00FD40B8">
        <w:rPr>
          <w:color w:val="131727" w:themeColor="text1"/>
          <w:spacing w:val="29"/>
          <w:w w:val="105"/>
          <w:sz w:val="16"/>
        </w:rPr>
        <w:t xml:space="preserve"> </w:t>
      </w:r>
      <w:r w:rsidRPr="00FD40B8">
        <w:rPr>
          <w:color w:val="131727" w:themeColor="text1"/>
          <w:w w:val="105"/>
          <w:sz w:val="16"/>
        </w:rPr>
        <w:t>four</w:t>
      </w:r>
      <w:r w:rsidRPr="00FD40B8">
        <w:rPr>
          <w:color w:val="131727" w:themeColor="text1"/>
          <w:spacing w:val="23"/>
          <w:w w:val="105"/>
          <w:sz w:val="16"/>
        </w:rPr>
        <w:t xml:space="preserve"> </w:t>
      </w:r>
      <w:r w:rsidRPr="00FD40B8">
        <w:rPr>
          <w:color w:val="131727" w:themeColor="text1"/>
          <w:w w:val="105"/>
          <w:sz w:val="16"/>
        </w:rPr>
        <w:t>jurisdictions.</w:t>
      </w:r>
      <w:r w:rsidRPr="00FD40B8">
        <w:rPr>
          <w:color w:val="131727" w:themeColor="text1"/>
          <w:spacing w:val="30"/>
          <w:w w:val="105"/>
          <w:sz w:val="16"/>
        </w:rPr>
        <w:t xml:space="preserve"> </w:t>
      </w:r>
      <w:r w:rsidRPr="00FD40B8">
        <w:rPr>
          <w:color w:val="131727" w:themeColor="text1"/>
          <w:w w:val="105"/>
          <w:sz w:val="16"/>
        </w:rPr>
        <w:t>Further</w:t>
      </w:r>
      <w:r w:rsidRPr="00FD40B8">
        <w:rPr>
          <w:color w:val="131727" w:themeColor="text1"/>
          <w:spacing w:val="30"/>
          <w:w w:val="105"/>
          <w:sz w:val="16"/>
        </w:rPr>
        <w:t xml:space="preserve"> </w:t>
      </w:r>
      <w:r w:rsidRPr="00FD40B8">
        <w:rPr>
          <w:color w:val="131727" w:themeColor="text1"/>
          <w:w w:val="105"/>
          <w:sz w:val="16"/>
        </w:rPr>
        <w:t>explanation</w:t>
      </w:r>
      <w:r w:rsidRPr="00FD40B8">
        <w:rPr>
          <w:color w:val="131727" w:themeColor="text1"/>
          <w:spacing w:val="34"/>
          <w:w w:val="105"/>
          <w:sz w:val="16"/>
        </w:rPr>
        <w:t xml:space="preserve"> </w:t>
      </w:r>
      <w:r w:rsidRPr="00FD40B8">
        <w:rPr>
          <w:color w:val="131727" w:themeColor="text1"/>
          <w:w w:val="105"/>
          <w:sz w:val="16"/>
        </w:rPr>
        <w:lastRenderedPageBreak/>
        <w:t>and</w:t>
      </w:r>
      <w:r w:rsidRPr="00FD40B8">
        <w:rPr>
          <w:color w:val="131727" w:themeColor="text1"/>
          <w:spacing w:val="24"/>
          <w:w w:val="105"/>
          <w:sz w:val="16"/>
        </w:rPr>
        <w:t xml:space="preserve"> </w:t>
      </w:r>
      <w:r w:rsidRPr="00FD40B8">
        <w:rPr>
          <w:color w:val="131727" w:themeColor="text1"/>
          <w:w w:val="105"/>
          <w:sz w:val="16"/>
        </w:rPr>
        <w:t>analysis</w:t>
      </w:r>
      <w:r w:rsidRPr="00FD40B8">
        <w:rPr>
          <w:color w:val="131727" w:themeColor="text1"/>
          <w:spacing w:val="27"/>
          <w:w w:val="105"/>
          <w:sz w:val="16"/>
        </w:rPr>
        <w:t xml:space="preserve"> </w:t>
      </w:r>
      <w:r w:rsidRPr="00FD40B8">
        <w:rPr>
          <w:color w:val="131727" w:themeColor="text1"/>
          <w:w w:val="105"/>
          <w:sz w:val="16"/>
        </w:rPr>
        <w:t>can</w:t>
      </w:r>
      <w:r w:rsidRPr="00FD40B8">
        <w:rPr>
          <w:color w:val="131727" w:themeColor="text1"/>
          <w:spacing w:val="34"/>
          <w:w w:val="105"/>
          <w:sz w:val="16"/>
        </w:rPr>
        <w:t xml:space="preserve"> </w:t>
      </w:r>
      <w:r w:rsidRPr="00FD40B8">
        <w:rPr>
          <w:color w:val="131727" w:themeColor="text1"/>
          <w:w w:val="105"/>
          <w:sz w:val="16"/>
        </w:rPr>
        <w:t>be</w:t>
      </w:r>
      <w:r w:rsidRPr="00FD40B8">
        <w:rPr>
          <w:color w:val="131727" w:themeColor="text1"/>
          <w:spacing w:val="29"/>
          <w:w w:val="105"/>
          <w:sz w:val="16"/>
        </w:rPr>
        <w:t xml:space="preserve"> </w:t>
      </w:r>
      <w:r w:rsidRPr="00FD40B8">
        <w:rPr>
          <w:color w:val="131727" w:themeColor="text1"/>
          <w:w w:val="105"/>
          <w:sz w:val="16"/>
        </w:rPr>
        <w:t>found</w:t>
      </w:r>
      <w:r w:rsidRPr="00FD40B8">
        <w:rPr>
          <w:color w:val="131727" w:themeColor="text1"/>
          <w:spacing w:val="40"/>
          <w:w w:val="105"/>
          <w:sz w:val="16"/>
        </w:rPr>
        <w:t xml:space="preserve"> </w:t>
      </w:r>
      <w:r w:rsidRPr="00FD40B8">
        <w:rPr>
          <w:color w:val="131727" w:themeColor="text1"/>
          <w:w w:val="105"/>
          <w:sz w:val="16"/>
        </w:rPr>
        <w:t>in:</w:t>
      </w:r>
      <w:r w:rsidRPr="00FD40B8">
        <w:rPr>
          <w:color w:val="131727" w:themeColor="text1"/>
          <w:spacing w:val="29"/>
          <w:w w:val="105"/>
          <w:sz w:val="16"/>
        </w:rPr>
        <w:t xml:space="preserve"> </w:t>
      </w:r>
      <w:r w:rsidRPr="00FD40B8">
        <w:rPr>
          <w:color w:val="131727" w:themeColor="text1"/>
          <w:w w:val="105"/>
          <w:sz w:val="16"/>
        </w:rPr>
        <w:t>Nous</w:t>
      </w:r>
      <w:r w:rsidRPr="00FD40B8">
        <w:rPr>
          <w:color w:val="131727" w:themeColor="text1"/>
          <w:spacing w:val="26"/>
          <w:w w:val="105"/>
          <w:sz w:val="16"/>
        </w:rPr>
        <w:t xml:space="preserve"> </w:t>
      </w:r>
      <w:r w:rsidRPr="00FD40B8">
        <w:rPr>
          <w:color w:val="131727" w:themeColor="text1"/>
          <w:w w:val="105"/>
          <w:sz w:val="16"/>
        </w:rPr>
        <w:t>Group,</w:t>
      </w:r>
      <w:r w:rsidRPr="00FD40B8">
        <w:rPr>
          <w:color w:val="131727" w:themeColor="text1"/>
          <w:spacing w:val="27"/>
          <w:w w:val="105"/>
          <w:sz w:val="16"/>
        </w:rPr>
        <w:t xml:space="preserve"> </w:t>
      </w:r>
      <w:r w:rsidRPr="00FD40B8">
        <w:rPr>
          <w:color w:val="131727" w:themeColor="text1"/>
          <w:w w:val="105"/>
          <w:sz w:val="16"/>
        </w:rPr>
        <w:t>Efficient</w:t>
      </w:r>
      <w:r w:rsidRPr="00FD40B8">
        <w:rPr>
          <w:color w:val="131727" w:themeColor="text1"/>
          <w:spacing w:val="27"/>
          <w:w w:val="105"/>
          <w:sz w:val="16"/>
        </w:rPr>
        <w:t xml:space="preserve"> </w:t>
      </w:r>
      <w:r w:rsidRPr="00FD40B8">
        <w:rPr>
          <w:color w:val="131727" w:themeColor="text1"/>
          <w:w w:val="105"/>
          <w:sz w:val="16"/>
        </w:rPr>
        <w:t>system</w:t>
      </w:r>
      <w:r w:rsidRPr="00FD40B8">
        <w:rPr>
          <w:color w:val="131727" w:themeColor="text1"/>
          <w:spacing w:val="27"/>
          <w:w w:val="105"/>
          <w:sz w:val="16"/>
        </w:rPr>
        <w:t xml:space="preserve"> </w:t>
      </w:r>
      <w:r w:rsidRPr="00FD40B8">
        <w:rPr>
          <w:color w:val="131727" w:themeColor="text1"/>
          <w:w w:val="105"/>
          <w:sz w:val="16"/>
        </w:rPr>
        <w:t>costs</w:t>
      </w:r>
      <w:r w:rsidRPr="00FD40B8">
        <w:rPr>
          <w:color w:val="131727" w:themeColor="text1"/>
          <w:spacing w:val="26"/>
          <w:w w:val="105"/>
          <w:sz w:val="16"/>
        </w:rPr>
        <w:t xml:space="preserve"> </w:t>
      </w:r>
      <w:r w:rsidRPr="00FD40B8">
        <w:rPr>
          <w:color w:val="131727" w:themeColor="text1"/>
          <w:w w:val="105"/>
          <w:sz w:val="16"/>
        </w:rPr>
        <w:t>of</w:t>
      </w:r>
      <w:r w:rsidRPr="00FD40B8">
        <w:rPr>
          <w:color w:val="131727" w:themeColor="text1"/>
          <w:spacing w:val="29"/>
          <w:w w:val="105"/>
          <w:sz w:val="16"/>
        </w:rPr>
        <w:t xml:space="preserve"> </w:t>
      </w:r>
      <w:r w:rsidRPr="00FD40B8">
        <w:rPr>
          <w:color w:val="131727" w:themeColor="text1"/>
          <w:w w:val="105"/>
          <w:sz w:val="16"/>
        </w:rPr>
        <w:t>Remote</w:t>
      </w:r>
      <w:r w:rsidRPr="00FD40B8">
        <w:rPr>
          <w:color w:val="131727" w:themeColor="text1"/>
          <w:spacing w:val="27"/>
          <w:w w:val="105"/>
          <w:sz w:val="16"/>
        </w:rPr>
        <w:t xml:space="preserve"> </w:t>
      </w:r>
      <w:r w:rsidRPr="00FD40B8">
        <w:rPr>
          <w:color w:val="131727" w:themeColor="text1"/>
          <w:w w:val="105"/>
          <w:sz w:val="16"/>
        </w:rPr>
        <w:t>Indigenous</w:t>
      </w:r>
      <w:r w:rsidRPr="00FD40B8">
        <w:rPr>
          <w:color w:val="131727" w:themeColor="text1"/>
          <w:spacing w:val="26"/>
          <w:w w:val="105"/>
          <w:sz w:val="16"/>
        </w:rPr>
        <w:t xml:space="preserve"> </w:t>
      </w:r>
      <w:r w:rsidRPr="00FD40B8">
        <w:rPr>
          <w:color w:val="131727" w:themeColor="text1"/>
          <w:w w:val="105"/>
          <w:sz w:val="16"/>
        </w:rPr>
        <w:t>housing,</w:t>
      </w:r>
      <w:r w:rsidRPr="00FD40B8">
        <w:rPr>
          <w:color w:val="131727" w:themeColor="text1"/>
          <w:spacing w:val="27"/>
          <w:w w:val="105"/>
          <w:sz w:val="16"/>
        </w:rPr>
        <w:t xml:space="preserve"> </w:t>
      </w:r>
      <w:r w:rsidRPr="00FD40B8">
        <w:rPr>
          <w:color w:val="131727" w:themeColor="text1"/>
          <w:w w:val="105"/>
          <w:sz w:val="16"/>
        </w:rPr>
        <w:t>2017,</w:t>
      </w:r>
      <w:r w:rsidRPr="00FD40B8">
        <w:rPr>
          <w:color w:val="131727" w:themeColor="text1"/>
          <w:spacing w:val="27"/>
          <w:w w:val="105"/>
          <w:sz w:val="16"/>
        </w:rPr>
        <w:t xml:space="preserve"> </w:t>
      </w:r>
      <w:r w:rsidRPr="00FD40B8">
        <w:rPr>
          <w:color w:val="131727" w:themeColor="text1"/>
          <w:w w:val="105"/>
          <w:sz w:val="16"/>
        </w:rPr>
        <w:t>for</w:t>
      </w:r>
      <w:r w:rsidRPr="00FD40B8">
        <w:rPr>
          <w:color w:val="131727" w:themeColor="text1"/>
          <w:spacing w:val="29"/>
          <w:w w:val="105"/>
          <w:sz w:val="16"/>
        </w:rPr>
        <w:t xml:space="preserve"> </w:t>
      </w:r>
      <w:r w:rsidRPr="00FD40B8">
        <w:rPr>
          <w:color w:val="131727" w:themeColor="text1"/>
          <w:w w:val="105"/>
          <w:sz w:val="16"/>
        </w:rPr>
        <w:t>NIAA</w:t>
      </w:r>
      <w:r w:rsidRPr="00FD40B8">
        <w:rPr>
          <w:color w:val="131727" w:themeColor="text1"/>
          <w:spacing w:val="30"/>
          <w:w w:val="105"/>
          <w:sz w:val="16"/>
        </w:rPr>
        <w:t xml:space="preserve"> </w:t>
      </w:r>
      <w:r w:rsidRPr="00FD40B8">
        <w:rPr>
          <w:color w:val="131727" w:themeColor="text1"/>
          <w:w w:val="105"/>
          <w:sz w:val="16"/>
        </w:rPr>
        <w:t>Review</w:t>
      </w:r>
      <w:r w:rsidRPr="00FD40B8">
        <w:rPr>
          <w:color w:val="131727" w:themeColor="text1"/>
          <w:spacing w:val="29"/>
          <w:w w:val="105"/>
          <w:sz w:val="16"/>
        </w:rPr>
        <w:t xml:space="preserve"> </w:t>
      </w:r>
      <w:r w:rsidRPr="00FD40B8">
        <w:rPr>
          <w:color w:val="131727" w:themeColor="text1"/>
          <w:w w:val="105"/>
          <w:sz w:val="16"/>
        </w:rPr>
        <w:t>of</w:t>
      </w:r>
      <w:r w:rsidRPr="00FD40B8">
        <w:rPr>
          <w:color w:val="131727" w:themeColor="text1"/>
          <w:spacing w:val="29"/>
          <w:w w:val="105"/>
          <w:sz w:val="16"/>
        </w:rPr>
        <w:t xml:space="preserve"> </w:t>
      </w:r>
      <w:r w:rsidRPr="00FD40B8">
        <w:rPr>
          <w:color w:val="131727" w:themeColor="text1"/>
          <w:w w:val="105"/>
          <w:sz w:val="16"/>
        </w:rPr>
        <w:t>Remote</w:t>
      </w:r>
      <w:r w:rsidRPr="00FD40B8">
        <w:rPr>
          <w:color w:val="131727" w:themeColor="text1"/>
          <w:spacing w:val="27"/>
          <w:w w:val="105"/>
          <w:sz w:val="16"/>
        </w:rPr>
        <w:t xml:space="preserve"> </w:t>
      </w:r>
      <w:r w:rsidRPr="00FD40B8">
        <w:rPr>
          <w:color w:val="131727" w:themeColor="text1"/>
          <w:w w:val="105"/>
          <w:sz w:val="16"/>
        </w:rPr>
        <w:t>Housing.</w:t>
      </w:r>
    </w:p>
    <w:p w14:paraId="1219C08D" w14:textId="77777777" w:rsidR="00811887" w:rsidRPr="00FD40B8" w:rsidRDefault="00811887" w:rsidP="00811887">
      <w:pPr>
        <w:spacing w:line="268" w:lineRule="auto"/>
        <w:rPr>
          <w:color w:val="131727" w:themeColor="text1"/>
          <w:sz w:val="16"/>
        </w:rPr>
        <w:sectPr w:rsidR="00811887" w:rsidRPr="00FD40B8" w:rsidSect="00811887">
          <w:pgSz w:w="11910" w:h="16840"/>
          <w:pgMar w:top="1320" w:right="720" w:bottom="1080" w:left="740" w:header="0" w:footer="885" w:gutter="0"/>
          <w:cols w:space="720"/>
        </w:sectPr>
      </w:pPr>
    </w:p>
    <w:p w14:paraId="00FCA7A9" w14:textId="77777777" w:rsidR="00811887" w:rsidRDefault="00811887" w:rsidP="00811887">
      <w:pPr>
        <w:pStyle w:val="BodyText"/>
        <w:spacing w:before="25" w:line="269" w:lineRule="auto"/>
        <w:ind w:left="567" w:right="567"/>
        <w:rPr>
          <w:color w:val="000000"/>
        </w:rPr>
      </w:pPr>
      <w:r>
        <w:rPr>
          <w:noProof/>
          <w14:ligatures w14:val="standardContextual"/>
        </w:rPr>
        <w:lastRenderedPageBreak/>
        <mc:AlternateContent>
          <mc:Choice Requires="wps">
            <w:drawing>
              <wp:anchor distT="0" distB="0" distL="114300" distR="114300" simplePos="0" relativeHeight="251789312" behindDoc="1" locked="0" layoutInCell="1" allowOverlap="1" wp14:anchorId="1D776370" wp14:editId="082E897F">
                <wp:simplePos x="0" y="0"/>
                <wp:positionH relativeFrom="margin">
                  <wp:align>right</wp:align>
                </wp:positionH>
                <wp:positionV relativeFrom="paragraph">
                  <wp:posOffset>-108140</wp:posOffset>
                </wp:positionV>
                <wp:extent cx="6377049" cy="795647"/>
                <wp:effectExtent l="0" t="0" r="5080" b="5080"/>
                <wp:wrapNone/>
                <wp:docPr id="132314819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7049" cy="795647"/>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05527" id="Rectangle 3" o:spid="_x0000_s1026" alt="&quot;&quot;" style="position:absolute;margin-left:450.95pt;margin-top:-8.5pt;width:502.15pt;height:62.65pt;z-index:-251527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" fillcolor="#cfdfdd" stroked="f" strokeweight=".5pt">
                <w10:wrap anchorx="margin"/>
              </v:rect>
            </w:pict>
          </mc:Fallback>
        </mc:AlternateContent>
      </w:r>
      <w:r>
        <w:rPr>
          <w:color w:val="000000"/>
          <w:w w:val="110"/>
        </w:rPr>
        <w:t>cost</w:t>
      </w:r>
      <w:r>
        <w:rPr>
          <w:color w:val="000000"/>
          <w:spacing w:val="-2"/>
          <w:w w:val="110"/>
        </w:rPr>
        <w:t xml:space="preserve"> </w:t>
      </w:r>
      <w:r>
        <w:rPr>
          <w:color w:val="000000"/>
          <w:w w:val="110"/>
        </w:rPr>
        <w:t>is driven</w:t>
      </w:r>
      <w:r>
        <w:rPr>
          <w:color w:val="000000"/>
          <w:spacing w:val="-1"/>
          <w:w w:val="110"/>
        </w:rPr>
        <w:t xml:space="preserve"> </w:t>
      </w:r>
      <w:r>
        <w:rPr>
          <w:color w:val="000000"/>
          <w:w w:val="110"/>
        </w:rPr>
        <w:t>largely</w:t>
      </w:r>
      <w:r>
        <w:rPr>
          <w:color w:val="000000"/>
          <w:spacing w:val="-3"/>
          <w:w w:val="110"/>
        </w:rPr>
        <w:t xml:space="preserve"> </w:t>
      </w:r>
      <w:r>
        <w:rPr>
          <w:color w:val="000000"/>
          <w:w w:val="110"/>
        </w:rPr>
        <w:t>by the</w:t>
      </w:r>
      <w:r>
        <w:rPr>
          <w:color w:val="000000"/>
          <w:spacing w:val="-2"/>
          <w:w w:val="110"/>
        </w:rPr>
        <w:t xml:space="preserve"> </w:t>
      </w:r>
      <w:r>
        <w:rPr>
          <w:color w:val="000000"/>
          <w:w w:val="110"/>
        </w:rPr>
        <w:t>increased</w:t>
      </w:r>
      <w:r>
        <w:rPr>
          <w:color w:val="000000"/>
          <w:spacing w:val="-2"/>
          <w:w w:val="110"/>
        </w:rPr>
        <w:t xml:space="preserve"> </w:t>
      </w:r>
      <w:r>
        <w:rPr>
          <w:color w:val="000000"/>
          <w:w w:val="110"/>
        </w:rPr>
        <w:t>cost</w:t>
      </w:r>
      <w:r>
        <w:rPr>
          <w:color w:val="000000"/>
          <w:spacing w:val="-2"/>
          <w:w w:val="110"/>
        </w:rPr>
        <w:t xml:space="preserve"> </w:t>
      </w:r>
      <w:r>
        <w:rPr>
          <w:color w:val="000000"/>
          <w:w w:val="110"/>
        </w:rPr>
        <w:t>of housing</w:t>
      </w:r>
      <w:r>
        <w:rPr>
          <w:color w:val="000000"/>
          <w:spacing w:val="-2"/>
          <w:w w:val="110"/>
        </w:rPr>
        <w:t xml:space="preserve"> </w:t>
      </w:r>
      <w:r>
        <w:rPr>
          <w:color w:val="000000"/>
          <w:w w:val="110"/>
        </w:rPr>
        <w:t>delivery because</w:t>
      </w:r>
      <w:r>
        <w:rPr>
          <w:color w:val="000000"/>
          <w:spacing w:val="-2"/>
          <w:w w:val="110"/>
        </w:rPr>
        <w:t xml:space="preserve"> </w:t>
      </w:r>
      <w:r>
        <w:rPr>
          <w:color w:val="000000"/>
          <w:w w:val="110"/>
        </w:rPr>
        <w:t>of the remoteness and small size of remote Aboriginal and Torres Strait Islander communities and the associated costs and challenges in servicing them, and shortened asset lifecycles due to harsh climatic conditions.</w:t>
      </w:r>
    </w:p>
    <w:p w14:paraId="77B8A7FA" w14:textId="77777777" w:rsidR="00811887" w:rsidRPr="00FD40B8" w:rsidRDefault="00811887" w:rsidP="00811887">
      <w:pPr>
        <w:pStyle w:val="BodyText"/>
        <w:ind w:left="508"/>
        <w:rPr>
          <w:color w:val="131727" w:themeColor="text1"/>
        </w:rPr>
      </w:pPr>
    </w:p>
    <w:p w14:paraId="02111AC3" w14:textId="77777777" w:rsidR="00811887" w:rsidRPr="00FD40B8" w:rsidRDefault="00811887" w:rsidP="00811887">
      <w:pPr>
        <w:pStyle w:val="Heading8"/>
        <w:spacing w:before="266"/>
        <w:rPr>
          <w:color w:val="131727" w:themeColor="text1"/>
        </w:rPr>
      </w:pPr>
      <w:r w:rsidRPr="00FD40B8">
        <w:rPr>
          <w:color w:val="131727" w:themeColor="text1"/>
        </w:rPr>
        <w:t>Houses</w:t>
      </w:r>
      <w:r w:rsidRPr="00FD40B8">
        <w:rPr>
          <w:color w:val="131727" w:themeColor="text1"/>
          <w:spacing w:val="-1"/>
        </w:rPr>
        <w:t xml:space="preserve"> </w:t>
      </w:r>
      <w:r w:rsidRPr="00FD40B8">
        <w:rPr>
          <w:color w:val="131727" w:themeColor="text1"/>
        </w:rPr>
        <w:t>that</w:t>
      </w:r>
      <w:r w:rsidRPr="00FD40B8">
        <w:rPr>
          <w:color w:val="131727" w:themeColor="text1"/>
          <w:spacing w:val="-3"/>
        </w:rPr>
        <w:t xml:space="preserve"> </w:t>
      </w:r>
      <w:r w:rsidRPr="00FD40B8">
        <w:rPr>
          <w:color w:val="131727" w:themeColor="text1"/>
        </w:rPr>
        <w:t>are</w:t>
      </w:r>
      <w:r w:rsidRPr="00FD40B8">
        <w:rPr>
          <w:color w:val="131727" w:themeColor="text1"/>
          <w:spacing w:val="-1"/>
        </w:rPr>
        <w:t xml:space="preserve"> </w:t>
      </w:r>
      <w:r w:rsidRPr="00FD40B8">
        <w:rPr>
          <w:color w:val="131727" w:themeColor="text1"/>
        </w:rPr>
        <w:t>not</w:t>
      </w:r>
      <w:r w:rsidRPr="00FD40B8">
        <w:rPr>
          <w:color w:val="131727" w:themeColor="text1"/>
          <w:spacing w:val="-3"/>
        </w:rPr>
        <w:t xml:space="preserve"> </w:t>
      </w:r>
      <w:r w:rsidRPr="00FD40B8">
        <w:rPr>
          <w:color w:val="131727" w:themeColor="text1"/>
        </w:rPr>
        <w:t>of</w:t>
      </w:r>
      <w:r w:rsidRPr="00FD40B8">
        <w:rPr>
          <w:color w:val="131727" w:themeColor="text1"/>
          <w:spacing w:val="-3"/>
        </w:rPr>
        <w:t xml:space="preserve"> </w:t>
      </w:r>
      <w:r w:rsidRPr="00FD40B8">
        <w:rPr>
          <w:color w:val="131727" w:themeColor="text1"/>
        </w:rPr>
        <w:t>an</w:t>
      </w:r>
      <w:r w:rsidRPr="00FD40B8">
        <w:rPr>
          <w:color w:val="131727" w:themeColor="text1"/>
          <w:spacing w:val="-4"/>
        </w:rPr>
        <w:t xml:space="preserve"> </w:t>
      </w:r>
      <w:r w:rsidRPr="00FD40B8">
        <w:rPr>
          <w:color w:val="131727" w:themeColor="text1"/>
        </w:rPr>
        <w:t xml:space="preserve">acceptable </w:t>
      </w:r>
      <w:r w:rsidRPr="00FD40B8">
        <w:rPr>
          <w:color w:val="131727" w:themeColor="text1"/>
          <w:spacing w:val="-2"/>
        </w:rPr>
        <w:t>standard</w:t>
      </w:r>
    </w:p>
    <w:p w14:paraId="653C49EF" w14:textId="77777777" w:rsidR="00811887" w:rsidRPr="00FD40B8" w:rsidRDefault="00811887" w:rsidP="00811887">
      <w:pPr>
        <w:pStyle w:val="BodyText"/>
        <w:spacing w:before="25" w:line="268" w:lineRule="auto"/>
        <w:ind w:left="508" w:right="598"/>
        <w:rPr>
          <w:color w:val="131727" w:themeColor="text1"/>
        </w:rPr>
      </w:pPr>
      <w:r w:rsidRPr="00FD40B8">
        <w:rPr>
          <w:color w:val="131727" w:themeColor="text1"/>
          <w:w w:val="110"/>
        </w:rPr>
        <w:t>We can estimate the number of houses needed due to substandard housing conditions using 2018-2019 NATSIHS data. However, this data cannot be directly combined with figures on homelessness and overcrowding due to differences in how and when the data was collected and analysed.</w:t>
      </w:r>
    </w:p>
    <w:p w14:paraId="54ED3E47" w14:textId="77777777" w:rsidR="00811887" w:rsidRPr="00FD40B8" w:rsidRDefault="00811887" w:rsidP="00811887">
      <w:pPr>
        <w:pStyle w:val="BodyText"/>
        <w:spacing w:before="116" w:line="261" w:lineRule="auto"/>
        <w:ind w:left="508" w:right="598"/>
        <w:rPr>
          <w:color w:val="131727" w:themeColor="text1"/>
        </w:rPr>
      </w:pPr>
      <w:r w:rsidRPr="00FD40B8">
        <w:rPr>
          <w:color w:val="131727" w:themeColor="text1"/>
          <w:w w:val="110"/>
        </w:rPr>
        <w:t>We estimate that a minimum additional 69,500 houses occupied by Aboriginal and Torres Strait Islanders</w:t>
      </w:r>
      <w:hyperlink w:anchor="_bookmark48" w:history="1">
        <w:r w:rsidRPr="00FD40B8">
          <w:rPr>
            <w:color w:val="131727" w:themeColor="text1"/>
            <w:w w:val="110"/>
            <w:position w:val="8"/>
            <w:sz w:val="13"/>
          </w:rPr>
          <w:t>39</w:t>
        </w:r>
      </w:hyperlink>
      <w:r w:rsidRPr="00FD40B8">
        <w:rPr>
          <w:color w:val="131727" w:themeColor="text1"/>
          <w:spacing w:val="16"/>
          <w:w w:val="110"/>
          <w:position w:val="8"/>
          <w:sz w:val="13"/>
        </w:rPr>
        <w:t xml:space="preserve"> </w:t>
      </w:r>
      <w:r w:rsidRPr="00FD40B8">
        <w:rPr>
          <w:color w:val="131727" w:themeColor="text1"/>
          <w:w w:val="110"/>
        </w:rPr>
        <w:t>are needed</w:t>
      </w:r>
      <w:r w:rsidRPr="00FD40B8">
        <w:rPr>
          <w:color w:val="131727" w:themeColor="text1"/>
          <w:spacing w:val="-4"/>
          <w:w w:val="110"/>
        </w:rPr>
        <w:t xml:space="preserve"> </w:t>
      </w:r>
      <w:r w:rsidRPr="00FD40B8">
        <w:rPr>
          <w:color w:val="131727" w:themeColor="text1"/>
          <w:w w:val="110"/>
        </w:rPr>
        <w:t>either</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3"/>
          <w:w w:val="110"/>
        </w:rPr>
        <w:t xml:space="preserve"> </w:t>
      </w:r>
      <w:r w:rsidRPr="00FD40B8">
        <w:rPr>
          <w:color w:val="131727" w:themeColor="text1"/>
          <w:w w:val="110"/>
        </w:rPr>
        <w:t>be</w:t>
      </w:r>
      <w:r w:rsidRPr="00FD40B8">
        <w:rPr>
          <w:color w:val="131727" w:themeColor="text1"/>
          <w:spacing w:val="-4"/>
          <w:w w:val="110"/>
        </w:rPr>
        <w:t xml:space="preserve"> </w:t>
      </w:r>
      <w:r w:rsidRPr="00FD40B8">
        <w:rPr>
          <w:color w:val="131727" w:themeColor="text1"/>
          <w:w w:val="110"/>
        </w:rPr>
        <w:t>substantially</w:t>
      </w:r>
      <w:r w:rsidRPr="00FD40B8">
        <w:rPr>
          <w:color w:val="131727" w:themeColor="text1"/>
          <w:spacing w:val="-2"/>
          <w:w w:val="110"/>
        </w:rPr>
        <w:t xml:space="preserve"> </w:t>
      </w:r>
      <w:r w:rsidRPr="00FD40B8">
        <w:rPr>
          <w:color w:val="131727" w:themeColor="text1"/>
          <w:w w:val="110"/>
        </w:rPr>
        <w:t>repaired or</w:t>
      </w:r>
      <w:r w:rsidRPr="00FD40B8">
        <w:rPr>
          <w:color w:val="131727" w:themeColor="text1"/>
          <w:spacing w:val="-2"/>
          <w:w w:val="110"/>
        </w:rPr>
        <w:t xml:space="preserve"> </w:t>
      </w:r>
      <w:r w:rsidRPr="00FD40B8">
        <w:rPr>
          <w:color w:val="131727" w:themeColor="text1"/>
          <w:w w:val="110"/>
        </w:rPr>
        <w:t>replaced</w:t>
      </w:r>
      <w:r w:rsidRPr="00FD40B8">
        <w:rPr>
          <w:color w:val="131727" w:themeColor="text1"/>
          <w:spacing w:val="-4"/>
          <w:w w:val="110"/>
        </w:rPr>
        <w:t xml:space="preserve"> </w:t>
      </w:r>
      <w:r w:rsidRPr="00FD40B8">
        <w:rPr>
          <w:color w:val="131727" w:themeColor="text1"/>
          <w:w w:val="110"/>
        </w:rPr>
        <w:t>due to having significant</w:t>
      </w:r>
      <w:r w:rsidRPr="00FD40B8">
        <w:rPr>
          <w:color w:val="131727" w:themeColor="text1"/>
          <w:spacing w:val="-4"/>
          <w:w w:val="110"/>
        </w:rPr>
        <w:t xml:space="preserve"> </w:t>
      </w:r>
      <w:r w:rsidRPr="00FD40B8">
        <w:rPr>
          <w:color w:val="131727" w:themeColor="text1"/>
          <w:w w:val="110"/>
        </w:rPr>
        <w:t>structural problems or a lack of basic facilities.</w:t>
      </w:r>
    </w:p>
    <w:p w14:paraId="2C7AFC37" w14:textId="77777777" w:rsidR="00811887" w:rsidRPr="00FD40B8" w:rsidRDefault="00811887" w:rsidP="00811887">
      <w:pPr>
        <w:pStyle w:val="BodyText"/>
        <w:spacing w:before="125" w:line="266" w:lineRule="auto"/>
        <w:ind w:left="508" w:right="544"/>
        <w:rPr>
          <w:color w:val="131727" w:themeColor="text1"/>
          <w:sz w:val="13"/>
        </w:rPr>
      </w:pPr>
      <w:r w:rsidRPr="00FD40B8">
        <w:rPr>
          <w:color w:val="131727" w:themeColor="text1"/>
          <w:w w:val="110"/>
        </w:rPr>
        <w:t>Most of the houses requiring repairs and maintenance are needed in non-remote areas (53,600 houses, compared with 16,100 houses in remote areas). However, a markedly higher proportion of houses occupied by Aboriginal</w:t>
      </w:r>
      <w:r w:rsidRPr="00FD40B8">
        <w:rPr>
          <w:color w:val="131727" w:themeColor="text1"/>
          <w:spacing w:val="17"/>
          <w:w w:val="110"/>
        </w:rPr>
        <w:t xml:space="preserve"> </w:t>
      </w:r>
      <w:r w:rsidRPr="00FD40B8">
        <w:rPr>
          <w:color w:val="131727" w:themeColor="text1"/>
          <w:w w:val="110"/>
        </w:rPr>
        <w:t>and Torres Strait Islander households</w:t>
      </w:r>
      <w:r w:rsidRPr="00FD40B8">
        <w:rPr>
          <w:color w:val="131727" w:themeColor="text1"/>
          <w:spacing w:val="26"/>
          <w:w w:val="110"/>
        </w:rPr>
        <w:t xml:space="preserve"> </w:t>
      </w:r>
      <w:r w:rsidRPr="00FD40B8">
        <w:rPr>
          <w:color w:val="131727" w:themeColor="text1"/>
          <w:w w:val="110"/>
        </w:rPr>
        <w:t>need repair or replacement in remote</w:t>
      </w:r>
      <w:r w:rsidRPr="00FD40B8">
        <w:rPr>
          <w:color w:val="131727" w:themeColor="text1"/>
          <w:spacing w:val="40"/>
          <w:w w:val="110"/>
        </w:rPr>
        <w:t xml:space="preserve"> </w:t>
      </w:r>
      <w:r w:rsidRPr="00FD40B8">
        <w:rPr>
          <w:color w:val="131727" w:themeColor="text1"/>
          <w:w w:val="110"/>
        </w:rPr>
        <w:t>areas (35%) as compared with non-remote areas (18%). In very remote areas, just under half of houses need</w:t>
      </w:r>
      <w:r w:rsidRPr="00FD40B8">
        <w:rPr>
          <w:color w:val="131727" w:themeColor="text1"/>
          <w:spacing w:val="-1"/>
          <w:w w:val="110"/>
        </w:rPr>
        <w:t xml:space="preserve"> </w:t>
      </w:r>
      <w:r w:rsidRPr="00FD40B8">
        <w:rPr>
          <w:color w:val="131727" w:themeColor="text1"/>
          <w:w w:val="110"/>
        </w:rPr>
        <w:t>repair</w:t>
      </w:r>
      <w:r w:rsidRPr="00FD40B8">
        <w:rPr>
          <w:color w:val="131727" w:themeColor="text1"/>
          <w:spacing w:val="-3"/>
          <w:w w:val="110"/>
        </w:rPr>
        <w:t xml:space="preserve"> </w:t>
      </w:r>
      <w:r w:rsidRPr="00FD40B8">
        <w:rPr>
          <w:color w:val="131727" w:themeColor="text1"/>
          <w:w w:val="110"/>
        </w:rPr>
        <w:t>or</w:t>
      </w:r>
      <w:r w:rsidRPr="00FD40B8">
        <w:rPr>
          <w:color w:val="131727" w:themeColor="text1"/>
          <w:spacing w:val="-3"/>
          <w:w w:val="110"/>
        </w:rPr>
        <w:t xml:space="preserve"> </w:t>
      </w:r>
      <w:r w:rsidRPr="00FD40B8">
        <w:rPr>
          <w:color w:val="131727" w:themeColor="text1"/>
          <w:w w:val="110"/>
        </w:rPr>
        <w:t>replacement</w:t>
      </w:r>
      <w:r w:rsidRPr="00FD40B8">
        <w:rPr>
          <w:color w:val="131727" w:themeColor="text1"/>
          <w:spacing w:val="-1"/>
          <w:w w:val="110"/>
        </w:rPr>
        <w:t xml:space="preserve"> </w:t>
      </w:r>
      <w:r w:rsidRPr="00FD40B8">
        <w:rPr>
          <w:color w:val="131727" w:themeColor="text1"/>
          <w:w w:val="110"/>
        </w:rPr>
        <w:t>(43%).</w:t>
      </w:r>
      <w:r w:rsidRPr="00FD40B8">
        <w:rPr>
          <w:color w:val="131727" w:themeColor="text1"/>
          <w:spacing w:val="-1"/>
          <w:w w:val="110"/>
        </w:rPr>
        <w:t xml:space="preserve"> </w:t>
      </w:r>
      <w:r w:rsidRPr="00FD40B8">
        <w:rPr>
          <w:color w:val="131727" w:themeColor="text1"/>
          <w:w w:val="110"/>
        </w:rPr>
        <w:t>By</w:t>
      </w:r>
      <w:r w:rsidRPr="00FD40B8">
        <w:rPr>
          <w:color w:val="131727" w:themeColor="text1"/>
          <w:spacing w:val="-3"/>
          <w:w w:val="110"/>
        </w:rPr>
        <w:t xml:space="preserve"> </w:t>
      </w:r>
      <w:r w:rsidRPr="00FD40B8">
        <w:rPr>
          <w:color w:val="131727" w:themeColor="text1"/>
          <w:w w:val="110"/>
        </w:rPr>
        <w:t>state,</w:t>
      </w:r>
      <w:r w:rsidRPr="00FD40B8">
        <w:rPr>
          <w:color w:val="131727" w:themeColor="text1"/>
          <w:spacing w:val="-5"/>
          <w:w w:val="110"/>
        </w:rPr>
        <w:t xml:space="preserve"> </w:t>
      </w:r>
      <w:r w:rsidRPr="00FD40B8">
        <w:rPr>
          <w:color w:val="131727" w:themeColor="text1"/>
          <w:w w:val="110"/>
        </w:rPr>
        <w:t>houses</w:t>
      </w:r>
      <w:r w:rsidRPr="00FD40B8">
        <w:rPr>
          <w:color w:val="131727" w:themeColor="text1"/>
          <w:spacing w:val="-3"/>
          <w:w w:val="110"/>
        </w:rPr>
        <w:t xml:space="preserve"> </w:t>
      </w:r>
      <w:r w:rsidRPr="00FD40B8">
        <w:rPr>
          <w:color w:val="131727" w:themeColor="text1"/>
          <w:w w:val="110"/>
        </w:rPr>
        <w:t>are</w:t>
      </w:r>
      <w:r w:rsidRPr="00FD40B8">
        <w:rPr>
          <w:color w:val="131727" w:themeColor="text1"/>
          <w:spacing w:val="-1"/>
          <w:w w:val="110"/>
        </w:rPr>
        <w:t xml:space="preserve"> </w:t>
      </w:r>
      <w:r w:rsidRPr="00FD40B8">
        <w:rPr>
          <w:color w:val="131727" w:themeColor="text1"/>
          <w:w w:val="110"/>
        </w:rPr>
        <w:t>most</w:t>
      </w:r>
      <w:r w:rsidRPr="00FD40B8">
        <w:rPr>
          <w:color w:val="131727" w:themeColor="text1"/>
          <w:spacing w:val="-5"/>
          <w:w w:val="110"/>
        </w:rPr>
        <w:t xml:space="preserve"> </w:t>
      </w:r>
      <w:r w:rsidRPr="00FD40B8">
        <w:rPr>
          <w:color w:val="131727" w:themeColor="text1"/>
          <w:w w:val="110"/>
        </w:rPr>
        <w:t>likely</w:t>
      </w:r>
      <w:r w:rsidRPr="00FD40B8">
        <w:rPr>
          <w:color w:val="131727" w:themeColor="text1"/>
          <w:spacing w:val="-3"/>
          <w:w w:val="110"/>
        </w:rPr>
        <w:t xml:space="preserve"> </w:t>
      </w:r>
      <w:r w:rsidRPr="00FD40B8">
        <w:rPr>
          <w:color w:val="131727" w:themeColor="text1"/>
          <w:w w:val="110"/>
        </w:rPr>
        <w:t>to not</w:t>
      </w:r>
      <w:r w:rsidRPr="00FD40B8">
        <w:rPr>
          <w:color w:val="131727" w:themeColor="text1"/>
          <w:spacing w:val="-1"/>
          <w:w w:val="110"/>
        </w:rPr>
        <w:t xml:space="preserve"> </w:t>
      </w:r>
      <w:r w:rsidRPr="00FD40B8">
        <w:rPr>
          <w:color w:val="131727" w:themeColor="text1"/>
          <w:w w:val="110"/>
        </w:rPr>
        <w:t>meet</w:t>
      </w:r>
      <w:r w:rsidRPr="00FD40B8">
        <w:rPr>
          <w:color w:val="131727" w:themeColor="text1"/>
          <w:spacing w:val="-2"/>
          <w:w w:val="110"/>
        </w:rPr>
        <w:t xml:space="preserve"> </w:t>
      </w:r>
      <w:r w:rsidRPr="00FD40B8">
        <w:rPr>
          <w:color w:val="131727" w:themeColor="text1"/>
          <w:w w:val="110"/>
        </w:rPr>
        <w:t>an acceptable</w:t>
      </w:r>
      <w:r w:rsidRPr="00FD40B8">
        <w:rPr>
          <w:color w:val="131727" w:themeColor="text1"/>
          <w:spacing w:val="-1"/>
          <w:w w:val="110"/>
        </w:rPr>
        <w:t xml:space="preserve"> </w:t>
      </w:r>
      <w:r w:rsidRPr="00FD40B8">
        <w:rPr>
          <w:color w:val="131727" w:themeColor="text1"/>
          <w:w w:val="110"/>
        </w:rPr>
        <w:t>standard</w:t>
      </w:r>
      <w:r w:rsidRPr="00FD40B8">
        <w:rPr>
          <w:color w:val="131727" w:themeColor="text1"/>
          <w:spacing w:val="-5"/>
          <w:w w:val="110"/>
        </w:rPr>
        <w:t xml:space="preserve"> </w:t>
      </w:r>
      <w:r w:rsidRPr="00FD40B8">
        <w:rPr>
          <w:color w:val="131727" w:themeColor="text1"/>
          <w:w w:val="110"/>
        </w:rPr>
        <w:t>in the Northern Territory (33% of all houses), South Australia (29%) and</w:t>
      </w:r>
      <w:r w:rsidRPr="00FD40B8">
        <w:rPr>
          <w:color w:val="131727" w:themeColor="text1"/>
          <w:spacing w:val="-2"/>
          <w:w w:val="110"/>
        </w:rPr>
        <w:t xml:space="preserve"> </w:t>
      </w:r>
      <w:r w:rsidRPr="00FD40B8">
        <w:rPr>
          <w:color w:val="131727" w:themeColor="text1"/>
          <w:w w:val="110"/>
        </w:rPr>
        <w:t xml:space="preserve">Western Australia (26%). </w:t>
      </w:r>
      <w:hyperlink w:anchor="_bookmark49" w:history="1">
        <w:r w:rsidRPr="00FD40B8">
          <w:rPr>
            <w:color w:val="131727" w:themeColor="text1"/>
            <w:w w:val="110"/>
            <w:position w:val="8"/>
            <w:sz w:val="13"/>
          </w:rPr>
          <w:t>40</w:t>
        </w:r>
      </w:hyperlink>
      <w:hyperlink w:anchor="_bookmark50" w:history="1">
        <w:r w:rsidRPr="00FD40B8">
          <w:rPr>
            <w:color w:val="131727" w:themeColor="text1"/>
            <w:w w:val="110"/>
            <w:position w:val="8"/>
            <w:sz w:val="13"/>
          </w:rPr>
          <w:t>,41</w:t>
        </w:r>
      </w:hyperlink>
    </w:p>
    <w:p w14:paraId="052A9C55" w14:textId="77777777" w:rsidR="00811887" w:rsidRPr="00FD40B8" w:rsidRDefault="00811887" w:rsidP="00811887">
      <w:pPr>
        <w:pStyle w:val="Heading8"/>
        <w:spacing w:before="91"/>
        <w:rPr>
          <w:color w:val="131727" w:themeColor="text1"/>
        </w:rPr>
      </w:pPr>
      <w:r w:rsidRPr="00FD40B8">
        <w:rPr>
          <w:color w:val="131727" w:themeColor="text1"/>
        </w:rPr>
        <w:t>Community</w:t>
      </w:r>
      <w:r w:rsidRPr="00FD40B8">
        <w:rPr>
          <w:color w:val="131727" w:themeColor="text1"/>
          <w:spacing w:val="-8"/>
        </w:rPr>
        <w:t xml:space="preserve"> </w:t>
      </w:r>
      <w:r w:rsidRPr="00FD40B8">
        <w:rPr>
          <w:color w:val="131727" w:themeColor="text1"/>
        </w:rPr>
        <w:t>and</w:t>
      </w:r>
      <w:r w:rsidRPr="00FD40B8">
        <w:rPr>
          <w:color w:val="131727" w:themeColor="text1"/>
          <w:spacing w:val="-3"/>
        </w:rPr>
        <w:t xml:space="preserve"> </w:t>
      </w:r>
      <w:r w:rsidRPr="00FD40B8">
        <w:rPr>
          <w:color w:val="131727" w:themeColor="text1"/>
        </w:rPr>
        <w:t>essential housing</w:t>
      </w:r>
      <w:r w:rsidRPr="00FD40B8">
        <w:rPr>
          <w:color w:val="131727" w:themeColor="text1"/>
          <w:spacing w:val="-6"/>
        </w:rPr>
        <w:t xml:space="preserve"> </w:t>
      </w:r>
      <w:r w:rsidRPr="00FD40B8">
        <w:rPr>
          <w:color w:val="131727" w:themeColor="text1"/>
        </w:rPr>
        <w:t>related</w:t>
      </w:r>
      <w:r w:rsidRPr="00FD40B8">
        <w:rPr>
          <w:color w:val="131727" w:themeColor="text1"/>
          <w:spacing w:val="2"/>
        </w:rPr>
        <w:t xml:space="preserve"> </w:t>
      </w:r>
      <w:r w:rsidRPr="00FD40B8">
        <w:rPr>
          <w:color w:val="131727" w:themeColor="text1"/>
          <w:spacing w:val="-2"/>
        </w:rPr>
        <w:t>infrastructure</w:t>
      </w:r>
    </w:p>
    <w:p w14:paraId="4EBC0DE5" w14:textId="77777777" w:rsidR="00811887" w:rsidRPr="00FD40B8" w:rsidRDefault="00811887" w:rsidP="00811887">
      <w:pPr>
        <w:pStyle w:val="BodyText"/>
        <w:spacing w:before="25" w:line="268" w:lineRule="auto"/>
        <w:ind w:left="508" w:right="532"/>
        <w:rPr>
          <w:color w:val="131727" w:themeColor="text1"/>
        </w:rPr>
      </w:pPr>
      <w:r w:rsidRPr="00FD40B8">
        <w:rPr>
          <w:color w:val="131727" w:themeColor="text1"/>
          <w:w w:val="110"/>
        </w:rPr>
        <w:t>The absence of current data on essential community infrastructure presents a significant obstacle in accurately</w:t>
      </w:r>
      <w:r w:rsidRPr="00FD40B8">
        <w:rPr>
          <w:color w:val="131727" w:themeColor="text1"/>
          <w:spacing w:val="-5"/>
          <w:w w:val="110"/>
        </w:rPr>
        <w:t xml:space="preserve"> </w:t>
      </w:r>
      <w:r w:rsidRPr="00FD40B8">
        <w:rPr>
          <w:color w:val="131727" w:themeColor="text1"/>
          <w:w w:val="110"/>
        </w:rPr>
        <w:t>estimating</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true</w:t>
      </w:r>
      <w:r w:rsidRPr="00FD40B8">
        <w:rPr>
          <w:color w:val="131727" w:themeColor="text1"/>
          <w:spacing w:val="-8"/>
          <w:w w:val="110"/>
        </w:rPr>
        <w:t xml:space="preserve"> </w:t>
      </w:r>
      <w:r w:rsidRPr="00FD40B8">
        <w:rPr>
          <w:color w:val="131727" w:themeColor="text1"/>
          <w:w w:val="110"/>
        </w:rPr>
        <w:t>need</w:t>
      </w:r>
      <w:r w:rsidRPr="00FD40B8">
        <w:rPr>
          <w:color w:val="131727" w:themeColor="text1"/>
          <w:spacing w:val="-3"/>
          <w:w w:val="110"/>
        </w:rPr>
        <w:t xml:space="preserve"> </w:t>
      </w:r>
      <w:r w:rsidRPr="00FD40B8">
        <w:rPr>
          <w:color w:val="131727" w:themeColor="text1"/>
          <w:w w:val="110"/>
        </w:rPr>
        <w:t>for</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8"/>
          <w:w w:val="110"/>
        </w:rPr>
        <w:t xml:space="preserve"> </w:t>
      </w:r>
      <w:r w:rsidRPr="00FD40B8">
        <w:rPr>
          <w:color w:val="131727" w:themeColor="text1"/>
          <w:w w:val="110"/>
        </w:rPr>
        <w:t>investment.</w:t>
      </w:r>
      <w:r w:rsidRPr="00FD40B8">
        <w:rPr>
          <w:color w:val="131727" w:themeColor="text1"/>
          <w:spacing w:val="-8"/>
          <w:w w:val="110"/>
        </w:rPr>
        <w:t xml:space="preserve"> </w:t>
      </w:r>
      <w:r w:rsidRPr="00FD40B8">
        <w:rPr>
          <w:color w:val="131727" w:themeColor="text1"/>
          <w:w w:val="110"/>
        </w:rPr>
        <w:t>Infrastructure,</w:t>
      </w:r>
      <w:r w:rsidRPr="00FD40B8">
        <w:rPr>
          <w:color w:val="131727" w:themeColor="text1"/>
          <w:spacing w:val="-8"/>
          <w:w w:val="110"/>
        </w:rPr>
        <w:t xml:space="preserve"> </w:t>
      </w:r>
      <w:r w:rsidRPr="00FD40B8">
        <w:rPr>
          <w:color w:val="131727" w:themeColor="text1"/>
          <w:w w:val="110"/>
        </w:rPr>
        <w:t>such</w:t>
      </w:r>
      <w:r w:rsidRPr="00FD40B8">
        <w:rPr>
          <w:color w:val="131727" w:themeColor="text1"/>
          <w:spacing w:val="-2"/>
          <w:w w:val="110"/>
        </w:rPr>
        <w:t xml:space="preserve"> </w:t>
      </w:r>
      <w:r w:rsidRPr="00FD40B8">
        <w:rPr>
          <w:color w:val="131727" w:themeColor="text1"/>
          <w:w w:val="110"/>
        </w:rPr>
        <w:t>as</w:t>
      </w:r>
      <w:r w:rsidRPr="00FD40B8">
        <w:rPr>
          <w:color w:val="131727" w:themeColor="text1"/>
          <w:spacing w:val="-1"/>
          <w:w w:val="110"/>
        </w:rPr>
        <w:t xml:space="preserve"> </w:t>
      </w:r>
      <w:r w:rsidRPr="00FD40B8">
        <w:rPr>
          <w:color w:val="131727" w:themeColor="text1"/>
          <w:w w:val="110"/>
        </w:rPr>
        <w:t>access</w:t>
      </w:r>
      <w:r w:rsidRPr="00FD40B8">
        <w:rPr>
          <w:color w:val="131727" w:themeColor="text1"/>
          <w:spacing w:val="-1"/>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clean</w:t>
      </w:r>
      <w:r w:rsidRPr="00FD40B8">
        <w:rPr>
          <w:color w:val="131727" w:themeColor="text1"/>
          <w:spacing w:val="-7"/>
          <w:w w:val="110"/>
        </w:rPr>
        <w:t xml:space="preserve"> </w:t>
      </w:r>
      <w:r w:rsidRPr="00FD40B8">
        <w:rPr>
          <w:color w:val="131727" w:themeColor="text1"/>
          <w:w w:val="110"/>
        </w:rPr>
        <w:t>water, sanitation, reliable</w:t>
      </w:r>
      <w:r w:rsidRPr="00FD40B8">
        <w:rPr>
          <w:color w:val="131727" w:themeColor="text1"/>
          <w:spacing w:val="-4"/>
          <w:w w:val="110"/>
        </w:rPr>
        <w:t xml:space="preserve"> </w:t>
      </w:r>
      <w:r w:rsidRPr="00FD40B8">
        <w:rPr>
          <w:color w:val="131727" w:themeColor="text1"/>
          <w:w w:val="110"/>
        </w:rPr>
        <w:t>power, and transportation, forms the foundation</w:t>
      </w:r>
      <w:r w:rsidRPr="00FD40B8">
        <w:rPr>
          <w:color w:val="131727" w:themeColor="text1"/>
          <w:spacing w:val="-3"/>
          <w:w w:val="110"/>
        </w:rPr>
        <w:t xml:space="preserve"> </w:t>
      </w:r>
      <w:r w:rsidRPr="00FD40B8">
        <w:rPr>
          <w:color w:val="131727" w:themeColor="text1"/>
          <w:w w:val="110"/>
        </w:rPr>
        <w:t>upon which healthy</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sustainable communities are built, and from the available evidence we know there is significant need and gaps, in remote communities especially.</w:t>
      </w:r>
    </w:p>
    <w:p w14:paraId="1F6DD9B1" w14:textId="77777777" w:rsidR="00811887" w:rsidRPr="00FD40B8" w:rsidRDefault="00811887" w:rsidP="00811887">
      <w:pPr>
        <w:pStyle w:val="BodyText"/>
        <w:spacing w:before="117" w:line="266" w:lineRule="auto"/>
        <w:ind w:left="508" w:right="598"/>
        <w:rPr>
          <w:color w:val="131727" w:themeColor="text1"/>
        </w:rPr>
      </w:pPr>
      <w:r w:rsidRPr="00FD40B8">
        <w:rPr>
          <w:color w:val="131727" w:themeColor="text1"/>
          <w:w w:val="110"/>
        </w:rPr>
        <w:t>We also note that missing from our analysis, and data, is future needs of community and essential infrastructure to help communities and</w:t>
      </w:r>
      <w:r w:rsidRPr="00FD40B8">
        <w:rPr>
          <w:color w:val="131727" w:themeColor="text1"/>
          <w:spacing w:val="-4"/>
          <w:w w:val="110"/>
        </w:rPr>
        <w:t xml:space="preserve"> </w:t>
      </w:r>
      <w:r w:rsidRPr="00FD40B8">
        <w:rPr>
          <w:color w:val="131727" w:themeColor="text1"/>
          <w:w w:val="110"/>
        </w:rPr>
        <w:t>households prepare for</w:t>
      </w:r>
      <w:r w:rsidRPr="00FD40B8">
        <w:rPr>
          <w:color w:val="131727" w:themeColor="text1"/>
          <w:spacing w:val="-1"/>
          <w:w w:val="110"/>
        </w:rPr>
        <w:t xml:space="preserve"> </w:t>
      </w:r>
      <w:r w:rsidRPr="00FD40B8">
        <w:rPr>
          <w:color w:val="131727" w:themeColor="text1"/>
          <w:w w:val="110"/>
        </w:rPr>
        <w:t>and mitigate against the impact</w:t>
      </w:r>
      <w:r w:rsidRPr="00FD40B8">
        <w:rPr>
          <w:color w:val="131727" w:themeColor="text1"/>
          <w:spacing w:val="-4"/>
          <w:w w:val="110"/>
        </w:rPr>
        <w:t xml:space="preserve"> </w:t>
      </w:r>
      <w:r w:rsidRPr="00FD40B8">
        <w:rPr>
          <w:color w:val="131727" w:themeColor="text1"/>
          <w:w w:val="110"/>
        </w:rPr>
        <w:t>of the changing</w:t>
      </w:r>
      <w:r w:rsidRPr="00FD40B8">
        <w:rPr>
          <w:color w:val="131727" w:themeColor="text1"/>
          <w:spacing w:val="-9"/>
          <w:w w:val="110"/>
        </w:rPr>
        <w:t xml:space="preserve"> </w:t>
      </w:r>
      <w:r w:rsidRPr="00FD40B8">
        <w:rPr>
          <w:color w:val="131727" w:themeColor="text1"/>
          <w:w w:val="110"/>
        </w:rPr>
        <w:t>climate</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9"/>
          <w:w w:val="110"/>
        </w:rPr>
        <w:t xml:space="preserve"> </w:t>
      </w:r>
      <w:r w:rsidRPr="00FD40B8">
        <w:rPr>
          <w:color w:val="131727" w:themeColor="text1"/>
          <w:w w:val="110"/>
        </w:rPr>
        <w:t>increased</w:t>
      </w:r>
      <w:r w:rsidRPr="00FD40B8">
        <w:rPr>
          <w:color w:val="131727" w:themeColor="text1"/>
          <w:spacing w:val="-1"/>
          <w:w w:val="110"/>
        </w:rPr>
        <w:t xml:space="preserve"> </w:t>
      </w:r>
      <w:r w:rsidRPr="00FD40B8">
        <w:rPr>
          <w:color w:val="131727" w:themeColor="text1"/>
          <w:w w:val="110"/>
        </w:rPr>
        <w:t>weather</w:t>
      </w:r>
      <w:r w:rsidRPr="00FD40B8">
        <w:rPr>
          <w:color w:val="131727" w:themeColor="text1"/>
          <w:spacing w:val="-6"/>
          <w:w w:val="110"/>
        </w:rPr>
        <w:t xml:space="preserve"> </w:t>
      </w:r>
      <w:r w:rsidRPr="00FD40B8">
        <w:rPr>
          <w:color w:val="131727" w:themeColor="text1"/>
          <w:w w:val="110"/>
        </w:rPr>
        <w:t>events.</w:t>
      </w:r>
      <w:r w:rsidRPr="00FD40B8">
        <w:rPr>
          <w:color w:val="131727" w:themeColor="text1"/>
          <w:spacing w:val="-8"/>
          <w:w w:val="110"/>
        </w:rPr>
        <w:t xml:space="preserve"> </w:t>
      </w:r>
      <w:r w:rsidRPr="00FD40B8">
        <w:rPr>
          <w:color w:val="131727" w:themeColor="text1"/>
          <w:w w:val="110"/>
        </w:rPr>
        <w:t>Without</w:t>
      </w:r>
      <w:r w:rsidRPr="00FD40B8">
        <w:rPr>
          <w:color w:val="131727" w:themeColor="text1"/>
          <w:spacing w:val="-4"/>
          <w:w w:val="110"/>
        </w:rPr>
        <w:t xml:space="preserve"> </w:t>
      </w:r>
      <w:r w:rsidRPr="00FD40B8">
        <w:rPr>
          <w:color w:val="131727" w:themeColor="text1"/>
          <w:w w:val="110"/>
        </w:rPr>
        <w:t>understanding</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current</w:t>
      </w:r>
      <w:r w:rsidRPr="00FD40B8">
        <w:rPr>
          <w:color w:val="131727" w:themeColor="text1"/>
          <w:spacing w:val="-9"/>
          <w:w w:val="110"/>
        </w:rPr>
        <w:t xml:space="preserve"> </w:t>
      </w:r>
      <w:r w:rsidRPr="00FD40B8">
        <w:rPr>
          <w:color w:val="131727" w:themeColor="text1"/>
          <w:w w:val="110"/>
        </w:rPr>
        <w:t>state</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3"/>
          <w:w w:val="110"/>
        </w:rPr>
        <w:t xml:space="preserve"> </w:t>
      </w:r>
      <w:r w:rsidRPr="00FD40B8">
        <w:rPr>
          <w:color w:val="131727" w:themeColor="text1"/>
          <w:w w:val="110"/>
        </w:rPr>
        <w:t>these</w:t>
      </w:r>
      <w:r w:rsidRPr="00FD40B8">
        <w:rPr>
          <w:color w:val="131727" w:themeColor="text1"/>
          <w:spacing w:val="-4"/>
          <w:w w:val="110"/>
        </w:rPr>
        <w:t xml:space="preserve"> </w:t>
      </w:r>
      <w:r w:rsidRPr="00FD40B8">
        <w:rPr>
          <w:color w:val="131727" w:themeColor="text1"/>
          <w:w w:val="110"/>
        </w:rPr>
        <w:t>vital services, we risk overlooking critical aspects of the housing equation.</w:t>
      </w:r>
    </w:p>
    <w:p w14:paraId="54452A6D" w14:textId="77777777" w:rsidR="00811887" w:rsidRPr="00FD40B8" w:rsidRDefault="00811887" w:rsidP="00811887">
      <w:pPr>
        <w:pStyle w:val="BodyText"/>
        <w:spacing w:before="86"/>
        <w:rPr>
          <w:color w:val="131727" w:themeColor="text1"/>
        </w:rPr>
      </w:pPr>
    </w:p>
    <w:p w14:paraId="7C796A3D" w14:textId="77777777" w:rsidR="00811887" w:rsidRPr="00FD40B8" w:rsidRDefault="00811887" w:rsidP="00811887">
      <w:pPr>
        <w:pStyle w:val="Heading9"/>
        <w:rPr>
          <w:color w:val="131727" w:themeColor="text1"/>
        </w:rPr>
      </w:pPr>
      <w:bookmarkStart w:id="159" w:name="_bookmark47"/>
      <w:bookmarkEnd w:id="159"/>
      <w:r w:rsidRPr="00FD40B8">
        <w:rPr>
          <w:color w:val="131727" w:themeColor="text1"/>
          <w:spacing w:val="14"/>
          <w:w w:val="85"/>
        </w:rPr>
        <w:t>ES</w:t>
      </w:r>
      <w:r w:rsidRPr="00FD40B8">
        <w:rPr>
          <w:color w:val="131727" w:themeColor="text1"/>
          <w:spacing w:val="-38"/>
          <w:w w:val="85"/>
        </w:rPr>
        <w:t xml:space="preserve"> </w:t>
      </w:r>
      <w:r w:rsidRPr="00FD40B8">
        <w:rPr>
          <w:color w:val="131727" w:themeColor="text1"/>
          <w:spacing w:val="18"/>
          <w:w w:val="85"/>
        </w:rPr>
        <w:t>TIM</w:t>
      </w:r>
      <w:r w:rsidRPr="00FD40B8">
        <w:rPr>
          <w:color w:val="131727" w:themeColor="text1"/>
          <w:spacing w:val="-36"/>
          <w:w w:val="85"/>
        </w:rPr>
        <w:t xml:space="preserve"> </w:t>
      </w:r>
      <w:r w:rsidRPr="00FD40B8">
        <w:rPr>
          <w:color w:val="131727" w:themeColor="text1"/>
          <w:spacing w:val="14"/>
          <w:w w:val="85"/>
        </w:rPr>
        <w:t>AT</w:t>
      </w:r>
      <w:r w:rsidRPr="00FD40B8">
        <w:rPr>
          <w:color w:val="131727" w:themeColor="text1"/>
          <w:spacing w:val="-37"/>
          <w:w w:val="85"/>
        </w:rPr>
        <w:t xml:space="preserve"> </w:t>
      </w:r>
      <w:r w:rsidRPr="00FD40B8">
        <w:rPr>
          <w:color w:val="131727" w:themeColor="text1"/>
          <w:spacing w:val="13"/>
          <w:w w:val="85"/>
        </w:rPr>
        <w:t>IN</w:t>
      </w:r>
      <w:r w:rsidRPr="00FD40B8">
        <w:rPr>
          <w:color w:val="131727" w:themeColor="text1"/>
          <w:spacing w:val="-36"/>
          <w:w w:val="85"/>
        </w:rPr>
        <w:t xml:space="preserve"> </w:t>
      </w:r>
      <w:r w:rsidRPr="00FD40B8">
        <w:rPr>
          <w:color w:val="131727" w:themeColor="text1"/>
          <w:w w:val="85"/>
        </w:rPr>
        <w:t>G</w:t>
      </w:r>
      <w:r w:rsidRPr="00FD40B8">
        <w:rPr>
          <w:color w:val="131727" w:themeColor="text1"/>
          <w:spacing w:val="8"/>
          <w:w w:val="85"/>
        </w:rPr>
        <w:t xml:space="preserve"> </w:t>
      </w:r>
      <w:r w:rsidRPr="00FD40B8">
        <w:rPr>
          <w:color w:val="131727" w:themeColor="text1"/>
          <w:spacing w:val="14"/>
          <w:w w:val="85"/>
        </w:rPr>
        <w:t>EX</w:t>
      </w:r>
      <w:r w:rsidRPr="00FD40B8">
        <w:rPr>
          <w:color w:val="131727" w:themeColor="text1"/>
          <w:spacing w:val="-36"/>
          <w:w w:val="85"/>
        </w:rPr>
        <w:t xml:space="preserve"> </w:t>
      </w:r>
      <w:r w:rsidRPr="00FD40B8">
        <w:rPr>
          <w:color w:val="131727" w:themeColor="text1"/>
          <w:spacing w:val="13"/>
          <w:w w:val="85"/>
        </w:rPr>
        <w:t>IS</w:t>
      </w:r>
      <w:r w:rsidRPr="00FD40B8">
        <w:rPr>
          <w:color w:val="131727" w:themeColor="text1"/>
          <w:spacing w:val="-38"/>
          <w:w w:val="85"/>
        </w:rPr>
        <w:t xml:space="preserve"> </w:t>
      </w:r>
      <w:r w:rsidRPr="00FD40B8">
        <w:rPr>
          <w:color w:val="131727" w:themeColor="text1"/>
          <w:w w:val="85"/>
        </w:rPr>
        <w:t>T</w:t>
      </w:r>
      <w:r w:rsidRPr="00FD40B8">
        <w:rPr>
          <w:color w:val="131727" w:themeColor="text1"/>
          <w:spacing w:val="-37"/>
          <w:w w:val="85"/>
        </w:rPr>
        <w:t xml:space="preserve"> </w:t>
      </w:r>
      <w:r w:rsidRPr="00FD40B8">
        <w:rPr>
          <w:color w:val="131727" w:themeColor="text1"/>
          <w:spacing w:val="13"/>
          <w:w w:val="85"/>
        </w:rPr>
        <w:t>IN</w:t>
      </w:r>
      <w:r w:rsidRPr="00FD40B8">
        <w:rPr>
          <w:color w:val="131727" w:themeColor="text1"/>
          <w:spacing w:val="-36"/>
          <w:w w:val="85"/>
        </w:rPr>
        <w:t xml:space="preserve"> </w:t>
      </w:r>
      <w:r w:rsidRPr="00FD40B8">
        <w:rPr>
          <w:color w:val="131727" w:themeColor="text1"/>
          <w:w w:val="85"/>
        </w:rPr>
        <w:t>G</w:t>
      </w:r>
      <w:r w:rsidRPr="00FD40B8">
        <w:rPr>
          <w:color w:val="131727" w:themeColor="text1"/>
          <w:spacing w:val="9"/>
          <w:w w:val="85"/>
        </w:rPr>
        <w:t xml:space="preserve"> </w:t>
      </w:r>
      <w:r w:rsidRPr="00FD40B8">
        <w:rPr>
          <w:color w:val="131727" w:themeColor="text1"/>
          <w:spacing w:val="14"/>
          <w:w w:val="85"/>
        </w:rPr>
        <w:t>EF</w:t>
      </w:r>
      <w:r w:rsidRPr="00FD40B8">
        <w:rPr>
          <w:color w:val="131727" w:themeColor="text1"/>
          <w:spacing w:val="-38"/>
          <w:w w:val="85"/>
        </w:rPr>
        <w:t xml:space="preserve"> </w:t>
      </w:r>
      <w:r w:rsidRPr="00FD40B8">
        <w:rPr>
          <w:color w:val="131727" w:themeColor="text1"/>
          <w:w w:val="85"/>
        </w:rPr>
        <w:t>F</w:t>
      </w:r>
      <w:r w:rsidRPr="00FD40B8">
        <w:rPr>
          <w:color w:val="131727" w:themeColor="text1"/>
          <w:spacing w:val="-38"/>
          <w:w w:val="85"/>
        </w:rPr>
        <w:t xml:space="preserve"> </w:t>
      </w:r>
      <w:r w:rsidRPr="00FD40B8">
        <w:rPr>
          <w:color w:val="131727" w:themeColor="text1"/>
          <w:spacing w:val="13"/>
          <w:w w:val="85"/>
        </w:rPr>
        <w:t>OR</w:t>
      </w:r>
      <w:r w:rsidRPr="00FD40B8">
        <w:rPr>
          <w:color w:val="131727" w:themeColor="text1"/>
          <w:spacing w:val="-35"/>
          <w:w w:val="85"/>
        </w:rPr>
        <w:t xml:space="preserve"> </w:t>
      </w:r>
      <w:r w:rsidRPr="00FD40B8">
        <w:rPr>
          <w:color w:val="131727" w:themeColor="text1"/>
          <w:spacing w:val="13"/>
          <w:w w:val="85"/>
        </w:rPr>
        <w:t>TS</w:t>
      </w:r>
      <w:r w:rsidRPr="00FD40B8">
        <w:rPr>
          <w:color w:val="131727" w:themeColor="text1"/>
          <w:spacing w:val="21"/>
        </w:rPr>
        <w:t xml:space="preserve"> </w:t>
      </w:r>
      <w:r w:rsidRPr="00FD40B8">
        <w:rPr>
          <w:color w:val="131727" w:themeColor="text1"/>
          <w:w w:val="85"/>
        </w:rPr>
        <w:t>A</w:t>
      </w:r>
      <w:r w:rsidRPr="00FD40B8">
        <w:rPr>
          <w:color w:val="131727" w:themeColor="text1"/>
          <w:spacing w:val="-35"/>
          <w:w w:val="85"/>
        </w:rPr>
        <w:t xml:space="preserve"> </w:t>
      </w:r>
      <w:r w:rsidRPr="00FD40B8">
        <w:rPr>
          <w:color w:val="131727" w:themeColor="text1"/>
          <w:w w:val="85"/>
        </w:rPr>
        <w:t>G</w:t>
      </w:r>
      <w:r w:rsidRPr="00FD40B8">
        <w:rPr>
          <w:color w:val="131727" w:themeColor="text1"/>
          <w:spacing w:val="-37"/>
          <w:w w:val="85"/>
        </w:rPr>
        <w:t xml:space="preserve"> </w:t>
      </w:r>
      <w:r w:rsidRPr="00FD40B8">
        <w:rPr>
          <w:color w:val="131727" w:themeColor="text1"/>
          <w:spacing w:val="20"/>
          <w:w w:val="85"/>
        </w:rPr>
        <w:t>AINS</w:t>
      </w:r>
      <w:r w:rsidRPr="00FD40B8">
        <w:rPr>
          <w:color w:val="131727" w:themeColor="text1"/>
          <w:spacing w:val="-38"/>
          <w:w w:val="85"/>
        </w:rPr>
        <w:t xml:space="preserve"> </w:t>
      </w:r>
      <w:r w:rsidRPr="00FD40B8">
        <w:rPr>
          <w:color w:val="131727" w:themeColor="text1"/>
          <w:w w:val="85"/>
        </w:rPr>
        <w:t>T</w:t>
      </w:r>
      <w:r w:rsidRPr="00FD40B8">
        <w:rPr>
          <w:color w:val="131727" w:themeColor="text1"/>
          <w:spacing w:val="26"/>
        </w:rPr>
        <w:t xml:space="preserve"> </w:t>
      </w:r>
      <w:r w:rsidRPr="00FD40B8">
        <w:rPr>
          <w:color w:val="131727" w:themeColor="text1"/>
          <w:spacing w:val="17"/>
          <w:w w:val="85"/>
        </w:rPr>
        <w:t>NEED</w:t>
      </w:r>
    </w:p>
    <w:p w14:paraId="58EDB3C6" w14:textId="77777777" w:rsidR="00811887" w:rsidRPr="00FD40B8" w:rsidRDefault="00811887" w:rsidP="00811887">
      <w:pPr>
        <w:pStyle w:val="BodyText"/>
        <w:spacing w:before="57" w:line="268" w:lineRule="auto"/>
        <w:ind w:left="508"/>
        <w:rPr>
          <w:color w:val="131727" w:themeColor="text1"/>
        </w:rPr>
      </w:pPr>
      <w:r w:rsidRPr="00FD40B8">
        <w:rPr>
          <w:color w:val="131727" w:themeColor="text1"/>
          <w:w w:val="110"/>
        </w:rPr>
        <w:t>While</w:t>
      </w:r>
      <w:r w:rsidRPr="00FD40B8">
        <w:rPr>
          <w:color w:val="131727" w:themeColor="text1"/>
          <w:spacing w:val="-1"/>
          <w:w w:val="110"/>
        </w:rPr>
        <w:t xml:space="preserve"> </w:t>
      </w:r>
      <w:r w:rsidRPr="00FD40B8">
        <w:rPr>
          <w:color w:val="131727" w:themeColor="text1"/>
          <w:w w:val="110"/>
        </w:rPr>
        <w:t>drawing</w:t>
      </w:r>
      <w:r w:rsidRPr="00FD40B8">
        <w:rPr>
          <w:color w:val="131727" w:themeColor="text1"/>
          <w:spacing w:val="-1"/>
          <w:w w:val="110"/>
        </w:rPr>
        <w:t xml:space="preserve"> </w:t>
      </w:r>
      <w:r w:rsidRPr="00FD40B8">
        <w:rPr>
          <w:color w:val="131727" w:themeColor="text1"/>
          <w:w w:val="110"/>
        </w:rPr>
        <w:t>a concise picture</w:t>
      </w:r>
      <w:r w:rsidRPr="00FD40B8">
        <w:rPr>
          <w:color w:val="131727" w:themeColor="text1"/>
          <w:spacing w:val="-6"/>
          <w:w w:val="110"/>
        </w:rPr>
        <w:t xml:space="preserve"> </w:t>
      </w:r>
      <w:r w:rsidRPr="00FD40B8">
        <w:rPr>
          <w:color w:val="131727" w:themeColor="text1"/>
          <w:w w:val="110"/>
        </w:rPr>
        <w:t>of whether</w:t>
      </w:r>
      <w:r w:rsidRPr="00FD40B8">
        <w:rPr>
          <w:color w:val="131727" w:themeColor="text1"/>
          <w:spacing w:val="-3"/>
          <w:w w:val="110"/>
        </w:rPr>
        <w:t xml:space="preserve"> </w:t>
      </w:r>
      <w:r w:rsidRPr="00FD40B8">
        <w:rPr>
          <w:color w:val="131727" w:themeColor="text1"/>
          <w:w w:val="110"/>
        </w:rPr>
        <w:t>existing</w:t>
      </w:r>
      <w:r w:rsidRPr="00FD40B8">
        <w:rPr>
          <w:color w:val="131727" w:themeColor="text1"/>
          <w:spacing w:val="-1"/>
          <w:w w:val="110"/>
        </w:rPr>
        <w:t xml:space="preserve"> </w:t>
      </w:r>
      <w:r w:rsidRPr="00FD40B8">
        <w:rPr>
          <w:color w:val="131727" w:themeColor="text1"/>
          <w:w w:val="110"/>
        </w:rPr>
        <w:t>efforts address housing</w:t>
      </w:r>
      <w:r w:rsidRPr="00FD40B8">
        <w:rPr>
          <w:color w:val="131727" w:themeColor="text1"/>
          <w:spacing w:val="-6"/>
          <w:w w:val="110"/>
        </w:rPr>
        <w:t xml:space="preserve"> </w:t>
      </w:r>
      <w:r w:rsidRPr="00FD40B8">
        <w:rPr>
          <w:color w:val="131727" w:themeColor="text1"/>
          <w:w w:val="110"/>
        </w:rPr>
        <w:t>needs</w:t>
      </w:r>
      <w:r w:rsidRPr="00FD40B8">
        <w:rPr>
          <w:color w:val="131727" w:themeColor="text1"/>
          <w:spacing w:val="-4"/>
          <w:w w:val="110"/>
        </w:rPr>
        <w:t xml:space="preserve"> </w:t>
      </w:r>
      <w:r w:rsidRPr="00FD40B8">
        <w:rPr>
          <w:color w:val="131727" w:themeColor="text1"/>
          <w:w w:val="110"/>
        </w:rPr>
        <w:t>is challenging</w:t>
      </w:r>
      <w:r w:rsidRPr="00FD40B8">
        <w:rPr>
          <w:color w:val="131727" w:themeColor="text1"/>
          <w:spacing w:val="-1"/>
          <w:w w:val="110"/>
        </w:rPr>
        <w:t xml:space="preserve"> </w:t>
      </w:r>
      <w:r w:rsidRPr="00FD40B8">
        <w:rPr>
          <w:color w:val="131727" w:themeColor="text1"/>
          <w:w w:val="110"/>
        </w:rPr>
        <w:t>due</w:t>
      </w:r>
      <w:r w:rsidRPr="00FD40B8">
        <w:rPr>
          <w:color w:val="131727" w:themeColor="text1"/>
          <w:spacing w:val="-1"/>
          <w:w w:val="110"/>
        </w:rPr>
        <w:t xml:space="preserve"> </w:t>
      </w:r>
      <w:r w:rsidRPr="00FD40B8">
        <w:rPr>
          <w:color w:val="131727" w:themeColor="text1"/>
          <w:w w:val="110"/>
        </w:rPr>
        <w:t>to limitations in data availability, Equity Economics assesses current efforts, including the recent housing investment announced in the Northern Territory, is not sufficient to meet need.</w:t>
      </w:r>
    </w:p>
    <w:p w14:paraId="32169875" w14:textId="77777777" w:rsidR="00811887" w:rsidRPr="00FD40B8" w:rsidRDefault="00811887" w:rsidP="00811887">
      <w:pPr>
        <w:pStyle w:val="Heading8"/>
        <w:spacing w:before="90"/>
        <w:rPr>
          <w:color w:val="131727" w:themeColor="text1"/>
        </w:rPr>
      </w:pPr>
      <w:r w:rsidRPr="00FD40B8">
        <w:rPr>
          <w:color w:val="131727" w:themeColor="text1"/>
        </w:rPr>
        <w:t>Examining</w:t>
      </w:r>
      <w:r w:rsidRPr="00FD40B8">
        <w:rPr>
          <w:color w:val="131727" w:themeColor="text1"/>
          <w:spacing w:val="-8"/>
        </w:rPr>
        <w:t xml:space="preserve"> </w:t>
      </w:r>
      <w:r w:rsidRPr="00FD40B8">
        <w:rPr>
          <w:color w:val="131727" w:themeColor="text1"/>
        </w:rPr>
        <w:t>current</w:t>
      </w:r>
      <w:r w:rsidRPr="00FD40B8">
        <w:rPr>
          <w:color w:val="131727" w:themeColor="text1"/>
          <w:spacing w:val="-6"/>
        </w:rPr>
        <w:t xml:space="preserve"> </w:t>
      </w:r>
      <w:r w:rsidRPr="00FD40B8">
        <w:rPr>
          <w:color w:val="131727" w:themeColor="text1"/>
          <w:spacing w:val="-2"/>
        </w:rPr>
        <w:t>initiatives</w:t>
      </w:r>
    </w:p>
    <w:p w14:paraId="27E39F11" w14:textId="77777777" w:rsidR="00811887" w:rsidRPr="00FD40B8" w:rsidRDefault="00811887" w:rsidP="00811887">
      <w:pPr>
        <w:pStyle w:val="BodyText"/>
        <w:spacing w:before="25" w:line="268" w:lineRule="auto"/>
        <w:ind w:left="508" w:right="598"/>
        <w:rPr>
          <w:color w:val="131727" w:themeColor="text1"/>
        </w:rPr>
      </w:pPr>
      <w:r w:rsidRPr="00FD40B8">
        <w:rPr>
          <w:color w:val="131727" w:themeColor="text1"/>
          <w:w w:val="110"/>
        </w:rPr>
        <w:t>Dedicated effort on the housing needs of Aboriginal and Torres Strait Islander people, led by the Commonwealth</w:t>
      </w:r>
      <w:r w:rsidRPr="00FD40B8">
        <w:rPr>
          <w:color w:val="131727" w:themeColor="text1"/>
          <w:spacing w:val="-9"/>
          <w:w w:val="110"/>
        </w:rPr>
        <w:t xml:space="preserve"> </w:t>
      </w:r>
      <w:r w:rsidRPr="00FD40B8">
        <w:rPr>
          <w:color w:val="131727" w:themeColor="text1"/>
          <w:w w:val="110"/>
        </w:rPr>
        <w:t>government</w:t>
      </w:r>
      <w:r w:rsidRPr="00FD40B8">
        <w:rPr>
          <w:color w:val="131727" w:themeColor="text1"/>
          <w:spacing w:val="-6"/>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generally</w:t>
      </w:r>
      <w:r w:rsidRPr="00FD40B8">
        <w:rPr>
          <w:color w:val="131727" w:themeColor="text1"/>
          <w:spacing w:val="-7"/>
          <w:w w:val="110"/>
        </w:rPr>
        <w:t xml:space="preserve"> </w:t>
      </w:r>
      <w:r w:rsidRPr="00FD40B8">
        <w:rPr>
          <w:color w:val="131727" w:themeColor="text1"/>
          <w:w w:val="110"/>
        </w:rPr>
        <w:t>matched</w:t>
      </w:r>
      <w:r w:rsidRPr="00FD40B8">
        <w:rPr>
          <w:color w:val="131727" w:themeColor="text1"/>
          <w:spacing w:val="-10"/>
          <w:w w:val="110"/>
        </w:rPr>
        <w:t xml:space="preserve"> </w:t>
      </w:r>
      <w:r w:rsidRPr="00FD40B8">
        <w:rPr>
          <w:color w:val="131727" w:themeColor="text1"/>
          <w:w w:val="110"/>
        </w:rPr>
        <w:t>by</w:t>
      </w:r>
      <w:r w:rsidRPr="00FD40B8">
        <w:rPr>
          <w:color w:val="131727" w:themeColor="text1"/>
          <w:spacing w:val="-7"/>
          <w:w w:val="110"/>
        </w:rPr>
        <w:t xml:space="preserve"> </w:t>
      </w:r>
      <w:r w:rsidRPr="00FD40B8">
        <w:rPr>
          <w:color w:val="131727" w:themeColor="text1"/>
          <w:w w:val="110"/>
        </w:rPr>
        <w:t>state</w:t>
      </w:r>
      <w:r w:rsidRPr="00FD40B8">
        <w:rPr>
          <w:color w:val="131727" w:themeColor="text1"/>
          <w:spacing w:val="-7"/>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territory</w:t>
      </w:r>
      <w:r w:rsidRPr="00FD40B8">
        <w:rPr>
          <w:color w:val="131727" w:themeColor="text1"/>
          <w:spacing w:val="-7"/>
          <w:w w:val="110"/>
        </w:rPr>
        <w:t xml:space="preserve"> </w:t>
      </w:r>
      <w:r w:rsidRPr="00FD40B8">
        <w:rPr>
          <w:color w:val="131727" w:themeColor="text1"/>
          <w:w w:val="110"/>
        </w:rPr>
        <w:t>governments,</w:t>
      </w:r>
      <w:r w:rsidRPr="00FD40B8">
        <w:rPr>
          <w:color w:val="131727" w:themeColor="text1"/>
          <w:spacing w:val="-10"/>
          <w:w w:val="110"/>
        </w:rPr>
        <w:t xml:space="preserve"> </w:t>
      </w:r>
      <w:r w:rsidRPr="00FD40B8">
        <w:rPr>
          <w:color w:val="131727" w:themeColor="text1"/>
          <w:w w:val="110"/>
        </w:rPr>
        <w:t>has</w:t>
      </w:r>
      <w:r w:rsidRPr="00FD40B8">
        <w:rPr>
          <w:color w:val="131727" w:themeColor="text1"/>
          <w:spacing w:val="-8"/>
          <w:w w:val="110"/>
        </w:rPr>
        <w:t xml:space="preserve"> </w:t>
      </w:r>
      <w:r w:rsidRPr="00FD40B8">
        <w:rPr>
          <w:color w:val="131727" w:themeColor="text1"/>
          <w:w w:val="110"/>
        </w:rPr>
        <w:t>significantly deteriorated since the end of the National Partnership Agreement on Remote Indigenous Housing (NPARIH). The NPARIH, a</w:t>
      </w:r>
      <w:r w:rsidRPr="00FD40B8">
        <w:rPr>
          <w:color w:val="131727" w:themeColor="text1"/>
          <w:spacing w:val="-3"/>
          <w:w w:val="110"/>
        </w:rPr>
        <w:t xml:space="preserve"> </w:t>
      </w:r>
      <w:r w:rsidRPr="00FD40B8">
        <w:rPr>
          <w:color w:val="131727" w:themeColor="text1"/>
          <w:w w:val="110"/>
        </w:rPr>
        <w:t>$5.5</w:t>
      </w:r>
      <w:r w:rsidRPr="00FD40B8">
        <w:rPr>
          <w:color w:val="131727" w:themeColor="text1"/>
          <w:spacing w:val="-1"/>
          <w:w w:val="110"/>
        </w:rPr>
        <w:t xml:space="preserve"> </w:t>
      </w:r>
      <w:r w:rsidRPr="00FD40B8">
        <w:rPr>
          <w:color w:val="131727" w:themeColor="text1"/>
          <w:w w:val="110"/>
        </w:rPr>
        <w:t>billion</w:t>
      </w:r>
      <w:r w:rsidRPr="00FD40B8">
        <w:rPr>
          <w:color w:val="131727" w:themeColor="text1"/>
          <w:spacing w:val="-1"/>
          <w:w w:val="110"/>
        </w:rPr>
        <w:t xml:space="preserve"> </w:t>
      </w:r>
      <w:r w:rsidRPr="00FD40B8">
        <w:rPr>
          <w:color w:val="131727" w:themeColor="text1"/>
          <w:w w:val="110"/>
        </w:rPr>
        <w:t>investment</w:t>
      </w:r>
      <w:r w:rsidRPr="00FD40B8">
        <w:rPr>
          <w:color w:val="131727" w:themeColor="text1"/>
          <w:spacing w:val="-2"/>
          <w:w w:val="110"/>
        </w:rPr>
        <w:t xml:space="preserve"> </w:t>
      </w:r>
      <w:r w:rsidRPr="00FD40B8">
        <w:rPr>
          <w:color w:val="131727" w:themeColor="text1"/>
          <w:w w:val="110"/>
        </w:rPr>
        <w:t>over ten years (2008 –</w:t>
      </w:r>
      <w:r w:rsidRPr="00FD40B8">
        <w:rPr>
          <w:color w:val="131727" w:themeColor="text1"/>
          <w:spacing w:val="-2"/>
          <w:w w:val="110"/>
        </w:rPr>
        <w:t xml:space="preserve"> </w:t>
      </w:r>
      <w:r w:rsidRPr="00FD40B8">
        <w:rPr>
          <w:color w:val="131727" w:themeColor="text1"/>
          <w:w w:val="110"/>
        </w:rPr>
        <w:t>2018), was designed to respond to the</w:t>
      </w:r>
      <w:r w:rsidRPr="00FD40B8">
        <w:rPr>
          <w:color w:val="131727" w:themeColor="text1"/>
          <w:spacing w:val="-1"/>
          <w:w w:val="110"/>
        </w:rPr>
        <w:t xml:space="preserve"> </w:t>
      </w:r>
      <w:r w:rsidRPr="00FD40B8">
        <w:rPr>
          <w:color w:val="131727" w:themeColor="text1"/>
          <w:w w:val="110"/>
        </w:rPr>
        <w:t>deep and</w:t>
      </w:r>
      <w:r w:rsidRPr="00FD40B8">
        <w:rPr>
          <w:color w:val="131727" w:themeColor="text1"/>
          <w:spacing w:val="-1"/>
          <w:w w:val="110"/>
        </w:rPr>
        <w:t xml:space="preserve"> </w:t>
      </w:r>
      <w:r w:rsidRPr="00FD40B8">
        <w:rPr>
          <w:color w:val="131727" w:themeColor="text1"/>
          <w:w w:val="110"/>
        </w:rPr>
        <w:t>ongoing</w:t>
      </w:r>
      <w:r w:rsidRPr="00FD40B8">
        <w:rPr>
          <w:color w:val="131727" w:themeColor="text1"/>
          <w:spacing w:val="-1"/>
          <w:w w:val="110"/>
        </w:rPr>
        <w:t xml:space="preserve"> </w:t>
      </w:r>
      <w:r w:rsidRPr="00FD40B8">
        <w:rPr>
          <w:color w:val="131727" w:themeColor="text1"/>
          <w:w w:val="110"/>
        </w:rPr>
        <w:t>complex market failure</w:t>
      </w:r>
      <w:r w:rsidRPr="00FD40B8">
        <w:rPr>
          <w:color w:val="131727" w:themeColor="text1"/>
          <w:spacing w:val="-1"/>
          <w:w w:val="110"/>
        </w:rPr>
        <w:t xml:space="preserve"> </w:t>
      </w:r>
      <w:r w:rsidRPr="00FD40B8">
        <w:rPr>
          <w:color w:val="131727" w:themeColor="text1"/>
          <w:w w:val="110"/>
        </w:rPr>
        <w:t>in the</w:t>
      </w:r>
      <w:r w:rsidRPr="00FD40B8">
        <w:rPr>
          <w:color w:val="131727" w:themeColor="text1"/>
          <w:spacing w:val="-1"/>
          <w:w w:val="110"/>
        </w:rPr>
        <w:t xml:space="preserve"> </w:t>
      </w:r>
      <w:r w:rsidRPr="00FD40B8">
        <w:rPr>
          <w:color w:val="131727" w:themeColor="text1"/>
          <w:w w:val="110"/>
        </w:rPr>
        <w:t>remote</w:t>
      </w:r>
      <w:r w:rsidRPr="00FD40B8">
        <w:rPr>
          <w:color w:val="131727" w:themeColor="text1"/>
          <w:spacing w:val="-1"/>
          <w:w w:val="110"/>
        </w:rPr>
        <w:t xml:space="preserve"> </w:t>
      </w:r>
      <w:r w:rsidRPr="00FD40B8">
        <w:rPr>
          <w:color w:val="131727" w:themeColor="text1"/>
          <w:w w:val="110"/>
        </w:rPr>
        <w:t>Indigenous housing</w:t>
      </w:r>
      <w:r w:rsidRPr="00FD40B8">
        <w:rPr>
          <w:color w:val="131727" w:themeColor="text1"/>
          <w:spacing w:val="-1"/>
          <w:w w:val="110"/>
        </w:rPr>
        <w:t xml:space="preserve"> </w:t>
      </w:r>
      <w:r w:rsidRPr="00FD40B8">
        <w:rPr>
          <w:color w:val="131727" w:themeColor="text1"/>
          <w:w w:val="110"/>
        </w:rPr>
        <w:t>sector and</w:t>
      </w:r>
      <w:r w:rsidRPr="00FD40B8">
        <w:rPr>
          <w:color w:val="131727" w:themeColor="text1"/>
          <w:spacing w:val="-1"/>
          <w:w w:val="110"/>
        </w:rPr>
        <w:t xml:space="preserve"> </w:t>
      </w:r>
      <w:r w:rsidRPr="00FD40B8">
        <w:rPr>
          <w:color w:val="131727" w:themeColor="text1"/>
          <w:w w:val="110"/>
        </w:rPr>
        <w:t>sought to address the long standing under provision of social and community housing, the extremely short life spans for existing social housing assets due to extreme overcrowding, poor repair and maintenance</w:t>
      </w:r>
    </w:p>
    <w:p w14:paraId="625A0B7E" w14:textId="77777777" w:rsidR="00811887" w:rsidRPr="00FD40B8" w:rsidRDefault="00811887" w:rsidP="00811887">
      <w:pPr>
        <w:pStyle w:val="BodyText"/>
        <w:spacing w:before="11"/>
        <w:rPr>
          <w:color w:val="131727" w:themeColor="text1"/>
          <w:sz w:val="18"/>
        </w:rPr>
      </w:pPr>
      <w:r w:rsidRPr="00FD40B8">
        <w:rPr>
          <w:noProof/>
          <w:color w:val="131727" w:themeColor="text1"/>
        </w:rPr>
        <mc:AlternateContent>
          <mc:Choice Requires="wps">
            <w:drawing>
              <wp:anchor distT="0" distB="0" distL="0" distR="0" simplePos="0" relativeHeight="251744256" behindDoc="1" locked="0" layoutInCell="1" allowOverlap="1" wp14:anchorId="7C5D7D63" wp14:editId="29A03E45">
                <wp:simplePos x="0" y="0"/>
                <wp:positionH relativeFrom="page">
                  <wp:posOffset>792784</wp:posOffset>
                </wp:positionH>
                <wp:positionV relativeFrom="paragraph">
                  <wp:posOffset>161886</wp:posOffset>
                </wp:positionV>
                <wp:extent cx="1830070" cy="6350"/>
                <wp:effectExtent l="0" t="0" r="0" b="0"/>
                <wp:wrapTopAndBottom/>
                <wp:docPr id="160" name="Graphic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DCF90" id="Graphic 160" o:spid="_x0000_s1026" alt="&quot;&quot;" style="position:absolute;margin-left:62.4pt;margin-top:12.75pt;width:144.1pt;height:.5pt;z-index:-25157222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" path="m1829689,l,,,6095r1829689,l1829689,xe" fillcolor="black" stroked="f">
                <v:path arrowok="t"/>
                <w10:wrap type="topAndBottom" anchorx="page"/>
              </v:shape>
            </w:pict>
          </mc:Fallback>
        </mc:AlternateContent>
      </w:r>
    </w:p>
    <w:p w14:paraId="3377C315" w14:textId="77777777" w:rsidR="00811887" w:rsidRPr="00FD40B8" w:rsidRDefault="00811887" w:rsidP="00811887">
      <w:pPr>
        <w:spacing w:before="118" w:line="268" w:lineRule="auto"/>
        <w:ind w:left="508" w:right="729"/>
        <w:rPr>
          <w:color w:val="131727" w:themeColor="text1"/>
          <w:sz w:val="16"/>
        </w:rPr>
      </w:pPr>
      <w:bookmarkStart w:id="160" w:name="_bookmark48"/>
      <w:bookmarkEnd w:id="160"/>
      <w:r w:rsidRPr="00FD40B8">
        <w:rPr>
          <w:color w:val="131727" w:themeColor="text1"/>
          <w:w w:val="110"/>
          <w:position w:val="6"/>
          <w:sz w:val="10"/>
        </w:rPr>
        <w:t>39</w:t>
      </w:r>
      <w:r w:rsidRPr="00FD40B8">
        <w:rPr>
          <w:color w:val="131727" w:themeColor="text1"/>
          <w:spacing w:val="20"/>
          <w:w w:val="110"/>
          <w:position w:val="6"/>
          <w:sz w:val="10"/>
        </w:rPr>
        <w:t xml:space="preserve"> </w:t>
      </w:r>
      <w:r w:rsidRPr="00FD40B8">
        <w:rPr>
          <w:color w:val="131727" w:themeColor="text1"/>
          <w:w w:val="110"/>
          <w:sz w:val="16"/>
        </w:rPr>
        <w:t>As of 2018-19 based on ABS (2022), Housing Statistics for Aboriginal and/or Torres Strait Islander Peoples, 2001. Table 1.1.</w:t>
      </w:r>
      <w:r w:rsidRPr="00FD40B8">
        <w:rPr>
          <w:color w:val="131727" w:themeColor="text1"/>
          <w:spacing w:val="40"/>
          <w:w w:val="110"/>
          <w:sz w:val="16"/>
        </w:rPr>
        <w:t xml:space="preserve"> </w:t>
      </w:r>
      <w:r w:rsidRPr="00FD40B8">
        <w:rPr>
          <w:color w:val="131727" w:themeColor="text1"/>
          <w:w w:val="110"/>
          <w:sz w:val="16"/>
        </w:rPr>
        <w:t>Whether</w:t>
      </w:r>
      <w:r w:rsidRPr="00FD40B8">
        <w:rPr>
          <w:color w:val="131727" w:themeColor="text1"/>
          <w:spacing w:val="-3"/>
          <w:w w:val="110"/>
          <w:sz w:val="16"/>
        </w:rPr>
        <w:t xml:space="preserve"> </w:t>
      </w:r>
      <w:r w:rsidRPr="00FD40B8">
        <w:rPr>
          <w:color w:val="131727" w:themeColor="text1"/>
          <w:w w:val="110"/>
          <w:sz w:val="16"/>
        </w:rPr>
        <w:t>dwelling</w:t>
      </w:r>
      <w:r w:rsidRPr="00FD40B8">
        <w:rPr>
          <w:color w:val="131727" w:themeColor="text1"/>
          <w:spacing w:val="-1"/>
          <w:w w:val="110"/>
          <w:sz w:val="16"/>
        </w:rPr>
        <w:t xml:space="preserve"> </w:t>
      </w:r>
      <w:r w:rsidRPr="00FD40B8">
        <w:rPr>
          <w:color w:val="131727" w:themeColor="text1"/>
          <w:w w:val="110"/>
          <w:sz w:val="16"/>
        </w:rPr>
        <w:t>of</w:t>
      </w:r>
      <w:r w:rsidRPr="00FD40B8">
        <w:rPr>
          <w:color w:val="131727" w:themeColor="text1"/>
          <w:spacing w:val="-3"/>
          <w:w w:val="110"/>
          <w:sz w:val="16"/>
        </w:rPr>
        <w:t xml:space="preserve"> </w:t>
      </w:r>
      <w:r w:rsidRPr="00FD40B8">
        <w:rPr>
          <w:color w:val="131727" w:themeColor="text1"/>
          <w:w w:val="110"/>
          <w:sz w:val="16"/>
        </w:rPr>
        <w:t>an</w:t>
      </w:r>
      <w:r w:rsidRPr="00FD40B8">
        <w:rPr>
          <w:color w:val="131727" w:themeColor="text1"/>
          <w:spacing w:val="-2"/>
          <w:w w:val="110"/>
          <w:sz w:val="16"/>
        </w:rPr>
        <w:t xml:space="preserve"> </w:t>
      </w:r>
      <w:r w:rsidRPr="00FD40B8">
        <w:rPr>
          <w:color w:val="131727" w:themeColor="text1"/>
          <w:w w:val="110"/>
          <w:sz w:val="16"/>
        </w:rPr>
        <w:t>acceptable</w:t>
      </w:r>
      <w:r w:rsidRPr="00FD40B8">
        <w:rPr>
          <w:color w:val="131727" w:themeColor="text1"/>
          <w:spacing w:val="-4"/>
          <w:w w:val="110"/>
          <w:sz w:val="16"/>
        </w:rPr>
        <w:t xml:space="preserve"> </w:t>
      </w:r>
      <w:r w:rsidRPr="00FD40B8">
        <w:rPr>
          <w:color w:val="131727" w:themeColor="text1"/>
          <w:w w:val="110"/>
          <w:sz w:val="16"/>
        </w:rPr>
        <w:t>standard,</w:t>
      </w:r>
      <w:r w:rsidRPr="00FD40B8">
        <w:rPr>
          <w:color w:val="131727" w:themeColor="text1"/>
          <w:spacing w:val="-4"/>
          <w:w w:val="110"/>
          <w:sz w:val="16"/>
        </w:rPr>
        <w:t xml:space="preserve"> </w:t>
      </w:r>
      <w:r w:rsidRPr="00FD40B8">
        <w:rPr>
          <w:color w:val="131727" w:themeColor="text1"/>
          <w:w w:val="110"/>
          <w:sz w:val="16"/>
        </w:rPr>
        <w:t>Aboriginal</w:t>
      </w:r>
      <w:r w:rsidRPr="00FD40B8">
        <w:rPr>
          <w:color w:val="131727" w:themeColor="text1"/>
          <w:spacing w:val="-6"/>
          <w:w w:val="110"/>
          <w:sz w:val="16"/>
        </w:rPr>
        <w:t xml:space="preserve"> </w:t>
      </w:r>
      <w:r w:rsidRPr="00FD40B8">
        <w:rPr>
          <w:color w:val="131727" w:themeColor="text1"/>
          <w:w w:val="110"/>
          <w:sz w:val="16"/>
        </w:rPr>
        <w:t>and</w:t>
      </w:r>
      <w:r w:rsidRPr="00FD40B8">
        <w:rPr>
          <w:color w:val="131727" w:themeColor="text1"/>
          <w:spacing w:val="-3"/>
          <w:w w:val="110"/>
          <w:sz w:val="16"/>
        </w:rPr>
        <w:t xml:space="preserve"> </w:t>
      </w:r>
      <w:r w:rsidRPr="00FD40B8">
        <w:rPr>
          <w:color w:val="131727" w:themeColor="text1"/>
          <w:w w:val="110"/>
          <w:sz w:val="16"/>
        </w:rPr>
        <w:t>Torres</w:t>
      </w:r>
      <w:r w:rsidRPr="00FD40B8">
        <w:rPr>
          <w:color w:val="131727" w:themeColor="text1"/>
          <w:spacing w:val="-5"/>
          <w:w w:val="110"/>
          <w:sz w:val="16"/>
        </w:rPr>
        <w:t xml:space="preserve"> </w:t>
      </w:r>
      <w:r w:rsidRPr="00FD40B8">
        <w:rPr>
          <w:color w:val="131727" w:themeColor="text1"/>
          <w:w w:val="110"/>
          <w:sz w:val="16"/>
        </w:rPr>
        <w:t>Strait</w:t>
      </w:r>
      <w:r w:rsidRPr="00FD40B8">
        <w:rPr>
          <w:color w:val="131727" w:themeColor="text1"/>
          <w:spacing w:val="-4"/>
          <w:w w:val="110"/>
          <w:sz w:val="16"/>
        </w:rPr>
        <w:t xml:space="preserve"> </w:t>
      </w:r>
      <w:r w:rsidRPr="00FD40B8">
        <w:rPr>
          <w:color w:val="131727" w:themeColor="text1"/>
          <w:w w:val="110"/>
          <w:sz w:val="16"/>
        </w:rPr>
        <w:t>Islander</w:t>
      </w:r>
      <w:r w:rsidRPr="00FD40B8">
        <w:rPr>
          <w:color w:val="131727" w:themeColor="text1"/>
          <w:spacing w:val="-3"/>
          <w:w w:val="110"/>
          <w:sz w:val="16"/>
        </w:rPr>
        <w:t xml:space="preserve"> </w:t>
      </w:r>
      <w:r w:rsidRPr="00FD40B8">
        <w:rPr>
          <w:color w:val="131727" w:themeColor="text1"/>
          <w:w w:val="110"/>
          <w:sz w:val="16"/>
        </w:rPr>
        <w:t>households,</w:t>
      </w:r>
      <w:r w:rsidRPr="00FD40B8">
        <w:rPr>
          <w:color w:val="131727" w:themeColor="text1"/>
          <w:spacing w:val="-4"/>
          <w:w w:val="110"/>
          <w:sz w:val="16"/>
        </w:rPr>
        <w:t xml:space="preserve"> </w:t>
      </w:r>
      <w:r w:rsidRPr="00FD40B8">
        <w:rPr>
          <w:color w:val="131727" w:themeColor="text1"/>
          <w:w w:val="110"/>
          <w:sz w:val="16"/>
        </w:rPr>
        <w:t>State/Territory,</w:t>
      </w:r>
      <w:r w:rsidRPr="00FD40B8">
        <w:rPr>
          <w:color w:val="131727" w:themeColor="text1"/>
          <w:spacing w:val="-4"/>
          <w:w w:val="110"/>
          <w:sz w:val="16"/>
        </w:rPr>
        <w:t xml:space="preserve"> </w:t>
      </w:r>
      <w:r w:rsidRPr="00FD40B8">
        <w:rPr>
          <w:color w:val="131727" w:themeColor="text1"/>
          <w:w w:val="110"/>
          <w:sz w:val="16"/>
        </w:rPr>
        <w:t>NATSISS</w:t>
      </w:r>
      <w:r w:rsidRPr="00FD40B8">
        <w:rPr>
          <w:color w:val="131727" w:themeColor="text1"/>
          <w:spacing w:val="-3"/>
          <w:w w:val="110"/>
          <w:sz w:val="16"/>
        </w:rPr>
        <w:t xml:space="preserve"> </w:t>
      </w:r>
      <w:r w:rsidRPr="00FD40B8">
        <w:rPr>
          <w:color w:val="131727" w:themeColor="text1"/>
          <w:w w:val="110"/>
          <w:sz w:val="16"/>
        </w:rPr>
        <w:t>2008</w:t>
      </w:r>
      <w:r w:rsidRPr="00FD40B8">
        <w:rPr>
          <w:color w:val="131727" w:themeColor="text1"/>
          <w:spacing w:val="-3"/>
          <w:w w:val="110"/>
          <w:sz w:val="16"/>
        </w:rPr>
        <w:t xml:space="preserve"> </w:t>
      </w:r>
      <w:r w:rsidRPr="00FD40B8">
        <w:rPr>
          <w:color w:val="131727" w:themeColor="text1"/>
          <w:w w:val="110"/>
          <w:sz w:val="16"/>
        </w:rPr>
        <w:t>and</w:t>
      </w:r>
      <w:r w:rsidRPr="00FD40B8">
        <w:rPr>
          <w:color w:val="131727" w:themeColor="text1"/>
          <w:spacing w:val="40"/>
          <w:w w:val="110"/>
          <w:sz w:val="16"/>
        </w:rPr>
        <w:t xml:space="preserve"> </w:t>
      </w:r>
      <w:r w:rsidRPr="00FD40B8">
        <w:rPr>
          <w:color w:val="131727" w:themeColor="text1"/>
          <w:w w:val="110"/>
          <w:sz w:val="16"/>
        </w:rPr>
        <w:t>2014-15, NATSIHS 2012-13 and 2018-19.</w:t>
      </w:r>
    </w:p>
    <w:p w14:paraId="1483BC19" w14:textId="77777777" w:rsidR="00811887" w:rsidRPr="00FD40B8" w:rsidRDefault="00811887" w:rsidP="00811887">
      <w:pPr>
        <w:spacing w:line="266" w:lineRule="auto"/>
        <w:ind w:left="508" w:right="532"/>
        <w:rPr>
          <w:color w:val="131727" w:themeColor="text1"/>
          <w:sz w:val="16"/>
        </w:rPr>
      </w:pPr>
      <w:bookmarkStart w:id="161" w:name="_bookmark49"/>
      <w:bookmarkEnd w:id="161"/>
      <w:r w:rsidRPr="00FD40B8">
        <w:rPr>
          <w:color w:val="131727" w:themeColor="text1"/>
          <w:w w:val="110"/>
          <w:position w:val="6"/>
          <w:sz w:val="10"/>
        </w:rPr>
        <w:t>40</w:t>
      </w:r>
      <w:r w:rsidRPr="00FD40B8">
        <w:rPr>
          <w:color w:val="131727" w:themeColor="text1"/>
          <w:spacing w:val="16"/>
          <w:w w:val="110"/>
          <w:position w:val="6"/>
          <w:sz w:val="10"/>
        </w:rPr>
        <w:t xml:space="preserve"> </w:t>
      </w:r>
      <w:r w:rsidRPr="00FD40B8">
        <w:rPr>
          <w:color w:val="131727" w:themeColor="text1"/>
          <w:w w:val="110"/>
          <w:sz w:val="16"/>
        </w:rPr>
        <w:t>ABS 2022. Housing Statistics for Aboriginal</w:t>
      </w:r>
      <w:r w:rsidRPr="00FD40B8">
        <w:rPr>
          <w:color w:val="131727" w:themeColor="text1"/>
          <w:spacing w:val="-1"/>
          <w:w w:val="110"/>
          <w:sz w:val="16"/>
        </w:rPr>
        <w:t xml:space="preserve"> </w:t>
      </w:r>
      <w:r w:rsidRPr="00FD40B8">
        <w:rPr>
          <w:color w:val="131727" w:themeColor="text1"/>
          <w:w w:val="110"/>
          <w:sz w:val="16"/>
        </w:rPr>
        <w:t>and Torres Strait Islander Peoples: Collation of housing and household characteristics</w:t>
      </w:r>
      <w:r w:rsidRPr="00FD40B8">
        <w:rPr>
          <w:color w:val="131727" w:themeColor="text1"/>
          <w:spacing w:val="40"/>
          <w:w w:val="110"/>
          <w:sz w:val="16"/>
        </w:rPr>
        <w:t xml:space="preserve"> </w:t>
      </w:r>
      <w:r w:rsidRPr="00FD40B8">
        <w:rPr>
          <w:color w:val="131727" w:themeColor="text1"/>
          <w:w w:val="110"/>
          <w:sz w:val="16"/>
        </w:rPr>
        <w:t>statistics from ABS collections</w:t>
      </w:r>
    </w:p>
    <w:p w14:paraId="1CD3B8CA" w14:textId="77777777" w:rsidR="00811887" w:rsidRPr="00FD40B8" w:rsidRDefault="00811887" w:rsidP="00811887">
      <w:pPr>
        <w:spacing w:line="271" w:lineRule="auto"/>
        <w:ind w:left="508" w:right="598"/>
        <w:rPr>
          <w:color w:val="131727" w:themeColor="text1"/>
          <w:sz w:val="16"/>
        </w:rPr>
      </w:pPr>
      <w:bookmarkStart w:id="162" w:name="_bookmark50"/>
      <w:bookmarkEnd w:id="162"/>
      <w:r w:rsidRPr="00FD40B8">
        <w:rPr>
          <w:color w:val="131727" w:themeColor="text1"/>
          <w:w w:val="110"/>
          <w:position w:val="6"/>
          <w:sz w:val="10"/>
        </w:rPr>
        <w:t>41</w:t>
      </w:r>
      <w:r w:rsidRPr="00FD40B8">
        <w:rPr>
          <w:color w:val="131727" w:themeColor="text1"/>
          <w:spacing w:val="12"/>
          <w:w w:val="110"/>
          <w:position w:val="6"/>
          <w:sz w:val="10"/>
        </w:rPr>
        <w:t xml:space="preserve"> </w:t>
      </w:r>
      <w:r w:rsidRPr="00FD40B8">
        <w:rPr>
          <w:color w:val="131727" w:themeColor="text1"/>
          <w:w w:val="110"/>
          <w:sz w:val="16"/>
        </w:rPr>
        <w:t>Note</w:t>
      </w:r>
      <w:r w:rsidRPr="00FD40B8">
        <w:rPr>
          <w:color w:val="131727" w:themeColor="text1"/>
          <w:spacing w:val="-3"/>
          <w:w w:val="110"/>
          <w:sz w:val="16"/>
        </w:rPr>
        <w:t xml:space="preserve"> </w:t>
      </w:r>
      <w:r w:rsidRPr="00FD40B8">
        <w:rPr>
          <w:color w:val="131727" w:themeColor="text1"/>
          <w:w w:val="110"/>
          <w:sz w:val="16"/>
        </w:rPr>
        <w:t>as</w:t>
      </w:r>
      <w:r w:rsidRPr="00FD40B8">
        <w:rPr>
          <w:color w:val="131727" w:themeColor="text1"/>
          <w:spacing w:val="-4"/>
          <w:w w:val="110"/>
          <w:sz w:val="16"/>
        </w:rPr>
        <w:t xml:space="preserve"> </w:t>
      </w:r>
      <w:r w:rsidRPr="00FD40B8">
        <w:rPr>
          <w:color w:val="131727" w:themeColor="text1"/>
          <w:w w:val="110"/>
          <w:sz w:val="16"/>
        </w:rPr>
        <w:t>our</w:t>
      </w:r>
      <w:r w:rsidRPr="00FD40B8">
        <w:rPr>
          <w:color w:val="131727" w:themeColor="text1"/>
          <w:spacing w:val="-2"/>
          <w:w w:val="110"/>
          <w:sz w:val="16"/>
        </w:rPr>
        <w:t xml:space="preserve"> </w:t>
      </w:r>
      <w:r w:rsidRPr="00FD40B8">
        <w:rPr>
          <w:color w:val="131727" w:themeColor="text1"/>
          <w:w w:val="110"/>
          <w:sz w:val="16"/>
        </w:rPr>
        <w:t>estimate</w:t>
      </w:r>
      <w:r w:rsidRPr="00FD40B8">
        <w:rPr>
          <w:color w:val="131727" w:themeColor="text1"/>
          <w:spacing w:val="-3"/>
          <w:w w:val="110"/>
          <w:sz w:val="16"/>
        </w:rPr>
        <w:t xml:space="preserve"> </w:t>
      </w:r>
      <w:r w:rsidRPr="00FD40B8">
        <w:rPr>
          <w:color w:val="131727" w:themeColor="text1"/>
          <w:w w:val="110"/>
          <w:sz w:val="16"/>
        </w:rPr>
        <w:t>of</w:t>
      </w:r>
      <w:r w:rsidRPr="00FD40B8">
        <w:rPr>
          <w:color w:val="131727" w:themeColor="text1"/>
          <w:spacing w:val="-2"/>
          <w:w w:val="110"/>
          <w:sz w:val="16"/>
        </w:rPr>
        <w:t xml:space="preserve"> </w:t>
      </w:r>
      <w:r w:rsidRPr="00FD40B8">
        <w:rPr>
          <w:color w:val="131727" w:themeColor="text1"/>
          <w:w w:val="110"/>
          <w:sz w:val="16"/>
        </w:rPr>
        <w:t>additional</w:t>
      </w:r>
      <w:r w:rsidRPr="00FD40B8">
        <w:rPr>
          <w:color w:val="131727" w:themeColor="text1"/>
          <w:spacing w:val="-5"/>
          <w:w w:val="110"/>
          <w:sz w:val="16"/>
        </w:rPr>
        <w:t xml:space="preserve"> </w:t>
      </w:r>
      <w:r w:rsidRPr="00FD40B8">
        <w:rPr>
          <w:color w:val="131727" w:themeColor="text1"/>
          <w:w w:val="110"/>
          <w:sz w:val="16"/>
        </w:rPr>
        <w:t>houses</w:t>
      </w:r>
      <w:r w:rsidRPr="00FD40B8">
        <w:rPr>
          <w:color w:val="131727" w:themeColor="text1"/>
          <w:spacing w:val="-4"/>
          <w:w w:val="110"/>
          <w:sz w:val="16"/>
        </w:rPr>
        <w:t xml:space="preserve"> </w:t>
      </w:r>
      <w:r w:rsidRPr="00FD40B8">
        <w:rPr>
          <w:color w:val="131727" w:themeColor="text1"/>
          <w:w w:val="110"/>
          <w:sz w:val="16"/>
        </w:rPr>
        <w:t>needed</w:t>
      </w:r>
      <w:r w:rsidRPr="00FD40B8">
        <w:rPr>
          <w:color w:val="131727" w:themeColor="text1"/>
          <w:spacing w:val="-1"/>
          <w:w w:val="110"/>
          <w:sz w:val="16"/>
        </w:rPr>
        <w:t xml:space="preserve"> </w:t>
      </w:r>
      <w:r w:rsidRPr="00FD40B8">
        <w:rPr>
          <w:color w:val="131727" w:themeColor="text1"/>
          <w:w w:val="110"/>
          <w:sz w:val="16"/>
        </w:rPr>
        <w:t>is</w:t>
      </w:r>
      <w:r w:rsidRPr="00FD40B8">
        <w:rPr>
          <w:color w:val="131727" w:themeColor="text1"/>
          <w:spacing w:val="-4"/>
          <w:w w:val="110"/>
          <w:sz w:val="16"/>
        </w:rPr>
        <w:t xml:space="preserve"> </w:t>
      </w:r>
      <w:r w:rsidRPr="00FD40B8">
        <w:rPr>
          <w:color w:val="131727" w:themeColor="text1"/>
          <w:w w:val="110"/>
          <w:sz w:val="16"/>
        </w:rPr>
        <w:t>based</w:t>
      </w:r>
      <w:r w:rsidRPr="00FD40B8">
        <w:rPr>
          <w:color w:val="131727" w:themeColor="text1"/>
          <w:spacing w:val="-1"/>
          <w:w w:val="110"/>
          <w:sz w:val="16"/>
        </w:rPr>
        <w:t xml:space="preserve"> </w:t>
      </w:r>
      <w:r w:rsidRPr="00FD40B8">
        <w:rPr>
          <w:color w:val="131727" w:themeColor="text1"/>
          <w:w w:val="110"/>
          <w:sz w:val="16"/>
        </w:rPr>
        <w:t xml:space="preserve">on </w:t>
      </w:r>
      <w:r w:rsidRPr="00FD40B8">
        <w:rPr>
          <w:i/>
          <w:color w:val="131727" w:themeColor="text1"/>
          <w:w w:val="110"/>
          <w:sz w:val="16"/>
        </w:rPr>
        <w:t xml:space="preserve">extra </w:t>
      </w:r>
      <w:r w:rsidRPr="00FD40B8">
        <w:rPr>
          <w:color w:val="131727" w:themeColor="text1"/>
          <w:w w:val="110"/>
          <w:sz w:val="16"/>
        </w:rPr>
        <w:t>rooms</w:t>
      </w:r>
      <w:r w:rsidRPr="00FD40B8">
        <w:rPr>
          <w:color w:val="131727" w:themeColor="text1"/>
          <w:spacing w:val="-4"/>
          <w:w w:val="110"/>
          <w:sz w:val="16"/>
        </w:rPr>
        <w:t xml:space="preserve"> </w:t>
      </w:r>
      <w:r w:rsidRPr="00FD40B8">
        <w:rPr>
          <w:color w:val="131727" w:themeColor="text1"/>
          <w:w w:val="110"/>
          <w:sz w:val="16"/>
        </w:rPr>
        <w:t>needed</w:t>
      </w:r>
      <w:r w:rsidRPr="00FD40B8">
        <w:rPr>
          <w:color w:val="131727" w:themeColor="text1"/>
          <w:spacing w:val="-1"/>
          <w:w w:val="110"/>
          <w:sz w:val="16"/>
        </w:rPr>
        <w:t xml:space="preserve"> </w:t>
      </w:r>
      <w:r w:rsidRPr="00FD40B8">
        <w:rPr>
          <w:color w:val="131727" w:themeColor="text1"/>
          <w:w w:val="110"/>
          <w:sz w:val="16"/>
        </w:rPr>
        <w:t>in a dwelling</w:t>
      </w:r>
      <w:r w:rsidRPr="00FD40B8">
        <w:rPr>
          <w:color w:val="131727" w:themeColor="text1"/>
          <w:spacing w:val="-4"/>
          <w:w w:val="110"/>
          <w:sz w:val="16"/>
        </w:rPr>
        <w:t xml:space="preserve"> </w:t>
      </w:r>
      <w:r w:rsidRPr="00FD40B8">
        <w:rPr>
          <w:color w:val="131727" w:themeColor="text1"/>
          <w:w w:val="110"/>
          <w:sz w:val="16"/>
        </w:rPr>
        <w:t>(not</w:t>
      </w:r>
      <w:r w:rsidRPr="00FD40B8">
        <w:rPr>
          <w:color w:val="131727" w:themeColor="text1"/>
          <w:spacing w:val="-3"/>
          <w:w w:val="110"/>
          <w:sz w:val="16"/>
        </w:rPr>
        <w:t xml:space="preserve"> </w:t>
      </w:r>
      <w:r w:rsidRPr="00FD40B8">
        <w:rPr>
          <w:color w:val="131727" w:themeColor="text1"/>
          <w:w w:val="110"/>
          <w:sz w:val="16"/>
        </w:rPr>
        <w:t>the</w:t>
      </w:r>
      <w:r w:rsidRPr="00FD40B8">
        <w:rPr>
          <w:color w:val="131727" w:themeColor="text1"/>
          <w:spacing w:val="-3"/>
          <w:w w:val="110"/>
          <w:sz w:val="16"/>
        </w:rPr>
        <w:t xml:space="preserve"> </w:t>
      </w:r>
      <w:r w:rsidRPr="00FD40B8">
        <w:rPr>
          <w:color w:val="131727" w:themeColor="text1"/>
          <w:w w:val="110"/>
          <w:sz w:val="16"/>
        </w:rPr>
        <w:t>count</w:t>
      </w:r>
      <w:r w:rsidRPr="00FD40B8">
        <w:rPr>
          <w:color w:val="131727" w:themeColor="text1"/>
          <w:spacing w:val="-3"/>
          <w:w w:val="110"/>
          <w:sz w:val="16"/>
        </w:rPr>
        <w:t xml:space="preserve"> </w:t>
      </w:r>
      <w:r w:rsidRPr="00FD40B8">
        <w:rPr>
          <w:color w:val="131727" w:themeColor="text1"/>
          <w:w w:val="110"/>
          <w:sz w:val="16"/>
        </w:rPr>
        <w:t>of</w:t>
      </w:r>
      <w:r w:rsidRPr="00FD40B8">
        <w:rPr>
          <w:color w:val="131727" w:themeColor="text1"/>
          <w:spacing w:val="-2"/>
          <w:w w:val="110"/>
          <w:sz w:val="16"/>
        </w:rPr>
        <w:t xml:space="preserve"> </w:t>
      </w:r>
      <w:r w:rsidRPr="00FD40B8">
        <w:rPr>
          <w:color w:val="131727" w:themeColor="text1"/>
          <w:w w:val="110"/>
          <w:sz w:val="16"/>
        </w:rPr>
        <w:t>people</w:t>
      </w:r>
      <w:r w:rsidRPr="00FD40B8">
        <w:rPr>
          <w:color w:val="131727" w:themeColor="text1"/>
          <w:spacing w:val="-3"/>
          <w:w w:val="110"/>
          <w:sz w:val="16"/>
        </w:rPr>
        <w:t xml:space="preserve"> </w:t>
      </w:r>
      <w:r w:rsidRPr="00FD40B8">
        <w:rPr>
          <w:color w:val="131727" w:themeColor="text1"/>
          <w:w w:val="110"/>
          <w:sz w:val="16"/>
        </w:rPr>
        <w:t>living in</w:t>
      </w:r>
      <w:r w:rsidRPr="00FD40B8">
        <w:rPr>
          <w:color w:val="131727" w:themeColor="text1"/>
          <w:spacing w:val="40"/>
          <w:w w:val="110"/>
          <w:sz w:val="16"/>
        </w:rPr>
        <w:t xml:space="preserve"> </w:t>
      </w:r>
      <w:r w:rsidRPr="00FD40B8">
        <w:rPr>
          <w:color w:val="131727" w:themeColor="text1"/>
          <w:w w:val="110"/>
          <w:sz w:val="16"/>
        </w:rPr>
        <w:t>an overcrowded dwelling), this should not pose a problem in terms of double counting.</w:t>
      </w:r>
    </w:p>
    <w:p w14:paraId="0164EF95" w14:textId="77777777" w:rsidR="00811887" w:rsidRPr="00FD40B8" w:rsidRDefault="00811887" w:rsidP="00811887">
      <w:pPr>
        <w:spacing w:line="271" w:lineRule="auto"/>
        <w:rPr>
          <w:color w:val="131727" w:themeColor="text1"/>
          <w:sz w:val="16"/>
        </w:rPr>
        <w:sectPr w:rsidR="00811887" w:rsidRPr="00FD40B8" w:rsidSect="00811887">
          <w:pgSz w:w="11910" w:h="16840"/>
          <w:pgMar w:top="1400" w:right="720" w:bottom="1080" w:left="740" w:header="0" w:footer="885" w:gutter="0"/>
          <w:cols w:space="720"/>
        </w:sectPr>
      </w:pPr>
    </w:p>
    <w:p w14:paraId="1847E493" w14:textId="77777777" w:rsidR="00811887" w:rsidRPr="00FD40B8" w:rsidRDefault="00811887" w:rsidP="00811887">
      <w:pPr>
        <w:pStyle w:val="BodyText"/>
        <w:spacing w:before="103" w:line="268" w:lineRule="auto"/>
        <w:ind w:left="508" w:right="598"/>
        <w:rPr>
          <w:color w:val="131727" w:themeColor="text1"/>
        </w:rPr>
      </w:pPr>
      <w:r w:rsidRPr="00FD40B8">
        <w:rPr>
          <w:color w:val="131727" w:themeColor="text1"/>
          <w:w w:val="110"/>
        </w:rPr>
        <w:lastRenderedPageBreak/>
        <w:t>arrangements, poor</w:t>
      </w:r>
      <w:r w:rsidRPr="00FD40B8">
        <w:rPr>
          <w:color w:val="131727" w:themeColor="text1"/>
          <w:spacing w:val="-1"/>
          <w:w w:val="110"/>
        </w:rPr>
        <w:t xml:space="preserve"> </w:t>
      </w:r>
      <w:r w:rsidRPr="00FD40B8">
        <w:rPr>
          <w:color w:val="131727" w:themeColor="text1"/>
          <w:w w:val="110"/>
        </w:rPr>
        <w:t>administration</w:t>
      </w:r>
      <w:r w:rsidRPr="00FD40B8">
        <w:rPr>
          <w:color w:val="131727" w:themeColor="text1"/>
          <w:spacing w:val="-3"/>
          <w:w w:val="110"/>
        </w:rPr>
        <w:t xml:space="preserve"> </w:t>
      </w:r>
      <w:r w:rsidRPr="00FD40B8">
        <w:rPr>
          <w:color w:val="131727" w:themeColor="text1"/>
          <w:w w:val="110"/>
        </w:rPr>
        <w:t>oversight and</w:t>
      </w:r>
      <w:r w:rsidRPr="00FD40B8">
        <w:rPr>
          <w:color w:val="131727" w:themeColor="text1"/>
          <w:spacing w:val="-4"/>
          <w:w w:val="110"/>
        </w:rPr>
        <w:t xml:space="preserve"> </w:t>
      </w:r>
      <w:r w:rsidRPr="00FD40B8">
        <w:rPr>
          <w:color w:val="131727" w:themeColor="text1"/>
          <w:w w:val="110"/>
        </w:rPr>
        <w:t>harsh environmental conditions, and poor</w:t>
      </w:r>
      <w:r w:rsidRPr="00FD40B8">
        <w:rPr>
          <w:color w:val="131727" w:themeColor="text1"/>
          <w:spacing w:val="-1"/>
          <w:w w:val="110"/>
        </w:rPr>
        <w:t xml:space="preserve"> </w:t>
      </w:r>
      <w:r w:rsidRPr="00FD40B8">
        <w:rPr>
          <w:color w:val="131727" w:themeColor="text1"/>
          <w:w w:val="110"/>
        </w:rPr>
        <w:t>or</w:t>
      </w:r>
      <w:r w:rsidRPr="00FD40B8">
        <w:rPr>
          <w:color w:val="131727" w:themeColor="text1"/>
          <w:spacing w:val="-1"/>
          <w:w w:val="110"/>
        </w:rPr>
        <w:t xml:space="preserve"> </w:t>
      </w:r>
      <w:r w:rsidRPr="00FD40B8">
        <w:rPr>
          <w:color w:val="131727" w:themeColor="text1"/>
          <w:w w:val="110"/>
        </w:rPr>
        <w:t>non- existent supporting infrastructure (both physical and social).</w:t>
      </w:r>
    </w:p>
    <w:p w14:paraId="19188CC9" w14:textId="77777777" w:rsidR="00811887" w:rsidRPr="00FD40B8" w:rsidRDefault="00811887" w:rsidP="00811887">
      <w:pPr>
        <w:pStyle w:val="BodyText"/>
        <w:spacing w:before="121" w:line="266" w:lineRule="auto"/>
        <w:ind w:left="508" w:right="598"/>
        <w:rPr>
          <w:color w:val="131727" w:themeColor="text1"/>
        </w:rPr>
      </w:pPr>
      <w:r w:rsidRPr="00FD40B8">
        <w:rPr>
          <w:color w:val="131727" w:themeColor="text1"/>
          <w:w w:val="110"/>
        </w:rPr>
        <w:t>Between 2018 and 2020, efforts to address Aboriginal and Torres Strait Islander housing needs were largely</w:t>
      </w:r>
      <w:r w:rsidRPr="00FD40B8">
        <w:rPr>
          <w:color w:val="131727" w:themeColor="text1"/>
          <w:spacing w:val="-1"/>
          <w:w w:val="110"/>
        </w:rPr>
        <w:t xml:space="preserve"> </w:t>
      </w:r>
      <w:r w:rsidRPr="00FD40B8">
        <w:rPr>
          <w:color w:val="131727" w:themeColor="text1"/>
          <w:w w:val="110"/>
        </w:rPr>
        <w:t>subsumed in mainstream jurisdictional government efforts. Dedicated investment continued in the</w:t>
      </w:r>
      <w:r w:rsidRPr="00FD40B8">
        <w:rPr>
          <w:color w:val="131727" w:themeColor="text1"/>
          <w:spacing w:val="-3"/>
          <w:w w:val="110"/>
        </w:rPr>
        <w:t xml:space="preserve"> </w:t>
      </w:r>
      <w:r w:rsidRPr="00FD40B8">
        <w:rPr>
          <w:color w:val="131727" w:themeColor="text1"/>
          <w:w w:val="110"/>
        </w:rPr>
        <w:t>Northern</w:t>
      </w:r>
      <w:r w:rsidRPr="00FD40B8">
        <w:rPr>
          <w:color w:val="131727" w:themeColor="text1"/>
          <w:spacing w:val="-2"/>
          <w:w w:val="110"/>
        </w:rPr>
        <w:t xml:space="preserve"> </w:t>
      </w:r>
      <w:r w:rsidRPr="00FD40B8">
        <w:rPr>
          <w:color w:val="131727" w:themeColor="text1"/>
          <w:w w:val="110"/>
        </w:rPr>
        <w:t>Territory,</w:t>
      </w:r>
      <w:r w:rsidRPr="00FD40B8">
        <w:rPr>
          <w:color w:val="131727" w:themeColor="text1"/>
          <w:spacing w:val="-3"/>
          <w:w w:val="110"/>
        </w:rPr>
        <w:t xml:space="preserve"> </w:t>
      </w:r>
      <w:r w:rsidRPr="00FD40B8">
        <w:rPr>
          <w:color w:val="131727" w:themeColor="text1"/>
          <w:w w:val="110"/>
        </w:rPr>
        <w:t>with</w:t>
      </w:r>
      <w:r w:rsidRPr="00FD40B8">
        <w:rPr>
          <w:color w:val="131727" w:themeColor="text1"/>
          <w:spacing w:val="-3"/>
          <w:w w:val="110"/>
        </w:rPr>
        <w:t xml:space="preserve"> </w:t>
      </w:r>
      <w:r w:rsidRPr="00FD40B8">
        <w:rPr>
          <w:color w:val="131727" w:themeColor="text1"/>
          <w:w w:val="110"/>
        </w:rPr>
        <w:t>a</w:t>
      </w:r>
      <w:r w:rsidRPr="00FD40B8">
        <w:rPr>
          <w:color w:val="131727" w:themeColor="text1"/>
          <w:spacing w:val="-6"/>
          <w:w w:val="110"/>
        </w:rPr>
        <w:t xml:space="preserve"> </w:t>
      </w:r>
      <w:r w:rsidRPr="00FD40B8">
        <w:rPr>
          <w:color w:val="131727" w:themeColor="text1"/>
          <w:w w:val="110"/>
        </w:rPr>
        <w:t>$550</w:t>
      </w:r>
      <w:r w:rsidRPr="00FD40B8">
        <w:rPr>
          <w:color w:val="131727" w:themeColor="text1"/>
          <w:spacing w:val="-6"/>
          <w:w w:val="110"/>
        </w:rPr>
        <w:t xml:space="preserve"> </w:t>
      </w:r>
      <w:r w:rsidRPr="00FD40B8">
        <w:rPr>
          <w:color w:val="131727" w:themeColor="text1"/>
          <w:w w:val="110"/>
        </w:rPr>
        <w:t>million</w:t>
      </w:r>
      <w:r w:rsidRPr="00FD40B8">
        <w:rPr>
          <w:color w:val="131727" w:themeColor="text1"/>
          <w:spacing w:val="-5"/>
          <w:w w:val="110"/>
        </w:rPr>
        <w:t xml:space="preserve"> </w:t>
      </w:r>
      <w:r w:rsidRPr="00FD40B8">
        <w:rPr>
          <w:color w:val="131727" w:themeColor="text1"/>
          <w:w w:val="110"/>
        </w:rPr>
        <w:t>investment</w:t>
      </w:r>
      <w:r w:rsidRPr="00FD40B8">
        <w:rPr>
          <w:color w:val="131727" w:themeColor="text1"/>
          <w:spacing w:val="-7"/>
          <w:w w:val="110"/>
        </w:rPr>
        <w:t xml:space="preserve"> </w:t>
      </w:r>
      <w:r w:rsidRPr="00FD40B8">
        <w:rPr>
          <w:color w:val="131727" w:themeColor="text1"/>
          <w:w w:val="110"/>
        </w:rPr>
        <w:t>over</w:t>
      </w:r>
      <w:r w:rsidRPr="00FD40B8">
        <w:rPr>
          <w:color w:val="131727" w:themeColor="text1"/>
          <w:spacing w:val="-3"/>
          <w:w w:val="110"/>
        </w:rPr>
        <w:t xml:space="preserve"> </w:t>
      </w:r>
      <w:r w:rsidRPr="00FD40B8">
        <w:rPr>
          <w:color w:val="131727" w:themeColor="text1"/>
          <w:w w:val="110"/>
        </w:rPr>
        <w:t>five</w:t>
      </w:r>
      <w:r w:rsidRPr="00FD40B8">
        <w:rPr>
          <w:color w:val="131727" w:themeColor="text1"/>
          <w:spacing w:val="-3"/>
          <w:w w:val="110"/>
        </w:rPr>
        <w:t xml:space="preserve"> </w:t>
      </w:r>
      <w:r w:rsidRPr="00FD40B8">
        <w:rPr>
          <w:color w:val="131727" w:themeColor="text1"/>
          <w:w w:val="110"/>
        </w:rPr>
        <w:t>years</w:t>
      </w:r>
      <w:r w:rsidRPr="00FD40B8">
        <w:rPr>
          <w:color w:val="131727" w:themeColor="text1"/>
          <w:spacing w:val="-1"/>
          <w:w w:val="110"/>
        </w:rPr>
        <w:t xml:space="preserve"> </w:t>
      </w:r>
      <w:r w:rsidRPr="00FD40B8">
        <w:rPr>
          <w:color w:val="131727" w:themeColor="text1"/>
          <w:w w:val="110"/>
        </w:rPr>
        <w:t>through</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Commonwealth</w:t>
      </w:r>
      <w:r w:rsidRPr="00FD40B8">
        <w:rPr>
          <w:color w:val="131727" w:themeColor="text1"/>
          <w:spacing w:val="-6"/>
          <w:w w:val="110"/>
        </w:rPr>
        <w:t xml:space="preserve"> </w:t>
      </w:r>
      <w:r w:rsidRPr="00FD40B8">
        <w:rPr>
          <w:color w:val="131727" w:themeColor="text1"/>
          <w:w w:val="110"/>
        </w:rPr>
        <w:t>and Northern</w:t>
      </w:r>
      <w:r w:rsidRPr="00FD40B8">
        <w:rPr>
          <w:color w:val="131727" w:themeColor="text1"/>
          <w:spacing w:val="-10"/>
          <w:w w:val="110"/>
        </w:rPr>
        <w:t xml:space="preserve"> </w:t>
      </w:r>
      <w:r w:rsidRPr="00FD40B8">
        <w:rPr>
          <w:color w:val="131727" w:themeColor="text1"/>
          <w:w w:val="110"/>
        </w:rPr>
        <w:t>Territory</w:t>
      </w:r>
      <w:r w:rsidRPr="00FD40B8">
        <w:rPr>
          <w:color w:val="131727" w:themeColor="text1"/>
          <w:spacing w:val="-8"/>
          <w:w w:val="110"/>
        </w:rPr>
        <w:t xml:space="preserve"> </w:t>
      </w:r>
      <w:r w:rsidRPr="00FD40B8">
        <w:rPr>
          <w:color w:val="131727" w:themeColor="text1"/>
          <w:w w:val="110"/>
        </w:rPr>
        <w:t>Government</w:t>
      </w:r>
      <w:r w:rsidRPr="00FD40B8">
        <w:rPr>
          <w:color w:val="131727" w:themeColor="text1"/>
          <w:spacing w:val="-7"/>
          <w:w w:val="110"/>
        </w:rPr>
        <w:t xml:space="preserve"> </w:t>
      </w:r>
      <w:r w:rsidRPr="00FD40B8">
        <w:rPr>
          <w:color w:val="131727" w:themeColor="text1"/>
          <w:w w:val="110"/>
        </w:rPr>
        <w:t>National</w:t>
      </w:r>
      <w:r w:rsidRPr="00FD40B8">
        <w:rPr>
          <w:color w:val="131727" w:themeColor="text1"/>
          <w:spacing w:val="-5"/>
          <w:w w:val="110"/>
        </w:rPr>
        <w:t xml:space="preserve"> </w:t>
      </w:r>
      <w:r w:rsidRPr="00FD40B8">
        <w:rPr>
          <w:color w:val="131727" w:themeColor="text1"/>
          <w:w w:val="110"/>
        </w:rPr>
        <w:t>Agreement</w:t>
      </w:r>
      <w:r w:rsidRPr="00FD40B8">
        <w:rPr>
          <w:color w:val="131727" w:themeColor="text1"/>
          <w:spacing w:val="-10"/>
          <w:w w:val="110"/>
        </w:rPr>
        <w:t xml:space="preserve"> </w:t>
      </w:r>
      <w:r w:rsidRPr="00FD40B8">
        <w:rPr>
          <w:color w:val="131727" w:themeColor="text1"/>
          <w:w w:val="110"/>
        </w:rPr>
        <w:t>on</w:t>
      </w:r>
      <w:r w:rsidRPr="00FD40B8">
        <w:rPr>
          <w:color w:val="131727" w:themeColor="text1"/>
          <w:spacing w:val="-6"/>
          <w:w w:val="110"/>
        </w:rPr>
        <w:t xml:space="preserve"> </w:t>
      </w:r>
      <w:r w:rsidRPr="00FD40B8">
        <w:rPr>
          <w:color w:val="131727" w:themeColor="text1"/>
          <w:w w:val="110"/>
        </w:rPr>
        <w:t>Remote</w:t>
      </w:r>
      <w:r w:rsidRPr="00FD40B8">
        <w:rPr>
          <w:color w:val="131727" w:themeColor="text1"/>
          <w:spacing w:val="-7"/>
          <w:w w:val="110"/>
        </w:rPr>
        <w:t xml:space="preserve"> </w:t>
      </w:r>
      <w:r w:rsidRPr="00FD40B8">
        <w:rPr>
          <w:color w:val="131727" w:themeColor="text1"/>
          <w:w w:val="110"/>
        </w:rPr>
        <w:t>Housing</w:t>
      </w:r>
      <w:r w:rsidRPr="00FD40B8">
        <w:rPr>
          <w:color w:val="131727" w:themeColor="text1"/>
          <w:spacing w:val="-7"/>
          <w:w w:val="110"/>
        </w:rPr>
        <w:t xml:space="preserve"> </w:t>
      </w:r>
      <w:r w:rsidRPr="00FD40B8">
        <w:rPr>
          <w:color w:val="131727" w:themeColor="text1"/>
          <w:w w:val="110"/>
        </w:rPr>
        <w:t>Northern</w:t>
      </w:r>
      <w:r w:rsidRPr="00FD40B8">
        <w:rPr>
          <w:color w:val="131727" w:themeColor="text1"/>
          <w:spacing w:val="-10"/>
          <w:w w:val="110"/>
        </w:rPr>
        <w:t xml:space="preserve"> </w:t>
      </w:r>
      <w:r w:rsidRPr="00FD40B8">
        <w:rPr>
          <w:color w:val="131727" w:themeColor="text1"/>
          <w:w w:val="110"/>
        </w:rPr>
        <w:t xml:space="preserve">Territory </w:t>
      </w:r>
      <w:r w:rsidRPr="00FD40B8">
        <w:rPr>
          <w:color w:val="131727" w:themeColor="text1"/>
          <w:spacing w:val="-2"/>
          <w:w w:val="110"/>
        </w:rPr>
        <w:t>(NARHNT).</w:t>
      </w:r>
    </w:p>
    <w:p w14:paraId="5DDDAE88" w14:textId="77777777" w:rsidR="00811887" w:rsidRPr="00FD40B8" w:rsidRDefault="00811887" w:rsidP="00811887">
      <w:pPr>
        <w:spacing w:before="99"/>
        <w:ind w:left="508"/>
        <w:rPr>
          <w:rFonts w:ascii="Book Antiqua"/>
          <w:i/>
          <w:color w:val="131727" w:themeColor="text1"/>
          <w:sz w:val="24"/>
        </w:rPr>
      </w:pPr>
      <w:r w:rsidRPr="00FD40B8">
        <w:rPr>
          <w:rFonts w:ascii="Book Antiqua"/>
          <w:i/>
          <w:color w:val="131727" w:themeColor="text1"/>
          <w:sz w:val="24"/>
        </w:rPr>
        <w:t>Mainstream</w:t>
      </w:r>
      <w:r w:rsidRPr="00FD40B8">
        <w:rPr>
          <w:rFonts w:ascii="Book Antiqua"/>
          <w:i/>
          <w:color w:val="131727" w:themeColor="text1"/>
          <w:spacing w:val="-4"/>
          <w:sz w:val="24"/>
        </w:rPr>
        <w:t xml:space="preserve"> </w:t>
      </w:r>
      <w:r w:rsidRPr="00FD40B8">
        <w:rPr>
          <w:rFonts w:ascii="Book Antiqua"/>
          <w:i/>
          <w:color w:val="131727" w:themeColor="text1"/>
          <w:sz w:val="24"/>
        </w:rPr>
        <w:t>funding</w:t>
      </w:r>
      <w:r w:rsidRPr="00FD40B8">
        <w:rPr>
          <w:rFonts w:ascii="Book Antiqua"/>
          <w:i/>
          <w:color w:val="131727" w:themeColor="text1"/>
          <w:spacing w:val="-4"/>
          <w:sz w:val="24"/>
        </w:rPr>
        <w:t xml:space="preserve"> </w:t>
      </w:r>
      <w:r w:rsidRPr="00FD40B8">
        <w:rPr>
          <w:rFonts w:ascii="Book Antiqua"/>
          <w:i/>
          <w:color w:val="131727" w:themeColor="text1"/>
          <w:spacing w:val="-2"/>
          <w:sz w:val="24"/>
        </w:rPr>
        <w:t>efforts</w:t>
      </w:r>
    </w:p>
    <w:p w14:paraId="1C7D7FBF" w14:textId="77777777" w:rsidR="00811887" w:rsidRPr="00FD40B8" w:rsidRDefault="00811887" w:rsidP="00811887">
      <w:pPr>
        <w:pStyle w:val="BodyText"/>
        <w:spacing w:before="145" w:line="268" w:lineRule="auto"/>
        <w:ind w:left="508" w:right="598"/>
        <w:rPr>
          <w:color w:val="131727" w:themeColor="text1"/>
        </w:rPr>
      </w:pP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majority</w:t>
      </w:r>
      <w:r w:rsidRPr="00FD40B8">
        <w:rPr>
          <w:color w:val="131727" w:themeColor="text1"/>
          <w:spacing w:val="-4"/>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Commonwealth</w:t>
      </w:r>
      <w:r w:rsidRPr="00FD40B8">
        <w:rPr>
          <w:color w:val="131727" w:themeColor="text1"/>
          <w:spacing w:val="-6"/>
          <w:w w:val="110"/>
        </w:rPr>
        <w:t xml:space="preserve"> </w:t>
      </w:r>
      <w:r w:rsidRPr="00FD40B8">
        <w:rPr>
          <w:color w:val="131727" w:themeColor="text1"/>
          <w:w w:val="110"/>
        </w:rPr>
        <w:t>led</w:t>
      </w:r>
      <w:r w:rsidRPr="00FD40B8">
        <w:rPr>
          <w:color w:val="131727" w:themeColor="text1"/>
          <w:spacing w:val="-7"/>
          <w:w w:val="110"/>
        </w:rPr>
        <w:t xml:space="preserve"> </w:t>
      </w:r>
      <w:r w:rsidRPr="00FD40B8">
        <w:rPr>
          <w:color w:val="131727" w:themeColor="text1"/>
          <w:w w:val="110"/>
        </w:rPr>
        <w:t>investment</w:t>
      </w:r>
      <w:r w:rsidRPr="00FD40B8">
        <w:rPr>
          <w:color w:val="131727" w:themeColor="text1"/>
          <w:spacing w:val="-7"/>
          <w:w w:val="110"/>
        </w:rPr>
        <w:t xml:space="preserve"> </w:t>
      </w:r>
      <w:r w:rsidRPr="00FD40B8">
        <w:rPr>
          <w:color w:val="131727" w:themeColor="text1"/>
          <w:w w:val="110"/>
        </w:rPr>
        <w:t>in</w:t>
      </w:r>
      <w:r w:rsidRPr="00FD40B8">
        <w:rPr>
          <w:color w:val="131727" w:themeColor="text1"/>
          <w:spacing w:val="-6"/>
          <w:w w:val="110"/>
        </w:rPr>
        <w:t xml:space="preserve"> </w:t>
      </w:r>
      <w:r w:rsidRPr="00FD40B8">
        <w:rPr>
          <w:color w:val="131727" w:themeColor="text1"/>
          <w:w w:val="110"/>
        </w:rPr>
        <w:t>social</w:t>
      </w:r>
      <w:r w:rsidRPr="00FD40B8">
        <w:rPr>
          <w:color w:val="131727" w:themeColor="text1"/>
          <w:spacing w:val="-1"/>
          <w:w w:val="110"/>
        </w:rPr>
        <w:t xml:space="preserve"> </w:t>
      </w:r>
      <w:r w:rsidRPr="00FD40B8">
        <w:rPr>
          <w:color w:val="131727" w:themeColor="text1"/>
          <w:w w:val="110"/>
        </w:rPr>
        <w:t>housing</w:t>
      </w:r>
      <w:r w:rsidRPr="00FD40B8">
        <w:rPr>
          <w:color w:val="131727" w:themeColor="text1"/>
          <w:spacing w:val="-7"/>
          <w:w w:val="110"/>
        </w:rPr>
        <w:t xml:space="preserve"> </w:t>
      </w:r>
      <w:r w:rsidRPr="00FD40B8">
        <w:rPr>
          <w:color w:val="131727" w:themeColor="text1"/>
          <w:w w:val="110"/>
        </w:rPr>
        <w:t>is</w:t>
      </w:r>
      <w:r w:rsidRPr="00FD40B8">
        <w:rPr>
          <w:color w:val="131727" w:themeColor="text1"/>
          <w:spacing w:val="-5"/>
          <w:w w:val="110"/>
        </w:rPr>
        <w:t xml:space="preserve"> </w:t>
      </w:r>
      <w:r w:rsidRPr="00FD40B8">
        <w:rPr>
          <w:color w:val="131727" w:themeColor="text1"/>
          <w:w w:val="110"/>
        </w:rPr>
        <w:t>now</w:t>
      </w:r>
      <w:r w:rsidRPr="00FD40B8">
        <w:rPr>
          <w:color w:val="131727" w:themeColor="text1"/>
          <w:spacing w:val="-4"/>
          <w:w w:val="110"/>
        </w:rPr>
        <w:t xml:space="preserve"> </w:t>
      </w:r>
      <w:r w:rsidRPr="00FD40B8">
        <w:rPr>
          <w:color w:val="131727" w:themeColor="text1"/>
          <w:w w:val="110"/>
        </w:rPr>
        <w:t>through</w:t>
      </w:r>
      <w:r w:rsidRPr="00FD40B8">
        <w:rPr>
          <w:color w:val="131727" w:themeColor="text1"/>
          <w:spacing w:val="-2"/>
          <w:w w:val="110"/>
        </w:rPr>
        <w:t xml:space="preserve"> </w:t>
      </w:r>
      <w:r w:rsidRPr="00FD40B8">
        <w:rPr>
          <w:color w:val="131727" w:themeColor="text1"/>
          <w:w w:val="110"/>
        </w:rPr>
        <w:t>three</w:t>
      </w:r>
      <w:r w:rsidRPr="00FD40B8">
        <w:rPr>
          <w:color w:val="131727" w:themeColor="text1"/>
          <w:spacing w:val="-7"/>
          <w:w w:val="110"/>
        </w:rPr>
        <w:t xml:space="preserve"> </w:t>
      </w:r>
      <w:r w:rsidRPr="00FD40B8">
        <w:rPr>
          <w:color w:val="131727" w:themeColor="text1"/>
          <w:w w:val="110"/>
        </w:rPr>
        <w:t>main</w:t>
      </w:r>
      <w:r w:rsidRPr="00FD40B8">
        <w:rPr>
          <w:color w:val="131727" w:themeColor="text1"/>
          <w:spacing w:val="-2"/>
          <w:w w:val="110"/>
        </w:rPr>
        <w:t xml:space="preserve"> </w:t>
      </w:r>
      <w:r w:rsidRPr="00FD40B8">
        <w:rPr>
          <w:color w:val="131727" w:themeColor="text1"/>
          <w:w w:val="110"/>
        </w:rPr>
        <w:t>mainstream housing arrangements:</w:t>
      </w:r>
    </w:p>
    <w:p w14:paraId="159A8693" w14:textId="77777777" w:rsidR="00811887" w:rsidRPr="00FD40B8" w:rsidRDefault="00811887" w:rsidP="00FB2FE9">
      <w:pPr>
        <w:pStyle w:val="ListParagraph"/>
        <w:widowControl w:val="0"/>
        <w:numPr>
          <w:ilvl w:val="0"/>
          <w:numId w:val="65"/>
        </w:numPr>
        <w:tabs>
          <w:tab w:val="left" w:pos="1228"/>
        </w:tabs>
        <w:autoSpaceDE w:val="0"/>
        <w:autoSpaceDN w:val="0"/>
        <w:spacing w:before="111" w:after="0"/>
        <w:ind w:hanging="360"/>
        <w:contextualSpacing w:val="0"/>
        <w:rPr>
          <w:color w:val="131727" w:themeColor="text1"/>
          <w:sz w:val="20"/>
        </w:rPr>
      </w:pPr>
      <w:r w:rsidRPr="00FD40B8">
        <w:rPr>
          <w:color w:val="131727" w:themeColor="text1"/>
          <w:w w:val="110"/>
          <w:sz w:val="20"/>
        </w:rPr>
        <w:t>Housing</w:t>
      </w:r>
      <w:r w:rsidRPr="00FD40B8">
        <w:rPr>
          <w:color w:val="131727" w:themeColor="text1"/>
          <w:spacing w:val="-4"/>
          <w:w w:val="110"/>
          <w:sz w:val="20"/>
        </w:rPr>
        <w:t xml:space="preserve"> </w:t>
      </w:r>
      <w:r w:rsidRPr="00FD40B8">
        <w:rPr>
          <w:color w:val="131727" w:themeColor="text1"/>
          <w:w w:val="110"/>
          <w:sz w:val="20"/>
        </w:rPr>
        <w:t>Australia</w:t>
      </w:r>
      <w:r w:rsidRPr="00FD40B8">
        <w:rPr>
          <w:color w:val="131727" w:themeColor="text1"/>
          <w:spacing w:val="-4"/>
          <w:w w:val="110"/>
          <w:sz w:val="20"/>
        </w:rPr>
        <w:t xml:space="preserve"> </w:t>
      </w:r>
      <w:r w:rsidRPr="00FD40B8">
        <w:rPr>
          <w:color w:val="131727" w:themeColor="text1"/>
          <w:w w:val="110"/>
          <w:sz w:val="20"/>
        </w:rPr>
        <w:t>Future</w:t>
      </w:r>
      <w:r w:rsidRPr="00FD40B8">
        <w:rPr>
          <w:color w:val="131727" w:themeColor="text1"/>
          <w:spacing w:val="-3"/>
          <w:w w:val="110"/>
          <w:sz w:val="20"/>
        </w:rPr>
        <w:t xml:space="preserve"> </w:t>
      </w:r>
      <w:r w:rsidRPr="00FD40B8">
        <w:rPr>
          <w:color w:val="131727" w:themeColor="text1"/>
          <w:w w:val="110"/>
          <w:sz w:val="20"/>
        </w:rPr>
        <w:t>Fund will</w:t>
      </w:r>
      <w:r w:rsidRPr="00FD40B8">
        <w:rPr>
          <w:color w:val="131727" w:themeColor="text1"/>
          <w:spacing w:val="-2"/>
          <w:w w:val="110"/>
          <w:sz w:val="20"/>
        </w:rPr>
        <w:t xml:space="preserve"> </w:t>
      </w:r>
      <w:r w:rsidRPr="00FD40B8">
        <w:rPr>
          <w:color w:val="131727" w:themeColor="text1"/>
          <w:w w:val="110"/>
          <w:sz w:val="20"/>
        </w:rPr>
        <w:t>make</w:t>
      </w:r>
      <w:r w:rsidRPr="00FD40B8">
        <w:rPr>
          <w:color w:val="131727" w:themeColor="text1"/>
          <w:spacing w:val="-3"/>
          <w:w w:val="110"/>
          <w:sz w:val="20"/>
        </w:rPr>
        <w:t xml:space="preserve"> </w:t>
      </w:r>
      <w:r w:rsidRPr="00FD40B8">
        <w:rPr>
          <w:color w:val="131727" w:themeColor="text1"/>
          <w:w w:val="110"/>
          <w:sz w:val="20"/>
        </w:rPr>
        <w:t>disbursements</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$500</w:t>
      </w:r>
      <w:r w:rsidRPr="00FD40B8">
        <w:rPr>
          <w:color w:val="131727" w:themeColor="text1"/>
          <w:spacing w:val="-4"/>
          <w:w w:val="110"/>
          <w:sz w:val="20"/>
        </w:rPr>
        <w:t xml:space="preserve"> </w:t>
      </w:r>
      <w:r w:rsidRPr="00FD40B8">
        <w:rPr>
          <w:color w:val="131727" w:themeColor="text1"/>
          <w:w w:val="110"/>
          <w:sz w:val="20"/>
        </w:rPr>
        <w:t>million</w:t>
      </w:r>
      <w:r w:rsidRPr="00FD40B8">
        <w:rPr>
          <w:color w:val="131727" w:themeColor="text1"/>
          <w:spacing w:val="-2"/>
          <w:w w:val="110"/>
          <w:sz w:val="20"/>
        </w:rPr>
        <w:t xml:space="preserve"> </w:t>
      </w:r>
      <w:r w:rsidRPr="00FD40B8">
        <w:rPr>
          <w:color w:val="131727" w:themeColor="text1"/>
          <w:w w:val="110"/>
          <w:sz w:val="20"/>
        </w:rPr>
        <w:t>a</w:t>
      </w:r>
      <w:r w:rsidRPr="00FD40B8">
        <w:rPr>
          <w:color w:val="131727" w:themeColor="text1"/>
          <w:spacing w:val="-4"/>
          <w:w w:val="110"/>
          <w:sz w:val="20"/>
        </w:rPr>
        <w:t xml:space="preserve"> </w:t>
      </w:r>
      <w:r w:rsidRPr="00FD40B8">
        <w:rPr>
          <w:color w:val="131727" w:themeColor="text1"/>
          <w:w w:val="110"/>
          <w:sz w:val="20"/>
        </w:rPr>
        <w:t>year</w:t>
      </w:r>
      <w:r w:rsidRPr="00FD40B8">
        <w:rPr>
          <w:color w:val="131727" w:themeColor="text1"/>
          <w:spacing w:val="-5"/>
          <w:w w:val="110"/>
          <w:sz w:val="20"/>
        </w:rPr>
        <w:t xml:space="preserve"> to:</w:t>
      </w:r>
    </w:p>
    <w:p w14:paraId="6429741E" w14:textId="77777777" w:rsidR="00811887" w:rsidRPr="00FD40B8" w:rsidRDefault="00811887" w:rsidP="00811887">
      <w:pPr>
        <w:pStyle w:val="BodyText"/>
        <w:tabs>
          <w:tab w:val="left" w:pos="1948"/>
        </w:tabs>
        <w:spacing w:before="144" w:line="268" w:lineRule="auto"/>
        <w:ind w:left="1948" w:right="877"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Australia</w:t>
      </w:r>
      <w:r w:rsidRPr="00FD40B8">
        <w:rPr>
          <w:color w:val="131727" w:themeColor="text1"/>
          <w:spacing w:val="-5"/>
          <w:w w:val="110"/>
        </w:rPr>
        <w:t xml:space="preserve"> </w:t>
      </w:r>
      <w:r w:rsidRPr="00FD40B8">
        <w:rPr>
          <w:color w:val="131727" w:themeColor="text1"/>
          <w:w w:val="110"/>
        </w:rPr>
        <w:t>(Commonwealth</w:t>
      </w:r>
      <w:r w:rsidRPr="00FD40B8">
        <w:rPr>
          <w:color w:val="131727" w:themeColor="text1"/>
          <w:spacing w:val="-4"/>
          <w:w w:val="110"/>
        </w:rPr>
        <w:t xml:space="preserve"> </w:t>
      </w:r>
      <w:r w:rsidRPr="00FD40B8">
        <w:rPr>
          <w:color w:val="131727" w:themeColor="text1"/>
          <w:w w:val="110"/>
        </w:rPr>
        <w:t>corporation)</w:t>
      </w:r>
      <w:r w:rsidRPr="00FD40B8">
        <w:rPr>
          <w:color w:val="131727" w:themeColor="text1"/>
          <w:spacing w:val="-6"/>
          <w:w w:val="110"/>
        </w:rPr>
        <w:t xml:space="preserve"> </w:t>
      </w:r>
      <w:r w:rsidRPr="00FD40B8">
        <w:rPr>
          <w:color w:val="131727" w:themeColor="text1"/>
          <w:w w:val="110"/>
        </w:rPr>
        <w:t>to</w:t>
      </w:r>
      <w:r w:rsidRPr="00FD40B8">
        <w:rPr>
          <w:color w:val="131727" w:themeColor="text1"/>
          <w:spacing w:val="-7"/>
          <w:w w:val="110"/>
        </w:rPr>
        <w:t xml:space="preserve"> </w:t>
      </w:r>
      <w:r w:rsidRPr="00FD40B8">
        <w:rPr>
          <w:color w:val="131727" w:themeColor="text1"/>
          <w:w w:val="110"/>
        </w:rPr>
        <w:t>oversee</w:t>
      </w:r>
      <w:r w:rsidRPr="00FD40B8">
        <w:rPr>
          <w:color w:val="131727" w:themeColor="text1"/>
          <w:spacing w:val="-4"/>
          <w:w w:val="110"/>
        </w:rPr>
        <w:t xml:space="preserve"> </w:t>
      </w:r>
      <w:r w:rsidRPr="00FD40B8">
        <w:rPr>
          <w:color w:val="131727" w:themeColor="text1"/>
          <w:w w:val="110"/>
        </w:rPr>
        <w:t>financing</w:t>
      </w:r>
      <w:r w:rsidRPr="00FD40B8">
        <w:rPr>
          <w:color w:val="131727" w:themeColor="text1"/>
          <w:spacing w:val="-9"/>
          <w:w w:val="110"/>
        </w:rPr>
        <w:t xml:space="preserve"> </w:t>
      </w:r>
      <w:r w:rsidRPr="00FD40B8">
        <w:rPr>
          <w:color w:val="131727" w:themeColor="text1"/>
          <w:w w:val="110"/>
        </w:rPr>
        <w:t>deals</w:t>
      </w:r>
      <w:r w:rsidRPr="00FD40B8">
        <w:rPr>
          <w:color w:val="131727" w:themeColor="text1"/>
          <w:spacing w:val="-3"/>
          <w:w w:val="110"/>
        </w:rPr>
        <w:t xml:space="preserve"> </w:t>
      </w:r>
      <w:r w:rsidRPr="00FD40B8">
        <w:rPr>
          <w:color w:val="131727" w:themeColor="text1"/>
          <w:w w:val="110"/>
        </w:rPr>
        <w:t>for</w:t>
      </w:r>
      <w:r w:rsidRPr="00FD40B8">
        <w:rPr>
          <w:color w:val="131727" w:themeColor="text1"/>
          <w:spacing w:val="-6"/>
          <w:w w:val="110"/>
        </w:rPr>
        <w:t xml:space="preserve"> </w:t>
      </w:r>
      <w:r w:rsidRPr="00FD40B8">
        <w:rPr>
          <w:color w:val="131727" w:themeColor="text1"/>
          <w:w w:val="110"/>
        </w:rPr>
        <w:t>30,000 new social and affordable housing dwellings (majority of the funding);</w:t>
      </w:r>
    </w:p>
    <w:p w14:paraId="25587E03" w14:textId="77777777" w:rsidR="00811887" w:rsidRPr="00FD40B8" w:rsidRDefault="00811887" w:rsidP="00811887">
      <w:pPr>
        <w:pStyle w:val="BodyText"/>
        <w:tabs>
          <w:tab w:val="left" w:pos="1948"/>
        </w:tabs>
        <w:spacing w:before="121"/>
        <w:ind w:left="1589"/>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Housing</w:t>
      </w:r>
      <w:r w:rsidRPr="00FD40B8">
        <w:rPr>
          <w:color w:val="131727" w:themeColor="text1"/>
          <w:spacing w:val="-13"/>
          <w:w w:val="110"/>
        </w:rPr>
        <w:t xml:space="preserve"> </w:t>
      </w:r>
      <w:r w:rsidRPr="00FD40B8">
        <w:rPr>
          <w:color w:val="131727" w:themeColor="text1"/>
          <w:w w:val="110"/>
        </w:rPr>
        <w:t>organisations</w:t>
      </w:r>
      <w:r w:rsidRPr="00FD40B8">
        <w:rPr>
          <w:color w:val="131727" w:themeColor="text1"/>
          <w:spacing w:val="-12"/>
          <w:w w:val="110"/>
        </w:rPr>
        <w:t xml:space="preserve"> </w:t>
      </w:r>
      <w:r w:rsidRPr="00FD40B8">
        <w:rPr>
          <w:color w:val="131727" w:themeColor="text1"/>
          <w:w w:val="110"/>
        </w:rPr>
        <w:t>for</w:t>
      </w:r>
      <w:r w:rsidRPr="00FD40B8">
        <w:rPr>
          <w:color w:val="131727" w:themeColor="text1"/>
          <w:spacing w:val="-13"/>
          <w:w w:val="110"/>
        </w:rPr>
        <w:t xml:space="preserve"> </w:t>
      </w:r>
      <w:r w:rsidRPr="00FD40B8">
        <w:rPr>
          <w:color w:val="131727" w:themeColor="text1"/>
          <w:w w:val="110"/>
        </w:rPr>
        <w:t>‘acute</w:t>
      </w:r>
      <w:r w:rsidRPr="00FD40B8">
        <w:rPr>
          <w:color w:val="131727" w:themeColor="text1"/>
          <w:spacing w:val="-12"/>
          <w:w w:val="110"/>
        </w:rPr>
        <w:t xml:space="preserve"> </w:t>
      </w:r>
      <w:r w:rsidRPr="00FD40B8">
        <w:rPr>
          <w:color w:val="131727" w:themeColor="text1"/>
          <w:w w:val="110"/>
        </w:rPr>
        <w:t>housing’</w:t>
      </w:r>
      <w:r w:rsidRPr="00FD40B8">
        <w:rPr>
          <w:color w:val="131727" w:themeColor="text1"/>
          <w:spacing w:val="-13"/>
          <w:w w:val="110"/>
        </w:rPr>
        <w:t xml:space="preserve"> </w:t>
      </w:r>
      <w:r w:rsidRPr="00FD40B8">
        <w:rPr>
          <w:color w:val="131727" w:themeColor="text1"/>
          <w:w w:val="110"/>
        </w:rPr>
        <w:t>(crisis</w:t>
      </w:r>
      <w:r w:rsidRPr="00FD40B8">
        <w:rPr>
          <w:color w:val="131727" w:themeColor="text1"/>
          <w:spacing w:val="-12"/>
          <w:w w:val="110"/>
        </w:rPr>
        <w:t xml:space="preserve"> </w:t>
      </w:r>
      <w:r w:rsidRPr="00FD40B8">
        <w:rPr>
          <w:color w:val="131727" w:themeColor="text1"/>
          <w:w w:val="110"/>
        </w:rPr>
        <w:t>accommodation)</w:t>
      </w:r>
      <w:r w:rsidRPr="00FD40B8">
        <w:rPr>
          <w:color w:val="131727" w:themeColor="text1"/>
          <w:spacing w:val="-12"/>
          <w:w w:val="110"/>
        </w:rPr>
        <w:t xml:space="preserve"> </w:t>
      </w:r>
      <w:r w:rsidRPr="00FD40B8">
        <w:rPr>
          <w:color w:val="131727" w:themeColor="text1"/>
          <w:w w:val="110"/>
        </w:rPr>
        <w:t>within</w:t>
      </w:r>
      <w:r w:rsidRPr="00FD40B8">
        <w:rPr>
          <w:color w:val="131727" w:themeColor="text1"/>
          <w:spacing w:val="-13"/>
          <w:w w:val="110"/>
        </w:rPr>
        <w:t xml:space="preserve"> </w:t>
      </w:r>
      <w:r w:rsidRPr="00FD40B8">
        <w:rPr>
          <w:color w:val="131727" w:themeColor="text1"/>
          <w:spacing w:val="-2"/>
          <w:w w:val="110"/>
        </w:rPr>
        <w:t>Commonwealth</w:t>
      </w:r>
    </w:p>
    <w:p w14:paraId="4EE70E22" w14:textId="77777777" w:rsidR="00811887" w:rsidRPr="00FD40B8" w:rsidRDefault="00811887" w:rsidP="00811887">
      <w:pPr>
        <w:pStyle w:val="BodyText"/>
        <w:spacing w:before="30"/>
        <w:ind w:left="1948"/>
        <w:rPr>
          <w:color w:val="131727" w:themeColor="text1"/>
        </w:rPr>
      </w:pPr>
      <w:r w:rsidRPr="00FD40B8">
        <w:rPr>
          <w:color w:val="131727" w:themeColor="text1"/>
        </w:rPr>
        <w:t>constitutional</w:t>
      </w:r>
      <w:r w:rsidRPr="00FD40B8">
        <w:rPr>
          <w:color w:val="131727" w:themeColor="text1"/>
          <w:spacing w:val="60"/>
        </w:rPr>
        <w:t xml:space="preserve"> </w:t>
      </w:r>
      <w:r w:rsidRPr="00FD40B8">
        <w:rPr>
          <w:color w:val="131727" w:themeColor="text1"/>
        </w:rPr>
        <w:t>power</w:t>
      </w:r>
      <w:r w:rsidRPr="00FD40B8">
        <w:rPr>
          <w:color w:val="131727" w:themeColor="text1"/>
          <w:spacing w:val="44"/>
        </w:rPr>
        <w:t xml:space="preserve"> </w:t>
      </w:r>
      <w:r w:rsidRPr="00FD40B8">
        <w:rPr>
          <w:color w:val="131727" w:themeColor="text1"/>
        </w:rPr>
        <w:t>limits;</w:t>
      </w:r>
      <w:r w:rsidRPr="00FD40B8">
        <w:rPr>
          <w:color w:val="131727" w:themeColor="text1"/>
          <w:spacing w:val="57"/>
        </w:rPr>
        <w:t xml:space="preserve"> </w:t>
      </w:r>
      <w:r w:rsidRPr="00FD40B8">
        <w:rPr>
          <w:color w:val="131727" w:themeColor="text1"/>
          <w:spacing w:val="-5"/>
        </w:rPr>
        <w:t>and</w:t>
      </w:r>
    </w:p>
    <w:p w14:paraId="11160E6A" w14:textId="77777777" w:rsidR="00811887" w:rsidRPr="00FD40B8" w:rsidRDefault="00811887" w:rsidP="00811887">
      <w:pPr>
        <w:pStyle w:val="BodyText"/>
        <w:tabs>
          <w:tab w:val="left" w:pos="1948"/>
        </w:tabs>
        <w:spacing w:before="144" w:line="256" w:lineRule="auto"/>
        <w:ind w:left="1948" w:right="623" w:hanging="360"/>
        <w:rPr>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State</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territory</w:t>
      </w:r>
      <w:r w:rsidRPr="00FD40B8">
        <w:rPr>
          <w:color w:val="131727" w:themeColor="text1"/>
          <w:spacing w:val="-4"/>
          <w:w w:val="110"/>
        </w:rPr>
        <w:t xml:space="preserve"> </w:t>
      </w:r>
      <w:r w:rsidRPr="00FD40B8">
        <w:rPr>
          <w:color w:val="131727" w:themeColor="text1"/>
          <w:w w:val="110"/>
        </w:rPr>
        <w:t>governments</w:t>
      </w:r>
      <w:r w:rsidRPr="00FD40B8">
        <w:rPr>
          <w:color w:val="131727" w:themeColor="text1"/>
          <w:spacing w:val="-1"/>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acute</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7"/>
          <w:w w:val="110"/>
        </w:rPr>
        <w:t xml:space="preserve"> </w:t>
      </w:r>
      <w:r w:rsidRPr="00FD40B8">
        <w:rPr>
          <w:color w:val="131727" w:themeColor="text1"/>
          <w:w w:val="110"/>
        </w:rPr>
        <w:t>social</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affordable</w:t>
      </w:r>
      <w:r w:rsidRPr="00FD40B8">
        <w:rPr>
          <w:color w:val="131727" w:themeColor="text1"/>
          <w:spacing w:val="-7"/>
          <w:w w:val="110"/>
        </w:rPr>
        <w:t xml:space="preserve"> </w:t>
      </w:r>
      <w:r w:rsidRPr="00FD40B8">
        <w:rPr>
          <w:color w:val="131727" w:themeColor="text1"/>
          <w:w w:val="110"/>
        </w:rPr>
        <w:t>housing</w:t>
      </w:r>
      <w:r w:rsidRPr="00FD40B8">
        <w:rPr>
          <w:color w:val="131727" w:themeColor="text1"/>
          <w:spacing w:val="-3"/>
          <w:w w:val="110"/>
        </w:rPr>
        <w:t xml:space="preserve"> </w:t>
      </w:r>
      <w:r w:rsidRPr="00FD40B8">
        <w:rPr>
          <w:color w:val="131727" w:themeColor="text1"/>
          <w:w w:val="110"/>
        </w:rPr>
        <w:t>(via</w:t>
      </w:r>
      <w:r w:rsidRPr="00FD40B8">
        <w:rPr>
          <w:color w:val="131727" w:themeColor="text1"/>
          <w:spacing w:val="-3"/>
          <w:w w:val="110"/>
        </w:rPr>
        <w:t xml:space="preserve"> </w:t>
      </w:r>
      <w:r w:rsidRPr="00FD40B8">
        <w:rPr>
          <w:color w:val="131727" w:themeColor="text1"/>
          <w:w w:val="110"/>
        </w:rPr>
        <w:t>Council of Australian Governments Reform Fund)</w:t>
      </w:r>
      <w:hyperlink w:anchor="_bookmark51" w:history="1">
        <w:r w:rsidRPr="00FD40B8">
          <w:rPr>
            <w:color w:val="131727" w:themeColor="text1"/>
            <w:w w:val="110"/>
          </w:rPr>
          <w:t>.</w:t>
        </w:r>
        <w:r w:rsidRPr="00FD40B8">
          <w:rPr>
            <w:color w:val="131727" w:themeColor="text1"/>
            <w:w w:val="110"/>
            <w:position w:val="8"/>
            <w:sz w:val="13"/>
          </w:rPr>
          <w:t>42</w:t>
        </w:r>
      </w:hyperlink>
    </w:p>
    <w:p w14:paraId="1633A6BE" w14:textId="77777777" w:rsidR="00811887" w:rsidRPr="00FD40B8" w:rsidRDefault="00811887" w:rsidP="00FB2FE9">
      <w:pPr>
        <w:pStyle w:val="ListParagraph"/>
        <w:widowControl w:val="0"/>
        <w:numPr>
          <w:ilvl w:val="0"/>
          <w:numId w:val="65"/>
        </w:numPr>
        <w:tabs>
          <w:tab w:val="left" w:pos="1228"/>
        </w:tabs>
        <w:autoSpaceDE w:val="0"/>
        <w:autoSpaceDN w:val="0"/>
        <w:spacing w:before="121" w:after="0"/>
        <w:ind w:hanging="360"/>
        <w:contextualSpacing w:val="0"/>
        <w:rPr>
          <w:color w:val="131727" w:themeColor="text1"/>
          <w:sz w:val="20"/>
        </w:rPr>
      </w:pPr>
      <w:r w:rsidRPr="00FD40B8">
        <w:rPr>
          <w:color w:val="131727" w:themeColor="text1"/>
          <w:w w:val="110"/>
          <w:sz w:val="20"/>
        </w:rPr>
        <w:t>Social</w:t>
      </w:r>
      <w:r w:rsidRPr="00FD40B8">
        <w:rPr>
          <w:color w:val="131727" w:themeColor="text1"/>
          <w:spacing w:val="1"/>
          <w:w w:val="110"/>
          <w:sz w:val="20"/>
        </w:rPr>
        <w:t xml:space="preserve"> </w:t>
      </w:r>
      <w:r w:rsidRPr="00FD40B8">
        <w:rPr>
          <w:color w:val="131727" w:themeColor="text1"/>
          <w:w w:val="110"/>
          <w:sz w:val="20"/>
        </w:rPr>
        <w:t>Housing Accelerator</w:t>
      </w:r>
      <w:r w:rsidRPr="00FD40B8">
        <w:rPr>
          <w:color w:val="131727" w:themeColor="text1"/>
          <w:spacing w:val="-1"/>
          <w:w w:val="110"/>
          <w:sz w:val="20"/>
        </w:rPr>
        <w:t xml:space="preserve"> </w:t>
      </w:r>
      <w:r w:rsidRPr="00FD40B8">
        <w:rPr>
          <w:color w:val="131727" w:themeColor="text1"/>
          <w:w w:val="110"/>
          <w:sz w:val="20"/>
        </w:rPr>
        <w:t>funding</w:t>
      </w:r>
      <w:r w:rsidRPr="00FD40B8">
        <w:rPr>
          <w:color w:val="131727" w:themeColor="text1"/>
          <w:spacing w:val="-1"/>
          <w:w w:val="110"/>
          <w:sz w:val="20"/>
        </w:rPr>
        <w:t xml:space="preserve"> </w:t>
      </w:r>
      <w:r w:rsidRPr="00FD40B8">
        <w:rPr>
          <w:color w:val="131727" w:themeColor="text1"/>
          <w:w w:val="110"/>
          <w:sz w:val="20"/>
        </w:rPr>
        <w:t>has</w:t>
      </w:r>
      <w:r w:rsidRPr="00FD40B8">
        <w:rPr>
          <w:color w:val="131727" w:themeColor="text1"/>
          <w:spacing w:val="1"/>
          <w:w w:val="110"/>
          <w:sz w:val="20"/>
        </w:rPr>
        <w:t xml:space="preserve"> </w:t>
      </w:r>
      <w:r w:rsidRPr="00FD40B8">
        <w:rPr>
          <w:color w:val="131727" w:themeColor="text1"/>
          <w:w w:val="110"/>
          <w:sz w:val="20"/>
        </w:rPr>
        <w:t>already been provided</w:t>
      </w:r>
      <w:r w:rsidRPr="00FD40B8">
        <w:rPr>
          <w:color w:val="131727" w:themeColor="text1"/>
          <w:spacing w:val="-5"/>
          <w:w w:val="110"/>
          <w:sz w:val="20"/>
        </w:rPr>
        <w:t xml:space="preserve"> </w:t>
      </w:r>
      <w:r w:rsidRPr="00FD40B8">
        <w:rPr>
          <w:color w:val="131727" w:themeColor="text1"/>
          <w:w w:val="110"/>
          <w:sz w:val="20"/>
        </w:rPr>
        <w:t>to</w:t>
      </w:r>
      <w:r w:rsidRPr="00FD40B8">
        <w:rPr>
          <w:color w:val="131727" w:themeColor="text1"/>
          <w:spacing w:val="-3"/>
          <w:w w:val="110"/>
          <w:sz w:val="20"/>
        </w:rPr>
        <w:t xml:space="preserve"> </w:t>
      </w:r>
      <w:r w:rsidRPr="00FD40B8">
        <w:rPr>
          <w:color w:val="131727" w:themeColor="text1"/>
          <w:w w:val="110"/>
          <w:sz w:val="20"/>
        </w:rPr>
        <w:t>State</w:t>
      </w:r>
      <w:r w:rsidRPr="00FD40B8">
        <w:rPr>
          <w:color w:val="131727" w:themeColor="text1"/>
          <w:spacing w:val="-1"/>
          <w:w w:val="110"/>
          <w:sz w:val="20"/>
        </w:rPr>
        <w:t xml:space="preserve"> </w:t>
      </w:r>
      <w:r w:rsidRPr="00FD40B8">
        <w:rPr>
          <w:color w:val="131727" w:themeColor="text1"/>
          <w:w w:val="110"/>
          <w:sz w:val="20"/>
        </w:rPr>
        <w:t xml:space="preserve">and </w:t>
      </w:r>
      <w:r w:rsidRPr="00FD40B8">
        <w:rPr>
          <w:color w:val="131727" w:themeColor="text1"/>
          <w:spacing w:val="-2"/>
          <w:w w:val="110"/>
          <w:sz w:val="20"/>
        </w:rPr>
        <w:t>Territory</w:t>
      </w:r>
    </w:p>
    <w:p w14:paraId="56907D45" w14:textId="77777777" w:rsidR="00811887" w:rsidRPr="00FD40B8" w:rsidRDefault="00811887" w:rsidP="00811887">
      <w:pPr>
        <w:pStyle w:val="BodyText"/>
        <w:spacing w:before="29"/>
        <w:ind w:left="1228"/>
        <w:rPr>
          <w:color w:val="131727" w:themeColor="text1"/>
        </w:rPr>
      </w:pPr>
      <w:r w:rsidRPr="00FD40B8">
        <w:rPr>
          <w:color w:val="131727" w:themeColor="text1"/>
          <w:w w:val="110"/>
        </w:rPr>
        <w:t>Governments</w:t>
      </w:r>
      <w:r w:rsidRPr="00FD40B8">
        <w:rPr>
          <w:color w:val="131727" w:themeColor="text1"/>
          <w:spacing w:val="-13"/>
          <w:w w:val="110"/>
        </w:rPr>
        <w:t xml:space="preserve"> </w:t>
      </w:r>
      <w:r w:rsidRPr="00FD40B8">
        <w:rPr>
          <w:color w:val="131727" w:themeColor="text1"/>
          <w:w w:val="110"/>
        </w:rPr>
        <w:t>and</w:t>
      </w:r>
      <w:r w:rsidRPr="00FD40B8">
        <w:rPr>
          <w:color w:val="131727" w:themeColor="text1"/>
          <w:spacing w:val="-12"/>
          <w:w w:val="110"/>
        </w:rPr>
        <w:t xml:space="preserve"> </w:t>
      </w:r>
      <w:r w:rsidRPr="00FD40B8">
        <w:rPr>
          <w:color w:val="131727" w:themeColor="text1"/>
          <w:w w:val="110"/>
        </w:rPr>
        <w:t>‘initial’</w:t>
      </w:r>
      <w:r w:rsidRPr="00FD40B8">
        <w:rPr>
          <w:color w:val="131727" w:themeColor="text1"/>
          <w:spacing w:val="-12"/>
          <w:w w:val="110"/>
        </w:rPr>
        <w:t xml:space="preserve"> </w:t>
      </w:r>
      <w:r w:rsidRPr="00FD40B8">
        <w:rPr>
          <w:color w:val="131727" w:themeColor="text1"/>
          <w:w w:val="110"/>
        </w:rPr>
        <w:t>implementation</w:t>
      </w:r>
      <w:r w:rsidRPr="00FD40B8">
        <w:rPr>
          <w:color w:val="131727" w:themeColor="text1"/>
          <w:spacing w:val="-12"/>
          <w:w w:val="110"/>
        </w:rPr>
        <w:t xml:space="preserve"> </w:t>
      </w:r>
      <w:r w:rsidRPr="00FD40B8">
        <w:rPr>
          <w:color w:val="131727" w:themeColor="text1"/>
          <w:w w:val="110"/>
        </w:rPr>
        <w:t>plans</w:t>
      </w:r>
      <w:r w:rsidRPr="00FD40B8">
        <w:rPr>
          <w:color w:val="131727" w:themeColor="text1"/>
          <w:spacing w:val="-11"/>
          <w:w w:val="110"/>
        </w:rPr>
        <w:t xml:space="preserve"> </w:t>
      </w:r>
      <w:r w:rsidRPr="00FD40B8">
        <w:rPr>
          <w:color w:val="131727" w:themeColor="text1"/>
          <w:w w:val="110"/>
        </w:rPr>
        <w:t>endorsed</w:t>
      </w:r>
      <w:r w:rsidRPr="00FD40B8">
        <w:rPr>
          <w:color w:val="131727" w:themeColor="text1"/>
          <w:spacing w:val="-12"/>
          <w:w w:val="110"/>
        </w:rPr>
        <w:t xml:space="preserve"> </w:t>
      </w:r>
      <w:r w:rsidRPr="00FD40B8">
        <w:rPr>
          <w:color w:val="131727" w:themeColor="text1"/>
          <w:w w:val="110"/>
        </w:rPr>
        <w:t>by</w:t>
      </w:r>
      <w:r w:rsidRPr="00FD40B8">
        <w:rPr>
          <w:color w:val="131727" w:themeColor="text1"/>
          <w:spacing w:val="-13"/>
          <w:w w:val="110"/>
        </w:rPr>
        <w:t xml:space="preserve"> </w:t>
      </w:r>
      <w:r w:rsidRPr="00FD40B8">
        <w:rPr>
          <w:color w:val="131727" w:themeColor="text1"/>
          <w:w w:val="110"/>
        </w:rPr>
        <w:t>National</w:t>
      </w:r>
      <w:r w:rsidRPr="00FD40B8">
        <w:rPr>
          <w:color w:val="131727" w:themeColor="text1"/>
          <w:spacing w:val="-11"/>
          <w:w w:val="110"/>
        </w:rPr>
        <w:t xml:space="preserve"> </w:t>
      </w:r>
      <w:r w:rsidRPr="00FD40B8">
        <w:rPr>
          <w:color w:val="131727" w:themeColor="text1"/>
          <w:spacing w:val="-2"/>
          <w:w w:val="110"/>
        </w:rPr>
        <w:t>Cabinet:</w:t>
      </w:r>
    </w:p>
    <w:p w14:paraId="0022AD64" w14:textId="77777777" w:rsidR="00811887" w:rsidRPr="00FD40B8" w:rsidRDefault="00811887" w:rsidP="00811887">
      <w:pPr>
        <w:pStyle w:val="BodyText"/>
        <w:tabs>
          <w:tab w:val="left" w:pos="1948"/>
        </w:tabs>
        <w:spacing w:before="146"/>
        <w:ind w:left="1589"/>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$2</w:t>
      </w:r>
      <w:r w:rsidRPr="00FD40B8">
        <w:rPr>
          <w:color w:val="131727" w:themeColor="text1"/>
          <w:spacing w:val="-6"/>
          <w:w w:val="110"/>
        </w:rPr>
        <w:t xml:space="preserve"> </w:t>
      </w:r>
      <w:r w:rsidRPr="00FD40B8">
        <w:rPr>
          <w:color w:val="131727" w:themeColor="text1"/>
          <w:w w:val="110"/>
        </w:rPr>
        <w:t>billion</w:t>
      </w:r>
      <w:r w:rsidRPr="00FD40B8">
        <w:rPr>
          <w:color w:val="131727" w:themeColor="text1"/>
          <w:spacing w:val="-9"/>
          <w:w w:val="110"/>
        </w:rPr>
        <w:t xml:space="preserve"> </w:t>
      </w:r>
      <w:r w:rsidRPr="00FD40B8">
        <w:rPr>
          <w:color w:val="131727" w:themeColor="text1"/>
          <w:w w:val="110"/>
        </w:rPr>
        <w:t>one-off</w:t>
      </w:r>
      <w:r w:rsidRPr="00FD40B8">
        <w:rPr>
          <w:color w:val="131727" w:themeColor="text1"/>
          <w:spacing w:val="-4"/>
          <w:w w:val="110"/>
        </w:rPr>
        <w:t xml:space="preserve"> </w:t>
      </w:r>
      <w:r w:rsidRPr="00FD40B8">
        <w:rPr>
          <w:color w:val="131727" w:themeColor="text1"/>
          <w:w w:val="110"/>
        </w:rPr>
        <w:t>payment</w:t>
      </w:r>
      <w:r w:rsidRPr="00FD40B8">
        <w:rPr>
          <w:color w:val="131727" w:themeColor="text1"/>
          <w:spacing w:val="-5"/>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2022-23;</w:t>
      </w:r>
      <w:r w:rsidRPr="00FD40B8">
        <w:rPr>
          <w:color w:val="131727" w:themeColor="text1"/>
          <w:spacing w:val="-5"/>
          <w:w w:val="110"/>
        </w:rPr>
        <w:t xml:space="preserve"> and</w:t>
      </w:r>
    </w:p>
    <w:p w14:paraId="4D628954" w14:textId="77777777" w:rsidR="00811887" w:rsidRPr="00FD40B8" w:rsidRDefault="00811887" w:rsidP="00811887">
      <w:pPr>
        <w:pStyle w:val="BodyText"/>
        <w:tabs>
          <w:tab w:val="left" w:pos="1948"/>
        </w:tabs>
        <w:spacing w:before="136"/>
        <w:ind w:left="1589"/>
        <w:rPr>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Funding</w:t>
      </w:r>
      <w:r w:rsidRPr="00FD40B8">
        <w:rPr>
          <w:color w:val="131727" w:themeColor="text1"/>
          <w:spacing w:val="-8"/>
          <w:w w:val="110"/>
        </w:rPr>
        <w:t xml:space="preserve"> </w:t>
      </w:r>
      <w:r w:rsidRPr="00FD40B8">
        <w:rPr>
          <w:color w:val="131727" w:themeColor="text1"/>
          <w:w w:val="110"/>
        </w:rPr>
        <w:t>must</w:t>
      </w:r>
      <w:r w:rsidRPr="00FD40B8">
        <w:rPr>
          <w:color w:val="131727" w:themeColor="text1"/>
          <w:spacing w:val="-2"/>
          <w:w w:val="110"/>
        </w:rPr>
        <w:t xml:space="preserve"> </w:t>
      </w:r>
      <w:r w:rsidRPr="00FD40B8">
        <w:rPr>
          <w:color w:val="131727" w:themeColor="text1"/>
          <w:w w:val="110"/>
        </w:rPr>
        <w:t>be</w:t>
      </w:r>
      <w:r w:rsidRPr="00FD40B8">
        <w:rPr>
          <w:color w:val="131727" w:themeColor="text1"/>
          <w:spacing w:val="-7"/>
          <w:w w:val="110"/>
        </w:rPr>
        <w:t xml:space="preserve"> </w:t>
      </w:r>
      <w:r w:rsidRPr="00FD40B8">
        <w:rPr>
          <w:color w:val="131727" w:themeColor="text1"/>
          <w:w w:val="110"/>
        </w:rPr>
        <w:t>committed</w:t>
      </w:r>
      <w:r w:rsidRPr="00FD40B8">
        <w:rPr>
          <w:color w:val="131727" w:themeColor="text1"/>
          <w:spacing w:val="-3"/>
          <w:w w:val="110"/>
        </w:rPr>
        <w:t xml:space="preserve"> </w:t>
      </w:r>
      <w:r w:rsidRPr="00FD40B8">
        <w:rPr>
          <w:color w:val="131727" w:themeColor="text1"/>
          <w:w w:val="110"/>
        </w:rPr>
        <w:t>within</w:t>
      </w:r>
      <w:r w:rsidRPr="00FD40B8">
        <w:rPr>
          <w:color w:val="131727" w:themeColor="text1"/>
          <w:spacing w:val="-2"/>
          <w:w w:val="110"/>
        </w:rPr>
        <w:t xml:space="preserve"> </w:t>
      </w:r>
      <w:r w:rsidRPr="00FD40B8">
        <w:rPr>
          <w:color w:val="131727" w:themeColor="text1"/>
          <w:w w:val="110"/>
        </w:rPr>
        <w:t>2</w:t>
      </w:r>
      <w:r w:rsidRPr="00FD40B8">
        <w:rPr>
          <w:color w:val="131727" w:themeColor="text1"/>
          <w:spacing w:val="-2"/>
          <w:w w:val="110"/>
        </w:rPr>
        <w:t xml:space="preserve"> </w:t>
      </w:r>
      <w:r w:rsidRPr="00FD40B8">
        <w:rPr>
          <w:color w:val="131727" w:themeColor="text1"/>
          <w:w w:val="110"/>
        </w:rPr>
        <w:t>years</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spent</w:t>
      </w:r>
      <w:r w:rsidRPr="00FD40B8">
        <w:rPr>
          <w:color w:val="131727" w:themeColor="text1"/>
          <w:spacing w:val="-7"/>
          <w:w w:val="110"/>
        </w:rPr>
        <w:t xml:space="preserve"> </w:t>
      </w:r>
      <w:r w:rsidRPr="00FD40B8">
        <w:rPr>
          <w:color w:val="131727" w:themeColor="text1"/>
          <w:w w:val="110"/>
        </w:rPr>
        <w:t>within</w:t>
      </w:r>
      <w:r w:rsidRPr="00FD40B8">
        <w:rPr>
          <w:color w:val="131727" w:themeColor="text1"/>
          <w:spacing w:val="-2"/>
          <w:w w:val="110"/>
        </w:rPr>
        <w:t xml:space="preserve"> </w:t>
      </w:r>
      <w:r w:rsidRPr="00FD40B8">
        <w:rPr>
          <w:color w:val="131727" w:themeColor="text1"/>
          <w:w w:val="110"/>
        </w:rPr>
        <w:t>5</w:t>
      </w:r>
      <w:r w:rsidRPr="00FD40B8">
        <w:rPr>
          <w:color w:val="131727" w:themeColor="text1"/>
          <w:spacing w:val="-6"/>
          <w:w w:val="110"/>
        </w:rPr>
        <w:t xml:space="preserve"> </w:t>
      </w:r>
      <w:r w:rsidRPr="00FD40B8">
        <w:rPr>
          <w:color w:val="131727" w:themeColor="text1"/>
          <w:spacing w:val="-2"/>
          <w:w w:val="110"/>
        </w:rPr>
        <w:t>years</w:t>
      </w:r>
      <w:hyperlink w:anchor="_bookmark52" w:history="1">
        <w:r w:rsidRPr="00FD40B8">
          <w:rPr>
            <w:color w:val="131727" w:themeColor="text1"/>
            <w:spacing w:val="-2"/>
            <w:w w:val="110"/>
          </w:rPr>
          <w:t>.</w:t>
        </w:r>
        <w:r w:rsidRPr="00FD40B8">
          <w:rPr>
            <w:color w:val="131727" w:themeColor="text1"/>
            <w:spacing w:val="-2"/>
            <w:w w:val="110"/>
            <w:position w:val="8"/>
            <w:sz w:val="13"/>
          </w:rPr>
          <w:t>43</w:t>
        </w:r>
      </w:hyperlink>
    </w:p>
    <w:p w14:paraId="583B379A" w14:textId="77777777" w:rsidR="00811887" w:rsidRPr="00FD40B8" w:rsidRDefault="00811887" w:rsidP="00FB2FE9">
      <w:pPr>
        <w:pStyle w:val="ListParagraph"/>
        <w:widowControl w:val="0"/>
        <w:numPr>
          <w:ilvl w:val="0"/>
          <w:numId w:val="65"/>
        </w:numPr>
        <w:tabs>
          <w:tab w:val="left" w:pos="1228"/>
        </w:tabs>
        <w:autoSpaceDE w:val="0"/>
        <w:autoSpaceDN w:val="0"/>
        <w:spacing w:before="138" w:after="0"/>
        <w:ind w:hanging="360"/>
        <w:contextualSpacing w:val="0"/>
        <w:rPr>
          <w:color w:val="131727" w:themeColor="text1"/>
          <w:sz w:val="20"/>
        </w:rPr>
      </w:pPr>
      <w:r w:rsidRPr="00FD40B8">
        <w:rPr>
          <w:color w:val="131727" w:themeColor="text1"/>
          <w:w w:val="110"/>
          <w:sz w:val="20"/>
        </w:rPr>
        <w:t>National</w:t>
      </w:r>
      <w:r w:rsidRPr="00FD40B8">
        <w:rPr>
          <w:color w:val="131727" w:themeColor="text1"/>
          <w:spacing w:val="7"/>
          <w:w w:val="110"/>
          <w:sz w:val="20"/>
        </w:rPr>
        <w:t xml:space="preserve"> </w:t>
      </w:r>
      <w:r w:rsidRPr="00FD40B8">
        <w:rPr>
          <w:color w:val="131727" w:themeColor="text1"/>
          <w:w w:val="110"/>
          <w:sz w:val="20"/>
        </w:rPr>
        <w:t>Housing</w:t>
      </w:r>
      <w:r w:rsidRPr="00FD40B8">
        <w:rPr>
          <w:color w:val="131727" w:themeColor="text1"/>
          <w:spacing w:val="6"/>
          <w:w w:val="110"/>
          <w:sz w:val="20"/>
        </w:rPr>
        <w:t xml:space="preserve"> </w:t>
      </w:r>
      <w:r w:rsidRPr="00FD40B8">
        <w:rPr>
          <w:color w:val="131727" w:themeColor="text1"/>
          <w:w w:val="110"/>
          <w:sz w:val="20"/>
        </w:rPr>
        <w:t>and</w:t>
      </w:r>
      <w:r w:rsidRPr="00FD40B8">
        <w:rPr>
          <w:color w:val="131727" w:themeColor="text1"/>
          <w:spacing w:val="1"/>
          <w:w w:val="110"/>
          <w:sz w:val="20"/>
        </w:rPr>
        <w:t xml:space="preserve"> </w:t>
      </w:r>
      <w:r w:rsidRPr="00FD40B8">
        <w:rPr>
          <w:color w:val="131727" w:themeColor="text1"/>
          <w:w w:val="110"/>
          <w:sz w:val="20"/>
        </w:rPr>
        <w:t>Homelessness</w:t>
      </w:r>
      <w:r w:rsidRPr="00FD40B8">
        <w:rPr>
          <w:color w:val="131727" w:themeColor="text1"/>
          <w:spacing w:val="8"/>
          <w:w w:val="110"/>
          <w:sz w:val="20"/>
        </w:rPr>
        <w:t xml:space="preserve"> </w:t>
      </w:r>
      <w:r w:rsidRPr="00FD40B8">
        <w:rPr>
          <w:color w:val="131727" w:themeColor="text1"/>
          <w:w w:val="110"/>
          <w:sz w:val="20"/>
        </w:rPr>
        <w:t>Agreement</w:t>
      </w:r>
      <w:r w:rsidRPr="00FD40B8">
        <w:rPr>
          <w:color w:val="131727" w:themeColor="text1"/>
          <w:spacing w:val="11"/>
          <w:w w:val="110"/>
          <w:sz w:val="20"/>
        </w:rPr>
        <w:t xml:space="preserve"> </w:t>
      </w:r>
      <w:r w:rsidRPr="00FD40B8">
        <w:rPr>
          <w:color w:val="131727" w:themeColor="text1"/>
          <w:spacing w:val="-2"/>
          <w:w w:val="110"/>
          <w:sz w:val="20"/>
        </w:rPr>
        <w:t>(NHHA):</w:t>
      </w:r>
    </w:p>
    <w:p w14:paraId="72D1003C" w14:textId="77777777" w:rsidR="00811887" w:rsidRPr="00FD40B8" w:rsidRDefault="00811887" w:rsidP="00811887">
      <w:pPr>
        <w:pStyle w:val="BodyText"/>
        <w:tabs>
          <w:tab w:val="left" w:pos="1948"/>
        </w:tabs>
        <w:spacing w:before="145" w:line="256" w:lineRule="auto"/>
        <w:ind w:left="1948" w:right="532" w:hanging="360"/>
        <w:rPr>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Re-negotiated</w:t>
      </w:r>
      <w:r w:rsidRPr="00FD40B8">
        <w:rPr>
          <w:color w:val="131727" w:themeColor="text1"/>
          <w:spacing w:val="-5"/>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2018</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provides</w:t>
      </w:r>
      <w:r w:rsidRPr="00FD40B8">
        <w:rPr>
          <w:color w:val="131727" w:themeColor="text1"/>
          <w:spacing w:val="-4"/>
          <w:w w:val="110"/>
        </w:rPr>
        <w:t xml:space="preserve"> </w:t>
      </w:r>
      <w:r w:rsidRPr="00FD40B8">
        <w:rPr>
          <w:color w:val="131727" w:themeColor="text1"/>
          <w:w w:val="110"/>
        </w:rPr>
        <w:t>$1.6</w:t>
      </w:r>
      <w:r w:rsidRPr="00FD40B8">
        <w:rPr>
          <w:color w:val="131727" w:themeColor="text1"/>
          <w:spacing w:val="-5"/>
          <w:w w:val="110"/>
        </w:rPr>
        <w:t xml:space="preserve"> </w:t>
      </w:r>
      <w:r w:rsidRPr="00FD40B8">
        <w:rPr>
          <w:color w:val="131727" w:themeColor="text1"/>
          <w:w w:val="110"/>
        </w:rPr>
        <w:t>billion a</w:t>
      </w:r>
      <w:r w:rsidRPr="00FD40B8">
        <w:rPr>
          <w:color w:val="131727" w:themeColor="text1"/>
          <w:spacing w:val="-2"/>
          <w:w w:val="110"/>
        </w:rPr>
        <w:t xml:space="preserve"> </w:t>
      </w:r>
      <w:r w:rsidRPr="00FD40B8">
        <w:rPr>
          <w:color w:val="131727" w:themeColor="text1"/>
          <w:w w:val="110"/>
        </w:rPr>
        <w:t>year</w:t>
      </w:r>
      <w:r w:rsidRPr="00FD40B8">
        <w:rPr>
          <w:color w:val="131727" w:themeColor="text1"/>
          <w:spacing w:val="-7"/>
          <w:w w:val="110"/>
        </w:rPr>
        <w:t xml:space="preserve"> </w:t>
      </w:r>
      <w:r w:rsidRPr="00FD40B8">
        <w:rPr>
          <w:color w:val="131727" w:themeColor="text1"/>
          <w:w w:val="110"/>
        </w:rPr>
        <w:t>to state</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territory</w:t>
      </w:r>
      <w:r w:rsidRPr="00FD40B8">
        <w:rPr>
          <w:color w:val="131727" w:themeColor="text1"/>
          <w:spacing w:val="-7"/>
          <w:w w:val="110"/>
        </w:rPr>
        <w:t xml:space="preserve"> </w:t>
      </w:r>
      <w:r w:rsidRPr="00FD40B8">
        <w:rPr>
          <w:color w:val="131727" w:themeColor="text1"/>
          <w:w w:val="110"/>
        </w:rPr>
        <w:t>governments to improve access to affordable, safe, and sustainable housing.</w:t>
      </w:r>
      <w:hyperlink w:anchor="_bookmark53" w:history="1">
        <w:r w:rsidRPr="00FD40B8">
          <w:rPr>
            <w:color w:val="131727" w:themeColor="text1"/>
            <w:w w:val="110"/>
            <w:position w:val="8"/>
            <w:sz w:val="13"/>
          </w:rPr>
          <w:t>44</w:t>
        </w:r>
      </w:hyperlink>
    </w:p>
    <w:p w14:paraId="5702F036" w14:textId="77777777" w:rsidR="00811887" w:rsidRPr="00FD40B8" w:rsidRDefault="00811887" w:rsidP="00811887">
      <w:pPr>
        <w:pStyle w:val="BodyText"/>
        <w:tabs>
          <w:tab w:val="left" w:pos="1948"/>
        </w:tabs>
        <w:spacing w:before="132" w:line="256" w:lineRule="auto"/>
        <w:ind w:left="1948" w:right="1125" w:hanging="360"/>
        <w:rPr>
          <w:color w:val="131727" w:themeColor="text1"/>
          <w:sz w:val="13"/>
        </w:rPr>
      </w:pPr>
      <w:r w:rsidRPr="00FD40B8">
        <w:rPr>
          <w:color w:val="131727" w:themeColor="text1"/>
          <w:spacing w:val="-10"/>
          <w:w w:val="110"/>
        </w:rPr>
        <w:t>»</w:t>
      </w:r>
      <w:r w:rsidRPr="00FD40B8">
        <w:rPr>
          <w:color w:val="131727" w:themeColor="text1"/>
        </w:rPr>
        <w:tab/>
      </w:r>
      <w:r w:rsidRPr="00FD40B8">
        <w:rPr>
          <w:color w:val="131727" w:themeColor="text1"/>
          <w:w w:val="110"/>
        </w:rPr>
        <w:t>A</w:t>
      </w:r>
      <w:r w:rsidRPr="00FD40B8">
        <w:rPr>
          <w:color w:val="131727" w:themeColor="text1"/>
          <w:spacing w:val="-1"/>
          <w:w w:val="110"/>
        </w:rPr>
        <w:t xml:space="preserve"> </w:t>
      </w:r>
      <w:r w:rsidRPr="00FD40B8">
        <w:rPr>
          <w:color w:val="131727" w:themeColor="text1"/>
          <w:w w:val="110"/>
        </w:rPr>
        <w:t>one-year</w:t>
      </w:r>
      <w:r w:rsidRPr="00FD40B8">
        <w:rPr>
          <w:color w:val="131727" w:themeColor="text1"/>
          <w:spacing w:val="-2"/>
          <w:w w:val="110"/>
        </w:rPr>
        <w:t xml:space="preserve"> </w:t>
      </w:r>
      <w:r w:rsidRPr="00FD40B8">
        <w:rPr>
          <w:color w:val="131727" w:themeColor="text1"/>
          <w:w w:val="110"/>
        </w:rPr>
        <w:t>$1.7 billion</w:t>
      </w:r>
      <w:r w:rsidRPr="00FD40B8">
        <w:rPr>
          <w:color w:val="131727" w:themeColor="text1"/>
          <w:spacing w:val="-4"/>
          <w:w w:val="110"/>
        </w:rPr>
        <w:t xml:space="preserve"> </w:t>
      </w:r>
      <w:r w:rsidRPr="00FD40B8">
        <w:rPr>
          <w:color w:val="131727" w:themeColor="text1"/>
          <w:w w:val="110"/>
        </w:rPr>
        <w:t>extension of the NHHA</w:t>
      </w:r>
      <w:r w:rsidRPr="00FD40B8">
        <w:rPr>
          <w:color w:val="131727" w:themeColor="text1"/>
          <w:spacing w:val="-1"/>
          <w:w w:val="110"/>
        </w:rPr>
        <w:t xml:space="preserve"> </w:t>
      </w:r>
      <w:r w:rsidRPr="00FD40B8">
        <w:rPr>
          <w:color w:val="131727" w:themeColor="text1"/>
          <w:w w:val="110"/>
        </w:rPr>
        <w:t>to 30</w:t>
      </w:r>
      <w:r w:rsidRPr="00FD40B8">
        <w:rPr>
          <w:color w:val="131727" w:themeColor="text1"/>
          <w:spacing w:val="-4"/>
          <w:w w:val="110"/>
        </w:rPr>
        <w:t xml:space="preserve"> </w:t>
      </w:r>
      <w:r w:rsidRPr="00FD40B8">
        <w:rPr>
          <w:color w:val="131727" w:themeColor="text1"/>
          <w:w w:val="110"/>
        </w:rPr>
        <w:t>June 2024 has been agreed</w:t>
      </w:r>
      <w:r w:rsidRPr="00FD40B8">
        <w:rPr>
          <w:color w:val="131727" w:themeColor="text1"/>
          <w:spacing w:val="-6"/>
          <w:w w:val="110"/>
        </w:rPr>
        <w:t xml:space="preserve"> </w:t>
      </w:r>
      <w:r w:rsidRPr="00FD40B8">
        <w:rPr>
          <w:color w:val="131727" w:themeColor="text1"/>
          <w:w w:val="110"/>
        </w:rPr>
        <w:t>to support renegotiation of a new agreement.</w:t>
      </w:r>
      <w:hyperlink w:anchor="_bookmark54" w:history="1">
        <w:r w:rsidRPr="00FD40B8">
          <w:rPr>
            <w:color w:val="131727" w:themeColor="text1"/>
            <w:w w:val="110"/>
            <w:position w:val="8"/>
            <w:sz w:val="13"/>
          </w:rPr>
          <w:t>45</w:t>
        </w:r>
      </w:hyperlink>
    </w:p>
    <w:p w14:paraId="26C62F8B" w14:textId="77777777" w:rsidR="00811887" w:rsidRPr="00FD40B8" w:rsidRDefault="00811887" w:rsidP="00811887">
      <w:pPr>
        <w:pStyle w:val="BodyText"/>
        <w:spacing w:before="126" w:line="268" w:lineRule="auto"/>
        <w:ind w:left="508" w:right="650"/>
        <w:rPr>
          <w:color w:val="131727" w:themeColor="text1"/>
        </w:rPr>
      </w:pPr>
      <w:r w:rsidRPr="00FD40B8">
        <w:rPr>
          <w:color w:val="131727" w:themeColor="text1"/>
          <w:w w:val="110"/>
        </w:rPr>
        <w:t>While</w:t>
      </w:r>
      <w:r w:rsidRPr="00FD40B8">
        <w:rPr>
          <w:color w:val="131727" w:themeColor="text1"/>
          <w:spacing w:val="-6"/>
          <w:w w:val="110"/>
        </w:rPr>
        <w:t xml:space="preserve"> </w:t>
      </w:r>
      <w:r w:rsidRPr="00FD40B8">
        <w:rPr>
          <w:color w:val="131727" w:themeColor="text1"/>
          <w:w w:val="110"/>
        </w:rPr>
        <w:t>these</w:t>
      </w:r>
      <w:r w:rsidRPr="00FD40B8">
        <w:rPr>
          <w:color w:val="131727" w:themeColor="text1"/>
          <w:spacing w:val="-11"/>
          <w:w w:val="110"/>
        </w:rPr>
        <w:t xml:space="preserve"> </w:t>
      </w:r>
      <w:r w:rsidRPr="00FD40B8">
        <w:rPr>
          <w:color w:val="131727" w:themeColor="text1"/>
          <w:w w:val="110"/>
        </w:rPr>
        <w:t>funding</w:t>
      </w:r>
      <w:r w:rsidRPr="00FD40B8">
        <w:rPr>
          <w:color w:val="131727" w:themeColor="text1"/>
          <w:spacing w:val="-6"/>
          <w:w w:val="110"/>
        </w:rPr>
        <w:t xml:space="preserve"> </w:t>
      </w:r>
      <w:r w:rsidRPr="00FD40B8">
        <w:rPr>
          <w:color w:val="131727" w:themeColor="text1"/>
          <w:w w:val="110"/>
        </w:rPr>
        <w:t>agreements</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arrangements</w:t>
      </w:r>
      <w:r w:rsidRPr="00FD40B8">
        <w:rPr>
          <w:color w:val="131727" w:themeColor="text1"/>
          <w:spacing w:val="-9"/>
          <w:w w:val="110"/>
        </w:rPr>
        <w:t xml:space="preserve"> </w:t>
      </w:r>
      <w:r w:rsidRPr="00FD40B8">
        <w:rPr>
          <w:color w:val="131727" w:themeColor="text1"/>
          <w:w w:val="110"/>
        </w:rPr>
        <w:t>identify</w:t>
      </w:r>
      <w:r w:rsidRPr="00FD40B8">
        <w:rPr>
          <w:color w:val="131727" w:themeColor="text1"/>
          <w:spacing w:val="-8"/>
          <w:w w:val="110"/>
        </w:rPr>
        <w:t xml:space="preserve"> </w:t>
      </w:r>
      <w:r w:rsidRPr="00FD40B8">
        <w:rPr>
          <w:color w:val="131727" w:themeColor="text1"/>
          <w:w w:val="110"/>
        </w:rPr>
        <w:t>priority</w:t>
      </w:r>
      <w:r w:rsidRPr="00FD40B8">
        <w:rPr>
          <w:color w:val="131727" w:themeColor="text1"/>
          <w:spacing w:val="-11"/>
          <w:w w:val="110"/>
        </w:rPr>
        <w:t xml:space="preserve"> </w:t>
      </w:r>
      <w:r w:rsidRPr="00FD40B8">
        <w:rPr>
          <w:color w:val="131727" w:themeColor="text1"/>
          <w:w w:val="110"/>
        </w:rPr>
        <w:t>cohorts</w:t>
      </w:r>
      <w:r w:rsidRPr="00FD40B8">
        <w:rPr>
          <w:color w:val="131727" w:themeColor="text1"/>
          <w:spacing w:val="-5"/>
          <w:w w:val="110"/>
        </w:rPr>
        <w:t xml:space="preserve"> </w:t>
      </w:r>
      <w:r w:rsidRPr="00FD40B8">
        <w:rPr>
          <w:color w:val="131727" w:themeColor="text1"/>
          <w:w w:val="110"/>
        </w:rPr>
        <w:t>to</w:t>
      </w:r>
      <w:r w:rsidRPr="00FD40B8">
        <w:rPr>
          <w:color w:val="131727" w:themeColor="text1"/>
          <w:spacing w:val="-9"/>
          <w:w w:val="110"/>
        </w:rPr>
        <w:t xml:space="preserve"> </w:t>
      </w:r>
      <w:r w:rsidRPr="00FD40B8">
        <w:rPr>
          <w:color w:val="131727" w:themeColor="text1"/>
          <w:w w:val="110"/>
        </w:rPr>
        <w:t>benefit</w:t>
      </w:r>
      <w:r w:rsidRPr="00FD40B8">
        <w:rPr>
          <w:color w:val="131727" w:themeColor="text1"/>
          <w:spacing w:val="-6"/>
          <w:w w:val="110"/>
        </w:rPr>
        <w:t xml:space="preserve"> </w:t>
      </w:r>
      <w:r w:rsidRPr="00FD40B8">
        <w:rPr>
          <w:color w:val="131727" w:themeColor="text1"/>
          <w:w w:val="110"/>
        </w:rPr>
        <w:t>from</w:t>
      </w:r>
      <w:r w:rsidRPr="00FD40B8">
        <w:rPr>
          <w:color w:val="131727" w:themeColor="text1"/>
          <w:spacing w:val="-11"/>
          <w:w w:val="110"/>
        </w:rPr>
        <w:t xml:space="preserve"> </w:t>
      </w:r>
      <w:r w:rsidRPr="00FD40B8">
        <w:rPr>
          <w:color w:val="131727" w:themeColor="text1"/>
          <w:w w:val="110"/>
        </w:rPr>
        <w:t>investment, including Aboriginal and Torres Strait Islander people, there is no plan or public transparency on how this is being managed or met. There are no specific targets for investment or outcomes that relate to Aboriginal and Torres Strait Islander people and need. Nor is there an identification of a proportion of funding that is being allocated to meet the needs of Aboriginal and Torres Strait Islander people. As covered further in the report, there is also very limited reporting on how Aboriginal and Torres Strait Islander people are benefiting from these investments. The exception is a one-off allocation of $200 million announced by the Commonwealth government for repairs, upgrades and maintenance of</w:t>
      </w:r>
    </w:p>
    <w:p w14:paraId="1C1ABEDD" w14:textId="77777777" w:rsidR="00811887" w:rsidRPr="00FD40B8" w:rsidRDefault="00811887" w:rsidP="00811887">
      <w:pPr>
        <w:pStyle w:val="BodyText"/>
        <w:rPr>
          <w:color w:val="131727" w:themeColor="text1"/>
        </w:rPr>
      </w:pPr>
    </w:p>
    <w:p w14:paraId="4918F62E" w14:textId="77777777" w:rsidR="00811887" w:rsidRPr="00FD40B8" w:rsidRDefault="00811887" w:rsidP="00811887">
      <w:pPr>
        <w:pStyle w:val="BodyText"/>
        <w:rPr>
          <w:color w:val="131727" w:themeColor="text1"/>
        </w:rPr>
      </w:pPr>
    </w:p>
    <w:p w14:paraId="5DA93101" w14:textId="77777777" w:rsidR="00811887" w:rsidRPr="00FD40B8" w:rsidRDefault="00811887" w:rsidP="00811887">
      <w:pPr>
        <w:pStyle w:val="BodyText"/>
        <w:rPr>
          <w:color w:val="131727" w:themeColor="text1"/>
        </w:rPr>
      </w:pPr>
    </w:p>
    <w:p w14:paraId="3EC9DB97" w14:textId="77777777" w:rsidR="00811887" w:rsidRPr="00FD40B8" w:rsidRDefault="00811887" w:rsidP="00811887">
      <w:pPr>
        <w:pStyle w:val="BodyText"/>
        <w:rPr>
          <w:color w:val="131727" w:themeColor="text1"/>
        </w:rPr>
      </w:pPr>
    </w:p>
    <w:p w14:paraId="60F9FCBB" w14:textId="77777777" w:rsidR="00811887" w:rsidRPr="00FD40B8" w:rsidRDefault="00811887" w:rsidP="00811887">
      <w:pPr>
        <w:pStyle w:val="BodyText"/>
        <w:spacing w:before="182"/>
        <w:rPr>
          <w:color w:val="131727" w:themeColor="text1"/>
        </w:rPr>
      </w:pPr>
      <w:r w:rsidRPr="00FD40B8">
        <w:rPr>
          <w:noProof/>
          <w:color w:val="131727" w:themeColor="text1"/>
        </w:rPr>
        <mc:AlternateContent>
          <mc:Choice Requires="wps">
            <w:drawing>
              <wp:anchor distT="0" distB="0" distL="0" distR="0" simplePos="0" relativeHeight="251745280" behindDoc="1" locked="0" layoutInCell="1" allowOverlap="1" wp14:anchorId="0381A7EC" wp14:editId="2013CDD2">
                <wp:simplePos x="0" y="0"/>
                <wp:positionH relativeFrom="page">
                  <wp:posOffset>792784</wp:posOffset>
                </wp:positionH>
                <wp:positionV relativeFrom="paragraph">
                  <wp:posOffset>286100</wp:posOffset>
                </wp:positionV>
                <wp:extent cx="1830070" cy="6350"/>
                <wp:effectExtent l="0" t="0" r="0" b="0"/>
                <wp:wrapTopAndBottom/>
                <wp:docPr id="161" name="Graphic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3E278" id="Graphic 161" o:spid="_x0000_s1026" alt="&quot;&quot;" style="position:absolute;margin-left:62.4pt;margin-top:22.55pt;width:144.1pt;height:.5pt;z-index:-25157120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" path="m1829689,l,,,6095r1829689,l1829689,xe" fillcolor="black" stroked="f">
                <v:path arrowok="t"/>
                <w10:wrap type="topAndBottom" anchorx="page"/>
              </v:shape>
            </w:pict>
          </mc:Fallback>
        </mc:AlternateContent>
      </w:r>
    </w:p>
    <w:p w14:paraId="716179B5" w14:textId="77777777" w:rsidR="00811887" w:rsidRPr="00FD40B8" w:rsidRDefault="00811887" w:rsidP="00811887">
      <w:pPr>
        <w:spacing w:before="118" w:line="271" w:lineRule="auto"/>
        <w:ind w:left="508" w:right="821"/>
        <w:rPr>
          <w:color w:val="131727" w:themeColor="text1"/>
          <w:sz w:val="16"/>
        </w:rPr>
      </w:pPr>
      <w:bookmarkStart w:id="163" w:name="_bookmark51"/>
      <w:bookmarkEnd w:id="163"/>
      <w:r w:rsidRPr="00FD40B8">
        <w:rPr>
          <w:color w:val="131727" w:themeColor="text1"/>
          <w:w w:val="105"/>
          <w:position w:val="6"/>
          <w:sz w:val="10"/>
        </w:rPr>
        <w:t>42</w:t>
      </w:r>
      <w:r w:rsidRPr="00FD40B8">
        <w:rPr>
          <w:color w:val="131727" w:themeColor="text1"/>
          <w:spacing w:val="35"/>
          <w:w w:val="105"/>
          <w:position w:val="6"/>
          <w:sz w:val="10"/>
        </w:rPr>
        <w:t xml:space="preserve"> </w:t>
      </w:r>
      <w:r w:rsidRPr="00FD40B8">
        <w:rPr>
          <w:color w:val="131727" w:themeColor="text1"/>
          <w:w w:val="105"/>
          <w:sz w:val="16"/>
        </w:rPr>
        <w:t>Department of Finance 2023. Housing Australia Future Fund.</w:t>
      </w:r>
      <w:r w:rsidRPr="00FD40B8">
        <w:rPr>
          <w:color w:val="131727" w:themeColor="text1"/>
          <w:spacing w:val="33"/>
          <w:w w:val="105"/>
          <w:sz w:val="16"/>
        </w:rPr>
        <w:t xml:space="preserve"> </w:t>
      </w:r>
      <w:r w:rsidRPr="00FD40B8">
        <w:rPr>
          <w:color w:val="131727" w:themeColor="text1"/>
          <w:w w:val="105"/>
          <w:sz w:val="16"/>
        </w:rPr>
        <w:t>Available at: https://</w:t>
      </w:r>
      <w:hyperlink r:id="rId90">
        <w:r w:rsidRPr="00FD40B8">
          <w:rPr>
            <w:color w:val="131727" w:themeColor="text1"/>
            <w:w w:val="105"/>
            <w:sz w:val="16"/>
          </w:rPr>
          <w:t>www.finance.gov.au/government/australian-</w:t>
        </w:r>
      </w:hyperlink>
      <w:r w:rsidRPr="00FD40B8">
        <w:rPr>
          <w:color w:val="131727" w:themeColor="text1"/>
          <w:spacing w:val="40"/>
          <w:w w:val="105"/>
          <w:sz w:val="16"/>
        </w:rPr>
        <w:t xml:space="preserve"> </w:t>
      </w:r>
      <w:r w:rsidRPr="00FD40B8">
        <w:rPr>
          <w:color w:val="131727" w:themeColor="text1"/>
          <w:spacing w:val="-2"/>
          <w:w w:val="105"/>
          <w:sz w:val="16"/>
        </w:rPr>
        <w:t>government-investment-funds/housing-australia-future-fund.</w:t>
      </w:r>
    </w:p>
    <w:p w14:paraId="4387048C" w14:textId="77777777" w:rsidR="00811887" w:rsidRPr="00FD40B8" w:rsidRDefault="00811887" w:rsidP="00811887">
      <w:pPr>
        <w:spacing w:line="191" w:lineRule="exact"/>
        <w:ind w:left="508"/>
        <w:rPr>
          <w:color w:val="131727" w:themeColor="text1"/>
          <w:sz w:val="16"/>
        </w:rPr>
      </w:pPr>
      <w:bookmarkStart w:id="164" w:name="_bookmark52"/>
      <w:bookmarkEnd w:id="164"/>
      <w:r w:rsidRPr="00FD40B8">
        <w:rPr>
          <w:color w:val="131727" w:themeColor="text1"/>
          <w:w w:val="105"/>
          <w:position w:val="6"/>
          <w:sz w:val="10"/>
        </w:rPr>
        <w:t>43</w:t>
      </w:r>
      <w:r w:rsidRPr="00FD40B8">
        <w:rPr>
          <w:color w:val="131727" w:themeColor="text1"/>
          <w:spacing w:val="32"/>
          <w:w w:val="105"/>
          <w:position w:val="6"/>
          <w:sz w:val="10"/>
        </w:rPr>
        <w:t xml:space="preserve"> </w:t>
      </w:r>
      <w:r w:rsidRPr="00FD40B8">
        <w:rPr>
          <w:color w:val="131727" w:themeColor="text1"/>
          <w:w w:val="105"/>
          <w:sz w:val="16"/>
        </w:rPr>
        <w:t>Australian</w:t>
      </w:r>
      <w:r w:rsidRPr="00FD40B8">
        <w:rPr>
          <w:color w:val="131727" w:themeColor="text1"/>
          <w:spacing w:val="22"/>
          <w:w w:val="105"/>
          <w:sz w:val="16"/>
        </w:rPr>
        <w:t xml:space="preserve"> </w:t>
      </w:r>
      <w:r w:rsidRPr="00FD40B8">
        <w:rPr>
          <w:color w:val="131727" w:themeColor="text1"/>
          <w:w w:val="105"/>
          <w:sz w:val="16"/>
        </w:rPr>
        <w:t>Treasury</w:t>
      </w:r>
      <w:r w:rsidRPr="00FD40B8">
        <w:rPr>
          <w:color w:val="131727" w:themeColor="text1"/>
          <w:spacing w:val="21"/>
          <w:w w:val="105"/>
          <w:sz w:val="16"/>
        </w:rPr>
        <w:t xml:space="preserve"> </w:t>
      </w:r>
      <w:r w:rsidRPr="00FD40B8">
        <w:rPr>
          <w:color w:val="131727" w:themeColor="text1"/>
          <w:w w:val="105"/>
          <w:sz w:val="16"/>
        </w:rPr>
        <w:t>2023.</w:t>
      </w:r>
      <w:r w:rsidRPr="00FD40B8">
        <w:rPr>
          <w:color w:val="131727" w:themeColor="text1"/>
          <w:spacing w:val="19"/>
          <w:w w:val="105"/>
          <w:sz w:val="16"/>
        </w:rPr>
        <w:t xml:space="preserve"> </w:t>
      </w:r>
      <w:r w:rsidRPr="00FD40B8">
        <w:rPr>
          <w:color w:val="131727" w:themeColor="text1"/>
          <w:w w:val="105"/>
          <w:sz w:val="16"/>
        </w:rPr>
        <w:t>Social</w:t>
      </w:r>
      <w:r w:rsidRPr="00FD40B8">
        <w:rPr>
          <w:color w:val="131727" w:themeColor="text1"/>
          <w:spacing w:val="15"/>
          <w:w w:val="105"/>
          <w:sz w:val="16"/>
        </w:rPr>
        <w:t xml:space="preserve"> </w:t>
      </w:r>
      <w:r w:rsidRPr="00FD40B8">
        <w:rPr>
          <w:color w:val="131727" w:themeColor="text1"/>
          <w:w w:val="105"/>
          <w:sz w:val="16"/>
        </w:rPr>
        <w:t>Housing</w:t>
      </w:r>
      <w:r w:rsidRPr="00FD40B8">
        <w:rPr>
          <w:color w:val="131727" w:themeColor="text1"/>
          <w:spacing w:val="17"/>
          <w:w w:val="105"/>
          <w:sz w:val="16"/>
        </w:rPr>
        <w:t xml:space="preserve"> </w:t>
      </w:r>
      <w:r w:rsidRPr="00FD40B8">
        <w:rPr>
          <w:color w:val="131727" w:themeColor="text1"/>
          <w:w w:val="105"/>
          <w:sz w:val="16"/>
        </w:rPr>
        <w:t>Accelerator.</w:t>
      </w:r>
      <w:r w:rsidRPr="00FD40B8">
        <w:rPr>
          <w:color w:val="131727" w:themeColor="text1"/>
          <w:spacing w:val="25"/>
          <w:w w:val="105"/>
          <w:sz w:val="16"/>
        </w:rPr>
        <w:t xml:space="preserve"> </w:t>
      </w:r>
      <w:r w:rsidRPr="00FD40B8">
        <w:rPr>
          <w:color w:val="131727" w:themeColor="text1"/>
          <w:w w:val="105"/>
          <w:sz w:val="16"/>
        </w:rPr>
        <w:t>Available</w:t>
      </w:r>
      <w:r w:rsidRPr="00FD40B8">
        <w:rPr>
          <w:color w:val="131727" w:themeColor="text1"/>
          <w:spacing w:val="18"/>
          <w:w w:val="105"/>
          <w:sz w:val="16"/>
        </w:rPr>
        <w:t xml:space="preserve"> </w:t>
      </w:r>
      <w:r w:rsidRPr="00FD40B8">
        <w:rPr>
          <w:color w:val="131727" w:themeColor="text1"/>
          <w:w w:val="105"/>
          <w:sz w:val="16"/>
        </w:rPr>
        <w:t>at:</w:t>
      </w:r>
      <w:r w:rsidRPr="00FD40B8">
        <w:rPr>
          <w:color w:val="131727" w:themeColor="text1"/>
          <w:spacing w:val="22"/>
          <w:w w:val="105"/>
          <w:sz w:val="16"/>
        </w:rPr>
        <w:t xml:space="preserve"> </w:t>
      </w:r>
      <w:hyperlink r:id="rId91">
        <w:r w:rsidRPr="00FD40B8">
          <w:rPr>
            <w:color w:val="131727" w:themeColor="text1"/>
            <w:w w:val="105"/>
            <w:sz w:val="16"/>
          </w:rPr>
          <w:t>https://treasury.gov.au/housing-</w:t>
        </w:r>
        <w:r w:rsidRPr="00FD40B8">
          <w:rPr>
            <w:color w:val="131727" w:themeColor="text1"/>
            <w:spacing w:val="-2"/>
            <w:w w:val="105"/>
            <w:sz w:val="16"/>
          </w:rPr>
          <w:t>policy/shap.</w:t>
        </w:r>
      </w:hyperlink>
    </w:p>
    <w:p w14:paraId="2DC64900" w14:textId="77777777" w:rsidR="00811887" w:rsidRPr="00FD40B8" w:rsidRDefault="00811887" w:rsidP="00811887">
      <w:pPr>
        <w:spacing w:before="23" w:line="264" w:lineRule="auto"/>
        <w:ind w:left="508" w:right="1059"/>
        <w:rPr>
          <w:color w:val="131727" w:themeColor="text1"/>
          <w:sz w:val="16"/>
        </w:rPr>
      </w:pPr>
      <w:bookmarkStart w:id="165" w:name="_bookmark53"/>
      <w:bookmarkEnd w:id="165"/>
      <w:r w:rsidRPr="00FD40B8">
        <w:rPr>
          <w:color w:val="131727" w:themeColor="text1"/>
          <w:w w:val="105"/>
          <w:position w:val="6"/>
          <w:sz w:val="10"/>
        </w:rPr>
        <w:t>44</w:t>
      </w:r>
      <w:r w:rsidRPr="00FD40B8">
        <w:rPr>
          <w:color w:val="131727" w:themeColor="text1"/>
          <w:spacing w:val="40"/>
          <w:w w:val="105"/>
          <w:position w:val="6"/>
          <w:sz w:val="10"/>
        </w:rPr>
        <w:t xml:space="preserve"> </w:t>
      </w:r>
      <w:r w:rsidRPr="00FD40B8">
        <w:rPr>
          <w:color w:val="131727" w:themeColor="text1"/>
          <w:w w:val="105"/>
          <w:sz w:val="16"/>
        </w:rPr>
        <w:t>Department</w:t>
      </w:r>
      <w:r w:rsidRPr="00FD40B8">
        <w:rPr>
          <w:color w:val="131727" w:themeColor="text1"/>
          <w:spacing w:val="37"/>
          <w:w w:val="105"/>
          <w:sz w:val="16"/>
        </w:rPr>
        <w:t xml:space="preserve"> </w:t>
      </w:r>
      <w:r w:rsidRPr="00FD40B8">
        <w:rPr>
          <w:color w:val="131727" w:themeColor="text1"/>
          <w:w w:val="105"/>
          <w:sz w:val="16"/>
        </w:rPr>
        <w:t>of</w:t>
      </w:r>
      <w:r w:rsidRPr="00FD40B8">
        <w:rPr>
          <w:color w:val="131727" w:themeColor="text1"/>
          <w:spacing w:val="39"/>
          <w:w w:val="105"/>
          <w:sz w:val="16"/>
        </w:rPr>
        <w:t xml:space="preserve"> </w:t>
      </w:r>
      <w:r w:rsidRPr="00FD40B8">
        <w:rPr>
          <w:color w:val="131727" w:themeColor="text1"/>
          <w:w w:val="105"/>
          <w:sz w:val="16"/>
        </w:rPr>
        <w:t>Social Services</w:t>
      </w:r>
      <w:r w:rsidRPr="00FD40B8">
        <w:rPr>
          <w:color w:val="131727" w:themeColor="text1"/>
          <w:spacing w:val="35"/>
          <w:w w:val="105"/>
          <w:sz w:val="16"/>
        </w:rPr>
        <w:t xml:space="preserve"> </w:t>
      </w:r>
      <w:r w:rsidRPr="00FD40B8">
        <w:rPr>
          <w:color w:val="131727" w:themeColor="text1"/>
          <w:w w:val="105"/>
          <w:sz w:val="16"/>
        </w:rPr>
        <w:t>2022.</w:t>
      </w:r>
      <w:r w:rsidRPr="00FD40B8">
        <w:rPr>
          <w:color w:val="131727" w:themeColor="text1"/>
          <w:spacing w:val="39"/>
          <w:w w:val="105"/>
          <w:sz w:val="16"/>
        </w:rPr>
        <w:t xml:space="preserve"> </w:t>
      </w:r>
      <w:r w:rsidRPr="00FD40B8">
        <w:rPr>
          <w:color w:val="131727" w:themeColor="text1"/>
          <w:w w:val="105"/>
          <w:sz w:val="16"/>
        </w:rPr>
        <w:t>National Housing</w:t>
      </w:r>
      <w:r w:rsidRPr="00FD40B8">
        <w:rPr>
          <w:color w:val="131727" w:themeColor="text1"/>
          <w:spacing w:val="35"/>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Homelessness</w:t>
      </w:r>
      <w:r w:rsidRPr="00FD40B8">
        <w:rPr>
          <w:color w:val="131727" w:themeColor="text1"/>
          <w:spacing w:val="35"/>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7"/>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hyperlink r:id="rId92">
        <w:r w:rsidRPr="00FD40B8">
          <w:rPr>
            <w:color w:val="131727" w:themeColor="text1"/>
            <w:spacing w:val="-2"/>
            <w:w w:val="105"/>
            <w:sz w:val="16"/>
          </w:rPr>
          <w:t>https://www.dss.gov.au/housing-support-programs-services-homelessness/national-housing-and-homelessness-agreement.</w:t>
        </w:r>
      </w:hyperlink>
      <w:r w:rsidRPr="00FD40B8">
        <w:rPr>
          <w:color w:val="131727" w:themeColor="text1"/>
          <w:spacing w:val="80"/>
          <w:w w:val="105"/>
          <w:sz w:val="16"/>
        </w:rPr>
        <w:t xml:space="preserve">     </w:t>
      </w:r>
      <w:bookmarkStart w:id="166" w:name="_bookmark54"/>
      <w:bookmarkEnd w:id="166"/>
      <w:r w:rsidRPr="00FD40B8">
        <w:rPr>
          <w:color w:val="131727" w:themeColor="text1"/>
          <w:w w:val="105"/>
          <w:position w:val="6"/>
          <w:sz w:val="10"/>
        </w:rPr>
        <w:t>45</w:t>
      </w:r>
      <w:r w:rsidRPr="00FD40B8">
        <w:rPr>
          <w:color w:val="131727" w:themeColor="text1"/>
          <w:spacing w:val="40"/>
          <w:w w:val="105"/>
          <w:position w:val="6"/>
          <w:sz w:val="10"/>
        </w:rPr>
        <w:t xml:space="preserve"> </w:t>
      </w:r>
      <w:r w:rsidRPr="00FD40B8">
        <w:rPr>
          <w:color w:val="131727" w:themeColor="text1"/>
          <w:w w:val="105"/>
          <w:sz w:val="16"/>
        </w:rPr>
        <w:t>National</w:t>
      </w:r>
      <w:r w:rsidRPr="00FD40B8">
        <w:rPr>
          <w:color w:val="131727" w:themeColor="text1"/>
          <w:spacing w:val="33"/>
          <w:w w:val="105"/>
          <w:sz w:val="16"/>
        </w:rPr>
        <w:t xml:space="preserve"> </w:t>
      </w:r>
      <w:r w:rsidRPr="00FD40B8">
        <w:rPr>
          <w:color w:val="131727" w:themeColor="text1"/>
          <w:w w:val="105"/>
          <w:sz w:val="16"/>
        </w:rPr>
        <w:t>Indigenous</w:t>
      </w:r>
      <w:r w:rsidRPr="00FD40B8">
        <w:rPr>
          <w:color w:val="131727" w:themeColor="text1"/>
          <w:spacing w:val="34"/>
          <w:w w:val="105"/>
          <w:sz w:val="16"/>
        </w:rPr>
        <w:t xml:space="preserve"> </w:t>
      </w:r>
      <w:r w:rsidRPr="00FD40B8">
        <w:rPr>
          <w:color w:val="131727" w:themeColor="text1"/>
          <w:w w:val="105"/>
          <w:sz w:val="16"/>
        </w:rPr>
        <w:t>Australians</w:t>
      </w:r>
      <w:r w:rsidRPr="00FD40B8">
        <w:rPr>
          <w:color w:val="131727" w:themeColor="text1"/>
          <w:spacing w:val="34"/>
          <w:w w:val="105"/>
          <w:sz w:val="16"/>
        </w:rPr>
        <w:t xml:space="preserve"> </w:t>
      </w:r>
      <w:r w:rsidRPr="00FD40B8">
        <w:rPr>
          <w:color w:val="131727" w:themeColor="text1"/>
          <w:w w:val="105"/>
          <w:sz w:val="16"/>
        </w:rPr>
        <w:t>Agency</w:t>
      </w:r>
      <w:r w:rsidRPr="00FD40B8">
        <w:rPr>
          <w:color w:val="131727" w:themeColor="text1"/>
          <w:spacing w:val="36"/>
          <w:w w:val="105"/>
          <w:sz w:val="16"/>
        </w:rPr>
        <w:t xml:space="preserve"> </w:t>
      </w:r>
      <w:r w:rsidRPr="00FD40B8">
        <w:rPr>
          <w:color w:val="131727" w:themeColor="text1"/>
          <w:w w:val="105"/>
          <w:sz w:val="16"/>
        </w:rPr>
        <w:t>2023.</w:t>
      </w:r>
      <w:r w:rsidRPr="00FD40B8">
        <w:rPr>
          <w:color w:val="131727" w:themeColor="text1"/>
          <w:spacing w:val="38"/>
          <w:w w:val="105"/>
          <w:sz w:val="16"/>
        </w:rPr>
        <w:t xml:space="preserve"> </w:t>
      </w:r>
      <w:r w:rsidRPr="00FD40B8">
        <w:rPr>
          <w:color w:val="131727" w:themeColor="text1"/>
          <w:w w:val="105"/>
          <w:sz w:val="16"/>
        </w:rPr>
        <w:t>National</w:t>
      </w:r>
      <w:r w:rsidRPr="00FD40B8">
        <w:rPr>
          <w:color w:val="131727" w:themeColor="text1"/>
          <w:spacing w:val="33"/>
          <w:w w:val="105"/>
          <w:sz w:val="16"/>
        </w:rPr>
        <w:t xml:space="preserve"> </w:t>
      </w:r>
      <w:r w:rsidRPr="00FD40B8">
        <w:rPr>
          <w:color w:val="131727" w:themeColor="text1"/>
          <w:w w:val="105"/>
          <w:sz w:val="16"/>
        </w:rPr>
        <w:t>Housing</w:t>
      </w:r>
      <w:r w:rsidRPr="00FD40B8">
        <w:rPr>
          <w:color w:val="131727" w:themeColor="text1"/>
          <w:spacing w:val="34"/>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Homelessness</w:t>
      </w:r>
      <w:r w:rsidRPr="00FD40B8">
        <w:rPr>
          <w:color w:val="131727" w:themeColor="text1"/>
          <w:spacing w:val="34"/>
          <w:w w:val="105"/>
          <w:sz w:val="16"/>
        </w:rPr>
        <w:t xml:space="preserve"> </w:t>
      </w:r>
      <w:r w:rsidRPr="00FD40B8">
        <w:rPr>
          <w:color w:val="131727" w:themeColor="text1"/>
          <w:w w:val="105"/>
          <w:sz w:val="16"/>
        </w:rPr>
        <w:t>Agreement</w:t>
      </w:r>
      <w:r w:rsidRPr="00FD40B8">
        <w:rPr>
          <w:color w:val="131727" w:themeColor="text1"/>
          <w:spacing w:val="36"/>
          <w:w w:val="105"/>
          <w:sz w:val="16"/>
        </w:rPr>
        <w:t xml:space="preserve"> </w:t>
      </w:r>
      <w:r w:rsidRPr="00FD40B8">
        <w:rPr>
          <w:color w:val="131727" w:themeColor="text1"/>
          <w:w w:val="105"/>
          <w:sz w:val="16"/>
        </w:rPr>
        <w:t>(NHHA).</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6"/>
          <w:w w:val="105"/>
          <w:sz w:val="16"/>
        </w:rPr>
        <w:t xml:space="preserve"> </w:t>
      </w:r>
      <w:r w:rsidRPr="00FD40B8">
        <w:rPr>
          <w:color w:val="131727" w:themeColor="text1"/>
          <w:w w:val="105"/>
          <w:sz w:val="16"/>
        </w:rPr>
        <w:t>at:</w:t>
      </w:r>
    </w:p>
    <w:p w14:paraId="2AEB4C2F" w14:textId="77777777" w:rsidR="00811887" w:rsidRPr="00FD40B8" w:rsidRDefault="00811887" w:rsidP="00811887">
      <w:pPr>
        <w:spacing w:before="5" w:line="266" w:lineRule="auto"/>
        <w:ind w:left="508" w:right="823"/>
        <w:rPr>
          <w:color w:val="131727" w:themeColor="text1"/>
          <w:sz w:val="16"/>
        </w:rPr>
      </w:pPr>
      <w:r w:rsidRPr="00FD40B8">
        <w:rPr>
          <w:color w:val="131727" w:themeColor="text1"/>
          <w:spacing w:val="-2"/>
          <w:w w:val="105"/>
          <w:sz w:val="16"/>
        </w:rPr>
        <w:t>https://</w:t>
      </w:r>
      <w:hyperlink r:id="rId93">
        <w:r w:rsidRPr="00FD40B8">
          <w:rPr>
            <w:color w:val="131727" w:themeColor="text1"/>
            <w:spacing w:val="-2"/>
            <w:w w:val="105"/>
            <w:sz w:val="16"/>
          </w:rPr>
          <w:t>www.niaa.gov.au/indigenous-affairs/closing-gap/implementation-measures/national-housing-and-homelessness-agreement-</w:t>
        </w:r>
      </w:hyperlink>
      <w:r w:rsidRPr="00FD40B8">
        <w:rPr>
          <w:color w:val="131727" w:themeColor="text1"/>
          <w:spacing w:val="80"/>
          <w:w w:val="105"/>
          <w:sz w:val="16"/>
        </w:rPr>
        <w:t xml:space="preserve">   </w:t>
      </w:r>
      <w:r w:rsidRPr="00FD40B8">
        <w:rPr>
          <w:color w:val="131727" w:themeColor="text1"/>
          <w:spacing w:val="-4"/>
          <w:w w:val="105"/>
          <w:sz w:val="16"/>
        </w:rPr>
        <w:t>nhha</w:t>
      </w:r>
    </w:p>
    <w:p w14:paraId="1FD66FFB"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0092BFE9" w14:textId="77777777" w:rsidR="00811887" w:rsidRPr="00FD40B8" w:rsidRDefault="00811887" w:rsidP="00811887">
      <w:pPr>
        <w:pStyle w:val="BodyText"/>
        <w:spacing w:before="103" w:line="256" w:lineRule="auto"/>
        <w:ind w:left="508" w:right="598"/>
        <w:rPr>
          <w:color w:val="131727" w:themeColor="text1"/>
          <w:sz w:val="13"/>
        </w:rPr>
      </w:pPr>
      <w:r w:rsidRPr="00FD40B8">
        <w:rPr>
          <w:color w:val="131727" w:themeColor="text1"/>
          <w:w w:val="110"/>
        </w:rPr>
        <w:lastRenderedPageBreak/>
        <w:t>housing</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2"/>
          <w:w w:val="110"/>
        </w:rPr>
        <w:t xml:space="preserve"> </w:t>
      </w:r>
      <w:r w:rsidRPr="00FD40B8">
        <w:rPr>
          <w:color w:val="131727" w:themeColor="text1"/>
          <w:w w:val="110"/>
        </w:rPr>
        <w:t>remote Aboriginal and</w:t>
      </w:r>
      <w:r w:rsidRPr="00FD40B8">
        <w:rPr>
          <w:color w:val="131727" w:themeColor="text1"/>
          <w:spacing w:val="-3"/>
          <w:w w:val="110"/>
        </w:rPr>
        <w:t xml:space="preserve"> </w:t>
      </w:r>
      <w:r w:rsidRPr="00FD40B8">
        <w:rPr>
          <w:color w:val="131727" w:themeColor="text1"/>
          <w:w w:val="110"/>
        </w:rPr>
        <w:t>Torres Strait</w:t>
      </w:r>
      <w:r w:rsidRPr="00FD40B8">
        <w:rPr>
          <w:color w:val="131727" w:themeColor="text1"/>
          <w:spacing w:val="-3"/>
          <w:w w:val="110"/>
        </w:rPr>
        <w:t xml:space="preserve"> </w:t>
      </w:r>
      <w:r w:rsidRPr="00FD40B8">
        <w:rPr>
          <w:color w:val="131727" w:themeColor="text1"/>
          <w:w w:val="110"/>
        </w:rPr>
        <w:t>Islander</w:t>
      </w:r>
      <w:r w:rsidRPr="00FD40B8">
        <w:rPr>
          <w:color w:val="131727" w:themeColor="text1"/>
          <w:spacing w:val="-1"/>
          <w:w w:val="110"/>
        </w:rPr>
        <w:t xml:space="preserve"> </w:t>
      </w:r>
      <w:r w:rsidRPr="00FD40B8">
        <w:rPr>
          <w:color w:val="131727" w:themeColor="text1"/>
          <w:w w:val="110"/>
        </w:rPr>
        <w:t>communities</w:t>
      </w:r>
      <w:r w:rsidRPr="00FD40B8">
        <w:rPr>
          <w:color w:val="131727" w:themeColor="text1"/>
          <w:spacing w:val="-1"/>
          <w:w w:val="110"/>
        </w:rPr>
        <w:t xml:space="preserve"> </w:t>
      </w:r>
      <w:r w:rsidRPr="00FD40B8">
        <w:rPr>
          <w:color w:val="131727" w:themeColor="text1"/>
          <w:w w:val="110"/>
        </w:rPr>
        <w:t>from</w:t>
      </w:r>
      <w:r w:rsidRPr="00FD40B8">
        <w:rPr>
          <w:color w:val="131727" w:themeColor="text1"/>
          <w:spacing w:val="-3"/>
          <w:w w:val="110"/>
        </w:rPr>
        <w:t xml:space="preserve"> </w:t>
      </w:r>
      <w:r w:rsidRPr="00FD40B8">
        <w:rPr>
          <w:color w:val="131727" w:themeColor="text1"/>
          <w:w w:val="110"/>
        </w:rPr>
        <w:t>the Housing</w:t>
      </w:r>
      <w:r w:rsidRPr="00FD40B8">
        <w:rPr>
          <w:color w:val="131727" w:themeColor="text1"/>
          <w:spacing w:val="-3"/>
          <w:w w:val="110"/>
        </w:rPr>
        <w:t xml:space="preserve"> </w:t>
      </w:r>
      <w:r w:rsidRPr="00FD40B8">
        <w:rPr>
          <w:color w:val="131727" w:themeColor="text1"/>
          <w:w w:val="110"/>
        </w:rPr>
        <w:t>Australia</w:t>
      </w:r>
      <w:r w:rsidRPr="00FD40B8">
        <w:rPr>
          <w:color w:val="131727" w:themeColor="text1"/>
          <w:spacing w:val="-4"/>
          <w:w w:val="110"/>
        </w:rPr>
        <w:t xml:space="preserve"> </w:t>
      </w:r>
      <w:r w:rsidRPr="00FD40B8">
        <w:rPr>
          <w:color w:val="131727" w:themeColor="text1"/>
          <w:w w:val="110"/>
        </w:rPr>
        <w:t xml:space="preserve">Future </w:t>
      </w:r>
      <w:r w:rsidRPr="00FD40B8">
        <w:rPr>
          <w:color w:val="131727" w:themeColor="text1"/>
          <w:spacing w:val="-2"/>
          <w:w w:val="110"/>
        </w:rPr>
        <w:t>Fund</w:t>
      </w:r>
      <w:hyperlink w:anchor="_bookmark55" w:history="1">
        <w:r w:rsidRPr="00FD40B8">
          <w:rPr>
            <w:color w:val="131727" w:themeColor="text1"/>
            <w:spacing w:val="-2"/>
            <w:w w:val="110"/>
          </w:rPr>
          <w:t>.</w:t>
        </w:r>
        <w:r w:rsidRPr="00FD40B8">
          <w:rPr>
            <w:color w:val="131727" w:themeColor="text1"/>
            <w:spacing w:val="-2"/>
            <w:w w:val="110"/>
            <w:position w:val="8"/>
            <w:sz w:val="13"/>
          </w:rPr>
          <w:t>46</w:t>
        </w:r>
      </w:hyperlink>
    </w:p>
    <w:p w14:paraId="18D90B50" w14:textId="77777777" w:rsidR="00811887" w:rsidRPr="00FD40B8" w:rsidRDefault="00811887" w:rsidP="00811887">
      <w:pPr>
        <w:pStyle w:val="BodyText"/>
        <w:spacing w:before="132" w:line="268" w:lineRule="auto"/>
        <w:ind w:left="508" w:right="598"/>
        <w:rPr>
          <w:color w:val="131727" w:themeColor="text1"/>
        </w:rPr>
      </w:pPr>
      <w:r w:rsidRPr="00FD40B8">
        <w:rPr>
          <w:color w:val="131727" w:themeColor="text1"/>
          <w:w w:val="110"/>
        </w:rPr>
        <w:t>The funding provided through these arrangements are also not allocated on need. Nor is the differing costs of delivery in jurisdictions taken into consideration. For example, general funding</w:t>
      </w:r>
      <w:r w:rsidRPr="00FD40B8">
        <w:rPr>
          <w:color w:val="131727" w:themeColor="text1"/>
          <w:spacing w:val="-1"/>
          <w:w w:val="110"/>
        </w:rPr>
        <w:t xml:space="preserve"> </w:t>
      </w:r>
      <w:r w:rsidRPr="00FD40B8">
        <w:rPr>
          <w:color w:val="131727" w:themeColor="text1"/>
          <w:w w:val="110"/>
        </w:rPr>
        <w:t>under the NHHA is distributed between states and territories according to the share of the total population in each jurisdiction. Homelessness funding is distributed according to the share of the homeless population in each jurisdiction</w:t>
      </w:r>
      <w:r w:rsidRPr="00FD40B8">
        <w:rPr>
          <w:color w:val="131727" w:themeColor="text1"/>
          <w:spacing w:val="-3"/>
          <w:w w:val="110"/>
        </w:rPr>
        <w:t xml:space="preserve"> </w:t>
      </w:r>
      <w:r w:rsidRPr="00FD40B8">
        <w:rPr>
          <w:color w:val="131727" w:themeColor="text1"/>
          <w:w w:val="110"/>
        </w:rPr>
        <w:t>based on the 2016 Census.</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PC’s review noted the</w:t>
      </w:r>
      <w:r w:rsidRPr="00FD40B8">
        <w:rPr>
          <w:color w:val="131727" w:themeColor="text1"/>
          <w:spacing w:val="-4"/>
          <w:w w:val="110"/>
        </w:rPr>
        <w:t xml:space="preserve"> </w:t>
      </w:r>
      <w:r w:rsidRPr="00FD40B8">
        <w:rPr>
          <w:color w:val="131727" w:themeColor="text1"/>
          <w:w w:val="110"/>
        </w:rPr>
        <w:t>impacts that these arrangements can have on meeting housing and homelessness needs across the country and highlighted stakeholder support for having these arrangements reviewed in a new Agreement. Under these circumstances, it is difficult to quantity</w:t>
      </w:r>
      <w:r w:rsidRPr="00FD40B8">
        <w:rPr>
          <w:color w:val="131727" w:themeColor="text1"/>
          <w:spacing w:val="-1"/>
          <w:w w:val="110"/>
        </w:rPr>
        <w:t xml:space="preserve"> </w:t>
      </w:r>
      <w:r w:rsidRPr="00FD40B8">
        <w:rPr>
          <w:color w:val="131727" w:themeColor="text1"/>
          <w:w w:val="110"/>
        </w:rPr>
        <w:t>but reasonable to conclude that existing effort is not sufficient to meet the overcrowding and homelessness needs of Aboriginal and Torres Strait Islander people.</w:t>
      </w:r>
    </w:p>
    <w:p w14:paraId="5993C258" w14:textId="77777777" w:rsidR="00811887" w:rsidRPr="00FD40B8" w:rsidRDefault="00811887" w:rsidP="00811887">
      <w:pPr>
        <w:pStyle w:val="BodyText"/>
        <w:spacing w:before="108" w:line="268" w:lineRule="auto"/>
        <w:ind w:left="508" w:right="532"/>
        <w:rPr>
          <w:color w:val="131727" w:themeColor="text1"/>
        </w:rPr>
      </w:pPr>
      <w:r w:rsidRPr="00FD40B8">
        <w:rPr>
          <w:color w:val="131727" w:themeColor="text1"/>
          <w:w w:val="110"/>
        </w:rPr>
        <w:t>State</w:t>
      </w:r>
      <w:r w:rsidRPr="00FD40B8">
        <w:rPr>
          <w:color w:val="131727" w:themeColor="text1"/>
          <w:spacing w:val="-4"/>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territory</w:t>
      </w:r>
      <w:r w:rsidRPr="00FD40B8">
        <w:rPr>
          <w:color w:val="131727" w:themeColor="text1"/>
          <w:spacing w:val="-5"/>
          <w:w w:val="110"/>
        </w:rPr>
        <w:t xml:space="preserve"> </w:t>
      </w:r>
      <w:r w:rsidRPr="00FD40B8">
        <w:rPr>
          <w:color w:val="131727" w:themeColor="text1"/>
          <w:w w:val="110"/>
        </w:rPr>
        <w:t>governments</w:t>
      </w:r>
      <w:r w:rsidRPr="00FD40B8">
        <w:rPr>
          <w:color w:val="131727" w:themeColor="text1"/>
          <w:spacing w:val="-1"/>
          <w:w w:val="110"/>
        </w:rPr>
        <w:t xml:space="preserve"> </w:t>
      </w:r>
      <w:r w:rsidRPr="00FD40B8">
        <w:rPr>
          <w:color w:val="131727" w:themeColor="text1"/>
          <w:w w:val="110"/>
        </w:rPr>
        <w:t>have</w:t>
      </w:r>
      <w:r w:rsidRPr="00FD40B8">
        <w:rPr>
          <w:color w:val="131727" w:themeColor="text1"/>
          <w:spacing w:val="-3"/>
          <w:w w:val="110"/>
        </w:rPr>
        <w:t xml:space="preserve"> </w:t>
      </w:r>
      <w:r w:rsidRPr="00FD40B8">
        <w:rPr>
          <w:color w:val="131727" w:themeColor="text1"/>
          <w:w w:val="110"/>
        </w:rPr>
        <w:t>their</w:t>
      </w:r>
      <w:r w:rsidRPr="00FD40B8">
        <w:rPr>
          <w:color w:val="131727" w:themeColor="text1"/>
          <w:spacing w:val="-5"/>
          <w:w w:val="110"/>
        </w:rPr>
        <w:t xml:space="preserve"> </w:t>
      </w:r>
      <w:r w:rsidRPr="00FD40B8">
        <w:rPr>
          <w:color w:val="131727" w:themeColor="text1"/>
          <w:w w:val="110"/>
        </w:rPr>
        <w:t>own</w:t>
      </w:r>
      <w:r w:rsidRPr="00FD40B8">
        <w:rPr>
          <w:color w:val="131727" w:themeColor="text1"/>
          <w:spacing w:val="-2"/>
          <w:w w:val="110"/>
        </w:rPr>
        <w:t xml:space="preserve"> </w:t>
      </w:r>
      <w:r w:rsidRPr="00FD40B8">
        <w:rPr>
          <w:color w:val="131727" w:themeColor="text1"/>
          <w:w w:val="110"/>
        </w:rPr>
        <w:t>social</w:t>
      </w:r>
      <w:r w:rsidRPr="00FD40B8">
        <w:rPr>
          <w:color w:val="131727" w:themeColor="text1"/>
          <w:spacing w:val="-6"/>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investments</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8"/>
          <w:w w:val="110"/>
        </w:rPr>
        <w:t xml:space="preserve"> </w:t>
      </w:r>
      <w:r w:rsidRPr="00FD40B8">
        <w:rPr>
          <w:color w:val="131727" w:themeColor="text1"/>
          <w:w w:val="110"/>
        </w:rPr>
        <w:t>strategies.</w:t>
      </w:r>
      <w:r w:rsidRPr="00FD40B8">
        <w:rPr>
          <w:color w:val="131727" w:themeColor="text1"/>
          <w:spacing w:val="-3"/>
          <w:w w:val="110"/>
        </w:rPr>
        <w:t xml:space="preserve"> </w:t>
      </w:r>
      <w:r w:rsidRPr="00FD40B8">
        <w:rPr>
          <w:color w:val="131727" w:themeColor="text1"/>
          <w:w w:val="110"/>
        </w:rPr>
        <w:t>Many</w:t>
      </w:r>
      <w:r w:rsidRPr="00FD40B8">
        <w:rPr>
          <w:color w:val="131727" w:themeColor="text1"/>
          <w:spacing w:val="-8"/>
          <w:w w:val="110"/>
        </w:rPr>
        <w:t xml:space="preserve"> </w:t>
      </w:r>
      <w:r w:rsidRPr="00FD40B8">
        <w:rPr>
          <w:color w:val="131727" w:themeColor="text1"/>
          <w:w w:val="110"/>
        </w:rPr>
        <w:t>of</w:t>
      </w:r>
      <w:r w:rsidRPr="00FD40B8">
        <w:rPr>
          <w:color w:val="131727" w:themeColor="text1"/>
          <w:spacing w:val="-6"/>
          <w:w w:val="110"/>
        </w:rPr>
        <w:t xml:space="preserve"> </w:t>
      </w:r>
      <w:r w:rsidRPr="00FD40B8">
        <w:rPr>
          <w:color w:val="131727" w:themeColor="text1"/>
          <w:w w:val="110"/>
        </w:rPr>
        <w:t>these also identify Aboriginal and Torres Strait Islander people as priority cohorts to benefit, but like the commonwealth investments, do not</w:t>
      </w:r>
      <w:r w:rsidRPr="00FD40B8">
        <w:rPr>
          <w:color w:val="131727" w:themeColor="text1"/>
          <w:spacing w:val="-1"/>
          <w:w w:val="110"/>
        </w:rPr>
        <w:t xml:space="preserve"> </w:t>
      </w:r>
      <w:r w:rsidRPr="00FD40B8">
        <w:rPr>
          <w:color w:val="131727" w:themeColor="text1"/>
          <w:w w:val="110"/>
        </w:rPr>
        <w:t>set out</w:t>
      </w:r>
      <w:r w:rsidRPr="00FD40B8">
        <w:rPr>
          <w:color w:val="131727" w:themeColor="text1"/>
          <w:spacing w:val="-1"/>
          <w:w w:val="110"/>
        </w:rPr>
        <w:t xml:space="preserve"> </w:t>
      </w:r>
      <w:r w:rsidRPr="00FD40B8">
        <w:rPr>
          <w:color w:val="131727" w:themeColor="text1"/>
          <w:w w:val="110"/>
        </w:rPr>
        <w:t>how this will be achieved. Further, whilst</w:t>
      </w:r>
      <w:r w:rsidRPr="00FD40B8">
        <w:rPr>
          <w:color w:val="131727" w:themeColor="text1"/>
          <w:spacing w:val="-1"/>
          <w:w w:val="110"/>
        </w:rPr>
        <w:t xml:space="preserve"> </w:t>
      </w:r>
      <w:r w:rsidRPr="00FD40B8">
        <w:rPr>
          <w:color w:val="131727" w:themeColor="text1"/>
          <w:w w:val="110"/>
        </w:rPr>
        <w:t>some state and territory investments set out targets for the number of houses to be built, and notwithstanding that this is not disaggregated for Aboriginal and Torres Strait Islander people, it is not done in a complete or consistent manner within and across jurisdictions. Consequently, we are unable to build a full, quantitative national picture of whether and how mainstream housing</w:t>
      </w:r>
      <w:r w:rsidRPr="00FD40B8">
        <w:rPr>
          <w:color w:val="131727" w:themeColor="text1"/>
          <w:spacing w:val="-1"/>
          <w:w w:val="110"/>
        </w:rPr>
        <w:t xml:space="preserve"> </w:t>
      </w:r>
      <w:r w:rsidRPr="00FD40B8">
        <w:rPr>
          <w:color w:val="131727" w:themeColor="text1"/>
          <w:w w:val="110"/>
        </w:rPr>
        <w:t>investments are contributing and sufficient to meet the needs of Aboriginal and Torres Strait Islander people, but it is again possible to draw the same conclusion that existing mainstream effort is not sufficient.</w:t>
      </w:r>
    </w:p>
    <w:p w14:paraId="14939DD9" w14:textId="77777777" w:rsidR="00811887" w:rsidRPr="00FD40B8" w:rsidRDefault="00811887" w:rsidP="00811887">
      <w:pPr>
        <w:spacing w:before="85"/>
        <w:ind w:left="508"/>
        <w:rPr>
          <w:rFonts w:ascii="Book Antiqua"/>
          <w:i/>
          <w:color w:val="131727" w:themeColor="text1"/>
          <w:sz w:val="24"/>
        </w:rPr>
      </w:pPr>
      <w:r w:rsidRPr="00FD40B8">
        <w:rPr>
          <w:rFonts w:ascii="Book Antiqua"/>
          <w:i/>
          <w:color w:val="131727" w:themeColor="text1"/>
          <w:sz w:val="24"/>
        </w:rPr>
        <w:t>Dedicated</w:t>
      </w:r>
      <w:r w:rsidRPr="00FD40B8">
        <w:rPr>
          <w:rFonts w:ascii="Book Antiqua"/>
          <w:i/>
          <w:color w:val="131727" w:themeColor="text1"/>
          <w:spacing w:val="-7"/>
          <w:sz w:val="24"/>
        </w:rPr>
        <w:t xml:space="preserve"> </w:t>
      </w:r>
      <w:r w:rsidRPr="00FD40B8">
        <w:rPr>
          <w:rFonts w:ascii="Book Antiqua"/>
          <w:i/>
          <w:color w:val="131727" w:themeColor="text1"/>
          <w:sz w:val="24"/>
        </w:rPr>
        <w:t>Aboriginal</w:t>
      </w:r>
      <w:r w:rsidRPr="00FD40B8">
        <w:rPr>
          <w:rFonts w:ascii="Book Antiqua"/>
          <w:i/>
          <w:color w:val="131727" w:themeColor="text1"/>
          <w:spacing w:val="-4"/>
          <w:sz w:val="24"/>
        </w:rPr>
        <w:t xml:space="preserve"> </w:t>
      </w:r>
      <w:r w:rsidRPr="00FD40B8">
        <w:rPr>
          <w:rFonts w:ascii="Book Antiqua"/>
          <w:i/>
          <w:color w:val="131727" w:themeColor="text1"/>
          <w:sz w:val="24"/>
        </w:rPr>
        <w:t>and</w:t>
      </w:r>
      <w:r w:rsidRPr="00FD40B8">
        <w:rPr>
          <w:rFonts w:ascii="Book Antiqua"/>
          <w:i/>
          <w:color w:val="131727" w:themeColor="text1"/>
          <w:spacing w:val="-4"/>
          <w:sz w:val="24"/>
        </w:rPr>
        <w:t xml:space="preserve"> </w:t>
      </w:r>
      <w:r w:rsidRPr="00FD40B8">
        <w:rPr>
          <w:rFonts w:ascii="Book Antiqua"/>
          <w:i/>
          <w:color w:val="131727" w:themeColor="text1"/>
          <w:sz w:val="24"/>
        </w:rPr>
        <w:t>Torres</w:t>
      </w:r>
      <w:r w:rsidRPr="00FD40B8">
        <w:rPr>
          <w:rFonts w:ascii="Book Antiqua"/>
          <w:i/>
          <w:color w:val="131727" w:themeColor="text1"/>
          <w:spacing w:val="-6"/>
          <w:sz w:val="24"/>
        </w:rPr>
        <w:t xml:space="preserve"> </w:t>
      </w:r>
      <w:r w:rsidRPr="00FD40B8">
        <w:rPr>
          <w:rFonts w:ascii="Book Antiqua"/>
          <w:i/>
          <w:color w:val="131727" w:themeColor="text1"/>
          <w:sz w:val="24"/>
        </w:rPr>
        <w:t>Strait</w:t>
      </w:r>
      <w:r w:rsidRPr="00FD40B8">
        <w:rPr>
          <w:rFonts w:ascii="Book Antiqua"/>
          <w:i/>
          <w:color w:val="131727" w:themeColor="text1"/>
          <w:spacing w:val="-3"/>
          <w:sz w:val="24"/>
        </w:rPr>
        <w:t xml:space="preserve"> </w:t>
      </w:r>
      <w:r w:rsidRPr="00FD40B8">
        <w:rPr>
          <w:rFonts w:ascii="Book Antiqua"/>
          <w:i/>
          <w:color w:val="131727" w:themeColor="text1"/>
          <w:sz w:val="24"/>
        </w:rPr>
        <w:t>Islander</w:t>
      </w:r>
      <w:r w:rsidRPr="00FD40B8">
        <w:rPr>
          <w:rFonts w:ascii="Book Antiqua"/>
          <w:i/>
          <w:color w:val="131727" w:themeColor="text1"/>
          <w:spacing w:val="-6"/>
          <w:sz w:val="24"/>
        </w:rPr>
        <w:t xml:space="preserve"> </w:t>
      </w:r>
      <w:r w:rsidRPr="00FD40B8">
        <w:rPr>
          <w:rFonts w:ascii="Book Antiqua"/>
          <w:i/>
          <w:color w:val="131727" w:themeColor="text1"/>
          <w:sz w:val="24"/>
        </w:rPr>
        <w:t>housing</w:t>
      </w:r>
      <w:r w:rsidRPr="00FD40B8">
        <w:rPr>
          <w:rFonts w:ascii="Book Antiqua"/>
          <w:i/>
          <w:color w:val="131727" w:themeColor="text1"/>
          <w:spacing w:val="-4"/>
          <w:sz w:val="24"/>
        </w:rPr>
        <w:t xml:space="preserve"> </w:t>
      </w:r>
      <w:r w:rsidRPr="00FD40B8">
        <w:rPr>
          <w:rFonts w:ascii="Book Antiqua"/>
          <w:i/>
          <w:color w:val="131727" w:themeColor="text1"/>
          <w:spacing w:val="-2"/>
          <w:sz w:val="24"/>
        </w:rPr>
        <w:t>investments</w:t>
      </w:r>
    </w:p>
    <w:p w14:paraId="7E1B50F7" w14:textId="77777777" w:rsidR="00811887" w:rsidRPr="00FD40B8" w:rsidRDefault="00811887" w:rsidP="00811887">
      <w:pPr>
        <w:pStyle w:val="BodyText"/>
        <w:spacing w:before="146" w:line="266" w:lineRule="auto"/>
        <w:ind w:left="508" w:right="576"/>
        <w:rPr>
          <w:color w:val="131727" w:themeColor="text1"/>
        </w:rPr>
      </w:pPr>
      <w:r w:rsidRPr="00FD40B8">
        <w:rPr>
          <w:color w:val="131727" w:themeColor="text1"/>
          <w:w w:val="110"/>
        </w:rPr>
        <w:t>In</w:t>
      </w:r>
      <w:r w:rsidRPr="00FD40B8">
        <w:rPr>
          <w:color w:val="131727" w:themeColor="text1"/>
          <w:spacing w:val="-2"/>
          <w:w w:val="110"/>
        </w:rPr>
        <w:t xml:space="preserve"> </w:t>
      </w:r>
      <w:r w:rsidRPr="00FD40B8">
        <w:rPr>
          <w:color w:val="131727" w:themeColor="text1"/>
          <w:w w:val="110"/>
        </w:rPr>
        <w:t>2020,</w:t>
      </w:r>
      <w:r w:rsidRPr="00FD40B8">
        <w:rPr>
          <w:color w:val="131727" w:themeColor="text1"/>
          <w:spacing w:val="-3"/>
          <w:w w:val="110"/>
        </w:rPr>
        <w:t xml:space="preserve"> </w:t>
      </w:r>
      <w:r w:rsidRPr="00FD40B8">
        <w:rPr>
          <w:color w:val="131727" w:themeColor="text1"/>
          <w:w w:val="110"/>
        </w:rPr>
        <w:t>through</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efforts</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newly</w:t>
      </w:r>
      <w:r w:rsidRPr="00FD40B8">
        <w:rPr>
          <w:color w:val="131727" w:themeColor="text1"/>
          <w:spacing w:val="-5"/>
          <w:w w:val="110"/>
        </w:rPr>
        <w:t xml:space="preserve"> </w:t>
      </w:r>
      <w:r w:rsidRPr="00FD40B8">
        <w:rPr>
          <w:color w:val="131727" w:themeColor="text1"/>
          <w:w w:val="110"/>
        </w:rPr>
        <w:t>formed</w:t>
      </w:r>
      <w:r w:rsidRPr="00FD40B8">
        <w:rPr>
          <w:color w:val="131727" w:themeColor="text1"/>
          <w:spacing w:val="-3"/>
          <w:w w:val="110"/>
        </w:rPr>
        <w:t xml:space="preserve"> </w:t>
      </w:r>
      <w:r w:rsidRPr="00FD40B8">
        <w:rPr>
          <w:color w:val="131727" w:themeColor="text1"/>
          <w:w w:val="110"/>
        </w:rPr>
        <w:t>Coalition</w:t>
      </w:r>
      <w:r w:rsidRPr="00FD40B8">
        <w:rPr>
          <w:color w:val="131727" w:themeColor="text1"/>
          <w:spacing w:val="-2"/>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Peaks,</w:t>
      </w:r>
      <w:r w:rsidRPr="00FD40B8">
        <w:rPr>
          <w:color w:val="131727" w:themeColor="text1"/>
          <w:spacing w:val="-3"/>
          <w:w w:val="110"/>
        </w:rPr>
        <w:t xml:space="preserve"> </w:t>
      </w:r>
      <w:r w:rsidRPr="00FD40B8">
        <w:rPr>
          <w:color w:val="131727" w:themeColor="text1"/>
          <w:w w:val="110"/>
        </w:rPr>
        <w:t>there</w:t>
      </w:r>
      <w:r w:rsidRPr="00FD40B8">
        <w:rPr>
          <w:color w:val="131727" w:themeColor="text1"/>
          <w:spacing w:val="-7"/>
          <w:w w:val="110"/>
        </w:rPr>
        <w:t xml:space="preserve"> </w:t>
      </w:r>
      <w:r w:rsidRPr="00FD40B8">
        <w:rPr>
          <w:color w:val="131727" w:themeColor="text1"/>
          <w:w w:val="110"/>
        </w:rPr>
        <w:t>has</w:t>
      </w:r>
      <w:r w:rsidRPr="00FD40B8">
        <w:rPr>
          <w:color w:val="131727" w:themeColor="text1"/>
          <w:spacing w:val="-1"/>
          <w:w w:val="110"/>
        </w:rPr>
        <w:t xml:space="preserve"> </w:t>
      </w:r>
      <w:r w:rsidRPr="00FD40B8">
        <w:rPr>
          <w:color w:val="131727" w:themeColor="text1"/>
          <w:w w:val="110"/>
        </w:rPr>
        <w:t>been</w:t>
      </w:r>
      <w:r w:rsidRPr="00FD40B8">
        <w:rPr>
          <w:color w:val="131727" w:themeColor="text1"/>
          <w:spacing w:val="-3"/>
          <w:w w:val="110"/>
        </w:rPr>
        <w:t xml:space="preserve"> </w:t>
      </w:r>
      <w:r w:rsidRPr="00FD40B8">
        <w:rPr>
          <w:color w:val="131727" w:themeColor="text1"/>
          <w:w w:val="110"/>
        </w:rPr>
        <w:t>a</w:t>
      </w:r>
      <w:r w:rsidRPr="00FD40B8">
        <w:rPr>
          <w:color w:val="131727" w:themeColor="text1"/>
          <w:spacing w:val="-4"/>
          <w:w w:val="110"/>
        </w:rPr>
        <w:t xml:space="preserve"> </w:t>
      </w:r>
      <w:r w:rsidRPr="00FD40B8">
        <w:rPr>
          <w:color w:val="131727" w:themeColor="text1"/>
          <w:w w:val="110"/>
        </w:rPr>
        <w:t>renewed</w:t>
      </w:r>
      <w:r w:rsidRPr="00FD40B8">
        <w:rPr>
          <w:color w:val="131727" w:themeColor="text1"/>
          <w:spacing w:val="-7"/>
          <w:w w:val="110"/>
        </w:rPr>
        <w:t xml:space="preserve"> </w:t>
      </w:r>
      <w:r w:rsidRPr="00FD40B8">
        <w:rPr>
          <w:color w:val="131727" w:themeColor="text1"/>
          <w:w w:val="110"/>
        </w:rPr>
        <w:t>dedicated focus on Aboriginal and Torres Strait Islander housing needs and the responsibility of the Commonwealth.</w:t>
      </w:r>
      <w:r w:rsidRPr="00FD40B8">
        <w:rPr>
          <w:color w:val="131727" w:themeColor="text1"/>
          <w:spacing w:val="-10"/>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Closing</w:t>
      </w:r>
      <w:r w:rsidRPr="00FD40B8">
        <w:rPr>
          <w:color w:val="131727" w:themeColor="text1"/>
          <w:spacing w:val="-10"/>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Gap</w:t>
      </w:r>
      <w:r w:rsidRPr="00FD40B8">
        <w:rPr>
          <w:color w:val="131727" w:themeColor="text1"/>
          <w:spacing w:val="-10"/>
          <w:w w:val="110"/>
        </w:rPr>
        <w:t xml:space="preserve"> </w:t>
      </w:r>
      <w:r w:rsidRPr="00FD40B8">
        <w:rPr>
          <w:color w:val="131727" w:themeColor="text1"/>
          <w:w w:val="110"/>
        </w:rPr>
        <w:t>Agreement,</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first</w:t>
      </w:r>
      <w:r w:rsidRPr="00FD40B8">
        <w:rPr>
          <w:color w:val="131727" w:themeColor="text1"/>
          <w:spacing w:val="-6"/>
          <w:w w:val="110"/>
        </w:rPr>
        <w:t xml:space="preserve"> </w:t>
      </w:r>
      <w:r w:rsidRPr="00FD40B8">
        <w:rPr>
          <w:color w:val="131727" w:themeColor="text1"/>
          <w:w w:val="110"/>
        </w:rPr>
        <w:t>ever</w:t>
      </w:r>
      <w:r w:rsidRPr="00FD40B8">
        <w:rPr>
          <w:color w:val="131727" w:themeColor="text1"/>
          <w:spacing w:val="-2"/>
          <w:w w:val="110"/>
        </w:rPr>
        <w:t xml:space="preserve"> </w:t>
      </w:r>
      <w:r w:rsidRPr="00FD40B8">
        <w:rPr>
          <w:color w:val="131727" w:themeColor="text1"/>
          <w:w w:val="110"/>
        </w:rPr>
        <w:t>intergovernmental</w:t>
      </w:r>
      <w:r w:rsidRPr="00FD40B8">
        <w:rPr>
          <w:color w:val="131727" w:themeColor="text1"/>
          <w:spacing w:val="-2"/>
          <w:w w:val="110"/>
        </w:rPr>
        <w:t xml:space="preserve"> </w:t>
      </w:r>
      <w:r w:rsidRPr="00FD40B8">
        <w:rPr>
          <w:color w:val="131727" w:themeColor="text1"/>
          <w:w w:val="110"/>
        </w:rPr>
        <w:t>agreement</w:t>
      </w:r>
      <w:r w:rsidRPr="00FD40B8">
        <w:rPr>
          <w:color w:val="131727" w:themeColor="text1"/>
          <w:spacing w:val="-10"/>
          <w:w w:val="110"/>
        </w:rPr>
        <w:t xml:space="preserve"> </w:t>
      </w:r>
      <w:r w:rsidRPr="00FD40B8">
        <w:rPr>
          <w:color w:val="131727" w:themeColor="text1"/>
          <w:w w:val="110"/>
        </w:rPr>
        <w:t>negotiated and agreed between all Australian governments and Aboriginal and Torres Strait Islander representatives, sets out housing as a key policy priority</w:t>
      </w:r>
      <w:hyperlink w:anchor="_bookmark56" w:history="1">
        <w:r w:rsidRPr="00FD40B8">
          <w:rPr>
            <w:color w:val="131727" w:themeColor="text1"/>
            <w:w w:val="110"/>
          </w:rPr>
          <w:t>.</w:t>
        </w:r>
        <w:r w:rsidRPr="00FD40B8">
          <w:rPr>
            <w:color w:val="131727" w:themeColor="text1"/>
            <w:w w:val="110"/>
            <w:position w:val="8"/>
            <w:sz w:val="13"/>
          </w:rPr>
          <w:t>47</w:t>
        </w:r>
      </w:hyperlink>
      <w:r w:rsidRPr="00FD40B8">
        <w:rPr>
          <w:color w:val="131727" w:themeColor="text1"/>
          <w:spacing w:val="22"/>
          <w:w w:val="110"/>
          <w:position w:val="8"/>
          <w:sz w:val="13"/>
        </w:rPr>
        <w:t xml:space="preserve"> </w:t>
      </w:r>
      <w:r w:rsidRPr="00FD40B8">
        <w:rPr>
          <w:color w:val="131727" w:themeColor="text1"/>
          <w:w w:val="110"/>
        </w:rPr>
        <w:t>As summarised in Box 1, the Closing the Gap Agreement</w:t>
      </w:r>
      <w:r w:rsidRPr="00FD40B8">
        <w:rPr>
          <w:color w:val="131727" w:themeColor="text1"/>
          <w:spacing w:val="-2"/>
          <w:w w:val="110"/>
        </w:rPr>
        <w:t xml:space="preserve"> </w:t>
      </w:r>
      <w:r w:rsidRPr="00FD40B8">
        <w:rPr>
          <w:color w:val="131727" w:themeColor="text1"/>
          <w:w w:val="110"/>
        </w:rPr>
        <w:t>introduces a</w:t>
      </w:r>
      <w:r w:rsidRPr="00FD40B8">
        <w:rPr>
          <w:color w:val="131727" w:themeColor="text1"/>
          <w:spacing w:val="-4"/>
          <w:w w:val="110"/>
        </w:rPr>
        <w:t xml:space="preserve"> </w:t>
      </w:r>
      <w:r w:rsidRPr="00FD40B8">
        <w:rPr>
          <w:color w:val="131727" w:themeColor="text1"/>
          <w:w w:val="110"/>
        </w:rPr>
        <w:t>housing</w:t>
      </w:r>
      <w:r w:rsidRPr="00FD40B8">
        <w:rPr>
          <w:color w:val="131727" w:themeColor="text1"/>
          <w:spacing w:val="-3"/>
          <w:w w:val="110"/>
        </w:rPr>
        <w:t xml:space="preserve"> </w:t>
      </w:r>
      <w:r w:rsidRPr="00FD40B8">
        <w:rPr>
          <w:color w:val="131727" w:themeColor="text1"/>
          <w:w w:val="110"/>
        </w:rPr>
        <w:t>“outcome” and a</w:t>
      </w:r>
      <w:r w:rsidRPr="00FD40B8">
        <w:rPr>
          <w:color w:val="131727" w:themeColor="text1"/>
          <w:spacing w:val="-3"/>
          <w:w w:val="110"/>
        </w:rPr>
        <w:t xml:space="preserve"> </w:t>
      </w:r>
      <w:r w:rsidRPr="00FD40B8">
        <w:rPr>
          <w:color w:val="131727" w:themeColor="text1"/>
          <w:w w:val="110"/>
        </w:rPr>
        <w:t>housing related</w:t>
      </w:r>
      <w:r w:rsidRPr="00FD40B8">
        <w:rPr>
          <w:color w:val="131727" w:themeColor="text1"/>
          <w:spacing w:val="-3"/>
          <w:w w:val="110"/>
        </w:rPr>
        <w:t xml:space="preserve"> </w:t>
      </w:r>
      <w:r w:rsidRPr="00FD40B8">
        <w:rPr>
          <w:color w:val="131727" w:themeColor="text1"/>
          <w:w w:val="110"/>
        </w:rPr>
        <w:t>“target”</w:t>
      </w:r>
      <w:r w:rsidRPr="00FD40B8">
        <w:rPr>
          <w:color w:val="131727" w:themeColor="text1"/>
          <w:spacing w:val="-1"/>
          <w:w w:val="110"/>
        </w:rPr>
        <w:t xml:space="preserve"> </w:t>
      </w:r>
      <w:r w:rsidRPr="00FD40B8">
        <w:rPr>
          <w:color w:val="131727" w:themeColor="text1"/>
          <w:w w:val="110"/>
        </w:rPr>
        <w:t>for the</w:t>
      </w:r>
      <w:r w:rsidRPr="00FD40B8">
        <w:rPr>
          <w:color w:val="131727" w:themeColor="text1"/>
          <w:spacing w:val="-3"/>
          <w:w w:val="110"/>
        </w:rPr>
        <w:t xml:space="preserve"> </w:t>
      </w:r>
      <w:r w:rsidRPr="00FD40B8">
        <w:rPr>
          <w:color w:val="131727" w:themeColor="text1"/>
          <w:w w:val="110"/>
        </w:rPr>
        <w:t>first time</w:t>
      </w:r>
      <w:r w:rsidRPr="00FD40B8">
        <w:rPr>
          <w:color w:val="131727" w:themeColor="text1"/>
          <w:spacing w:val="-3"/>
          <w:w w:val="110"/>
        </w:rPr>
        <w:t xml:space="preserve"> </w:t>
      </w:r>
      <w:r w:rsidRPr="00FD40B8">
        <w:rPr>
          <w:color w:val="131727" w:themeColor="text1"/>
          <w:w w:val="110"/>
        </w:rPr>
        <w:t>into the Closing the Gap reporting. It also acknowledges the importance of housing and community related infrastructure through the addition of a new dedicated “target”.</w:t>
      </w:r>
    </w:p>
    <w:p w14:paraId="78FE0A57" w14:textId="77777777" w:rsidR="00811887" w:rsidRPr="00FD40B8" w:rsidRDefault="00811887" w:rsidP="00811887">
      <w:pPr>
        <w:spacing w:before="222"/>
        <w:ind w:left="508"/>
        <w:rPr>
          <w:rFonts w:ascii="Book Antiqua"/>
          <w:b/>
          <w:color w:val="131727" w:themeColor="text1"/>
          <w:sz w:val="20"/>
        </w:rPr>
      </w:pPr>
      <w:r w:rsidRPr="00FD40B8">
        <w:rPr>
          <w:rFonts w:ascii="Book Antiqua"/>
          <w:b/>
          <w:color w:val="131727" w:themeColor="text1"/>
          <w:sz w:val="20"/>
        </w:rPr>
        <w:t>Box</w:t>
      </w:r>
      <w:r w:rsidRPr="00FD40B8">
        <w:rPr>
          <w:rFonts w:ascii="Book Antiqua"/>
          <w:b/>
          <w:color w:val="131727" w:themeColor="text1"/>
          <w:spacing w:val="-4"/>
          <w:sz w:val="20"/>
        </w:rPr>
        <w:t xml:space="preserve"> </w:t>
      </w:r>
      <w:r w:rsidRPr="00FD40B8">
        <w:rPr>
          <w:rFonts w:ascii="Book Antiqua"/>
          <w:b/>
          <w:color w:val="131727" w:themeColor="text1"/>
          <w:sz w:val="20"/>
        </w:rPr>
        <w:t>2.</w:t>
      </w:r>
      <w:r w:rsidRPr="00FD40B8">
        <w:rPr>
          <w:rFonts w:ascii="Book Antiqua"/>
          <w:b/>
          <w:color w:val="131727" w:themeColor="text1"/>
          <w:spacing w:val="-3"/>
          <w:sz w:val="20"/>
        </w:rPr>
        <w:t xml:space="preserve"> </w:t>
      </w:r>
      <w:r w:rsidRPr="00FD40B8">
        <w:rPr>
          <w:rFonts w:ascii="Book Antiqua"/>
          <w:b/>
          <w:color w:val="131727" w:themeColor="text1"/>
          <w:sz w:val="20"/>
        </w:rPr>
        <w:t>National</w:t>
      </w:r>
      <w:r w:rsidRPr="00FD40B8">
        <w:rPr>
          <w:rFonts w:ascii="Book Antiqua"/>
          <w:b/>
          <w:color w:val="131727" w:themeColor="text1"/>
          <w:spacing w:val="-8"/>
          <w:sz w:val="20"/>
        </w:rPr>
        <w:t xml:space="preserve"> </w:t>
      </w:r>
      <w:r w:rsidRPr="00FD40B8">
        <w:rPr>
          <w:rFonts w:ascii="Book Antiqua"/>
          <w:b/>
          <w:color w:val="131727" w:themeColor="text1"/>
          <w:sz w:val="20"/>
        </w:rPr>
        <w:t>Agreement</w:t>
      </w:r>
      <w:r w:rsidRPr="00FD40B8">
        <w:rPr>
          <w:rFonts w:ascii="Book Antiqua"/>
          <w:b/>
          <w:color w:val="131727" w:themeColor="text1"/>
          <w:spacing w:val="-9"/>
          <w:sz w:val="20"/>
        </w:rPr>
        <w:t xml:space="preserve"> </w:t>
      </w:r>
      <w:r w:rsidRPr="00FD40B8">
        <w:rPr>
          <w:rFonts w:ascii="Book Antiqua"/>
          <w:b/>
          <w:color w:val="131727" w:themeColor="text1"/>
          <w:sz w:val="20"/>
        </w:rPr>
        <w:t>on</w:t>
      </w:r>
      <w:r w:rsidRPr="00FD40B8">
        <w:rPr>
          <w:rFonts w:ascii="Book Antiqua"/>
          <w:b/>
          <w:color w:val="131727" w:themeColor="text1"/>
          <w:spacing w:val="-6"/>
          <w:sz w:val="20"/>
        </w:rPr>
        <w:t xml:space="preserve"> </w:t>
      </w:r>
      <w:r w:rsidRPr="00FD40B8">
        <w:rPr>
          <w:rFonts w:ascii="Book Antiqua"/>
          <w:b/>
          <w:color w:val="131727" w:themeColor="text1"/>
          <w:sz w:val="20"/>
        </w:rPr>
        <w:t>Closing</w:t>
      </w:r>
      <w:r w:rsidRPr="00FD40B8">
        <w:rPr>
          <w:rFonts w:ascii="Book Antiqua"/>
          <w:b/>
          <w:color w:val="131727" w:themeColor="text1"/>
          <w:spacing w:val="-10"/>
          <w:sz w:val="20"/>
        </w:rPr>
        <w:t xml:space="preserve"> </w:t>
      </w:r>
      <w:r w:rsidRPr="00FD40B8">
        <w:rPr>
          <w:rFonts w:ascii="Book Antiqua"/>
          <w:b/>
          <w:color w:val="131727" w:themeColor="text1"/>
          <w:sz w:val="20"/>
        </w:rPr>
        <w:t>the</w:t>
      </w:r>
      <w:r w:rsidRPr="00FD40B8">
        <w:rPr>
          <w:rFonts w:ascii="Book Antiqua"/>
          <w:b/>
          <w:color w:val="131727" w:themeColor="text1"/>
          <w:spacing w:val="-8"/>
          <w:sz w:val="20"/>
        </w:rPr>
        <w:t xml:space="preserve"> </w:t>
      </w:r>
      <w:r w:rsidRPr="00FD40B8">
        <w:rPr>
          <w:rFonts w:ascii="Book Antiqua"/>
          <w:b/>
          <w:color w:val="131727" w:themeColor="text1"/>
          <w:sz w:val="20"/>
        </w:rPr>
        <w:t>Gap</w:t>
      </w:r>
      <w:r w:rsidRPr="00FD40B8">
        <w:rPr>
          <w:rFonts w:ascii="Book Antiqua"/>
          <w:b/>
          <w:color w:val="131727" w:themeColor="text1"/>
          <w:spacing w:val="-7"/>
          <w:sz w:val="20"/>
        </w:rPr>
        <w:t xml:space="preserve"> </w:t>
      </w:r>
      <w:r w:rsidRPr="00FD40B8">
        <w:rPr>
          <w:rFonts w:ascii="Book Antiqua"/>
          <w:b/>
          <w:color w:val="131727" w:themeColor="text1"/>
          <w:sz w:val="20"/>
        </w:rPr>
        <w:t>Housing</w:t>
      </w:r>
      <w:r w:rsidRPr="00FD40B8">
        <w:rPr>
          <w:rFonts w:ascii="Book Antiqua"/>
          <w:b/>
          <w:color w:val="131727" w:themeColor="text1"/>
          <w:spacing w:val="-5"/>
          <w:sz w:val="20"/>
        </w:rPr>
        <w:t xml:space="preserve"> </w:t>
      </w:r>
      <w:r w:rsidRPr="00FD40B8">
        <w:rPr>
          <w:rFonts w:ascii="Book Antiqua"/>
          <w:b/>
          <w:color w:val="131727" w:themeColor="text1"/>
          <w:sz w:val="20"/>
        </w:rPr>
        <w:t>Outcome</w:t>
      </w:r>
      <w:r w:rsidRPr="00FD40B8">
        <w:rPr>
          <w:rFonts w:ascii="Book Antiqua"/>
          <w:b/>
          <w:color w:val="131727" w:themeColor="text1"/>
          <w:spacing w:val="-9"/>
          <w:sz w:val="20"/>
        </w:rPr>
        <w:t xml:space="preserve"> </w:t>
      </w:r>
      <w:r w:rsidRPr="00FD40B8">
        <w:rPr>
          <w:rFonts w:ascii="Book Antiqua"/>
          <w:b/>
          <w:color w:val="131727" w:themeColor="text1"/>
          <w:sz w:val="20"/>
        </w:rPr>
        <w:t>and</w:t>
      </w:r>
      <w:r w:rsidRPr="00FD40B8">
        <w:rPr>
          <w:rFonts w:ascii="Book Antiqua"/>
          <w:b/>
          <w:color w:val="131727" w:themeColor="text1"/>
          <w:spacing w:val="-6"/>
          <w:sz w:val="20"/>
        </w:rPr>
        <w:t xml:space="preserve"> </w:t>
      </w:r>
      <w:r w:rsidRPr="00FD40B8">
        <w:rPr>
          <w:rFonts w:ascii="Book Antiqua"/>
          <w:b/>
          <w:color w:val="131727" w:themeColor="text1"/>
          <w:spacing w:val="-2"/>
          <w:sz w:val="20"/>
        </w:rPr>
        <w:t>Targets</w:t>
      </w:r>
    </w:p>
    <w:p w14:paraId="44DF9A20" w14:textId="77777777" w:rsidR="00811887" w:rsidRPr="00D373F5" w:rsidRDefault="00811887" w:rsidP="00811887">
      <w:pPr>
        <w:spacing w:before="222"/>
        <w:ind w:left="567" w:right="567"/>
        <w:rPr>
          <w:rFonts w:ascii="Times New Roman" w:hAnsi="Times New Roman" w:cs="Times New Roman"/>
          <w:bCs/>
          <w:color w:val="131727" w:themeColor="text1"/>
          <w:sz w:val="18"/>
          <w:szCs w:val="20"/>
        </w:rPr>
      </w:pPr>
      <w:r>
        <w:rPr>
          <w:noProof/>
        </w:rPr>
        <mc:AlternateContent>
          <mc:Choice Requires="wps">
            <w:drawing>
              <wp:anchor distT="0" distB="0" distL="114300" distR="114300" simplePos="0" relativeHeight="251790336" behindDoc="1" locked="0" layoutInCell="1" allowOverlap="1" wp14:anchorId="32CBB6E6" wp14:editId="4C346594">
                <wp:simplePos x="0" y="0"/>
                <wp:positionH relativeFrom="margin">
                  <wp:posOffset>301996</wp:posOffset>
                </wp:positionH>
                <wp:positionV relativeFrom="paragraph">
                  <wp:posOffset>71894</wp:posOffset>
                </wp:positionV>
                <wp:extent cx="5890161" cy="1983179"/>
                <wp:effectExtent l="0" t="0" r="0" b="0"/>
                <wp:wrapNone/>
                <wp:docPr id="810679585"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0161" cy="1983179"/>
                        </a:xfrm>
                        <a:prstGeom prst="rect">
                          <a:avLst/>
                        </a:prstGeom>
                        <a:solidFill>
                          <a:srgbClr val="CFDFDD"/>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88161" id="Rectangle 3" o:spid="_x0000_s1026" alt="&quot;&quot;" style="position:absolute;margin-left:23.8pt;margin-top:5.65pt;width:463.8pt;height:156.15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" fillcolor="#cfdfdd" stroked="f" strokeweight=".5pt">
                <w10:wrap anchorx="margin"/>
              </v:rect>
            </w:pict>
          </mc:Fallback>
        </mc:AlternateContent>
      </w:r>
      <w:r w:rsidRPr="00D373F5">
        <w:rPr>
          <w:rFonts w:ascii="Times New Roman" w:hAnsi="Times New Roman" w:cs="Times New Roman"/>
          <w:bCs/>
          <w:color w:val="131727" w:themeColor="text1"/>
          <w:sz w:val="18"/>
          <w:szCs w:val="20"/>
        </w:rPr>
        <w:t>Outcome 9: Aboriginal And Torres Strait Islander people secure appropriate, affordable housing that is aligned with their priorities and need.</w:t>
      </w:r>
    </w:p>
    <w:p w14:paraId="51289477" w14:textId="77777777" w:rsidR="00811887" w:rsidRPr="00D373F5" w:rsidRDefault="00811887" w:rsidP="00811887">
      <w:pPr>
        <w:spacing w:before="222"/>
        <w:ind w:left="567" w:right="567"/>
        <w:rPr>
          <w:rFonts w:ascii="Times New Roman" w:hAnsi="Times New Roman" w:cs="Times New Roman"/>
          <w:bCs/>
          <w:color w:val="131727" w:themeColor="text1"/>
          <w:sz w:val="18"/>
          <w:szCs w:val="20"/>
        </w:rPr>
      </w:pPr>
      <w:r w:rsidRPr="00D373F5">
        <w:rPr>
          <w:rFonts w:ascii="Times New Roman" w:hAnsi="Times New Roman" w:cs="Times New Roman"/>
          <w:bCs/>
          <w:color w:val="131727" w:themeColor="text1"/>
          <w:sz w:val="18"/>
          <w:szCs w:val="20"/>
        </w:rPr>
        <w:t>Target 9a: By 2031, increase the proportion of Aboriginal and Torres Strait Islander people living in appropriately sized (not overcrowded) housing to 88 per cent.</w:t>
      </w:r>
    </w:p>
    <w:p w14:paraId="1CD48714" w14:textId="77777777" w:rsidR="00811887" w:rsidRPr="00D373F5" w:rsidRDefault="00811887" w:rsidP="00811887">
      <w:pPr>
        <w:spacing w:before="222"/>
        <w:ind w:left="567" w:right="567"/>
        <w:rPr>
          <w:rFonts w:ascii="Times New Roman" w:hAnsi="Times New Roman" w:cs="Times New Roman"/>
          <w:bCs/>
          <w:color w:val="131727" w:themeColor="text1"/>
          <w:sz w:val="18"/>
          <w:szCs w:val="20"/>
        </w:rPr>
      </w:pPr>
      <w:r w:rsidRPr="00D373F5">
        <w:rPr>
          <w:rFonts w:ascii="Times New Roman" w:hAnsi="Times New Roman" w:cs="Times New Roman"/>
          <w:bCs/>
          <w:color w:val="131727" w:themeColor="text1"/>
          <w:sz w:val="18"/>
          <w:szCs w:val="20"/>
        </w:rPr>
        <w:t>Target 9b: By 2031, all Aboriginal and Torres Strait Islander households:</w:t>
      </w:r>
    </w:p>
    <w:p w14:paraId="204EC8AF" w14:textId="77777777" w:rsidR="00811887" w:rsidRPr="00D373F5" w:rsidRDefault="00811887" w:rsidP="00811887">
      <w:pPr>
        <w:spacing w:before="222"/>
        <w:ind w:left="567" w:right="567"/>
        <w:rPr>
          <w:rFonts w:ascii="Times New Roman" w:hAnsi="Times New Roman" w:cs="Times New Roman"/>
          <w:bCs/>
          <w:color w:val="131727" w:themeColor="text1"/>
          <w:sz w:val="18"/>
          <w:szCs w:val="20"/>
        </w:rPr>
      </w:pPr>
      <w:r w:rsidRPr="00D373F5">
        <w:rPr>
          <w:rFonts w:ascii="Times New Roman" w:hAnsi="Times New Roman" w:cs="Times New Roman"/>
          <w:bCs/>
          <w:color w:val="131727" w:themeColor="text1"/>
          <w:sz w:val="18"/>
          <w:szCs w:val="20"/>
        </w:rPr>
        <w:t>•</w:t>
      </w:r>
      <w:r w:rsidRPr="00D373F5">
        <w:rPr>
          <w:rFonts w:ascii="Times New Roman" w:hAnsi="Times New Roman" w:cs="Times New Roman"/>
          <w:bCs/>
          <w:color w:val="131727" w:themeColor="text1"/>
          <w:sz w:val="18"/>
          <w:szCs w:val="20"/>
        </w:rPr>
        <w:tab/>
        <w:t>within discrete Aboriginal or Torres Strait Islander communities receive essential services that meet or exceed the relevant jurisdictional standard</w:t>
      </w:r>
    </w:p>
    <w:p w14:paraId="0975A0D1" w14:textId="77777777" w:rsidR="00811887" w:rsidRPr="00D373F5" w:rsidRDefault="00811887" w:rsidP="00811887">
      <w:pPr>
        <w:pStyle w:val="BodyText"/>
        <w:spacing w:before="3"/>
        <w:ind w:left="567" w:right="567"/>
        <w:rPr>
          <w:rFonts w:ascii="Book Antiqua"/>
          <w:bCs/>
          <w:color w:val="131727" w:themeColor="text1"/>
          <w:sz w:val="18"/>
        </w:rPr>
      </w:pPr>
      <w:r w:rsidRPr="00D373F5">
        <w:rPr>
          <w:rFonts w:ascii="Times New Roman" w:hAnsi="Times New Roman" w:cs="Times New Roman"/>
          <w:bCs/>
          <w:color w:val="131727" w:themeColor="text1"/>
          <w:sz w:val="18"/>
        </w:rPr>
        <w:t>•</w:t>
      </w:r>
      <w:r w:rsidRPr="00D373F5">
        <w:rPr>
          <w:rFonts w:ascii="Times New Roman" w:hAnsi="Times New Roman" w:cs="Times New Roman"/>
          <w:bCs/>
          <w:color w:val="131727" w:themeColor="text1"/>
          <w:sz w:val="18"/>
        </w:rPr>
        <w:tab/>
        <w:t>in or near to a town receive essential services that meet or exceed the same standard as applies generally within the town (including if the household might be classified for other purposes as a part of a discrete settlement such as a “town camp” or “town-based reserve</w:t>
      </w:r>
      <w:r w:rsidRPr="00D373F5">
        <w:rPr>
          <w:rFonts w:ascii="Book Antiqua"/>
          <w:bCs/>
          <w:color w:val="131727" w:themeColor="text1"/>
          <w:sz w:val="18"/>
        </w:rPr>
        <w:t>”</w:t>
      </w:r>
      <w:r w:rsidRPr="00D373F5">
        <w:rPr>
          <w:rFonts w:ascii="Book Antiqua"/>
          <w:bCs/>
          <w:color w:val="131727" w:themeColor="text1"/>
          <w:sz w:val="18"/>
        </w:rPr>
        <w:t>).</w:t>
      </w:r>
      <w:r w:rsidRPr="00D373F5">
        <w:rPr>
          <w:bCs/>
          <w:noProof/>
          <w:color w:val="131727" w:themeColor="text1"/>
        </w:rPr>
        <mc:AlternateContent>
          <mc:Choice Requires="wps">
            <w:drawing>
              <wp:anchor distT="0" distB="0" distL="0" distR="0" simplePos="0" relativeHeight="251746304" behindDoc="1" locked="0" layoutInCell="1" allowOverlap="1" wp14:anchorId="1129B84F" wp14:editId="08906480">
                <wp:simplePos x="0" y="0"/>
                <wp:positionH relativeFrom="page">
                  <wp:posOffset>792784</wp:posOffset>
                </wp:positionH>
                <wp:positionV relativeFrom="paragraph">
                  <wp:posOffset>2484975</wp:posOffset>
                </wp:positionV>
                <wp:extent cx="1830070" cy="6350"/>
                <wp:effectExtent l="0" t="0" r="0" b="0"/>
                <wp:wrapTopAndBottom/>
                <wp:docPr id="163" name="Graphic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3F8DD" id="Graphic 163" o:spid="_x0000_s1026" alt="&quot;&quot;" style="position:absolute;margin-left:62.4pt;margin-top:195.65pt;width:144.1pt;height:.5pt;z-index:-25157017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" path="m1829689,l,,,6095r1829689,l1829689,xe" fillcolor="black" stroked="f">
                <v:path arrowok="t"/>
                <w10:wrap type="topAndBottom" anchorx="page"/>
              </v:shape>
            </w:pict>
          </mc:Fallback>
        </mc:AlternateContent>
      </w:r>
    </w:p>
    <w:p w14:paraId="00A73118" w14:textId="77777777" w:rsidR="00811887" w:rsidRPr="00FD40B8" w:rsidRDefault="00811887" w:rsidP="00811887">
      <w:pPr>
        <w:pStyle w:val="BodyText"/>
        <w:spacing w:before="81"/>
        <w:rPr>
          <w:rFonts w:ascii="Book Antiqua"/>
          <w:b/>
          <w:color w:val="131727" w:themeColor="text1"/>
        </w:rPr>
      </w:pPr>
    </w:p>
    <w:p w14:paraId="29131DEB" w14:textId="77777777" w:rsidR="00811887" w:rsidRPr="00FD40B8" w:rsidRDefault="00811887" w:rsidP="00811887">
      <w:pPr>
        <w:spacing w:before="123" w:line="266" w:lineRule="auto"/>
        <w:ind w:left="508" w:right="566"/>
        <w:rPr>
          <w:color w:val="131727" w:themeColor="text1"/>
          <w:sz w:val="16"/>
        </w:rPr>
      </w:pPr>
      <w:bookmarkStart w:id="167" w:name="_bookmark55"/>
      <w:bookmarkEnd w:id="167"/>
      <w:r w:rsidRPr="00FD40B8">
        <w:rPr>
          <w:color w:val="131727" w:themeColor="text1"/>
          <w:w w:val="105"/>
          <w:position w:val="6"/>
          <w:sz w:val="10"/>
        </w:rPr>
        <w:t>46</w:t>
      </w:r>
      <w:r w:rsidRPr="00FD40B8">
        <w:rPr>
          <w:color w:val="131727" w:themeColor="text1"/>
          <w:spacing w:val="40"/>
          <w:w w:val="105"/>
          <w:position w:val="6"/>
          <w:sz w:val="10"/>
        </w:rPr>
        <w:t xml:space="preserve"> </w:t>
      </w:r>
      <w:r w:rsidRPr="00FD40B8">
        <w:rPr>
          <w:color w:val="131727" w:themeColor="text1"/>
          <w:w w:val="105"/>
          <w:sz w:val="16"/>
        </w:rPr>
        <w:t xml:space="preserve">Available at: </w:t>
      </w:r>
      <w:hyperlink r:id="rId94">
        <w:r w:rsidRPr="00FD40B8">
          <w:rPr>
            <w:color w:val="131727" w:themeColor="text1"/>
            <w:w w:val="105"/>
            <w:sz w:val="16"/>
          </w:rPr>
          <w:t>https://www.niaa.gov.au/2023-commonwealth-closing-gap-implementation-plan/delivering-outcomes-and-</w:t>
        </w:r>
      </w:hyperlink>
      <w:r w:rsidRPr="00FD40B8">
        <w:rPr>
          <w:color w:val="131727" w:themeColor="text1"/>
          <w:spacing w:val="40"/>
          <w:w w:val="105"/>
          <w:sz w:val="16"/>
        </w:rPr>
        <w:t xml:space="preserve"> </w:t>
      </w:r>
      <w:hyperlink r:id="rId95">
        <w:r w:rsidRPr="00FD40B8">
          <w:rPr>
            <w:color w:val="131727" w:themeColor="text1"/>
            <w:spacing w:val="-2"/>
            <w:w w:val="105"/>
            <w:sz w:val="16"/>
          </w:rPr>
          <w:t>targets/outcome-9-aboriginal-and-torres-strait-islander-people-secure-appropriate-affordable-housing-aligned-their-priorities-and-</w:t>
        </w:r>
      </w:hyperlink>
      <w:r w:rsidRPr="00FD40B8">
        <w:rPr>
          <w:color w:val="131727" w:themeColor="text1"/>
          <w:spacing w:val="80"/>
          <w:w w:val="105"/>
          <w:sz w:val="16"/>
        </w:rPr>
        <w:t xml:space="preserve">    </w:t>
      </w:r>
      <w:hyperlink r:id="rId96">
        <w:r w:rsidRPr="00FD40B8">
          <w:rPr>
            <w:color w:val="131727" w:themeColor="text1"/>
            <w:w w:val="105"/>
            <w:sz w:val="16"/>
          </w:rPr>
          <w:t>need</w:t>
        </w:r>
      </w:hyperlink>
      <w:r w:rsidRPr="00FD40B8">
        <w:rPr>
          <w:color w:val="131727" w:themeColor="text1"/>
          <w:w w:val="105"/>
          <w:sz w:val="16"/>
        </w:rPr>
        <w:t xml:space="preserve"> (accessed February 2024)</w:t>
      </w:r>
    </w:p>
    <w:p w14:paraId="5D6F7CB0" w14:textId="77777777" w:rsidR="00811887" w:rsidRPr="00FD40B8" w:rsidRDefault="00811887" w:rsidP="00811887">
      <w:pPr>
        <w:spacing w:line="266" w:lineRule="auto"/>
        <w:ind w:left="508" w:right="598"/>
        <w:rPr>
          <w:color w:val="131727" w:themeColor="text1"/>
          <w:sz w:val="16"/>
        </w:rPr>
      </w:pPr>
      <w:r w:rsidRPr="00FD40B8">
        <w:rPr>
          <w:color w:val="131727" w:themeColor="text1"/>
          <w:w w:val="105"/>
          <w:position w:val="6"/>
          <w:sz w:val="10"/>
        </w:rPr>
        <w:t>47</w:t>
      </w:r>
      <w:r w:rsidRPr="00FD40B8">
        <w:rPr>
          <w:color w:val="131727" w:themeColor="text1"/>
          <w:spacing w:val="34"/>
          <w:w w:val="105"/>
          <w:position w:val="6"/>
          <w:sz w:val="10"/>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Australian</w:t>
      </w:r>
      <w:r w:rsidRPr="00FD40B8">
        <w:rPr>
          <w:color w:val="131727" w:themeColor="text1"/>
          <w:spacing w:val="23"/>
          <w:w w:val="105"/>
          <w:sz w:val="16"/>
        </w:rPr>
        <w:t xml:space="preserve"> </w:t>
      </w:r>
      <w:r w:rsidRPr="00FD40B8">
        <w:rPr>
          <w:color w:val="131727" w:themeColor="text1"/>
          <w:w w:val="105"/>
          <w:sz w:val="16"/>
        </w:rPr>
        <w:t>Government</w:t>
      </w:r>
      <w:r w:rsidRPr="00FD40B8">
        <w:rPr>
          <w:color w:val="131727" w:themeColor="text1"/>
          <w:spacing w:val="19"/>
          <w:w w:val="105"/>
          <w:sz w:val="16"/>
        </w:rPr>
        <w:t xml:space="preserve"> </w:t>
      </w:r>
      <w:r w:rsidRPr="00FD40B8">
        <w:rPr>
          <w:color w:val="131727" w:themeColor="text1"/>
          <w:w w:val="105"/>
          <w:sz w:val="16"/>
        </w:rPr>
        <w:t>Department</w:t>
      </w:r>
      <w:r w:rsidRPr="00FD40B8">
        <w:rPr>
          <w:color w:val="131727" w:themeColor="text1"/>
          <w:spacing w:val="19"/>
          <w:w w:val="105"/>
          <w:sz w:val="16"/>
        </w:rPr>
        <w:t xml:space="preserve"> </w:t>
      </w:r>
      <w:r w:rsidRPr="00FD40B8">
        <w:rPr>
          <w:color w:val="131727" w:themeColor="text1"/>
          <w:w w:val="105"/>
          <w:sz w:val="16"/>
        </w:rPr>
        <w:t>of</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Prime</w:t>
      </w:r>
      <w:r w:rsidRPr="00FD40B8">
        <w:rPr>
          <w:color w:val="131727" w:themeColor="text1"/>
          <w:spacing w:val="19"/>
          <w:w w:val="105"/>
          <w:sz w:val="16"/>
        </w:rPr>
        <w:t xml:space="preserve"> </w:t>
      </w:r>
      <w:r w:rsidRPr="00FD40B8">
        <w:rPr>
          <w:color w:val="131727" w:themeColor="text1"/>
          <w:w w:val="105"/>
          <w:sz w:val="16"/>
        </w:rPr>
        <w:t>Minister</w:t>
      </w:r>
      <w:r w:rsidRPr="00FD40B8">
        <w:rPr>
          <w:color w:val="131727" w:themeColor="text1"/>
          <w:spacing w:val="20"/>
          <w:w w:val="105"/>
          <w:sz w:val="16"/>
        </w:rPr>
        <w:t xml:space="preserve"> </w:t>
      </w:r>
      <w:r w:rsidRPr="00FD40B8">
        <w:rPr>
          <w:color w:val="131727" w:themeColor="text1"/>
          <w:w w:val="105"/>
          <w:sz w:val="16"/>
        </w:rPr>
        <w:t>and</w:t>
      </w:r>
      <w:r w:rsidRPr="00FD40B8">
        <w:rPr>
          <w:color w:val="131727" w:themeColor="text1"/>
          <w:spacing w:val="21"/>
          <w:w w:val="105"/>
          <w:sz w:val="16"/>
        </w:rPr>
        <w:t xml:space="preserve"> </w:t>
      </w:r>
      <w:r w:rsidRPr="00FD40B8">
        <w:rPr>
          <w:color w:val="131727" w:themeColor="text1"/>
          <w:w w:val="105"/>
          <w:sz w:val="16"/>
        </w:rPr>
        <w:t>Cabinet</w:t>
      </w:r>
      <w:r w:rsidRPr="00FD40B8">
        <w:rPr>
          <w:color w:val="131727" w:themeColor="text1"/>
          <w:spacing w:val="19"/>
          <w:w w:val="105"/>
          <w:sz w:val="16"/>
        </w:rPr>
        <w:t xml:space="preserve"> </w:t>
      </w:r>
      <w:r w:rsidRPr="00FD40B8">
        <w:rPr>
          <w:color w:val="131727" w:themeColor="text1"/>
          <w:w w:val="105"/>
          <w:sz w:val="16"/>
        </w:rPr>
        <w:t>2024,</w:t>
      </w:r>
      <w:r w:rsidRPr="00FD40B8">
        <w:rPr>
          <w:color w:val="131727" w:themeColor="text1"/>
          <w:spacing w:val="19"/>
          <w:w w:val="105"/>
          <w:sz w:val="16"/>
        </w:rPr>
        <w:t xml:space="preserve"> </w:t>
      </w:r>
      <w:r w:rsidRPr="00FD40B8">
        <w:rPr>
          <w:color w:val="131727" w:themeColor="text1"/>
          <w:w w:val="105"/>
          <w:sz w:val="16"/>
        </w:rPr>
        <w:t>Closing</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Gap</w:t>
      </w:r>
      <w:r w:rsidRPr="00FD40B8">
        <w:rPr>
          <w:color w:val="131727" w:themeColor="text1"/>
          <w:spacing w:val="21"/>
          <w:w w:val="105"/>
          <w:sz w:val="16"/>
        </w:rPr>
        <w:t xml:space="preserve"> </w:t>
      </w:r>
      <w:r w:rsidRPr="00FD40B8">
        <w:rPr>
          <w:color w:val="131727" w:themeColor="text1"/>
          <w:w w:val="105"/>
          <w:sz w:val="16"/>
        </w:rPr>
        <w:t>website,</w:t>
      </w:r>
      <w:r w:rsidRPr="00FD40B8">
        <w:rPr>
          <w:color w:val="131727" w:themeColor="text1"/>
          <w:spacing w:val="19"/>
          <w:w w:val="105"/>
          <w:sz w:val="16"/>
        </w:rPr>
        <w:t xml:space="preserve"> </w:t>
      </w:r>
      <w:r w:rsidRPr="00FD40B8">
        <w:rPr>
          <w:color w:val="131727" w:themeColor="text1"/>
          <w:w w:val="105"/>
          <w:sz w:val="16"/>
        </w:rPr>
        <w:t>“Closing</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Gap</w:t>
      </w:r>
      <w:r w:rsidRPr="00FD40B8">
        <w:rPr>
          <w:color w:val="131727" w:themeColor="text1"/>
          <w:spacing w:val="40"/>
          <w:w w:val="105"/>
          <w:sz w:val="16"/>
        </w:rPr>
        <w:t xml:space="preserve"> </w:t>
      </w:r>
      <w:r w:rsidRPr="00FD40B8">
        <w:rPr>
          <w:color w:val="131727" w:themeColor="text1"/>
          <w:w w:val="105"/>
          <w:sz w:val="16"/>
        </w:rPr>
        <w:t xml:space="preserve">Targets and Outcomes’. Available at: </w:t>
      </w:r>
      <w:hyperlink r:id="rId97">
        <w:r w:rsidRPr="00FD40B8">
          <w:rPr>
            <w:color w:val="131727" w:themeColor="text1"/>
            <w:w w:val="105"/>
            <w:sz w:val="16"/>
          </w:rPr>
          <w:t>https://www.closingthegap.gov.au/national-agreement/targets</w:t>
        </w:r>
      </w:hyperlink>
    </w:p>
    <w:p w14:paraId="190F59BF"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85" w:gutter="0"/>
          <w:cols w:space="720"/>
        </w:sectPr>
      </w:pPr>
    </w:p>
    <w:p w14:paraId="7CF2C275" w14:textId="77777777" w:rsidR="00811887" w:rsidRPr="00FD40B8" w:rsidRDefault="00811887" w:rsidP="00811887">
      <w:pPr>
        <w:spacing w:before="82"/>
        <w:ind w:left="508"/>
        <w:rPr>
          <w:rFonts w:ascii="Book Antiqua"/>
          <w:color w:val="131727" w:themeColor="text1"/>
          <w:sz w:val="12"/>
        </w:rPr>
      </w:pPr>
      <w:r w:rsidRPr="00FD40B8">
        <w:rPr>
          <w:rFonts w:ascii="Book Antiqua"/>
          <w:color w:val="131727" w:themeColor="text1"/>
          <w:sz w:val="18"/>
        </w:rPr>
        <w:lastRenderedPageBreak/>
        <w:t>Source:</w:t>
      </w:r>
      <w:r w:rsidRPr="00FD40B8">
        <w:rPr>
          <w:rFonts w:ascii="Book Antiqua"/>
          <w:color w:val="131727" w:themeColor="text1"/>
          <w:spacing w:val="-2"/>
          <w:sz w:val="18"/>
        </w:rPr>
        <w:t xml:space="preserve"> </w:t>
      </w:r>
      <w:r w:rsidRPr="00FD40B8">
        <w:rPr>
          <w:rFonts w:ascii="Book Antiqua"/>
          <w:color w:val="131727" w:themeColor="text1"/>
          <w:sz w:val="18"/>
        </w:rPr>
        <w:t>The</w:t>
      </w:r>
      <w:r w:rsidRPr="00FD40B8">
        <w:rPr>
          <w:rFonts w:ascii="Book Antiqua"/>
          <w:color w:val="131727" w:themeColor="text1"/>
          <w:spacing w:val="-10"/>
          <w:sz w:val="18"/>
        </w:rPr>
        <w:t xml:space="preserve"> </w:t>
      </w:r>
      <w:r w:rsidRPr="00FD40B8">
        <w:rPr>
          <w:rFonts w:ascii="Book Antiqua"/>
          <w:color w:val="131727" w:themeColor="text1"/>
          <w:sz w:val="18"/>
        </w:rPr>
        <w:t>Australian</w:t>
      </w:r>
      <w:r w:rsidRPr="00FD40B8">
        <w:rPr>
          <w:rFonts w:ascii="Book Antiqua"/>
          <w:color w:val="131727" w:themeColor="text1"/>
          <w:spacing w:val="-4"/>
          <w:sz w:val="18"/>
        </w:rPr>
        <w:t xml:space="preserve"> </w:t>
      </w:r>
      <w:r w:rsidRPr="00FD40B8">
        <w:rPr>
          <w:rFonts w:ascii="Book Antiqua"/>
          <w:color w:val="131727" w:themeColor="text1"/>
          <w:sz w:val="18"/>
        </w:rPr>
        <w:t>Government</w:t>
      </w:r>
      <w:r w:rsidRPr="00FD40B8">
        <w:rPr>
          <w:rFonts w:ascii="Book Antiqua"/>
          <w:color w:val="131727" w:themeColor="text1"/>
          <w:spacing w:val="-2"/>
          <w:sz w:val="18"/>
        </w:rPr>
        <w:t xml:space="preserve"> </w:t>
      </w:r>
      <w:r w:rsidRPr="00FD40B8">
        <w:rPr>
          <w:rFonts w:ascii="Book Antiqua"/>
          <w:color w:val="131727" w:themeColor="text1"/>
          <w:sz w:val="18"/>
        </w:rPr>
        <w:t>Department</w:t>
      </w:r>
      <w:r w:rsidRPr="00FD40B8">
        <w:rPr>
          <w:rFonts w:ascii="Book Antiqua"/>
          <w:color w:val="131727" w:themeColor="text1"/>
          <w:spacing w:val="-6"/>
          <w:sz w:val="18"/>
        </w:rPr>
        <w:t xml:space="preserve"> </w:t>
      </w:r>
      <w:r w:rsidRPr="00FD40B8">
        <w:rPr>
          <w:rFonts w:ascii="Book Antiqua"/>
          <w:color w:val="131727" w:themeColor="text1"/>
          <w:sz w:val="18"/>
        </w:rPr>
        <w:t>of</w:t>
      </w:r>
      <w:r w:rsidRPr="00FD40B8">
        <w:rPr>
          <w:rFonts w:ascii="Book Antiqua"/>
          <w:color w:val="131727" w:themeColor="text1"/>
          <w:spacing w:val="2"/>
          <w:sz w:val="18"/>
        </w:rPr>
        <w:t xml:space="preserve"> </w:t>
      </w:r>
      <w:r w:rsidRPr="00FD40B8">
        <w:rPr>
          <w:rFonts w:ascii="Book Antiqua"/>
          <w:color w:val="131727" w:themeColor="text1"/>
          <w:sz w:val="18"/>
        </w:rPr>
        <w:t>the</w:t>
      </w:r>
      <w:r w:rsidRPr="00FD40B8">
        <w:rPr>
          <w:rFonts w:ascii="Book Antiqua"/>
          <w:color w:val="131727" w:themeColor="text1"/>
          <w:spacing w:val="-5"/>
          <w:sz w:val="18"/>
        </w:rPr>
        <w:t xml:space="preserve"> </w:t>
      </w:r>
      <w:r w:rsidRPr="00FD40B8">
        <w:rPr>
          <w:rFonts w:ascii="Book Antiqua"/>
          <w:color w:val="131727" w:themeColor="text1"/>
          <w:sz w:val="18"/>
        </w:rPr>
        <w:t>Prime</w:t>
      </w:r>
      <w:r w:rsidRPr="00FD40B8">
        <w:rPr>
          <w:rFonts w:ascii="Book Antiqua"/>
          <w:color w:val="131727" w:themeColor="text1"/>
          <w:spacing w:val="-6"/>
          <w:sz w:val="18"/>
        </w:rPr>
        <w:t xml:space="preserve"> </w:t>
      </w:r>
      <w:r w:rsidRPr="00FD40B8">
        <w:rPr>
          <w:rFonts w:ascii="Book Antiqua"/>
          <w:color w:val="131727" w:themeColor="text1"/>
          <w:sz w:val="18"/>
        </w:rPr>
        <w:t>Minister</w:t>
      </w:r>
      <w:r w:rsidRPr="00FD40B8">
        <w:rPr>
          <w:rFonts w:ascii="Book Antiqua"/>
          <w:color w:val="131727" w:themeColor="text1"/>
          <w:spacing w:val="-4"/>
          <w:sz w:val="18"/>
        </w:rPr>
        <w:t xml:space="preserve"> </w:t>
      </w:r>
      <w:r w:rsidRPr="00FD40B8">
        <w:rPr>
          <w:rFonts w:ascii="Book Antiqua"/>
          <w:color w:val="131727" w:themeColor="text1"/>
          <w:sz w:val="18"/>
        </w:rPr>
        <w:t>and</w:t>
      </w:r>
      <w:r w:rsidRPr="00FD40B8">
        <w:rPr>
          <w:rFonts w:ascii="Book Antiqua"/>
          <w:color w:val="131727" w:themeColor="text1"/>
          <w:spacing w:val="-4"/>
          <w:sz w:val="18"/>
        </w:rPr>
        <w:t xml:space="preserve"> </w:t>
      </w:r>
      <w:r w:rsidRPr="00FD40B8">
        <w:rPr>
          <w:rFonts w:ascii="Book Antiqua"/>
          <w:color w:val="131727" w:themeColor="text1"/>
          <w:sz w:val="18"/>
        </w:rPr>
        <w:t>Cabinet</w:t>
      </w:r>
      <w:r w:rsidRPr="00FD40B8">
        <w:rPr>
          <w:rFonts w:ascii="Book Antiqua"/>
          <w:color w:val="131727" w:themeColor="text1"/>
          <w:spacing w:val="-2"/>
          <w:sz w:val="18"/>
        </w:rPr>
        <w:t xml:space="preserve"> </w:t>
      </w:r>
      <w:r w:rsidRPr="00FD40B8">
        <w:rPr>
          <w:rFonts w:ascii="Book Antiqua"/>
          <w:color w:val="131727" w:themeColor="text1"/>
          <w:sz w:val="18"/>
        </w:rPr>
        <w:t>2024,</w:t>
      </w:r>
      <w:r w:rsidRPr="00FD40B8">
        <w:rPr>
          <w:rFonts w:ascii="Book Antiqua"/>
          <w:color w:val="131727" w:themeColor="text1"/>
          <w:spacing w:val="-2"/>
          <w:sz w:val="18"/>
        </w:rPr>
        <w:t xml:space="preserve"> </w:t>
      </w:r>
      <w:r w:rsidRPr="00FD40B8">
        <w:rPr>
          <w:rFonts w:ascii="Book Antiqua"/>
          <w:color w:val="131727" w:themeColor="text1"/>
          <w:sz w:val="18"/>
        </w:rPr>
        <w:t>Closing the</w:t>
      </w:r>
      <w:r w:rsidRPr="00FD40B8">
        <w:rPr>
          <w:rFonts w:ascii="Book Antiqua"/>
          <w:color w:val="131727" w:themeColor="text1"/>
          <w:spacing w:val="-5"/>
          <w:sz w:val="18"/>
        </w:rPr>
        <w:t xml:space="preserve"> </w:t>
      </w:r>
      <w:r w:rsidRPr="00FD40B8">
        <w:rPr>
          <w:rFonts w:ascii="Book Antiqua"/>
          <w:color w:val="131727" w:themeColor="text1"/>
          <w:sz w:val="18"/>
        </w:rPr>
        <w:t>Gap</w:t>
      </w:r>
      <w:r w:rsidRPr="00FD40B8">
        <w:rPr>
          <w:rFonts w:ascii="Book Antiqua"/>
          <w:color w:val="131727" w:themeColor="text1"/>
          <w:spacing w:val="-8"/>
          <w:sz w:val="18"/>
        </w:rPr>
        <w:t xml:space="preserve"> </w:t>
      </w:r>
      <w:r w:rsidRPr="00FD40B8">
        <w:rPr>
          <w:rFonts w:ascii="Book Antiqua"/>
          <w:color w:val="131727" w:themeColor="text1"/>
          <w:spacing w:val="-2"/>
          <w:sz w:val="18"/>
        </w:rPr>
        <w:t>website</w:t>
      </w:r>
      <w:hyperlink w:anchor="_bookmark57" w:history="1">
        <w:r w:rsidRPr="00FD40B8">
          <w:rPr>
            <w:rFonts w:ascii="Book Antiqua"/>
            <w:color w:val="131727" w:themeColor="text1"/>
            <w:spacing w:val="-2"/>
            <w:sz w:val="18"/>
          </w:rPr>
          <w:t>.</w:t>
        </w:r>
        <w:r w:rsidRPr="00FD40B8">
          <w:rPr>
            <w:rFonts w:ascii="Book Antiqua"/>
            <w:color w:val="131727" w:themeColor="text1"/>
            <w:spacing w:val="-2"/>
            <w:position w:val="4"/>
            <w:sz w:val="12"/>
          </w:rPr>
          <w:t>48</w:t>
        </w:r>
      </w:hyperlink>
    </w:p>
    <w:p w14:paraId="081B0D0D" w14:textId="77777777" w:rsidR="00811887" w:rsidRPr="00FD40B8" w:rsidRDefault="00811887" w:rsidP="00811887">
      <w:pPr>
        <w:pStyle w:val="BodyText"/>
        <w:spacing w:before="147" w:line="292" w:lineRule="auto"/>
        <w:ind w:left="508" w:right="598"/>
        <w:rPr>
          <w:color w:val="131727" w:themeColor="text1"/>
        </w:rPr>
      </w:pP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Closing</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Gap</w:t>
      </w:r>
      <w:r w:rsidRPr="00FD40B8">
        <w:rPr>
          <w:color w:val="131727" w:themeColor="text1"/>
          <w:spacing w:val="-4"/>
          <w:w w:val="110"/>
        </w:rPr>
        <w:t xml:space="preserve"> </w:t>
      </w:r>
      <w:r w:rsidRPr="00FD40B8">
        <w:rPr>
          <w:color w:val="131727" w:themeColor="text1"/>
          <w:w w:val="110"/>
        </w:rPr>
        <w:t>Agreement</w:t>
      </w:r>
      <w:r w:rsidRPr="00FD40B8">
        <w:rPr>
          <w:color w:val="131727" w:themeColor="text1"/>
          <w:spacing w:val="-4"/>
          <w:w w:val="110"/>
        </w:rPr>
        <w:t xml:space="preserve"> </w:t>
      </w:r>
      <w:r w:rsidRPr="00FD40B8">
        <w:rPr>
          <w:color w:val="131727" w:themeColor="text1"/>
          <w:w w:val="110"/>
        </w:rPr>
        <w:t>also</w:t>
      </w:r>
      <w:r w:rsidRPr="00FD40B8">
        <w:rPr>
          <w:color w:val="131727" w:themeColor="text1"/>
          <w:spacing w:val="-7"/>
          <w:w w:val="110"/>
        </w:rPr>
        <w:t xml:space="preserve"> </w:t>
      </w:r>
      <w:r w:rsidRPr="00FD40B8">
        <w:rPr>
          <w:color w:val="131727" w:themeColor="text1"/>
          <w:w w:val="110"/>
        </w:rPr>
        <w:t>commits</w:t>
      </w:r>
      <w:r w:rsidRPr="00FD40B8">
        <w:rPr>
          <w:color w:val="131727" w:themeColor="text1"/>
          <w:spacing w:val="-3"/>
          <w:w w:val="110"/>
        </w:rPr>
        <w:t xml:space="preserve"> </w:t>
      </w:r>
      <w:r w:rsidRPr="00FD40B8">
        <w:rPr>
          <w:color w:val="131727" w:themeColor="text1"/>
          <w:w w:val="110"/>
        </w:rPr>
        <w:t>governments</w:t>
      </w:r>
      <w:r w:rsidRPr="00FD40B8">
        <w:rPr>
          <w:color w:val="131727" w:themeColor="text1"/>
          <w:spacing w:val="-7"/>
          <w:w w:val="110"/>
        </w:rPr>
        <w:t xml:space="preserve"> </w:t>
      </w:r>
      <w:r w:rsidRPr="00FD40B8">
        <w:rPr>
          <w:color w:val="131727" w:themeColor="text1"/>
          <w:w w:val="110"/>
        </w:rPr>
        <w:t>to</w:t>
      </w:r>
      <w:r w:rsidRPr="00FD40B8">
        <w:rPr>
          <w:color w:val="131727" w:themeColor="text1"/>
          <w:spacing w:val="-7"/>
          <w:w w:val="110"/>
        </w:rPr>
        <w:t xml:space="preserve"> </w:t>
      </w:r>
      <w:r w:rsidRPr="00FD40B8">
        <w:rPr>
          <w:color w:val="131727" w:themeColor="text1"/>
          <w:w w:val="110"/>
        </w:rPr>
        <w:t>change</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way</w:t>
      </w:r>
      <w:r w:rsidRPr="00FD40B8">
        <w:rPr>
          <w:color w:val="131727" w:themeColor="text1"/>
          <w:spacing w:val="-6"/>
          <w:w w:val="110"/>
        </w:rPr>
        <w:t xml:space="preserve"> </w:t>
      </w:r>
      <w:r w:rsidRPr="00FD40B8">
        <w:rPr>
          <w:color w:val="131727" w:themeColor="text1"/>
          <w:w w:val="110"/>
        </w:rPr>
        <w:t>they</w:t>
      </w:r>
      <w:r w:rsidRPr="00FD40B8">
        <w:rPr>
          <w:color w:val="131727" w:themeColor="text1"/>
          <w:spacing w:val="-6"/>
          <w:w w:val="110"/>
        </w:rPr>
        <w:t xml:space="preserve"> </w:t>
      </w:r>
      <w:r w:rsidRPr="00FD40B8">
        <w:rPr>
          <w:color w:val="131727" w:themeColor="text1"/>
          <w:w w:val="110"/>
        </w:rPr>
        <w:t>work</w:t>
      </w:r>
      <w:r w:rsidRPr="00FD40B8">
        <w:rPr>
          <w:color w:val="131727" w:themeColor="text1"/>
          <w:spacing w:val="-6"/>
          <w:w w:val="110"/>
        </w:rPr>
        <w:t xml:space="preserve"> </w:t>
      </w:r>
      <w:r w:rsidRPr="00FD40B8">
        <w:rPr>
          <w:color w:val="131727" w:themeColor="text1"/>
          <w:w w:val="110"/>
        </w:rPr>
        <w:t>with</w:t>
      </w:r>
      <w:r w:rsidRPr="00FD40B8">
        <w:rPr>
          <w:color w:val="131727" w:themeColor="text1"/>
          <w:spacing w:val="-8"/>
          <w:w w:val="110"/>
        </w:rPr>
        <w:t xml:space="preserve"> </w:t>
      </w:r>
      <w:r w:rsidRPr="00FD40B8">
        <w:rPr>
          <w:color w:val="131727" w:themeColor="text1"/>
          <w:w w:val="110"/>
        </w:rPr>
        <w:t>Aboriginal and Torres Strait Islander community-controlled representatives, communities and organisations.</w:t>
      </w:r>
    </w:p>
    <w:p w14:paraId="10D059A8" w14:textId="77777777" w:rsidR="00811887" w:rsidRPr="00FD40B8" w:rsidRDefault="00811887" w:rsidP="00811887">
      <w:pPr>
        <w:pStyle w:val="BodyText"/>
        <w:spacing w:line="239" w:lineRule="exact"/>
        <w:ind w:left="508"/>
        <w:rPr>
          <w:color w:val="131727" w:themeColor="text1"/>
        </w:rPr>
      </w:pPr>
      <w:r w:rsidRPr="00FD40B8">
        <w:rPr>
          <w:color w:val="131727" w:themeColor="text1"/>
          <w:w w:val="110"/>
        </w:rPr>
        <w:t>Specifically</w:t>
      </w:r>
      <w:r w:rsidRPr="00FD40B8">
        <w:rPr>
          <w:color w:val="131727" w:themeColor="text1"/>
          <w:spacing w:val="-7"/>
          <w:w w:val="110"/>
        </w:rPr>
        <w:t xml:space="preserve"> </w:t>
      </w:r>
      <w:r w:rsidRPr="00FD40B8">
        <w:rPr>
          <w:color w:val="131727" w:themeColor="text1"/>
          <w:w w:val="110"/>
        </w:rPr>
        <w:t>for</w:t>
      </w:r>
      <w:r w:rsidRPr="00FD40B8">
        <w:rPr>
          <w:color w:val="131727" w:themeColor="text1"/>
          <w:spacing w:val="-7"/>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this</w:t>
      </w:r>
      <w:r w:rsidRPr="00FD40B8">
        <w:rPr>
          <w:color w:val="131727" w:themeColor="text1"/>
          <w:spacing w:val="-8"/>
          <w:w w:val="110"/>
        </w:rPr>
        <w:t xml:space="preserve"> </w:t>
      </w:r>
      <w:r w:rsidRPr="00FD40B8">
        <w:rPr>
          <w:color w:val="131727" w:themeColor="text1"/>
          <w:w w:val="110"/>
        </w:rPr>
        <w:t>includes</w:t>
      </w:r>
      <w:r w:rsidRPr="00FD40B8">
        <w:rPr>
          <w:color w:val="131727" w:themeColor="text1"/>
          <w:spacing w:val="-8"/>
          <w:w w:val="110"/>
        </w:rPr>
        <w:t xml:space="preserve"> </w:t>
      </w:r>
      <w:r w:rsidRPr="00FD40B8">
        <w:rPr>
          <w:color w:val="131727" w:themeColor="text1"/>
          <w:w w:val="110"/>
        </w:rPr>
        <w:t>a</w:t>
      </w:r>
      <w:r w:rsidRPr="00FD40B8">
        <w:rPr>
          <w:color w:val="131727" w:themeColor="text1"/>
          <w:spacing w:val="-6"/>
          <w:w w:val="110"/>
        </w:rPr>
        <w:t xml:space="preserve"> </w:t>
      </w:r>
      <w:r w:rsidRPr="00FD40B8">
        <w:rPr>
          <w:color w:val="131727" w:themeColor="text1"/>
          <w:w w:val="110"/>
        </w:rPr>
        <w:t>commitment</w:t>
      </w:r>
      <w:r w:rsidRPr="00FD40B8">
        <w:rPr>
          <w:color w:val="131727" w:themeColor="text1"/>
          <w:spacing w:val="-9"/>
          <w:w w:val="110"/>
        </w:rPr>
        <w:t xml:space="preserve"> </w:t>
      </w:r>
      <w:r w:rsidRPr="00FD40B8">
        <w:rPr>
          <w:color w:val="131727" w:themeColor="text1"/>
          <w:spacing w:val="-5"/>
          <w:w w:val="110"/>
        </w:rPr>
        <w:t>to:</w:t>
      </w:r>
    </w:p>
    <w:p w14:paraId="240C42C5" w14:textId="77777777" w:rsidR="00811887" w:rsidRPr="00FD40B8" w:rsidRDefault="00811887" w:rsidP="00FB2FE9">
      <w:pPr>
        <w:pStyle w:val="ListParagraph"/>
        <w:widowControl w:val="0"/>
        <w:numPr>
          <w:ilvl w:val="0"/>
          <w:numId w:val="65"/>
        </w:numPr>
        <w:tabs>
          <w:tab w:val="left" w:pos="1228"/>
        </w:tabs>
        <w:autoSpaceDE w:val="0"/>
        <w:autoSpaceDN w:val="0"/>
        <w:spacing w:before="197" w:after="0" w:line="264" w:lineRule="auto"/>
        <w:ind w:right="844"/>
        <w:contextualSpacing w:val="0"/>
        <w:rPr>
          <w:color w:val="131727" w:themeColor="text1"/>
          <w:sz w:val="20"/>
        </w:rPr>
      </w:pPr>
      <w:r w:rsidRPr="00FD40B8">
        <w:rPr>
          <w:color w:val="131727" w:themeColor="text1"/>
          <w:w w:val="110"/>
          <w:sz w:val="20"/>
        </w:rPr>
        <w:t>Establish a Housing Policy Partnership designed to bring all governments and Aboriginal and Torres Strait Islander community-controlled representatives and experts together to support coordinated action on the design and delivery</w:t>
      </w:r>
      <w:r w:rsidRPr="00FD40B8">
        <w:rPr>
          <w:color w:val="131727" w:themeColor="text1"/>
          <w:spacing w:val="-6"/>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Aboriginal and</w:t>
      </w:r>
      <w:r w:rsidRPr="00FD40B8">
        <w:rPr>
          <w:color w:val="131727" w:themeColor="text1"/>
          <w:spacing w:val="-5"/>
          <w:w w:val="110"/>
          <w:sz w:val="20"/>
        </w:rPr>
        <w:t xml:space="preserve"> </w:t>
      </w:r>
      <w:r w:rsidRPr="00FD40B8">
        <w:rPr>
          <w:color w:val="131727" w:themeColor="text1"/>
          <w:w w:val="110"/>
          <w:sz w:val="20"/>
        </w:rPr>
        <w:t>Torres Strait Islander</w:t>
      </w:r>
      <w:r w:rsidRPr="00FD40B8">
        <w:rPr>
          <w:color w:val="131727" w:themeColor="text1"/>
          <w:spacing w:val="-7"/>
          <w:w w:val="110"/>
          <w:sz w:val="20"/>
        </w:rPr>
        <w:t xml:space="preserve"> </w:t>
      </w:r>
      <w:r w:rsidRPr="00FD40B8">
        <w:rPr>
          <w:color w:val="131727" w:themeColor="text1"/>
          <w:w w:val="110"/>
          <w:sz w:val="20"/>
        </w:rPr>
        <w:t>housing services</w:t>
      </w:r>
      <w:hyperlink w:anchor="_bookmark58" w:history="1">
        <w:r w:rsidRPr="00FD40B8">
          <w:rPr>
            <w:color w:val="131727" w:themeColor="text1"/>
            <w:w w:val="110"/>
            <w:sz w:val="20"/>
          </w:rPr>
          <w:t>.</w:t>
        </w:r>
        <w:r w:rsidRPr="00FD40B8">
          <w:rPr>
            <w:color w:val="131727" w:themeColor="text1"/>
            <w:w w:val="110"/>
            <w:position w:val="8"/>
            <w:sz w:val="13"/>
          </w:rPr>
          <w:t>49</w:t>
        </w:r>
      </w:hyperlink>
      <w:r w:rsidRPr="00FD40B8">
        <w:rPr>
          <w:color w:val="131727" w:themeColor="text1"/>
          <w:spacing w:val="35"/>
          <w:w w:val="110"/>
          <w:position w:val="8"/>
          <w:sz w:val="13"/>
        </w:rPr>
        <w:t xml:space="preserve"> </w:t>
      </w:r>
      <w:r w:rsidRPr="00FD40B8">
        <w:rPr>
          <w:color w:val="131727" w:themeColor="text1"/>
          <w:w w:val="110"/>
          <w:sz w:val="20"/>
        </w:rPr>
        <w:t>The NATSIHA co-chairs the HPP with the DSS.</w:t>
      </w:r>
    </w:p>
    <w:p w14:paraId="056A5703" w14:textId="77777777" w:rsidR="00811887" w:rsidRPr="00FD40B8" w:rsidRDefault="00811887" w:rsidP="00FB2FE9">
      <w:pPr>
        <w:pStyle w:val="ListParagraph"/>
        <w:widowControl w:val="0"/>
        <w:numPr>
          <w:ilvl w:val="0"/>
          <w:numId w:val="65"/>
        </w:numPr>
        <w:tabs>
          <w:tab w:val="left" w:pos="1228"/>
        </w:tabs>
        <w:autoSpaceDE w:val="0"/>
        <w:autoSpaceDN w:val="0"/>
        <w:spacing w:before="111" w:after="0" w:line="264" w:lineRule="auto"/>
        <w:ind w:right="523"/>
        <w:contextualSpacing w:val="0"/>
        <w:rPr>
          <w:color w:val="131727" w:themeColor="text1"/>
          <w:sz w:val="13"/>
        </w:rPr>
      </w:pPr>
      <w:r w:rsidRPr="00FD40B8">
        <w:rPr>
          <w:color w:val="131727" w:themeColor="text1"/>
          <w:w w:val="110"/>
          <w:sz w:val="20"/>
        </w:rPr>
        <w:t>Develop</w:t>
      </w:r>
      <w:r w:rsidRPr="00FD40B8">
        <w:rPr>
          <w:color w:val="131727" w:themeColor="text1"/>
          <w:spacing w:val="-1"/>
          <w:w w:val="110"/>
          <w:sz w:val="20"/>
        </w:rPr>
        <w:t xml:space="preserve"> </w:t>
      </w:r>
      <w:r w:rsidRPr="00FD40B8">
        <w:rPr>
          <w:color w:val="131727" w:themeColor="text1"/>
          <w:w w:val="110"/>
          <w:sz w:val="20"/>
        </w:rPr>
        <w:t>an Aboriginal Community-Controlled</w:t>
      </w:r>
      <w:r w:rsidRPr="00FD40B8">
        <w:rPr>
          <w:color w:val="131727" w:themeColor="text1"/>
          <w:spacing w:val="-1"/>
          <w:w w:val="110"/>
          <w:sz w:val="20"/>
        </w:rPr>
        <w:t xml:space="preserve"> </w:t>
      </w:r>
      <w:r w:rsidRPr="00FD40B8">
        <w:rPr>
          <w:color w:val="131727" w:themeColor="text1"/>
          <w:w w:val="110"/>
          <w:sz w:val="20"/>
        </w:rPr>
        <w:t>Housing</w:t>
      </w:r>
      <w:r w:rsidRPr="00FD40B8">
        <w:rPr>
          <w:color w:val="131727" w:themeColor="text1"/>
          <w:spacing w:val="-6"/>
          <w:w w:val="110"/>
          <w:sz w:val="20"/>
        </w:rPr>
        <w:t xml:space="preserve"> </w:t>
      </w:r>
      <w:r w:rsidRPr="00FD40B8">
        <w:rPr>
          <w:color w:val="131727" w:themeColor="text1"/>
          <w:w w:val="110"/>
          <w:sz w:val="20"/>
        </w:rPr>
        <w:t>Sector</w:t>
      </w:r>
      <w:r w:rsidRPr="00FD40B8">
        <w:rPr>
          <w:color w:val="131727" w:themeColor="text1"/>
          <w:spacing w:val="-7"/>
          <w:w w:val="110"/>
          <w:sz w:val="20"/>
        </w:rPr>
        <w:t xml:space="preserve"> </w:t>
      </w:r>
      <w:r w:rsidRPr="00FD40B8">
        <w:rPr>
          <w:color w:val="131727" w:themeColor="text1"/>
          <w:w w:val="110"/>
          <w:sz w:val="20"/>
        </w:rPr>
        <w:t>Strengthening</w:t>
      </w:r>
      <w:r w:rsidRPr="00FD40B8">
        <w:rPr>
          <w:color w:val="131727" w:themeColor="text1"/>
          <w:spacing w:val="-6"/>
          <w:w w:val="110"/>
          <w:sz w:val="20"/>
        </w:rPr>
        <w:t xml:space="preserve"> </w:t>
      </w:r>
      <w:r w:rsidRPr="00FD40B8">
        <w:rPr>
          <w:color w:val="131727" w:themeColor="text1"/>
          <w:w w:val="110"/>
          <w:sz w:val="20"/>
        </w:rPr>
        <w:t>Plan (HSSP).</w:t>
      </w:r>
      <w:r w:rsidRPr="00FD40B8">
        <w:rPr>
          <w:color w:val="131727" w:themeColor="text1"/>
          <w:spacing w:val="-1"/>
          <w:w w:val="110"/>
          <w:sz w:val="20"/>
        </w:rPr>
        <w:t xml:space="preserve"> </w:t>
      </w:r>
      <w:r w:rsidRPr="00FD40B8">
        <w:rPr>
          <w:color w:val="131727" w:themeColor="text1"/>
          <w:w w:val="110"/>
          <w:sz w:val="20"/>
        </w:rPr>
        <w:t>A</w:t>
      </w:r>
      <w:r w:rsidRPr="00FD40B8">
        <w:rPr>
          <w:color w:val="131727" w:themeColor="text1"/>
          <w:spacing w:val="-1"/>
          <w:w w:val="110"/>
          <w:sz w:val="20"/>
        </w:rPr>
        <w:t xml:space="preserve"> </w:t>
      </w:r>
      <w:r w:rsidRPr="00FD40B8">
        <w:rPr>
          <w:color w:val="131727" w:themeColor="text1"/>
          <w:w w:val="110"/>
          <w:sz w:val="20"/>
        </w:rPr>
        <w:t>three- year plan, it outlines 17 actions to support and build the community-controlled housing service sector, with the key</w:t>
      </w:r>
      <w:r w:rsidRPr="00FD40B8">
        <w:rPr>
          <w:color w:val="131727" w:themeColor="text1"/>
          <w:spacing w:val="-2"/>
          <w:w w:val="110"/>
          <w:sz w:val="20"/>
        </w:rPr>
        <w:t xml:space="preserve"> </w:t>
      </w:r>
      <w:r w:rsidRPr="00FD40B8">
        <w:rPr>
          <w:color w:val="131727" w:themeColor="text1"/>
          <w:w w:val="110"/>
          <w:sz w:val="20"/>
        </w:rPr>
        <w:t>areas for action being: a consistent funding model; the workforce; capital infrastructure; service delivery; governance; and peak body arrangements</w:t>
      </w:r>
      <w:hyperlink w:anchor="_bookmark59" w:history="1">
        <w:r w:rsidRPr="00FD40B8">
          <w:rPr>
            <w:color w:val="131727" w:themeColor="text1"/>
            <w:w w:val="110"/>
            <w:sz w:val="20"/>
          </w:rPr>
          <w:t>.</w:t>
        </w:r>
        <w:r w:rsidRPr="00FD40B8">
          <w:rPr>
            <w:color w:val="131727" w:themeColor="text1"/>
            <w:w w:val="110"/>
            <w:position w:val="8"/>
            <w:sz w:val="13"/>
          </w:rPr>
          <w:t>50</w:t>
        </w:r>
      </w:hyperlink>
    </w:p>
    <w:p w14:paraId="5B98C097" w14:textId="77777777" w:rsidR="00811887" w:rsidRPr="00FD40B8" w:rsidRDefault="00811887" w:rsidP="00811887">
      <w:pPr>
        <w:pStyle w:val="BodyText"/>
        <w:spacing w:before="122" w:line="264" w:lineRule="auto"/>
        <w:ind w:left="508" w:right="576"/>
        <w:rPr>
          <w:color w:val="131727" w:themeColor="text1"/>
        </w:rPr>
      </w:pPr>
      <w:r w:rsidRPr="00FD40B8">
        <w:rPr>
          <w:color w:val="131727" w:themeColor="text1"/>
          <w:w w:val="110"/>
        </w:rPr>
        <w:t>As</w:t>
      </w:r>
      <w:r w:rsidRPr="00FD40B8">
        <w:rPr>
          <w:color w:val="131727" w:themeColor="text1"/>
          <w:spacing w:val="-3"/>
          <w:w w:val="110"/>
        </w:rPr>
        <w:t xml:space="preserve"> </w:t>
      </w:r>
      <w:r w:rsidRPr="00FD40B8">
        <w:rPr>
          <w:color w:val="131727" w:themeColor="text1"/>
          <w:w w:val="110"/>
        </w:rPr>
        <w:t>part</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3"/>
          <w:w w:val="110"/>
        </w:rPr>
        <w:t xml:space="preserve"> </w:t>
      </w:r>
      <w:r w:rsidRPr="00FD40B8">
        <w:rPr>
          <w:color w:val="131727" w:themeColor="text1"/>
          <w:w w:val="110"/>
        </w:rPr>
        <w:t>this</w:t>
      </w:r>
      <w:r w:rsidRPr="00FD40B8">
        <w:rPr>
          <w:color w:val="131727" w:themeColor="text1"/>
          <w:spacing w:val="-3"/>
          <w:w w:val="110"/>
        </w:rPr>
        <w:t xml:space="preserve"> </w:t>
      </w:r>
      <w:r w:rsidRPr="00FD40B8">
        <w:rPr>
          <w:color w:val="131727" w:themeColor="text1"/>
          <w:w w:val="110"/>
        </w:rPr>
        <w:t>work,</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Commonwealth</w:t>
      </w:r>
      <w:r w:rsidRPr="00FD40B8">
        <w:rPr>
          <w:color w:val="131727" w:themeColor="text1"/>
          <w:spacing w:val="-8"/>
          <w:w w:val="110"/>
        </w:rPr>
        <w:t xml:space="preserve"> </w:t>
      </w:r>
      <w:r w:rsidRPr="00FD40B8">
        <w:rPr>
          <w:color w:val="131727" w:themeColor="text1"/>
          <w:w w:val="110"/>
        </w:rPr>
        <w:t>government</w:t>
      </w:r>
      <w:r w:rsidRPr="00FD40B8">
        <w:rPr>
          <w:color w:val="131727" w:themeColor="text1"/>
          <w:spacing w:val="-9"/>
          <w:w w:val="110"/>
        </w:rPr>
        <w:t xml:space="preserve"> </w:t>
      </w:r>
      <w:r w:rsidRPr="00FD40B8">
        <w:rPr>
          <w:color w:val="131727" w:themeColor="text1"/>
          <w:w w:val="110"/>
        </w:rPr>
        <w:t>provided</w:t>
      </w:r>
      <w:r w:rsidRPr="00FD40B8">
        <w:rPr>
          <w:color w:val="131727" w:themeColor="text1"/>
          <w:spacing w:val="-9"/>
          <w:w w:val="110"/>
        </w:rPr>
        <w:t xml:space="preserve"> </w:t>
      </w:r>
      <w:r w:rsidRPr="00FD40B8">
        <w:rPr>
          <w:color w:val="131727" w:themeColor="text1"/>
          <w:w w:val="110"/>
        </w:rPr>
        <w:t>funding</w:t>
      </w:r>
      <w:r w:rsidRPr="00FD40B8">
        <w:rPr>
          <w:color w:val="131727" w:themeColor="text1"/>
          <w:spacing w:val="-9"/>
          <w:w w:val="110"/>
        </w:rPr>
        <w:t xml:space="preserve"> </w:t>
      </w:r>
      <w:r w:rsidRPr="00FD40B8">
        <w:rPr>
          <w:color w:val="131727" w:themeColor="text1"/>
          <w:w w:val="110"/>
        </w:rPr>
        <w:t>for</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9"/>
          <w:w w:val="110"/>
        </w:rPr>
        <w:t xml:space="preserve"> </w:t>
      </w:r>
      <w:r w:rsidRPr="00FD40B8">
        <w:rPr>
          <w:color w:val="131727" w:themeColor="text1"/>
          <w:w w:val="110"/>
        </w:rPr>
        <w:t>establishment</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3"/>
          <w:w w:val="110"/>
        </w:rPr>
        <w:t xml:space="preserve"> </w:t>
      </w:r>
      <w:r w:rsidRPr="00FD40B8">
        <w:rPr>
          <w:color w:val="131727" w:themeColor="text1"/>
          <w:w w:val="110"/>
        </w:rPr>
        <w:t>NATSIHA and the Housing Policy Partnership ($9.2 million over four years), although this does not include capital expenditure</w:t>
      </w:r>
      <w:hyperlink w:anchor="_bookmark60" w:history="1">
        <w:r w:rsidRPr="00FD40B8">
          <w:rPr>
            <w:color w:val="131727" w:themeColor="text1"/>
            <w:w w:val="110"/>
          </w:rPr>
          <w:t>.</w:t>
        </w:r>
        <w:r w:rsidRPr="00FD40B8">
          <w:rPr>
            <w:color w:val="131727" w:themeColor="text1"/>
            <w:w w:val="110"/>
            <w:position w:val="8"/>
            <w:sz w:val="13"/>
          </w:rPr>
          <w:t>51</w:t>
        </w:r>
      </w:hyperlink>
      <w:r w:rsidRPr="00FD40B8">
        <w:rPr>
          <w:color w:val="131727" w:themeColor="text1"/>
          <w:spacing w:val="30"/>
          <w:w w:val="110"/>
          <w:position w:val="8"/>
          <w:sz w:val="13"/>
        </w:rPr>
        <w:t xml:space="preserve"> </w:t>
      </w:r>
      <w:r w:rsidRPr="00FD40B8">
        <w:rPr>
          <w:color w:val="131727" w:themeColor="text1"/>
          <w:w w:val="110"/>
        </w:rPr>
        <w:t>The Sector Strengthening Plan is largely unfunded and there is also no investment strategy to meet the housing and infrastructure targets in the Closing the Gap Agreement.</w:t>
      </w:r>
    </w:p>
    <w:p w14:paraId="0E214B08" w14:textId="77777777" w:rsidR="00811887" w:rsidRPr="00FD40B8" w:rsidRDefault="00811887" w:rsidP="00811887">
      <w:pPr>
        <w:pStyle w:val="BodyText"/>
        <w:spacing w:before="123" w:line="266" w:lineRule="auto"/>
        <w:ind w:left="508" w:right="547"/>
        <w:rPr>
          <w:color w:val="131727" w:themeColor="text1"/>
          <w:sz w:val="13"/>
        </w:rPr>
      </w:pPr>
      <w:r w:rsidRPr="00FD40B8">
        <w:rPr>
          <w:color w:val="131727" w:themeColor="text1"/>
          <w:w w:val="110"/>
        </w:rPr>
        <w:t>The recent announcement from the Commonwealth and Northern Territory Governments for a jointly funded $4 billion ten-year project that aims to build up to 270 houses annually in remote Aboriginal communities,</w:t>
      </w:r>
      <w:r w:rsidRPr="00FD40B8">
        <w:rPr>
          <w:color w:val="131727" w:themeColor="text1"/>
          <w:spacing w:val="-2"/>
          <w:w w:val="110"/>
        </w:rPr>
        <w:t xml:space="preserve"> </w:t>
      </w:r>
      <w:r w:rsidRPr="00FD40B8">
        <w:rPr>
          <w:color w:val="131727" w:themeColor="text1"/>
          <w:w w:val="110"/>
        </w:rPr>
        <w:t>as well as providing</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3"/>
          <w:w w:val="110"/>
        </w:rPr>
        <w:t xml:space="preserve"> </w:t>
      </w:r>
      <w:r w:rsidRPr="00FD40B8">
        <w:rPr>
          <w:color w:val="131727" w:themeColor="text1"/>
          <w:w w:val="110"/>
        </w:rPr>
        <w:t>repairs and</w:t>
      </w:r>
      <w:r w:rsidRPr="00FD40B8">
        <w:rPr>
          <w:color w:val="131727" w:themeColor="text1"/>
          <w:spacing w:val="-6"/>
          <w:w w:val="110"/>
        </w:rPr>
        <w:t xml:space="preserve"> </w:t>
      </w:r>
      <w:r w:rsidRPr="00FD40B8">
        <w:rPr>
          <w:color w:val="131727" w:themeColor="text1"/>
          <w:w w:val="110"/>
        </w:rPr>
        <w:t>maintenance,</w:t>
      </w:r>
      <w:r w:rsidRPr="00FD40B8">
        <w:rPr>
          <w:color w:val="131727" w:themeColor="text1"/>
          <w:spacing w:val="-6"/>
          <w:w w:val="110"/>
        </w:rPr>
        <w:t xml:space="preserve"> </w:t>
      </w:r>
      <w:r w:rsidRPr="00FD40B8">
        <w:rPr>
          <w:color w:val="131727" w:themeColor="text1"/>
          <w:w w:val="110"/>
        </w:rPr>
        <w:t>is significant</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is more</w:t>
      </w:r>
      <w:r w:rsidRPr="00FD40B8">
        <w:rPr>
          <w:color w:val="131727" w:themeColor="text1"/>
          <w:spacing w:val="-2"/>
          <w:w w:val="110"/>
        </w:rPr>
        <w:t xml:space="preserve"> </w:t>
      </w:r>
      <w:r w:rsidRPr="00FD40B8">
        <w:rPr>
          <w:color w:val="131727" w:themeColor="text1"/>
          <w:w w:val="110"/>
        </w:rPr>
        <w:t>than double</w:t>
      </w:r>
      <w:r w:rsidRPr="00FD40B8">
        <w:rPr>
          <w:color w:val="131727" w:themeColor="text1"/>
          <w:spacing w:val="-6"/>
          <w:w w:val="110"/>
        </w:rPr>
        <w:t xml:space="preserve"> </w:t>
      </w:r>
      <w:r w:rsidRPr="00FD40B8">
        <w:rPr>
          <w:color w:val="131727" w:themeColor="text1"/>
          <w:w w:val="110"/>
        </w:rPr>
        <w:t>the level of investment in the Northern Territory in recent years. The previous agreement between the governments has built the equivalent of 650 homes in the Northern Territory's remote communities since 2018. In announcing the commitment, the Commonwealth Government advised that this new investment would halve the gap in overcrowding in the Northern Territory</w:t>
      </w:r>
      <w:hyperlink w:anchor="_bookmark61" w:history="1">
        <w:r w:rsidRPr="00FD40B8">
          <w:rPr>
            <w:color w:val="131727" w:themeColor="text1"/>
            <w:w w:val="110"/>
          </w:rPr>
          <w:t>.</w:t>
        </w:r>
        <w:r w:rsidRPr="00FD40B8">
          <w:rPr>
            <w:color w:val="131727" w:themeColor="text1"/>
            <w:w w:val="110"/>
            <w:position w:val="8"/>
            <w:sz w:val="13"/>
          </w:rPr>
          <w:t>52</w:t>
        </w:r>
      </w:hyperlink>
    </w:p>
    <w:p w14:paraId="2E483425" w14:textId="77777777" w:rsidR="00811887" w:rsidRPr="00FD40B8" w:rsidRDefault="00811887" w:rsidP="00811887">
      <w:pPr>
        <w:pStyle w:val="BodyText"/>
        <w:spacing w:before="116" w:line="268" w:lineRule="auto"/>
        <w:ind w:left="508" w:right="529"/>
        <w:jc w:val="both"/>
        <w:rPr>
          <w:color w:val="131727" w:themeColor="text1"/>
        </w:rPr>
      </w:pPr>
      <w:r w:rsidRPr="00FD40B8">
        <w:rPr>
          <w:color w:val="131727" w:themeColor="text1"/>
          <w:w w:val="110"/>
        </w:rPr>
        <w:t>Given that there</w:t>
      </w:r>
      <w:r w:rsidRPr="00FD40B8">
        <w:rPr>
          <w:color w:val="131727" w:themeColor="text1"/>
          <w:spacing w:val="-2"/>
          <w:w w:val="110"/>
        </w:rPr>
        <w:t xml:space="preserve"> </w:t>
      </w:r>
      <w:r w:rsidRPr="00FD40B8">
        <w:rPr>
          <w:color w:val="131727" w:themeColor="text1"/>
          <w:w w:val="110"/>
        </w:rPr>
        <w:t>is no dedicated Aboriginal and</w:t>
      </w:r>
      <w:r w:rsidRPr="00FD40B8">
        <w:rPr>
          <w:color w:val="131727" w:themeColor="text1"/>
          <w:spacing w:val="-2"/>
          <w:w w:val="110"/>
        </w:rPr>
        <w:t xml:space="preserve"> </w:t>
      </w:r>
      <w:r w:rsidRPr="00FD40B8">
        <w:rPr>
          <w:color w:val="131727" w:themeColor="text1"/>
          <w:w w:val="110"/>
        </w:rPr>
        <w:t>Torres Strait Islander</w:t>
      </w:r>
      <w:r w:rsidRPr="00FD40B8">
        <w:rPr>
          <w:color w:val="131727" w:themeColor="text1"/>
          <w:spacing w:val="-4"/>
          <w:w w:val="110"/>
        </w:rPr>
        <w:t xml:space="preserve"> </w:t>
      </w:r>
      <w:r w:rsidRPr="00FD40B8">
        <w:rPr>
          <w:color w:val="131727" w:themeColor="text1"/>
          <w:w w:val="110"/>
        </w:rPr>
        <w:t>housing</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homelessness national investment</w:t>
      </w:r>
      <w:r w:rsidRPr="00FD40B8">
        <w:rPr>
          <w:color w:val="131727" w:themeColor="text1"/>
          <w:spacing w:val="-11"/>
          <w:w w:val="110"/>
        </w:rPr>
        <w:t xml:space="preserve"> </w:t>
      </w:r>
      <w:r w:rsidRPr="00FD40B8">
        <w:rPr>
          <w:color w:val="131727" w:themeColor="text1"/>
          <w:w w:val="110"/>
        </w:rPr>
        <w:t>strategy,</w:t>
      </w:r>
      <w:r w:rsidRPr="00FD40B8">
        <w:rPr>
          <w:color w:val="131727" w:themeColor="text1"/>
          <w:spacing w:val="-11"/>
          <w:w w:val="110"/>
        </w:rPr>
        <w:t xml:space="preserve"> </w:t>
      </w:r>
      <w:r w:rsidRPr="00FD40B8">
        <w:rPr>
          <w:color w:val="131727" w:themeColor="text1"/>
          <w:w w:val="110"/>
        </w:rPr>
        <w:t>and</w:t>
      </w:r>
      <w:r w:rsidRPr="00FD40B8">
        <w:rPr>
          <w:color w:val="131727" w:themeColor="text1"/>
          <w:spacing w:val="-7"/>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new</w:t>
      </w:r>
      <w:r w:rsidRPr="00FD40B8">
        <w:rPr>
          <w:color w:val="131727" w:themeColor="text1"/>
          <w:spacing w:val="-9"/>
          <w:w w:val="110"/>
        </w:rPr>
        <w:t xml:space="preserve"> </w:t>
      </w:r>
      <w:r w:rsidRPr="00FD40B8">
        <w:rPr>
          <w:color w:val="131727" w:themeColor="text1"/>
          <w:w w:val="110"/>
        </w:rPr>
        <w:t>investment</w:t>
      </w:r>
      <w:r w:rsidRPr="00FD40B8">
        <w:rPr>
          <w:color w:val="131727" w:themeColor="text1"/>
          <w:spacing w:val="-11"/>
          <w:w w:val="110"/>
        </w:rPr>
        <w:t xml:space="preserve"> </w:t>
      </w:r>
      <w:r w:rsidRPr="00FD40B8">
        <w:rPr>
          <w:color w:val="131727" w:themeColor="text1"/>
          <w:w w:val="110"/>
        </w:rPr>
        <w:t>in</w:t>
      </w:r>
      <w:r w:rsidRPr="00FD40B8">
        <w:rPr>
          <w:color w:val="131727" w:themeColor="text1"/>
          <w:spacing w:val="-10"/>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Northern</w:t>
      </w:r>
      <w:r w:rsidRPr="00FD40B8">
        <w:rPr>
          <w:color w:val="131727" w:themeColor="text1"/>
          <w:spacing w:val="-5"/>
          <w:w w:val="110"/>
        </w:rPr>
        <w:t xml:space="preserve"> </w:t>
      </w:r>
      <w:r w:rsidRPr="00FD40B8">
        <w:rPr>
          <w:color w:val="131727" w:themeColor="text1"/>
          <w:w w:val="110"/>
        </w:rPr>
        <w:t>Territory</w:t>
      </w:r>
      <w:r w:rsidRPr="00FD40B8">
        <w:rPr>
          <w:color w:val="131727" w:themeColor="text1"/>
          <w:spacing w:val="-8"/>
          <w:w w:val="110"/>
        </w:rPr>
        <w:t xml:space="preserve"> </w:t>
      </w:r>
      <w:r w:rsidRPr="00FD40B8">
        <w:rPr>
          <w:color w:val="131727" w:themeColor="text1"/>
          <w:w w:val="110"/>
        </w:rPr>
        <w:t>will</w:t>
      </w:r>
      <w:r w:rsidRPr="00FD40B8">
        <w:rPr>
          <w:color w:val="131727" w:themeColor="text1"/>
          <w:spacing w:val="-8"/>
          <w:w w:val="110"/>
        </w:rPr>
        <w:t xml:space="preserve"> </w:t>
      </w:r>
      <w:r w:rsidRPr="00FD40B8">
        <w:rPr>
          <w:color w:val="131727" w:themeColor="text1"/>
          <w:w w:val="110"/>
        </w:rPr>
        <w:t>halve</w:t>
      </w:r>
      <w:r w:rsidRPr="00FD40B8">
        <w:rPr>
          <w:color w:val="131727" w:themeColor="text1"/>
          <w:spacing w:val="-11"/>
          <w:w w:val="110"/>
        </w:rPr>
        <w:t xml:space="preserve"> </w:t>
      </w:r>
      <w:r w:rsidRPr="00FD40B8">
        <w:rPr>
          <w:color w:val="131727" w:themeColor="text1"/>
          <w:w w:val="110"/>
        </w:rPr>
        <w:t>the</w:t>
      </w:r>
      <w:r w:rsidRPr="00FD40B8">
        <w:rPr>
          <w:color w:val="131727" w:themeColor="text1"/>
          <w:spacing w:val="-11"/>
          <w:w w:val="110"/>
        </w:rPr>
        <w:t xml:space="preserve"> </w:t>
      </w:r>
      <w:r w:rsidRPr="00FD40B8">
        <w:rPr>
          <w:color w:val="131727" w:themeColor="text1"/>
          <w:w w:val="110"/>
        </w:rPr>
        <w:t>gap</w:t>
      </w:r>
      <w:r w:rsidRPr="00FD40B8">
        <w:rPr>
          <w:color w:val="131727" w:themeColor="text1"/>
          <w:spacing w:val="-11"/>
          <w:w w:val="110"/>
        </w:rPr>
        <w:t xml:space="preserve"> </w:t>
      </w:r>
      <w:r w:rsidRPr="00FD40B8">
        <w:rPr>
          <w:color w:val="131727" w:themeColor="text1"/>
          <w:w w:val="110"/>
        </w:rPr>
        <w:t>in</w:t>
      </w:r>
      <w:r w:rsidRPr="00FD40B8">
        <w:rPr>
          <w:color w:val="131727" w:themeColor="text1"/>
          <w:spacing w:val="-10"/>
          <w:w w:val="110"/>
        </w:rPr>
        <w:t xml:space="preserve"> </w:t>
      </w:r>
      <w:r w:rsidRPr="00FD40B8">
        <w:rPr>
          <w:color w:val="131727" w:themeColor="text1"/>
          <w:w w:val="110"/>
        </w:rPr>
        <w:t>overcrowding, we can assess that existing effort is not sufficient to meet need.</w:t>
      </w:r>
    </w:p>
    <w:p w14:paraId="230538CC" w14:textId="77777777" w:rsidR="00811887" w:rsidRPr="00FD40B8" w:rsidRDefault="00811887" w:rsidP="00811887">
      <w:pPr>
        <w:pStyle w:val="Heading8"/>
        <w:spacing w:before="94"/>
        <w:jc w:val="both"/>
        <w:rPr>
          <w:color w:val="131727" w:themeColor="text1"/>
        </w:rPr>
      </w:pPr>
      <w:r w:rsidRPr="00FD40B8">
        <w:rPr>
          <w:color w:val="131727" w:themeColor="text1"/>
        </w:rPr>
        <w:t>Examining</w:t>
      </w:r>
      <w:r w:rsidRPr="00FD40B8">
        <w:rPr>
          <w:color w:val="131727" w:themeColor="text1"/>
          <w:spacing w:val="-7"/>
        </w:rPr>
        <w:t xml:space="preserve"> </w:t>
      </w:r>
      <w:r w:rsidRPr="00FD40B8">
        <w:rPr>
          <w:color w:val="131727" w:themeColor="text1"/>
        </w:rPr>
        <w:t>investment</w:t>
      </w:r>
      <w:r w:rsidRPr="00FD40B8">
        <w:rPr>
          <w:color w:val="131727" w:themeColor="text1"/>
          <w:spacing w:val="-5"/>
        </w:rPr>
        <w:t xml:space="preserve"> </w:t>
      </w:r>
      <w:r w:rsidRPr="00FD40B8">
        <w:rPr>
          <w:color w:val="131727" w:themeColor="text1"/>
        </w:rPr>
        <w:t>and</w:t>
      </w:r>
      <w:r w:rsidRPr="00FD40B8">
        <w:rPr>
          <w:color w:val="131727" w:themeColor="text1"/>
          <w:spacing w:val="-2"/>
        </w:rPr>
        <w:t xml:space="preserve"> </w:t>
      </w:r>
      <w:r w:rsidRPr="00FD40B8">
        <w:rPr>
          <w:color w:val="131727" w:themeColor="text1"/>
        </w:rPr>
        <w:t>housing</w:t>
      </w:r>
      <w:r w:rsidRPr="00FD40B8">
        <w:rPr>
          <w:color w:val="131727" w:themeColor="text1"/>
          <w:spacing w:val="-2"/>
        </w:rPr>
        <w:t xml:space="preserve"> </w:t>
      </w:r>
      <w:r w:rsidRPr="00FD40B8">
        <w:rPr>
          <w:color w:val="131727" w:themeColor="text1"/>
        </w:rPr>
        <w:t>stock</w:t>
      </w:r>
      <w:r w:rsidRPr="00FD40B8">
        <w:rPr>
          <w:color w:val="131727" w:themeColor="text1"/>
          <w:spacing w:val="-5"/>
        </w:rPr>
        <w:t xml:space="preserve"> </w:t>
      </w:r>
      <w:r w:rsidRPr="00FD40B8">
        <w:rPr>
          <w:color w:val="131727" w:themeColor="text1"/>
          <w:spacing w:val="-2"/>
        </w:rPr>
        <w:t>trends</w:t>
      </w:r>
    </w:p>
    <w:p w14:paraId="1A60BD48" w14:textId="77777777" w:rsidR="00811887" w:rsidRPr="00FD40B8" w:rsidRDefault="00811887" w:rsidP="00811887">
      <w:pPr>
        <w:pStyle w:val="BodyText"/>
        <w:spacing w:before="145" w:line="268" w:lineRule="auto"/>
        <w:ind w:left="508" w:right="598"/>
        <w:rPr>
          <w:color w:val="131727" w:themeColor="text1"/>
        </w:rPr>
      </w:pPr>
      <w:r w:rsidRPr="00FD40B8">
        <w:rPr>
          <w:color w:val="131727" w:themeColor="text1"/>
          <w:w w:val="110"/>
        </w:rPr>
        <w:t>Given the available data, we</w:t>
      </w:r>
      <w:r w:rsidRPr="00FD40B8">
        <w:rPr>
          <w:color w:val="131727" w:themeColor="text1"/>
          <w:spacing w:val="-1"/>
          <w:w w:val="110"/>
        </w:rPr>
        <w:t xml:space="preserve"> </w:t>
      </w:r>
      <w:r w:rsidRPr="00FD40B8">
        <w:rPr>
          <w:color w:val="131727" w:themeColor="text1"/>
          <w:w w:val="110"/>
        </w:rPr>
        <w:t>believe the most</w:t>
      </w:r>
      <w:r w:rsidRPr="00FD40B8">
        <w:rPr>
          <w:color w:val="131727" w:themeColor="text1"/>
          <w:spacing w:val="-1"/>
          <w:w w:val="110"/>
        </w:rPr>
        <w:t xml:space="preserve"> </w:t>
      </w:r>
      <w:r w:rsidRPr="00FD40B8">
        <w:rPr>
          <w:color w:val="131727" w:themeColor="text1"/>
          <w:w w:val="110"/>
        </w:rPr>
        <w:t>informative quantitative assessment</w:t>
      </w:r>
      <w:r w:rsidRPr="00FD40B8">
        <w:rPr>
          <w:color w:val="131727" w:themeColor="text1"/>
          <w:spacing w:val="-1"/>
          <w:w w:val="110"/>
        </w:rPr>
        <w:t xml:space="preserve"> </w:t>
      </w:r>
      <w:r w:rsidRPr="00FD40B8">
        <w:rPr>
          <w:color w:val="131727" w:themeColor="text1"/>
          <w:w w:val="110"/>
        </w:rPr>
        <w:t>of whether</w:t>
      </w:r>
      <w:r w:rsidRPr="00FD40B8">
        <w:rPr>
          <w:color w:val="131727" w:themeColor="text1"/>
          <w:spacing w:val="-3"/>
          <w:w w:val="110"/>
        </w:rPr>
        <w:t xml:space="preserve"> </w:t>
      </w:r>
      <w:r w:rsidRPr="00FD40B8">
        <w:rPr>
          <w:color w:val="131727" w:themeColor="text1"/>
          <w:w w:val="110"/>
        </w:rPr>
        <w:t>current government effort is sufficient to meet the overcrowding and homelessness needs of Aboriginal and Torres Strait Islander people is to track levels of Aboriginal and Torres Strait Islander social housing dwellings (including state-owned</w:t>
      </w:r>
      <w:r w:rsidRPr="00FD40B8">
        <w:rPr>
          <w:color w:val="131727" w:themeColor="text1"/>
          <w:spacing w:val="-4"/>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managed</w:t>
      </w:r>
      <w:r w:rsidRPr="00FD40B8">
        <w:rPr>
          <w:color w:val="131727" w:themeColor="text1"/>
          <w:spacing w:val="-4"/>
          <w:w w:val="110"/>
        </w:rPr>
        <w:t xml:space="preserve"> </w:t>
      </w:r>
      <w:r w:rsidRPr="00FD40B8">
        <w:rPr>
          <w:color w:val="131727" w:themeColor="text1"/>
          <w:w w:val="110"/>
        </w:rPr>
        <w:t>housing and</w:t>
      </w:r>
      <w:r w:rsidRPr="00FD40B8">
        <w:rPr>
          <w:color w:val="131727" w:themeColor="text1"/>
          <w:spacing w:val="-4"/>
          <w:w w:val="110"/>
        </w:rPr>
        <w:t xml:space="preserve"> </w:t>
      </w:r>
      <w:r w:rsidRPr="00FD40B8">
        <w:rPr>
          <w:color w:val="131727" w:themeColor="text1"/>
          <w:w w:val="110"/>
        </w:rPr>
        <w:t>Indigenous</w:t>
      </w:r>
      <w:r w:rsidRPr="00FD40B8">
        <w:rPr>
          <w:color w:val="131727" w:themeColor="text1"/>
          <w:spacing w:val="-2"/>
          <w:w w:val="110"/>
        </w:rPr>
        <w:t xml:space="preserve"> </w:t>
      </w:r>
      <w:r w:rsidRPr="00FD40B8">
        <w:rPr>
          <w:color w:val="131727" w:themeColor="text1"/>
          <w:w w:val="110"/>
        </w:rPr>
        <w:t>community</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6"/>
          <w:w w:val="110"/>
        </w:rPr>
        <w:t xml:space="preserve"> </w:t>
      </w:r>
      <w:r w:rsidRPr="00FD40B8">
        <w:rPr>
          <w:color w:val="131727" w:themeColor="text1"/>
          <w:w w:val="110"/>
        </w:rPr>
        <w:t>before and after 2021, against our estimated additional need in 2021 (see Figure 4).</w:t>
      </w:r>
    </w:p>
    <w:p w14:paraId="0C4A3E76" w14:textId="77777777" w:rsidR="00811887" w:rsidRPr="00FD40B8" w:rsidRDefault="00811887" w:rsidP="00811887">
      <w:pPr>
        <w:pStyle w:val="BodyText"/>
        <w:spacing w:before="117" w:line="266" w:lineRule="auto"/>
        <w:ind w:left="508" w:right="547"/>
        <w:rPr>
          <w:color w:val="131727" w:themeColor="text1"/>
        </w:rPr>
      </w:pPr>
      <w:r w:rsidRPr="00FD40B8">
        <w:rPr>
          <w:color w:val="131727" w:themeColor="text1"/>
          <w:w w:val="110"/>
        </w:rPr>
        <w:t>We note this analysis does not take account of new dwellings or bedrooms that may have been built since</w:t>
      </w:r>
      <w:r w:rsidRPr="00FD40B8">
        <w:rPr>
          <w:color w:val="131727" w:themeColor="text1"/>
          <w:spacing w:val="-6"/>
          <w:w w:val="110"/>
        </w:rPr>
        <w:t xml:space="preserve"> </w:t>
      </w:r>
      <w:r w:rsidRPr="00FD40B8">
        <w:rPr>
          <w:color w:val="131727" w:themeColor="text1"/>
          <w:w w:val="110"/>
        </w:rPr>
        <w:t>2021,</w:t>
      </w:r>
      <w:r w:rsidRPr="00FD40B8">
        <w:rPr>
          <w:color w:val="131727" w:themeColor="text1"/>
          <w:spacing w:val="-9"/>
          <w:w w:val="110"/>
        </w:rPr>
        <w:t xml:space="preserve"> </w:t>
      </w:r>
      <w:r w:rsidRPr="00FD40B8">
        <w:rPr>
          <w:color w:val="131727" w:themeColor="text1"/>
          <w:w w:val="110"/>
        </w:rPr>
        <w:t>including</w:t>
      </w:r>
      <w:r w:rsidRPr="00FD40B8">
        <w:rPr>
          <w:color w:val="131727" w:themeColor="text1"/>
          <w:spacing w:val="-6"/>
          <w:w w:val="110"/>
        </w:rPr>
        <w:t xml:space="preserve"> </w:t>
      </w:r>
      <w:r w:rsidRPr="00FD40B8">
        <w:rPr>
          <w:color w:val="131727" w:themeColor="text1"/>
          <w:w w:val="110"/>
        </w:rPr>
        <w:t>through</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Northern</w:t>
      </w:r>
      <w:r w:rsidRPr="00FD40B8">
        <w:rPr>
          <w:color w:val="131727" w:themeColor="text1"/>
          <w:spacing w:val="-5"/>
          <w:w w:val="110"/>
        </w:rPr>
        <w:t xml:space="preserve"> </w:t>
      </w:r>
      <w:r w:rsidRPr="00FD40B8">
        <w:rPr>
          <w:color w:val="131727" w:themeColor="text1"/>
          <w:w w:val="110"/>
        </w:rPr>
        <w:t>Territory’s</w:t>
      </w:r>
      <w:r w:rsidRPr="00FD40B8">
        <w:rPr>
          <w:color w:val="131727" w:themeColor="text1"/>
          <w:spacing w:val="-9"/>
          <w:w w:val="110"/>
        </w:rPr>
        <w:t xml:space="preserve"> </w:t>
      </w:r>
      <w:r w:rsidRPr="00FD40B8">
        <w:rPr>
          <w:color w:val="131727" w:themeColor="text1"/>
          <w:w w:val="110"/>
        </w:rPr>
        <w:t>dedicated</w:t>
      </w:r>
      <w:r w:rsidRPr="00FD40B8">
        <w:rPr>
          <w:color w:val="131727" w:themeColor="text1"/>
          <w:spacing w:val="-6"/>
          <w:w w:val="110"/>
        </w:rPr>
        <w:t xml:space="preserve"> </w:t>
      </w:r>
      <w:r w:rsidRPr="00FD40B8">
        <w:rPr>
          <w:color w:val="131727" w:themeColor="text1"/>
          <w:w w:val="110"/>
        </w:rPr>
        <w:t>investment.</w:t>
      </w:r>
      <w:r w:rsidRPr="00FD40B8">
        <w:rPr>
          <w:color w:val="131727" w:themeColor="text1"/>
          <w:spacing w:val="-4"/>
          <w:w w:val="110"/>
        </w:rPr>
        <w:t xml:space="preserve"> </w:t>
      </w:r>
      <w:r w:rsidRPr="00FD40B8">
        <w:rPr>
          <w:color w:val="131727" w:themeColor="text1"/>
          <w:w w:val="110"/>
        </w:rPr>
        <w:t>However,</w:t>
      </w:r>
      <w:r w:rsidRPr="00FD40B8">
        <w:rPr>
          <w:color w:val="131727" w:themeColor="text1"/>
          <w:spacing w:val="-10"/>
          <w:w w:val="110"/>
        </w:rPr>
        <w:t xml:space="preserve"> </w:t>
      </w:r>
      <w:r w:rsidRPr="00FD40B8">
        <w:rPr>
          <w:color w:val="131727" w:themeColor="text1"/>
          <w:w w:val="110"/>
        </w:rPr>
        <w:t>it</w:t>
      </w:r>
      <w:r w:rsidRPr="00FD40B8">
        <w:rPr>
          <w:color w:val="131727" w:themeColor="text1"/>
          <w:spacing w:val="-6"/>
          <w:w w:val="110"/>
        </w:rPr>
        <w:t xml:space="preserve"> </w:t>
      </w:r>
      <w:r w:rsidRPr="00FD40B8">
        <w:rPr>
          <w:color w:val="131727" w:themeColor="text1"/>
          <w:w w:val="110"/>
        </w:rPr>
        <w:t>demonstrates</w:t>
      </w:r>
      <w:r w:rsidRPr="00FD40B8">
        <w:rPr>
          <w:color w:val="131727" w:themeColor="text1"/>
          <w:spacing w:val="-4"/>
          <w:w w:val="110"/>
        </w:rPr>
        <w:t xml:space="preserve"> </w:t>
      </w:r>
      <w:r w:rsidRPr="00FD40B8">
        <w:rPr>
          <w:color w:val="131727" w:themeColor="text1"/>
          <w:w w:val="110"/>
        </w:rPr>
        <w:t>a continued persistent gap between social housing availability and unmet need.</w:t>
      </w:r>
    </w:p>
    <w:p w14:paraId="174AFD67" w14:textId="77777777" w:rsidR="00811887" w:rsidRPr="00FD40B8" w:rsidRDefault="00811887" w:rsidP="00811887">
      <w:pPr>
        <w:pStyle w:val="BodyText"/>
        <w:spacing w:before="50"/>
        <w:rPr>
          <w:color w:val="131727" w:themeColor="text1"/>
        </w:rPr>
      </w:pPr>
      <w:r w:rsidRPr="00FD40B8">
        <w:rPr>
          <w:noProof/>
          <w:color w:val="131727" w:themeColor="text1"/>
        </w:rPr>
        <mc:AlternateContent>
          <mc:Choice Requires="wps">
            <w:drawing>
              <wp:anchor distT="0" distB="0" distL="0" distR="0" simplePos="0" relativeHeight="251747328" behindDoc="1" locked="0" layoutInCell="1" allowOverlap="1" wp14:anchorId="266C4603" wp14:editId="22C6ADD2">
                <wp:simplePos x="0" y="0"/>
                <wp:positionH relativeFrom="page">
                  <wp:posOffset>792784</wp:posOffset>
                </wp:positionH>
                <wp:positionV relativeFrom="paragraph">
                  <wp:posOffset>202095</wp:posOffset>
                </wp:positionV>
                <wp:extent cx="1830070" cy="6350"/>
                <wp:effectExtent l="0" t="0" r="0" b="0"/>
                <wp:wrapTopAndBottom/>
                <wp:docPr id="164" name="Graphic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5A7AAE" id="Graphic 164" o:spid="_x0000_s1026" alt="&quot;&quot;" style="position:absolute;margin-left:62.4pt;margin-top:15.9pt;width:144.1pt;height:.5pt;z-index:-25156915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" path="m1829689,l,,,6096r1829689,l1829689,xe" fillcolor="black" stroked="f">
                <v:path arrowok="t"/>
                <w10:wrap type="topAndBottom" anchorx="page"/>
              </v:shape>
            </w:pict>
          </mc:Fallback>
        </mc:AlternateContent>
      </w:r>
    </w:p>
    <w:p w14:paraId="32E8054D" w14:textId="77777777" w:rsidR="00811887" w:rsidRPr="00FD40B8" w:rsidRDefault="00811887" w:rsidP="00811887">
      <w:pPr>
        <w:spacing w:before="118" w:line="271" w:lineRule="auto"/>
        <w:ind w:left="508" w:right="598"/>
        <w:rPr>
          <w:color w:val="131727" w:themeColor="text1"/>
          <w:sz w:val="16"/>
        </w:rPr>
      </w:pPr>
      <w:bookmarkStart w:id="168" w:name="_bookmark57"/>
      <w:bookmarkEnd w:id="168"/>
      <w:r w:rsidRPr="00FD40B8">
        <w:rPr>
          <w:color w:val="131727" w:themeColor="text1"/>
          <w:w w:val="105"/>
          <w:position w:val="6"/>
          <w:sz w:val="10"/>
        </w:rPr>
        <w:t>48</w:t>
      </w:r>
      <w:r w:rsidRPr="00FD40B8">
        <w:rPr>
          <w:color w:val="131727" w:themeColor="text1"/>
          <w:spacing w:val="34"/>
          <w:w w:val="105"/>
          <w:position w:val="6"/>
          <w:sz w:val="10"/>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Australian</w:t>
      </w:r>
      <w:r w:rsidRPr="00FD40B8">
        <w:rPr>
          <w:color w:val="131727" w:themeColor="text1"/>
          <w:spacing w:val="23"/>
          <w:w w:val="105"/>
          <w:sz w:val="16"/>
        </w:rPr>
        <w:t xml:space="preserve"> </w:t>
      </w:r>
      <w:r w:rsidRPr="00FD40B8">
        <w:rPr>
          <w:color w:val="131727" w:themeColor="text1"/>
          <w:w w:val="105"/>
          <w:sz w:val="16"/>
        </w:rPr>
        <w:t>Government</w:t>
      </w:r>
      <w:r w:rsidRPr="00FD40B8">
        <w:rPr>
          <w:color w:val="131727" w:themeColor="text1"/>
          <w:spacing w:val="19"/>
          <w:w w:val="105"/>
          <w:sz w:val="16"/>
        </w:rPr>
        <w:t xml:space="preserve"> </w:t>
      </w:r>
      <w:r w:rsidRPr="00FD40B8">
        <w:rPr>
          <w:color w:val="131727" w:themeColor="text1"/>
          <w:w w:val="105"/>
          <w:sz w:val="16"/>
        </w:rPr>
        <w:t>Department</w:t>
      </w:r>
      <w:r w:rsidRPr="00FD40B8">
        <w:rPr>
          <w:color w:val="131727" w:themeColor="text1"/>
          <w:spacing w:val="19"/>
          <w:w w:val="105"/>
          <w:sz w:val="16"/>
        </w:rPr>
        <w:t xml:space="preserve"> </w:t>
      </w:r>
      <w:r w:rsidRPr="00FD40B8">
        <w:rPr>
          <w:color w:val="131727" w:themeColor="text1"/>
          <w:w w:val="105"/>
          <w:sz w:val="16"/>
        </w:rPr>
        <w:t>of</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Prime</w:t>
      </w:r>
      <w:r w:rsidRPr="00FD40B8">
        <w:rPr>
          <w:color w:val="131727" w:themeColor="text1"/>
          <w:spacing w:val="19"/>
          <w:w w:val="105"/>
          <w:sz w:val="16"/>
        </w:rPr>
        <w:t xml:space="preserve"> </w:t>
      </w:r>
      <w:r w:rsidRPr="00FD40B8">
        <w:rPr>
          <w:color w:val="131727" w:themeColor="text1"/>
          <w:w w:val="105"/>
          <w:sz w:val="16"/>
        </w:rPr>
        <w:t>Minister</w:t>
      </w:r>
      <w:r w:rsidRPr="00FD40B8">
        <w:rPr>
          <w:color w:val="131727" w:themeColor="text1"/>
          <w:spacing w:val="20"/>
          <w:w w:val="105"/>
          <w:sz w:val="16"/>
        </w:rPr>
        <w:t xml:space="preserve"> </w:t>
      </w:r>
      <w:r w:rsidRPr="00FD40B8">
        <w:rPr>
          <w:color w:val="131727" w:themeColor="text1"/>
          <w:w w:val="105"/>
          <w:sz w:val="16"/>
        </w:rPr>
        <w:t>and</w:t>
      </w:r>
      <w:r w:rsidRPr="00FD40B8">
        <w:rPr>
          <w:color w:val="131727" w:themeColor="text1"/>
          <w:spacing w:val="21"/>
          <w:w w:val="105"/>
          <w:sz w:val="16"/>
        </w:rPr>
        <w:t xml:space="preserve"> </w:t>
      </w:r>
      <w:r w:rsidRPr="00FD40B8">
        <w:rPr>
          <w:color w:val="131727" w:themeColor="text1"/>
          <w:w w:val="105"/>
          <w:sz w:val="16"/>
        </w:rPr>
        <w:t>Cabinet</w:t>
      </w:r>
      <w:r w:rsidRPr="00FD40B8">
        <w:rPr>
          <w:color w:val="131727" w:themeColor="text1"/>
          <w:spacing w:val="19"/>
          <w:w w:val="105"/>
          <w:sz w:val="16"/>
        </w:rPr>
        <w:t xml:space="preserve"> </w:t>
      </w:r>
      <w:r w:rsidRPr="00FD40B8">
        <w:rPr>
          <w:color w:val="131727" w:themeColor="text1"/>
          <w:w w:val="105"/>
          <w:sz w:val="16"/>
        </w:rPr>
        <w:t>2024,</w:t>
      </w:r>
      <w:r w:rsidRPr="00FD40B8">
        <w:rPr>
          <w:color w:val="131727" w:themeColor="text1"/>
          <w:spacing w:val="19"/>
          <w:w w:val="105"/>
          <w:sz w:val="16"/>
        </w:rPr>
        <w:t xml:space="preserve"> </w:t>
      </w:r>
      <w:r w:rsidRPr="00FD40B8">
        <w:rPr>
          <w:color w:val="131727" w:themeColor="text1"/>
          <w:w w:val="105"/>
          <w:sz w:val="16"/>
        </w:rPr>
        <w:t>Closing</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Gap</w:t>
      </w:r>
      <w:r w:rsidRPr="00FD40B8">
        <w:rPr>
          <w:color w:val="131727" w:themeColor="text1"/>
          <w:spacing w:val="21"/>
          <w:w w:val="105"/>
          <w:sz w:val="16"/>
        </w:rPr>
        <w:t xml:space="preserve"> </w:t>
      </w:r>
      <w:r w:rsidRPr="00FD40B8">
        <w:rPr>
          <w:color w:val="131727" w:themeColor="text1"/>
          <w:w w:val="105"/>
          <w:sz w:val="16"/>
        </w:rPr>
        <w:t>website,</w:t>
      </w:r>
      <w:r w:rsidRPr="00FD40B8">
        <w:rPr>
          <w:color w:val="131727" w:themeColor="text1"/>
          <w:spacing w:val="19"/>
          <w:w w:val="105"/>
          <w:sz w:val="16"/>
        </w:rPr>
        <w:t xml:space="preserve"> </w:t>
      </w:r>
      <w:r w:rsidRPr="00FD40B8">
        <w:rPr>
          <w:color w:val="131727" w:themeColor="text1"/>
          <w:w w:val="105"/>
          <w:sz w:val="16"/>
        </w:rPr>
        <w:t>“Closing</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9"/>
          <w:w w:val="105"/>
          <w:sz w:val="16"/>
        </w:rPr>
        <w:t xml:space="preserve"> </w:t>
      </w:r>
      <w:r w:rsidRPr="00FD40B8">
        <w:rPr>
          <w:color w:val="131727" w:themeColor="text1"/>
          <w:w w:val="105"/>
          <w:sz w:val="16"/>
        </w:rPr>
        <w:t>Gap</w:t>
      </w:r>
      <w:r w:rsidRPr="00FD40B8">
        <w:rPr>
          <w:color w:val="131727" w:themeColor="text1"/>
          <w:spacing w:val="40"/>
          <w:w w:val="105"/>
          <w:sz w:val="16"/>
        </w:rPr>
        <w:t xml:space="preserve"> </w:t>
      </w:r>
      <w:r w:rsidRPr="00FD40B8">
        <w:rPr>
          <w:color w:val="131727" w:themeColor="text1"/>
          <w:w w:val="105"/>
          <w:sz w:val="16"/>
        </w:rPr>
        <w:t xml:space="preserve">Targets and Outcomes’. Available at: </w:t>
      </w:r>
      <w:hyperlink r:id="rId98">
        <w:r w:rsidRPr="00FD40B8">
          <w:rPr>
            <w:color w:val="131727" w:themeColor="text1"/>
            <w:w w:val="105"/>
            <w:sz w:val="16"/>
          </w:rPr>
          <w:t>https://www.closingthegap.gov.au/national-agreement/targets</w:t>
        </w:r>
      </w:hyperlink>
    </w:p>
    <w:p w14:paraId="0A202D3F" w14:textId="77777777" w:rsidR="00811887" w:rsidRPr="00FD40B8" w:rsidRDefault="00811887" w:rsidP="00811887">
      <w:pPr>
        <w:spacing w:line="191" w:lineRule="exact"/>
        <w:ind w:left="508"/>
        <w:rPr>
          <w:color w:val="131727" w:themeColor="text1"/>
          <w:sz w:val="16"/>
        </w:rPr>
      </w:pPr>
      <w:bookmarkStart w:id="169" w:name="_bookmark58"/>
      <w:bookmarkEnd w:id="169"/>
      <w:r w:rsidRPr="00FD40B8">
        <w:rPr>
          <w:color w:val="131727" w:themeColor="text1"/>
          <w:w w:val="105"/>
          <w:position w:val="6"/>
          <w:sz w:val="10"/>
        </w:rPr>
        <w:t>49</w:t>
      </w:r>
      <w:r w:rsidRPr="00FD40B8">
        <w:rPr>
          <w:color w:val="131727" w:themeColor="text1"/>
          <w:spacing w:val="37"/>
          <w:w w:val="105"/>
          <w:position w:val="6"/>
          <w:sz w:val="10"/>
        </w:rPr>
        <w:t xml:space="preserve"> </w:t>
      </w:r>
      <w:r w:rsidRPr="00FD40B8">
        <w:rPr>
          <w:color w:val="131727" w:themeColor="text1"/>
          <w:w w:val="105"/>
          <w:sz w:val="16"/>
        </w:rPr>
        <w:t>Australian</w:t>
      </w:r>
      <w:r w:rsidRPr="00FD40B8">
        <w:rPr>
          <w:color w:val="131727" w:themeColor="text1"/>
          <w:spacing w:val="27"/>
          <w:w w:val="105"/>
          <w:sz w:val="16"/>
        </w:rPr>
        <w:t xml:space="preserve"> </w:t>
      </w:r>
      <w:r w:rsidRPr="00FD40B8">
        <w:rPr>
          <w:color w:val="131727" w:themeColor="text1"/>
          <w:w w:val="105"/>
          <w:sz w:val="16"/>
        </w:rPr>
        <w:t>Government</w:t>
      </w:r>
      <w:r w:rsidRPr="00FD40B8">
        <w:rPr>
          <w:color w:val="131727" w:themeColor="text1"/>
          <w:spacing w:val="23"/>
          <w:w w:val="105"/>
          <w:sz w:val="16"/>
        </w:rPr>
        <w:t xml:space="preserve"> </w:t>
      </w:r>
      <w:r w:rsidRPr="00FD40B8">
        <w:rPr>
          <w:color w:val="131727" w:themeColor="text1"/>
          <w:w w:val="105"/>
          <w:sz w:val="16"/>
        </w:rPr>
        <w:t>National</w:t>
      </w:r>
      <w:r w:rsidRPr="00FD40B8">
        <w:rPr>
          <w:color w:val="131727" w:themeColor="text1"/>
          <w:spacing w:val="20"/>
          <w:w w:val="105"/>
          <w:sz w:val="16"/>
        </w:rPr>
        <w:t xml:space="preserve"> </w:t>
      </w:r>
      <w:r w:rsidRPr="00FD40B8">
        <w:rPr>
          <w:color w:val="131727" w:themeColor="text1"/>
          <w:w w:val="105"/>
          <w:sz w:val="16"/>
        </w:rPr>
        <w:t>Indigenous</w:t>
      </w:r>
      <w:r w:rsidRPr="00FD40B8">
        <w:rPr>
          <w:color w:val="131727" w:themeColor="text1"/>
          <w:spacing w:val="21"/>
          <w:w w:val="105"/>
          <w:sz w:val="16"/>
        </w:rPr>
        <w:t xml:space="preserve"> </w:t>
      </w:r>
      <w:r w:rsidRPr="00FD40B8">
        <w:rPr>
          <w:color w:val="131727" w:themeColor="text1"/>
          <w:w w:val="105"/>
          <w:sz w:val="16"/>
        </w:rPr>
        <w:t>Australians</w:t>
      </w:r>
      <w:r w:rsidRPr="00FD40B8">
        <w:rPr>
          <w:color w:val="131727" w:themeColor="text1"/>
          <w:spacing w:val="21"/>
          <w:w w:val="105"/>
          <w:sz w:val="16"/>
        </w:rPr>
        <w:t xml:space="preserve"> </w:t>
      </w:r>
      <w:r w:rsidRPr="00FD40B8">
        <w:rPr>
          <w:color w:val="131727" w:themeColor="text1"/>
          <w:w w:val="105"/>
          <w:sz w:val="16"/>
        </w:rPr>
        <w:t>Agency</w:t>
      </w:r>
      <w:r w:rsidRPr="00FD40B8">
        <w:rPr>
          <w:color w:val="131727" w:themeColor="text1"/>
          <w:spacing w:val="23"/>
          <w:w w:val="105"/>
          <w:sz w:val="16"/>
        </w:rPr>
        <w:t xml:space="preserve"> </w:t>
      </w:r>
      <w:r w:rsidRPr="00FD40B8">
        <w:rPr>
          <w:color w:val="131727" w:themeColor="text1"/>
          <w:w w:val="105"/>
          <w:sz w:val="16"/>
        </w:rPr>
        <w:t>2023,</w:t>
      </w:r>
      <w:r w:rsidRPr="00FD40B8">
        <w:rPr>
          <w:color w:val="131727" w:themeColor="text1"/>
          <w:spacing w:val="22"/>
          <w:w w:val="105"/>
          <w:sz w:val="16"/>
        </w:rPr>
        <w:t xml:space="preserve"> </w:t>
      </w:r>
      <w:r w:rsidRPr="00FD40B8">
        <w:rPr>
          <w:color w:val="131727" w:themeColor="text1"/>
          <w:w w:val="105"/>
          <w:sz w:val="16"/>
        </w:rPr>
        <w:t>2023</w:t>
      </w:r>
      <w:r w:rsidRPr="00FD40B8">
        <w:rPr>
          <w:color w:val="131727" w:themeColor="text1"/>
          <w:spacing w:val="25"/>
          <w:w w:val="105"/>
          <w:sz w:val="16"/>
        </w:rPr>
        <w:t xml:space="preserve"> </w:t>
      </w:r>
      <w:r w:rsidRPr="00FD40B8">
        <w:rPr>
          <w:color w:val="131727" w:themeColor="text1"/>
          <w:w w:val="105"/>
          <w:sz w:val="16"/>
        </w:rPr>
        <w:t>Commonwealth</w:t>
      </w:r>
      <w:r w:rsidRPr="00FD40B8">
        <w:rPr>
          <w:color w:val="131727" w:themeColor="text1"/>
          <w:spacing w:val="27"/>
          <w:w w:val="105"/>
          <w:sz w:val="16"/>
        </w:rPr>
        <w:t xml:space="preserve"> </w:t>
      </w:r>
      <w:r w:rsidRPr="00FD40B8">
        <w:rPr>
          <w:color w:val="131727" w:themeColor="text1"/>
          <w:w w:val="105"/>
          <w:sz w:val="16"/>
        </w:rPr>
        <w:t>Closing</w:t>
      </w:r>
      <w:r w:rsidRPr="00FD40B8">
        <w:rPr>
          <w:color w:val="131727" w:themeColor="text1"/>
          <w:spacing w:val="21"/>
          <w:w w:val="105"/>
          <w:sz w:val="16"/>
        </w:rPr>
        <w:t xml:space="preserve"> </w:t>
      </w:r>
      <w:r w:rsidRPr="00FD40B8">
        <w:rPr>
          <w:color w:val="131727" w:themeColor="text1"/>
          <w:w w:val="105"/>
          <w:sz w:val="16"/>
        </w:rPr>
        <w:t>the</w:t>
      </w:r>
      <w:r w:rsidRPr="00FD40B8">
        <w:rPr>
          <w:color w:val="131727" w:themeColor="text1"/>
          <w:spacing w:val="22"/>
          <w:w w:val="105"/>
          <w:sz w:val="16"/>
        </w:rPr>
        <w:t xml:space="preserve"> </w:t>
      </w:r>
      <w:r w:rsidRPr="00FD40B8">
        <w:rPr>
          <w:color w:val="131727" w:themeColor="text1"/>
          <w:w w:val="105"/>
          <w:sz w:val="16"/>
        </w:rPr>
        <w:t>Gap</w:t>
      </w:r>
      <w:r w:rsidRPr="00FD40B8">
        <w:rPr>
          <w:color w:val="131727" w:themeColor="text1"/>
          <w:spacing w:val="26"/>
          <w:w w:val="105"/>
          <w:sz w:val="16"/>
        </w:rPr>
        <w:t xml:space="preserve"> </w:t>
      </w:r>
      <w:r w:rsidRPr="00FD40B8">
        <w:rPr>
          <w:color w:val="131727" w:themeColor="text1"/>
          <w:spacing w:val="-2"/>
          <w:w w:val="105"/>
          <w:sz w:val="16"/>
        </w:rPr>
        <w:t>Implementation</w:t>
      </w:r>
    </w:p>
    <w:p w14:paraId="0F748E4D" w14:textId="77777777" w:rsidR="00811887" w:rsidRPr="00FD40B8" w:rsidRDefault="00811887" w:rsidP="00811887">
      <w:pPr>
        <w:spacing w:before="26" w:line="266" w:lineRule="auto"/>
        <w:ind w:left="508" w:right="561"/>
        <w:rPr>
          <w:color w:val="131727" w:themeColor="text1"/>
          <w:sz w:val="16"/>
        </w:rPr>
      </w:pPr>
      <w:r w:rsidRPr="00FD40B8">
        <w:rPr>
          <w:color w:val="131727" w:themeColor="text1"/>
          <w:w w:val="105"/>
          <w:sz w:val="16"/>
        </w:rPr>
        <w:t xml:space="preserve">Plan, Delivering on Outcomes and Targets, Outcome 9. Available at: </w:t>
      </w:r>
      <w:hyperlink r:id="rId99">
        <w:r w:rsidRPr="00FD40B8">
          <w:rPr>
            <w:color w:val="131727" w:themeColor="text1"/>
            <w:w w:val="105"/>
            <w:sz w:val="16"/>
          </w:rPr>
          <w:t>https://www.niaa.gov.au/2023-commonwealth-closing-gap-</w:t>
        </w:r>
      </w:hyperlink>
      <w:r w:rsidRPr="00FD40B8">
        <w:rPr>
          <w:color w:val="131727" w:themeColor="text1"/>
          <w:spacing w:val="40"/>
          <w:w w:val="105"/>
          <w:sz w:val="16"/>
        </w:rPr>
        <w:t xml:space="preserve"> </w:t>
      </w:r>
      <w:hyperlink r:id="rId100">
        <w:r w:rsidRPr="00FD40B8">
          <w:rPr>
            <w:color w:val="131727" w:themeColor="text1"/>
            <w:spacing w:val="-2"/>
            <w:w w:val="105"/>
            <w:sz w:val="16"/>
          </w:rPr>
          <w:t>implementation-plan/delivering-outcomes-and-targets/outcome-9-aboriginal-and-torres-strait-islander-people-secure-appropriate-</w:t>
        </w:r>
      </w:hyperlink>
      <w:r w:rsidRPr="00FD40B8">
        <w:rPr>
          <w:color w:val="131727" w:themeColor="text1"/>
          <w:spacing w:val="80"/>
          <w:w w:val="150"/>
          <w:sz w:val="16"/>
        </w:rPr>
        <w:t xml:space="preserve">   </w:t>
      </w:r>
      <w:hyperlink r:id="rId101">
        <w:r w:rsidRPr="00FD40B8">
          <w:rPr>
            <w:color w:val="131727" w:themeColor="text1"/>
            <w:spacing w:val="-2"/>
            <w:w w:val="105"/>
            <w:sz w:val="16"/>
          </w:rPr>
          <w:t>affordable-housing-aligned-their-priorities-and-need.</w:t>
        </w:r>
      </w:hyperlink>
    </w:p>
    <w:p w14:paraId="0583CD3C" w14:textId="77777777" w:rsidR="00811887" w:rsidRPr="00FD40B8" w:rsidRDefault="00811887" w:rsidP="00811887">
      <w:pPr>
        <w:spacing w:line="268" w:lineRule="auto"/>
        <w:ind w:left="508" w:right="590"/>
        <w:rPr>
          <w:color w:val="131727" w:themeColor="text1"/>
          <w:sz w:val="16"/>
        </w:rPr>
      </w:pPr>
      <w:bookmarkStart w:id="170" w:name="_bookmark59"/>
      <w:bookmarkEnd w:id="170"/>
      <w:r w:rsidRPr="00FD40B8">
        <w:rPr>
          <w:color w:val="131727" w:themeColor="text1"/>
          <w:w w:val="105"/>
          <w:position w:val="6"/>
          <w:sz w:val="10"/>
        </w:rPr>
        <w:t>50</w:t>
      </w:r>
      <w:r w:rsidRPr="00FD40B8">
        <w:rPr>
          <w:color w:val="131727" w:themeColor="text1"/>
          <w:spacing w:val="34"/>
          <w:w w:val="105"/>
          <w:position w:val="6"/>
          <w:sz w:val="10"/>
        </w:rPr>
        <w:t xml:space="preserve"> </w:t>
      </w:r>
      <w:r w:rsidRPr="00FD40B8">
        <w:rPr>
          <w:color w:val="131727" w:themeColor="text1"/>
          <w:w w:val="105"/>
          <w:sz w:val="16"/>
        </w:rPr>
        <w:t xml:space="preserve">Australian Government National Indigenous Australians Agency 2023, </w:t>
      </w:r>
      <w:r w:rsidRPr="00FD40B8">
        <w:rPr>
          <w:i/>
          <w:color w:val="131727" w:themeColor="text1"/>
          <w:w w:val="105"/>
          <w:sz w:val="16"/>
        </w:rPr>
        <w:t>Housing Sector Strengthening Plan (Partnership Action)</w:t>
      </w:r>
      <w:r w:rsidRPr="00FD40B8">
        <w:rPr>
          <w:color w:val="131727" w:themeColor="text1"/>
          <w:w w:val="105"/>
          <w:sz w:val="16"/>
        </w:rPr>
        <w:t>.</w:t>
      </w:r>
      <w:r w:rsidRPr="00FD40B8">
        <w:rPr>
          <w:color w:val="131727" w:themeColor="text1"/>
          <w:spacing w:val="40"/>
          <w:w w:val="105"/>
          <w:sz w:val="16"/>
        </w:rPr>
        <w:t xml:space="preserve"> </w:t>
      </w:r>
      <w:r w:rsidRPr="00FD40B8">
        <w:rPr>
          <w:color w:val="131727" w:themeColor="text1"/>
          <w:w w:val="105"/>
          <w:sz w:val="16"/>
        </w:rPr>
        <w:t xml:space="preserve">Available at: </w:t>
      </w:r>
      <w:hyperlink r:id="rId102">
        <w:r w:rsidRPr="00FD40B8">
          <w:rPr>
            <w:color w:val="131727" w:themeColor="text1"/>
            <w:w w:val="105"/>
            <w:sz w:val="16"/>
          </w:rPr>
          <w:t>https://www.niaa.gov.au/indigenous-affairs/closing-gap/implementation-measures/housing-sector-strengthening-plan-</w:t>
        </w:r>
      </w:hyperlink>
      <w:r w:rsidRPr="00FD40B8">
        <w:rPr>
          <w:color w:val="131727" w:themeColor="text1"/>
          <w:spacing w:val="40"/>
          <w:w w:val="105"/>
          <w:sz w:val="16"/>
        </w:rPr>
        <w:t xml:space="preserve"> </w:t>
      </w:r>
      <w:hyperlink r:id="rId103">
        <w:r w:rsidRPr="00FD40B8">
          <w:rPr>
            <w:color w:val="131727" w:themeColor="text1"/>
            <w:spacing w:val="-2"/>
            <w:w w:val="105"/>
            <w:sz w:val="16"/>
          </w:rPr>
          <w:t>partnership-action.</w:t>
        </w:r>
      </w:hyperlink>
    </w:p>
    <w:p w14:paraId="2C651F2F" w14:textId="77777777" w:rsidR="00811887" w:rsidRPr="00FD40B8" w:rsidRDefault="00811887" w:rsidP="00811887">
      <w:pPr>
        <w:spacing w:line="266" w:lineRule="auto"/>
        <w:ind w:left="508" w:right="1599"/>
        <w:rPr>
          <w:color w:val="131727" w:themeColor="text1"/>
          <w:sz w:val="16"/>
        </w:rPr>
      </w:pPr>
      <w:bookmarkStart w:id="171" w:name="_bookmark60"/>
      <w:bookmarkEnd w:id="171"/>
      <w:r w:rsidRPr="00FD40B8">
        <w:rPr>
          <w:color w:val="131727" w:themeColor="text1"/>
          <w:w w:val="105"/>
          <w:position w:val="6"/>
          <w:sz w:val="10"/>
        </w:rPr>
        <w:t>51</w:t>
      </w:r>
      <w:r w:rsidRPr="00FD40B8">
        <w:rPr>
          <w:color w:val="131727" w:themeColor="text1"/>
          <w:spacing w:val="38"/>
          <w:w w:val="105"/>
          <w:position w:val="6"/>
          <w:sz w:val="10"/>
        </w:rPr>
        <w:t xml:space="preserve"> </w:t>
      </w:r>
      <w:r w:rsidRPr="00FD40B8">
        <w:rPr>
          <w:color w:val="131727" w:themeColor="text1"/>
          <w:w w:val="105"/>
          <w:sz w:val="16"/>
        </w:rPr>
        <w:t>Australian</w:t>
      </w:r>
      <w:r w:rsidRPr="00FD40B8">
        <w:rPr>
          <w:color w:val="131727" w:themeColor="text1"/>
          <w:spacing w:val="27"/>
          <w:w w:val="105"/>
          <w:sz w:val="16"/>
        </w:rPr>
        <w:t xml:space="preserve"> </w:t>
      </w:r>
      <w:r w:rsidRPr="00FD40B8">
        <w:rPr>
          <w:color w:val="131727" w:themeColor="text1"/>
          <w:w w:val="105"/>
          <w:sz w:val="16"/>
        </w:rPr>
        <w:t>Government</w:t>
      </w:r>
      <w:r w:rsidRPr="00FD40B8">
        <w:rPr>
          <w:color w:val="131727" w:themeColor="text1"/>
          <w:spacing w:val="23"/>
          <w:w w:val="105"/>
          <w:sz w:val="16"/>
        </w:rPr>
        <w:t xml:space="preserve"> </w:t>
      </w:r>
      <w:r w:rsidRPr="00FD40B8">
        <w:rPr>
          <w:color w:val="131727" w:themeColor="text1"/>
          <w:w w:val="105"/>
          <w:sz w:val="16"/>
        </w:rPr>
        <w:t>National Indigenous</w:t>
      </w:r>
      <w:r w:rsidRPr="00FD40B8">
        <w:rPr>
          <w:color w:val="131727" w:themeColor="text1"/>
          <w:spacing w:val="22"/>
          <w:w w:val="105"/>
          <w:sz w:val="16"/>
        </w:rPr>
        <w:t xml:space="preserve"> </w:t>
      </w:r>
      <w:r w:rsidRPr="00FD40B8">
        <w:rPr>
          <w:color w:val="131727" w:themeColor="text1"/>
          <w:w w:val="105"/>
          <w:sz w:val="16"/>
        </w:rPr>
        <w:t>Australians</w:t>
      </w:r>
      <w:r w:rsidRPr="00FD40B8">
        <w:rPr>
          <w:color w:val="131727" w:themeColor="text1"/>
          <w:spacing w:val="22"/>
          <w:w w:val="105"/>
          <w:sz w:val="16"/>
        </w:rPr>
        <w:t xml:space="preserve"> </w:t>
      </w:r>
      <w:r w:rsidRPr="00FD40B8">
        <w:rPr>
          <w:color w:val="131727" w:themeColor="text1"/>
          <w:w w:val="105"/>
          <w:sz w:val="16"/>
        </w:rPr>
        <w:t>Agency</w:t>
      </w:r>
      <w:r w:rsidRPr="00FD40B8">
        <w:rPr>
          <w:color w:val="131727" w:themeColor="text1"/>
          <w:spacing w:val="23"/>
          <w:w w:val="105"/>
          <w:sz w:val="16"/>
        </w:rPr>
        <w:t xml:space="preserve"> </w:t>
      </w:r>
      <w:r w:rsidRPr="00FD40B8">
        <w:rPr>
          <w:color w:val="131727" w:themeColor="text1"/>
          <w:w w:val="105"/>
          <w:sz w:val="16"/>
        </w:rPr>
        <w:t>n.d.,</w:t>
      </w:r>
      <w:r w:rsidRPr="00FD40B8">
        <w:rPr>
          <w:color w:val="131727" w:themeColor="text1"/>
          <w:spacing w:val="23"/>
          <w:w w:val="105"/>
          <w:sz w:val="16"/>
        </w:rPr>
        <w:t xml:space="preserve"> </w:t>
      </w:r>
      <w:r w:rsidRPr="00FD40B8">
        <w:rPr>
          <w:color w:val="131727" w:themeColor="text1"/>
          <w:w w:val="105"/>
          <w:sz w:val="16"/>
        </w:rPr>
        <w:t>Housing</w:t>
      </w:r>
      <w:r w:rsidRPr="00FD40B8">
        <w:rPr>
          <w:color w:val="131727" w:themeColor="text1"/>
          <w:spacing w:val="22"/>
          <w:w w:val="105"/>
          <w:sz w:val="16"/>
        </w:rPr>
        <w:t xml:space="preserve"> </w:t>
      </w:r>
      <w:r w:rsidRPr="00FD40B8">
        <w:rPr>
          <w:color w:val="131727" w:themeColor="text1"/>
          <w:w w:val="105"/>
          <w:sz w:val="16"/>
        </w:rPr>
        <w:t>Policy</w:t>
      </w:r>
      <w:r w:rsidRPr="00FD40B8">
        <w:rPr>
          <w:color w:val="131727" w:themeColor="text1"/>
          <w:spacing w:val="23"/>
          <w:w w:val="105"/>
          <w:sz w:val="16"/>
        </w:rPr>
        <w:t xml:space="preserve"> </w:t>
      </w:r>
      <w:r w:rsidRPr="00FD40B8">
        <w:rPr>
          <w:color w:val="131727" w:themeColor="text1"/>
          <w:w w:val="105"/>
          <w:sz w:val="16"/>
        </w:rPr>
        <w:t>Partnership</w:t>
      </w:r>
      <w:r w:rsidRPr="00FD40B8">
        <w:rPr>
          <w:color w:val="131727" w:themeColor="text1"/>
          <w:spacing w:val="26"/>
          <w:w w:val="105"/>
          <w:sz w:val="16"/>
        </w:rPr>
        <w:t xml:space="preserve"> </w:t>
      </w:r>
      <w:r w:rsidRPr="00FD40B8">
        <w:rPr>
          <w:color w:val="131727" w:themeColor="text1"/>
          <w:w w:val="105"/>
          <w:sz w:val="16"/>
        </w:rPr>
        <w:t>(DSS).</w:t>
      </w:r>
      <w:r w:rsidRPr="00FD40B8">
        <w:rPr>
          <w:color w:val="131727" w:themeColor="text1"/>
          <w:spacing w:val="25"/>
          <w:w w:val="105"/>
          <w:sz w:val="16"/>
        </w:rPr>
        <w:t xml:space="preserve"> </w:t>
      </w:r>
      <w:r w:rsidRPr="00FD40B8">
        <w:rPr>
          <w:color w:val="131727" w:themeColor="text1"/>
          <w:w w:val="105"/>
          <w:sz w:val="16"/>
        </w:rPr>
        <w:t>Available</w:t>
      </w:r>
      <w:r w:rsidRPr="00FD40B8">
        <w:rPr>
          <w:color w:val="131727" w:themeColor="text1"/>
          <w:spacing w:val="23"/>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hyperlink r:id="rId104">
        <w:r w:rsidRPr="00FD40B8">
          <w:rPr>
            <w:color w:val="131727" w:themeColor="text1"/>
            <w:spacing w:val="-2"/>
            <w:w w:val="105"/>
            <w:sz w:val="16"/>
          </w:rPr>
          <w:t>https://www.niaa.gov.au/indigenous-affairs/closing-gap/implementation-measures/housing-policy-partnership-dss</w:t>
        </w:r>
      </w:hyperlink>
    </w:p>
    <w:p w14:paraId="3E6A243E" w14:textId="77777777" w:rsidR="00811887" w:rsidRPr="00FD40B8" w:rsidRDefault="00811887" w:rsidP="00811887">
      <w:pPr>
        <w:spacing w:line="266" w:lineRule="auto"/>
        <w:ind w:left="508" w:right="598"/>
        <w:rPr>
          <w:color w:val="131727" w:themeColor="text1"/>
          <w:sz w:val="16"/>
        </w:rPr>
      </w:pPr>
      <w:bookmarkStart w:id="172" w:name="_bookmark61"/>
      <w:bookmarkEnd w:id="172"/>
      <w:r w:rsidRPr="00FD40B8">
        <w:rPr>
          <w:color w:val="131727" w:themeColor="text1"/>
          <w:w w:val="105"/>
          <w:position w:val="6"/>
          <w:sz w:val="10"/>
        </w:rPr>
        <w:lastRenderedPageBreak/>
        <w:t>52</w:t>
      </w:r>
      <w:r w:rsidRPr="00FD40B8">
        <w:rPr>
          <w:color w:val="131727" w:themeColor="text1"/>
          <w:spacing w:val="31"/>
          <w:w w:val="105"/>
          <w:position w:val="6"/>
          <w:sz w:val="10"/>
        </w:rPr>
        <w:t xml:space="preserve"> </w:t>
      </w:r>
      <w:r w:rsidRPr="00FD40B8">
        <w:rPr>
          <w:color w:val="131727" w:themeColor="text1"/>
          <w:w w:val="105"/>
          <w:sz w:val="16"/>
        </w:rPr>
        <w:t>Prime</w:t>
      </w:r>
      <w:r w:rsidRPr="00FD40B8">
        <w:rPr>
          <w:color w:val="131727" w:themeColor="text1"/>
          <w:spacing w:val="16"/>
          <w:w w:val="105"/>
          <w:sz w:val="16"/>
        </w:rPr>
        <w:t xml:space="preserve"> </w:t>
      </w:r>
      <w:r w:rsidRPr="00FD40B8">
        <w:rPr>
          <w:color w:val="131727" w:themeColor="text1"/>
          <w:w w:val="105"/>
          <w:sz w:val="16"/>
        </w:rPr>
        <w:t>Minister</w:t>
      </w:r>
      <w:r w:rsidRPr="00FD40B8">
        <w:rPr>
          <w:color w:val="131727" w:themeColor="text1"/>
          <w:spacing w:val="23"/>
          <w:w w:val="105"/>
          <w:sz w:val="16"/>
        </w:rPr>
        <w:t xml:space="preserve"> </w:t>
      </w:r>
      <w:r w:rsidRPr="00FD40B8">
        <w:rPr>
          <w:color w:val="131727" w:themeColor="text1"/>
          <w:w w:val="105"/>
          <w:sz w:val="16"/>
        </w:rPr>
        <w:t>of</w:t>
      </w:r>
      <w:r w:rsidRPr="00FD40B8">
        <w:rPr>
          <w:color w:val="131727" w:themeColor="text1"/>
          <w:spacing w:val="17"/>
          <w:w w:val="105"/>
          <w:sz w:val="16"/>
        </w:rPr>
        <w:t xml:space="preserve"> </w:t>
      </w:r>
      <w:r w:rsidRPr="00FD40B8">
        <w:rPr>
          <w:color w:val="131727" w:themeColor="text1"/>
          <w:w w:val="105"/>
          <w:sz w:val="16"/>
        </w:rPr>
        <w:t>Australia</w:t>
      </w:r>
      <w:r w:rsidRPr="00FD40B8">
        <w:rPr>
          <w:color w:val="131727" w:themeColor="text1"/>
          <w:spacing w:val="20"/>
          <w:w w:val="105"/>
          <w:sz w:val="16"/>
        </w:rPr>
        <w:t xml:space="preserve"> </w:t>
      </w:r>
      <w:r w:rsidRPr="00FD40B8">
        <w:rPr>
          <w:color w:val="131727" w:themeColor="text1"/>
          <w:w w:val="105"/>
          <w:sz w:val="16"/>
        </w:rPr>
        <w:t>2024</w:t>
      </w:r>
      <w:r w:rsidRPr="00FD40B8">
        <w:rPr>
          <w:color w:val="131727" w:themeColor="text1"/>
          <w:spacing w:val="22"/>
          <w:w w:val="105"/>
          <w:sz w:val="16"/>
        </w:rPr>
        <w:t xml:space="preserve"> </w:t>
      </w:r>
      <w:r w:rsidRPr="00FD40B8">
        <w:rPr>
          <w:color w:val="131727" w:themeColor="text1"/>
          <w:w w:val="105"/>
          <w:sz w:val="16"/>
        </w:rPr>
        <w:t>‘Landmark</w:t>
      </w:r>
      <w:r w:rsidRPr="00FD40B8">
        <w:rPr>
          <w:color w:val="131727" w:themeColor="text1"/>
          <w:spacing w:val="17"/>
          <w:w w:val="105"/>
          <w:sz w:val="16"/>
        </w:rPr>
        <w:t xml:space="preserve"> </w:t>
      </w:r>
      <w:r w:rsidRPr="00FD40B8">
        <w:rPr>
          <w:color w:val="131727" w:themeColor="text1"/>
          <w:w w:val="105"/>
          <w:sz w:val="16"/>
        </w:rPr>
        <w:t>$4</w:t>
      </w:r>
      <w:r w:rsidRPr="00FD40B8">
        <w:rPr>
          <w:color w:val="131727" w:themeColor="text1"/>
          <w:spacing w:val="17"/>
          <w:w w:val="105"/>
          <w:sz w:val="16"/>
        </w:rPr>
        <w:t xml:space="preserve"> </w:t>
      </w:r>
      <w:r w:rsidRPr="00FD40B8">
        <w:rPr>
          <w:color w:val="131727" w:themeColor="text1"/>
          <w:w w:val="105"/>
          <w:sz w:val="16"/>
        </w:rPr>
        <w:t>billion</w:t>
      </w:r>
      <w:r w:rsidRPr="00FD40B8">
        <w:rPr>
          <w:color w:val="131727" w:themeColor="text1"/>
          <w:spacing w:val="20"/>
          <w:w w:val="105"/>
          <w:sz w:val="16"/>
        </w:rPr>
        <w:t xml:space="preserve"> </w:t>
      </w:r>
      <w:r w:rsidRPr="00FD40B8">
        <w:rPr>
          <w:color w:val="131727" w:themeColor="text1"/>
          <w:w w:val="105"/>
          <w:sz w:val="16"/>
        </w:rPr>
        <w:t>investment</w:t>
      </w:r>
      <w:r w:rsidRPr="00FD40B8">
        <w:rPr>
          <w:color w:val="131727" w:themeColor="text1"/>
          <w:spacing w:val="16"/>
          <w:w w:val="105"/>
          <w:sz w:val="16"/>
        </w:rPr>
        <w:t xml:space="preserve"> </w:t>
      </w:r>
      <w:r w:rsidRPr="00FD40B8">
        <w:rPr>
          <w:color w:val="131727" w:themeColor="text1"/>
          <w:w w:val="105"/>
          <w:sz w:val="16"/>
        </w:rPr>
        <w:t>for</w:t>
      </w:r>
      <w:r w:rsidRPr="00FD40B8">
        <w:rPr>
          <w:color w:val="131727" w:themeColor="text1"/>
          <w:spacing w:val="23"/>
          <w:w w:val="105"/>
          <w:sz w:val="16"/>
        </w:rPr>
        <w:t xml:space="preserve"> </w:t>
      </w:r>
      <w:r w:rsidRPr="00FD40B8">
        <w:rPr>
          <w:color w:val="131727" w:themeColor="text1"/>
          <w:w w:val="105"/>
          <w:sz w:val="16"/>
        </w:rPr>
        <w:t>remote</w:t>
      </w:r>
      <w:r w:rsidRPr="00FD40B8">
        <w:rPr>
          <w:color w:val="131727" w:themeColor="text1"/>
          <w:spacing w:val="16"/>
          <w:w w:val="105"/>
          <w:sz w:val="16"/>
        </w:rPr>
        <w:t xml:space="preserve"> </w:t>
      </w:r>
      <w:r w:rsidRPr="00FD40B8">
        <w:rPr>
          <w:color w:val="131727" w:themeColor="text1"/>
          <w:w w:val="105"/>
          <w:sz w:val="16"/>
        </w:rPr>
        <w:t>housing</w:t>
      </w:r>
      <w:r w:rsidRPr="00FD40B8">
        <w:rPr>
          <w:color w:val="131727" w:themeColor="text1"/>
          <w:spacing w:val="14"/>
          <w:w w:val="105"/>
          <w:sz w:val="16"/>
        </w:rPr>
        <w:t xml:space="preserve"> </w:t>
      </w:r>
      <w:r w:rsidRPr="00FD40B8">
        <w:rPr>
          <w:color w:val="131727" w:themeColor="text1"/>
          <w:w w:val="105"/>
          <w:sz w:val="16"/>
        </w:rPr>
        <w:t>in</w:t>
      </w:r>
      <w:r w:rsidRPr="00FD40B8">
        <w:rPr>
          <w:color w:val="131727" w:themeColor="text1"/>
          <w:spacing w:val="20"/>
          <w:w w:val="105"/>
          <w:sz w:val="16"/>
        </w:rPr>
        <w:t xml:space="preserve"> </w:t>
      </w:r>
      <w:r w:rsidRPr="00FD40B8">
        <w:rPr>
          <w:color w:val="131727" w:themeColor="text1"/>
          <w:w w:val="105"/>
          <w:sz w:val="16"/>
        </w:rPr>
        <w:t>the</w:t>
      </w:r>
      <w:r w:rsidRPr="00FD40B8">
        <w:rPr>
          <w:color w:val="131727" w:themeColor="text1"/>
          <w:spacing w:val="16"/>
          <w:w w:val="105"/>
          <w:sz w:val="16"/>
        </w:rPr>
        <w:t xml:space="preserve"> </w:t>
      </w:r>
      <w:r w:rsidRPr="00FD40B8">
        <w:rPr>
          <w:color w:val="131727" w:themeColor="text1"/>
          <w:w w:val="105"/>
          <w:sz w:val="16"/>
        </w:rPr>
        <w:t>Northern</w:t>
      </w:r>
      <w:r w:rsidRPr="00FD40B8">
        <w:rPr>
          <w:color w:val="131727" w:themeColor="text1"/>
          <w:spacing w:val="20"/>
          <w:w w:val="105"/>
          <w:sz w:val="16"/>
        </w:rPr>
        <w:t xml:space="preserve"> </w:t>
      </w:r>
      <w:r w:rsidRPr="00FD40B8">
        <w:rPr>
          <w:color w:val="131727" w:themeColor="text1"/>
          <w:w w:val="105"/>
          <w:sz w:val="16"/>
        </w:rPr>
        <w:t>Territory</w:t>
      </w:r>
      <w:r w:rsidRPr="00FD40B8">
        <w:rPr>
          <w:color w:val="131727" w:themeColor="text1"/>
          <w:spacing w:val="16"/>
          <w:w w:val="105"/>
          <w:sz w:val="16"/>
        </w:rPr>
        <w:t xml:space="preserve"> </w:t>
      </w:r>
      <w:r w:rsidRPr="00FD40B8">
        <w:rPr>
          <w:color w:val="131727" w:themeColor="text1"/>
          <w:w w:val="105"/>
          <w:sz w:val="16"/>
        </w:rPr>
        <w:t>to</w:t>
      </w:r>
      <w:r w:rsidRPr="00FD40B8">
        <w:rPr>
          <w:color w:val="131727" w:themeColor="text1"/>
          <w:spacing w:val="14"/>
          <w:w w:val="105"/>
          <w:sz w:val="16"/>
        </w:rPr>
        <w:t xml:space="preserve"> </w:t>
      </w:r>
      <w:r w:rsidRPr="00FD40B8">
        <w:rPr>
          <w:color w:val="131727" w:themeColor="text1"/>
          <w:w w:val="105"/>
          <w:sz w:val="16"/>
        </w:rPr>
        <w:t>help</w:t>
      </w:r>
      <w:r w:rsidRPr="00FD40B8">
        <w:rPr>
          <w:color w:val="131727" w:themeColor="text1"/>
          <w:spacing w:val="18"/>
          <w:w w:val="105"/>
          <w:sz w:val="16"/>
        </w:rPr>
        <w:t xml:space="preserve"> </w:t>
      </w:r>
      <w:r w:rsidRPr="00FD40B8">
        <w:rPr>
          <w:color w:val="131727" w:themeColor="text1"/>
          <w:w w:val="105"/>
          <w:sz w:val="16"/>
        </w:rPr>
        <w:t>Close</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40"/>
          <w:w w:val="105"/>
          <w:sz w:val="16"/>
        </w:rPr>
        <w:t xml:space="preserve"> </w:t>
      </w:r>
      <w:r w:rsidRPr="00FD40B8">
        <w:rPr>
          <w:color w:val="131727" w:themeColor="text1"/>
          <w:w w:val="105"/>
          <w:sz w:val="16"/>
        </w:rPr>
        <w:t>Gap’.</w:t>
      </w:r>
      <w:r w:rsidRPr="00FD40B8">
        <w:rPr>
          <w:color w:val="131727" w:themeColor="text1"/>
          <w:spacing w:val="42"/>
          <w:w w:val="105"/>
          <w:sz w:val="16"/>
        </w:rPr>
        <w:t xml:space="preserve"> </w:t>
      </w:r>
      <w:r w:rsidRPr="00FD40B8">
        <w:rPr>
          <w:color w:val="131727" w:themeColor="text1"/>
          <w:w w:val="105"/>
          <w:sz w:val="16"/>
        </w:rPr>
        <w:t>Available</w:t>
      </w:r>
      <w:r w:rsidRPr="00FD40B8">
        <w:rPr>
          <w:color w:val="131727" w:themeColor="text1"/>
          <w:spacing w:val="41"/>
          <w:w w:val="105"/>
          <w:sz w:val="16"/>
        </w:rPr>
        <w:t xml:space="preserve"> </w:t>
      </w:r>
      <w:r w:rsidRPr="00FD40B8">
        <w:rPr>
          <w:color w:val="131727" w:themeColor="text1"/>
          <w:w w:val="105"/>
          <w:sz w:val="16"/>
        </w:rPr>
        <w:t>at:</w:t>
      </w:r>
      <w:r w:rsidRPr="00FD40B8">
        <w:rPr>
          <w:color w:val="131727" w:themeColor="text1"/>
          <w:spacing w:val="47"/>
          <w:w w:val="105"/>
          <w:sz w:val="16"/>
        </w:rPr>
        <w:t xml:space="preserve"> </w:t>
      </w:r>
      <w:hyperlink r:id="rId105">
        <w:r w:rsidRPr="00FD40B8">
          <w:rPr>
            <w:color w:val="131727" w:themeColor="text1"/>
            <w:w w:val="105"/>
            <w:sz w:val="16"/>
          </w:rPr>
          <w:t>https://www.pm.gov.au/media/landmark-4-billion-investment-remote-housing-northern-territory-help-close-</w:t>
        </w:r>
        <w:r w:rsidRPr="00FD40B8">
          <w:rPr>
            <w:color w:val="131727" w:themeColor="text1"/>
            <w:spacing w:val="-5"/>
            <w:w w:val="105"/>
            <w:sz w:val="16"/>
          </w:rPr>
          <w:t>gap</w:t>
        </w:r>
      </w:hyperlink>
    </w:p>
    <w:p w14:paraId="08FD3405" w14:textId="77777777" w:rsidR="00811887" w:rsidRPr="00FD40B8" w:rsidRDefault="00811887" w:rsidP="00811887">
      <w:pPr>
        <w:spacing w:line="266" w:lineRule="auto"/>
        <w:rPr>
          <w:color w:val="131727" w:themeColor="text1"/>
          <w:sz w:val="16"/>
        </w:rPr>
        <w:sectPr w:rsidR="00811887" w:rsidRPr="00FD40B8" w:rsidSect="00811887">
          <w:pgSz w:w="11910" w:h="16840"/>
          <w:pgMar w:top="1340" w:right="720" w:bottom="1080" w:left="740" w:header="0" w:footer="885" w:gutter="0"/>
          <w:cols w:space="720"/>
        </w:sectPr>
      </w:pPr>
    </w:p>
    <w:p w14:paraId="74C160F4" w14:textId="77777777" w:rsidR="00811887" w:rsidRPr="00FD40B8" w:rsidRDefault="00811887" w:rsidP="00811887">
      <w:pPr>
        <w:pStyle w:val="BodyText"/>
        <w:spacing w:before="103" w:line="268" w:lineRule="auto"/>
        <w:ind w:left="508" w:right="432"/>
        <w:rPr>
          <w:color w:val="131727" w:themeColor="text1"/>
        </w:rPr>
      </w:pPr>
      <w:r w:rsidRPr="00FD40B8">
        <w:rPr>
          <w:color w:val="131727" w:themeColor="text1"/>
          <w:w w:val="110"/>
        </w:rPr>
        <w:lastRenderedPageBreak/>
        <w:t>Combined with there being no dedicated national investment strategy to address the housing needs of Aboriginal and Torres Strait Islander people and that</w:t>
      </w:r>
      <w:r w:rsidRPr="00FD40B8">
        <w:rPr>
          <w:color w:val="131727" w:themeColor="text1"/>
          <w:spacing w:val="-6"/>
          <w:w w:val="110"/>
        </w:rPr>
        <w:t xml:space="preserve"> </w:t>
      </w:r>
      <w:r w:rsidRPr="00FD40B8">
        <w:rPr>
          <w:color w:val="131727" w:themeColor="text1"/>
          <w:w w:val="110"/>
        </w:rPr>
        <w:t>mainstream</w:t>
      </w:r>
      <w:r w:rsidRPr="00FD40B8">
        <w:rPr>
          <w:color w:val="131727" w:themeColor="text1"/>
          <w:spacing w:val="-1"/>
          <w:w w:val="110"/>
        </w:rPr>
        <w:t xml:space="preserve"> </w:t>
      </w:r>
      <w:r w:rsidRPr="00FD40B8">
        <w:rPr>
          <w:color w:val="131727" w:themeColor="text1"/>
          <w:w w:val="110"/>
        </w:rPr>
        <w:t>funding agreements and</w:t>
      </w:r>
      <w:r w:rsidRPr="00FD40B8">
        <w:rPr>
          <w:color w:val="131727" w:themeColor="text1"/>
          <w:spacing w:val="-1"/>
          <w:w w:val="110"/>
        </w:rPr>
        <w:t xml:space="preserve"> </w:t>
      </w:r>
      <w:r w:rsidRPr="00FD40B8">
        <w:rPr>
          <w:color w:val="131727" w:themeColor="text1"/>
          <w:w w:val="110"/>
        </w:rPr>
        <w:t>arrangements do not allocate funding based on need and do not have dedicated plans for meeting the needs of Aboriginal and Torres Strait Islander</w:t>
      </w:r>
      <w:r w:rsidRPr="00FD40B8">
        <w:rPr>
          <w:color w:val="131727" w:themeColor="text1"/>
          <w:spacing w:val="-2"/>
          <w:w w:val="110"/>
        </w:rPr>
        <w:t xml:space="preserve"> </w:t>
      </w:r>
      <w:r w:rsidRPr="00FD40B8">
        <w:rPr>
          <w:color w:val="131727" w:themeColor="text1"/>
          <w:w w:val="110"/>
        </w:rPr>
        <w:t>people,</w:t>
      </w:r>
      <w:r w:rsidRPr="00FD40B8">
        <w:rPr>
          <w:color w:val="131727" w:themeColor="text1"/>
          <w:spacing w:val="-5"/>
          <w:w w:val="110"/>
        </w:rPr>
        <w:t xml:space="preserve"> </w:t>
      </w:r>
      <w:r w:rsidRPr="00FD40B8">
        <w:rPr>
          <w:color w:val="131727" w:themeColor="text1"/>
          <w:w w:val="110"/>
        </w:rPr>
        <w:t>it can be reasonably</w:t>
      </w:r>
      <w:r w:rsidRPr="00FD40B8">
        <w:rPr>
          <w:color w:val="131727" w:themeColor="text1"/>
          <w:spacing w:val="-6"/>
          <w:w w:val="110"/>
        </w:rPr>
        <w:t xml:space="preserve"> </w:t>
      </w:r>
      <w:r w:rsidRPr="00FD40B8">
        <w:rPr>
          <w:color w:val="131727" w:themeColor="text1"/>
          <w:w w:val="110"/>
        </w:rPr>
        <w:t>concluded</w:t>
      </w:r>
      <w:r w:rsidRPr="00FD40B8">
        <w:rPr>
          <w:color w:val="131727" w:themeColor="text1"/>
          <w:spacing w:val="-5"/>
          <w:w w:val="110"/>
        </w:rPr>
        <w:t xml:space="preserve"> </w:t>
      </w:r>
      <w:r w:rsidRPr="00FD40B8">
        <w:rPr>
          <w:color w:val="131727" w:themeColor="text1"/>
          <w:w w:val="110"/>
        </w:rPr>
        <w:t>that current levels</w:t>
      </w:r>
      <w:r w:rsidRPr="00FD40B8">
        <w:rPr>
          <w:color w:val="131727" w:themeColor="text1"/>
          <w:spacing w:val="-2"/>
          <w:w w:val="110"/>
        </w:rPr>
        <w:t xml:space="preserve"> </w:t>
      </w:r>
      <w:r w:rsidRPr="00FD40B8">
        <w:rPr>
          <w:color w:val="131727" w:themeColor="text1"/>
          <w:w w:val="110"/>
        </w:rPr>
        <w:t>of</w:t>
      </w:r>
      <w:r w:rsidRPr="00FD40B8">
        <w:rPr>
          <w:color w:val="131727" w:themeColor="text1"/>
          <w:spacing w:val="-3"/>
          <w:w w:val="110"/>
        </w:rPr>
        <w:t xml:space="preserve"> </w:t>
      </w:r>
      <w:r w:rsidRPr="00FD40B8">
        <w:rPr>
          <w:color w:val="131727" w:themeColor="text1"/>
          <w:w w:val="110"/>
        </w:rPr>
        <w:t>funding and announcements are not sufficient and a higher level of dedicated investment is necessary.</w:t>
      </w:r>
    </w:p>
    <w:p w14:paraId="39B1793C" w14:textId="77777777" w:rsidR="00811887" w:rsidRPr="00FD40B8" w:rsidRDefault="00811887" w:rsidP="00811887">
      <w:pPr>
        <w:pStyle w:val="BodyText"/>
        <w:spacing w:before="103"/>
        <w:rPr>
          <w:color w:val="131727" w:themeColor="text1"/>
        </w:rPr>
      </w:pPr>
    </w:p>
    <w:p w14:paraId="6884D1BB" w14:textId="77777777" w:rsidR="00811887" w:rsidRDefault="00811887" w:rsidP="00811887">
      <w:pPr>
        <w:spacing w:line="237" w:lineRule="auto"/>
        <w:ind w:left="508"/>
        <w:rPr>
          <w:rFonts w:ascii="Book Antiqua"/>
          <w:b/>
          <w:color w:val="131727" w:themeColor="text1"/>
          <w:position w:val="5"/>
          <w:sz w:val="14"/>
        </w:rPr>
      </w:pPr>
      <w:r w:rsidRPr="00FD40B8">
        <w:rPr>
          <w:rFonts w:ascii="Book Antiqua"/>
          <w:b/>
          <w:color w:val="131727" w:themeColor="text1"/>
          <w:sz w:val="21"/>
        </w:rPr>
        <w:t>Figure</w:t>
      </w:r>
      <w:r w:rsidRPr="00FD40B8">
        <w:rPr>
          <w:rFonts w:ascii="Book Antiqua"/>
          <w:b/>
          <w:color w:val="131727" w:themeColor="text1"/>
          <w:spacing w:val="-1"/>
          <w:sz w:val="21"/>
        </w:rPr>
        <w:t xml:space="preserve"> </w:t>
      </w:r>
      <w:r w:rsidRPr="00FD40B8">
        <w:rPr>
          <w:rFonts w:ascii="Book Antiqua"/>
          <w:b/>
          <w:color w:val="131727" w:themeColor="text1"/>
          <w:sz w:val="21"/>
        </w:rPr>
        <w:t>4.</w:t>
      </w:r>
      <w:r w:rsidRPr="00FD40B8">
        <w:rPr>
          <w:rFonts w:ascii="Book Antiqua"/>
          <w:b/>
          <w:color w:val="131727" w:themeColor="text1"/>
          <w:spacing w:val="-6"/>
          <w:sz w:val="21"/>
        </w:rPr>
        <w:t xml:space="preserve"> </w:t>
      </w:r>
      <w:r w:rsidRPr="00FD40B8">
        <w:rPr>
          <w:rFonts w:ascii="Book Antiqua"/>
          <w:b/>
          <w:color w:val="131727" w:themeColor="text1"/>
          <w:sz w:val="21"/>
        </w:rPr>
        <w:t>Number</w:t>
      </w:r>
      <w:r w:rsidRPr="00FD40B8">
        <w:rPr>
          <w:rFonts w:ascii="Book Antiqua"/>
          <w:b/>
          <w:color w:val="131727" w:themeColor="text1"/>
          <w:spacing w:val="-6"/>
          <w:sz w:val="21"/>
        </w:rPr>
        <w:t xml:space="preserve"> </w:t>
      </w:r>
      <w:r w:rsidRPr="00FD40B8">
        <w:rPr>
          <w:rFonts w:ascii="Book Antiqua"/>
          <w:b/>
          <w:color w:val="131727" w:themeColor="text1"/>
          <w:sz w:val="21"/>
        </w:rPr>
        <w:t>of</w:t>
      </w:r>
      <w:r w:rsidRPr="00FD40B8">
        <w:rPr>
          <w:rFonts w:ascii="Book Antiqua"/>
          <w:b/>
          <w:color w:val="131727" w:themeColor="text1"/>
          <w:spacing w:val="-1"/>
          <w:sz w:val="21"/>
        </w:rPr>
        <w:t xml:space="preserve"> </w:t>
      </w:r>
      <w:r w:rsidRPr="00FD40B8">
        <w:rPr>
          <w:rFonts w:ascii="Book Antiqua"/>
          <w:b/>
          <w:color w:val="131727" w:themeColor="text1"/>
          <w:sz w:val="21"/>
        </w:rPr>
        <w:t>Indigenous</w:t>
      </w:r>
      <w:r w:rsidRPr="00FD40B8">
        <w:rPr>
          <w:rFonts w:ascii="Book Antiqua"/>
          <w:b/>
          <w:color w:val="131727" w:themeColor="text1"/>
          <w:spacing w:val="-3"/>
          <w:sz w:val="21"/>
        </w:rPr>
        <w:t xml:space="preserve"> </w:t>
      </w:r>
      <w:r w:rsidRPr="00FD40B8">
        <w:rPr>
          <w:rFonts w:ascii="Book Antiqua"/>
          <w:b/>
          <w:color w:val="131727" w:themeColor="text1"/>
          <w:sz w:val="21"/>
        </w:rPr>
        <w:t>social housing</w:t>
      </w:r>
      <w:r w:rsidRPr="00FD40B8">
        <w:rPr>
          <w:rFonts w:ascii="Book Antiqua"/>
          <w:b/>
          <w:color w:val="131727" w:themeColor="text1"/>
          <w:spacing w:val="-3"/>
          <w:sz w:val="21"/>
        </w:rPr>
        <w:t xml:space="preserve"> </w:t>
      </w:r>
      <w:r w:rsidRPr="00FD40B8">
        <w:rPr>
          <w:rFonts w:ascii="Book Antiqua"/>
          <w:b/>
          <w:color w:val="131727" w:themeColor="text1"/>
          <w:sz w:val="21"/>
        </w:rPr>
        <w:t>dwellings</w:t>
      </w:r>
      <w:hyperlink w:anchor="_bookmark62" w:history="1">
        <w:r w:rsidRPr="00FD40B8">
          <w:rPr>
            <w:rFonts w:ascii="Book Antiqua"/>
            <w:b/>
            <w:color w:val="131727" w:themeColor="text1"/>
            <w:position w:val="5"/>
            <w:sz w:val="14"/>
          </w:rPr>
          <w:t>53</w:t>
        </w:r>
      </w:hyperlink>
      <w:r w:rsidRPr="00FD40B8">
        <w:rPr>
          <w:rFonts w:ascii="Book Antiqua"/>
          <w:b/>
          <w:color w:val="131727" w:themeColor="text1"/>
          <w:spacing w:val="19"/>
          <w:position w:val="5"/>
          <w:sz w:val="14"/>
        </w:rPr>
        <w:t xml:space="preserve"> </w:t>
      </w:r>
      <w:r w:rsidRPr="00FD40B8">
        <w:rPr>
          <w:rFonts w:ascii="Book Antiqua"/>
          <w:b/>
          <w:color w:val="131727" w:themeColor="text1"/>
          <w:sz w:val="21"/>
        </w:rPr>
        <w:t>compared</w:t>
      </w:r>
      <w:r w:rsidRPr="00FD40B8">
        <w:rPr>
          <w:rFonts w:ascii="Book Antiqua"/>
          <w:b/>
          <w:color w:val="131727" w:themeColor="text1"/>
          <w:spacing w:val="-5"/>
          <w:sz w:val="21"/>
        </w:rPr>
        <w:t xml:space="preserve"> </w:t>
      </w:r>
      <w:r w:rsidRPr="00FD40B8">
        <w:rPr>
          <w:rFonts w:ascii="Book Antiqua"/>
          <w:b/>
          <w:color w:val="131727" w:themeColor="text1"/>
          <w:sz w:val="21"/>
        </w:rPr>
        <w:t>to</w:t>
      </w:r>
      <w:r w:rsidRPr="00FD40B8">
        <w:rPr>
          <w:rFonts w:ascii="Book Antiqua"/>
          <w:b/>
          <w:color w:val="131727" w:themeColor="text1"/>
          <w:spacing w:val="-4"/>
          <w:sz w:val="21"/>
        </w:rPr>
        <w:t xml:space="preserve"> </w:t>
      </w:r>
      <w:r w:rsidRPr="00FD40B8">
        <w:rPr>
          <w:rFonts w:ascii="Book Antiqua"/>
          <w:b/>
          <w:color w:val="131727" w:themeColor="text1"/>
          <w:sz w:val="21"/>
        </w:rPr>
        <w:t>2021</w:t>
      </w:r>
      <w:r w:rsidRPr="00FD40B8">
        <w:rPr>
          <w:rFonts w:ascii="Book Antiqua"/>
          <w:b/>
          <w:color w:val="131727" w:themeColor="text1"/>
          <w:spacing w:val="-1"/>
          <w:sz w:val="21"/>
        </w:rPr>
        <w:t xml:space="preserve"> </w:t>
      </w:r>
      <w:r w:rsidRPr="00FD40B8">
        <w:rPr>
          <w:rFonts w:ascii="Book Antiqua"/>
          <w:b/>
          <w:color w:val="131727" w:themeColor="text1"/>
          <w:sz w:val="21"/>
        </w:rPr>
        <w:t>estimated</w:t>
      </w:r>
      <w:r w:rsidRPr="00FD40B8">
        <w:rPr>
          <w:rFonts w:ascii="Book Antiqua"/>
          <w:b/>
          <w:color w:val="131727" w:themeColor="text1"/>
          <w:spacing w:val="-1"/>
          <w:sz w:val="21"/>
        </w:rPr>
        <w:t xml:space="preserve"> </w:t>
      </w:r>
      <w:r w:rsidRPr="00FD40B8">
        <w:rPr>
          <w:rFonts w:ascii="Book Antiqua"/>
          <w:b/>
          <w:color w:val="131727" w:themeColor="text1"/>
          <w:sz w:val="21"/>
        </w:rPr>
        <w:t>additional housing need, by state or territory</w:t>
      </w:r>
      <w:hyperlink w:anchor="_bookmark63" w:history="1">
        <w:r w:rsidRPr="00FD40B8">
          <w:rPr>
            <w:rFonts w:ascii="Book Antiqua"/>
            <w:b/>
            <w:color w:val="131727" w:themeColor="text1"/>
            <w:position w:val="5"/>
            <w:sz w:val="14"/>
          </w:rPr>
          <w:t>54</w:t>
        </w:r>
      </w:hyperlink>
    </w:p>
    <w:p w14:paraId="4A6ED218" w14:textId="77777777" w:rsidR="00811887" w:rsidRPr="00FD40B8" w:rsidRDefault="00811887" w:rsidP="00811887">
      <w:pPr>
        <w:spacing w:line="237" w:lineRule="auto"/>
        <w:ind w:left="508"/>
        <w:rPr>
          <w:rFonts w:ascii="Book Antiqua"/>
          <w:b/>
          <w:color w:val="131727" w:themeColor="text1"/>
          <w:sz w:val="14"/>
        </w:rPr>
      </w:pPr>
    </w:p>
    <w:p w14:paraId="187EB06C" w14:textId="77777777" w:rsidR="00811887" w:rsidRDefault="00811887" w:rsidP="00811887">
      <w:pPr>
        <w:pStyle w:val="BodyText"/>
        <w:ind w:left="567"/>
        <w:rPr>
          <w:rFonts w:ascii="Book Antiqua"/>
          <w:b/>
          <w:sz w:val="11"/>
        </w:rPr>
      </w:pPr>
      <w:r>
        <w:rPr>
          <w:noProof/>
        </w:rPr>
        <w:drawing>
          <wp:inline distT="0" distB="0" distL="0" distR="0" wp14:anchorId="3B0704C4" wp14:editId="0FBE4699">
            <wp:extent cx="5959667" cy="1728406"/>
            <wp:effectExtent l="0" t="0" r="3175" b="5715"/>
            <wp:docPr id="165" name="Image 165" descr="Australia 18,342 additional houses needed as at 2021. New South Wales 4,375 additional houses needed as at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Australia 18,342 additional houses needed as at 2021. New South Wales 4,375 additional houses needed as at 202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59667" cy="1728406"/>
                    </a:xfrm>
                    <a:prstGeom prst="rect">
                      <a:avLst/>
                    </a:prstGeom>
                  </pic:spPr>
                </pic:pic>
              </a:graphicData>
            </a:graphic>
          </wp:inline>
        </w:drawing>
      </w:r>
    </w:p>
    <w:p w14:paraId="4F42E092" w14:textId="77777777" w:rsidR="00811887" w:rsidRDefault="00811887" w:rsidP="00811887">
      <w:pPr>
        <w:pStyle w:val="BodyText"/>
        <w:rPr>
          <w:rFonts w:ascii="Book Antiqua"/>
          <w:b/>
        </w:rPr>
      </w:pPr>
    </w:p>
    <w:p w14:paraId="53AE29DD" w14:textId="77777777" w:rsidR="00811887" w:rsidRDefault="00811887" w:rsidP="00811887">
      <w:pPr>
        <w:pStyle w:val="BodyText"/>
        <w:rPr>
          <w:rFonts w:ascii="Book Antiqua"/>
          <w:b/>
        </w:rPr>
      </w:pPr>
    </w:p>
    <w:p w14:paraId="5B88E18B" w14:textId="77777777" w:rsidR="00811887" w:rsidRDefault="00811887" w:rsidP="00811887">
      <w:pPr>
        <w:pStyle w:val="BodyText"/>
        <w:spacing w:before="85"/>
        <w:ind w:left="567"/>
        <w:rPr>
          <w:rFonts w:ascii="Book Antiqua"/>
          <w:b/>
        </w:rPr>
      </w:pPr>
      <w:r>
        <w:rPr>
          <w:noProof/>
        </w:rPr>
        <w:drawing>
          <wp:inline distT="0" distB="0" distL="0" distR="0" wp14:anchorId="3F17FEC4" wp14:editId="2C85453F">
            <wp:extent cx="5854251" cy="1676209"/>
            <wp:effectExtent l="0" t="0" r="0" b="635"/>
            <wp:docPr id="166" name="Image 166" descr="Victoria 1,332 additional houses needed as at 2021. Queensland 5,173 additional houses needed as at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Victoria 1,332 additional houses needed as at 2021. Queensland 5,173 additional houses needed as at 202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54251" cy="1676209"/>
                    </a:xfrm>
                    <a:prstGeom prst="rect">
                      <a:avLst/>
                    </a:prstGeom>
                  </pic:spPr>
                </pic:pic>
              </a:graphicData>
            </a:graphic>
          </wp:inline>
        </w:drawing>
      </w:r>
    </w:p>
    <w:p w14:paraId="2D417EAB" w14:textId="77777777" w:rsidR="00811887" w:rsidRDefault="00811887" w:rsidP="00811887">
      <w:pPr>
        <w:pStyle w:val="BodyText"/>
        <w:rPr>
          <w:rFonts w:ascii="Book Antiqua"/>
          <w:b/>
        </w:rPr>
      </w:pPr>
    </w:p>
    <w:p w14:paraId="44A5328C" w14:textId="77777777" w:rsidR="00811887" w:rsidRDefault="00811887" w:rsidP="00811887">
      <w:pPr>
        <w:pStyle w:val="BodyText"/>
        <w:rPr>
          <w:rFonts w:ascii="Book Antiqua"/>
          <w:b/>
        </w:rPr>
      </w:pPr>
    </w:p>
    <w:p w14:paraId="10910931" w14:textId="77777777" w:rsidR="00811887" w:rsidRDefault="00811887" w:rsidP="00811887">
      <w:pPr>
        <w:pStyle w:val="BodyText"/>
        <w:rPr>
          <w:rFonts w:ascii="Book Antiqua"/>
          <w:b/>
        </w:rPr>
      </w:pPr>
    </w:p>
    <w:p w14:paraId="271A5898" w14:textId="77777777" w:rsidR="00811887" w:rsidRDefault="00811887" w:rsidP="00811887">
      <w:pPr>
        <w:pStyle w:val="BodyText"/>
        <w:spacing w:before="106"/>
        <w:ind w:left="567"/>
        <w:rPr>
          <w:rFonts w:ascii="Book Antiqua"/>
          <w:b/>
        </w:rPr>
      </w:pPr>
      <w:r>
        <w:rPr>
          <w:noProof/>
        </w:rPr>
        <w:drawing>
          <wp:inline distT="0" distB="0" distL="0" distR="0" wp14:anchorId="7E7A0EB6" wp14:editId="0807C10A">
            <wp:extent cx="5995462" cy="1712023"/>
            <wp:effectExtent l="0" t="0" r="5715" b="2540"/>
            <wp:docPr id="167" name="Image 167" descr="South Australia 1,046 additional houses needed as at 2021. Western Australia 2,213 additional houses needed as at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descr="South Australia 1,046 additional houses needed as at 2021. Western Australia 2,213 additional houses needed as at 202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95462" cy="1712023"/>
                    </a:xfrm>
                    <a:prstGeom prst="rect">
                      <a:avLst/>
                    </a:prstGeom>
                  </pic:spPr>
                </pic:pic>
              </a:graphicData>
            </a:graphic>
          </wp:inline>
        </w:drawing>
      </w:r>
    </w:p>
    <w:p w14:paraId="38C5971C" w14:textId="77777777" w:rsidR="00811887" w:rsidRDefault="00811887" w:rsidP="00811887">
      <w:pPr>
        <w:pStyle w:val="BodyText"/>
        <w:rPr>
          <w:rFonts w:ascii="Book Antiqua"/>
          <w:b/>
        </w:rPr>
      </w:pPr>
    </w:p>
    <w:p w14:paraId="0F42E97D" w14:textId="77777777" w:rsidR="00811887" w:rsidRDefault="00811887" w:rsidP="00811887">
      <w:pPr>
        <w:pStyle w:val="BodyText"/>
        <w:rPr>
          <w:rFonts w:ascii="Book Antiqua"/>
          <w:b/>
        </w:rPr>
      </w:pPr>
    </w:p>
    <w:p w14:paraId="15040B7F" w14:textId="77777777" w:rsidR="00811887" w:rsidRDefault="00811887" w:rsidP="00811887">
      <w:pPr>
        <w:pStyle w:val="BodyText"/>
        <w:spacing w:before="107"/>
        <w:rPr>
          <w:rFonts w:ascii="Book Antiqua"/>
          <w:b/>
        </w:rPr>
      </w:pPr>
      <w:r>
        <w:rPr>
          <w:noProof/>
        </w:rPr>
        <mc:AlternateContent>
          <mc:Choice Requires="wps">
            <w:drawing>
              <wp:anchor distT="0" distB="0" distL="0" distR="0" simplePos="0" relativeHeight="251748352" behindDoc="1" locked="0" layoutInCell="1" allowOverlap="1" wp14:anchorId="4D35BF89" wp14:editId="2201CD3A">
                <wp:simplePos x="0" y="0"/>
                <wp:positionH relativeFrom="page">
                  <wp:posOffset>792784</wp:posOffset>
                </wp:positionH>
                <wp:positionV relativeFrom="paragraph">
                  <wp:posOffset>236664</wp:posOffset>
                </wp:positionV>
                <wp:extent cx="1830070" cy="6350"/>
                <wp:effectExtent l="0" t="0" r="0" b="0"/>
                <wp:wrapTopAndBottom/>
                <wp:docPr id="168" name="Graphic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FA8BBD" id="Graphic 168" o:spid="_x0000_s1026" alt="&quot;&quot;" style="position:absolute;margin-left:62.4pt;margin-top:18.65pt;width:144.1pt;height:.5pt;z-index:-25156812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" path="m1829689,l,,,6096r1829689,l1829689,xe" fillcolor="black" stroked="f">
                <v:path arrowok="t"/>
                <w10:wrap type="topAndBottom" anchorx="page"/>
              </v:shape>
            </w:pict>
          </mc:Fallback>
        </mc:AlternateContent>
      </w:r>
    </w:p>
    <w:p w14:paraId="5739CB9F" w14:textId="77777777" w:rsidR="00811887" w:rsidRDefault="00811887" w:rsidP="00811887">
      <w:pPr>
        <w:spacing w:before="118" w:line="271" w:lineRule="auto"/>
        <w:ind w:left="508" w:right="598"/>
        <w:rPr>
          <w:sz w:val="16"/>
        </w:rPr>
      </w:pPr>
      <w:bookmarkStart w:id="173" w:name="_bookmark62"/>
      <w:bookmarkEnd w:id="173"/>
      <w:r>
        <w:rPr>
          <w:w w:val="110"/>
          <w:position w:val="6"/>
          <w:sz w:val="10"/>
        </w:rPr>
        <w:t>53</w:t>
      </w:r>
      <w:r>
        <w:rPr>
          <w:spacing w:val="15"/>
          <w:w w:val="110"/>
          <w:position w:val="6"/>
          <w:sz w:val="10"/>
        </w:rPr>
        <w:t xml:space="preserve"> </w:t>
      </w:r>
      <w:r>
        <w:rPr>
          <w:w w:val="110"/>
          <w:sz w:val="16"/>
        </w:rPr>
        <w:t>State</w:t>
      </w:r>
      <w:r>
        <w:rPr>
          <w:spacing w:val="-1"/>
          <w:w w:val="110"/>
          <w:sz w:val="16"/>
        </w:rPr>
        <w:t xml:space="preserve"> </w:t>
      </w:r>
      <w:r>
        <w:rPr>
          <w:w w:val="110"/>
          <w:sz w:val="16"/>
        </w:rPr>
        <w:t>owned and managed Indigenous</w:t>
      </w:r>
      <w:r>
        <w:rPr>
          <w:spacing w:val="-1"/>
          <w:w w:val="110"/>
          <w:sz w:val="16"/>
        </w:rPr>
        <w:t xml:space="preserve"> </w:t>
      </w:r>
      <w:r>
        <w:rPr>
          <w:w w:val="110"/>
          <w:sz w:val="16"/>
        </w:rPr>
        <w:t>housing</w:t>
      </w:r>
      <w:r>
        <w:rPr>
          <w:spacing w:val="-1"/>
          <w:w w:val="110"/>
          <w:sz w:val="16"/>
        </w:rPr>
        <w:t xml:space="preserve"> </w:t>
      </w:r>
      <w:r>
        <w:rPr>
          <w:w w:val="110"/>
          <w:sz w:val="16"/>
        </w:rPr>
        <w:t>plus</w:t>
      </w:r>
      <w:r>
        <w:rPr>
          <w:spacing w:val="-1"/>
          <w:w w:val="110"/>
          <w:sz w:val="16"/>
        </w:rPr>
        <w:t xml:space="preserve"> </w:t>
      </w:r>
      <w:r>
        <w:rPr>
          <w:w w:val="110"/>
          <w:sz w:val="16"/>
        </w:rPr>
        <w:t>Indigenous</w:t>
      </w:r>
      <w:r>
        <w:rPr>
          <w:spacing w:val="-1"/>
          <w:w w:val="110"/>
          <w:sz w:val="16"/>
        </w:rPr>
        <w:t xml:space="preserve"> </w:t>
      </w:r>
      <w:r>
        <w:rPr>
          <w:w w:val="110"/>
          <w:sz w:val="16"/>
        </w:rPr>
        <w:t>community</w:t>
      </w:r>
      <w:r>
        <w:rPr>
          <w:spacing w:val="-1"/>
          <w:w w:val="110"/>
          <w:sz w:val="16"/>
        </w:rPr>
        <w:t xml:space="preserve"> </w:t>
      </w:r>
      <w:r>
        <w:rPr>
          <w:w w:val="110"/>
          <w:sz w:val="16"/>
        </w:rPr>
        <w:t>housing,</w:t>
      </w:r>
      <w:r>
        <w:rPr>
          <w:spacing w:val="-1"/>
          <w:w w:val="110"/>
          <w:sz w:val="16"/>
        </w:rPr>
        <w:t xml:space="preserve"> </w:t>
      </w:r>
      <w:r>
        <w:rPr>
          <w:w w:val="110"/>
          <w:sz w:val="16"/>
        </w:rPr>
        <w:t>as</w:t>
      </w:r>
      <w:r>
        <w:rPr>
          <w:spacing w:val="-1"/>
          <w:w w:val="110"/>
          <w:sz w:val="16"/>
        </w:rPr>
        <w:t xml:space="preserve"> </w:t>
      </w:r>
      <w:r>
        <w:rPr>
          <w:w w:val="110"/>
          <w:sz w:val="16"/>
        </w:rPr>
        <w:t>estimated in Productivity</w:t>
      </w:r>
      <w:r>
        <w:rPr>
          <w:spacing w:val="-1"/>
          <w:w w:val="110"/>
          <w:sz w:val="16"/>
        </w:rPr>
        <w:t xml:space="preserve"> </w:t>
      </w:r>
      <w:r>
        <w:rPr>
          <w:w w:val="110"/>
          <w:sz w:val="16"/>
        </w:rPr>
        <w:t>Commission</w:t>
      </w:r>
      <w:r>
        <w:rPr>
          <w:spacing w:val="40"/>
          <w:w w:val="110"/>
          <w:sz w:val="16"/>
        </w:rPr>
        <w:t xml:space="preserve"> </w:t>
      </w:r>
      <w:r>
        <w:rPr>
          <w:w w:val="110"/>
          <w:sz w:val="16"/>
        </w:rPr>
        <w:t>2024. Report on Government Services 2024.</w:t>
      </w:r>
    </w:p>
    <w:p w14:paraId="5F456D59" w14:textId="77777777" w:rsidR="00811887" w:rsidRDefault="00811887" w:rsidP="00811887">
      <w:pPr>
        <w:spacing w:line="191" w:lineRule="exact"/>
        <w:ind w:left="508"/>
        <w:rPr>
          <w:sz w:val="16"/>
        </w:rPr>
      </w:pPr>
      <w:bookmarkStart w:id="174" w:name="_bookmark63"/>
      <w:bookmarkEnd w:id="174"/>
      <w:r>
        <w:rPr>
          <w:w w:val="110"/>
          <w:position w:val="6"/>
          <w:sz w:val="10"/>
        </w:rPr>
        <w:t>54</w:t>
      </w:r>
      <w:r>
        <w:rPr>
          <w:spacing w:val="16"/>
          <w:w w:val="110"/>
          <w:position w:val="6"/>
          <w:sz w:val="10"/>
        </w:rPr>
        <w:t xml:space="preserve"> </w:t>
      </w:r>
      <w:r>
        <w:rPr>
          <w:w w:val="110"/>
          <w:sz w:val="16"/>
        </w:rPr>
        <w:t>ACT</w:t>
      </w:r>
      <w:r>
        <w:rPr>
          <w:spacing w:val="-1"/>
          <w:w w:val="110"/>
          <w:sz w:val="16"/>
        </w:rPr>
        <w:t xml:space="preserve"> </w:t>
      </w:r>
      <w:r>
        <w:rPr>
          <w:w w:val="110"/>
          <w:sz w:val="16"/>
        </w:rPr>
        <w:t>does not</w:t>
      </w:r>
      <w:r>
        <w:rPr>
          <w:spacing w:val="1"/>
          <w:w w:val="110"/>
          <w:sz w:val="16"/>
        </w:rPr>
        <w:t xml:space="preserve"> </w:t>
      </w:r>
      <w:r>
        <w:rPr>
          <w:w w:val="110"/>
          <w:sz w:val="16"/>
        </w:rPr>
        <w:t>have any</w:t>
      </w:r>
      <w:r>
        <w:rPr>
          <w:spacing w:val="1"/>
          <w:w w:val="110"/>
          <w:sz w:val="16"/>
        </w:rPr>
        <w:t xml:space="preserve"> </w:t>
      </w:r>
      <w:r>
        <w:rPr>
          <w:w w:val="110"/>
          <w:sz w:val="16"/>
        </w:rPr>
        <w:t>SOMIH</w:t>
      </w:r>
      <w:r>
        <w:rPr>
          <w:spacing w:val="2"/>
          <w:w w:val="110"/>
          <w:sz w:val="16"/>
        </w:rPr>
        <w:t xml:space="preserve"> </w:t>
      </w:r>
      <w:r>
        <w:rPr>
          <w:w w:val="110"/>
          <w:sz w:val="16"/>
        </w:rPr>
        <w:t>or</w:t>
      </w:r>
      <w:r>
        <w:rPr>
          <w:spacing w:val="2"/>
          <w:w w:val="110"/>
          <w:sz w:val="16"/>
        </w:rPr>
        <w:t xml:space="preserve"> </w:t>
      </w:r>
      <w:r>
        <w:rPr>
          <w:w w:val="110"/>
          <w:sz w:val="16"/>
        </w:rPr>
        <w:t>Indigenous</w:t>
      </w:r>
      <w:r>
        <w:rPr>
          <w:spacing w:val="-1"/>
          <w:w w:val="110"/>
          <w:sz w:val="16"/>
        </w:rPr>
        <w:t xml:space="preserve"> </w:t>
      </w:r>
      <w:r>
        <w:rPr>
          <w:w w:val="110"/>
          <w:sz w:val="16"/>
        </w:rPr>
        <w:t>Community Housing as per</w:t>
      </w:r>
      <w:r>
        <w:rPr>
          <w:spacing w:val="1"/>
          <w:w w:val="110"/>
          <w:sz w:val="16"/>
        </w:rPr>
        <w:t xml:space="preserve"> </w:t>
      </w:r>
      <w:r>
        <w:rPr>
          <w:w w:val="110"/>
          <w:sz w:val="16"/>
        </w:rPr>
        <w:t>the</w:t>
      </w:r>
      <w:r>
        <w:rPr>
          <w:spacing w:val="1"/>
          <w:w w:val="110"/>
          <w:sz w:val="16"/>
        </w:rPr>
        <w:t xml:space="preserve"> </w:t>
      </w:r>
      <w:r>
        <w:rPr>
          <w:spacing w:val="-2"/>
          <w:w w:val="110"/>
          <w:sz w:val="16"/>
        </w:rPr>
        <w:t>report.</w:t>
      </w:r>
    </w:p>
    <w:p w14:paraId="0580E054" w14:textId="77777777" w:rsidR="00811887" w:rsidRDefault="00811887" w:rsidP="00811887">
      <w:pPr>
        <w:spacing w:line="191" w:lineRule="exact"/>
        <w:rPr>
          <w:sz w:val="16"/>
        </w:rPr>
        <w:sectPr w:rsidR="00811887" w:rsidSect="00811887">
          <w:pgSz w:w="11910" w:h="16840"/>
          <w:pgMar w:top="1320" w:right="720" w:bottom="1080" w:left="740" w:header="0" w:footer="885" w:gutter="0"/>
          <w:cols w:space="720"/>
        </w:sectPr>
      </w:pPr>
    </w:p>
    <w:p w14:paraId="3C2AA6B2" w14:textId="77777777" w:rsidR="00811887" w:rsidRDefault="00811887" w:rsidP="00811887">
      <w:pPr>
        <w:pStyle w:val="BodyText"/>
        <w:ind w:left="597"/>
      </w:pPr>
      <w:r>
        <w:rPr>
          <w:noProof/>
        </w:rPr>
        <w:lastRenderedPageBreak/>
        <w:drawing>
          <wp:inline distT="0" distB="0" distL="0" distR="0" wp14:anchorId="3A2AF779" wp14:editId="1D64A8C9">
            <wp:extent cx="6002818" cy="1716119"/>
            <wp:effectExtent l="0" t="0" r="0" b="0"/>
            <wp:docPr id="169" name="Image 169" descr="Tasmania 449 additional houses needed as at 2021. Northern Territory 3,577 additional houses needed as at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Tasmania 449 additional houses needed as at 2021. Northern Territory 3,577 additional houses needed as at 2021."/>
                    <pic:cNvPicPr/>
                  </pic:nvPicPr>
                  <pic:blipFill>
                    <a:blip r:embed="rId109" cstate="print"/>
                    <a:stretch>
                      <a:fillRect/>
                    </a:stretch>
                  </pic:blipFill>
                  <pic:spPr>
                    <a:xfrm>
                      <a:off x="0" y="0"/>
                      <a:ext cx="6002818" cy="1716119"/>
                    </a:xfrm>
                    <a:prstGeom prst="rect">
                      <a:avLst/>
                    </a:prstGeom>
                  </pic:spPr>
                </pic:pic>
              </a:graphicData>
            </a:graphic>
          </wp:inline>
        </w:drawing>
      </w:r>
    </w:p>
    <w:p w14:paraId="4B49CCA3" w14:textId="77777777" w:rsidR="00811887" w:rsidRDefault="00811887" w:rsidP="00811887">
      <w:pPr>
        <w:pStyle w:val="BodyText"/>
        <w:spacing w:before="91"/>
        <w:rPr>
          <w:sz w:val="24"/>
        </w:rPr>
      </w:pPr>
    </w:p>
    <w:p w14:paraId="693C581D" w14:textId="77777777" w:rsidR="00811887" w:rsidRPr="00FD40B8" w:rsidRDefault="00811887" w:rsidP="00811887">
      <w:pPr>
        <w:pStyle w:val="Heading8"/>
        <w:rPr>
          <w:color w:val="131727" w:themeColor="text1"/>
        </w:rPr>
      </w:pPr>
      <w:r w:rsidRPr="00FD40B8">
        <w:rPr>
          <w:color w:val="131727" w:themeColor="text1"/>
        </w:rPr>
        <w:t>Examining</w:t>
      </w:r>
      <w:r w:rsidRPr="00FD40B8">
        <w:rPr>
          <w:color w:val="131727" w:themeColor="text1"/>
          <w:spacing w:val="-8"/>
        </w:rPr>
        <w:t xml:space="preserve"> </w:t>
      </w:r>
      <w:r w:rsidRPr="00FD40B8">
        <w:rPr>
          <w:color w:val="131727" w:themeColor="text1"/>
        </w:rPr>
        <w:t>dedicated</w:t>
      </w:r>
      <w:r w:rsidRPr="00FD40B8">
        <w:rPr>
          <w:color w:val="131727" w:themeColor="text1"/>
          <w:spacing w:val="-4"/>
        </w:rPr>
        <w:t xml:space="preserve"> </w:t>
      </w:r>
      <w:r w:rsidRPr="00FD40B8">
        <w:rPr>
          <w:color w:val="131727" w:themeColor="text1"/>
        </w:rPr>
        <w:t>investment</w:t>
      </w:r>
      <w:r w:rsidRPr="00FD40B8">
        <w:rPr>
          <w:color w:val="131727" w:themeColor="text1"/>
          <w:spacing w:val="-3"/>
        </w:rPr>
        <w:t xml:space="preserve"> </w:t>
      </w:r>
      <w:r w:rsidRPr="00FD40B8">
        <w:rPr>
          <w:color w:val="131727" w:themeColor="text1"/>
        </w:rPr>
        <w:t>on related</w:t>
      </w:r>
      <w:r w:rsidRPr="00FD40B8">
        <w:rPr>
          <w:color w:val="131727" w:themeColor="text1"/>
          <w:spacing w:val="-4"/>
        </w:rPr>
        <w:t xml:space="preserve"> </w:t>
      </w:r>
      <w:r w:rsidRPr="00FD40B8">
        <w:rPr>
          <w:color w:val="131727" w:themeColor="text1"/>
          <w:spacing w:val="-2"/>
        </w:rPr>
        <w:t>infrastructure</w:t>
      </w:r>
    </w:p>
    <w:p w14:paraId="4B0D34A4" w14:textId="77777777" w:rsidR="00811887" w:rsidRPr="00FD40B8" w:rsidRDefault="00811887" w:rsidP="00811887">
      <w:pPr>
        <w:pStyle w:val="BodyText"/>
        <w:spacing w:before="150" w:line="266" w:lineRule="auto"/>
        <w:ind w:left="508" w:right="598"/>
        <w:rPr>
          <w:color w:val="131727" w:themeColor="text1"/>
        </w:rPr>
      </w:pPr>
      <w:r w:rsidRPr="00FD40B8">
        <w:rPr>
          <w:color w:val="131727" w:themeColor="text1"/>
          <w:w w:val="110"/>
        </w:rPr>
        <w:t>The provision of infrastructure such as roads, electricity, water and sewerage is an essential part of providing sustainable social housing and creating healthy and functional homes, and the need is significant</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Aboriginal and</w:t>
      </w:r>
      <w:r w:rsidRPr="00FD40B8">
        <w:rPr>
          <w:color w:val="131727" w:themeColor="text1"/>
          <w:spacing w:val="-2"/>
          <w:w w:val="110"/>
        </w:rPr>
        <w:t xml:space="preserve"> </w:t>
      </w:r>
      <w:r w:rsidRPr="00FD40B8">
        <w:rPr>
          <w:color w:val="131727" w:themeColor="text1"/>
          <w:w w:val="110"/>
        </w:rPr>
        <w:t>Torres</w:t>
      </w:r>
      <w:r w:rsidRPr="00FD40B8">
        <w:rPr>
          <w:color w:val="131727" w:themeColor="text1"/>
          <w:spacing w:val="-5"/>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4"/>
          <w:w w:val="110"/>
        </w:rPr>
        <w:t xml:space="preserve"> </w:t>
      </w:r>
      <w:r w:rsidRPr="00FD40B8">
        <w:rPr>
          <w:color w:val="131727" w:themeColor="text1"/>
          <w:w w:val="110"/>
        </w:rPr>
        <w:t>households and</w:t>
      </w:r>
      <w:r w:rsidRPr="00FD40B8">
        <w:rPr>
          <w:color w:val="131727" w:themeColor="text1"/>
          <w:spacing w:val="-2"/>
          <w:w w:val="110"/>
        </w:rPr>
        <w:t xml:space="preserve"> </w:t>
      </w:r>
      <w:r w:rsidRPr="00FD40B8">
        <w:rPr>
          <w:color w:val="131727" w:themeColor="text1"/>
          <w:w w:val="110"/>
        </w:rPr>
        <w:t>communities,</w:t>
      </w:r>
      <w:r w:rsidRPr="00FD40B8">
        <w:rPr>
          <w:color w:val="131727" w:themeColor="text1"/>
          <w:spacing w:val="-6"/>
          <w:w w:val="110"/>
        </w:rPr>
        <w:t xml:space="preserve"> </w:t>
      </w:r>
      <w:r w:rsidRPr="00FD40B8">
        <w:rPr>
          <w:color w:val="131727" w:themeColor="text1"/>
          <w:w w:val="110"/>
        </w:rPr>
        <w:t>particularly</w:t>
      </w:r>
      <w:r w:rsidRPr="00FD40B8">
        <w:rPr>
          <w:color w:val="131727" w:themeColor="text1"/>
          <w:spacing w:val="-7"/>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remote areas. For example, the 2019 ‘An Assessment of Australia’s Future Infrastructure Needs’ highlights:</w:t>
      </w:r>
    </w:p>
    <w:p w14:paraId="54A944D4" w14:textId="77777777" w:rsidR="00811887" w:rsidRPr="00FD40B8" w:rsidRDefault="00811887" w:rsidP="00FB2FE9">
      <w:pPr>
        <w:pStyle w:val="ListParagraph"/>
        <w:widowControl w:val="0"/>
        <w:numPr>
          <w:ilvl w:val="0"/>
          <w:numId w:val="65"/>
        </w:numPr>
        <w:tabs>
          <w:tab w:val="left" w:pos="1228"/>
        </w:tabs>
        <w:autoSpaceDE w:val="0"/>
        <w:autoSpaceDN w:val="0"/>
        <w:spacing w:before="111" w:after="0" w:line="254" w:lineRule="auto"/>
        <w:ind w:right="669"/>
        <w:contextualSpacing w:val="0"/>
        <w:rPr>
          <w:color w:val="131727" w:themeColor="text1"/>
          <w:sz w:val="13"/>
        </w:rPr>
      </w:pPr>
      <w:r w:rsidRPr="00FD40B8">
        <w:rPr>
          <w:color w:val="131727" w:themeColor="text1"/>
          <w:w w:val="110"/>
          <w:sz w:val="20"/>
        </w:rPr>
        <w:t>the</w:t>
      </w:r>
      <w:r w:rsidRPr="00FD40B8">
        <w:rPr>
          <w:color w:val="131727" w:themeColor="text1"/>
          <w:spacing w:val="-4"/>
          <w:w w:val="110"/>
          <w:sz w:val="20"/>
        </w:rPr>
        <w:t xml:space="preserve"> </w:t>
      </w:r>
      <w:r w:rsidRPr="00FD40B8">
        <w:rPr>
          <w:color w:val="131727" w:themeColor="text1"/>
          <w:w w:val="110"/>
          <w:sz w:val="20"/>
        </w:rPr>
        <w:t>quality</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infrastructure</w:t>
      </w:r>
      <w:r w:rsidRPr="00FD40B8">
        <w:rPr>
          <w:color w:val="131727" w:themeColor="text1"/>
          <w:spacing w:val="-4"/>
          <w:w w:val="110"/>
          <w:sz w:val="20"/>
        </w:rPr>
        <w:t xml:space="preserve"> </w:t>
      </w:r>
      <w:r w:rsidRPr="00FD40B8">
        <w:rPr>
          <w:color w:val="131727" w:themeColor="text1"/>
          <w:w w:val="110"/>
          <w:sz w:val="20"/>
        </w:rPr>
        <w:t>services</w:t>
      </w:r>
      <w:r w:rsidRPr="00FD40B8">
        <w:rPr>
          <w:color w:val="131727" w:themeColor="text1"/>
          <w:spacing w:val="-2"/>
          <w:w w:val="110"/>
          <w:sz w:val="20"/>
        </w:rPr>
        <w:t xml:space="preserve"> </w:t>
      </w:r>
      <w:r w:rsidRPr="00FD40B8">
        <w:rPr>
          <w:color w:val="131727" w:themeColor="text1"/>
          <w:w w:val="110"/>
          <w:sz w:val="20"/>
        </w:rPr>
        <w:t>for</w:t>
      </w:r>
      <w:r w:rsidRPr="00FD40B8">
        <w:rPr>
          <w:color w:val="131727" w:themeColor="text1"/>
          <w:spacing w:val="-5"/>
          <w:w w:val="110"/>
          <w:sz w:val="20"/>
        </w:rPr>
        <w:t xml:space="preserve"> </w:t>
      </w:r>
      <w:r w:rsidRPr="00FD40B8">
        <w:rPr>
          <w:color w:val="131727" w:themeColor="text1"/>
          <w:w w:val="110"/>
          <w:sz w:val="20"/>
        </w:rPr>
        <w:t>people</w:t>
      </w:r>
      <w:r w:rsidRPr="00FD40B8">
        <w:rPr>
          <w:color w:val="131727" w:themeColor="text1"/>
          <w:spacing w:val="-8"/>
          <w:w w:val="110"/>
          <w:sz w:val="20"/>
        </w:rPr>
        <w:t xml:space="preserve"> </w:t>
      </w:r>
      <w:r w:rsidRPr="00FD40B8">
        <w:rPr>
          <w:color w:val="131727" w:themeColor="text1"/>
          <w:w w:val="110"/>
          <w:sz w:val="20"/>
        </w:rPr>
        <w:t>living</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3"/>
          <w:w w:val="110"/>
          <w:sz w:val="20"/>
        </w:rPr>
        <w:t xml:space="preserve"> </w:t>
      </w:r>
      <w:r w:rsidRPr="00FD40B8">
        <w:rPr>
          <w:color w:val="131727" w:themeColor="text1"/>
          <w:w w:val="110"/>
          <w:sz w:val="20"/>
        </w:rPr>
        <w:t>remote</w:t>
      </w:r>
      <w:r w:rsidRPr="00FD40B8">
        <w:rPr>
          <w:color w:val="131727" w:themeColor="text1"/>
          <w:spacing w:val="-4"/>
          <w:w w:val="110"/>
          <w:sz w:val="20"/>
        </w:rPr>
        <w:t xml:space="preserve"> </w:t>
      </w:r>
      <w:r w:rsidRPr="00FD40B8">
        <w:rPr>
          <w:color w:val="131727" w:themeColor="text1"/>
          <w:w w:val="110"/>
          <w:sz w:val="20"/>
        </w:rPr>
        <w:t>communities</w:t>
      </w:r>
      <w:r w:rsidRPr="00FD40B8">
        <w:rPr>
          <w:color w:val="131727" w:themeColor="text1"/>
          <w:spacing w:val="-2"/>
          <w:w w:val="110"/>
          <w:sz w:val="20"/>
        </w:rPr>
        <w:t xml:space="preserve"> </w:t>
      </w:r>
      <w:r w:rsidRPr="00FD40B8">
        <w:rPr>
          <w:color w:val="131727" w:themeColor="text1"/>
          <w:w w:val="110"/>
          <w:sz w:val="20"/>
        </w:rPr>
        <w:t>does</w:t>
      </w:r>
      <w:r w:rsidRPr="00FD40B8">
        <w:rPr>
          <w:color w:val="131727" w:themeColor="text1"/>
          <w:spacing w:val="-6"/>
          <w:w w:val="110"/>
          <w:sz w:val="20"/>
        </w:rPr>
        <w:t xml:space="preserve"> </w:t>
      </w:r>
      <w:r w:rsidRPr="00FD40B8">
        <w:rPr>
          <w:color w:val="131727" w:themeColor="text1"/>
          <w:w w:val="110"/>
          <w:sz w:val="20"/>
        </w:rPr>
        <w:t>not</w:t>
      </w:r>
      <w:r w:rsidRPr="00FD40B8">
        <w:rPr>
          <w:color w:val="131727" w:themeColor="text1"/>
          <w:spacing w:val="-4"/>
          <w:w w:val="110"/>
          <w:sz w:val="20"/>
        </w:rPr>
        <w:t xml:space="preserve"> </w:t>
      </w:r>
      <w:r w:rsidRPr="00FD40B8">
        <w:rPr>
          <w:color w:val="131727" w:themeColor="text1"/>
          <w:w w:val="110"/>
          <w:sz w:val="20"/>
        </w:rPr>
        <w:t>meet</w:t>
      </w:r>
      <w:r w:rsidRPr="00FD40B8">
        <w:rPr>
          <w:color w:val="131727" w:themeColor="text1"/>
          <w:spacing w:val="-9"/>
          <w:w w:val="110"/>
          <w:sz w:val="20"/>
        </w:rPr>
        <w:t xml:space="preserve"> </w:t>
      </w:r>
      <w:r w:rsidRPr="00FD40B8">
        <w:rPr>
          <w:color w:val="131727" w:themeColor="text1"/>
          <w:w w:val="110"/>
          <w:sz w:val="20"/>
        </w:rPr>
        <w:t>the standards Australians expect and is not in line with minimum standards</w:t>
      </w:r>
      <w:hyperlink w:anchor="_bookmark64" w:history="1">
        <w:r w:rsidRPr="00FD40B8">
          <w:rPr>
            <w:color w:val="131727" w:themeColor="text1"/>
            <w:w w:val="110"/>
            <w:sz w:val="20"/>
          </w:rPr>
          <w:t>;</w:t>
        </w:r>
        <w:r w:rsidRPr="00FD40B8">
          <w:rPr>
            <w:color w:val="131727" w:themeColor="text1"/>
            <w:w w:val="110"/>
            <w:position w:val="8"/>
            <w:sz w:val="13"/>
          </w:rPr>
          <w:t>55</w:t>
        </w:r>
      </w:hyperlink>
    </w:p>
    <w:p w14:paraId="7CC25D44" w14:textId="77777777" w:rsidR="00811887" w:rsidRPr="00FD40B8" w:rsidRDefault="00811887" w:rsidP="00FB2FE9">
      <w:pPr>
        <w:pStyle w:val="ListParagraph"/>
        <w:widowControl w:val="0"/>
        <w:numPr>
          <w:ilvl w:val="0"/>
          <w:numId w:val="65"/>
        </w:numPr>
        <w:tabs>
          <w:tab w:val="left" w:pos="1228"/>
        </w:tabs>
        <w:autoSpaceDE w:val="0"/>
        <w:autoSpaceDN w:val="0"/>
        <w:spacing w:before="126" w:after="0" w:line="261" w:lineRule="auto"/>
        <w:ind w:right="933"/>
        <w:contextualSpacing w:val="0"/>
        <w:rPr>
          <w:color w:val="131727" w:themeColor="text1"/>
          <w:sz w:val="20"/>
        </w:rPr>
      </w:pPr>
      <w:r w:rsidRPr="00FD40B8">
        <w:rPr>
          <w:color w:val="131727" w:themeColor="text1"/>
          <w:w w:val="110"/>
          <w:sz w:val="20"/>
        </w:rPr>
        <w:t>in</w:t>
      </w:r>
      <w:r w:rsidRPr="00FD40B8">
        <w:rPr>
          <w:color w:val="131727" w:themeColor="text1"/>
          <w:spacing w:val="-8"/>
          <w:w w:val="110"/>
          <w:sz w:val="20"/>
        </w:rPr>
        <w:t xml:space="preserve"> </w:t>
      </w:r>
      <w:r w:rsidRPr="00FD40B8">
        <w:rPr>
          <w:color w:val="131727" w:themeColor="text1"/>
          <w:w w:val="110"/>
          <w:sz w:val="20"/>
        </w:rPr>
        <w:t>some</w:t>
      </w:r>
      <w:r w:rsidRPr="00FD40B8">
        <w:rPr>
          <w:color w:val="131727" w:themeColor="text1"/>
          <w:spacing w:val="-6"/>
          <w:w w:val="110"/>
          <w:sz w:val="20"/>
        </w:rPr>
        <w:t xml:space="preserve"> </w:t>
      </w:r>
      <w:r w:rsidRPr="00FD40B8">
        <w:rPr>
          <w:color w:val="131727" w:themeColor="text1"/>
          <w:w w:val="110"/>
          <w:sz w:val="20"/>
        </w:rPr>
        <w:t>remote</w:t>
      </w:r>
      <w:r w:rsidRPr="00FD40B8">
        <w:rPr>
          <w:color w:val="131727" w:themeColor="text1"/>
          <w:spacing w:val="-6"/>
          <w:w w:val="110"/>
          <w:sz w:val="20"/>
        </w:rPr>
        <w:t xml:space="preserve"> </w:t>
      </w:r>
      <w:r w:rsidRPr="00FD40B8">
        <w:rPr>
          <w:color w:val="131727" w:themeColor="text1"/>
          <w:w w:val="110"/>
          <w:sz w:val="20"/>
        </w:rPr>
        <w:t>communities,</w:t>
      </w:r>
      <w:r w:rsidRPr="00FD40B8">
        <w:rPr>
          <w:color w:val="131727" w:themeColor="text1"/>
          <w:spacing w:val="-5"/>
          <w:w w:val="110"/>
          <w:sz w:val="20"/>
        </w:rPr>
        <w:t xml:space="preserve"> </w:t>
      </w:r>
      <w:r w:rsidRPr="00FD40B8">
        <w:rPr>
          <w:color w:val="131727" w:themeColor="text1"/>
          <w:w w:val="110"/>
          <w:sz w:val="20"/>
        </w:rPr>
        <w:t>many</w:t>
      </w:r>
      <w:r w:rsidRPr="00FD40B8">
        <w:rPr>
          <w:color w:val="131727" w:themeColor="text1"/>
          <w:spacing w:val="-6"/>
          <w:w w:val="110"/>
          <w:sz w:val="20"/>
        </w:rPr>
        <w:t xml:space="preserve"> </w:t>
      </w:r>
      <w:r w:rsidRPr="00FD40B8">
        <w:rPr>
          <w:color w:val="131727" w:themeColor="text1"/>
          <w:w w:val="110"/>
          <w:sz w:val="20"/>
        </w:rPr>
        <w:t>with</w:t>
      </w:r>
      <w:r w:rsidRPr="00FD40B8">
        <w:rPr>
          <w:color w:val="131727" w:themeColor="text1"/>
          <w:spacing w:val="-4"/>
          <w:w w:val="110"/>
          <w:sz w:val="20"/>
        </w:rPr>
        <w:t xml:space="preserve"> </w:t>
      </w:r>
      <w:r w:rsidRPr="00FD40B8">
        <w:rPr>
          <w:color w:val="131727" w:themeColor="text1"/>
          <w:w w:val="110"/>
          <w:sz w:val="20"/>
        </w:rPr>
        <w:t>predominantly</w:t>
      </w:r>
      <w:r w:rsidRPr="00FD40B8">
        <w:rPr>
          <w:color w:val="131727" w:themeColor="text1"/>
          <w:spacing w:val="-6"/>
          <w:w w:val="110"/>
          <w:sz w:val="20"/>
        </w:rPr>
        <w:t xml:space="preserve"> </w:t>
      </w:r>
      <w:r w:rsidRPr="00FD40B8">
        <w:rPr>
          <w:color w:val="131727" w:themeColor="text1"/>
          <w:w w:val="110"/>
          <w:sz w:val="20"/>
        </w:rPr>
        <w:t>Aboriginal</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9"/>
          <w:w w:val="110"/>
          <w:sz w:val="20"/>
        </w:rPr>
        <w:t xml:space="preserve"> </w:t>
      </w:r>
      <w:r w:rsidRPr="00FD40B8">
        <w:rPr>
          <w:color w:val="131727" w:themeColor="text1"/>
          <w:w w:val="110"/>
          <w:sz w:val="20"/>
        </w:rPr>
        <w:t>Torres</w:t>
      </w:r>
      <w:r w:rsidRPr="00FD40B8">
        <w:rPr>
          <w:color w:val="131727" w:themeColor="text1"/>
          <w:spacing w:val="-3"/>
          <w:w w:val="110"/>
          <w:sz w:val="20"/>
        </w:rPr>
        <w:t xml:space="preserve"> </w:t>
      </w:r>
      <w:r w:rsidRPr="00FD40B8">
        <w:rPr>
          <w:color w:val="131727" w:themeColor="text1"/>
          <w:w w:val="110"/>
          <w:sz w:val="20"/>
        </w:rPr>
        <w:t>Strait</w:t>
      </w:r>
      <w:r w:rsidRPr="00FD40B8">
        <w:rPr>
          <w:color w:val="131727" w:themeColor="text1"/>
          <w:spacing w:val="-9"/>
          <w:w w:val="110"/>
          <w:sz w:val="20"/>
        </w:rPr>
        <w:t xml:space="preserve"> </w:t>
      </w:r>
      <w:r w:rsidRPr="00FD40B8">
        <w:rPr>
          <w:color w:val="131727" w:themeColor="text1"/>
          <w:w w:val="110"/>
          <w:sz w:val="20"/>
        </w:rPr>
        <w:t>Islander populations, do not have access to reliable and safe water and wastewater services, while monitoring is often inadequate</w:t>
      </w:r>
      <w:hyperlink w:anchor="_bookmark65" w:history="1">
        <w:r w:rsidRPr="00FD40B8">
          <w:rPr>
            <w:color w:val="131727" w:themeColor="text1"/>
            <w:w w:val="110"/>
            <w:sz w:val="20"/>
          </w:rPr>
          <w:t>;</w:t>
        </w:r>
        <w:r w:rsidRPr="00FD40B8">
          <w:rPr>
            <w:color w:val="131727" w:themeColor="text1"/>
            <w:w w:val="110"/>
            <w:position w:val="8"/>
            <w:sz w:val="13"/>
          </w:rPr>
          <w:t>56</w:t>
        </w:r>
      </w:hyperlink>
      <w:r w:rsidRPr="00FD40B8">
        <w:rPr>
          <w:color w:val="131727" w:themeColor="text1"/>
          <w:spacing w:val="40"/>
          <w:w w:val="110"/>
          <w:position w:val="8"/>
          <w:sz w:val="13"/>
        </w:rPr>
        <w:t xml:space="preserve"> </w:t>
      </w:r>
      <w:r w:rsidRPr="00FD40B8">
        <w:rPr>
          <w:color w:val="131727" w:themeColor="text1"/>
          <w:w w:val="110"/>
          <w:sz w:val="20"/>
        </w:rPr>
        <w:t>and</w:t>
      </w:r>
    </w:p>
    <w:p w14:paraId="4780FB41" w14:textId="77777777" w:rsidR="00811887" w:rsidRPr="00FD40B8" w:rsidRDefault="00811887" w:rsidP="00FB2FE9">
      <w:pPr>
        <w:pStyle w:val="ListParagraph"/>
        <w:widowControl w:val="0"/>
        <w:numPr>
          <w:ilvl w:val="0"/>
          <w:numId w:val="65"/>
        </w:numPr>
        <w:tabs>
          <w:tab w:val="left" w:pos="1228"/>
        </w:tabs>
        <w:autoSpaceDE w:val="0"/>
        <w:autoSpaceDN w:val="0"/>
        <w:spacing w:before="114" w:after="0" w:line="268" w:lineRule="auto"/>
        <w:ind w:right="587"/>
        <w:contextualSpacing w:val="0"/>
        <w:rPr>
          <w:color w:val="131727" w:themeColor="text1"/>
          <w:sz w:val="20"/>
        </w:rPr>
      </w:pPr>
      <w:r w:rsidRPr="00FD40B8">
        <w:rPr>
          <w:color w:val="131727" w:themeColor="text1"/>
          <w:w w:val="110"/>
          <w:sz w:val="20"/>
        </w:rPr>
        <w:t>the 2019 Infrastructure Priority List estimated that the combined economic and social cost of overcrowding</w:t>
      </w:r>
      <w:r w:rsidRPr="00FD40B8">
        <w:rPr>
          <w:color w:val="131727" w:themeColor="text1"/>
          <w:spacing w:val="-4"/>
          <w:w w:val="110"/>
          <w:sz w:val="20"/>
        </w:rPr>
        <w:t xml:space="preserve"> </w:t>
      </w:r>
      <w:r w:rsidRPr="00FD40B8">
        <w:rPr>
          <w:color w:val="131727" w:themeColor="text1"/>
          <w:w w:val="110"/>
          <w:sz w:val="20"/>
        </w:rPr>
        <w:t>for</w:t>
      </w:r>
      <w:r w:rsidRPr="00FD40B8">
        <w:rPr>
          <w:color w:val="131727" w:themeColor="text1"/>
          <w:spacing w:val="-1"/>
          <w:w w:val="110"/>
          <w:sz w:val="20"/>
        </w:rPr>
        <w:t xml:space="preserve"> </w:t>
      </w:r>
      <w:r w:rsidRPr="00FD40B8">
        <w:rPr>
          <w:color w:val="131727" w:themeColor="text1"/>
          <w:w w:val="110"/>
          <w:sz w:val="20"/>
        </w:rPr>
        <w:t>remote</w:t>
      </w:r>
      <w:r w:rsidRPr="00FD40B8">
        <w:rPr>
          <w:color w:val="131727" w:themeColor="text1"/>
          <w:spacing w:val="-5"/>
          <w:w w:val="110"/>
          <w:sz w:val="20"/>
        </w:rPr>
        <w:t xml:space="preserve"> </w:t>
      </w:r>
      <w:r w:rsidRPr="00FD40B8">
        <w:rPr>
          <w:color w:val="131727" w:themeColor="text1"/>
          <w:w w:val="110"/>
          <w:sz w:val="20"/>
        </w:rPr>
        <w:t>Aboriginal and</w:t>
      </w:r>
      <w:r w:rsidRPr="00FD40B8">
        <w:rPr>
          <w:color w:val="131727" w:themeColor="text1"/>
          <w:spacing w:val="-4"/>
          <w:w w:val="110"/>
          <w:sz w:val="20"/>
        </w:rPr>
        <w:t xml:space="preserve"> </w:t>
      </w:r>
      <w:r w:rsidRPr="00FD40B8">
        <w:rPr>
          <w:color w:val="131727" w:themeColor="text1"/>
          <w:w w:val="110"/>
          <w:sz w:val="20"/>
        </w:rPr>
        <w:t>Torres</w:t>
      </w:r>
      <w:r w:rsidRPr="00FD40B8">
        <w:rPr>
          <w:color w:val="131727" w:themeColor="text1"/>
          <w:spacing w:val="-2"/>
          <w:w w:val="110"/>
          <w:sz w:val="20"/>
        </w:rPr>
        <w:t xml:space="preserve"> </w:t>
      </w:r>
      <w:r w:rsidRPr="00FD40B8">
        <w:rPr>
          <w:color w:val="131727" w:themeColor="text1"/>
          <w:w w:val="110"/>
          <w:sz w:val="20"/>
        </w:rPr>
        <w:t>Strait</w:t>
      </w:r>
      <w:r w:rsidRPr="00FD40B8">
        <w:rPr>
          <w:color w:val="131727" w:themeColor="text1"/>
          <w:spacing w:val="-4"/>
          <w:w w:val="110"/>
          <w:sz w:val="20"/>
        </w:rPr>
        <w:t xml:space="preserve"> </w:t>
      </w:r>
      <w:r w:rsidRPr="00FD40B8">
        <w:rPr>
          <w:color w:val="131727" w:themeColor="text1"/>
          <w:w w:val="110"/>
          <w:sz w:val="20"/>
        </w:rPr>
        <w:t>Islander</w:t>
      </w:r>
      <w:r w:rsidRPr="00FD40B8">
        <w:rPr>
          <w:color w:val="131727" w:themeColor="text1"/>
          <w:spacing w:val="-1"/>
          <w:w w:val="110"/>
          <w:sz w:val="20"/>
        </w:rPr>
        <w:t xml:space="preserve"> </w:t>
      </w:r>
      <w:r w:rsidRPr="00FD40B8">
        <w:rPr>
          <w:color w:val="131727" w:themeColor="text1"/>
          <w:w w:val="110"/>
          <w:sz w:val="20"/>
        </w:rPr>
        <w:t>populations</w:t>
      </w:r>
      <w:r w:rsidRPr="00FD40B8">
        <w:rPr>
          <w:color w:val="131727" w:themeColor="text1"/>
          <w:spacing w:val="-2"/>
          <w:w w:val="110"/>
          <w:sz w:val="20"/>
        </w:rPr>
        <w:t xml:space="preserve"> </w:t>
      </w:r>
      <w:r w:rsidRPr="00FD40B8">
        <w:rPr>
          <w:color w:val="131727" w:themeColor="text1"/>
          <w:w w:val="110"/>
          <w:sz w:val="20"/>
        </w:rPr>
        <w:t>is</w:t>
      </w:r>
      <w:r w:rsidRPr="00FD40B8">
        <w:rPr>
          <w:color w:val="131727" w:themeColor="text1"/>
          <w:spacing w:val="-2"/>
          <w:w w:val="110"/>
          <w:sz w:val="20"/>
        </w:rPr>
        <w:t xml:space="preserve"> </w:t>
      </w:r>
      <w:r w:rsidRPr="00FD40B8">
        <w:rPr>
          <w:color w:val="131727" w:themeColor="text1"/>
          <w:w w:val="110"/>
          <w:sz w:val="20"/>
        </w:rPr>
        <w:t>expected to exceed</w:t>
      </w:r>
    </w:p>
    <w:p w14:paraId="3A33C8B3" w14:textId="77777777" w:rsidR="00811887" w:rsidRPr="00FD40B8" w:rsidRDefault="00811887" w:rsidP="00811887">
      <w:pPr>
        <w:pStyle w:val="BodyText"/>
        <w:spacing w:line="244" w:lineRule="exact"/>
        <w:ind w:left="1228"/>
        <w:rPr>
          <w:color w:val="131727" w:themeColor="text1"/>
          <w:sz w:val="13"/>
        </w:rPr>
      </w:pPr>
      <w:r w:rsidRPr="00FD40B8">
        <w:rPr>
          <w:color w:val="131727" w:themeColor="text1"/>
          <w:w w:val="110"/>
        </w:rPr>
        <w:t>$100 million</w:t>
      </w:r>
      <w:r w:rsidRPr="00FD40B8">
        <w:rPr>
          <w:color w:val="131727" w:themeColor="text1"/>
          <w:spacing w:val="2"/>
          <w:w w:val="110"/>
        </w:rPr>
        <w:t xml:space="preserve"> </w:t>
      </w:r>
      <w:r w:rsidRPr="00FD40B8">
        <w:rPr>
          <w:color w:val="131727" w:themeColor="text1"/>
          <w:w w:val="110"/>
        </w:rPr>
        <w:t>per</w:t>
      </w:r>
      <w:r w:rsidRPr="00FD40B8">
        <w:rPr>
          <w:color w:val="131727" w:themeColor="text1"/>
          <w:spacing w:val="-1"/>
          <w:w w:val="110"/>
        </w:rPr>
        <w:t xml:space="preserve"> </w:t>
      </w:r>
      <w:r w:rsidRPr="00FD40B8">
        <w:rPr>
          <w:color w:val="131727" w:themeColor="text1"/>
          <w:w w:val="110"/>
        </w:rPr>
        <w:t>annum over</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next</w:t>
      </w:r>
      <w:r w:rsidRPr="00FD40B8">
        <w:rPr>
          <w:color w:val="131727" w:themeColor="text1"/>
          <w:spacing w:val="1"/>
          <w:w w:val="110"/>
        </w:rPr>
        <w:t xml:space="preserve"> </w:t>
      </w:r>
      <w:r w:rsidRPr="00FD40B8">
        <w:rPr>
          <w:color w:val="131727" w:themeColor="text1"/>
          <w:w w:val="110"/>
        </w:rPr>
        <w:t>15 years</w:t>
      </w:r>
      <w:r w:rsidRPr="00FD40B8">
        <w:rPr>
          <w:color w:val="131727" w:themeColor="text1"/>
          <w:spacing w:val="3"/>
          <w:w w:val="110"/>
        </w:rPr>
        <w:t xml:space="preserve"> </w:t>
      </w:r>
      <w:r w:rsidRPr="00FD40B8">
        <w:rPr>
          <w:color w:val="131727" w:themeColor="text1"/>
          <w:w w:val="110"/>
        </w:rPr>
        <w:t>based</w:t>
      </w:r>
      <w:r w:rsidRPr="00FD40B8">
        <w:rPr>
          <w:color w:val="131727" w:themeColor="text1"/>
          <w:spacing w:val="-4"/>
          <w:w w:val="110"/>
        </w:rPr>
        <w:t xml:space="preserve"> </w:t>
      </w:r>
      <w:r w:rsidRPr="00FD40B8">
        <w:rPr>
          <w:color w:val="131727" w:themeColor="text1"/>
          <w:w w:val="110"/>
        </w:rPr>
        <w:t>on</w:t>
      </w:r>
      <w:r w:rsidRPr="00FD40B8">
        <w:rPr>
          <w:color w:val="131727" w:themeColor="text1"/>
          <w:spacing w:val="1"/>
          <w:w w:val="110"/>
        </w:rPr>
        <w:t xml:space="preserve"> </w:t>
      </w:r>
      <w:r w:rsidRPr="00FD40B8">
        <w:rPr>
          <w:color w:val="131727" w:themeColor="text1"/>
          <w:w w:val="110"/>
        </w:rPr>
        <w:t>existing</w:t>
      </w:r>
      <w:r w:rsidRPr="00FD40B8">
        <w:rPr>
          <w:color w:val="131727" w:themeColor="text1"/>
          <w:spacing w:val="-4"/>
          <w:w w:val="110"/>
        </w:rPr>
        <w:t xml:space="preserve"> </w:t>
      </w:r>
      <w:r w:rsidRPr="00FD40B8">
        <w:rPr>
          <w:color w:val="131727" w:themeColor="text1"/>
          <w:w w:val="110"/>
        </w:rPr>
        <w:t>overcrowding</w:t>
      </w:r>
      <w:r w:rsidRPr="00FD40B8">
        <w:rPr>
          <w:color w:val="131727" w:themeColor="text1"/>
          <w:spacing w:val="-4"/>
          <w:w w:val="110"/>
        </w:rPr>
        <w:t xml:space="preserve"> </w:t>
      </w:r>
      <w:r w:rsidRPr="00FD40B8">
        <w:rPr>
          <w:color w:val="131727" w:themeColor="text1"/>
          <w:spacing w:val="-2"/>
          <w:w w:val="110"/>
        </w:rPr>
        <w:t>rates</w:t>
      </w:r>
      <w:hyperlink w:anchor="_bookmark66" w:history="1">
        <w:r w:rsidRPr="00FD40B8">
          <w:rPr>
            <w:color w:val="131727" w:themeColor="text1"/>
            <w:spacing w:val="-2"/>
            <w:w w:val="110"/>
          </w:rPr>
          <w:t>.</w:t>
        </w:r>
        <w:r w:rsidRPr="00FD40B8">
          <w:rPr>
            <w:color w:val="131727" w:themeColor="text1"/>
            <w:spacing w:val="-2"/>
            <w:w w:val="110"/>
            <w:position w:val="8"/>
            <w:sz w:val="13"/>
          </w:rPr>
          <w:t>57</w:t>
        </w:r>
      </w:hyperlink>
    </w:p>
    <w:p w14:paraId="6FA75DEE" w14:textId="77777777" w:rsidR="00811887" w:rsidRPr="00FD40B8" w:rsidRDefault="00811887" w:rsidP="00811887">
      <w:pPr>
        <w:pStyle w:val="BodyText"/>
        <w:spacing w:before="144" w:line="266" w:lineRule="auto"/>
        <w:ind w:left="508" w:right="566"/>
        <w:rPr>
          <w:color w:val="131727" w:themeColor="text1"/>
          <w:sz w:val="13"/>
        </w:rPr>
      </w:pPr>
      <w:r w:rsidRPr="00FD40B8">
        <w:rPr>
          <w:color w:val="131727" w:themeColor="text1"/>
          <w:w w:val="110"/>
        </w:rPr>
        <w:t>Assessing</w:t>
      </w:r>
      <w:r w:rsidRPr="00FD40B8">
        <w:rPr>
          <w:color w:val="131727" w:themeColor="text1"/>
          <w:spacing w:val="-5"/>
          <w:w w:val="110"/>
        </w:rPr>
        <w:t xml:space="preserve"> </w:t>
      </w:r>
      <w:r w:rsidRPr="00FD40B8">
        <w:rPr>
          <w:color w:val="131727" w:themeColor="text1"/>
          <w:w w:val="110"/>
        </w:rPr>
        <w:t>whether</w:t>
      </w:r>
      <w:r w:rsidRPr="00FD40B8">
        <w:rPr>
          <w:color w:val="131727" w:themeColor="text1"/>
          <w:spacing w:val="-6"/>
          <w:w w:val="110"/>
        </w:rPr>
        <w:t xml:space="preserve"> </w:t>
      </w:r>
      <w:r w:rsidRPr="00FD40B8">
        <w:rPr>
          <w:color w:val="131727" w:themeColor="text1"/>
          <w:w w:val="110"/>
        </w:rPr>
        <w:t>existing</w:t>
      </w:r>
      <w:r w:rsidRPr="00FD40B8">
        <w:rPr>
          <w:color w:val="131727" w:themeColor="text1"/>
          <w:spacing w:val="-5"/>
          <w:w w:val="110"/>
        </w:rPr>
        <w:t xml:space="preserve"> </w:t>
      </w:r>
      <w:r w:rsidRPr="00FD40B8">
        <w:rPr>
          <w:color w:val="131727" w:themeColor="text1"/>
          <w:w w:val="110"/>
        </w:rPr>
        <w:t>effort</w:t>
      </w:r>
      <w:r w:rsidRPr="00FD40B8">
        <w:rPr>
          <w:color w:val="131727" w:themeColor="text1"/>
          <w:spacing w:val="-5"/>
          <w:w w:val="110"/>
        </w:rPr>
        <w:t xml:space="preserve"> </w:t>
      </w:r>
      <w:r w:rsidRPr="00FD40B8">
        <w:rPr>
          <w:color w:val="131727" w:themeColor="text1"/>
          <w:w w:val="110"/>
        </w:rPr>
        <w:t>is</w:t>
      </w:r>
      <w:r w:rsidRPr="00FD40B8">
        <w:rPr>
          <w:color w:val="131727" w:themeColor="text1"/>
          <w:spacing w:val="-7"/>
          <w:w w:val="110"/>
        </w:rPr>
        <w:t xml:space="preserve"> </w:t>
      </w:r>
      <w:r w:rsidRPr="00FD40B8">
        <w:rPr>
          <w:color w:val="131727" w:themeColor="text1"/>
          <w:w w:val="110"/>
        </w:rPr>
        <w:t>sufficient</w:t>
      </w:r>
      <w:r w:rsidRPr="00FD40B8">
        <w:rPr>
          <w:color w:val="131727" w:themeColor="text1"/>
          <w:spacing w:val="-5"/>
          <w:w w:val="110"/>
        </w:rPr>
        <w:t xml:space="preserve"> </w:t>
      </w:r>
      <w:r w:rsidRPr="00FD40B8">
        <w:rPr>
          <w:color w:val="131727" w:themeColor="text1"/>
          <w:w w:val="110"/>
        </w:rPr>
        <w:t>to</w:t>
      </w:r>
      <w:r w:rsidRPr="00FD40B8">
        <w:rPr>
          <w:color w:val="131727" w:themeColor="text1"/>
          <w:spacing w:val="-4"/>
          <w:w w:val="110"/>
        </w:rPr>
        <w:t xml:space="preserve"> </w:t>
      </w:r>
      <w:r w:rsidRPr="00FD40B8">
        <w:rPr>
          <w:color w:val="131727" w:themeColor="text1"/>
          <w:w w:val="110"/>
        </w:rPr>
        <w:t>meet</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need is</w:t>
      </w:r>
      <w:r w:rsidRPr="00FD40B8">
        <w:rPr>
          <w:color w:val="131727" w:themeColor="text1"/>
          <w:spacing w:val="-3"/>
          <w:w w:val="110"/>
        </w:rPr>
        <w:t xml:space="preserve"> </w:t>
      </w:r>
      <w:r w:rsidRPr="00FD40B8">
        <w:rPr>
          <w:color w:val="131727" w:themeColor="text1"/>
          <w:w w:val="110"/>
        </w:rPr>
        <w:t>challenged</w:t>
      </w:r>
      <w:r w:rsidRPr="00FD40B8">
        <w:rPr>
          <w:color w:val="131727" w:themeColor="text1"/>
          <w:spacing w:val="-5"/>
          <w:w w:val="110"/>
        </w:rPr>
        <w:t xml:space="preserve"> </w:t>
      </w:r>
      <w:r w:rsidRPr="00FD40B8">
        <w:rPr>
          <w:color w:val="131727" w:themeColor="text1"/>
          <w:w w:val="110"/>
        </w:rPr>
        <w:t>by</w:t>
      </w:r>
      <w:r w:rsidRPr="00FD40B8">
        <w:rPr>
          <w:color w:val="131727" w:themeColor="text1"/>
          <w:spacing w:val="-10"/>
          <w:w w:val="110"/>
        </w:rPr>
        <w:t xml:space="preserve"> </w:t>
      </w:r>
      <w:r w:rsidRPr="00FD40B8">
        <w:rPr>
          <w:color w:val="131727" w:themeColor="text1"/>
          <w:w w:val="110"/>
        </w:rPr>
        <w:t>similar,</w:t>
      </w:r>
      <w:r w:rsidRPr="00FD40B8">
        <w:rPr>
          <w:color w:val="131727" w:themeColor="text1"/>
          <w:spacing w:val="-9"/>
          <w:w w:val="110"/>
        </w:rPr>
        <w:t xml:space="preserve"> </w:t>
      </w:r>
      <w:r w:rsidRPr="00FD40B8">
        <w:rPr>
          <w:color w:val="131727" w:themeColor="text1"/>
          <w:w w:val="110"/>
        </w:rPr>
        <w:t>if</w:t>
      </w:r>
      <w:r w:rsidRPr="00FD40B8">
        <w:rPr>
          <w:color w:val="131727" w:themeColor="text1"/>
          <w:spacing w:val="-7"/>
          <w:w w:val="110"/>
        </w:rPr>
        <w:t xml:space="preserve"> </w:t>
      </w:r>
      <w:r w:rsidRPr="00FD40B8">
        <w:rPr>
          <w:color w:val="131727" w:themeColor="text1"/>
          <w:w w:val="110"/>
        </w:rPr>
        <w:t>not</w:t>
      </w:r>
      <w:r w:rsidRPr="00FD40B8">
        <w:rPr>
          <w:color w:val="131727" w:themeColor="text1"/>
          <w:spacing w:val="-2"/>
          <w:w w:val="110"/>
        </w:rPr>
        <w:t xml:space="preserve"> </w:t>
      </w:r>
      <w:r w:rsidRPr="00FD40B8">
        <w:rPr>
          <w:color w:val="131727" w:themeColor="text1"/>
          <w:w w:val="110"/>
        </w:rPr>
        <w:t>worse,</w:t>
      </w:r>
      <w:r w:rsidRPr="00FD40B8">
        <w:rPr>
          <w:color w:val="131727" w:themeColor="text1"/>
          <w:spacing w:val="-5"/>
          <w:w w:val="110"/>
        </w:rPr>
        <w:t xml:space="preserve"> </w:t>
      </w:r>
      <w:r w:rsidRPr="00FD40B8">
        <w:rPr>
          <w:color w:val="131727" w:themeColor="text1"/>
          <w:w w:val="110"/>
        </w:rPr>
        <w:t>data limitations to housing. We note that the Commonwealth Government has committed $100 million for housing and essential infrastructure</w:t>
      </w:r>
      <w:r w:rsidRPr="00FD40B8">
        <w:rPr>
          <w:color w:val="131727" w:themeColor="text1"/>
          <w:spacing w:val="-1"/>
          <w:w w:val="110"/>
        </w:rPr>
        <w:t xml:space="preserve"> </w:t>
      </w:r>
      <w:r w:rsidRPr="00FD40B8">
        <w:rPr>
          <w:color w:val="131727" w:themeColor="text1"/>
          <w:w w:val="110"/>
        </w:rPr>
        <w:t>on Northern Territory homelands and assume</w:t>
      </w:r>
      <w:r w:rsidRPr="00FD40B8">
        <w:rPr>
          <w:color w:val="131727" w:themeColor="text1"/>
          <w:spacing w:val="-1"/>
          <w:w w:val="110"/>
        </w:rPr>
        <w:t xml:space="preserve"> </w:t>
      </w:r>
      <w:r w:rsidRPr="00FD40B8">
        <w:rPr>
          <w:color w:val="131727" w:themeColor="text1"/>
          <w:w w:val="110"/>
        </w:rPr>
        <w:t>that the new funding announcement of $4 billion is likely to consider related housing infrastructure needs. However, given there is no dedicated, national investment strategy to meet the infrastructure target in the Closing the Gap Agreement, we consider it reasonable to assess that current effort and investment is not sufficient to address the</w:t>
      </w:r>
      <w:r w:rsidRPr="00FD40B8">
        <w:rPr>
          <w:color w:val="131727" w:themeColor="text1"/>
          <w:spacing w:val="-2"/>
          <w:w w:val="110"/>
        </w:rPr>
        <w:t xml:space="preserve"> </w:t>
      </w:r>
      <w:r w:rsidRPr="00FD40B8">
        <w:rPr>
          <w:color w:val="131727" w:themeColor="text1"/>
          <w:w w:val="110"/>
        </w:rPr>
        <w:t>need. We</w:t>
      </w:r>
      <w:r w:rsidRPr="00FD40B8">
        <w:rPr>
          <w:color w:val="131727" w:themeColor="text1"/>
          <w:spacing w:val="-2"/>
          <w:w w:val="110"/>
        </w:rPr>
        <w:t xml:space="preserve"> </w:t>
      </w:r>
      <w:r w:rsidRPr="00FD40B8">
        <w:rPr>
          <w:color w:val="131727" w:themeColor="text1"/>
          <w:w w:val="110"/>
        </w:rPr>
        <w:t>also note that this is an area that seems to be consistently not well planned for in housing investment considerations. For example, infrastructure funding under the NPARIH was originally planned for new subdivisions and was not intended to address major upgrades of the existing essential services needed to accommodate higher demand from the increased number of houses, or connections</w:t>
      </w:r>
      <w:r w:rsidRPr="00FD40B8">
        <w:rPr>
          <w:color w:val="131727" w:themeColor="text1"/>
          <w:spacing w:val="-3"/>
          <w:w w:val="110"/>
        </w:rPr>
        <w:t xml:space="preserve"> </w:t>
      </w:r>
      <w:r w:rsidRPr="00FD40B8">
        <w:rPr>
          <w:color w:val="131727" w:themeColor="text1"/>
          <w:w w:val="110"/>
        </w:rPr>
        <w:t>from the</w:t>
      </w:r>
      <w:r w:rsidRPr="00FD40B8">
        <w:rPr>
          <w:color w:val="131727" w:themeColor="text1"/>
          <w:spacing w:val="-5"/>
          <w:w w:val="110"/>
        </w:rPr>
        <w:t xml:space="preserve"> </w:t>
      </w:r>
      <w:r w:rsidRPr="00FD40B8">
        <w:rPr>
          <w:color w:val="131727" w:themeColor="text1"/>
          <w:w w:val="110"/>
        </w:rPr>
        <w:t>new</w:t>
      </w:r>
      <w:r w:rsidRPr="00FD40B8">
        <w:rPr>
          <w:color w:val="131727" w:themeColor="text1"/>
          <w:spacing w:val="-7"/>
          <w:w w:val="110"/>
        </w:rPr>
        <w:t xml:space="preserve"> </w:t>
      </w:r>
      <w:r w:rsidRPr="00FD40B8">
        <w:rPr>
          <w:color w:val="131727" w:themeColor="text1"/>
          <w:w w:val="110"/>
        </w:rPr>
        <w:t>subdivisions.</w:t>
      </w:r>
      <w:r w:rsidRPr="00FD40B8">
        <w:rPr>
          <w:color w:val="131727" w:themeColor="text1"/>
          <w:spacing w:val="-5"/>
          <w:w w:val="110"/>
        </w:rPr>
        <w:t xml:space="preserve"> </w:t>
      </w:r>
      <w:r w:rsidRPr="00FD40B8">
        <w:rPr>
          <w:color w:val="131727" w:themeColor="text1"/>
          <w:w w:val="110"/>
        </w:rPr>
        <w:t>As a</w:t>
      </w:r>
      <w:r w:rsidRPr="00FD40B8">
        <w:rPr>
          <w:color w:val="131727" w:themeColor="text1"/>
          <w:spacing w:val="-6"/>
          <w:w w:val="110"/>
        </w:rPr>
        <w:t xml:space="preserve"> </w:t>
      </w:r>
      <w:r w:rsidRPr="00FD40B8">
        <w:rPr>
          <w:color w:val="131727" w:themeColor="text1"/>
          <w:w w:val="110"/>
        </w:rPr>
        <w:t>result,</w:t>
      </w:r>
      <w:r w:rsidRPr="00FD40B8">
        <w:rPr>
          <w:color w:val="131727" w:themeColor="text1"/>
          <w:spacing w:val="-5"/>
          <w:w w:val="110"/>
        </w:rPr>
        <w:t xml:space="preserve"> </w:t>
      </w:r>
      <w:r w:rsidRPr="00FD40B8">
        <w:rPr>
          <w:color w:val="131727" w:themeColor="text1"/>
          <w:w w:val="110"/>
        </w:rPr>
        <w:t>infrastructure requirements were</w:t>
      </w:r>
      <w:r w:rsidRPr="00FD40B8">
        <w:rPr>
          <w:color w:val="131727" w:themeColor="text1"/>
          <w:spacing w:val="-5"/>
          <w:w w:val="110"/>
        </w:rPr>
        <w:t xml:space="preserve"> </w:t>
      </w:r>
      <w:r w:rsidRPr="00FD40B8">
        <w:rPr>
          <w:color w:val="131727" w:themeColor="text1"/>
          <w:w w:val="110"/>
        </w:rPr>
        <w:t>significantly</w:t>
      </w:r>
      <w:r w:rsidRPr="00FD40B8">
        <w:rPr>
          <w:color w:val="131727" w:themeColor="text1"/>
          <w:spacing w:val="-2"/>
          <w:w w:val="110"/>
        </w:rPr>
        <w:t xml:space="preserve"> </w:t>
      </w:r>
      <w:r w:rsidRPr="00FD40B8">
        <w:rPr>
          <w:color w:val="131727" w:themeColor="text1"/>
          <w:w w:val="110"/>
        </w:rPr>
        <w:t>higher than forecast</w:t>
      </w:r>
      <w:hyperlink w:anchor="_bookmark67" w:history="1">
        <w:r w:rsidRPr="00FD40B8">
          <w:rPr>
            <w:color w:val="131727" w:themeColor="text1"/>
            <w:w w:val="110"/>
          </w:rPr>
          <w:t>.</w:t>
        </w:r>
        <w:r w:rsidRPr="00FD40B8">
          <w:rPr>
            <w:color w:val="131727" w:themeColor="text1"/>
            <w:w w:val="110"/>
            <w:position w:val="8"/>
            <w:sz w:val="13"/>
          </w:rPr>
          <w:t>58</w:t>
        </w:r>
      </w:hyperlink>
    </w:p>
    <w:p w14:paraId="02CB6AAD" w14:textId="77777777" w:rsidR="00811887" w:rsidRPr="00FD40B8" w:rsidRDefault="00811887" w:rsidP="00811887">
      <w:pPr>
        <w:pStyle w:val="BodyText"/>
        <w:rPr>
          <w:color w:val="131727" w:themeColor="text1"/>
        </w:rPr>
      </w:pPr>
    </w:p>
    <w:p w14:paraId="50C82206" w14:textId="77777777" w:rsidR="00811887" w:rsidRPr="00FD40B8" w:rsidRDefault="00811887" w:rsidP="00811887">
      <w:pPr>
        <w:pStyle w:val="BodyText"/>
        <w:rPr>
          <w:color w:val="131727" w:themeColor="text1"/>
        </w:rPr>
      </w:pPr>
    </w:p>
    <w:p w14:paraId="28CE1C58" w14:textId="77777777" w:rsidR="00811887" w:rsidRPr="00FD40B8" w:rsidRDefault="00811887" w:rsidP="00811887">
      <w:pPr>
        <w:pStyle w:val="BodyText"/>
        <w:rPr>
          <w:color w:val="131727" w:themeColor="text1"/>
        </w:rPr>
      </w:pPr>
    </w:p>
    <w:p w14:paraId="0622367C" w14:textId="77777777" w:rsidR="00811887" w:rsidRPr="00FD40B8" w:rsidRDefault="00811887" w:rsidP="00811887">
      <w:pPr>
        <w:pStyle w:val="BodyText"/>
        <w:rPr>
          <w:color w:val="131727" w:themeColor="text1"/>
        </w:rPr>
      </w:pPr>
    </w:p>
    <w:p w14:paraId="6990F6B4" w14:textId="77777777" w:rsidR="00811887" w:rsidRPr="00FD40B8" w:rsidRDefault="00811887" w:rsidP="00811887">
      <w:pPr>
        <w:pStyle w:val="BodyText"/>
        <w:rPr>
          <w:color w:val="131727" w:themeColor="text1"/>
        </w:rPr>
      </w:pPr>
    </w:p>
    <w:p w14:paraId="7955586A" w14:textId="77777777" w:rsidR="00811887" w:rsidRPr="00FD40B8" w:rsidRDefault="00811887" w:rsidP="00811887">
      <w:pPr>
        <w:pStyle w:val="BodyText"/>
        <w:spacing w:before="70"/>
        <w:rPr>
          <w:color w:val="131727" w:themeColor="text1"/>
        </w:rPr>
      </w:pPr>
      <w:r w:rsidRPr="00FD40B8">
        <w:rPr>
          <w:noProof/>
          <w:color w:val="131727" w:themeColor="text1"/>
        </w:rPr>
        <mc:AlternateContent>
          <mc:Choice Requires="wps">
            <w:drawing>
              <wp:anchor distT="0" distB="0" distL="0" distR="0" simplePos="0" relativeHeight="251749376" behindDoc="1" locked="0" layoutInCell="1" allowOverlap="1" wp14:anchorId="39ABF9F7" wp14:editId="15A1557F">
                <wp:simplePos x="0" y="0"/>
                <wp:positionH relativeFrom="page">
                  <wp:posOffset>792784</wp:posOffset>
                </wp:positionH>
                <wp:positionV relativeFrom="paragraph">
                  <wp:posOffset>214936</wp:posOffset>
                </wp:positionV>
                <wp:extent cx="1830070" cy="6350"/>
                <wp:effectExtent l="0" t="0" r="0" b="0"/>
                <wp:wrapTopAndBottom/>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456B5" id="Graphic 170" o:spid="_x0000_s1026" alt="&quot;&quot;" style="position:absolute;margin-left:62.4pt;margin-top:16.9pt;width:144.1pt;height:.5pt;z-index:-25156710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" path="m1829689,l,,,6095r1829689,l1829689,xe" fillcolor="black" stroked="f">
                <v:path arrowok="t"/>
                <w10:wrap type="topAndBottom" anchorx="page"/>
              </v:shape>
            </w:pict>
          </mc:Fallback>
        </mc:AlternateContent>
      </w:r>
    </w:p>
    <w:p w14:paraId="5A2DD277" w14:textId="77777777" w:rsidR="00811887" w:rsidRPr="00FD40B8" w:rsidRDefault="00811887" w:rsidP="00811887">
      <w:pPr>
        <w:spacing w:before="123" w:line="264" w:lineRule="auto"/>
        <w:ind w:left="508" w:right="823"/>
        <w:rPr>
          <w:color w:val="131727" w:themeColor="text1"/>
          <w:sz w:val="15"/>
        </w:rPr>
      </w:pPr>
      <w:bookmarkStart w:id="175" w:name="_bookmark64"/>
      <w:bookmarkEnd w:id="175"/>
      <w:r w:rsidRPr="00FD40B8">
        <w:rPr>
          <w:color w:val="131727" w:themeColor="text1"/>
          <w:w w:val="105"/>
          <w:position w:val="5"/>
          <w:sz w:val="10"/>
        </w:rPr>
        <w:t>55</w:t>
      </w:r>
      <w:r w:rsidRPr="00FD40B8">
        <w:rPr>
          <w:color w:val="131727" w:themeColor="text1"/>
          <w:spacing w:val="31"/>
          <w:w w:val="105"/>
          <w:position w:val="5"/>
          <w:sz w:val="10"/>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Australia 2019,</w:t>
      </w:r>
      <w:r w:rsidRPr="00FD40B8">
        <w:rPr>
          <w:color w:val="131727" w:themeColor="text1"/>
          <w:spacing w:val="22"/>
          <w:w w:val="105"/>
          <w:sz w:val="15"/>
        </w:rPr>
        <w:t xml:space="preserve"> </w:t>
      </w:r>
      <w:r w:rsidRPr="00FD40B8">
        <w:rPr>
          <w:color w:val="131727" w:themeColor="text1"/>
          <w:w w:val="105"/>
          <w:sz w:val="15"/>
        </w:rPr>
        <w:t>An</w:t>
      </w:r>
      <w:r w:rsidRPr="00FD40B8">
        <w:rPr>
          <w:color w:val="131727" w:themeColor="text1"/>
          <w:spacing w:val="18"/>
          <w:w w:val="105"/>
          <w:sz w:val="15"/>
        </w:rPr>
        <w:t xml:space="preserve"> </w:t>
      </w:r>
      <w:r w:rsidRPr="00FD40B8">
        <w:rPr>
          <w:color w:val="131727" w:themeColor="text1"/>
          <w:w w:val="105"/>
          <w:sz w:val="15"/>
        </w:rPr>
        <w:t>Assessment</w:t>
      </w:r>
      <w:r w:rsidRPr="00FD40B8">
        <w:rPr>
          <w:color w:val="131727" w:themeColor="text1"/>
          <w:spacing w:val="24"/>
          <w:w w:val="105"/>
          <w:sz w:val="15"/>
        </w:rPr>
        <w:t xml:space="preserve"> </w:t>
      </w:r>
      <w:r w:rsidRPr="00FD40B8">
        <w:rPr>
          <w:color w:val="131727" w:themeColor="text1"/>
          <w:w w:val="105"/>
          <w:sz w:val="15"/>
        </w:rPr>
        <w:t>of</w:t>
      </w:r>
      <w:r w:rsidRPr="00FD40B8">
        <w:rPr>
          <w:color w:val="131727" w:themeColor="text1"/>
          <w:spacing w:val="18"/>
          <w:w w:val="105"/>
          <w:sz w:val="15"/>
        </w:rPr>
        <w:t xml:space="preserve"> </w:t>
      </w:r>
      <w:r w:rsidRPr="00FD40B8">
        <w:rPr>
          <w:color w:val="131727" w:themeColor="text1"/>
          <w:w w:val="105"/>
          <w:sz w:val="15"/>
        </w:rPr>
        <w:t>Australia’s Future</w:t>
      </w:r>
      <w:r w:rsidRPr="00FD40B8">
        <w:rPr>
          <w:color w:val="131727" w:themeColor="text1"/>
          <w:spacing w:val="19"/>
          <w:w w:val="105"/>
          <w:sz w:val="15"/>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Needs:</w:t>
      </w:r>
      <w:r w:rsidRPr="00FD40B8">
        <w:rPr>
          <w:color w:val="131727" w:themeColor="text1"/>
          <w:spacing w:val="24"/>
          <w:w w:val="105"/>
          <w:sz w:val="15"/>
        </w:rPr>
        <w:t xml:space="preserve"> </w:t>
      </w:r>
      <w:r w:rsidRPr="00FD40B8">
        <w:rPr>
          <w:color w:val="131727" w:themeColor="text1"/>
          <w:w w:val="105"/>
          <w:sz w:val="15"/>
        </w:rPr>
        <w:t>The</w:t>
      </w:r>
      <w:r w:rsidRPr="00FD40B8">
        <w:rPr>
          <w:color w:val="131727" w:themeColor="text1"/>
          <w:spacing w:val="19"/>
          <w:w w:val="105"/>
          <w:sz w:val="15"/>
        </w:rPr>
        <w:t xml:space="preserve"> </w:t>
      </w:r>
      <w:r w:rsidRPr="00FD40B8">
        <w:rPr>
          <w:color w:val="131727" w:themeColor="text1"/>
          <w:w w:val="105"/>
          <w:sz w:val="15"/>
        </w:rPr>
        <w:t>Australian</w:t>
      </w:r>
      <w:r w:rsidRPr="00FD40B8">
        <w:rPr>
          <w:color w:val="131727" w:themeColor="text1"/>
          <w:spacing w:val="18"/>
          <w:w w:val="105"/>
          <w:sz w:val="15"/>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Audit</w:t>
      </w:r>
      <w:r w:rsidRPr="00FD40B8">
        <w:rPr>
          <w:color w:val="131727" w:themeColor="text1"/>
          <w:spacing w:val="28"/>
          <w:w w:val="105"/>
          <w:sz w:val="15"/>
        </w:rPr>
        <w:t xml:space="preserve"> </w:t>
      </w:r>
      <w:r w:rsidRPr="00FD40B8">
        <w:rPr>
          <w:color w:val="131727" w:themeColor="text1"/>
          <w:w w:val="105"/>
          <w:sz w:val="15"/>
        </w:rPr>
        <w:t>2019,</w:t>
      </w:r>
      <w:r w:rsidRPr="00FD40B8">
        <w:rPr>
          <w:color w:val="131727" w:themeColor="text1"/>
          <w:spacing w:val="22"/>
          <w:w w:val="105"/>
          <w:sz w:val="15"/>
        </w:rPr>
        <w:t xml:space="preserve"> </w:t>
      </w:r>
      <w:r w:rsidRPr="00FD40B8">
        <w:rPr>
          <w:color w:val="131727" w:themeColor="text1"/>
          <w:w w:val="105"/>
          <w:sz w:val="15"/>
        </w:rPr>
        <w:t>July</w:t>
      </w:r>
      <w:r w:rsidRPr="00FD40B8">
        <w:rPr>
          <w:color w:val="131727" w:themeColor="text1"/>
          <w:spacing w:val="40"/>
          <w:w w:val="105"/>
          <w:sz w:val="15"/>
        </w:rPr>
        <w:t xml:space="preserve"> </w:t>
      </w:r>
      <w:r w:rsidRPr="00FD40B8">
        <w:rPr>
          <w:color w:val="131727" w:themeColor="text1"/>
          <w:w w:val="105"/>
          <w:sz w:val="15"/>
        </w:rPr>
        <w:t>2019. Available at: https://</w:t>
      </w:r>
      <w:hyperlink r:id="rId110">
        <w:r w:rsidRPr="00FD40B8">
          <w:rPr>
            <w:color w:val="131727" w:themeColor="text1"/>
            <w:w w:val="105"/>
            <w:sz w:val="15"/>
          </w:rPr>
          <w:t>www.infrastructureaustralia.gov.au/sites/default/files/2020-09/2019_AIAudit_may2020_update.pdf,</w:t>
        </w:r>
      </w:hyperlink>
      <w:r w:rsidRPr="00FD40B8">
        <w:rPr>
          <w:color w:val="131727" w:themeColor="text1"/>
          <w:w w:val="105"/>
          <w:sz w:val="15"/>
        </w:rPr>
        <w:t xml:space="preserve"> p.6.</w:t>
      </w:r>
    </w:p>
    <w:p w14:paraId="2AF01817" w14:textId="77777777" w:rsidR="00811887" w:rsidRPr="00FD40B8" w:rsidRDefault="00811887" w:rsidP="00811887">
      <w:pPr>
        <w:spacing w:before="4" w:line="264" w:lineRule="auto"/>
        <w:ind w:left="508" w:right="823"/>
        <w:rPr>
          <w:color w:val="131727" w:themeColor="text1"/>
          <w:sz w:val="15"/>
        </w:rPr>
      </w:pPr>
      <w:bookmarkStart w:id="176" w:name="_bookmark65"/>
      <w:bookmarkEnd w:id="176"/>
      <w:r w:rsidRPr="00FD40B8">
        <w:rPr>
          <w:color w:val="131727" w:themeColor="text1"/>
          <w:w w:val="105"/>
          <w:position w:val="5"/>
          <w:sz w:val="10"/>
        </w:rPr>
        <w:t>56</w:t>
      </w:r>
      <w:r w:rsidRPr="00FD40B8">
        <w:rPr>
          <w:color w:val="131727" w:themeColor="text1"/>
          <w:spacing w:val="31"/>
          <w:w w:val="105"/>
          <w:position w:val="5"/>
          <w:sz w:val="10"/>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Australia 2019,</w:t>
      </w:r>
      <w:r w:rsidRPr="00FD40B8">
        <w:rPr>
          <w:color w:val="131727" w:themeColor="text1"/>
          <w:spacing w:val="22"/>
          <w:w w:val="105"/>
          <w:sz w:val="15"/>
        </w:rPr>
        <w:t xml:space="preserve"> </w:t>
      </w:r>
      <w:r w:rsidRPr="00FD40B8">
        <w:rPr>
          <w:color w:val="131727" w:themeColor="text1"/>
          <w:w w:val="105"/>
          <w:sz w:val="15"/>
        </w:rPr>
        <w:t>An</w:t>
      </w:r>
      <w:r w:rsidRPr="00FD40B8">
        <w:rPr>
          <w:color w:val="131727" w:themeColor="text1"/>
          <w:spacing w:val="18"/>
          <w:w w:val="105"/>
          <w:sz w:val="15"/>
        </w:rPr>
        <w:t xml:space="preserve"> </w:t>
      </w:r>
      <w:r w:rsidRPr="00FD40B8">
        <w:rPr>
          <w:color w:val="131727" w:themeColor="text1"/>
          <w:w w:val="105"/>
          <w:sz w:val="15"/>
        </w:rPr>
        <w:t>Assessment</w:t>
      </w:r>
      <w:r w:rsidRPr="00FD40B8">
        <w:rPr>
          <w:color w:val="131727" w:themeColor="text1"/>
          <w:spacing w:val="24"/>
          <w:w w:val="105"/>
          <w:sz w:val="15"/>
        </w:rPr>
        <w:t xml:space="preserve"> </w:t>
      </w:r>
      <w:r w:rsidRPr="00FD40B8">
        <w:rPr>
          <w:color w:val="131727" w:themeColor="text1"/>
          <w:w w:val="105"/>
          <w:sz w:val="15"/>
        </w:rPr>
        <w:t>of</w:t>
      </w:r>
      <w:r w:rsidRPr="00FD40B8">
        <w:rPr>
          <w:color w:val="131727" w:themeColor="text1"/>
          <w:spacing w:val="18"/>
          <w:w w:val="105"/>
          <w:sz w:val="15"/>
        </w:rPr>
        <w:t xml:space="preserve"> </w:t>
      </w:r>
      <w:r w:rsidRPr="00FD40B8">
        <w:rPr>
          <w:color w:val="131727" w:themeColor="text1"/>
          <w:w w:val="105"/>
          <w:sz w:val="15"/>
        </w:rPr>
        <w:t>Australia’s Future</w:t>
      </w:r>
      <w:r w:rsidRPr="00FD40B8">
        <w:rPr>
          <w:color w:val="131727" w:themeColor="text1"/>
          <w:spacing w:val="19"/>
          <w:w w:val="105"/>
          <w:sz w:val="15"/>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Needs:</w:t>
      </w:r>
      <w:r w:rsidRPr="00FD40B8">
        <w:rPr>
          <w:color w:val="131727" w:themeColor="text1"/>
          <w:spacing w:val="24"/>
          <w:w w:val="105"/>
          <w:sz w:val="15"/>
        </w:rPr>
        <w:t xml:space="preserve"> </w:t>
      </w:r>
      <w:r w:rsidRPr="00FD40B8">
        <w:rPr>
          <w:color w:val="131727" w:themeColor="text1"/>
          <w:w w:val="105"/>
          <w:sz w:val="15"/>
        </w:rPr>
        <w:t>The</w:t>
      </w:r>
      <w:r w:rsidRPr="00FD40B8">
        <w:rPr>
          <w:color w:val="131727" w:themeColor="text1"/>
          <w:spacing w:val="19"/>
          <w:w w:val="105"/>
          <w:sz w:val="15"/>
        </w:rPr>
        <w:t xml:space="preserve"> </w:t>
      </w:r>
      <w:r w:rsidRPr="00FD40B8">
        <w:rPr>
          <w:color w:val="131727" w:themeColor="text1"/>
          <w:w w:val="105"/>
          <w:sz w:val="15"/>
        </w:rPr>
        <w:t>Australian</w:t>
      </w:r>
      <w:r w:rsidRPr="00FD40B8">
        <w:rPr>
          <w:color w:val="131727" w:themeColor="text1"/>
          <w:spacing w:val="18"/>
          <w:w w:val="105"/>
          <w:sz w:val="15"/>
        </w:rPr>
        <w:t xml:space="preserve"> </w:t>
      </w:r>
      <w:r w:rsidRPr="00FD40B8">
        <w:rPr>
          <w:color w:val="131727" w:themeColor="text1"/>
          <w:w w:val="105"/>
          <w:sz w:val="15"/>
        </w:rPr>
        <w:t>Infrastructure</w:t>
      </w:r>
      <w:r w:rsidRPr="00FD40B8">
        <w:rPr>
          <w:color w:val="131727" w:themeColor="text1"/>
          <w:spacing w:val="19"/>
          <w:w w:val="105"/>
          <w:sz w:val="15"/>
        </w:rPr>
        <w:t xml:space="preserve"> </w:t>
      </w:r>
      <w:r w:rsidRPr="00FD40B8">
        <w:rPr>
          <w:color w:val="131727" w:themeColor="text1"/>
          <w:w w:val="105"/>
          <w:sz w:val="15"/>
        </w:rPr>
        <w:t>Audit</w:t>
      </w:r>
      <w:r w:rsidRPr="00FD40B8">
        <w:rPr>
          <w:color w:val="131727" w:themeColor="text1"/>
          <w:spacing w:val="28"/>
          <w:w w:val="105"/>
          <w:sz w:val="15"/>
        </w:rPr>
        <w:t xml:space="preserve"> </w:t>
      </w:r>
      <w:r w:rsidRPr="00FD40B8">
        <w:rPr>
          <w:color w:val="131727" w:themeColor="text1"/>
          <w:w w:val="105"/>
          <w:sz w:val="15"/>
        </w:rPr>
        <w:t>2019,</w:t>
      </w:r>
      <w:r w:rsidRPr="00FD40B8">
        <w:rPr>
          <w:color w:val="131727" w:themeColor="text1"/>
          <w:spacing w:val="22"/>
          <w:w w:val="105"/>
          <w:sz w:val="15"/>
        </w:rPr>
        <w:t xml:space="preserve"> </w:t>
      </w:r>
      <w:r w:rsidRPr="00FD40B8">
        <w:rPr>
          <w:color w:val="131727" w:themeColor="text1"/>
          <w:w w:val="105"/>
          <w:sz w:val="15"/>
        </w:rPr>
        <w:t>July</w:t>
      </w:r>
      <w:r w:rsidRPr="00FD40B8">
        <w:rPr>
          <w:color w:val="131727" w:themeColor="text1"/>
          <w:spacing w:val="40"/>
          <w:w w:val="105"/>
          <w:sz w:val="15"/>
        </w:rPr>
        <w:t xml:space="preserve"> </w:t>
      </w:r>
      <w:r w:rsidRPr="00FD40B8">
        <w:rPr>
          <w:color w:val="131727" w:themeColor="text1"/>
          <w:w w:val="105"/>
          <w:sz w:val="15"/>
        </w:rPr>
        <w:t>2019. Available at: https://</w:t>
      </w:r>
      <w:hyperlink r:id="rId111">
        <w:r w:rsidRPr="00FD40B8">
          <w:rPr>
            <w:color w:val="131727" w:themeColor="text1"/>
            <w:w w:val="105"/>
            <w:sz w:val="15"/>
          </w:rPr>
          <w:t>www.infrastructureaustralia.gov.au/sites/default/files/2020-09/2019_AIAudit_may2020_update.pdf,</w:t>
        </w:r>
      </w:hyperlink>
      <w:r w:rsidRPr="00FD40B8">
        <w:rPr>
          <w:color w:val="131727" w:themeColor="text1"/>
          <w:w w:val="105"/>
          <w:sz w:val="15"/>
        </w:rPr>
        <w:t xml:space="preserve"> p.73.</w:t>
      </w:r>
    </w:p>
    <w:p w14:paraId="57D903AB" w14:textId="77777777" w:rsidR="00811887" w:rsidRPr="00FD40B8" w:rsidRDefault="00811887" w:rsidP="00811887">
      <w:pPr>
        <w:spacing w:before="2" w:line="264" w:lineRule="auto"/>
        <w:ind w:left="508" w:right="665"/>
        <w:rPr>
          <w:color w:val="131727" w:themeColor="text1"/>
          <w:sz w:val="15"/>
        </w:rPr>
      </w:pPr>
      <w:bookmarkStart w:id="177" w:name="_bookmark66"/>
      <w:bookmarkEnd w:id="177"/>
      <w:r w:rsidRPr="00FD40B8">
        <w:rPr>
          <w:color w:val="131727" w:themeColor="text1"/>
          <w:w w:val="105"/>
          <w:position w:val="5"/>
          <w:sz w:val="10"/>
        </w:rPr>
        <w:t>57</w:t>
      </w:r>
      <w:r w:rsidRPr="00FD40B8">
        <w:rPr>
          <w:color w:val="131727" w:themeColor="text1"/>
          <w:spacing w:val="32"/>
          <w:w w:val="105"/>
          <w:position w:val="5"/>
          <w:sz w:val="10"/>
        </w:rPr>
        <w:t xml:space="preserve"> </w:t>
      </w:r>
      <w:r w:rsidRPr="00FD40B8">
        <w:rPr>
          <w:color w:val="131727" w:themeColor="text1"/>
          <w:w w:val="105"/>
          <w:sz w:val="15"/>
        </w:rPr>
        <w:t xml:space="preserve">Infrastructure Australia 2019, Infrastructure Priority List, Infrastructure Australia. Available via: </w:t>
      </w:r>
      <w:hyperlink r:id="rId112">
        <w:r w:rsidRPr="00FD40B8">
          <w:rPr>
            <w:color w:val="131727" w:themeColor="text1"/>
            <w:w w:val="105"/>
            <w:sz w:val="15"/>
          </w:rPr>
          <w:t>www.infrastructureaustralia.gov.au/policy-</w:t>
        </w:r>
      </w:hyperlink>
      <w:r w:rsidRPr="00FD40B8">
        <w:rPr>
          <w:color w:val="131727" w:themeColor="text1"/>
          <w:spacing w:val="40"/>
          <w:w w:val="105"/>
          <w:sz w:val="15"/>
        </w:rPr>
        <w:t xml:space="preserve"> </w:t>
      </w:r>
      <w:r w:rsidRPr="00FD40B8">
        <w:rPr>
          <w:color w:val="131727" w:themeColor="text1"/>
          <w:spacing w:val="-2"/>
          <w:w w:val="105"/>
          <w:sz w:val="15"/>
        </w:rPr>
        <w:t>publications/publications/files/IA18-4005_Priority_List_2019_ACC_L.pdf.</w:t>
      </w:r>
    </w:p>
    <w:p w14:paraId="3B6EA4BE" w14:textId="77777777" w:rsidR="00811887" w:rsidRPr="00FD40B8" w:rsidRDefault="00811887" w:rsidP="00811887">
      <w:pPr>
        <w:spacing w:before="3" w:line="271" w:lineRule="auto"/>
        <w:ind w:left="508" w:right="749"/>
        <w:rPr>
          <w:color w:val="131727" w:themeColor="text1"/>
          <w:sz w:val="15"/>
        </w:rPr>
      </w:pPr>
      <w:bookmarkStart w:id="178" w:name="_bookmark67"/>
      <w:bookmarkEnd w:id="178"/>
      <w:r w:rsidRPr="00FD40B8">
        <w:rPr>
          <w:color w:val="131727" w:themeColor="text1"/>
          <w:w w:val="105"/>
          <w:position w:val="5"/>
          <w:sz w:val="10"/>
        </w:rPr>
        <w:lastRenderedPageBreak/>
        <w:t>58</w:t>
      </w:r>
      <w:r w:rsidRPr="00FD40B8">
        <w:rPr>
          <w:color w:val="131727" w:themeColor="text1"/>
          <w:spacing w:val="37"/>
          <w:w w:val="105"/>
          <w:position w:val="5"/>
          <w:sz w:val="10"/>
        </w:rPr>
        <w:t xml:space="preserve">  </w:t>
      </w:r>
      <w:r w:rsidRPr="00FD40B8">
        <w:rPr>
          <w:color w:val="131727" w:themeColor="text1"/>
          <w:w w:val="105"/>
          <w:sz w:val="15"/>
        </w:rPr>
        <w:t>https://</w:t>
      </w:r>
      <w:hyperlink r:id="rId113">
        <w:r w:rsidRPr="00FD40B8">
          <w:rPr>
            <w:color w:val="131727" w:themeColor="text1"/>
            <w:w w:val="105"/>
            <w:sz w:val="15"/>
          </w:rPr>
          <w:t>www.anao.gov.au/work/performance-audit/implementation-the-national-partnership-agreement-remote-indigenous-housing-the-</w:t>
        </w:r>
      </w:hyperlink>
      <w:r w:rsidRPr="00FD40B8">
        <w:rPr>
          <w:color w:val="131727" w:themeColor="text1"/>
          <w:spacing w:val="80"/>
          <w:w w:val="150"/>
          <w:sz w:val="15"/>
        </w:rPr>
        <w:t xml:space="preserve"> </w:t>
      </w:r>
      <w:r w:rsidRPr="00FD40B8">
        <w:rPr>
          <w:color w:val="131727" w:themeColor="text1"/>
          <w:spacing w:val="-6"/>
          <w:w w:val="105"/>
          <w:sz w:val="15"/>
        </w:rPr>
        <w:t>nt</w:t>
      </w:r>
    </w:p>
    <w:p w14:paraId="1EB2DCE6" w14:textId="77777777" w:rsidR="00811887" w:rsidRPr="00FD40B8" w:rsidRDefault="00811887" w:rsidP="00811887">
      <w:pPr>
        <w:spacing w:line="271" w:lineRule="auto"/>
        <w:rPr>
          <w:color w:val="131727" w:themeColor="text1"/>
          <w:sz w:val="15"/>
        </w:rPr>
        <w:sectPr w:rsidR="00811887" w:rsidRPr="00FD40B8" w:rsidSect="00811887">
          <w:pgSz w:w="11910" w:h="16840"/>
          <w:pgMar w:top="1560" w:right="720" w:bottom="1080" w:left="740" w:header="0" w:footer="885" w:gutter="0"/>
          <w:cols w:space="720"/>
        </w:sectPr>
      </w:pPr>
    </w:p>
    <w:p w14:paraId="4ED12F28"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sz w:val="2"/>
        </w:rPr>
        <w:lastRenderedPageBreak/>
        <mc:AlternateContent>
          <mc:Choice Requires="wpg">
            <w:drawing>
              <wp:inline distT="0" distB="0" distL="0" distR="0" wp14:anchorId="695997AA" wp14:editId="2D1C4D3E">
                <wp:extent cx="6016625" cy="6350"/>
                <wp:effectExtent l="0" t="0" r="0" b="0"/>
                <wp:docPr id="171" name="Group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72" name="Graphic 172"/>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153A606E" id="Group 171"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">
                <v:shape id="Graphic 172"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" path="m6016117,l,,,6096r6016117,l6016117,xe" fillcolor="#4d665b" stroked="f">
                  <v:path arrowok="t"/>
                </v:shape>
                <w10:anchorlock/>
              </v:group>
            </w:pict>
          </mc:Fallback>
        </mc:AlternateContent>
      </w:r>
    </w:p>
    <w:p w14:paraId="4A0AF5EF" w14:textId="77777777" w:rsidR="00811887" w:rsidRPr="00FD40B8" w:rsidRDefault="00811887" w:rsidP="00811887">
      <w:pPr>
        <w:pStyle w:val="Heading1"/>
        <w:ind w:right="598"/>
        <w:rPr>
          <w:color w:val="131727" w:themeColor="text1"/>
        </w:rPr>
      </w:pPr>
      <w:bookmarkStart w:id="179" w:name="_bookmark68"/>
      <w:bookmarkEnd w:id="179"/>
      <w:r w:rsidRPr="00FD40B8">
        <w:rPr>
          <w:color w:val="131727" w:themeColor="text1"/>
        </w:rPr>
        <w:t>Current housing data collection adequacy</w:t>
      </w:r>
    </w:p>
    <w:p w14:paraId="2189BAF3" w14:textId="77777777" w:rsidR="00811887" w:rsidRPr="00FD40B8" w:rsidRDefault="00811887" w:rsidP="00811887">
      <w:pPr>
        <w:pStyle w:val="BodyText"/>
        <w:spacing w:before="91"/>
        <w:rPr>
          <w:rFonts w:ascii="Book Antiqua"/>
          <w:color w:val="131727" w:themeColor="text1"/>
        </w:rPr>
      </w:pPr>
      <w:r w:rsidRPr="00FD40B8">
        <w:rPr>
          <w:noProof/>
          <w:color w:val="131727" w:themeColor="text1"/>
        </w:rPr>
        <mc:AlternateContent>
          <mc:Choice Requires="wps">
            <w:drawing>
              <wp:anchor distT="0" distB="0" distL="0" distR="0" simplePos="0" relativeHeight="251750400" behindDoc="1" locked="0" layoutInCell="1" allowOverlap="1" wp14:anchorId="31CC205C" wp14:editId="7F024548">
                <wp:simplePos x="0" y="0"/>
                <wp:positionH relativeFrom="page">
                  <wp:posOffset>774496</wp:posOffset>
                </wp:positionH>
                <wp:positionV relativeFrom="paragraph">
                  <wp:posOffset>231047</wp:posOffset>
                </wp:positionV>
                <wp:extent cx="6016625" cy="6350"/>
                <wp:effectExtent l="0" t="0" r="0" b="0"/>
                <wp:wrapTopAndBottom/>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24C1FE55" id="Graphic 173" o:spid="_x0000_s1026" alt="&quot;&quot;" style="position:absolute;margin-left:61pt;margin-top:18.2pt;width:473.75pt;height:.5pt;z-index:-251566080;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" path="m6016117,l,,,6096r6016117,l6016117,xe" fillcolor="#4d665b" stroked="f">
                <v:path arrowok="t"/>
                <w10:wrap type="topAndBottom" anchorx="page"/>
              </v:shape>
            </w:pict>
          </mc:Fallback>
        </mc:AlternateContent>
      </w:r>
    </w:p>
    <w:p w14:paraId="3BD5D00C" w14:textId="77777777" w:rsidR="00811887" w:rsidRPr="00FD40B8" w:rsidRDefault="00811887" w:rsidP="00811887">
      <w:pPr>
        <w:pStyle w:val="BodyText"/>
        <w:spacing w:before="97"/>
        <w:rPr>
          <w:rFonts w:ascii="Book Antiqua"/>
          <w:color w:val="131727" w:themeColor="text1"/>
          <w:sz w:val="22"/>
        </w:rPr>
      </w:pPr>
    </w:p>
    <w:p w14:paraId="149B390C" w14:textId="77777777" w:rsidR="00811887" w:rsidRPr="00FD40B8" w:rsidRDefault="00811887" w:rsidP="00811887">
      <w:pPr>
        <w:spacing w:line="225" w:lineRule="auto"/>
        <w:ind w:left="508" w:right="598"/>
        <w:rPr>
          <w:rFonts w:ascii="Book Antiqua"/>
          <w:b/>
          <w:i/>
          <w:color w:val="131727" w:themeColor="text1"/>
        </w:rPr>
      </w:pPr>
      <w:r w:rsidRPr="00FD40B8">
        <w:rPr>
          <w:rFonts w:ascii="Book Antiqua"/>
          <w:b/>
          <w:i/>
          <w:color w:val="131727" w:themeColor="text1"/>
        </w:rPr>
        <w:t>This</w:t>
      </w:r>
      <w:r w:rsidRPr="00FD40B8">
        <w:rPr>
          <w:rFonts w:ascii="Book Antiqua"/>
          <w:b/>
          <w:i/>
          <w:color w:val="131727" w:themeColor="text1"/>
          <w:spacing w:val="-4"/>
        </w:rPr>
        <w:t xml:space="preserve"> </w:t>
      </w:r>
      <w:r w:rsidRPr="00FD40B8">
        <w:rPr>
          <w:rFonts w:ascii="Book Antiqua"/>
          <w:b/>
          <w:i/>
          <w:color w:val="131727" w:themeColor="text1"/>
        </w:rPr>
        <w:t>section provides</w:t>
      </w:r>
      <w:r w:rsidRPr="00FD40B8">
        <w:rPr>
          <w:rFonts w:ascii="Book Antiqua"/>
          <w:b/>
          <w:i/>
          <w:color w:val="131727" w:themeColor="text1"/>
          <w:spacing w:val="-4"/>
        </w:rPr>
        <w:t xml:space="preserve"> </w:t>
      </w:r>
      <w:r w:rsidRPr="00FD40B8">
        <w:rPr>
          <w:rFonts w:ascii="Book Antiqua"/>
          <w:b/>
          <w:i/>
          <w:color w:val="131727" w:themeColor="text1"/>
        </w:rPr>
        <w:t>an</w:t>
      </w:r>
      <w:r w:rsidRPr="00FD40B8">
        <w:rPr>
          <w:rFonts w:ascii="Book Antiqua"/>
          <w:b/>
          <w:i/>
          <w:color w:val="131727" w:themeColor="text1"/>
          <w:spacing w:val="-5"/>
        </w:rPr>
        <w:t xml:space="preserve"> </w:t>
      </w:r>
      <w:r w:rsidRPr="00FD40B8">
        <w:rPr>
          <w:rFonts w:ascii="Book Antiqua"/>
          <w:b/>
          <w:i/>
          <w:color w:val="131727" w:themeColor="text1"/>
        </w:rPr>
        <w:t>assessment</w:t>
      </w:r>
      <w:r w:rsidRPr="00FD40B8">
        <w:rPr>
          <w:rFonts w:ascii="Book Antiqua"/>
          <w:b/>
          <w:i/>
          <w:color w:val="131727" w:themeColor="text1"/>
          <w:spacing w:val="-2"/>
        </w:rPr>
        <w:t xml:space="preserve"> </w:t>
      </w:r>
      <w:r w:rsidRPr="00FD40B8">
        <w:rPr>
          <w:rFonts w:ascii="Book Antiqua"/>
          <w:b/>
          <w:i/>
          <w:color w:val="131727" w:themeColor="text1"/>
        </w:rPr>
        <w:t>of</w:t>
      </w:r>
      <w:r w:rsidRPr="00FD40B8">
        <w:rPr>
          <w:rFonts w:ascii="Book Antiqua"/>
          <w:b/>
          <w:i/>
          <w:color w:val="131727" w:themeColor="text1"/>
          <w:spacing w:val="-4"/>
        </w:rPr>
        <w:t xml:space="preserve"> </w:t>
      </w:r>
      <w:r w:rsidRPr="00FD40B8">
        <w:rPr>
          <w:rFonts w:ascii="Book Antiqua"/>
          <w:b/>
          <w:i/>
          <w:color w:val="131727" w:themeColor="text1"/>
        </w:rPr>
        <w:t>the</w:t>
      </w:r>
      <w:r w:rsidRPr="00FD40B8">
        <w:rPr>
          <w:rFonts w:ascii="Book Antiqua"/>
          <w:b/>
          <w:i/>
          <w:color w:val="131727" w:themeColor="text1"/>
          <w:spacing w:val="-8"/>
        </w:rPr>
        <w:t xml:space="preserve"> </w:t>
      </w:r>
      <w:r w:rsidRPr="00FD40B8">
        <w:rPr>
          <w:rFonts w:ascii="Book Antiqua"/>
          <w:b/>
          <w:i/>
          <w:color w:val="131727" w:themeColor="text1"/>
        </w:rPr>
        <w:t>adequacy of</w:t>
      </w:r>
      <w:r w:rsidRPr="00FD40B8">
        <w:rPr>
          <w:rFonts w:ascii="Book Antiqua"/>
          <w:b/>
          <w:i/>
          <w:color w:val="131727" w:themeColor="text1"/>
          <w:spacing w:val="-7"/>
        </w:rPr>
        <w:t xml:space="preserve"> </w:t>
      </w:r>
      <w:r w:rsidRPr="00FD40B8">
        <w:rPr>
          <w:rFonts w:ascii="Book Antiqua"/>
          <w:b/>
          <w:i/>
          <w:color w:val="131727" w:themeColor="text1"/>
        </w:rPr>
        <w:t>existing</w:t>
      </w:r>
      <w:r w:rsidRPr="00FD40B8">
        <w:rPr>
          <w:rFonts w:ascii="Book Antiqua"/>
          <w:b/>
          <w:i/>
          <w:color w:val="131727" w:themeColor="text1"/>
          <w:spacing w:val="-2"/>
        </w:rPr>
        <w:t xml:space="preserve"> </w:t>
      </w:r>
      <w:r w:rsidRPr="00FD40B8">
        <w:rPr>
          <w:rFonts w:ascii="Book Antiqua"/>
          <w:b/>
          <w:i/>
          <w:color w:val="131727" w:themeColor="text1"/>
        </w:rPr>
        <w:t>data and identifies</w:t>
      </w:r>
      <w:r w:rsidRPr="00FD40B8">
        <w:rPr>
          <w:rFonts w:ascii="Book Antiqua"/>
          <w:b/>
          <w:i/>
          <w:color w:val="131727" w:themeColor="text1"/>
          <w:spacing w:val="-3"/>
        </w:rPr>
        <w:t xml:space="preserve"> </w:t>
      </w:r>
      <w:r w:rsidRPr="00FD40B8">
        <w:rPr>
          <w:rFonts w:ascii="Book Antiqua"/>
          <w:b/>
          <w:i/>
          <w:color w:val="131727" w:themeColor="text1"/>
        </w:rPr>
        <w:t>gaps</w:t>
      </w:r>
      <w:r w:rsidRPr="00FD40B8">
        <w:rPr>
          <w:rFonts w:ascii="Book Antiqua"/>
          <w:b/>
          <w:i/>
          <w:color w:val="131727" w:themeColor="text1"/>
          <w:spacing w:val="-4"/>
        </w:rPr>
        <w:t xml:space="preserve"> </w:t>
      </w:r>
      <w:r w:rsidRPr="00FD40B8">
        <w:rPr>
          <w:rFonts w:ascii="Book Antiqua"/>
          <w:b/>
          <w:i/>
          <w:color w:val="131727" w:themeColor="text1"/>
        </w:rPr>
        <w:t>in current data collection and reforms and commitments to improve it.</w:t>
      </w:r>
    </w:p>
    <w:p w14:paraId="21E84F49" w14:textId="77777777" w:rsidR="00811887" w:rsidRPr="00FD40B8" w:rsidRDefault="00811887" w:rsidP="00811887">
      <w:pPr>
        <w:pStyle w:val="BodyText"/>
        <w:spacing w:before="13"/>
        <w:rPr>
          <w:rFonts w:ascii="Book Antiqua"/>
          <w:b/>
          <w:i/>
          <w:color w:val="131727" w:themeColor="text1"/>
          <w:sz w:val="22"/>
        </w:rPr>
      </w:pPr>
    </w:p>
    <w:p w14:paraId="683679C3" w14:textId="77777777" w:rsidR="00811887" w:rsidRPr="00FD40B8" w:rsidRDefault="00811887" w:rsidP="00811887">
      <w:pPr>
        <w:pStyle w:val="Heading9"/>
        <w:rPr>
          <w:color w:val="131727" w:themeColor="text1"/>
        </w:rPr>
      </w:pPr>
      <w:bookmarkStart w:id="180" w:name="_bookmark69"/>
      <w:bookmarkEnd w:id="180"/>
      <w:r w:rsidRPr="00FD40B8">
        <w:rPr>
          <w:color w:val="131727" w:themeColor="text1"/>
          <w:spacing w:val="13"/>
          <w:w w:val="85"/>
        </w:rPr>
        <w:t>TH</w:t>
      </w:r>
      <w:r w:rsidRPr="00FD40B8">
        <w:rPr>
          <w:color w:val="131727" w:themeColor="text1"/>
          <w:spacing w:val="-38"/>
          <w:w w:val="85"/>
        </w:rPr>
        <w:t xml:space="preserve"> </w:t>
      </w:r>
      <w:r w:rsidRPr="00FD40B8">
        <w:rPr>
          <w:color w:val="131727" w:themeColor="text1"/>
          <w:w w:val="85"/>
        </w:rPr>
        <w:t>E</w:t>
      </w:r>
      <w:r w:rsidRPr="00FD40B8">
        <w:rPr>
          <w:color w:val="131727" w:themeColor="text1"/>
          <w:spacing w:val="23"/>
        </w:rPr>
        <w:t xml:space="preserve"> </w:t>
      </w:r>
      <w:r w:rsidRPr="00FD40B8">
        <w:rPr>
          <w:color w:val="131727" w:themeColor="text1"/>
          <w:w w:val="85"/>
        </w:rPr>
        <w:t>C</w:t>
      </w:r>
      <w:r w:rsidRPr="00FD40B8">
        <w:rPr>
          <w:color w:val="131727" w:themeColor="text1"/>
          <w:spacing w:val="-38"/>
          <w:w w:val="85"/>
        </w:rPr>
        <w:t xml:space="preserve"> </w:t>
      </w:r>
      <w:r w:rsidRPr="00FD40B8">
        <w:rPr>
          <w:color w:val="131727" w:themeColor="text1"/>
          <w:spacing w:val="18"/>
          <w:w w:val="85"/>
        </w:rPr>
        <w:t>URR</w:t>
      </w:r>
      <w:r w:rsidRPr="00FD40B8">
        <w:rPr>
          <w:color w:val="131727" w:themeColor="text1"/>
          <w:spacing w:val="-35"/>
          <w:w w:val="85"/>
        </w:rPr>
        <w:t xml:space="preserve"> </w:t>
      </w:r>
      <w:r w:rsidRPr="00FD40B8">
        <w:rPr>
          <w:color w:val="131727" w:themeColor="text1"/>
          <w:spacing w:val="14"/>
          <w:w w:val="85"/>
        </w:rPr>
        <w:t>EN</w:t>
      </w:r>
      <w:r w:rsidRPr="00FD40B8">
        <w:rPr>
          <w:color w:val="131727" w:themeColor="text1"/>
          <w:spacing w:val="-36"/>
          <w:w w:val="85"/>
        </w:rPr>
        <w:t xml:space="preserve"> </w:t>
      </w:r>
      <w:r w:rsidRPr="00FD40B8">
        <w:rPr>
          <w:color w:val="131727" w:themeColor="text1"/>
          <w:w w:val="85"/>
        </w:rPr>
        <w:t>T</w:t>
      </w:r>
      <w:r w:rsidRPr="00FD40B8">
        <w:rPr>
          <w:color w:val="131727" w:themeColor="text1"/>
          <w:spacing w:val="34"/>
        </w:rPr>
        <w:t xml:space="preserve"> </w:t>
      </w:r>
      <w:r w:rsidRPr="00FD40B8">
        <w:rPr>
          <w:color w:val="131727" w:themeColor="text1"/>
          <w:w w:val="85"/>
        </w:rPr>
        <w:t>D</w:t>
      </w:r>
      <w:r w:rsidRPr="00FD40B8">
        <w:rPr>
          <w:color w:val="131727" w:themeColor="text1"/>
          <w:spacing w:val="-39"/>
          <w:w w:val="85"/>
        </w:rPr>
        <w:t xml:space="preserve"> </w:t>
      </w:r>
      <w:r w:rsidRPr="00FD40B8">
        <w:rPr>
          <w:color w:val="131727" w:themeColor="text1"/>
          <w:w w:val="85"/>
        </w:rPr>
        <w:t>A</w:t>
      </w:r>
      <w:r w:rsidRPr="00FD40B8">
        <w:rPr>
          <w:color w:val="131727" w:themeColor="text1"/>
          <w:spacing w:val="-35"/>
          <w:w w:val="85"/>
        </w:rPr>
        <w:t xml:space="preserve"> </w:t>
      </w:r>
      <w:r w:rsidRPr="00FD40B8">
        <w:rPr>
          <w:color w:val="131727" w:themeColor="text1"/>
          <w:spacing w:val="13"/>
          <w:w w:val="85"/>
        </w:rPr>
        <w:t>TA</w:t>
      </w:r>
      <w:r w:rsidRPr="00FD40B8">
        <w:rPr>
          <w:color w:val="131727" w:themeColor="text1"/>
          <w:spacing w:val="34"/>
        </w:rPr>
        <w:t xml:space="preserve"> </w:t>
      </w:r>
      <w:r w:rsidRPr="00FD40B8">
        <w:rPr>
          <w:color w:val="131727" w:themeColor="text1"/>
          <w:w w:val="85"/>
        </w:rPr>
        <w:t>L</w:t>
      </w:r>
      <w:r w:rsidRPr="00FD40B8">
        <w:rPr>
          <w:color w:val="131727" w:themeColor="text1"/>
          <w:spacing w:val="-36"/>
          <w:w w:val="85"/>
        </w:rPr>
        <w:t xml:space="preserve"> </w:t>
      </w:r>
      <w:r w:rsidRPr="00FD40B8">
        <w:rPr>
          <w:color w:val="131727" w:themeColor="text1"/>
          <w:spacing w:val="18"/>
          <w:w w:val="85"/>
        </w:rPr>
        <w:t>AND</w:t>
      </w:r>
      <w:r w:rsidRPr="00FD40B8">
        <w:rPr>
          <w:color w:val="131727" w:themeColor="text1"/>
          <w:spacing w:val="-39"/>
          <w:w w:val="85"/>
        </w:rPr>
        <w:t xml:space="preserve"> </w:t>
      </w:r>
      <w:r w:rsidRPr="00FD40B8">
        <w:rPr>
          <w:color w:val="131727" w:themeColor="text1"/>
          <w:w w:val="85"/>
        </w:rPr>
        <w:t>S</w:t>
      </w:r>
      <w:r w:rsidRPr="00FD40B8">
        <w:rPr>
          <w:color w:val="131727" w:themeColor="text1"/>
          <w:spacing w:val="-38"/>
          <w:w w:val="85"/>
        </w:rPr>
        <w:t xml:space="preserve"> </w:t>
      </w:r>
      <w:r w:rsidRPr="00FD40B8">
        <w:rPr>
          <w:color w:val="131727" w:themeColor="text1"/>
          <w:w w:val="85"/>
        </w:rPr>
        <w:t>C</w:t>
      </w:r>
      <w:r w:rsidRPr="00FD40B8">
        <w:rPr>
          <w:color w:val="131727" w:themeColor="text1"/>
          <w:spacing w:val="-38"/>
          <w:w w:val="85"/>
        </w:rPr>
        <w:t xml:space="preserve"> </w:t>
      </w:r>
      <w:r w:rsidRPr="00FD40B8">
        <w:rPr>
          <w:color w:val="131727" w:themeColor="text1"/>
          <w:spacing w:val="14"/>
          <w:w w:val="85"/>
        </w:rPr>
        <w:t>APE</w:t>
      </w:r>
    </w:p>
    <w:p w14:paraId="0CEA0A4E" w14:textId="77777777" w:rsidR="00811887" w:rsidRPr="00FD40B8" w:rsidRDefault="00811887" w:rsidP="00811887">
      <w:pPr>
        <w:pStyle w:val="BodyText"/>
        <w:spacing w:before="119" w:line="268" w:lineRule="auto"/>
        <w:ind w:left="508" w:right="598"/>
        <w:rPr>
          <w:color w:val="131727" w:themeColor="text1"/>
        </w:rPr>
      </w:pPr>
      <w:r w:rsidRPr="00FD40B8">
        <w:rPr>
          <w:color w:val="131727" w:themeColor="text1"/>
          <w:w w:val="110"/>
        </w:rPr>
        <w:t>Access to consolidated, comprehensive and systematic data on Aboriginal and Torres Strait Islander housing</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related</w:t>
      </w:r>
      <w:r w:rsidRPr="00FD40B8">
        <w:rPr>
          <w:color w:val="131727" w:themeColor="text1"/>
          <w:spacing w:val="-6"/>
          <w:w w:val="110"/>
        </w:rPr>
        <w:t xml:space="preserve"> </w:t>
      </w:r>
      <w:r w:rsidRPr="00FD40B8">
        <w:rPr>
          <w:color w:val="131727" w:themeColor="text1"/>
          <w:w w:val="110"/>
        </w:rPr>
        <w:t>infrastructure</w:t>
      </w:r>
      <w:r w:rsidRPr="00FD40B8">
        <w:rPr>
          <w:color w:val="131727" w:themeColor="text1"/>
          <w:spacing w:val="-2"/>
          <w:w w:val="110"/>
        </w:rPr>
        <w:t xml:space="preserve"> </w:t>
      </w:r>
      <w:r w:rsidRPr="00FD40B8">
        <w:rPr>
          <w:color w:val="131727" w:themeColor="text1"/>
          <w:w w:val="110"/>
        </w:rPr>
        <w:t>has</w:t>
      </w:r>
      <w:r w:rsidRPr="00FD40B8">
        <w:rPr>
          <w:color w:val="131727" w:themeColor="text1"/>
          <w:spacing w:val="-5"/>
          <w:w w:val="110"/>
        </w:rPr>
        <w:t xml:space="preserve"> </w:t>
      </w:r>
      <w:r w:rsidRPr="00FD40B8">
        <w:rPr>
          <w:color w:val="131727" w:themeColor="text1"/>
          <w:w w:val="110"/>
        </w:rPr>
        <w:t>significantly</w:t>
      </w:r>
      <w:r w:rsidRPr="00FD40B8">
        <w:rPr>
          <w:color w:val="131727" w:themeColor="text1"/>
          <w:spacing w:val="-4"/>
          <w:w w:val="110"/>
        </w:rPr>
        <w:t xml:space="preserve"> </w:t>
      </w:r>
      <w:r w:rsidRPr="00FD40B8">
        <w:rPr>
          <w:color w:val="131727" w:themeColor="text1"/>
          <w:w w:val="110"/>
        </w:rPr>
        <w:t>diminished</w:t>
      </w:r>
      <w:r w:rsidRPr="00FD40B8">
        <w:rPr>
          <w:color w:val="131727" w:themeColor="text1"/>
          <w:spacing w:val="-6"/>
          <w:w w:val="110"/>
        </w:rPr>
        <w:t xml:space="preserve"> </w:t>
      </w:r>
      <w:r w:rsidRPr="00FD40B8">
        <w:rPr>
          <w:color w:val="131727" w:themeColor="text1"/>
          <w:w w:val="110"/>
        </w:rPr>
        <w:t>over</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last</w:t>
      </w:r>
      <w:r w:rsidRPr="00FD40B8">
        <w:rPr>
          <w:color w:val="131727" w:themeColor="text1"/>
          <w:spacing w:val="-2"/>
          <w:w w:val="110"/>
        </w:rPr>
        <w:t xml:space="preserve"> </w:t>
      </w:r>
      <w:r w:rsidRPr="00FD40B8">
        <w:rPr>
          <w:color w:val="131727" w:themeColor="text1"/>
          <w:w w:val="110"/>
        </w:rPr>
        <w:t>15</w:t>
      </w:r>
      <w:r w:rsidRPr="00FD40B8">
        <w:rPr>
          <w:color w:val="131727" w:themeColor="text1"/>
          <w:spacing w:val="-6"/>
          <w:w w:val="110"/>
        </w:rPr>
        <w:t xml:space="preserve"> </w:t>
      </w:r>
      <w:r w:rsidRPr="00FD40B8">
        <w:rPr>
          <w:color w:val="131727" w:themeColor="text1"/>
          <w:w w:val="110"/>
        </w:rPr>
        <w:t>years and</w:t>
      </w:r>
      <w:r w:rsidRPr="00FD40B8">
        <w:rPr>
          <w:color w:val="131727" w:themeColor="text1"/>
          <w:spacing w:val="-2"/>
          <w:w w:val="110"/>
        </w:rPr>
        <w:t xml:space="preserve"> </w:t>
      </w:r>
      <w:r w:rsidRPr="00FD40B8">
        <w:rPr>
          <w:color w:val="131727" w:themeColor="text1"/>
          <w:w w:val="110"/>
        </w:rPr>
        <w:t>is</w:t>
      </w:r>
      <w:r w:rsidRPr="00FD40B8">
        <w:rPr>
          <w:color w:val="131727" w:themeColor="text1"/>
          <w:spacing w:val="-5"/>
          <w:w w:val="110"/>
        </w:rPr>
        <w:t xml:space="preserve"> </w:t>
      </w:r>
      <w:r w:rsidRPr="00FD40B8">
        <w:rPr>
          <w:color w:val="131727" w:themeColor="text1"/>
          <w:w w:val="110"/>
        </w:rPr>
        <w:t>now</w:t>
      </w:r>
      <w:r w:rsidRPr="00FD40B8">
        <w:rPr>
          <w:color w:val="131727" w:themeColor="text1"/>
          <w:spacing w:val="-8"/>
          <w:w w:val="110"/>
        </w:rPr>
        <w:t xml:space="preserve"> </w:t>
      </w:r>
      <w:r w:rsidRPr="00FD40B8">
        <w:rPr>
          <w:color w:val="131727" w:themeColor="text1"/>
          <w:w w:val="110"/>
        </w:rPr>
        <w:t>difficult to obtain, analyse and meaningfully use.</w:t>
      </w:r>
    </w:p>
    <w:p w14:paraId="099A0B5C" w14:textId="77777777" w:rsidR="00811887" w:rsidRPr="00FD40B8" w:rsidRDefault="00811887" w:rsidP="00811887">
      <w:pPr>
        <w:pStyle w:val="BodyText"/>
        <w:spacing w:before="112"/>
        <w:rPr>
          <w:color w:val="131727" w:themeColor="text1"/>
        </w:rPr>
      </w:pPr>
    </w:p>
    <w:p w14:paraId="75B284A9" w14:textId="77777777" w:rsidR="00811887" w:rsidRPr="00FD40B8" w:rsidRDefault="00811887" w:rsidP="00811887">
      <w:pPr>
        <w:pStyle w:val="BodyText"/>
        <w:ind w:left="508"/>
        <w:rPr>
          <w:color w:val="131727" w:themeColor="text1"/>
        </w:rPr>
      </w:pPr>
      <w:r w:rsidRPr="00FD40B8">
        <w:rPr>
          <w:color w:val="131727" w:themeColor="text1"/>
          <w:w w:val="110"/>
        </w:rPr>
        <w:t>Equity</w:t>
      </w:r>
      <w:r w:rsidRPr="00FD40B8">
        <w:rPr>
          <w:color w:val="131727" w:themeColor="text1"/>
          <w:spacing w:val="-2"/>
          <w:w w:val="110"/>
        </w:rPr>
        <w:t xml:space="preserve"> </w:t>
      </w:r>
      <w:r w:rsidRPr="00FD40B8">
        <w:rPr>
          <w:color w:val="131727" w:themeColor="text1"/>
          <w:w w:val="110"/>
        </w:rPr>
        <w:t>Economics’ summary</w:t>
      </w:r>
      <w:r w:rsidRPr="00FD40B8">
        <w:rPr>
          <w:color w:val="131727" w:themeColor="text1"/>
          <w:spacing w:val="-1"/>
          <w:w w:val="110"/>
        </w:rPr>
        <w:t xml:space="preserve"> </w:t>
      </w:r>
      <w:r w:rsidRPr="00FD40B8">
        <w:rPr>
          <w:color w:val="131727" w:themeColor="text1"/>
          <w:w w:val="110"/>
        </w:rPr>
        <w:t>assessment</w:t>
      </w:r>
      <w:r w:rsidRPr="00FD40B8">
        <w:rPr>
          <w:color w:val="131727" w:themeColor="text1"/>
          <w:spacing w:val="-5"/>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spacing w:val="-4"/>
          <w:w w:val="110"/>
        </w:rPr>
        <w:t>that:</w:t>
      </w:r>
    </w:p>
    <w:p w14:paraId="5C984918" w14:textId="77777777" w:rsidR="00811887" w:rsidRPr="00FD40B8" w:rsidRDefault="00811887" w:rsidP="00811887">
      <w:pPr>
        <w:pStyle w:val="BodyText"/>
        <w:spacing w:before="15"/>
        <w:rPr>
          <w:color w:val="131727" w:themeColor="text1"/>
        </w:rPr>
      </w:pPr>
    </w:p>
    <w:p w14:paraId="593907BE" w14:textId="77777777" w:rsidR="00811887" w:rsidRPr="00FD40B8" w:rsidRDefault="00811887" w:rsidP="00FB2FE9">
      <w:pPr>
        <w:pStyle w:val="ListParagraph"/>
        <w:widowControl w:val="0"/>
        <w:numPr>
          <w:ilvl w:val="0"/>
          <w:numId w:val="65"/>
        </w:numPr>
        <w:tabs>
          <w:tab w:val="left" w:pos="1228"/>
        </w:tabs>
        <w:autoSpaceDE w:val="0"/>
        <w:autoSpaceDN w:val="0"/>
        <w:spacing w:after="0"/>
        <w:ind w:hanging="360"/>
        <w:contextualSpacing w:val="0"/>
        <w:rPr>
          <w:color w:val="131727" w:themeColor="text1"/>
          <w:sz w:val="20"/>
        </w:rPr>
      </w:pPr>
      <w:r w:rsidRPr="00FD40B8">
        <w:rPr>
          <w:color w:val="131727" w:themeColor="text1"/>
          <w:w w:val="110"/>
          <w:sz w:val="20"/>
        </w:rPr>
        <w:t>data is fragmented</w:t>
      </w:r>
      <w:r w:rsidRPr="00FD40B8">
        <w:rPr>
          <w:color w:val="131727" w:themeColor="text1"/>
          <w:spacing w:val="2"/>
          <w:w w:val="110"/>
          <w:sz w:val="20"/>
        </w:rPr>
        <w:t xml:space="preserve"> </w:t>
      </w:r>
      <w:r w:rsidRPr="00FD40B8">
        <w:rPr>
          <w:color w:val="131727" w:themeColor="text1"/>
          <w:w w:val="110"/>
          <w:sz w:val="20"/>
        </w:rPr>
        <w:t>and</w:t>
      </w:r>
      <w:r w:rsidRPr="00FD40B8">
        <w:rPr>
          <w:color w:val="131727" w:themeColor="text1"/>
          <w:spacing w:val="-2"/>
          <w:w w:val="110"/>
          <w:sz w:val="20"/>
        </w:rPr>
        <w:t xml:space="preserve"> </w:t>
      </w:r>
      <w:r w:rsidRPr="00FD40B8">
        <w:rPr>
          <w:color w:val="131727" w:themeColor="text1"/>
          <w:w w:val="110"/>
          <w:sz w:val="20"/>
        </w:rPr>
        <w:t>spread</w:t>
      </w:r>
      <w:r w:rsidRPr="00FD40B8">
        <w:rPr>
          <w:color w:val="131727" w:themeColor="text1"/>
          <w:spacing w:val="3"/>
          <w:w w:val="110"/>
          <w:sz w:val="20"/>
        </w:rPr>
        <w:t xml:space="preserve"> </w:t>
      </w:r>
      <w:r w:rsidRPr="00FD40B8">
        <w:rPr>
          <w:color w:val="131727" w:themeColor="text1"/>
          <w:w w:val="110"/>
          <w:sz w:val="20"/>
        </w:rPr>
        <w:t>across</w:t>
      </w:r>
      <w:r w:rsidRPr="00FD40B8">
        <w:rPr>
          <w:color w:val="131727" w:themeColor="text1"/>
          <w:spacing w:val="4"/>
          <w:w w:val="110"/>
          <w:sz w:val="20"/>
        </w:rPr>
        <w:t xml:space="preserve"> </w:t>
      </w:r>
      <w:r w:rsidRPr="00FD40B8">
        <w:rPr>
          <w:color w:val="131727" w:themeColor="text1"/>
          <w:w w:val="110"/>
          <w:sz w:val="20"/>
        </w:rPr>
        <w:t>multiple</w:t>
      </w:r>
      <w:r w:rsidRPr="00FD40B8">
        <w:rPr>
          <w:color w:val="131727" w:themeColor="text1"/>
          <w:spacing w:val="3"/>
          <w:w w:val="110"/>
          <w:sz w:val="20"/>
        </w:rPr>
        <w:t xml:space="preserve"> </w:t>
      </w:r>
      <w:r w:rsidRPr="00FD40B8">
        <w:rPr>
          <w:color w:val="131727" w:themeColor="text1"/>
          <w:spacing w:val="-2"/>
          <w:w w:val="110"/>
          <w:sz w:val="20"/>
        </w:rPr>
        <w:t>collections</w:t>
      </w:r>
    </w:p>
    <w:p w14:paraId="7BEADEAF" w14:textId="77777777" w:rsidR="00811887" w:rsidRPr="00FD40B8" w:rsidRDefault="00811887" w:rsidP="00FB2FE9">
      <w:pPr>
        <w:pStyle w:val="ListParagraph"/>
        <w:widowControl w:val="0"/>
        <w:numPr>
          <w:ilvl w:val="0"/>
          <w:numId w:val="65"/>
        </w:numPr>
        <w:tabs>
          <w:tab w:val="left" w:pos="1228"/>
        </w:tabs>
        <w:autoSpaceDE w:val="0"/>
        <w:autoSpaceDN w:val="0"/>
        <w:spacing w:before="139" w:after="0" w:line="268" w:lineRule="auto"/>
        <w:ind w:right="899"/>
        <w:contextualSpacing w:val="0"/>
        <w:rPr>
          <w:color w:val="131727" w:themeColor="text1"/>
          <w:sz w:val="20"/>
        </w:rPr>
      </w:pPr>
      <w:r w:rsidRPr="00FD40B8">
        <w:rPr>
          <w:color w:val="131727" w:themeColor="text1"/>
          <w:w w:val="110"/>
          <w:sz w:val="20"/>
        </w:rPr>
        <w:t>responsibility</w:t>
      </w:r>
      <w:r w:rsidRPr="00FD40B8">
        <w:rPr>
          <w:color w:val="131727" w:themeColor="text1"/>
          <w:spacing w:val="-7"/>
          <w:w w:val="110"/>
          <w:sz w:val="20"/>
        </w:rPr>
        <w:t xml:space="preserve"> </w:t>
      </w:r>
      <w:r w:rsidRPr="00FD40B8">
        <w:rPr>
          <w:color w:val="131727" w:themeColor="text1"/>
          <w:w w:val="110"/>
          <w:sz w:val="20"/>
        </w:rPr>
        <w:t>for</w:t>
      </w:r>
      <w:r w:rsidRPr="00FD40B8">
        <w:rPr>
          <w:color w:val="131727" w:themeColor="text1"/>
          <w:spacing w:val="-7"/>
          <w:w w:val="110"/>
          <w:sz w:val="20"/>
        </w:rPr>
        <w:t xml:space="preserve"> </w:t>
      </w:r>
      <w:r w:rsidRPr="00FD40B8">
        <w:rPr>
          <w:color w:val="131727" w:themeColor="text1"/>
          <w:w w:val="110"/>
          <w:sz w:val="20"/>
        </w:rPr>
        <w:t>data</w:t>
      </w:r>
      <w:r w:rsidRPr="00FD40B8">
        <w:rPr>
          <w:color w:val="131727" w:themeColor="text1"/>
          <w:spacing w:val="-11"/>
          <w:w w:val="110"/>
          <w:sz w:val="20"/>
        </w:rPr>
        <w:t xml:space="preserve"> </w:t>
      </w:r>
      <w:r w:rsidRPr="00FD40B8">
        <w:rPr>
          <w:color w:val="131727" w:themeColor="text1"/>
          <w:w w:val="110"/>
          <w:sz w:val="20"/>
        </w:rPr>
        <w:t>collection,</w:t>
      </w:r>
      <w:r w:rsidRPr="00FD40B8">
        <w:rPr>
          <w:color w:val="131727" w:themeColor="text1"/>
          <w:spacing w:val="-10"/>
          <w:w w:val="110"/>
          <w:sz w:val="20"/>
        </w:rPr>
        <w:t xml:space="preserve"> </w:t>
      </w:r>
      <w:r w:rsidRPr="00FD40B8">
        <w:rPr>
          <w:color w:val="131727" w:themeColor="text1"/>
          <w:w w:val="110"/>
          <w:sz w:val="20"/>
        </w:rPr>
        <w:t>collation</w:t>
      </w:r>
      <w:r w:rsidRPr="00FD40B8">
        <w:rPr>
          <w:color w:val="131727" w:themeColor="text1"/>
          <w:spacing w:val="-5"/>
          <w:w w:val="110"/>
          <w:sz w:val="20"/>
        </w:rPr>
        <w:t xml:space="preserve"> </w:t>
      </w:r>
      <w:r w:rsidRPr="00FD40B8">
        <w:rPr>
          <w:color w:val="131727" w:themeColor="text1"/>
          <w:w w:val="110"/>
          <w:sz w:val="20"/>
        </w:rPr>
        <w:t>and</w:t>
      </w:r>
      <w:r w:rsidRPr="00FD40B8">
        <w:rPr>
          <w:color w:val="131727" w:themeColor="text1"/>
          <w:spacing w:val="-6"/>
          <w:w w:val="110"/>
          <w:sz w:val="20"/>
        </w:rPr>
        <w:t xml:space="preserve"> </w:t>
      </w:r>
      <w:r w:rsidRPr="00FD40B8">
        <w:rPr>
          <w:color w:val="131727" w:themeColor="text1"/>
          <w:w w:val="110"/>
          <w:sz w:val="20"/>
        </w:rPr>
        <w:t>analysis</w:t>
      </w:r>
      <w:r w:rsidRPr="00FD40B8">
        <w:rPr>
          <w:color w:val="131727" w:themeColor="text1"/>
          <w:spacing w:val="-12"/>
          <w:w w:val="110"/>
          <w:sz w:val="20"/>
        </w:rPr>
        <w:t xml:space="preserve"> </w:t>
      </w:r>
      <w:r w:rsidRPr="00FD40B8">
        <w:rPr>
          <w:color w:val="131727" w:themeColor="text1"/>
          <w:w w:val="110"/>
          <w:sz w:val="20"/>
        </w:rPr>
        <w:t>is</w:t>
      </w:r>
      <w:r w:rsidRPr="00FD40B8">
        <w:rPr>
          <w:color w:val="131727" w:themeColor="text1"/>
          <w:spacing w:val="-4"/>
          <w:w w:val="110"/>
          <w:sz w:val="20"/>
        </w:rPr>
        <w:t xml:space="preserve"> </w:t>
      </w:r>
      <w:r w:rsidRPr="00FD40B8">
        <w:rPr>
          <w:color w:val="131727" w:themeColor="text1"/>
          <w:w w:val="110"/>
          <w:sz w:val="20"/>
        </w:rPr>
        <w:t>also</w:t>
      </w:r>
      <w:r w:rsidRPr="00FD40B8">
        <w:rPr>
          <w:color w:val="131727" w:themeColor="text1"/>
          <w:spacing w:val="-8"/>
          <w:w w:val="110"/>
          <w:sz w:val="20"/>
        </w:rPr>
        <w:t xml:space="preserve"> </w:t>
      </w:r>
      <w:r w:rsidRPr="00FD40B8">
        <w:rPr>
          <w:color w:val="131727" w:themeColor="text1"/>
          <w:w w:val="110"/>
          <w:sz w:val="20"/>
        </w:rPr>
        <w:t>fragmented,</w:t>
      </w:r>
      <w:r w:rsidRPr="00FD40B8">
        <w:rPr>
          <w:color w:val="131727" w:themeColor="text1"/>
          <w:spacing w:val="-6"/>
          <w:w w:val="110"/>
          <w:sz w:val="20"/>
        </w:rPr>
        <w:t xml:space="preserve"> </w:t>
      </w:r>
      <w:r w:rsidRPr="00FD40B8">
        <w:rPr>
          <w:color w:val="131727" w:themeColor="text1"/>
          <w:w w:val="110"/>
          <w:sz w:val="20"/>
        </w:rPr>
        <w:t>not</w:t>
      </w:r>
      <w:r w:rsidRPr="00FD40B8">
        <w:rPr>
          <w:color w:val="131727" w:themeColor="text1"/>
          <w:spacing w:val="-6"/>
          <w:w w:val="110"/>
          <w:sz w:val="20"/>
        </w:rPr>
        <w:t xml:space="preserve"> </w:t>
      </w:r>
      <w:r w:rsidRPr="00FD40B8">
        <w:rPr>
          <w:color w:val="131727" w:themeColor="text1"/>
          <w:w w:val="110"/>
          <w:sz w:val="20"/>
        </w:rPr>
        <w:t>always</w:t>
      </w:r>
      <w:r w:rsidRPr="00FD40B8">
        <w:rPr>
          <w:color w:val="131727" w:themeColor="text1"/>
          <w:spacing w:val="-4"/>
          <w:w w:val="110"/>
          <w:sz w:val="20"/>
        </w:rPr>
        <w:t xml:space="preserve"> </w:t>
      </w:r>
      <w:r w:rsidRPr="00FD40B8">
        <w:rPr>
          <w:color w:val="131727" w:themeColor="text1"/>
          <w:w w:val="110"/>
          <w:sz w:val="20"/>
        </w:rPr>
        <w:t>clear</w:t>
      </w:r>
      <w:r w:rsidRPr="00FD40B8">
        <w:rPr>
          <w:color w:val="131727" w:themeColor="text1"/>
          <w:spacing w:val="-11"/>
          <w:w w:val="110"/>
          <w:sz w:val="20"/>
        </w:rPr>
        <w:t xml:space="preserve"> </w:t>
      </w:r>
      <w:r w:rsidRPr="00FD40B8">
        <w:rPr>
          <w:color w:val="131727" w:themeColor="text1"/>
          <w:w w:val="110"/>
          <w:sz w:val="20"/>
        </w:rPr>
        <w:t xml:space="preserve">or </w:t>
      </w:r>
      <w:r w:rsidRPr="00FD40B8">
        <w:rPr>
          <w:color w:val="131727" w:themeColor="text1"/>
          <w:spacing w:val="-2"/>
          <w:w w:val="110"/>
          <w:sz w:val="20"/>
        </w:rPr>
        <w:t>coordinated</w:t>
      </w:r>
    </w:p>
    <w:p w14:paraId="7C6DD788" w14:textId="77777777" w:rsidR="00811887" w:rsidRPr="00FD40B8" w:rsidRDefault="00811887" w:rsidP="00FB2FE9">
      <w:pPr>
        <w:pStyle w:val="ListParagraph"/>
        <w:widowControl w:val="0"/>
        <w:numPr>
          <w:ilvl w:val="0"/>
          <w:numId w:val="65"/>
        </w:numPr>
        <w:tabs>
          <w:tab w:val="left" w:pos="1228"/>
        </w:tabs>
        <w:autoSpaceDE w:val="0"/>
        <w:autoSpaceDN w:val="0"/>
        <w:spacing w:before="105" w:after="0"/>
        <w:ind w:hanging="360"/>
        <w:contextualSpacing w:val="0"/>
        <w:rPr>
          <w:color w:val="131727" w:themeColor="text1"/>
          <w:sz w:val="20"/>
        </w:rPr>
      </w:pPr>
      <w:r w:rsidRPr="00FD40B8">
        <w:rPr>
          <w:color w:val="131727" w:themeColor="text1"/>
          <w:w w:val="110"/>
          <w:sz w:val="20"/>
        </w:rPr>
        <w:t>there</w:t>
      </w:r>
      <w:r w:rsidRPr="00FD40B8">
        <w:rPr>
          <w:color w:val="131727" w:themeColor="text1"/>
          <w:spacing w:val="-3"/>
          <w:w w:val="110"/>
          <w:sz w:val="20"/>
        </w:rPr>
        <w:t xml:space="preserve"> </w:t>
      </w:r>
      <w:r w:rsidRPr="00FD40B8">
        <w:rPr>
          <w:color w:val="131727" w:themeColor="text1"/>
          <w:w w:val="110"/>
          <w:sz w:val="20"/>
        </w:rPr>
        <w:t>are</w:t>
      </w:r>
      <w:r w:rsidRPr="00FD40B8">
        <w:rPr>
          <w:color w:val="131727" w:themeColor="text1"/>
          <w:spacing w:val="-3"/>
          <w:w w:val="110"/>
          <w:sz w:val="20"/>
        </w:rPr>
        <w:t xml:space="preserve"> </w:t>
      </w:r>
      <w:r w:rsidRPr="00FD40B8">
        <w:rPr>
          <w:color w:val="131727" w:themeColor="text1"/>
          <w:w w:val="110"/>
          <w:sz w:val="20"/>
        </w:rPr>
        <w:t>significant</w:t>
      </w:r>
      <w:r w:rsidRPr="00FD40B8">
        <w:rPr>
          <w:color w:val="131727" w:themeColor="text1"/>
          <w:spacing w:val="-2"/>
          <w:w w:val="110"/>
          <w:sz w:val="20"/>
        </w:rPr>
        <w:t xml:space="preserve"> </w:t>
      </w:r>
      <w:r w:rsidRPr="00FD40B8">
        <w:rPr>
          <w:color w:val="131727" w:themeColor="text1"/>
          <w:w w:val="110"/>
          <w:sz w:val="20"/>
        </w:rPr>
        <w:t>gaps</w:t>
      </w:r>
      <w:r w:rsidRPr="00FD40B8">
        <w:rPr>
          <w:color w:val="131727" w:themeColor="text1"/>
          <w:spacing w:val="-6"/>
          <w:w w:val="110"/>
          <w:sz w:val="20"/>
        </w:rPr>
        <w:t xml:space="preserve"> </w:t>
      </w:r>
      <w:r w:rsidRPr="00FD40B8">
        <w:rPr>
          <w:color w:val="131727" w:themeColor="text1"/>
          <w:w w:val="110"/>
          <w:sz w:val="20"/>
        </w:rPr>
        <w:t>in</w:t>
      </w:r>
      <w:r w:rsidRPr="00FD40B8">
        <w:rPr>
          <w:color w:val="131727" w:themeColor="text1"/>
          <w:spacing w:val="-2"/>
          <w:w w:val="110"/>
          <w:sz w:val="20"/>
        </w:rPr>
        <w:t xml:space="preserve"> </w:t>
      </w: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data</w:t>
      </w:r>
      <w:r w:rsidRPr="00FD40B8">
        <w:rPr>
          <w:color w:val="131727" w:themeColor="text1"/>
          <w:spacing w:val="-8"/>
          <w:w w:val="110"/>
          <w:sz w:val="20"/>
        </w:rPr>
        <w:t xml:space="preserve"> </w:t>
      </w:r>
      <w:r w:rsidRPr="00FD40B8">
        <w:rPr>
          <w:color w:val="131727" w:themeColor="text1"/>
          <w:w w:val="110"/>
          <w:sz w:val="20"/>
        </w:rPr>
        <w:t>collected</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3"/>
          <w:w w:val="110"/>
          <w:sz w:val="20"/>
        </w:rPr>
        <w:t xml:space="preserve"> </w:t>
      </w:r>
      <w:r w:rsidRPr="00FD40B8">
        <w:rPr>
          <w:color w:val="131727" w:themeColor="text1"/>
          <w:w w:val="110"/>
          <w:sz w:val="20"/>
        </w:rPr>
        <w:t>/</w:t>
      </w:r>
      <w:r w:rsidRPr="00FD40B8">
        <w:rPr>
          <w:color w:val="131727" w:themeColor="text1"/>
          <w:spacing w:val="-8"/>
          <w:w w:val="110"/>
          <w:sz w:val="20"/>
        </w:rPr>
        <w:t xml:space="preserve"> </w:t>
      </w:r>
      <w:r w:rsidRPr="00FD40B8">
        <w:rPr>
          <w:color w:val="131727" w:themeColor="text1"/>
          <w:w w:val="110"/>
          <w:sz w:val="20"/>
        </w:rPr>
        <w:t>or</w:t>
      </w:r>
      <w:r w:rsidRPr="00FD40B8">
        <w:rPr>
          <w:color w:val="131727" w:themeColor="text1"/>
          <w:spacing w:val="-4"/>
          <w:w w:val="110"/>
          <w:sz w:val="20"/>
        </w:rPr>
        <w:t xml:space="preserve"> </w:t>
      </w: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frequency</w:t>
      </w:r>
      <w:r w:rsidRPr="00FD40B8">
        <w:rPr>
          <w:color w:val="131727" w:themeColor="text1"/>
          <w:spacing w:val="-3"/>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spacing w:val="-2"/>
          <w:w w:val="110"/>
          <w:sz w:val="20"/>
        </w:rPr>
        <w:t>collections</w:t>
      </w:r>
    </w:p>
    <w:p w14:paraId="1CF27545" w14:textId="77777777" w:rsidR="00811887" w:rsidRPr="00FD40B8" w:rsidRDefault="00811887" w:rsidP="00FB2FE9">
      <w:pPr>
        <w:pStyle w:val="ListParagraph"/>
        <w:widowControl w:val="0"/>
        <w:numPr>
          <w:ilvl w:val="0"/>
          <w:numId w:val="65"/>
        </w:numPr>
        <w:tabs>
          <w:tab w:val="left" w:pos="1228"/>
        </w:tabs>
        <w:autoSpaceDE w:val="0"/>
        <w:autoSpaceDN w:val="0"/>
        <w:spacing w:before="139" w:after="0"/>
        <w:ind w:hanging="360"/>
        <w:contextualSpacing w:val="0"/>
        <w:rPr>
          <w:color w:val="131727" w:themeColor="text1"/>
          <w:sz w:val="20"/>
        </w:rPr>
      </w:pP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more</w:t>
      </w:r>
      <w:r w:rsidRPr="00FD40B8">
        <w:rPr>
          <w:color w:val="131727" w:themeColor="text1"/>
          <w:spacing w:val="-2"/>
          <w:w w:val="110"/>
          <w:sz w:val="20"/>
        </w:rPr>
        <w:t xml:space="preserve"> </w:t>
      </w:r>
      <w:r w:rsidRPr="00FD40B8">
        <w:rPr>
          <w:color w:val="131727" w:themeColor="text1"/>
          <w:w w:val="110"/>
          <w:sz w:val="20"/>
        </w:rPr>
        <w:t>remote,</w:t>
      </w:r>
      <w:r w:rsidRPr="00FD40B8">
        <w:rPr>
          <w:color w:val="131727" w:themeColor="text1"/>
          <w:spacing w:val="-2"/>
          <w:w w:val="110"/>
          <w:sz w:val="20"/>
        </w:rPr>
        <w:t xml:space="preserve"> </w:t>
      </w:r>
      <w:r w:rsidRPr="00FD40B8">
        <w:rPr>
          <w:color w:val="131727" w:themeColor="text1"/>
          <w:w w:val="110"/>
          <w:sz w:val="20"/>
        </w:rPr>
        <w:t>the</w:t>
      </w:r>
      <w:r w:rsidRPr="00FD40B8">
        <w:rPr>
          <w:color w:val="131727" w:themeColor="text1"/>
          <w:spacing w:val="-6"/>
          <w:w w:val="110"/>
          <w:sz w:val="20"/>
        </w:rPr>
        <w:t xml:space="preserve"> </w:t>
      </w:r>
      <w:r w:rsidRPr="00FD40B8">
        <w:rPr>
          <w:color w:val="131727" w:themeColor="text1"/>
          <w:w w:val="110"/>
          <w:sz w:val="20"/>
        </w:rPr>
        <w:t>more</w:t>
      </w:r>
      <w:r w:rsidRPr="00FD40B8">
        <w:rPr>
          <w:color w:val="131727" w:themeColor="text1"/>
          <w:spacing w:val="-6"/>
          <w:w w:val="110"/>
          <w:sz w:val="20"/>
        </w:rPr>
        <w:t xml:space="preserve"> </w:t>
      </w:r>
      <w:r w:rsidRPr="00FD40B8">
        <w:rPr>
          <w:color w:val="131727" w:themeColor="text1"/>
          <w:w w:val="110"/>
          <w:sz w:val="20"/>
        </w:rPr>
        <w:t>patchy</w:t>
      </w:r>
      <w:r w:rsidRPr="00FD40B8">
        <w:rPr>
          <w:color w:val="131727" w:themeColor="text1"/>
          <w:spacing w:val="-4"/>
          <w:w w:val="110"/>
          <w:sz w:val="20"/>
        </w:rPr>
        <w:t xml:space="preserve"> </w:t>
      </w:r>
      <w:r w:rsidRPr="00FD40B8">
        <w:rPr>
          <w:color w:val="131727" w:themeColor="text1"/>
          <w:w w:val="110"/>
          <w:sz w:val="20"/>
        </w:rPr>
        <w:t>and</w:t>
      </w:r>
      <w:r w:rsidRPr="00FD40B8">
        <w:rPr>
          <w:color w:val="131727" w:themeColor="text1"/>
          <w:spacing w:val="-6"/>
          <w:w w:val="110"/>
          <w:sz w:val="20"/>
        </w:rPr>
        <w:t xml:space="preserve"> </w:t>
      </w:r>
      <w:r w:rsidRPr="00FD40B8">
        <w:rPr>
          <w:color w:val="131727" w:themeColor="text1"/>
          <w:w w:val="110"/>
          <w:sz w:val="20"/>
        </w:rPr>
        <w:t>less reliable</w:t>
      </w:r>
      <w:r w:rsidRPr="00FD40B8">
        <w:rPr>
          <w:color w:val="131727" w:themeColor="text1"/>
          <w:spacing w:val="-2"/>
          <w:w w:val="110"/>
          <w:sz w:val="20"/>
        </w:rPr>
        <w:t xml:space="preserve"> </w:t>
      </w:r>
      <w:r w:rsidRPr="00FD40B8">
        <w:rPr>
          <w:color w:val="131727" w:themeColor="text1"/>
          <w:w w:val="110"/>
          <w:sz w:val="20"/>
        </w:rPr>
        <w:t>the</w:t>
      </w:r>
      <w:r w:rsidRPr="00FD40B8">
        <w:rPr>
          <w:color w:val="131727" w:themeColor="text1"/>
          <w:spacing w:val="-1"/>
          <w:w w:val="110"/>
          <w:sz w:val="20"/>
        </w:rPr>
        <w:t xml:space="preserve"> </w:t>
      </w:r>
      <w:r w:rsidRPr="00FD40B8">
        <w:rPr>
          <w:color w:val="131727" w:themeColor="text1"/>
          <w:spacing w:val="-4"/>
          <w:w w:val="110"/>
          <w:sz w:val="20"/>
        </w:rPr>
        <w:t>data</w:t>
      </w:r>
    </w:p>
    <w:p w14:paraId="1C898B18" w14:textId="77777777" w:rsidR="00811887" w:rsidRPr="00FD40B8" w:rsidRDefault="00811887" w:rsidP="00FB2FE9">
      <w:pPr>
        <w:pStyle w:val="ListParagraph"/>
        <w:widowControl w:val="0"/>
        <w:numPr>
          <w:ilvl w:val="0"/>
          <w:numId w:val="65"/>
        </w:numPr>
        <w:tabs>
          <w:tab w:val="left" w:pos="1228"/>
        </w:tabs>
        <w:autoSpaceDE w:val="0"/>
        <w:autoSpaceDN w:val="0"/>
        <w:spacing w:before="139" w:after="0" w:line="268" w:lineRule="auto"/>
        <w:ind w:right="752"/>
        <w:contextualSpacing w:val="0"/>
        <w:rPr>
          <w:color w:val="131727" w:themeColor="text1"/>
          <w:sz w:val="20"/>
        </w:rPr>
      </w:pPr>
      <w:r w:rsidRPr="00FD40B8">
        <w:rPr>
          <w:color w:val="131727" w:themeColor="text1"/>
          <w:w w:val="110"/>
          <w:sz w:val="20"/>
        </w:rPr>
        <w:t>data</w:t>
      </w:r>
      <w:r w:rsidRPr="00FD40B8">
        <w:rPr>
          <w:color w:val="131727" w:themeColor="text1"/>
          <w:spacing w:val="-2"/>
          <w:w w:val="110"/>
          <w:sz w:val="20"/>
        </w:rPr>
        <w:t xml:space="preserve"> </w:t>
      </w:r>
      <w:r w:rsidRPr="00FD40B8">
        <w:rPr>
          <w:color w:val="131727" w:themeColor="text1"/>
          <w:w w:val="110"/>
          <w:sz w:val="20"/>
        </w:rPr>
        <w:t>is</w:t>
      </w:r>
      <w:r w:rsidRPr="00FD40B8">
        <w:rPr>
          <w:color w:val="131727" w:themeColor="text1"/>
          <w:spacing w:val="-3"/>
          <w:w w:val="110"/>
          <w:sz w:val="20"/>
        </w:rPr>
        <w:t xml:space="preserve"> </w:t>
      </w:r>
      <w:r w:rsidRPr="00FD40B8">
        <w:rPr>
          <w:color w:val="131727" w:themeColor="text1"/>
          <w:w w:val="110"/>
          <w:sz w:val="20"/>
        </w:rPr>
        <w:t>not readily</w:t>
      </w:r>
      <w:r w:rsidRPr="00FD40B8">
        <w:rPr>
          <w:color w:val="131727" w:themeColor="text1"/>
          <w:spacing w:val="-1"/>
          <w:w w:val="110"/>
          <w:sz w:val="20"/>
        </w:rPr>
        <w:t xml:space="preserve"> </w:t>
      </w:r>
      <w:r w:rsidRPr="00FD40B8">
        <w:rPr>
          <w:color w:val="131727" w:themeColor="text1"/>
          <w:w w:val="110"/>
          <w:sz w:val="20"/>
        </w:rPr>
        <w:t>available</w:t>
      </w:r>
      <w:r w:rsidRPr="00FD40B8">
        <w:rPr>
          <w:color w:val="131727" w:themeColor="text1"/>
          <w:spacing w:val="-5"/>
          <w:w w:val="110"/>
          <w:sz w:val="20"/>
        </w:rPr>
        <w:t xml:space="preserve"> </w:t>
      </w:r>
      <w:r w:rsidRPr="00FD40B8">
        <w:rPr>
          <w:color w:val="131727" w:themeColor="text1"/>
          <w:w w:val="110"/>
          <w:sz w:val="20"/>
        </w:rPr>
        <w:t>or</w:t>
      </w:r>
      <w:r w:rsidRPr="00FD40B8">
        <w:rPr>
          <w:color w:val="131727" w:themeColor="text1"/>
          <w:spacing w:val="-2"/>
          <w:w w:val="110"/>
          <w:sz w:val="20"/>
        </w:rPr>
        <w:t xml:space="preserve"> </w:t>
      </w:r>
      <w:r w:rsidRPr="00FD40B8">
        <w:rPr>
          <w:color w:val="131727" w:themeColor="text1"/>
          <w:w w:val="110"/>
          <w:sz w:val="20"/>
        </w:rPr>
        <w:t>accessible</w:t>
      </w:r>
      <w:r w:rsidRPr="00FD40B8">
        <w:rPr>
          <w:color w:val="131727" w:themeColor="text1"/>
          <w:spacing w:val="-1"/>
          <w:w w:val="110"/>
          <w:sz w:val="20"/>
        </w:rPr>
        <w:t xml:space="preserve"> </w:t>
      </w:r>
      <w:r w:rsidRPr="00FD40B8">
        <w:rPr>
          <w:color w:val="131727" w:themeColor="text1"/>
          <w:w w:val="110"/>
          <w:sz w:val="20"/>
        </w:rPr>
        <w:t>for</w:t>
      </w:r>
      <w:r w:rsidRPr="00FD40B8">
        <w:rPr>
          <w:color w:val="131727" w:themeColor="text1"/>
          <w:spacing w:val="-2"/>
          <w:w w:val="110"/>
          <w:sz w:val="20"/>
        </w:rPr>
        <w:t xml:space="preserve"> </w:t>
      </w:r>
      <w:r w:rsidRPr="00FD40B8">
        <w:rPr>
          <w:color w:val="131727" w:themeColor="text1"/>
          <w:w w:val="110"/>
          <w:sz w:val="20"/>
        </w:rPr>
        <w:t>Aboriginal</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1"/>
          <w:w w:val="110"/>
          <w:sz w:val="20"/>
        </w:rPr>
        <w:t xml:space="preserve"> </w:t>
      </w:r>
      <w:r w:rsidRPr="00FD40B8">
        <w:rPr>
          <w:color w:val="131727" w:themeColor="text1"/>
          <w:w w:val="110"/>
          <w:sz w:val="20"/>
        </w:rPr>
        <w:t>Torres Strait</w:t>
      </w:r>
      <w:r w:rsidRPr="00FD40B8">
        <w:rPr>
          <w:color w:val="131727" w:themeColor="text1"/>
          <w:spacing w:val="-5"/>
          <w:w w:val="110"/>
          <w:sz w:val="20"/>
        </w:rPr>
        <w:t xml:space="preserve"> </w:t>
      </w:r>
      <w:r w:rsidRPr="00FD40B8">
        <w:rPr>
          <w:color w:val="131727" w:themeColor="text1"/>
          <w:w w:val="110"/>
          <w:sz w:val="20"/>
        </w:rPr>
        <w:t>Islander</w:t>
      </w:r>
      <w:r w:rsidRPr="00FD40B8">
        <w:rPr>
          <w:color w:val="131727" w:themeColor="text1"/>
          <w:spacing w:val="-7"/>
          <w:w w:val="110"/>
          <w:sz w:val="20"/>
        </w:rPr>
        <w:t xml:space="preserve"> </w:t>
      </w:r>
      <w:r w:rsidRPr="00FD40B8">
        <w:rPr>
          <w:color w:val="131727" w:themeColor="text1"/>
          <w:w w:val="110"/>
          <w:sz w:val="20"/>
        </w:rPr>
        <w:t>organisations and communities to use, to plan for their futures and inform partnerships with governments</w:t>
      </w:r>
    </w:p>
    <w:p w14:paraId="63A9E5F1" w14:textId="77777777" w:rsidR="00811887" w:rsidRPr="00FD40B8" w:rsidRDefault="00811887" w:rsidP="00FB2FE9">
      <w:pPr>
        <w:pStyle w:val="ListParagraph"/>
        <w:widowControl w:val="0"/>
        <w:numPr>
          <w:ilvl w:val="0"/>
          <w:numId w:val="65"/>
        </w:numPr>
        <w:tabs>
          <w:tab w:val="left" w:pos="1228"/>
        </w:tabs>
        <w:autoSpaceDE w:val="0"/>
        <w:autoSpaceDN w:val="0"/>
        <w:spacing w:before="105" w:after="0" w:line="268" w:lineRule="auto"/>
        <w:ind w:right="540"/>
        <w:contextualSpacing w:val="0"/>
        <w:rPr>
          <w:color w:val="131727" w:themeColor="text1"/>
          <w:sz w:val="20"/>
        </w:rPr>
      </w:pPr>
      <w:r w:rsidRPr="00FD40B8">
        <w:rPr>
          <w:color w:val="131727" w:themeColor="text1"/>
          <w:w w:val="110"/>
          <w:sz w:val="20"/>
        </w:rPr>
        <w:t>reporting</w:t>
      </w:r>
      <w:r w:rsidRPr="00FD40B8">
        <w:rPr>
          <w:color w:val="131727" w:themeColor="text1"/>
          <w:spacing w:val="-5"/>
          <w:w w:val="110"/>
          <w:sz w:val="20"/>
        </w:rPr>
        <w:t xml:space="preserve"> </w:t>
      </w:r>
      <w:r w:rsidRPr="00FD40B8">
        <w:rPr>
          <w:color w:val="131727" w:themeColor="text1"/>
          <w:w w:val="110"/>
          <w:sz w:val="20"/>
        </w:rPr>
        <w:t>on</w:t>
      </w:r>
      <w:r w:rsidRPr="00FD40B8">
        <w:rPr>
          <w:color w:val="131727" w:themeColor="text1"/>
          <w:spacing w:val="-4"/>
          <w:w w:val="110"/>
          <w:sz w:val="20"/>
        </w:rPr>
        <w:t xml:space="preserve"> </w:t>
      </w:r>
      <w:r w:rsidRPr="00FD40B8">
        <w:rPr>
          <w:color w:val="131727" w:themeColor="text1"/>
          <w:w w:val="110"/>
          <w:sz w:val="20"/>
        </w:rPr>
        <w:t>housing</w:t>
      </w:r>
      <w:r w:rsidRPr="00FD40B8">
        <w:rPr>
          <w:color w:val="131727" w:themeColor="text1"/>
          <w:spacing w:val="-5"/>
          <w:w w:val="110"/>
          <w:sz w:val="20"/>
        </w:rPr>
        <w:t xml:space="preserve"> </w:t>
      </w:r>
      <w:r w:rsidRPr="00FD40B8">
        <w:rPr>
          <w:color w:val="131727" w:themeColor="text1"/>
          <w:w w:val="110"/>
          <w:sz w:val="20"/>
        </w:rPr>
        <w:t>investment expenditure is</w:t>
      </w:r>
      <w:r w:rsidRPr="00FD40B8">
        <w:rPr>
          <w:color w:val="131727" w:themeColor="text1"/>
          <w:spacing w:val="-3"/>
          <w:w w:val="110"/>
          <w:sz w:val="20"/>
        </w:rPr>
        <w:t xml:space="preserve"> </w:t>
      </w:r>
      <w:r w:rsidRPr="00FD40B8">
        <w:rPr>
          <w:color w:val="131727" w:themeColor="text1"/>
          <w:w w:val="110"/>
          <w:sz w:val="20"/>
        </w:rPr>
        <w:t>not</w:t>
      </w:r>
      <w:r w:rsidRPr="00FD40B8">
        <w:rPr>
          <w:color w:val="131727" w:themeColor="text1"/>
          <w:spacing w:val="-5"/>
          <w:w w:val="110"/>
          <w:sz w:val="20"/>
        </w:rPr>
        <w:t xml:space="preserve"> </w:t>
      </w:r>
      <w:r w:rsidRPr="00FD40B8">
        <w:rPr>
          <w:color w:val="131727" w:themeColor="text1"/>
          <w:w w:val="110"/>
          <w:sz w:val="20"/>
        </w:rPr>
        <w:t>maximised</w:t>
      </w:r>
      <w:r w:rsidRPr="00FD40B8">
        <w:rPr>
          <w:color w:val="131727" w:themeColor="text1"/>
          <w:spacing w:val="-5"/>
          <w:w w:val="110"/>
          <w:sz w:val="20"/>
        </w:rPr>
        <w:t xml:space="preserve"> </w:t>
      </w:r>
      <w:r w:rsidRPr="00FD40B8">
        <w:rPr>
          <w:color w:val="131727" w:themeColor="text1"/>
          <w:w w:val="110"/>
          <w:sz w:val="20"/>
        </w:rPr>
        <w:t>to</w:t>
      </w:r>
      <w:r w:rsidRPr="00FD40B8">
        <w:rPr>
          <w:color w:val="131727" w:themeColor="text1"/>
          <w:spacing w:val="-3"/>
          <w:w w:val="110"/>
          <w:sz w:val="20"/>
        </w:rPr>
        <w:t xml:space="preserve"> </w:t>
      </w:r>
      <w:r w:rsidRPr="00FD40B8">
        <w:rPr>
          <w:color w:val="131727" w:themeColor="text1"/>
          <w:w w:val="110"/>
          <w:sz w:val="20"/>
        </w:rPr>
        <w:t>show</w:t>
      </w:r>
      <w:r w:rsidRPr="00FD40B8">
        <w:rPr>
          <w:color w:val="131727" w:themeColor="text1"/>
          <w:spacing w:val="-2"/>
          <w:w w:val="110"/>
          <w:sz w:val="20"/>
        </w:rPr>
        <w:t xml:space="preserve"> </w:t>
      </w:r>
      <w:r w:rsidRPr="00FD40B8">
        <w:rPr>
          <w:color w:val="131727" w:themeColor="text1"/>
          <w:w w:val="110"/>
          <w:sz w:val="20"/>
        </w:rPr>
        <w:t xml:space="preserve">benefit to Aboriginal and Torres Strait Islander people, ensure government accountability and inform future investment </w:t>
      </w:r>
      <w:r w:rsidRPr="00FD40B8">
        <w:rPr>
          <w:color w:val="131727" w:themeColor="text1"/>
          <w:spacing w:val="-2"/>
          <w:w w:val="110"/>
          <w:sz w:val="20"/>
        </w:rPr>
        <w:t>needs</w:t>
      </w:r>
    </w:p>
    <w:p w14:paraId="07E740AC" w14:textId="77777777" w:rsidR="00811887" w:rsidRPr="00FD40B8" w:rsidRDefault="00811887" w:rsidP="00FB2FE9">
      <w:pPr>
        <w:pStyle w:val="ListParagraph"/>
        <w:widowControl w:val="0"/>
        <w:numPr>
          <w:ilvl w:val="0"/>
          <w:numId w:val="65"/>
        </w:numPr>
        <w:tabs>
          <w:tab w:val="left" w:pos="1228"/>
        </w:tabs>
        <w:autoSpaceDE w:val="0"/>
        <w:autoSpaceDN w:val="0"/>
        <w:spacing w:before="105" w:after="0" w:line="268" w:lineRule="auto"/>
        <w:ind w:right="822"/>
        <w:contextualSpacing w:val="0"/>
        <w:rPr>
          <w:color w:val="131727" w:themeColor="text1"/>
          <w:sz w:val="20"/>
        </w:rPr>
      </w:pPr>
      <w:r w:rsidRPr="00FD40B8">
        <w:rPr>
          <w:color w:val="131727" w:themeColor="text1"/>
          <w:w w:val="110"/>
          <w:sz w:val="20"/>
        </w:rPr>
        <w:t>multiple</w:t>
      </w:r>
      <w:r w:rsidRPr="00FD40B8">
        <w:rPr>
          <w:color w:val="131727" w:themeColor="text1"/>
          <w:spacing w:val="-6"/>
          <w:w w:val="110"/>
          <w:sz w:val="20"/>
        </w:rPr>
        <w:t xml:space="preserve"> </w:t>
      </w:r>
      <w:r w:rsidRPr="00FD40B8">
        <w:rPr>
          <w:color w:val="131727" w:themeColor="text1"/>
          <w:w w:val="110"/>
          <w:sz w:val="20"/>
        </w:rPr>
        <w:t>commitments</w:t>
      </w:r>
      <w:r w:rsidRPr="00FD40B8">
        <w:rPr>
          <w:color w:val="131727" w:themeColor="text1"/>
          <w:spacing w:val="-5"/>
          <w:w w:val="110"/>
          <w:sz w:val="20"/>
        </w:rPr>
        <w:t xml:space="preserve"> </w:t>
      </w:r>
      <w:r w:rsidRPr="00FD40B8">
        <w:rPr>
          <w:color w:val="131727" w:themeColor="text1"/>
          <w:w w:val="110"/>
          <w:sz w:val="20"/>
        </w:rPr>
        <w:t>to</w:t>
      </w:r>
      <w:r w:rsidRPr="00FD40B8">
        <w:rPr>
          <w:color w:val="131727" w:themeColor="text1"/>
          <w:spacing w:val="-8"/>
          <w:w w:val="110"/>
          <w:sz w:val="20"/>
        </w:rPr>
        <w:t xml:space="preserve"> </w:t>
      </w:r>
      <w:r w:rsidRPr="00FD40B8">
        <w:rPr>
          <w:color w:val="131727" w:themeColor="text1"/>
          <w:w w:val="110"/>
          <w:sz w:val="20"/>
        </w:rPr>
        <w:t>improve</w:t>
      </w:r>
      <w:r w:rsidRPr="00FD40B8">
        <w:rPr>
          <w:color w:val="131727" w:themeColor="text1"/>
          <w:spacing w:val="-6"/>
          <w:w w:val="110"/>
          <w:sz w:val="20"/>
        </w:rPr>
        <w:t xml:space="preserve"> </w:t>
      </w:r>
      <w:r w:rsidRPr="00FD40B8">
        <w:rPr>
          <w:color w:val="131727" w:themeColor="text1"/>
          <w:w w:val="110"/>
          <w:sz w:val="20"/>
        </w:rPr>
        <w:t>data</w:t>
      </w:r>
      <w:r w:rsidRPr="00FD40B8">
        <w:rPr>
          <w:color w:val="131727" w:themeColor="text1"/>
          <w:spacing w:val="-8"/>
          <w:w w:val="110"/>
          <w:sz w:val="20"/>
        </w:rPr>
        <w:t xml:space="preserve"> </w:t>
      </w:r>
      <w:r w:rsidRPr="00FD40B8">
        <w:rPr>
          <w:color w:val="131727" w:themeColor="text1"/>
          <w:w w:val="110"/>
          <w:sz w:val="20"/>
        </w:rPr>
        <w:t>quality</w:t>
      </w:r>
      <w:r w:rsidRPr="00FD40B8">
        <w:rPr>
          <w:color w:val="131727" w:themeColor="text1"/>
          <w:spacing w:val="-8"/>
          <w:w w:val="110"/>
          <w:sz w:val="20"/>
        </w:rPr>
        <w:t xml:space="preserve"> </w:t>
      </w:r>
      <w:r w:rsidRPr="00FD40B8">
        <w:rPr>
          <w:color w:val="131727" w:themeColor="text1"/>
          <w:w w:val="110"/>
          <w:sz w:val="20"/>
        </w:rPr>
        <w:t>and</w:t>
      </w:r>
      <w:r w:rsidRPr="00FD40B8">
        <w:rPr>
          <w:color w:val="131727" w:themeColor="text1"/>
          <w:spacing w:val="-10"/>
          <w:w w:val="110"/>
          <w:sz w:val="20"/>
        </w:rPr>
        <w:t xml:space="preserve"> </w:t>
      </w:r>
      <w:r w:rsidRPr="00FD40B8">
        <w:rPr>
          <w:color w:val="131727" w:themeColor="text1"/>
          <w:w w:val="110"/>
          <w:sz w:val="20"/>
        </w:rPr>
        <w:t>accessibility</w:t>
      </w:r>
      <w:r w:rsidRPr="00FD40B8">
        <w:rPr>
          <w:color w:val="131727" w:themeColor="text1"/>
          <w:spacing w:val="-8"/>
          <w:w w:val="110"/>
          <w:sz w:val="20"/>
        </w:rPr>
        <w:t xml:space="preserve"> </w:t>
      </w:r>
      <w:r w:rsidRPr="00FD40B8">
        <w:rPr>
          <w:color w:val="131727" w:themeColor="text1"/>
          <w:w w:val="110"/>
          <w:sz w:val="20"/>
        </w:rPr>
        <w:t>have</w:t>
      </w:r>
      <w:r w:rsidRPr="00FD40B8">
        <w:rPr>
          <w:color w:val="131727" w:themeColor="text1"/>
          <w:spacing w:val="-10"/>
          <w:w w:val="110"/>
          <w:sz w:val="20"/>
        </w:rPr>
        <w:t xml:space="preserve"> </w:t>
      </w:r>
      <w:r w:rsidRPr="00FD40B8">
        <w:rPr>
          <w:color w:val="131727" w:themeColor="text1"/>
          <w:w w:val="110"/>
          <w:sz w:val="20"/>
        </w:rPr>
        <w:t>not</w:t>
      </w:r>
      <w:r w:rsidRPr="00FD40B8">
        <w:rPr>
          <w:color w:val="131727" w:themeColor="text1"/>
          <w:spacing w:val="-6"/>
          <w:w w:val="110"/>
          <w:sz w:val="20"/>
        </w:rPr>
        <w:t xml:space="preserve"> </w:t>
      </w:r>
      <w:r w:rsidRPr="00FD40B8">
        <w:rPr>
          <w:color w:val="131727" w:themeColor="text1"/>
          <w:w w:val="110"/>
          <w:sz w:val="20"/>
        </w:rPr>
        <w:t>led,</w:t>
      </w:r>
      <w:r w:rsidRPr="00FD40B8">
        <w:rPr>
          <w:color w:val="131727" w:themeColor="text1"/>
          <w:spacing w:val="-6"/>
          <w:w w:val="110"/>
          <w:sz w:val="20"/>
        </w:rPr>
        <w:t xml:space="preserve"> </w:t>
      </w:r>
      <w:r w:rsidRPr="00FD40B8">
        <w:rPr>
          <w:color w:val="131727" w:themeColor="text1"/>
          <w:w w:val="110"/>
          <w:sz w:val="20"/>
        </w:rPr>
        <w:t>or</w:t>
      </w:r>
      <w:r w:rsidRPr="00FD40B8">
        <w:rPr>
          <w:color w:val="131727" w:themeColor="text1"/>
          <w:spacing w:val="-8"/>
          <w:w w:val="110"/>
          <w:sz w:val="20"/>
        </w:rPr>
        <w:t xml:space="preserve"> </w:t>
      </w:r>
      <w:r w:rsidRPr="00FD40B8">
        <w:rPr>
          <w:color w:val="131727" w:themeColor="text1"/>
          <w:w w:val="110"/>
          <w:sz w:val="20"/>
        </w:rPr>
        <w:t>are</w:t>
      </w:r>
      <w:r w:rsidRPr="00FD40B8">
        <w:rPr>
          <w:color w:val="131727" w:themeColor="text1"/>
          <w:spacing w:val="-10"/>
          <w:w w:val="110"/>
          <w:sz w:val="20"/>
        </w:rPr>
        <w:t xml:space="preserve"> </w:t>
      </w:r>
      <w:r w:rsidRPr="00FD40B8">
        <w:rPr>
          <w:color w:val="131727" w:themeColor="text1"/>
          <w:w w:val="110"/>
          <w:sz w:val="20"/>
        </w:rPr>
        <w:t>unlikely</w:t>
      </w:r>
      <w:r w:rsidRPr="00FD40B8">
        <w:rPr>
          <w:color w:val="131727" w:themeColor="text1"/>
          <w:spacing w:val="-8"/>
          <w:w w:val="110"/>
          <w:sz w:val="20"/>
        </w:rPr>
        <w:t xml:space="preserve"> </w:t>
      </w:r>
      <w:r w:rsidRPr="00FD40B8">
        <w:rPr>
          <w:color w:val="131727" w:themeColor="text1"/>
          <w:w w:val="110"/>
          <w:sz w:val="20"/>
        </w:rPr>
        <w:t>to lead, to the improvements needed.</w:t>
      </w:r>
    </w:p>
    <w:p w14:paraId="4DA8AC19" w14:textId="77777777" w:rsidR="00811887" w:rsidRPr="00FD40B8" w:rsidRDefault="00811887" w:rsidP="00811887">
      <w:pPr>
        <w:pStyle w:val="BodyText"/>
        <w:spacing w:before="121" w:line="288" w:lineRule="auto"/>
        <w:ind w:left="508" w:right="598"/>
        <w:rPr>
          <w:color w:val="131727" w:themeColor="text1"/>
        </w:rPr>
      </w:pPr>
      <w:r w:rsidRPr="00FD40B8">
        <w:rPr>
          <w:color w:val="131727" w:themeColor="text1"/>
          <w:w w:val="110"/>
        </w:rPr>
        <w:t>Equity Economics’ assessment</w:t>
      </w:r>
      <w:r w:rsidRPr="00FD40B8">
        <w:rPr>
          <w:color w:val="131727" w:themeColor="text1"/>
          <w:spacing w:val="-3"/>
          <w:w w:val="110"/>
        </w:rPr>
        <w:t xml:space="preserve"> </w:t>
      </w:r>
      <w:r w:rsidRPr="00FD40B8">
        <w:rPr>
          <w:color w:val="131727" w:themeColor="text1"/>
          <w:w w:val="110"/>
        </w:rPr>
        <w:t>is consistent</w:t>
      </w:r>
      <w:r w:rsidRPr="00FD40B8">
        <w:rPr>
          <w:color w:val="131727" w:themeColor="text1"/>
          <w:spacing w:val="-3"/>
          <w:w w:val="110"/>
        </w:rPr>
        <w:t xml:space="preserve"> </w:t>
      </w:r>
      <w:r w:rsidRPr="00FD40B8">
        <w:rPr>
          <w:color w:val="131727" w:themeColor="text1"/>
          <w:w w:val="110"/>
        </w:rPr>
        <w:t>with</w:t>
      </w:r>
      <w:r w:rsidRPr="00FD40B8">
        <w:rPr>
          <w:color w:val="131727" w:themeColor="text1"/>
          <w:spacing w:val="-2"/>
          <w:w w:val="110"/>
        </w:rPr>
        <w:t xml:space="preserve"> </w:t>
      </w:r>
      <w:r w:rsidRPr="00FD40B8">
        <w:rPr>
          <w:color w:val="131727" w:themeColor="text1"/>
          <w:w w:val="110"/>
        </w:rPr>
        <w:t>views</w:t>
      </w:r>
      <w:r w:rsidRPr="00FD40B8">
        <w:rPr>
          <w:color w:val="131727" w:themeColor="text1"/>
          <w:spacing w:val="-1"/>
          <w:w w:val="110"/>
        </w:rPr>
        <w:t xml:space="preserve"> </w:t>
      </w:r>
      <w:r w:rsidRPr="00FD40B8">
        <w:rPr>
          <w:color w:val="131727" w:themeColor="text1"/>
          <w:w w:val="110"/>
        </w:rPr>
        <w:t>expressed by</w:t>
      </w:r>
      <w:r w:rsidRPr="00FD40B8">
        <w:rPr>
          <w:color w:val="131727" w:themeColor="text1"/>
          <w:spacing w:val="-4"/>
          <w:w w:val="110"/>
        </w:rPr>
        <w:t xml:space="preserve"> </w:t>
      </w:r>
      <w:r w:rsidRPr="00FD40B8">
        <w:rPr>
          <w:color w:val="131727" w:themeColor="text1"/>
          <w:w w:val="110"/>
        </w:rPr>
        <w:t>stakeholders during</w:t>
      </w:r>
      <w:r w:rsidRPr="00FD40B8">
        <w:rPr>
          <w:color w:val="131727" w:themeColor="text1"/>
          <w:spacing w:val="-3"/>
          <w:w w:val="110"/>
        </w:rPr>
        <w:t xml:space="preserve"> </w:t>
      </w:r>
      <w:r w:rsidRPr="00FD40B8">
        <w:rPr>
          <w:color w:val="131727" w:themeColor="text1"/>
          <w:w w:val="110"/>
        </w:rPr>
        <w:t>consultations for this project.</w:t>
      </w:r>
    </w:p>
    <w:p w14:paraId="5ADF1BF7" w14:textId="77777777" w:rsidR="00811887" w:rsidRPr="00FD40B8" w:rsidRDefault="00811887" w:rsidP="00811887">
      <w:pPr>
        <w:spacing w:line="288" w:lineRule="auto"/>
        <w:rPr>
          <w:color w:val="131727" w:themeColor="text1"/>
        </w:rPr>
        <w:sectPr w:rsidR="00811887" w:rsidRPr="00FD40B8" w:rsidSect="00811887">
          <w:pgSz w:w="11910" w:h="16840"/>
          <w:pgMar w:top="1400" w:right="720" w:bottom="1080" w:left="740" w:header="0" w:footer="885" w:gutter="0"/>
          <w:cols w:space="720"/>
        </w:sectPr>
      </w:pPr>
    </w:p>
    <w:p w14:paraId="3C40A740" w14:textId="77777777" w:rsidR="00811887" w:rsidRPr="00FD40B8" w:rsidRDefault="00811887" w:rsidP="00811887">
      <w:pPr>
        <w:spacing w:before="78"/>
        <w:ind w:left="508"/>
        <w:rPr>
          <w:rFonts w:ascii="Book Antiqua"/>
          <w:b/>
          <w:color w:val="131727" w:themeColor="text1"/>
          <w:sz w:val="21"/>
        </w:rPr>
      </w:pPr>
      <w:r w:rsidRPr="00FD40B8">
        <w:rPr>
          <w:rFonts w:ascii="Book Antiqua"/>
          <w:b/>
          <w:color w:val="131727" w:themeColor="text1"/>
          <w:sz w:val="21"/>
        </w:rPr>
        <w:lastRenderedPageBreak/>
        <w:t>Box</w:t>
      </w:r>
      <w:r w:rsidRPr="00FD40B8">
        <w:rPr>
          <w:rFonts w:ascii="Book Antiqua"/>
          <w:b/>
          <w:color w:val="131727" w:themeColor="text1"/>
          <w:spacing w:val="-3"/>
          <w:sz w:val="21"/>
        </w:rPr>
        <w:t xml:space="preserve"> </w:t>
      </w:r>
      <w:r w:rsidRPr="00FD40B8">
        <w:rPr>
          <w:rFonts w:ascii="Book Antiqua"/>
          <w:b/>
          <w:color w:val="131727" w:themeColor="text1"/>
          <w:sz w:val="21"/>
        </w:rPr>
        <w:t>3.</w:t>
      </w:r>
      <w:r w:rsidRPr="00FD40B8">
        <w:rPr>
          <w:rFonts w:ascii="Book Antiqua"/>
          <w:b/>
          <w:color w:val="131727" w:themeColor="text1"/>
          <w:spacing w:val="-3"/>
          <w:sz w:val="21"/>
        </w:rPr>
        <w:t xml:space="preserve"> </w:t>
      </w:r>
      <w:r w:rsidRPr="00FD40B8">
        <w:rPr>
          <w:rFonts w:ascii="Book Antiqua"/>
          <w:b/>
          <w:color w:val="131727" w:themeColor="text1"/>
          <w:sz w:val="21"/>
        </w:rPr>
        <w:t>Types</w:t>
      </w:r>
      <w:r w:rsidRPr="00FD40B8">
        <w:rPr>
          <w:rFonts w:ascii="Book Antiqua"/>
          <w:b/>
          <w:color w:val="131727" w:themeColor="text1"/>
          <w:spacing w:val="-5"/>
          <w:sz w:val="21"/>
        </w:rPr>
        <w:t xml:space="preserve"> </w:t>
      </w:r>
      <w:r w:rsidRPr="00FD40B8">
        <w:rPr>
          <w:rFonts w:ascii="Book Antiqua"/>
          <w:b/>
          <w:color w:val="131727" w:themeColor="text1"/>
          <w:sz w:val="21"/>
        </w:rPr>
        <w:t>of</w:t>
      </w:r>
      <w:r w:rsidRPr="00FD40B8">
        <w:rPr>
          <w:rFonts w:ascii="Book Antiqua"/>
          <w:b/>
          <w:color w:val="131727" w:themeColor="text1"/>
          <w:spacing w:val="-3"/>
          <w:sz w:val="21"/>
        </w:rPr>
        <w:t xml:space="preserve"> </w:t>
      </w:r>
      <w:r w:rsidRPr="00FD40B8">
        <w:rPr>
          <w:rFonts w:ascii="Book Antiqua"/>
          <w:b/>
          <w:color w:val="131727" w:themeColor="text1"/>
          <w:sz w:val="21"/>
        </w:rPr>
        <w:t>housing</w:t>
      </w:r>
      <w:r w:rsidRPr="00FD40B8">
        <w:rPr>
          <w:rFonts w:ascii="Book Antiqua"/>
          <w:b/>
          <w:color w:val="131727" w:themeColor="text1"/>
          <w:spacing w:val="-4"/>
          <w:sz w:val="21"/>
        </w:rPr>
        <w:t xml:space="preserve"> data</w:t>
      </w:r>
    </w:p>
    <w:p w14:paraId="175D17E5" w14:textId="77777777" w:rsidR="00811887" w:rsidRPr="00D96DB6" w:rsidRDefault="00811887" w:rsidP="00811887">
      <w:pPr>
        <w:pStyle w:val="BodyText"/>
        <w:spacing w:before="95"/>
        <w:ind w:left="614"/>
      </w:pPr>
      <w:r w:rsidRPr="00FD40B8">
        <w:rPr>
          <w:noProof/>
          <w:color w:val="131727" w:themeColor="text1"/>
        </w:rPr>
        <mc:AlternateContent>
          <mc:Choice Requires="wps">
            <w:drawing>
              <wp:anchor distT="0" distB="0" distL="0" distR="0" simplePos="0" relativeHeight="251693056" behindDoc="1" locked="0" layoutInCell="1" allowOverlap="1" wp14:anchorId="1528CF86" wp14:editId="59ADFE9A">
                <wp:simplePos x="0" y="0"/>
                <wp:positionH relativeFrom="page">
                  <wp:posOffset>792784</wp:posOffset>
                </wp:positionH>
                <wp:positionV relativeFrom="paragraph">
                  <wp:posOffset>43961</wp:posOffset>
                </wp:positionV>
                <wp:extent cx="5973445" cy="5412105"/>
                <wp:effectExtent l="0" t="0" r="0" b="0"/>
                <wp:wrapNone/>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3445" cy="5412105"/>
                        </a:xfrm>
                        <a:custGeom>
                          <a:avLst/>
                          <a:gdLst/>
                          <a:ahLst/>
                          <a:cxnLst/>
                          <a:rect l="l" t="t" r="r" b="b"/>
                          <a:pathLst>
                            <a:path w="5973445" h="5412105">
                              <a:moveTo>
                                <a:pt x="5973445" y="0"/>
                              </a:moveTo>
                              <a:lnTo>
                                <a:pt x="0" y="0"/>
                              </a:lnTo>
                              <a:lnTo>
                                <a:pt x="0" y="5411724"/>
                              </a:lnTo>
                              <a:lnTo>
                                <a:pt x="5973445" y="5411724"/>
                              </a:lnTo>
                              <a:lnTo>
                                <a:pt x="5973445" y="0"/>
                              </a:lnTo>
                              <a:close/>
                            </a:path>
                          </a:pathLst>
                        </a:custGeom>
                        <a:solidFill>
                          <a:srgbClr val="DFEAE8"/>
                        </a:solidFill>
                      </wps:spPr>
                      <wps:bodyPr wrap="square" lIns="0" tIns="0" rIns="0" bIns="0" rtlCol="0">
                        <a:prstTxWarp prst="textNoShape">
                          <a:avLst/>
                        </a:prstTxWarp>
                        <a:noAutofit/>
                      </wps:bodyPr>
                    </wps:wsp>
                  </a:graphicData>
                </a:graphic>
              </wp:anchor>
            </w:drawing>
          </mc:Choice>
          <mc:Fallback>
            <w:pict>
              <v:shape w14:anchorId="25699117" id="Graphic 174" o:spid="_x0000_s1026" alt="&quot;&quot;" style="position:absolute;margin-left:62.4pt;margin-top:3.45pt;width:470.35pt;height:426.1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973445,54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" path="m5973445,l,,,5411724r5973445,l5973445,xe" fillcolor="#dfeae8" stroked="f">
                <v:path arrowok="t"/>
                <w10:wrap anchorx="page"/>
              </v:shape>
            </w:pict>
          </mc:Fallback>
        </mc:AlternateContent>
      </w:r>
      <w:r w:rsidRPr="00FD40B8">
        <w:rPr>
          <w:color w:val="131727" w:themeColor="text1"/>
          <w:w w:val="110"/>
        </w:rPr>
        <w:t>H</w:t>
      </w:r>
      <w:r w:rsidRPr="00D96DB6">
        <w:rPr>
          <w:w w:val="110"/>
        </w:rPr>
        <w:t>ousing</w:t>
      </w:r>
      <w:r w:rsidRPr="00D96DB6">
        <w:rPr>
          <w:spacing w:val="3"/>
          <w:w w:val="110"/>
        </w:rPr>
        <w:t xml:space="preserve"> </w:t>
      </w:r>
      <w:r w:rsidRPr="00D96DB6">
        <w:rPr>
          <w:w w:val="110"/>
        </w:rPr>
        <w:t>data</w:t>
      </w:r>
      <w:r w:rsidRPr="00D96DB6">
        <w:rPr>
          <w:spacing w:val="-2"/>
          <w:w w:val="110"/>
        </w:rPr>
        <w:t xml:space="preserve"> </w:t>
      </w:r>
      <w:r w:rsidRPr="00D96DB6">
        <w:rPr>
          <w:w w:val="110"/>
        </w:rPr>
        <w:t>collection</w:t>
      </w:r>
      <w:r w:rsidRPr="00D96DB6">
        <w:rPr>
          <w:spacing w:val="-1"/>
          <w:w w:val="110"/>
        </w:rPr>
        <w:t xml:space="preserve"> </w:t>
      </w:r>
      <w:r w:rsidRPr="00D96DB6">
        <w:rPr>
          <w:w w:val="110"/>
        </w:rPr>
        <w:t>encompasses</w:t>
      </w:r>
      <w:r w:rsidRPr="00D96DB6">
        <w:rPr>
          <w:spacing w:val="6"/>
          <w:w w:val="110"/>
        </w:rPr>
        <w:t xml:space="preserve"> </w:t>
      </w:r>
      <w:r w:rsidRPr="00D96DB6">
        <w:rPr>
          <w:w w:val="110"/>
        </w:rPr>
        <w:t>various</w:t>
      </w:r>
      <w:r w:rsidRPr="00D96DB6">
        <w:rPr>
          <w:spacing w:val="5"/>
          <w:w w:val="110"/>
        </w:rPr>
        <w:t xml:space="preserve"> </w:t>
      </w:r>
      <w:r w:rsidRPr="00D96DB6">
        <w:rPr>
          <w:w w:val="110"/>
        </w:rPr>
        <w:t>aspects</w:t>
      </w:r>
      <w:r w:rsidRPr="00D96DB6">
        <w:rPr>
          <w:spacing w:val="1"/>
          <w:w w:val="110"/>
        </w:rPr>
        <w:t xml:space="preserve"> </w:t>
      </w:r>
      <w:r w:rsidRPr="00D96DB6">
        <w:rPr>
          <w:w w:val="110"/>
        </w:rPr>
        <w:t>of housing,</w:t>
      </w:r>
      <w:r w:rsidRPr="00D96DB6">
        <w:rPr>
          <w:spacing w:val="4"/>
          <w:w w:val="110"/>
        </w:rPr>
        <w:t xml:space="preserve"> </w:t>
      </w:r>
      <w:r w:rsidRPr="00D96DB6">
        <w:rPr>
          <w:spacing w:val="-2"/>
          <w:w w:val="110"/>
        </w:rPr>
        <w:t>including:</w:t>
      </w:r>
    </w:p>
    <w:p w14:paraId="696A7744" w14:textId="77777777" w:rsidR="00811887" w:rsidRPr="00D96DB6" w:rsidRDefault="00811887" w:rsidP="00811887">
      <w:pPr>
        <w:pStyle w:val="ListParagraph"/>
        <w:widowControl w:val="0"/>
        <w:numPr>
          <w:ilvl w:val="0"/>
          <w:numId w:val="64"/>
        </w:numPr>
        <w:tabs>
          <w:tab w:val="left" w:pos="974"/>
        </w:tabs>
        <w:autoSpaceDE w:val="0"/>
        <w:autoSpaceDN w:val="0"/>
        <w:spacing w:before="134" w:after="0" w:line="268" w:lineRule="auto"/>
        <w:ind w:right="703"/>
        <w:contextualSpacing w:val="0"/>
        <w:rPr>
          <w:sz w:val="20"/>
        </w:rPr>
      </w:pPr>
      <w:r w:rsidRPr="00D96DB6">
        <w:rPr>
          <w:i/>
          <w:w w:val="110"/>
          <w:sz w:val="20"/>
        </w:rPr>
        <w:t>Housing</w:t>
      </w:r>
      <w:r w:rsidRPr="00D96DB6">
        <w:rPr>
          <w:i/>
          <w:spacing w:val="-13"/>
          <w:w w:val="110"/>
          <w:sz w:val="20"/>
        </w:rPr>
        <w:t xml:space="preserve"> </w:t>
      </w:r>
      <w:r w:rsidRPr="00D96DB6">
        <w:rPr>
          <w:i/>
          <w:w w:val="110"/>
          <w:sz w:val="20"/>
        </w:rPr>
        <w:t>stock</w:t>
      </w:r>
      <w:r w:rsidRPr="00D96DB6">
        <w:rPr>
          <w:i/>
          <w:spacing w:val="-12"/>
          <w:w w:val="110"/>
          <w:sz w:val="20"/>
        </w:rPr>
        <w:t xml:space="preserve"> </w:t>
      </w:r>
      <w:r w:rsidRPr="00D96DB6">
        <w:rPr>
          <w:i/>
          <w:w w:val="110"/>
          <w:sz w:val="20"/>
        </w:rPr>
        <w:t>or</w:t>
      </w:r>
      <w:r w:rsidRPr="00D96DB6">
        <w:rPr>
          <w:i/>
          <w:spacing w:val="-13"/>
          <w:w w:val="110"/>
          <w:sz w:val="20"/>
        </w:rPr>
        <w:t xml:space="preserve"> </w:t>
      </w:r>
      <w:r w:rsidRPr="00D96DB6">
        <w:rPr>
          <w:i/>
          <w:w w:val="110"/>
          <w:sz w:val="20"/>
        </w:rPr>
        <w:t>inventory:</w:t>
      </w:r>
      <w:r w:rsidRPr="00D96DB6">
        <w:rPr>
          <w:i/>
          <w:spacing w:val="-12"/>
          <w:w w:val="110"/>
          <w:sz w:val="20"/>
        </w:rPr>
        <w:t xml:space="preserve"> </w:t>
      </w:r>
      <w:r w:rsidRPr="00D96DB6">
        <w:rPr>
          <w:w w:val="110"/>
          <w:sz w:val="20"/>
        </w:rPr>
        <w:t>Data</w:t>
      </w:r>
      <w:r w:rsidRPr="00D96DB6">
        <w:rPr>
          <w:spacing w:val="-13"/>
          <w:w w:val="110"/>
          <w:sz w:val="20"/>
        </w:rPr>
        <w:t xml:space="preserve"> </w:t>
      </w:r>
      <w:r w:rsidRPr="00D96DB6">
        <w:rPr>
          <w:w w:val="110"/>
          <w:sz w:val="20"/>
        </w:rPr>
        <w:t>on</w:t>
      </w:r>
      <w:r w:rsidRPr="00D96DB6">
        <w:rPr>
          <w:spacing w:val="-12"/>
          <w:w w:val="110"/>
          <w:sz w:val="20"/>
        </w:rPr>
        <w:t xml:space="preserve"> </w:t>
      </w:r>
      <w:r w:rsidRPr="00D96DB6">
        <w:rPr>
          <w:w w:val="110"/>
          <w:sz w:val="20"/>
        </w:rPr>
        <w:t>the</w:t>
      </w:r>
      <w:r w:rsidRPr="00D96DB6">
        <w:rPr>
          <w:spacing w:val="-13"/>
          <w:w w:val="110"/>
          <w:sz w:val="20"/>
        </w:rPr>
        <w:t xml:space="preserve"> </w:t>
      </w:r>
      <w:r w:rsidRPr="00D96DB6">
        <w:rPr>
          <w:w w:val="110"/>
          <w:sz w:val="20"/>
        </w:rPr>
        <w:t>number</w:t>
      </w:r>
      <w:r w:rsidRPr="00D96DB6">
        <w:rPr>
          <w:spacing w:val="-12"/>
          <w:w w:val="110"/>
          <w:sz w:val="20"/>
        </w:rPr>
        <w:t xml:space="preserve"> </w:t>
      </w:r>
      <w:r w:rsidRPr="00D96DB6">
        <w:rPr>
          <w:w w:val="110"/>
          <w:sz w:val="20"/>
        </w:rPr>
        <w:t>of</w:t>
      </w:r>
      <w:r w:rsidRPr="00D96DB6">
        <w:rPr>
          <w:spacing w:val="-12"/>
          <w:w w:val="110"/>
          <w:sz w:val="20"/>
        </w:rPr>
        <w:t xml:space="preserve"> </w:t>
      </w:r>
      <w:r w:rsidRPr="00D96DB6">
        <w:rPr>
          <w:w w:val="110"/>
          <w:sz w:val="20"/>
        </w:rPr>
        <w:t>individual</w:t>
      </w:r>
      <w:r w:rsidRPr="00D96DB6">
        <w:rPr>
          <w:spacing w:val="-13"/>
          <w:w w:val="110"/>
          <w:sz w:val="20"/>
        </w:rPr>
        <w:t xml:space="preserve"> </w:t>
      </w:r>
      <w:r w:rsidRPr="00D96DB6">
        <w:rPr>
          <w:w w:val="110"/>
          <w:sz w:val="20"/>
        </w:rPr>
        <w:t>dwellings,</w:t>
      </w:r>
      <w:r w:rsidRPr="00D96DB6">
        <w:rPr>
          <w:spacing w:val="-12"/>
          <w:w w:val="110"/>
          <w:sz w:val="20"/>
        </w:rPr>
        <w:t xml:space="preserve"> </w:t>
      </w:r>
      <w:r w:rsidRPr="00D96DB6">
        <w:rPr>
          <w:w w:val="110"/>
          <w:sz w:val="20"/>
        </w:rPr>
        <w:t>including</w:t>
      </w:r>
      <w:r w:rsidRPr="00D96DB6">
        <w:rPr>
          <w:spacing w:val="-13"/>
          <w:w w:val="110"/>
          <w:sz w:val="20"/>
        </w:rPr>
        <w:t xml:space="preserve"> </w:t>
      </w:r>
      <w:r w:rsidRPr="00D96DB6">
        <w:rPr>
          <w:w w:val="110"/>
          <w:sz w:val="20"/>
        </w:rPr>
        <w:t>locations,</w:t>
      </w:r>
      <w:r w:rsidRPr="00D96DB6">
        <w:rPr>
          <w:spacing w:val="-12"/>
          <w:w w:val="110"/>
          <w:sz w:val="20"/>
        </w:rPr>
        <w:t xml:space="preserve"> </w:t>
      </w:r>
      <w:r w:rsidRPr="00D96DB6">
        <w:rPr>
          <w:w w:val="110"/>
          <w:sz w:val="20"/>
        </w:rPr>
        <w:t>size</w:t>
      </w:r>
      <w:r w:rsidRPr="00D96DB6">
        <w:rPr>
          <w:spacing w:val="-13"/>
          <w:w w:val="110"/>
          <w:sz w:val="20"/>
        </w:rPr>
        <w:t xml:space="preserve"> </w:t>
      </w:r>
      <w:r w:rsidRPr="00D96DB6">
        <w:rPr>
          <w:w w:val="110"/>
          <w:sz w:val="20"/>
        </w:rPr>
        <w:t>and type, including housing provider and ownership.</w:t>
      </w:r>
    </w:p>
    <w:p w14:paraId="346E6C0E" w14:textId="77777777" w:rsidR="00811887" w:rsidRPr="00D96DB6" w:rsidRDefault="00811887" w:rsidP="00811887">
      <w:pPr>
        <w:pStyle w:val="ListParagraph"/>
        <w:widowControl w:val="0"/>
        <w:numPr>
          <w:ilvl w:val="0"/>
          <w:numId w:val="64"/>
        </w:numPr>
        <w:tabs>
          <w:tab w:val="left" w:pos="974"/>
        </w:tabs>
        <w:autoSpaceDE w:val="0"/>
        <w:autoSpaceDN w:val="0"/>
        <w:spacing w:before="110" w:after="0" w:line="268" w:lineRule="auto"/>
        <w:ind w:right="1238"/>
        <w:contextualSpacing w:val="0"/>
        <w:rPr>
          <w:sz w:val="20"/>
        </w:rPr>
      </w:pPr>
      <w:r w:rsidRPr="00D96DB6">
        <w:rPr>
          <w:i/>
          <w:w w:val="110"/>
          <w:sz w:val="20"/>
        </w:rPr>
        <w:t>Demographic</w:t>
      </w:r>
      <w:r w:rsidRPr="00D96DB6">
        <w:rPr>
          <w:i/>
          <w:spacing w:val="-13"/>
          <w:w w:val="110"/>
          <w:sz w:val="20"/>
        </w:rPr>
        <w:t xml:space="preserve"> </w:t>
      </w:r>
      <w:r w:rsidRPr="00D96DB6">
        <w:rPr>
          <w:i/>
          <w:w w:val="110"/>
          <w:sz w:val="20"/>
        </w:rPr>
        <w:t>data:</w:t>
      </w:r>
      <w:r w:rsidRPr="00D96DB6">
        <w:rPr>
          <w:i/>
          <w:spacing w:val="-12"/>
          <w:w w:val="110"/>
          <w:sz w:val="20"/>
        </w:rPr>
        <w:t xml:space="preserve"> </w:t>
      </w:r>
      <w:r w:rsidRPr="00D96DB6">
        <w:rPr>
          <w:w w:val="110"/>
          <w:sz w:val="20"/>
        </w:rPr>
        <w:t>Information</w:t>
      </w:r>
      <w:r w:rsidRPr="00D96DB6">
        <w:rPr>
          <w:spacing w:val="-13"/>
          <w:w w:val="110"/>
          <w:sz w:val="20"/>
        </w:rPr>
        <w:t xml:space="preserve"> </w:t>
      </w:r>
      <w:r w:rsidRPr="00D96DB6">
        <w:rPr>
          <w:w w:val="110"/>
          <w:sz w:val="20"/>
        </w:rPr>
        <w:t>about</w:t>
      </w:r>
      <w:r w:rsidRPr="00D96DB6">
        <w:rPr>
          <w:spacing w:val="-12"/>
          <w:w w:val="110"/>
          <w:sz w:val="20"/>
        </w:rPr>
        <w:t xml:space="preserve"> </w:t>
      </w:r>
      <w:r w:rsidRPr="00D96DB6">
        <w:rPr>
          <w:w w:val="110"/>
          <w:sz w:val="20"/>
        </w:rPr>
        <w:t>residents,</w:t>
      </w:r>
      <w:r w:rsidRPr="00D96DB6">
        <w:rPr>
          <w:spacing w:val="-13"/>
          <w:w w:val="110"/>
          <w:sz w:val="20"/>
        </w:rPr>
        <w:t xml:space="preserve"> </w:t>
      </w:r>
      <w:r w:rsidRPr="00D96DB6">
        <w:rPr>
          <w:w w:val="110"/>
          <w:sz w:val="20"/>
        </w:rPr>
        <w:t>including</w:t>
      </w:r>
      <w:r w:rsidRPr="00D96DB6">
        <w:rPr>
          <w:spacing w:val="-12"/>
          <w:w w:val="110"/>
          <w:sz w:val="20"/>
        </w:rPr>
        <w:t xml:space="preserve"> </w:t>
      </w:r>
      <w:r w:rsidRPr="00D96DB6">
        <w:rPr>
          <w:w w:val="110"/>
          <w:sz w:val="20"/>
        </w:rPr>
        <w:t>age,</w:t>
      </w:r>
      <w:r w:rsidRPr="00D96DB6">
        <w:rPr>
          <w:spacing w:val="-13"/>
          <w:w w:val="110"/>
          <w:sz w:val="20"/>
        </w:rPr>
        <w:t xml:space="preserve"> </w:t>
      </w:r>
      <w:r w:rsidRPr="00D96DB6">
        <w:rPr>
          <w:w w:val="110"/>
          <w:sz w:val="20"/>
        </w:rPr>
        <w:t>income,</w:t>
      </w:r>
      <w:r w:rsidRPr="00D96DB6">
        <w:rPr>
          <w:spacing w:val="-12"/>
          <w:w w:val="110"/>
          <w:sz w:val="20"/>
        </w:rPr>
        <w:t xml:space="preserve"> </w:t>
      </w:r>
      <w:r w:rsidRPr="00D96DB6">
        <w:rPr>
          <w:w w:val="110"/>
          <w:sz w:val="20"/>
        </w:rPr>
        <w:t>family</w:t>
      </w:r>
      <w:r w:rsidRPr="00D96DB6">
        <w:rPr>
          <w:spacing w:val="-12"/>
          <w:w w:val="110"/>
          <w:sz w:val="20"/>
        </w:rPr>
        <w:t xml:space="preserve"> </w:t>
      </w:r>
      <w:r w:rsidRPr="00D96DB6">
        <w:rPr>
          <w:w w:val="110"/>
          <w:sz w:val="20"/>
        </w:rPr>
        <w:t>size,</w:t>
      </w:r>
      <w:r w:rsidRPr="00D96DB6">
        <w:rPr>
          <w:spacing w:val="-13"/>
          <w:w w:val="110"/>
          <w:sz w:val="20"/>
        </w:rPr>
        <w:t xml:space="preserve"> </w:t>
      </w:r>
      <w:r w:rsidRPr="00D96DB6">
        <w:rPr>
          <w:w w:val="110"/>
          <w:sz w:val="20"/>
        </w:rPr>
        <w:t>and</w:t>
      </w:r>
      <w:r w:rsidRPr="00D96DB6">
        <w:rPr>
          <w:spacing w:val="-12"/>
          <w:w w:val="110"/>
          <w:sz w:val="20"/>
        </w:rPr>
        <w:t xml:space="preserve"> </w:t>
      </w:r>
      <w:r w:rsidRPr="00D96DB6">
        <w:rPr>
          <w:w w:val="110"/>
          <w:sz w:val="20"/>
        </w:rPr>
        <w:t>other demographic factors.</w:t>
      </w:r>
    </w:p>
    <w:p w14:paraId="0B3434B3" w14:textId="77777777" w:rsidR="00811887" w:rsidRPr="00D96DB6" w:rsidRDefault="00811887" w:rsidP="00811887">
      <w:pPr>
        <w:pStyle w:val="ListParagraph"/>
        <w:widowControl w:val="0"/>
        <w:numPr>
          <w:ilvl w:val="0"/>
          <w:numId w:val="64"/>
        </w:numPr>
        <w:tabs>
          <w:tab w:val="left" w:pos="974"/>
        </w:tabs>
        <w:autoSpaceDE w:val="0"/>
        <w:autoSpaceDN w:val="0"/>
        <w:spacing w:before="104" w:after="0" w:line="268" w:lineRule="auto"/>
        <w:ind w:right="1812"/>
        <w:contextualSpacing w:val="0"/>
        <w:rPr>
          <w:sz w:val="20"/>
        </w:rPr>
      </w:pPr>
      <w:r w:rsidRPr="00D96DB6">
        <w:rPr>
          <w:i/>
          <w:w w:val="105"/>
          <w:sz w:val="20"/>
        </w:rPr>
        <w:t xml:space="preserve">Housing conditions: </w:t>
      </w:r>
      <w:r w:rsidRPr="00D96DB6">
        <w:rPr>
          <w:w w:val="105"/>
          <w:sz w:val="20"/>
        </w:rPr>
        <w:t>Data on the overall condition of housing units, including issues like</w:t>
      </w:r>
      <w:r w:rsidRPr="00D96DB6">
        <w:rPr>
          <w:spacing w:val="40"/>
          <w:w w:val="105"/>
          <w:sz w:val="20"/>
        </w:rPr>
        <w:t xml:space="preserve"> </w:t>
      </w:r>
      <w:r w:rsidRPr="00D96DB6">
        <w:rPr>
          <w:w w:val="105"/>
          <w:sz w:val="20"/>
        </w:rPr>
        <w:t>maintenance,</w:t>
      </w:r>
      <w:r w:rsidRPr="00D96DB6">
        <w:rPr>
          <w:spacing w:val="40"/>
          <w:w w:val="105"/>
          <w:sz w:val="20"/>
        </w:rPr>
        <w:t xml:space="preserve"> </w:t>
      </w:r>
      <w:r w:rsidRPr="00D96DB6">
        <w:rPr>
          <w:w w:val="105"/>
          <w:sz w:val="20"/>
        </w:rPr>
        <w:t>occupancy</w:t>
      </w:r>
      <w:r w:rsidRPr="00D96DB6">
        <w:rPr>
          <w:spacing w:val="40"/>
          <w:w w:val="105"/>
          <w:sz w:val="20"/>
        </w:rPr>
        <w:t xml:space="preserve"> </w:t>
      </w:r>
      <w:r w:rsidRPr="00D96DB6">
        <w:rPr>
          <w:w w:val="105"/>
          <w:sz w:val="20"/>
        </w:rPr>
        <w:t>rates</w:t>
      </w:r>
      <w:r w:rsidRPr="00D96DB6">
        <w:rPr>
          <w:spacing w:val="40"/>
          <w:w w:val="105"/>
          <w:sz w:val="20"/>
        </w:rPr>
        <w:t xml:space="preserve"> </w:t>
      </w:r>
      <w:r w:rsidRPr="00D96DB6">
        <w:rPr>
          <w:w w:val="105"/>
          <w:sz w:val="20"/>
        </w:rPr>
        <w:t>(including</w:t>
      </w:r>
      <w:r w:rsidRPr="00D96DB6">
        <w:rPr>
          <w:spacing w:val="40"/>
          <w:w w:val="105"/>
          <w:sz w:val="20"/>
        </w:rPr>
        <w:t xml:space="preserve"> </w:t>
      </w:r>
      <w:r w:rsidRPr="00D96DB6">
        <w:rPr>
          <w:w w:val="105"/>
          <w:sz w:val="20"/>
        </w:rPr>
        <w:t>overcrowding),</w:t>
      </w:r>
      <w:r w:rsidRPr="00D96DB6">
        <w:rPr>
          <w:spacing w:val="40"/>
          <w:w w:val="105"/>
          <w:sz w:val="20"/>
        </w:rPr>
        <w:t xml:space="preserve"> </w:t>
      </w:r>
      <w:r w:rsidRPr="00D96DB6">
        <w:rPr>
          <w:w w:val="105"/>
          <w:sz w:val="20"/>
        </w:rPr>
        <w:t>and</w:t>
      </w:r>
      <w:r w:rsidRPr="00D96DB6">
        <w:rPr>
          <w:spacing w:val="40"/>
          <w:w w:val="105"/>
          <w:sz w:val="20"/>
        </w:rPr>
        <w:t xml:space="preserve"> </w:t>
      </w:r>
      <w:r w:rsidRPr="00D96DB6">
        <w:rPr>
          <w:w w:val="105"/>
          <w:sz w:val="20"/>
        </w:rPr>
        <w:t>vacancy</w:t>
      </w:r>
      <w:r w:rsidRPr="00D96DB6">
        <w:rPr>
          <w:spacing w:val="40"/>
          <w:w w:val="105"/>
          <w:sz w:val="20"/>
        </w:rPr>
        <w:t xml:space="preserve"> </w:t>
      </w:r>
      <w:r w:rsidRPr="00D96DB6">
        <w:rPr>
          <w:w w:val="105"/>
          <w:sz w:val="20"/>
        </w:rPr>
        <w:t>rates.</w:t>
      </w:r>
    </w:p>
    <w:p w14:paraId="6CD661CF" w14:textId="77777777" w:rsidR="00811887" w:rsidRPr="00D96DB6" w:rsidRDefault="00811887" w:rsidP="00811887">
      <w:pPr>
        <w:pStyle w:val="ListParagraph"/>
        <w:widowControl w:val="0"/>
        <w:numPr>
          <w:ilvl w:val="0"/>
          <w:numId w:val="64"/>
        </w:numPr>
        <w:tabs>
          <w:tab w:val="left" w:pos="974"/>
        </w:tabs>
        <w:autoSpaceDE w:val="0"/>
        <w:autoSpaceDN w:val="0"/>
        <w:spacing w:before="110" w:after="0" w:line="268" w:lineRule="auto"/>
        <w:ind w:right="1262"/>
        <w:contextualSpacing w:val="0"/>
        <w:rPr>
          <w:sz w:val="20"/>
        </w:rPr>
      </w:pPr>
      <w:r w:rsidRPr="00D96DB6">
        <w:rPr>
          <w:i/>
          <w:w w:val="110"/>
          <w:sz w:val="20"/>
        </w:rPr>
        <w:t>Housing</w:t>
      </w:r>
      <w:r w:rsidRPr="00D96DB6">
        <w:rPr>
          <w:i/>
          <w:spacing w:val="-13"/>
          <w:w w:val="110"/>
          <w:sz w:val="20"/>
        </w:rPr>
        <w:t xml:space="preserve"> </w:t>
      </w:r>
      <w:r w:rsidRPr="00D96DB6">
        <w:rPr>
          <w:i/>
          <w:w w:val="110"/>
          <w:sz w:val="20"/>
        </w:rPr>
        <w:t>satisfaction</w:t>
      </w:r>
      <w:r w:rsidRPr="00D96DB6">
        <w:rPr>
          <w:w w:val="110"/>
          <w:sz w:val="20"/>
        </w:rPr>
        <w:t>:</w:t>
      </w:r>
      <w:r w:rsidRPr="00D96DB6">
        <w:rPr>
          <w:spacing w:val="-12"/>
          <w:w w:val="110"/>
          <w:sz w:val="20"/>
        </w:rPr>
        <w:t xml:space="preserve"> </w:t>
      </w:r>
      <w:r w:rsidRPr="00D96DB6">
        <w:rPr>
          <w:w w:val="110"/>
          <w:sz w:val="20"/>
        </w:rPr>
        <w:t>Residents’</w:t>
      </w:r>
      <w:r w:rsidRPr="00D96DB6">
        <w:rPr>
          <w:spacing w:val="-13"/>
          <w:w w:val="110"/>
          <w:sz w:val="20"/>
        </w:rPr>
        <w:t xml:space="preserve"> </w:t>
      </w:r>
      <w:r w:rsidRPr="00D96DB6">
        <w:rPr>
          <w:w w:val="110"/>
          <w:sz w:val="20"/>
        </w:rPr>
        <w:t>views</w:t>
      </w:r>
      <w:r w:rsidRPr="00D96DB6">
        <w:rPr>
          <w:spacing w:val="-12"/>
          <w:w w:val="110"/>
          <w:sz w:val="20"/>
        </w:rPr>
        <w:t xml:space="preserve"> </w:t>
      </w:r>
      <w:r w:rsidRPr="00D96DB6">
        <w:rPr>
          <w:w w:val="110"/>
          <w:sz w:val="20"/>
        </w:rPr>
        <w:t>on</w:t>
      </w:r>
      <w:r w:rsidRPr="00D96DB6">
        <w:rPr>
          <w:spacing w:val="-13"/>
          <w:w w:val="110"/>
          <w:sz w:val="20"/>
        </w:rPr>
        <w:t xml:space="preserve"> </w:t>
      </w:r>
      <w:r w:rsidRPr="00D96DB6">
        <w:rPr>
          <w:w w:val="110"/>
          <w:sz w:val="20"/>
        </w:rPr>
        <w:t>the</w:t>
      </w:r>
      <w:r w:rsidRPr="00D96DB6">
        <w:rPr>
          <w:spacing w:val="-12"/>
          <w:w w:val="110"/>
          <w:sz w:val="20"/>
        </w:rPr>
        <w:t xml:space="preserve"> </w:t>
      </w:r>
      <w:r w:rsidRPr="00D96DB6">
        <w:rPr>
          <w:w w:val="110"/>
          <w:sz w:val="20"/>
        </w:rPr>
        <w:t>quality</w:t>
      </w:r>
      <w:r w:rsidRPr="00D96DB6">
        <w:rPr>
          <w:spacing w:val="-13"/>
          <w:w w:val="110"/>
          <w:sz w:val="20"/>
        </w:rPr>
        <w:t xml:space="preserve"> </w:t>
      </w:r>
      <w:r w:rsidRPr="00D96DB6">
        <w:rPr>
          <w:w w:val="110"/>
          <w:sz w:val="20"/>
        </w:rPr>
        <w:t>and</w:t>
      </w:r>
      <w:r w:rsidRPr="00D96DB6">
        <w:rPr>
          <w:spacing w:val="-12"/>
          <w:w w:val="110"/>
          <w:sz w:val="20"/>
        </w:rPr>
        <w:t xml:space="preserve"> </w:t>
      </w:r>
      <w:r w:rsidRPr="00D96DB6">
        <w:rPr>
          <w:w w:val="110"/>
          <w:sz w:val="20"/>
        </w:rPr>
        <w:t>appropriateness</w:t>
      </w:r>
      <w:r w:rsidRPr="00D96DB6">
        <w:rPr>
          <w:spacing w:val="-12"/>
          <w:w w:val="110"/>
          <w:sz w:val="20"/>
        </w:rPr>
        <w:t xml:space="preserve"> </w:t>
      </w:r>
      <w:r w:rsidRPr="00D96DB6">
        <w:rPr>
          <w:w w:val="110"/>
          <w:sz w:val="20"/>
        </w:rPr>
        <w:t>of</w:t>
      </w:r>
      <w:r w:rsidRPr="00D96DB6">
        <w:rPr>
          <w:spacing w:val="-13"/>
          <w:w w:val="110"/>
          <w:sz w:val="20"/>
        </w:rPr>
        <w:t xml:space="preserve"> </w:t>
      </w:r>
      <w:r w:rsidRPr="00D96DB6">
        <w:rPr>
          <w:w w:val="110"/>
          <w:sz w:val="20"/>
        </w:rPr>
        <w:t>the</w:t>
      </w:r>
      <w:r w:rsidRPr="00D96DB6">
        <w:rPr>
          <w:spacing w:val="-12"/>
          <w:w w:val="110"/>
          <w:sz w:val="20"/>
        </w:rPr>
        <w:t xml:space="preserve"> </w:t>
      </w:r>
      <w:r w:rsidRPr="00D96DB6">
        <w:rPr>
          <w:w w:val="110"/>
          <w:sz w:val="20"/>
        </w:rPr>
        <w:t>dwelling</w:t>
      </w:r>
      <w:r w:rsidRPr="00D96DB6">
        <w:rPr>
          <w:spacing w:val="-13"/>
          <w:w w:val="110"/>
          <w:sz w:val="20"/>
        </w:rPr>
        <w:t xml:space="preserve"> </w:t>
      </w:r>
      <w:r w:rsidRPr="00D96DB6">
        <w:rPr>
          <w:w w:val="110"/>
          <w:sz w:val="20"/>
        </w:rPr>
        <w:t>and satisfaction with associated services (e.g. repairs and maintenance).</w:t>
      </w:r>
    </w:p>
    <w:p w14:paraId="77733789" w14:textId="77777777" w:rsidR="00811887" w:rsidRPr="00D96DB6" w:rsidRDefault="00811887" w:rsidP="00811887">
      <w:pPr>
        <w:pStyle w:val="ListParagraph"/>
        <w:widowControl w:val="0"/>
        <w:numPr>
          <w:ilvl w:val="0"/>
          <w:numId w:val="64"/>
        </w:numPr>
        <w:tabs>
          <w:tab w:val="left" w:pos="974"/>
        </w:tabs>
        <w:autoSpaceDE w:val="0"/>
        <w:autoSpaceDN w:val="0"/>
        <w:spacing w:before="105" w:after="0" w:line="268" w:lineRule="auto"/>
        <w:ind w:right="1022"/>
        <w:contextualSpacing w:val="0"/>
        <w:rPr>
          <w:sz w:val="20"/>
        </w:rPr>
      </w:pPr>
      <w:r w:rsidRPr="00D96DB6">
        <w:rPr>
          <w:i/>
          <w:spacing w:val="-2"/>
          <w:w w:val="110"/>
          <w:sz w:val="20"/>
        </w:rPr>
        <w:t>Housing-related</w:t>
      </w:r>
      <w:r w:rsidRPr="00D96DB6">
        <w:rPr>
          <w:i/>
          <w:spacing w:val="-4"/>
          <w:w w:val="110"/>
          <w:sz w:val="20"/>
        </w:rPr>
        <w:t xml:space="preserve"> </w:t>
      </w:r>
      <w:r w:rsidRPr="00D96DB6">
        <w:rPr>
          <w:i/>
          <w:spacing w:val="-2"/>
          <w:w w:val="110"/>
          <w:sz w:val="20"/>
        </w:rPr>
        <w:t>infrastructure</w:t>
      </w:r>
      <w:r w:rsidRPr="00D96DB6">
        <w:rPr>
          <w:spacing w:val="-2"/>
          <w:w w:val="110"/>
          <w:sz w:val="20"/>
        </w:rPr>
        <w:t>: Essential physical and</w:t>
      </w:r>
      <w:r w:rsidRPr="00D96DB6">
        <w:rPr>
          <w:spacing w:val="-3"/>
          <w:w w:val="110"/>
          <w:sz w:val="20"/>
        </w:rPr>
        <w:t xml:space="preserve"> </w:t>
      </w:r>
      <w:r w:rsidRPr="00D96DB6">
        <w:rPr>
          <w:spacing w:val="-2"/>
          <w:w w:val="110"/>
          <w:sz w:val="20"/>
        </w:rPr>
        <w:t xml:space="preserve">organisational structures that support and </w:t>
      </w:r>
      <w:r w:rsidRPr="00D96DB6">
        <w:rPr>
          <w:w w:val="110"/>
          <w:sz w:val="20"/>
        </w:rPr>
        <w:t>facilitate housing within a community including but not limited to:</w:t>
      </w:r>
    </w:p>
    <w:p w14:paraId="1A266DFF" w14:textId="77777777" w:rsidR="00811887" w:rsidRPr="00D96DB6" w:rsidRDefault="00811887" w:rsidP="00811887">
      <w:pPr>
        <w:pStyle w:val="BodyText"/>
        <w:tabs>
          <w:tab w:val="left" w:pos="1334"/>
        </w:tabs>
        <w:spacing w:before="120" w:line="268" w:lineRule="auto"/>
        <w:ind w:left="1334" w:right="670" w:hanging="361"/>
      </w:pPr>
      <w:r w:rsidRPr="00D96DB6">
        <w:rPr>
          <w:spacing w:val="-10"/>
          <w:w w:val="110"/>
        </w:rPr>
        <w:t>»</w:t>
      </w:r>
      <w:r w:rsidRPr="00D96DB6">
        <w:tab/>
      </w:r>
      <w:r w:rsidRPr="00D96DB6">
        <w:rPr>
          <w:w w:val="110"/>
        </w:rPr>
        <w:t>Utilities: The provision of, and access to, reliable and efficient basic utilities such as water supply,</w:t>
      </w:r>
      <w:r w:rsidRPr="00D96DB6">
        <w:rPr>
          <w:spacing w:val="-6"/>
          <w:w w:val="110"/>
        </w:rPr>
        <w:t xml:space="preserve"> </w:t>
      </w:r>
      <w:r w:rsidRPr="00D96DB6">
        <w:rPr>
          <w:w w:val="110"/>
        </w:rPr>
        <w:t>sewage</w:t>
      </w:r>
      <w:r w:rsidRPr="00D96DB6">
        <w:rPr>
          <w:spacing w:val="-6"/>
          <w:w w:val="110"/>
        </w:rPr>
        <w:t xml:space="preserve"> </w:t>
      </w:r>
      <w:r w:rsidRPr="00D96DB6">
        <w:rPr>
          <w:w w:val="110"/>
        </w:rPr>
        <w:t>systems,</w:t>
      </w:r>
      <w:r w:rsidRPr="00D96DB6">
        <w:rPr>
          <w:spacing w:val="-6"/>
          <w:w w:val="110"/>
        </w:rPr>
        <w:t xml:space="preserve"> </w:t>
      </w:r>
      <w:r w:rsidRPr="00D96DB6">
        <w:rPr>
          <w:w w:val="110"/>
        </w:rPr>
        <w:t>electricity,</w:t>
      </w:r>
      <w:r w:rsidRPr="00D96DB6">
        <w:rPr>
          <w:spacing w:val="-1"/>
          <w:w w:val="110"/>
        </w:rPr>
        <w:t xml:space="preserve"> </w:t>
      </w:r>
      <w:r w:rsidRPr="00D96DB6">
        <w:rPr>
          <w:w w:val="110"/>
        </w:rPr>
        <w:t>and</w:t>
      </w:r>
      <w:r w:rsidRPr="00D96DB6">
        <w:rPr>
          <w:spacing w:val="-6"/>
          <w:w w:val="110"/>
        </w:rPr>
        <w:t xml:space="preserve"> </w:t>
      </w:r>
      <w:r w:rsidRPr="00D96DB6">
        <w:rPr>
          <w:w w:val="110"/>
        </w:rPr>
        <w:t>other</w:t>
      </w:r>
      <w:r w:rsidRPr="00D96DB6">
        <w:rPr>
          <w:spacing w:val="-3"/>
          <w:w w:val="110"/>
        </w:rPr>
        <w:t xml:space="preserve"> </w:t>
      </w:r>
      <w:r w:rsidRPr="00D96DB6">
        <w:rPr>
          <w:w w:val="110"/>
        </w:rPr>
        <w:t>forms</w:t>
      </w:r>
      <w:r w:rsidRPr="00D96DB6">
        <w:rPr>
          <w:spacing w:val="-4"/>
          <w:w w:val="110"/>
        </w:rPr>
        <w:t xml:space="preserve"> </w:t>
      </w:r>
      <w:r w:rsidRPr="00D96DB6">
        <w:rPr>
          <w:w w:val="110"/>
        </w:rPr>
        <w:t>of</w:t>
      </w:r>
      <w:r w:rsidRPr="00D96DB6">
        <w:rPr>
          <w:spacing w:val="-4"/>
          <w:w w:val="110"/>
        </w:rPr>
        <w:t xml:space="preserve"> </w:t>
      </w:r>
      <w:r w:rsidRPr="00D96DB6">
        <w:rPr>
          <w:w w:val="110"/>
        </w:rPr>
        <w:t>energy.</w:t>
      </w:r>
      <w:r w:rsidRPr="00D96DB6">
        <w:rPr>
          <w:spacing w:val="-1"/>
          <w:w w:val="110"/>
        </w:rPr>
        <w:t xml:space="preserve"> </w:t>
      </w:r>
      <w:r w:rsidRPr="00D96DB6">
        <w:rPr>
          <w:w w:val="110"/>
        </w:rPr>
        <w:t>This can</w:t>
      </w:r>
      <w:r w:rsidRPr="00D96DB6">
        <w:rPr>
          <w:spacing w:val="-5"/>
          <w:w w:val="110"/>
        </w:rPr>
        <w:t xml:space="preserve"> </w:t>
      </w:r>
      <w:r w:rsidRPr="00D96DB6">
        <w:rPr>
          <w:w w:val="110"/>
        </w:rPr>
        <w:t>include</w:t>
      </w:r>
      <w:r w:rsidRPr="00D96DB6">
        <w:rPr>
          <w:spacing w:val="-1"/>
          <w:w w:val="110"/>
        </w:rPr>
        <w:t xml:space="preserve"> </w:t>
      </w:r>
      <w:r w:rsidRPr="00D96DB6">
        <w:rPr>
          <w:w w:val="110"/>
        </w:rPr>
        <w:t>an assessment of the load or capacity</w:t>
      </w:r>
      <w:r w:rsidRPr="00D96DB6">
        <w:rPr>
          <w:spacing w:val="-1"/>
          <w:w w:val="110"/>
        </w:rPr>
        <w:t xml:space="preserve"> </w:t>
      </w:r>
      <w:r w:rsidRPr="00D96DB6">
        <w:rPr>
          <w:w w:val="110"/>
        </w:rPr>
        <w:t>of associated infrastructure to take on additional housing or dwellings.</w:t>
      </w:r>
    </w:p>
    <w:p w14:paraId="4F56806A" w14:textId="77777777" w:rsidR="00811887" w:rsidRPr="00D96DB6" w:rsidRDefault="00811887" w:rsidP="00811887">
      <w:pPr>
        <w:pStyle w:val="BodyText"/>
        <w:tabs>
          <w:tab w:val="left" w:pos="1334"/>
        </w:tabs>
        <w:spacing w:before="117" w:line="268" w:lineRule="auto"/>
        <w:ind w:left="1334" w:right="1103" w:hanging="361"/>
      </w:pPr>
      <w:r w:rsidRPr="00D96DB6">
        <w:rPr>
          <w:spacing w:val="-10"/>
          <w:w w:val="110"/>
        </w:rPr>
        <w:t>»</w:t>
      </w:r>
      <w:r w:rsidRPr="00D96DB6">
        <w:tab/>
      </w:r>
      <w:r w:rsidRPr="00D96DB6">
        <w:rPr>
          <w:w w:val="110"/>
        </w:rPr>
        <w:t>Transportation:</w:t>
      </w:r>
      <w:r w:rsidRPr="00D96DB6">
        <w:rPr>
          <w:spacing w:val="-10"/>
          <w:w w:val="110"/>
        </w:rPr>
        <w:t xml:space="preserve"> </w:t>
      </w:r>
      <w:r w:rsidRPr="00D96DB6">
        <w:rPr>
          <w:w w:val="110"/>
        </w:rPr>
        <w:t>Adequate</w:t>
      </w:r>
      <w:r w:rsidRPr="00D96DB6">
        <w:rPr>
          <w:spacing w:val="-13"/>
          <w:w w:val="110"/>
        </w:rPr>
        <w:t xml:space="preserve"> </w:t>
      </w:r>
      <w:r w:rsidRPr="00D96DB6">
        <w:rPr>
          <w:w w:val="110"/>
        </w:rPr>
        <w:t>transportation</w:t>
      </w:r>
      <w:r w:rsidRPr="00D96DB6">
        <w:rPr>
          <w:spacing w:val="-8"/>
          <w:w w:val="110"/>
        </w:rPr>
        <w:t xml:space="preserve"> </w:t>
      </w:r>
      <w:r w:rsidRPr="00D96DB6">
        <w:rPr>
          <w:w w:val="110"/>
        </w:rPr>
        <w:t>infrastructure,</w:t>
      </w:r>
      <w:r w:rsidRPr="00D96DB6">
        <w:rPr>
          <w:spacing w:val="-9"/>
          <w:w w:val="110"/>
        </w:rPr>
        <w:t xml:space="preserve"> </w:t>
      </w:r>
      <w:r w:rsidRPr="00D96DB6">
        <w:rPr>
          <w:w w:val="110"/>
        </w:rPr>
        <w:t>including</w:t>
      </w:r>
      <w:r w:rsidRPr="00D96DB6">
        <w:rPr>
          <w:spacing w:val="-9"/>
          <w:w w:val="110"/>
        </w:rPr>
        <w:t xml:space="preserve"> </w:t>
      </w:r>
      <w:r w:rsidRPr="00D96DB6">
        <w:rPr>
          <w:w w:val="110"/>
        </w:rPr>
        <w:t>roads,</w:t>
      </w:r>
      <w:r w:rsidRPr="00D96DB6">
        <w:rPr>
          <w:spacing w:val="-7"/>
          <w:w w:val="110"/>
        </w:rPr>
        <w:t xml:space="preserve"> </w:t>
      </w:r>
      <w:r w:rsidRPr="00D96DB6">
        <w:rPr>
          <w:w w:val="110"/>
        </w:rPr>
        <w:t>footpaths,</w:t>
      </w:r>
      <w:r w:rsidRPr="00D96DB6">
        <w:rPr>
          <w:spacing w:val="-9"/>
          <w:w w:val="110"/>
        </w:rPr>
        <w:t xml:space="preserve"> </w:t>
      </w:r>
      <w:r w:rsidRPr="00D96DB6">
        <w:rPr>
          <w:w w:val="110"/>
        </w:rPr>
        <w:t>public transportation, and parking facilities, where appropriate.</w:t>
      </w:r>
    </w:p>
    <w:p w14:paraId="448945DD" w14:textId="77777777" w:rsidR="00811887" w:rsidRPr="00D96DB6" w:rsidRDefault="00811887" w:rsidP="00811887">
      <w:pPr>
        <w:pStyle w:val="BodyText"/>
        <w:tabs>
          <w:tab w:val="left" w:pos="1334"/>
        </w:tabs>
        <w:spacing w:before="120" w:line="268" w:lineRule="auto"/>
        <w:ind w:left="1334" w:right="713" w:hanging="361"/>
      </w:pPr>
      <w:r w:rsidRPr="00D96DB6">
        <w:rPr>
          <w:spacing w:val="-10"/>
          <w:w w:val="110"/>
        </w:rPr>
        <w:t>»</w:t>
      </w:r>
      <w:r w:rsidRPr="00D96DB6">
        <w:tab/>
      </w:r>
      <w:r w:rsidRPr="00D96DB6">
        <w:rPr>
          <w:w w:val="110"/>
        </w:rPr>
        <w:t>Communication</w:t>
      </w:r>
      <w:r w:rsidRPr="00D96DB6">
        <w:rPr>
          <w:spacing w:val="-4"/>
          <w:w w:val="110"/>
        </w:rPr>
        <w:t xml:space="preserve"> </w:t>
      </w:r>
      <w:r w:rsidRPr="00D96DB6">
        <w:rPr>
          <w:w w:val="110"/>
        </w:rPr>
        <w:t>Networks:</w:t>
      </w:r>
      <w:r w:rsidRPr="00D96DB6">
        <w:rPr>
          <w:spacing w:val="-5"/>
          <w:w w:val="110"/>
        </w:rPr>
        <w:t xml:space="preserve"> </w:t>
      </w:r>
      <w:r w:rsidRPr="00D96DB6">
        <w:rPr>
          <w:w w:val="110"/>
        </w:rPr>
        <w:t>Infrastructure</w:t>
      </w:r>
      <w:r w:rsidRPr="00D96DB6">
        <w:rPr>
          <w:spacing w:val="-5"/>
          <w:w w:val="110"/>
        </w:rPr>
        <w:t xml:space="preserve"> </w:t>
      </w:r>
      <w:r w:rsidRPr="00D96DB6">
        <w:rPr>
          <w:w w:val="110"/>
        </w:rPr>
        <w:t>for</w:t>
      </w:r>
      <w:r w:rsidRPr="00D96DB6">
        <w:rPr>
          <w:spacing w:val="-2"/>
          <w:w w:val="110"/>
        </w:rPr>
        <w:t xml:space="preserve"> </w:t>
      </w:r>
      <w:r w:rsidRPr="00D96DB6">
        <w:rPr>
          <w:w w:val="110"/>
        </w:rPr>
        <w:t>communication,</w:t>
      </w:r>
      <w:r w:rsidRPr="00D96DB6">
        <w:rPr>
          <w:spacing w:val="-5"/>
          <w:w w:val="110"/>
        </w:rPr>
        <w:t xml:space="preserve"> </w:t>
      </w:r>
      <w:r w:rsidRPr="00D96DB6">
        <w:rPr>
          <w:w w:val="110"/>
        </w:rPr>
        <w:t>such as</w:t>
      </w:r>
      <w:r w:rsidRPr="00D96DB6">
        <w:rPr>
          <w:spacing w:val="-3"/>
          <w:w w:val="110"/>
        </w:rPr>
        <w:t xml:space="preserve"> </w:t>
      </w:r>
      <w:r w:rsidRPr="00D96DB6">
        <w:rPr>
          <w:w w:val="110"/>
        </w:rPr>
        <w:t>broadband</w:t>
      </w:r>
      <w:r w:rsidRPr="00D96DB6">
        <w:rPr>
          <w:spacing w:val="-5"/>
          <w:w w:val="110"/>
        </w:rPr>
        <w:t xml:space="preserve"> </w:t>
      </w:r>
      <w:r w:rsidRPr="00D96DB6">
        <w:rPr>
          <w:w w:val="110"/>
        </w:rPr>
        <w:t>internet</w:t>
      </w:r>
      <w:r w:rsidRPr="00D96DB6">
        <w:rPr>
          <w:spacing w:val="-1"/>
          <w:w w:val="110"/>
        </w:rPr>
        <w:t xml:space="preserve"> </w:t>
      </w:r>
      <w:r w:rsidRPr="00D96DB6">
        <w:rPr>
          <w:w w:val="110"/>
        </w:rPr>
        <w:t>and telephone services.</w:t>
      </w:r>
    </w:p>
    <w:p w14:paraId="614A0394" w14:textId="77777777" w:rsidR="00811887" w:rsidRPr="00D96DB6" w:rsidRDefault="00811887" w:rsidP="00811887">
      <w:pPr>
        <w:pStyle w:val="BodyText"/>
        <w:tabs>
          <w:tab w:val="left" w:pos="1334"/>
        </w:tabs>
        <w:spacing w:before="116" w:line="268" w:lineRule="auto"/>
        <w:ind w:left="1334" w:right="644" w:hanging="361"/>
      </w:pPr>
      <w:r w:rsidRPr="00D96DB6">
        <w:rPr>
          <w:spacing w:val="-10"/>
          <w:w w:val="110"/>
        </w:rPr>
        <w:t>»</w:t>
      </w:r>
      <w:r w:rsidRPr="00D96DB6">
        <w:tab/>
      </w:r>
      <w:r w:rsidRPr="00D96DB6">
        <w:rPr>
          <w:w w:val="110"/>
        </w:rPr>
        <w:t>Waste</w:t>
      </w:r>
      <w:r w:rsidRPr="00D96DB6">
        <w:rPr>
          <w:spacing w:val="-3"/>
          <w:w w:val="110"/>
        </w:rPr>
        <w:t xml:space="preserve"> </w:t>
      </w:r>
      <w:r w:rsidRPr="00D96DB6">
        <w:rPr>
          <w:w w:val="110"/>
        </w:rPr>
        <w:t>Management:</w:t>
      </w:r>
      <w:r w:rsidRPr="00D96DB6">
        <w:rPr>
          <w:spacing w:val="-7"/>
          <w:w w:val="110"/>
        </w:rPr>
        <w:t xml:space="preserve"> </w:t>
      </w:r>
      <w:r w:rsidRPr="00D96DB6">
        <w:rPr>
          <w:w w:val="110"/>
        </w:rPr>
        <w:t>Systems</w:t>
      </w:r>
      <w:r w:rsidRPr="00D96DB6">
        <w:rPr>
          <w:spacing w:val="-5"/>
          <w:w w:val="110"/>
        </w:rPr>
        <w:t xml:space="preserve"> </w:t>
      </w:r>
      <w:r w:rsidRPr="00D96DB6">
        <w:rPr>
          <w:w w:val="110"/>
        </w:rPr>
        <w:t>for</w:t>
      </w:r>
      <w:r w:rsidRPr="00D96DB6">
        <w:rPr>
          <w:spacing w:val="-4"/>
          <w:w w:val="110"/>
        </w:rPr>
        <w:t xml:space="preserve"> </w:t>
      </w:r>
      <w:r w:rsidRPr="00D96DB6">
        <w:rPr>
          <w:w w:val="110"/>
        </w:rPr>
        <w:t>the</w:t>
      </w:r>
      <w:r w:rsidRPr="00D96DB6">
        <w:rPr>
          <w:spacing w:val="-7"/>
          <w:w w:val="110"/>
        </w:rPr>
        <w:t xml:space="preserve"> </w:t>
      </w:r>
      <w:r w:rsidRPr="00D96DB6">
        <w:rPr>
          <w:w w:val="110"/>
        </w:rPr>
        <w:t>proper</w:t>
      </w:r>
      <w:r w:rsidRPr="00D96DB6">
        <w:rPr>
          <w:spacing w:val="-4"/>
          <w:w w:val="110"/>
        </w:rPr>
        <w:t xml:space="preserve"> </w:t>
      </w:r>
      <w:r w:rsidRPr="00D96DB6">
        <w:rPr>
          <w:w w:val="110"/>
        </w:rPr>
        <w:t>disposal</w:t>
      </w:r>
      <w:r w:rsidRPr="00D96DB6">
        <w:rPr>
          <w:spacing w:val="-5"/>
          <w:w w:val="110"/>
        </w:rPr>
        <w:t xml:space="preserve"> </w:t>
      </w:r>
      <w:r w:rsidRPr="00D96DB6">
        <w:rPr>
          <w:w w:val="110"/>
        </w:rPr>
        <w:t>and</w:t>
      </w:r>
      <w:r w:rsidRPr="00D96DB6">
        <w:rPr>
          <w:spacing w:val="-3"/>
          <w:w w:val="110"/>
        </w:rPr>
        <w:t xml:space="preserve"> </w:t>
      </w:r>
      <w:r w:rsidRPr="00D96DB6">
        <w:rPr>
          <w:w w:val="110"/>
        </w:rPr>
        <w:t>recycling</w:t>
      </w:r>
      <w:r w:rsidRPr="00D96DB6">
        <w:rPr>
          <w:spacing w:val="-7"/>
          <w:w w:val="110"/>
        </w:rPr>
        <w:t xml:space="preserve"> </w:t>
      </w:r>
      <w:r w:rsidRPr="00D96DB6">
        <w:rPr>
          <w:w w:val="110"/>
        </w:rPr>
        <w:t>of</w:t>
      </w:r>
      <w:r w:rsidRPr="00D96DB6">
        <w:rPr>
          <w:spacing w:val="-1"/>
          <w:w w:val="110"/>
        </w:rPr>
        <w:t xml:space="preserve"> </w:t>
      </w:r>
      <w:r w:rsidRPr="00D96DB6">
        <w:rPr>
          <w:w w:val="110"/>
        </w:rPr>
        <w:t>waste,</w:t>
      </w:r>
      <w:r w:rsidRPr="00D96DB6">
        <w:rPr>
          <w:spacing w:val="-7"/>
          <w:w w:val="110"/>
        </w:rPr>
        <w:t xml:space="preserve"> </w:t>
      </w:r>
      <w:r w:rsidRPr="00D96DB6">
        <w:rPr>
          <w:w w:val="110"/>
        </w:rPr>
        <w:t>including</w:t>
      </w:r>
      <w:r w:rsidRPr="00D96DB6">
        <w:rPr>
          <w:spacing w:val="-3"/>
          <w:w w:val="110"/>
        </w:rPr>
        <w:t xml:space="preserve"> </w:t>
      </w:r>
      <w:r w:rsidRPr="00D96DB6">
        <w:rPr>
          <w:w w:val="110"/>
        </w:rPr>
        <w:t>garbage collection services and</w:t>
      </w:r>
      <w:r w:rsidRPr="00D96DB6">
        <w:rPr>
          <w:spacing w:val="-1"/>
          <w:w w:val="110"/>
        </w:rPr>
        <w:t xml:space="preserve"> </w:t>
      </w:r>
      <w:r w:rsidRPr="00D96DB6">
        <w:rPr>
          <w:w w:val="110"/>
        </w:rPr>
        <w:t>landfill facilities, that contribute</w:t>
      </w:r>
      <w:r w:rsidRPr="00D96DB6">
        <w:rPr>
          <w:spacing w:val="-1"/>
          <w:w w:val="110"/>
        </w:rPr>
        <w:t xml:space="preserve"> </w:t>
      </w:r>
      <w:r w:rsidRPr="00D96DB6">
        <w:rPr>
          <w:w w:val="110"/>
        </w:rPr>
        <w:t>to a clean and</w:t>
      </w:r>
      <w:r w:rsidRPr="00D96DB6">
        <w:rPr>
          <w:spacing w:val="-1"/>
          <w:w w:val="110"/>
        </w:rPr>
        <w:t xml:space="preserve"> </w:t>
      </w:r>
      <w:r w:rsidRPr="00D96DB6">
        <w:rPr>
          <w:w w:val="110"/>
        </w:rPr>
        <w:t xml:space="preserve">healthy living </w:t>
      </w:r>
      <w:r w:rsidRPr="00D96DB6">
        <w:rPr>
          <w:spacing w:val="-2"/>
          <w:w w:val="110"/>
        </w:rPr>
        <w:t>environment.</w:t>
      </w:r>
    </w:p>
    <w:p w14:paraId="6F782BDD" w14:textId="77777777" w:rsidR="00811887" w:rsidRPr="00D96DB6" w:rsidRDefault="00811887" w:rsidP="00811887">
      <w:pPr>
        <w:pStyle w:val="BodyText"/>
        <w:tabs>
          <w:tab w:val="left" w:pos="1334"/>
        </w:tabs>
        <w:spacing w:before="116" w:line="268" w:lineRule="auto"/>
        <w:ind w:left="1334" w:right="691" w:hanging="361"/>
      </w:pPr>
      <w:r w:rsidRPr="00D96DB6">
        <w:rPr>
          <w:spacing w:val="-10"/>
          <w:w w:val="110"/>
        </w:rPr>
        <w:t>»</w:t>
      </w:r>
      <w:r w:rsidRPr="00D96DB6">
        <w:tab/>
      </w:r>
      <w:r w:rsidRPr="00D96DB6">
        <w:rPr>
          <w:w w:val="110"/>
        </w:rPr>
        <w:t>Access to public and emergency services: Access to public services such as health centres, schools, government offices</w:t>
      </w:r>
      <w:r w:rsidRPr="00D96DB6">
        <w:rPr>
          <w:spacing w:val="-3"/>
          <w:w w:val="110"/>
        </w:rPr>
        <w:t xml:space="preserve"> </w:t>
      </w:r>
      <w:r w:rsidRPr="00D96DB6">
        <w:rPr>
          <w:w w:val="110"/>
        </w:rPr>
        <w:t>or</w:t>
      </w:r>
      <w:r w:rsidRPr="00D96DB6">
        <w:rPr>
          <w:spacing w:val="-2"/>
          <w:w w:val="110"/>
        </w:rPr>
        <w:t xml:space="preserve"> </w:t>
      </w:r>
      <w:r w:rsidRPr="00D96DB6">
        <w:rPr>
          <w:w w:val="110"/>
        </w:rPr>
        <w:t>service providers, post</w:t>
      </w:r>
      <w:r w:rsidRPr="00D96DB6">
        <w:rPr>
          <w:spacing w:val="-5"/>
          <w:w w:val="110"/>
        </w:rPr>
        <w:t xml:space="preserve"> </w:t>
      </w:r>
      <w:r w:rsidRPr="00D96DB6">
        <w:rPr>
          <w:w w:val="110"/>
        </w:rPr>
        <w:t>offices, and emergency</w:t>
      </w:r>
      <w:r w:rsidRPr="00D96DB6">
        <w:rPr>
          <w:spacing w:val="-6"/>
          <w:w w:val="110"/>
        </w:rPr>
        <w:t xml:space="preserve"> </w:t>
      </w:r>
      <w:r w:rsidRPr="00D96DB6">
        <w:rPr>
          <w:w w:val="110"/>
        </w:rPr>
        <w:t>services</w:t>
      </w:r>
      <w:r w:rsidRPr="00D96DB6">
        <w:rPr>
          <w:spacing w:val="-3"/>
          <w:w w:val="110"/>
        </w:rPr>
        <w:t xml:space="preserve"> </w:t>
      </w:r>
      <w:r w:rsidRPr="00D96DB6">
        <w:rPr>
          <w:w w:val="110"/>
        </w:rPr>
        <w:t>such as fire stations, police stations, and acute medical facilities (e.g. hospitals).</w:t>
      </w:r>
    </w:p>
    <w:p w14:paraId="7037BB16" w14:textId="77777777" w:rsidR="00811887" w:rsidRPr="00FD40B8" w:rsidRDefault="00811887" w:rsidP="00811887">
      <w:pPr>
        <w:pStyle w:val="BodyText"/>
        <w:tabs>
          <w:tab w:val="left" w:pos="1334"/>
        </w:tabs>
        <w:spacing w:before="106" w:line="264" w:lineRule="auto"/>
        <w:ind w:left="1334" w:right="997" w:hanging="361"/>
        <w:rPr>
          <w:color w:val="131727" w:themeColor="text1"/>
        </w:rPr>
      </w:pPr>
      <w:r w:rsidRPr="00D96DB6">
        <w:rPr>
          <w:spacing w:val="-10"/>
          <w:w w:val="110"/>
          <w:sz w:val="21"/>
        </w:rPr>
        <w:t>»</w:t>
      </w:r>
      <w:r w:rsidRPr="00D96DB6">
        <w:rPr>
          <w:sz w:val="21"/>
        </w:rPr>
        <w:tab/>
      </w:r>
      <w:r w:rsidRPr="00D96DB6">
        <w:rPr>
          <w:w w:val="110"/>
        </w:rPr>
        <w:t>Urban Planning:</w:t>
      </w:r>
      <w:r w:rsidRPr="00D96DB6">
        <w:rPr>
          <w:spacing w:val="-5"/>
          <w:w w:val="110"/>
        </w:rPr>
        <w:t xml:space="preserve"> </w:t>
      </w:r>
      <w:r w:rsidRPr="00D96DB6">
        <w:rPr>
          <w:w w:val="110"/>
        </w:rPr>
        <w:t>Planning</w:t>
      </w:r>
      <w:r w:rsidRPr="00D96DB6">
        <w:rPr>
          <w:spacing w:val="-1"/>
          <w:w w:val="110"/>
        </w:rPr>
        <w:t xml:space="preserve"> </w:t>
      </w:r>
      <w:r w:rsidRPr="00D96DB6">
        <w:rPr>
          <w:w w:val="110"/>
        </w:rPr>
        <w:t>and</w:t>
      </w:r>
      <w:r w:rsidRPr="00D96DB6">
        <w:rPr>
          <w:spacing w:val="-1"/>
          <w:w w:val="110"/>
        </w:rPr>
        <w:t xml:space="preserve"> </w:t>
      </w:r>
      <w:r w:rsidRPr="00D96DB6">
        <w:rPr>
          <w:w w:val="110"/>
        </w:rPr>
        <w:t>zoning</w:t>
      </w:r>
      <w:r w:rsidRPr="00D96DB6">
        <w:rPr>
          <w:spacing w:val="-1"/>
          <w:w w:val="110"/>
        </w:rPr>
        <w:t xml:space="preserve"> </w:t>
      </w:r>
      <w:r w:rsidRPr="00D96DB6">
        <w:rPr>
          <w:w w:val="110"/>
        </w:rPr>
        <w:t>regulations,</w:t>
      </w:r>
      <w:r w:rsidRPr="00D96DB6">
        <w:rPr>
          <w:spacing w:val="-1"/>
          <w:w w:val="110"/>
        </w:rPr>
        <w:t xml:space="preserve"> </w:t>
      </w:r>
      <w:r w:rsidRPr="00D96DB6">
        <w:rPr>
          <w:w w:val="110"/>
        </w:rPr>
        <w:t>which often also</w:t>
      </w:r>
      <w:r w:rsidRPr="00D96DB6">
        <w:rPr>
          <w:spacing w:val="-4"/>
          <w:w w:val="110"/>
        </w:rPr>
        <w:t xml:space="preserve"> </w:t>
      </w:r>
      <w:r w:rsidRPr="00D96DB6">
        <w:rPr>
          <w:w w:val="110"/>
        </w:rPr>
        <w:t>considers</w:t>
      </w:r>
      <w:r w:rsidRPr="00D96DB6">
        <w:rPr>
          <w:spacing w:val="-4"/>
          <w:w w:val="110"/>
        </w:rPr>
        <w:t xml:space="preserve"> </w:t>
      </w:r>
      <w:r w:rsidRPr="00D96DB6">
        <w:rPr>
          <w:w w:val="110"/>
        </w:rPr>
        <w:t xml:space="preserve">infrastructure </w:t>
      </w:r>
      <w:r w:rsidRPr="00D96DB6">
        <w:rPr>
          <w:spacing w:val="-2"/>
          <w:w w:val="110"/>
        </w:rPr>
        <w:t>capacity</w:t>
      </w:r>
      <w:r w:rsidRPr="00FD40B8">
        <w:rPr>
          <w:color w:val="131727" w:themeColor="text1"/>
          <w:spacing w:val="-2"/>
          <w:w w:val="110"/>
        </w:rPr>
        <w:t>.</w:t>
      </w:r>
    </w:p>
    <w:p w14:paraId="25113A4C" w14:textId="77777777" w:rsidR="00811887" w:rsidRPr="00FD40B8" w:rsidRDefault="00811887" w:rsidP="00811887">
      <w:pPr>
        <w:pStyle w:val="BodyText"/>
        <w:rPr>
          <w:color w:val="131727" w:themeColor="text1"/>
        </w:rPr>
      </w:pPr>
    </w:p>
    <w:p w14:paraId="20F64077" w14:textId="77777777" w:rsidR="00811887" w:rsidRPr="00FD40B8" w:rsidRDefault="00811887" w:rsidP="00811887">
      <w:pPr>
        <w:pStyle w:val="BodyText"/>
        <w:spacing w:before="140"/>
        <w:rPr>
          <w:color w:val="131727" w:themeColor="text1"/>
        </w:rPr>
      </w:pPr>
    </w:p>
    <w:p w14:paraId="2213DA51" w14:textId="77777777" w:rsidR="00811887" w:rsidRPr="00FD40B8" w:rsidRDefault="00811887" w:rsidP="00811887">
      <w:pPr>
        <w:pStyle w:val="Heading8"/>
        <w:rPr>
          <w:color w:val="131727" w:themeColor="text1"/>
        </w:rPr>
      </w:pPr>
      <w:r w:rsidRPr="00FD40B8">
        <w:rPr>
          <w:color w:val="131727" w:themeColor="text1"/>
        </w:rPr>
        <w:t>Responsibility</w:t>
      </w:r>
      <w:r w:rsidRPr="00FD40B8">
        <w:rPr>
          <w:color w:val="131727" w:themeColor="text1"/>
          <w:spacing w:val="-4"/>
        </w:rPr>
        <w:t xml:space="preserve"> </w:t>
      </w:r>
      <w:r w:rsidRPr="00FD40B8">
        <w:rPr>
          <w:color w:val="131727" w:themeColor="text1"/>
        </w:rPr>
        <w:t>for</w:t>
      </w:r>
      <w:r w:rsidRPr="00FD40B8">
        <w:rPr>
          <w:color w:val="131727" w:themeColor="text1"/>
          <w:spacing w:val="-7"/>
        </w:rPr>
        <w:t xml:space="preserve"> </w:t>
      </w:r>
      <w:r w:rsidRPr="00FD40B8">
        <w:rPr>
          <w:color w:val="131727" w:themeColor="text1"/>
        </w:rPr>
        <w:t>data</w:t>
      </w:r>
      <w:r w:rsidRPr="00FD40B8">
        <w:rPr>
          <w:color w:val="131727" w:themeColor="text1"/>
          <w:spacing w:val="1"/>
        </w:rPr>
        <w:t xml:space="preserve"> </w:t>
      </w:r>
      <w:r w:rsidRPr="00FD40B8">
        <w:rPr>
          <w:color w:val="131727" w:themeColor="text1"/>
          <w:spacing w:val="-2"/>
        </w:rPr>
        <w:t>collection</w:t>
      </w:r>
    </w:p>
    <w:p w14:paraId="6EAB1B08" w14:textId="77777777" w:rsidR="00811887" w:rsidRPr="00FD40B8" w:rsidRDefault="00811887" w:rsidP="00811887">
      <w:pPr>
        <w:pStyle w:val="BodyText"/>
        <w:spacing w:before="265" w:line="268" w:lineRule="auto"/>
        <w:ind w:left="508" w:right="532"/>
        <w:rPr>
          <w:color w:val="131727" w:themeColor="text1"/>
        </w:rPr>
      </w:pPr>
      <w:r w:rsidRPr="00FD40B8">
        <w:rPr>
          <w:color w:val="131727" w:themeColor="text1"/>
          <w:w w:val="110"/>
        </w:rPr>
        <w:t>There is no designated entity, governance structure or accountability mechanism in the Commonwealth Government with the remit or resources to interpret and enhance current remote Aboriginal and Torres Strait Islander housing data collection, and no one has a clear, comprehensive understanding of the full extent</w:t>
      </w:r>
      <w:r w:rsidRPr="00FD40B8">
        <w:rPr>
          <w:color w:val="131727" w:themeColor="text1"/>
          <w:spacing w:val="-7"/>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currently</w:t>
      </w:r>
      <w:r w:rsidRPr="00FD40B8">
        <w:rPr>
          <w:color w:val="131727" w:themeColor="text1"/>
          <w:spacing w:val="-4"/>
          <w:w w:val="110"/>
        </w:rPr>
        <w:t xml:space="preserve"> </w:t>
      </w:r>
      <w:r w:rsidRPr="00FD40B8">
        <w:rPr>
          <w:color w:val="131727" w:themeColor="text1"/>
          <w:w w:val="110"/>
        </w:rPr>
        <w:t>available. There</w:t>
      </w:r>
      <w:r w:rsidRPr="00FD40B8">
        <w:rPr>
          <w:color w:val="131727" w:themeColor="text1"/>
          <w:spacing w:val="-7"/>
          <w:w w:val="110"/>
        </w:rPr>
        <w:t xml:space="preserve"> </w:t>
      </w:r>
      <w:r w:rsidRPr="00FD40B8">
        <w:rPr>
          <w:color w:val="131727" w:themeColor="text1"/>
          <w:w w:val="110"/>
        </w:rPr>
        <w:t>is also</w:t>
      </w:r>
      <w:r w:rsidRPr="00FD40B8">
        <w:rPr>
          <w:color w:val="131727" w:themeColor="text1"/>
          <w:spacing w:val="-5"/>
          <w:w w:val="110"/>
        </w:rPr>
        <w:t xml:space="preserve"> </w:t>
      </w:r>
      <w:r w:rsidRPr="00FD40B8">
        <w:rPr>
          <w:color w:val="131727" w:themeColor="text1"/>
          <w:w w:val="110"/>
        </w:rPr>
        <w:t>no</w:t>
      </w:r>
      <w:r w:rsidRPr="00FD40B8">
        <w:rPr>
          <w:color w:val="131727" w:themeColor="text1"/>
          <w:spacing w:val="-5"/>
          <w:w w:val="110"/>
        </w:rPr>
        <w:t xml:space="preserve"> </w:t>
      </w:r>
      <w:r w:rsidRPr="00FD40B8">
        <w:rPr>
          <w:color w:val="131727" w:themeColor="text1"/>
          <w:w w:val="110"/>
        </w:rPr>
        <w:t>designated responsibility</w:t>
      </w:r>
      <w:r w:rsidRPr="00FD40B8">
        <w:rPr>
          <w:color w:val="131727" w:themeColor="text1"/>
          <w:spacing w:val="-8"/>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collating</w:t>
      </w:r>
      <w:r w:rsidRPr="00FD40B8">
        <w:rPr>
          <w:color w:val="131727" w:themeColor="text1"/>
          <w:spacing w:val="-7"/>
          <w:w w:val="110"/>
        </w:rPr>
        <w:t xml:space="preserve"> </w:t>
      </w:r>
      <w:r w:rsidRPr="00FD40B8">
        <w:rPr>
          <w:color w:val="131727" w:themeColor="text1"/>
          <w:w w:val="110"/>
        </w:rPr>
        <w:t>existing</w:t>
      </w:r>
      <w:r w:rsidRPr="00FD40B8">
        <w:rPr>
          <w:color w:val="131727" w:themeColor="text1"/>
          <w:spacing w:val="-7"/>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and ensuring it is brought to the policy discussions underway on improving housing outcomes for Aboriginal and Torres Strait Islander</w:t>
      </w:r>
      <w:r w:rsidRPr="00FD40B8">
        <w:rPr>
          <w:color w:val="131727" w:themeColor="text1"/>
          <w:spacing w:val="-1"/>
          <w:w w:val="110"/>
        </w:rPr>
        <w:t xml:space="preserve"> </w:t>
      </w:r>
      <w:r w:rsidRPr="00FD40B8">
        <w:rPr>
          <w:color w:val="131727" w:themeColor="text1"/>
          <w:w w:val="110"/>
        </w:rPr>
        <w:t>people. Key</w:t>
      </w:r>
      <w:r w:rsidRPr="00FD40B8">
        <w:rPr>
          <w:color w:val="131727" w:themeColor="text1"/>
          <w:spacing w:val="-1"/>
          <w:w w:val="110"/>
        </w:rPr>
        <w:t xml:space="preserve"> </w:t>
      </w:r>
      <w:r w:rsidRPr="00FD40B8">
        <w:rPr>
          <w:color w:val="131727" w:themeColor="text1"/>
          <w:w w:val="110"/>
        </w:rPr>
        <w:t>entities with varying</w:t>
      </w:r>
      <w:r w:rsidRPr="00FD40B8">
        <w:rPr>
          <w:color w:val="131727" w:themeColor="text1"/>
          <w:spacing w:val="-4"/>
          <w:w w:val="110"/>
        </w:rPr>
        <w:t xml:space="preserve"> </w:t>
      </w:r>
      <w:r w:rsidRPr="00FD40B8">
        <w:rPr>
          <w:color w:val="131727" w:themeColor="text1"/>
          <w:w w:val="110"/>
        </w:rPr>
        <w:t>levels</w:t>
      </w:r>
      <w:r w:rsidRPr="00FD40B8">
        <w:rPr>
          <w:color w:val="131727" w:themeColor="text1"/>
          <w:spacing w:val="-2"/>
          <w:w w:val="110"/>
        </w:rPr>
        <w:t xml:space="preserve"> </w:t>
      </w:r>
      <w:r w:rsidRPr="00FD40B8">
        <w:rPr>
          <w:color w:val="131727" w:themeColor="text1"/>
          <w:w w:val="110"/>
        </w:rPr>
        <w:t>of responsibility</w:t>
      </w:r>
      <w:r w:rsidRPr="00FD40B8">
        <w:rPr>
          <w:color w:val="131727" w:themeColor="text1"/>
          <w:spacing w:val="-1"/>
          <w:w w:val="110"/>
        </w:rPr>
        <w:t xml:space="preserve"> </w:t>
      </w:r>
      <w:r w:rsidRPr="00FD40B8">
        <w:rPr>
          <w:color w:val="131727" w:themeColor="text1"/>
          <w:w w:val="110"/>
        </w:rPr>
        <w:t>include</w:t>
      </w:r>
      <w:r w:rsidRPr="00FD40B8">
        <w:rPr>
          <w:color w:val="131727" w:themeColor="text1"/>
          <w:spacing w:val="-4"/>
          <w:w w:val="110"/>
        </w:rPr>
        <w:t xml:space="preserve"> </w:t>
      </w:r>
      <w:r w:rsidRPr="00FD40B8">
        <w:rPr>
          <w:color w:val="131727" w:themeColor="text1"/>
          <w:w w:val="110"/>
        </w:rPr>
        <w:t>the ABS,</w:t>
      </w:r>
      <w:r w:rsidRPr="00FD40B8">
        <w:rPr>
          <w:color w:val="131727" w:themeColor="text1"/>
          <w:spacing w:val="-4"/>
          <w:w w:val="110"/>
        </w:rPr>
        <w:t xml:space="preserve"> </w:t>
      </w:r>
      <w:r w:rsidRPr="00FD40B8">
        <w:rPr>
          <w:color w:val="131727" w:themeColor="text1"/>
          <w:w w:val="110"/>
        </w:rPr>
        <w:t>AIHW, the PC, DSS, NIAA, Treasury, DITRDCA and IBA.</w:t>
      </w:r>
    </w:p>
    <w:p w14:paraId="3538F84B" w14:textId="77777777" w:rsidR="00811887" w:rsidRPr="00FD40B8" w:rsidRDefault="00811887" w:rsidP="00811887">
      <w:pPr>
        <w:pStyle w:val="BodyText"/>
        <w:spacing w:before="232" w:line="266" w:lineRule="auto"/>
        <w:ind w:left="508" w:right="432"/>
        <w:rPr>
          <w:color w:val="131727" w:themeColor="text1"/>
        </w:rPr>
      </w:pP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addition,</w:t>
      </w:r>
      <w:r w:rsidRPr="00FD40B8">
        <w:rPr>
          <w:color w:val="131727" w:themeColor="text1"/>
          <w:spacing w:val="-2"/>
          <w:w w:val="110"/>
        </w:rPr>
        <w:t xml:space="preserve"> </w:t>
      </w:r>
      <w:r w:rsidRPr="00FD40B8">
        <w:rPr>
          <w:color w:val="131727" w:themeColor="text1"/>
          <w:w w:val="110"/>
        </w:rPr>
        <w:t>there</w:t>
      </w:r>
      <w:r w:rsidRPr="00FD40B8">
        <w:rPr>
          <w:color w:val="131727" w:themeColor="text1"/>
          <w:spacing w:val="-2"/>
          <w:w w:val="110"/>
        </w:rPr>
        <w:t xml:space="preserve"> </w:t>
      </w:r>
      <w:r w:rsidRPr="00FD40B8">
        <w:rPr>
          <w:color w:val="131727" w:themeColor="text1"/>
          <w:w w:val="110"/>
        </w:rPr>
        <w:t>are</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3"/>
          <w:w w:val="110"/>
        </w:rPr>
        <w:t xml:space="preserve"> </w:t>
      </w:r>
      <w:r w:rsidRPr="00FD40B8">
        <w:rPr>
          <w:color w:val="131727" w:themeColor="text1"/>
          <w:w w:val="110"/>
        </w:rPr>
        <w:t>range</w:t>
      </w:r>
      <w:r w:rsidRPr="00FD40B8">
        <w:rPr>
          <w:color w:val="131727" w:themeColor="text1"/>
          <w:spacing w:val="-6"/>
          <w:w w:val="110"/>
        </w:rPr>
        <w:t xml:space="preserve"> </w:t>
      </w:r>
      <w:r w:rsidRPr="00FD40B8">
        <w:rPr>
          <w:color w:val="131727" w:themeColor="text1"/>
          <w:w w:val="110"/>
        </w:rPr>
        <w:t>of working</w:t>
      </w:r>
      <w:r w:rsidRPr="00FD40B8">
        <w:rPr>
          <w:color w:val="131727" w:themeColor="text1"/>
          <w:spacing w:val="-2"/>
          <w:w w:val="110"/>
        </w:rPr>
        <w:t xml:space="preserve"> </w:t>
      </w:r>
      <w:r w:rsidRPr="00FD40B8">
        <w:rPr>
          <w:color w:val="131727" w:themeColor="text1"/>
          <w:w w:val="110"/>
        </w:rPr>
        <w:t>groups considering opportunities to</w:t>
      </w:r>
      <w:r w:rsidRPr="00FD40B8">
        <w:rPr>
          <w:color w:val="131727" w:themeColor="text1"/>
          <w:spacing w:val="-4"/>
          <w:w w:val="110"/>
        </w:rPr>
        <w:t xml:space="preserve"> </w:t>
      </w:r>
      <w:r w:rsidRPr="00FD40B8">
        <w:rPr>
          <w:color w:val="131727" w:themeColor="text1"/>
          <w:w w:val="110"/>
        </w:rPr>
        <w:t>improve</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7"/>
          <w:w w:val="110"/>
        </w:rPr>
        <w:t xml:space="preserve"> </w:t>
      </w:r>
      <w:r w:rsidRPr="00FD40B8">
        <w:rPr>
          <w:color w:val="131727" w:themeColor="text1"/>
          <w:w w:val="110"/>
        </w:rPr>
        <w:t>collection</w:t>
      </w:r>
      <w:r w:rsidRPr="00FD40B8">
        <w:rPr>
          <w:color w:val="131727" w:themeColor="text1"/>
          <w:spacing w:val="-5"/>
          <w:w w:val="110"/>
        </w:rPr>
        <w:t xml:space="preserve"> </w:t>
      </w:r>
      <w:r w:rsidRPr="00FD40B8">
        <w:rPr>
          <w:color w:val="131727" w:themeColor="text1"/>
          <w:w w:val="110"/>
        </w:rPr>
        <w:t>and use, but these do not seem to be coordinated. For example, the working group established to improve data available under the Closing the Gap Agreement, including housing, and the NHHA’s data improvement working group do not appear to be joined up. This is discussed further below.</w:t>
      </w:r>
    </w:p>
    <w:p w14:paraId="659A2EC9" w14:textId="77777777" w:rsidR="00811887" w:rsidRPr="00FD40B8" w:rsidRDefault="00811887" w:rsidP="00811887">
      <w:pPr>
        <w:spacing w:line="266" w:lineRule="auto"/>
        <w:rPr>
          <w:color w:val="131727" w:themeColor="text1"/>
        </w:rPr>
        <w:sectPr w:rsidR="00811887" w:rsidRPr="00FD40B8" w:rsidSect="00811887">
          <w:pgSz w:w="11910" w:h="16840"/>
          <w:pgMar w:top="1300" w:right="720" w:bottom="1080" w:left="740" w:header="0" w:footer="885" w:gutter="0"/>
          <w:cols w:space="720"/>
        </w:sectPr>
      </w:pPr>
    </w:p>
    <w:p w14:paraId="6701B12E" w14:textId="77777777" w:rsidR="00811887" w:rsidRPr="00FD40B8" w:rsidRDefault="00811887" w:rsidP="00811887">
      <w:pPr>
        <w:pStyle w:val="BodyText"/>
        <w:spacing w:before="103" w:line="268" w:lineRule="auto"/>
        <w:ind w:left="508" w:right="598"/>
        <w:rPr>
          <w:color w:val="131727" w:themeColor="text1"/>
        </w:rPr>
      </w:pPr>
      <w:r w:rsidRPr="00FD40B8">
        <w:rPr>
          <w:color w:val="131727" w:themeColor="text1"/>
          <w:w w:val="110"/>
        </w:rPr>
        <w:lastRenderedPageBreak/>
        <w:t>This is a likely outcome of fragmented responsibility for delivering housing and infrastructure for Aboriginal and Torres Strait Islander people across Australian Government departments and agencies and</w:t>
      </w:r>
      <w:r w:rsidRPr="00FD40B8">
        <w:rPr>
          <w:color w:val="131727" w:themeColor="text1"/>
          <w:spacing w:val="-6"/>
          <w:w w:val="110"/>
        </w:rPr>
        <w:t xml:space="preserve"> </w:t>
      </w:r>
      <w:r w:rsidRPr="00FD40B8">
        <w:rPr>
          <w:color w:val="131727" w:themeColor="text1"/>
          <w:w w:val="110"/>
        </w:rPr>
        <w:t>across</w:t>
      </w:r>
      <w:r w:rsidRPr="00FD40B8">
        <w:rPr>
          <w:color w:val="131727" w:themeColor="text1"/>
          <w:spacing w:val="-8"/>
          <w:w w:val="110"/>
        </w:rPr>
        <w:t xml:space="preserve"> </w:t>
      </w:r>
      <w:r w:rsidRPr="00FD40B8">
        <w:rPr>
          <w:color w:val="131727" w:themeColor="text1"/>
          <w:w w:val="110"/>
        </w:rPr>
        <w:t>all</w:t>
      </w:r>
      <w:r w:rsidRPr="00FD40B8">
        <w:rPr>
          <w:color w:val="131727" w:themeColor="text1"/>
          <w:spacing w:val="-4"/>
          <w:w w:val="110"/>
        </w:rPr>
        <w:t xml:space="preserve"> </w:t>
      </w:r>
      <w:r w:rsidRPr="00FD40B8">
        <w:rPr>
          <w:color w:val="131727" w:themeColor="text1"/>
          <w:w w:val="110"/>
        </w:rPr>
        <w:t>governments.</w:t>
      </w:r>
      <w:r w:rsidRPr="00FD40B8">
        <w:rPr>
          <w:color w:val="131727" w:themeColor="text1"/>
          <w:spacing w:val="-10"/>
          <w:w w:val="110"/>
        </w:rPr>
        <w:t xml:space="preserve"> </w:t>
      </w:r>
      <w:r w:rsidRPr="00FD40B8">
        <w:rPr>
          <w:color w:val="131727" w:themeColor="text1"/>
          <w:w w:val="110"/>
        </w:rPr>
        <w:t>Moreover,</w:t>
      </w:r>
      <w:r w:rsidRPr="00FD40B8">
        <w:rPr>
          <w:color w:val="131727" w:themeColor="text1"/>
          <w:spacing w:val="-6"/>
          <w:w w:val="110"/>
        </w:rPr>
        <w:t xml:space="preserve"> </w:t>
      </w:r>
      <w:r w:rsidRPr="00FD40B8">
        <w:rPr>
          <w:color w:val="131727" w:themeColor="text1"/>
          <w:w w:val="110"/>
        </w:rPr>
        <w:t>ministerial</w:t>
      </w:r>
      <w:r w:rsidRPr="00FD40B8">
        <w:rPr>
          <w:color w:val="131727" w:themeColor="text1"/>
          <w:spacing w:val="-4"/>
          <w:w w:val="110"/>
        </w:rPr>
        <w:t xml:space="preserve"> </w:t>
      </w:r>
      <w:r w:rsidRPr="00FD40B8">
        <w:rPr>
          <w:color w:val="131727" w:themeColor="text1"/>
          <w:w w:val="110"/>
        </w:rPr>
        <w:t>responsibilities</w:t>
      </w:r>
      <w:r w:rsidRPr="00FD40B8">
        <w:rPr>
          <w:color w:val="131727" w:themeColor="text1"/>
          <w:spacing w:val="-8"/>
          <w:w w:val="110"/>
        </w:rPr>
        <w:t xml:space="preserve"> </w:t>
      </w:r>
      <w:r w:rsidRPr="00FD40B8">
        <w:rPr>
          <w:color w:val="131727" w:themeColor="text1"/>
          <w:w w:val="110"/>
        </w:rPr>
        <w:t>at</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commonwealth</w:t>
      </w:r>
      <w:r w:rsidRPr="00FD40B8">
        <w:rPr>
          <w:color w:val="131727" w:themeColor="text1"/>
          <w:spacing w:val="-9"/>
          <w:w w:val="110"/>
        </w:rPr>
        <w:t xml:space="preserve"> </w:t>
      </w:r>
      <w:r w:rsidRPr="00FD40B8">
        <w:rPr>
          <w:color w:val="131727" w:themeColor="text1"/>
          <w:w w:val="110"/>
        </w:rPr>
        <w:t>level</w:t>
      </w:r>
      <w:r w:rsidRPr="00FD40B8">
        <w:rPr>
          <w:color w:val="131727" w:themeColor="text1"/>
          <w:spacing w:val="-8"/>
          <w:w w:val="110"/>
        </w:rPr>
        <w:t xml:space="preserve"> </w:t>
      </w:r>
      <w:r w:rsidRPr="00FD40B8">
        <w:rPr>
          <w:color w:val="131727" w:themeColor="text1"/>
          <w:w w:val="110"/>
        </w:rPr>
        <w:t>appear</w:t>
      </w:r>
      <w:r w:rsidRPr="00FD40B8">
        <w:rPr>
          <w:color w:val="131727" w:themeColor="text1"/>
          <w:spacing w:val="-7"/>
          <w:w w:val="110"/>
        </w:rPr>
        <w:t xml:space="preserve"> </w:t>
      </w:r>
      <w:r w:rsidRPr="00FD40B8">
        <w:rPr>
          <w:color w:val="131727" w:themeColor="text1"/>
          <w:w w:val="110"/>
        </w:rPr>
        <w:t>to be shared between the Minister for Housing and Homelessness, the Treasurer and the Minister for Indigenous Affairs. The Minister for Infrastructure also has some responsibility. This creates a risk of responses not being integrated and cost-effective, noting that all agency representatives expressed to Equity Economics a strong commitment to collaboration.</w:t>
      </w:r>
    </w:p>
    <w:p w14:paraId="46F71B96" w14:textId="77777777" w:rsidR="00811887" w:rsidRPr="00FD40B8" w:rsidRDefault="00811887" w:rsidP="00811887">
      <w:pPr>
        <w:pStyle w:val="BodyText"/>
        <w:spacing w:before="112" w:line="268" w:lineRule="auto"/>
        <w:ind w:left="508" w:right="598"/>
        <w:rPr>
          <w:color w:val="131727" w:themeColor="text1"/>
        </w:rPr>
      </w:pPr>
      <w:r w:rsidRPr="00FD40B8">
        <w:rPr>
          <w:color w:val="131727" w:themeColor="text1"/>
          <w:w w:val="110"/>
        </w:rPr>
        <w:t>Improving</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collection and</w:t>
      </w:r>
      <w:r w:rsidRPr="00FD40B8">
        <w:rPr>
          <w:color w:val="131727" w:themeColor="text1"/>
          <w:spacing w:val="-6"/>
          <w:w w:val="110"/>
        </w:rPr>
        <w:t xml:space="preserve"> </w:t>
      </w:r>
      <w:r w:rsidRPr="00FD40B8">
        <w:rPr>
          <w:color w:val="131727" w:themeColor="text1"/>
          <w:w w:val="110"/>
        </w:rPr>
        <w:t>use</w:t>
      </w:r>
      <w:r w:rsidRPr="00FD40B8">
        <w:rPr>
          <w:color w:val="131727" w:themeColor="text1"/>
          <w:spacing w:val="-1"/>
          <w:w w:val="110"/>
        </w:rPr>
        <w:t xml:space="preserve"> </w:t>
      </w:r>
      <w:r w:rsidRPr="00FD40B8">
        <w:rPr>
          <w:color w:val="131727" w:themeColor="text1"/>
          <w:w w:val="110"/>
        </w:rPr>
        <w:t>on Aboriginal and</w:t>
      </w:r>
      <w:r w:rsidRPr="00FD40B8">
        <w:rPr>
          <w:color w:val="131727" w:themeColor="text1"/>
          <w:spacing w:val="-1"/>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1"/>
          <w:w w:val="110"/>
        </w:rPr>
        <w:t xml:space="preserve"> </w:t>
      </w:r>
      <w:r w:rsidRPr="00FD40B8">
        <w:rPr>
          <w:color w:val="131727" w:themeColor="text1"/>
          <w:w w:val="110"/>
        </w:rPr>
        <w:t>will require clarifying responsibilities and ensure there is a dedicated lead.</w:t>
      </w:r>
    </w:p>
    <w:p w14:paraId="10EA1639" w14:textId="77777777" w:rsidR="00811887" w:rsidRPr="00FD40B8" w:rsidRDefault="00811887" w:rsidP="00811887">
      <w:pPr>
        <w:pStyle w:val="BodyText"/>
        <w:spacing w:before="124"/>
        <w:rPr>
          <w:color w:val="131727" w:themeColor="text1"/>
        </w:rPr>
      </w:pPr>
    </w:p>
    <w:p w14:paraId="7F633C2E" w14:textId="77777777" w:rsidR="00811887" w:rsidRPr="00FD40B8" w:rsidRDefault="00811887" w:rsidP="00811887">
      <w:pPr>
        <w:pStyle w:val="Heading8"/>
        <w:rPr>
          <w:color w:val="131727" w:themeColor="text1"/>
        </w:rPr>
      </w:pPr>
      <w:r w:rsidRPr="00FD40B8">
        <w:rPr>
          <w:color w:val="131727" w:themeColor="text1"/>
        </w:rPr>
        <w:t>Census,</w:t>
      </w:r>
      <w:r w:rsidRPr="00FD40B8">
        <w:rPr>
          <w:color w:val="131727" w:themeColor="text1"/>
          <w:spacing w:val="-2"/>
        </w:rPr>
        <w:t xml:space="preserve"> </w:t>
      </w:r>
      <w:r w:rsidRPr="00FD40B8">
        <w:rPr>
          <w:color w:val="131727" w:themeColor="text1"/>
        </w:rPr>
        <w:t>survey</w:t>
      </w:r>
      <w:r w:rsidRPr="00FD40B8">
        <w:rPr>
          <w:color w:val="131727" w:themeColor="text1"/>
          <w:spacing w:val="-4"/>
        </w:rPr>
        <w:t xml:space="preserve"> </w:t>
      </w:r>
      <w:r w:rsidRPr="00FD40B8">
        <w:rPr>
          <w:color w:val="131727" w:themeColor="text1"/>
        </w:rPr>
        <w:t>and</w:t>
      </w:r>
      <w:r w:rsidRPr="00FD40B8">
        <w:rPr>
          <w:color w:val="131727" w:themeColor="text1"/>
          <w:spacing w:val="-7"/>
        </w:rPr>
        <w:t xml:space="preserve"> </w:t>
      </w:r>
      <w:r w:rsidRPr="00FD40B8">
        <w:rPr>
          <w:color w:val="131727" w:themeColor="text1"/>
        </w:rPr>
        <w:t>administrative</w:t>
      </w:r>
      <w:r w:rsidRPr="00FD40B8">
        <w:rPr>
          <w:color w:val="131727" w:themeColor="text1"/>
          <w:spacing w:val="-4"/>
        </w:rPr>
        <w:t xml:space="preserve"> </w:t>
      </w:r>
      <w:r w:rsidRPr="00FD40B8">
        <w:rPr>
          <w:color w:val="131727" w:themeColor="text1"/>
        </w:rPr>
        <w:t>data</w:t>
      </w:r>
      <w:r w:rsidRPr="00FD40B8">
        <w:rPr>
          <w:color w:val="131727" w:themeColor="text1"/>
          <w:spacing w:val="-3"/>
        </w:rPr>
        <w:t xml:space="preserve"> </w:t>
      </w:r>
      <w:r w:rsidRPr="00FD40B8">
        <w:rPr>
          <w:color w:val="131727" w:themeColor="text1"/>
          <w:spacing w:val="-2"/>
        </w:rPr>
        <w:t>collections</w:t>
      </w:r>
    </w:p>
    <w:p w14:paraId="1D08A8C0" w14:textId="77777777" w:rsidR="00811887" w:rsidRPr="00FD40B8" w:rsidRDefault="00811887" w:rsidP="00811887">
      <w:pPr>
        <w:pStyle w:val="BodyText"/>
        <w:spacing w:before="145" w:line="266" w:lineRule="auto"/>
        <w:ind w:left="508" w:right="598"/>
        <w:rPr>
          <w:color w:val="131727" w:themeColor="text1"/>
        </w:rPr>
      </w:pPr>
      <w:r w:rsidRPr="00FD40B8">
        <w:rPr>
          <w:color w:val="131727" w:themeColor="text1"/>
          <w:w w:val="110"/>
        </w:rPr>
        <w:t>At the national level, current data</w:t>
      </w:r>
      <w:r w:rsidRPr="00FD40B8">
        <w:rPr>
          <w:color w:val="131727" w:themeColor="text1"/>
          <w:spacing w:val="-1"/>
          <w:w w:val="110"/>
        </w:rPr>
        <w:t xml:space="preserve"> </w:t>
      </w:r>
      <w:r w:rsidRPr="00FD40B8">
        <w:rPr>
          <w:color w:val="131727" w:themeColor="text1"/>
          <w:w w:val="110"/>
        </w:rPr>
        <w:t>collection relies on a combination of Census, surveys, and administrative data.</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1"/>
          <w:w w:val="110"/>
        </w:rPr>
        <w:t xml:space="preserve"> </w:t>
      </w:r>
      <w:r w:rsidRPr="00FD40B8">
        <w:rPr>
          <w:color w:val="131727" w:themeColor="text1"/>
          <w:w w:val="110"/>
        </w:rPr>
        <w:t>main public</w:t>
      </w:r>
      <w:r w:rsidRPr="00FD40B8">
        <w:rPr>
          <w:color w:val="131727" w:themeColor="text1"/>
          <w:spacing w:val="-1"/>
          <w:w w:val="110"/>
        </w:rPr>
        <w:t xml:space="preserve"> </w:t>
      </w:r>
      <w:r w:rsidRPr="00FD40B8">
        <w:rPr>
          <w:color w:val="131727" w:themeColor="text1"/>
          <w:w w:val="110"/>
        </w:rPr>
        <w:t>source</w:t>
      </w:r>
      <w:r w:rsidRPr="00FD40B8">
        <w:rPr>
          <w:color w:val="131727" w:themeColor="text1"/>
          <w:spacing w:val="-1"/>
          <w:w w:val="110"/>
        </w:rPr>
        <w:t xml:space="preserve"> </w:t>
      </w:r>
      <w:r w:rsidRPr="00FD40B8">
        <w:rPr>
          <w:color w:val="131727" w:themeColor="text1"/>
          <w:w w:val="110"/>
        </w:rPr>
        <w:t>of housing</w:t>
      </w:r>
      <w:r w:rsidRPr="00FD40B8">
        <w:rPr>
          <w:color w:val="131727" w:themeColor="text1"/>
          <w:spacing w:val="-1"/>
          <w:w w:val="110"/>
        </w:rPr>
        <w:t xml:space="preserve"> </w:t>
      </w:r>
      <w:r w:rsidRPr="00FD40B8">
        <w:rPr>
          <w:color w:val="131727" w:themeColor="text1"/>
          <w:w w:val="110"/>
        </w:rPr>
        <w:t>data is the</w:t>
      </w:r>
      <w:r w:rsidRPr="00FD40B8">
        <w:rPr>
          <w:color w:val="131727" w:themeColor="text1"/>
          <w:spacing w:val="-1"/>
          <w:w w:val="110"/>
        </w:rPr>
        <w:t xml:space="preserve"> </w:t>
      </w:r>
      <w:r w:rsidRPr="00FD40B8">
        <w:rPr>
          <w:color w:val="131727" w:themeColor="text1"/>
          <w:w w:val="110"/>
        </w:rPr>
        <w:t xml:space="preserve">national </w:t>
      </w:r>
      <w:r w:rsidRPr="00FD40B8">
        <w:rPr>
          <w:i/>
          <w:color w:val="131727" w:themeColor="text1"/>
          <w:w w:val="110"/>
        </w:rPr>
        <w:t xml:space="preserve">Census of Population and Housing </w:t>
      </w:r>
      <w:r w:rsidRPr="00FD40B8">
        <w:rPr>
          <w:color w:val="131727" w:themeColor="text1"/>
          <w:w w:val="110"/>
        </w:rPr>
        <w:t>(Census)</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the associated Census Estimates of Homelessness) and</w:t>
      </w:r>
      <w:r w:rsidRPr="00FD40B8">
        <w:rPr>
          <w:color w:val="131727" w:themeColor="text1"/>
          <w:spacing w:val="-4"/>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the responsibility</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 xml:space="preserve">the </w:t>
      </w:r>
      <w:r w:rsidRPr="00FD40B8">
        <w:rPr>
          <w:color w:val="131727" w:themeColor="text1"/>
          <w:spacing w:val="-4"/>
          <w:w w:val="110"/>
        </w:rPr>
        <w:t>ABS.</w:t>
      </w:r>
    </w:p>
    <w:p w14:paraId="703E80EC" w14:textId="77777777" w:rsidR="00811887" w:rsidRPr="00FD40B8" w:rsidRDefault="00811887" w:rsidP="00811887">
      <w:pPr>
        <w:pStyle w:val="BodyText"/>
        <w:spacing w:before="126" w:line="268" w:lineRule="auto"/>
        <w:ind w:left="508" w:right="532"/>
        <w:rPr>
          <w:color w:val="131727" w:themeColor="text1"/>
        </w:rPr>
      </w:pPr>
      <w:r w:rsidRPr="00FD40B8">
        <w:rPr>
          <w:color w:val="131727" w:themeColor="text1"/>
          <w:w w:val="110"/>
        </w:rPr>
        <w:t>The Census</w:t>
      </w:r>
      <w:r w:rsidRPr="00FD40B8">
        <w:rPr>
          <w:color w:val="131727" w:themeColor="text1"/>
          <w:spacing w:val="-1"/>
          <w:w w:val="110"/>
        </w:rPr>
        <w:t xml:space="preserve"> </w:t>
      </w:r>
      <w:r w:rsidRPr="00FD40B8">
        <w:rPr>
          <w:color w:val="131727" w:themeColor="text1"/>
          <w:w w:val="110"/>
        </w:rPr>
        <w:t>is undertaken every</w:t>
      </w:r>
      <w:r w:rsidRPr="00FD40B8">
        <w:rPr>
          <w:color w:val="131727" w:themeColor="text1"/>
          <w:spacing w:val="-4"/>
          <w:w w:val="110"/>
        </w:rPr>
        <w:t xml:space="preserve"> </w:t>
      </w:r>
      <w:r w:rsidRPr="00FD40B8">
        <w:rPr>
          <w:color w:val="131727" w:themeColor="text1"/>
          <w:w w:val="110"/>
        </w:rPr>
        <w:t>five</w:t>
      </w:r>
      <w:r w:rsidRPr="00FD40B8">
        <w:rPr>
          <w:color w:val="131727" w:themeColor="text1"/>
          <w:spacing w:val="-3"/>
          <w:w w:val="110"/>
        </w:rPr>
        <w:t xml:space="preserve"> </w:t>
      </w:r>
      <w:r w:rsidRPr="00FD40B8">
        <w:rPr>
          <w:color w:val="131727" w:themeColor="text1"/>
          <w:w w:val="110"/>
        </w:rPr>
        <w:t>years and latest</w:t>
      </w:r>
      <w:r w:rsidRPr="00FD40B8">
        <w:rPr>
          <w:color w:val="131727" w:themeColor="text1"/>
          <w:spacing w:val="-3"/>
          <w:w w:val="110"/>
        </w:rPr>
        <w:t xml:space="preserve"> </w:t>
      </w:r>
      <w:r w:rsidRPr="00FD40B8">
        <w:rPr>
          <w:color w:val="131727" w:themeColor="text1"/>
          <w:w w:val="110"/>
        </w:rPr>
        <w:t>data available</w:t>
      </w:r>
      <w:r w:rsidRPr="00FD40B8">
        <w:rPr>
          <w:color w:val="131727" w:themeColor="text1"/>
          <w:spacing w:val="-3"/>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from</w:t>
      </w:r>
      <w:r w:rsidRPr="00FD40B8">
        <w:rPr>
          <w:color w:val="131727" w:themeColor="text1"/>
          <w:spacing w:val="-3"/>
          <w:w w:val="110"/>
        </w:rPr>
        <w:t xml:space="preserve"> </w:t>
      </w:r>
      <w:r w:rsidRPr="00FD40B8">
        <w:rPr>
          <w:color w:val="131727" w:themeColor="text1"/>
          <w:w w:val="110"/>
        </w:rPr>
        <w:t>2021. It</w:t>
      </w:r>
      <w:r w:rsidRPr="00FD40B8">
        <w:rPr>
          <w:color w:val="131727" w:themeColor="text1"/>
          <w:spacing w:val="-3"/>
          <w:w w:val="110"/>
        </w:rPr>
        <w:t xml:space="preserve"> </w:t>
      </w:r>
      <w:r w:rsidRPr="00FD40B8">
        <w:rPr>
          <w:color w:val="131727" w:themeColor="text1"/>
          <w:w w:val="110"/>
        </w:rPr>
        <w:t>measures</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number of people in Australia on Census night, their key characteristics and the households and dwellings in which they live.</w:t>
      </w:r>
    </w:p>
    <w:p w14:paraId="28E4E043" w14:textId="77777777" w:rsidR="00811887" w:rsidRPr="00FD40B8" w:rsidRDefault="00811887" w:rsidP="00811887">
      <w:pPr>
        <w:pStyle w:val="BodyText"/>
        <w:spacing w:before="116" w:line="266" w:lineRule="auto"/>
        <w:ind w:left="508" w:right="532"/>
        <w:rPr>
          <w:color w:val="131727" w:themeColor="text1"/>
        </w:rPr>
      </w:pPr>
      <w:r w:rsidRPr="00FD40B8">
        <w:rPr>
          <w:color w:val="131727" w:themeColor="text1"/>
          <w:w w:val="110"/>
        </w:rPr>
        <w:t>In relation to housing, the Census seeks to enumerate the type of dwellings people reside in, including the</w:t>
      </w:r>
      <w:r w:rsidRPr="00FD40B8">
        <w:rPr>
          <w:color w:val="131727" w:themeColor="text1"/>
          <w:spacing w:val="-1"/>
          <w:w w:val="110"/>
        </w:rPr>
        <w:t xml:space="preserve"> </w:t>
      </w:r>
      <w:r w:rsidRPr="00FD40B8">
        <w:rPr>
          <w:color w:val="131727" w:themeColor="text1"/>
          <w:w w:val="110"/>
        </w:rPr>
        <w:t>number</w:t>
      </w:r>
      <w:r w:rsidRPr="00FD40B8">
        <w:rPr>
          <w:color w:val="131727" w:themeColor="text1"/>
          <w:spacing w:val="-7"/>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bedrooms, the</w:t>
      </w:r>
      <w:r w:rsidRPr="00FD40B8">
        <w:rPr>
          <w:color w:val="131727" w:themeColor="text1"/>
          <w:spacing w:val="-1"/>
          <w:w w:val="110"/>
        </w:rPr>
        <w:t xml:space="preserve"> </w:t>
      </w:r>
      <w:r w:rsidRPr="00FD40B8">
        <w:rPr>
          <w:color w:val="131727" w:themeColor="text1"/>
          <w:w w:val="110"/>
        </w:rPr>
        <w:t>ownership</w:t>
      </w:r>
      <w:r w:rsidRPr="00FD40B8">
        <w:rPr>
          <w:color w:val="131727" w:themeColor="text1"/>
          <w:spacing w:val="-6"/>
          <w:w w:val="110"/>
        </w:rPr>
        <w:t xml:space="preserve"> </w:t>
      </w:r>
      <w:r w:rsidRPr="00FD40B8">
        <w:rPr>
          <w:color w:val="131727" w:themeColor="text1"/>
          <w:w w:val="110"/>
        </w:rPr>
        <w:t>status and</w:t>
      </w:r>
      <w:r w:rsidRPr="00FD40B8">
        <w:rPr>
          <w:color w:val="131727" w:themeColor="text1"/>
          <w:spacing w:val="-3"/>
          <w:w w:val="110"/>
        </w:rPr>
        <w:t xml:space="preserve"> </w:t>
      </w:r>
      <w:r w:rsidRPr="00FD40B8">
        <w:rPr>
          <w:color w:val="131727" w:themeColor="text1"/>
          <w:w w:val="110"/>
        </w:rPr>
        <w:t>financial contributions to housing.</w:t>
      </w:r>
      <w:r w:rsidRPr="00FD40B8">
        <w:rPr>
          <w:color w:val="131727" w:themeColor="text1"/>
          <w:spacing w:val="-1"/>
          <w:w w:val="110"/>
        </w:rPr>
        <w:t xml:space="preserve"> </w:t>
      </w:r>
      <w:r w:rsidRPr="00FD40B8">
        <w:rPr>
          <w:color w:val="131727" w:themeColor="text1"/>
          <w:w w:val="110"/>
        </w:rPr>
        <w:t>A</w:t>
      </w:r>
      <w:r w:rsidRPr="00FD40B8">
        <w:rPr>
          <w:color w:val="131727" w:themeColor="text1"/>
          <w:spacing w:val="-7"/>
          <w:w w:val="110"/>
        </w:rPr>
        <w:t xml:space="preserve"> </w:t>
      </w:r>
      <w:r w:rsidRPr="00FD40B8">
        <w:rPr>
          <w:color w:val="131727" w:themeColor="text1"/>
          <w:w w:val="110"/>
        </w:rPr>
        <w:t>granular</w:t>
      </w:r>
      <w:r w:rsidRPr="00FD40B8">
        <w:rPr>
          <w:color w:val="131727" w:themeColor="text1"/>
          <w:spacing w:val="-3"/>
          <w:w w:val="110"/>
        </w:rPr>
        <w:t xml:space="preserve"> </w:t>
      </w:r>
      <w:r w:rsidRPr="00FD40B8">
        <w:rPr>
          <w:color w:val="131727" w:themeColor="text1"/>
          <w:w w:val="110"/>
        </w:rPr>
        <w:t>level</w:t>
      </w:r>
      <w:r w:rsidRPr="00FD40B8">
        <w:rPr>
          <w:color w:val="131727" w:themeColor="text1"/>
          <w:spacing w:val="-4"/>
          <w:w w:val="110"/>
        </w:rPr>
        <w:t xml:space="preserve"> </w:t>
      </w:r>
      <w:r w:rsidRPr="00FD40B8">
        <w:rPr>
          <w:color w:val="131727" w:themeColor="text1"/>
          <w:w w:val="110"/>
        </w:rPr>
        <w:t>of data (by geographic area) is collected — in the most recent Census, the smallest geographic area was ‘Statistical</w:t>
      </w:r>
      <w:r w:rsidRPr="00FD40B8">
        <w:rPr>
          <w:color w:val="131727" w:themeColor="text1"/>
          <w:spacing w:val="-1"/>
          <w:w w:val="110"/>
        </w:rPr>
        <w:t xml:space="preserve"> </w:t>
      </w:r>
      <w:r w:rsidRPr="00FD40B8">
        <w:rPr>
          <w:color w:val="131727" w:themeColor="text1"/>
          <w:w w:val="110"/>
        </w:rPr>
        <w:t>Area</w:t>
      </w:r>
      <w:r w:rsidRPr="00FD40B8">
        <w:rPr>
          <w:color w:val="131727" w:themeColor="text1"/>
          <w:spacing w:val="-8"/>
          <w:w w:val="110"/>
        </w:rPr>
        <w:t xml:space="preserve"> </w:t>
      </w:r>
      <w:r w:rsidRPr="00FD40B8">
        <w:rPr>
          <w:color w:val="131727" w:themeColor="text1"/>
          <w:w w:val="110"/>
        </w:rPr>
        <w:t>Level</w:t>
      </w:r>
      <w:r w:rsidRPr="00FD40B8">
        <w:rPr>
          <w:color w:val="131727" w:themeColor="text1"/>
          <w:spacing w:val="-6"/>
          <w:w w:val="110"/>
        </w:rPr>
        <w:t xml:space="preserve"> </w:t>
      </w:r>
      <w:r w:rsidRPr="00FD40B8">
        <w:rPr>
          <w:color w:val="131727" w:themeColor="text1"/>
          <w:w w:val="110"/>
        </w:rPr>
        <w:t>1’</w:t>
      </w:r>
      <w:r w:rsidRPr="00FD40B8">
        <w:rPr>
          <w:color w:val="131727" w:themeColor="text1"/>
          <w:spacing w:val="-3"/>
          <w:w w:val="110"/>
        </w:rPr>
        <w:t xml:space="preserve"> </w:t>
      </w:r>
      <w:r w:rsidRPr="00FD40B8">
        <w:rPr>
          <w:color w:val="131727" w:themeColor="text1"/>
          <w:w w:val="110"/>
        </w:rPr>
        <w:t>which</w:t>
      </w:r>
      <w:r w:rsidRPr="00FD40B8">
        <w:rPr>
          <w:color w:val="131727" w:themeColor="text1"/>
          <w:spacing w:val="-7"/>
          <w:w w:val="110"/>
        </w:rPr>
        <w:t xml:space="preserve"> </w:t>
      </w:r>
      <w:r w:rsidRPr="00FD40B8">
        <w:rPr>
          <w:color w:val="131727" w:themeColor="text1"/>
          <w:w w:val="110"/>
        </w:rPr>
        <w:t>seeks</w:t>
      </w:r>
      <w:r w:rsidRPr="00FD40B8">
        <w:rPr>
          <w:color w:val="131727" w:themeColor="text1"/>
          <w:spacing w:val="-1"/>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capture</w:t>
      </w:r>
      <w:r w:rsidRPr="00FD40B8">
        <w:rPr>
          <w:color w:val="131727" w:themeColor="text1"/>
          <w:spacing w:val="-3"/>
          <w:w w:val="110"/>
        </w:rPr>
        <w:t xml:space="preserve"> </w:t>
      </w:r>
      <w:r w:rsidRPr="00FD40B8">
        <w:rPr>
          <w:color w:val="131727" w:themeColor="text1"/>
          <w:w w:val="110"/>
        </w:rPr>
        <w:t>Aboriginal</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Torres</w:t>
      </w:r>
      <w:r w:rsidRPr="00FD40B8">
        <w:rPr>
          <w:color w:val="131727" w:themeColor="text1"/>
          <w:spacing w:val="-2"/>
          <w:w w:val="110"/>
        </w:rPr>
        <w:t xml:space="preserve"> </w:t>
      </w:r>
      <w:r w:rsidRPr="00FD40B8">
        <w:rPr>
          <w:color w:val="131727" w:themeColor="text1"/>
          <w:w w:val="110"/>
        </w:rPr>
        <w:t>Strait</w:t>
      </w:r>
      <w:r w:rsidRPr="00FD40B8">
        <w:rPr>
          <w:color w:val="131727" w:themeColor="text1"/>
          <w:spacing w:val="-3"/>
          <w:w w:val="110"/>
        </w:rPr>
        <w:t xml:space="preserve"> </w:t>
      </w:r>
      <w:r w:rsidRPr="00FD40B8">
        <w:rPr>
          <w:color w:val="131727" w:themeColor="text1"/>
          <w:w w:val="110"/>
        </w:rPr>
        <w:t>Islander</w:t>
      </w:r>
      <w:r w:rsidRPr="00FD40B8">
        <w:rPr>
          <w:color w:val="131727" w:themeColor="text1"/>
          <w:spacing w:val="-9"/>
          <w:w w:val="110"/>
        </w:rPr>
        <w:t xml:space="preserve"> </w:t>
      </w:r>
      <w:r w:rsidRPr="00FD40B8">
        <w:rPr>
          <w:color w:val="131727" w:themeColor="text1"/>
          <w:w w:val="110"/>
        </w:rPr>
        <w:t>communities</w:t>
      </w:r>
      <w:r w:rsidRPr="00FD40B8">
        <w:rPr>
          <w:color w:val="131727" w:themeColor="text1"/>
          <w:spacing w:val="-6"/>
          <w:w w:val="110"/>
        </w:rPr>
        <w:t xml:space="preserve"> </w:t>
      </w:r>
      <w:r w:rsidRPr="00FD40B8">
        <w:rPr>
          <w:color w:val="131727" w:themeColor="text1"/>
          <w:w w:val="110"/>
        </w:rPr>
        <w:t>(among others) as accurately as possible, particularly in remote areas. This lower</w:t>
      </w:r>
      <w:r w:rsidRPr="00FD40B8">
        <w:rPr>
          <w:color w:val="131727" w:themeColor="text1"/>
          <w:spacing w:val="-1"/>
          <w:w w:val="110"/>
        </w:rPr>
        <w:t xml:space="preserve"> </w:t>
      </w:r>
      <w:r w:rsidRPr="00FD40B8">
        <w:rPr>
          <w:color w:val="131727" w:themeColor="text1"/>
          <w:w w:val="110"/>
        </w:rPr>
        <w:t>level of data is not generally published but can be accessed upon request (and for a fee). Data variability and privacy concerns are noted with the lower level of data</w:t>
      </w:r>
      <w:hyperlink w:anchor="_bookmark70" w:history="1">
        <w:r w:rsidRPr="00FD40B8">
          <w:rPr>
            <w:color w:val="131727" w:themeColor="text1"/>
            <w:w w:val="110"/>
            <w:position w:val="8"/>
            <w:sz w:val="13"/>
          </w:rPr>
          <w:t>59</w:t>
        </w:r>
        <w:r w:rsidRPr="00FD40B8">
          <w:rPr>
            <w:color w:val="131727" w:themeColor="text1"/>
            <w:w w:val="110"/>
          </w:rPr>
          <w:t>.</w:t>
        </w:r>
      </w:hyperlink>
      <w:r w:rsidRPr="00FD40B8">
        <w:rPr>
          <w:color w:val="131727" w:themeColor="text1"/>
          <w:w w:val="110"/>
        </w:rPr>
        <w:t xml:space="preserve"> The Census does not seek to identify repairs and maintenance requirements or the quality of housing and does not examine related housing and community </w:t>
      </w:r>
      <w:r w:rsidRPr="00FD40B8">
        <w:rPr>
          <w:color w:val="131727" w:themeColor="text1"/>
          <w:spacing w:val="-2"/>
          <w:w w:val="110"/>
        </w:rPr>
        <w:t>infrastructure.</w:t>
      </w:r>
    </w:p>
    <w:p w14:paraId="6F7C2DFF" w14:textId="77777777" w:rsidR="00811887" w:rsidRPr="00FD40B8" w:rsidRDefault="00811887" w:rsidP="00811887">
      <w:pPr>
        <w:pStyle w:val="BodyText"/>
        <w:spacing w:before="121" w:line="268" w:lineRule="auto"/>
        <w:ind w:left="508" w:right="598"/>
        <w:rPr>
          <w:color w:val="131727" w:themeColor="text1"/>
        </w:rPr>
      </w:pPr>
      <w:r w:rsidRPr="00FD40B8">
        <w:rPr>
          <w:color w:val="131727" w:themeColor="text1"/>
          <w:w w:val="110"/>
        </w:rPr>
        <w:t>Notably, those we consulted noted that the reliability of Census data decreases with remoteness. In particular, the</w:t>
      </w:r>
      <w:r w:rsidRPr="00FD40B8">
        <w:rPr>
          <w:color w:val="131727" w:themeColor="text1"/>
          <w:spacing w:val="-3"/>
          <w:w w:val="110"/>
        </w:rPr>
        <w:t xml:space="preserve"> </w:t>
      </w:r>
      <w:r w:rsidRPr="00FD40B8">
        <w:rPr>
          <w:color w:val="131727" w:themeColor="text1"/>
          <w:w w:val="110"/>
        </w:rPr>
        <w:t>Census</w:t>
      </w:r>
      <w:r w:rsidRPr="00FD40B8">
        <w:rPr>
          <w:color w:val="131727" w:themeColor="text1"/>
          <w:spacing w:val="-1"/>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undertaken across several weeks in remote areas</w:t>
      </w:r>
      <w:r w:rsidRPr="00FD40B8">
        <w:rPr>
          <w:color w:val="131727" w:themeColor="text1"/>
          <w:spacing w:val="-1"/>
          <w:w w:val="110"/>
        </w:rPr>
        <w:t xml:space="preserve"> </w:t>
      </w:r>
      <w:r w:rsidRPr="00FD40B8">
        <w:rPr>
          <w:color w:val="131727" w:themeColor="text1"/>
          <w:w w:val="110"/>
        </w:rPr>
        <w:t>and thus cannot capture the true extent of need across highly mobile Aboriginal and Torres Strait Islander populations. That said, Equity Economics has primarily used the Census data to estimate housing needs for Aboriginal and Torres Strait Islander</w:t>
      </w:r>
      <w:r w:rsidRPr="00FD40B8">
        <w:rPr>
          <w:color w:val="131727" w:themeColor="text1"/>
          <w:spacing w:val="-1"/>
          <w:w w:val="110"/>
        </w:rPr>
        <w:t xml:space="preserve"> </w:t>
      </w:r>
      <w:r w:rsidRPr="00FD40B8">
        <w:rPr>
          <w:color w:val="131727" w:themeColor="text1"/>
          <w:w w:val="110"/>
        </w:rPr>
        <w:t>people and find that there is sufficient information available to generally inform government investment decisions on where the greatest need is.</w:t>
      </w:r>
    </w:p>
    <w:p w14:paraId="09FD90AB" w14:textId="77777777" w:rsidR="00811887" w:rsidRPr="00FD40B8" w:rsidRDefault="00811887" w:rsidP="00811887">
      <w:pPr>
        <w:pStyle w:val="BodyText"/>
        <w:spacing w:before="112" w:line="268" w:lineRule="auto"/>
        <w:ind w:left="508" w:right="532"/>
        <w:rPr>
          <w:color w:val="131727" w:themeColor="text1"/>
        </w:rPr>
      </w:pPr>
      <w:r w:rsidRPr="00FD40B8">
        <w:rPr>
          <w:color w:val="131727" w:themeColor="text1"/>
          <w:w w:val="110"/>
        </w:rPr>
        <w:t>Further, the PC</w:t>
      </w:r>
      <w:r w:rsidRPr="00FD40B8">
        <w:rPr>
          <w:color w:val="131727" w:themeColor="text1"/>
          <w:spacing w:val="-1"/>
          <w:w w:val="110"/>
        </w:rPr>
        <w:t xml:space="preserve"> </w:t>
      </w:r>
      <w:r w:rsidRPr="00FD40B8">
        <w:rPr>
          <w:color w:val="131727" w:themeColor="text1"/>
          <w:w w:val="110"/>
        </w:rPr>
        <w:t xml:space="preserve">relies on the national and jurisdictional level Census data for its </w:t>
      </w:r>
      <w:r w:rsidRPr="00FD40B8">
        <w:rPr>
          <w:i/>
          <w:color w:val="131727" w:themeColor="text1"/>
          <w:w w:val="110"/>
        </w:rPr>
        <w:t>Closing the Gap Information</w:t>
      </w:r>
      <w:r w:rsidRPr="00FD40B8">
        <w:rPr>
          <w:i/>
          <w:color w:val="131727" w:themeColor="text1"/>
          <w:spacing w:val="-13"/>
          <w:w w:val="110"/>
        </w:rPr>
        <w:t xml:space="preserve"> </w:t>
      </w:r>
      <w:r w:rsidRPr="00FD40B8">
        <w:rPr>
          <w:i/>
          <w:color w:val="131727" w:themeColor="text1"/>
          <w:w w:val="110"/>
        </w:rPr>
        <w:t>Repository</w:t>
      </w:r>
      <w:r w:rsidRPr="00FD40B8">
        <w:rPr>
          <w:i/>
          <w:color w:val="131727" w:themeColor="text1"/>
          <w:spacing w:val="-12"/>
          <w:w w:val="110"/>
        </w:rPr>
        <w:t xml:space="preserve"> </w:t>
      </w:r>
      <w:r w:rsidRPr="00FD40B8">
        <w:rPr>
          <w:i/>
          <w:color w:val="131727" w:themeColor="text1"/>
          <w:w w:val="110"/>
        </w:rPr>
        <w:t>Dashboard</w:t>
      </w:r>
      <w:r w:rsidRPr="00FD40B8">
        <w:rPr>
          <w:color w:val="131727" w:themeColor="text1"/>
          <w:w w:val="110"/>
        </w:rPr>
        <w:t>,</w:t>
      </w:r>
      <w:r w:rsidRPr="00FD40B8">
        <w:rPr>
          <w:color w:val="131727" w:themeColor="text1"/>
          <w:spacing w:val="-10"/>
          <w:w w:val="110"/>
        </w:rPr>
        <w:t xml:space="preserve"> </w:t>
      </w:r>
      <w:r w:rsidRPr="00FD40B8">
        <w:rPr>
          <w:color w:val="131727" w:themeColor="text1"/>
          <w:w w:val="110"/>
        </w:rPr>
        <w:t>which</w:t>
      </w:r>
      <w:r w:rsidRPr="00FD40B8">
        <w:rPr>
          <w:color w:val="131727" w:themeColor="text1"/>
          <w:spacing w:val="-9"/>
          <w:w w:val="110"/>
        </w:rPr>
        <w:t xml:space="preserve"> </w:t>
      </w:r>
      <w:r w:rsidRPr="00FD40B8">
        <w:rPr>
          <w:color w:val="131727" w:themeColor="text1"/>
          <w:w w:val="110"/>
        </w:rPr>
        <w:t>tracks</w:t>
      </w:r>
      <w:r w:rsidRPr="00FD40B8">
        <w:rPr>
          <w:color w:val="131727" w:themeColor="text1"/>
          <w:spacing w:val="-8"/>
          <w:w w:val="110"/>
        </w:rPr>
        <w:t xml:space="preserve"> </w:t>
      </w:r>
      <w:r w:rsidRPr="00FD40B8">
        <w:rPr>
          <w:color w:val="131727" w:themeColor="text1"/>
          <w:w w:val="110"/>
        </w:rPr>
        <w:t>progress</w:t>
      </w:r>
      <w:r w:rsidRPr="00FD40B8">
        <w:rPr>
          <w:color w:val="131727" w:themeColor="text1"/>
          <w:spacing w:val="-8"/>
          <w:w w:val="110"/>
        </w:rPr>
        <w:t xml:space="preserve"> </w:t>
      </w:r>
      <w:r w:rsidRPr="00FD40B8">
        <w:rPr>
          <w:color w:val="131727" w:themeColor="text1"/>
          <w:w w:val="110"/>
        </w:rPr>
        <w:t>against</w:t>
      </w:r>
      <w:r w:rsidRPr="00FD40B8">
        <w:rPr>
          <w:color w:val="131727" w:themeColor="text1"/>
          <w:spacing w:val="-13"/>
          <w:w w:val="110"/>
        </w:rPr>
        <w:t xml:space="preserve"> </w:t>
      </w:r>
      <w:r w:rsidRPr="00FD40B8">
        <w:rPr>
          <w:color w:val="131727" w:themeColor="text1"/>
          <w:w w:val="110"/>
        </w:rPr>
        <w:t>the</w:t>
      </w:r>
      <w:r w:rsidRPr="00FD40B8">
        <w:rPr>
          <w:color w:val="131727" w:themeColor="text1"/>
          <w:spacing w:val="-12"/>
          <w:w w:val="110"/>
        </w:rPr>
        <w:t xml:space="preserve"> </w:t>
      </w:r>
      <w:r w:rsidRPr="00FD40B8">
        <w:rPr>
          <w:color w:val="131727" w:themeColor="text1"/>
          <w:w w:val="110"/>
        </w:rPr>
        <w:t>Closing</w:t>
      </w:r>
      <w:r w:rsidRPr="00FD40B8">
        <w:rPr>
          <w:color w:val="131727" w:themeColor="text1"/>
          <w:spacing w:val="-9"/>
          <w:w w:val="110"/>
        </w:rPr>
        <w:t xml:space="preserve"> </w:t>
      </w:r>
      <w:r w:rsidRPr="00FD40B8">
        <w:rPr>
          <w:color w:val="131727" w:themeColor="text1"/>
          <w:w w:val="110"/>
        </w:rPr>
        <w:t>the</w:t>
      </w:r>
      <w:r w:rsidRPr="00FD40B8">
        <w:rPr>
          <w:color w:val="131727" w:themeColor="text1"/>
          <w:spacing w:val="-13"/>
          <w:w w:val="110"/>
        </w:rPr>
        <w:t xml:space="preserve"> </w:t>
      </w:r>
      <w:r w:rsidRPr="00FD40B8">
        <w:rPr>
          <w:color w:val="131727" w:themeColor="text1"/>
          <w:w w:val="110"/>
        </w:rPr>
        <w:t>Gap</w:t>
      </w:r>
      <w:r w:rsidRPr="00FD40B8">
        <w:rPr>
          <w:color w:val="131727" w:themeColor="text1"/>
          <w:spacing w:val="-9"/>
          <w:w w:val="110"/>
        </w:rPr>
        <w:t xml:space="preserve"> </w:t>
      </w:r>
      <w:r w:rsidRPr="00FD40B8">
        <w:rPr>
          <w:color w:val="131727" w:themeColor="text1"/>
          <w:w w:val="110"/>
        </w:rPr>
        <w:t>targets</w:t>
      </w:r>
      <w:r w:rsidRPr="00FD40B8">
        <w:rPr>
          <w:color w:val="131727" w:themeColor="text1"/>
          <w:spacing w:val="-12"/>
          <w:w w:val="110"/>
        </w:rPr>
        <w:t xml:space="preserve"> </w:t>
      </w:r>
      <w:r w:rsidRPr="00FD40B8">
        <w:rPr>
          <w:color w:val="131727" w:themeColor="text1"/>
          <w:w w:val="110"/>
        </w:rPr>
        <w:t>including</w:t>
      </w:r>
      <w:r w:rsidRPr="00FD40B8">
        <w:rPr>
          <w:color w:val="131727" w:themeColor="text1"/>
          <w:spacing w:val="-13"/>
          <w:w w:val="110"/>
        </w:rPr>
        <w:t xml:space="preserve"> </w:t>
      </w:r>
      <w:r w:rsidRPr="00FD40B8">
        <w:rPr>
          <w:color w:val="131727" w:themeColor="text1"/>
          <w:w w:val="110"/>
        </w:rPr>
        <w:t>the housing target. However, the</w:t>
      </w:r>
      <w:r w:rsidRPr="00FD40B8">
        <w:rPr>
          <w:color w:val="131727" w:themeColor="text1"/>
          <w:spacing w:val="-3"/>
          <w:w w:val="110"/>
        </w:rPr>
        <w:t xml:space="preserve"> </w:t>
      </w:r>
      <w:r w:rsidRPr="00FD40B8">
        <w:rPr>
          <w:color w:val="131727" w:themeColor="text1"/>
          <w:w w:val="110"/>
        </w:rPr>
        <w:t>PC</w:t>
      </w:r>
      <w:r w:rsidRPr="00FD40B8">
        <w:rPr>
          <w:color w:val="131727" w:themeColor="text1"/>
          <w:spacing w:val="-3"/>
          <w:w w:val="110"/>
        </w:rPr>
        <w:t xml:space="preserve"> </w:t>
      </w:r>
      <w:r w:rsidRPr="00FD40B8">
        <w:rPr>
          <w:color w:val="131727" w:themeColor="text1"/>
          <w:w w:val="110"/>
        </w:rPr>
        <w:t>notes that, with</w:t>
      </w:r>
      <w:r w:rsidRPr="00FD40B8">
        <w:rPr>
          <w:color w:val="131727" w:themeColor="text1"/>
          <w:spacing w:val="-2"/>
          <w:w w:val="110"/>
        </w:rPr>
        <w:t xml:space="preserve"> </w:t>
      </w:r>
      <w:r w:rsidRPr="00FD40B8">
        <w:rPr>
          <w:color w:val="131727" w:themeColor="text1"/>
          <w:w w:val="110"/>
        </w:rPr>
        <w:t>only two data points</w:t>
      </w:r>
      <w:r w:rsidRPr="00FD40B8">
        <w:rPr>
          <w:color w:val="131727" w:themeColor="text1"/>
          <w:spacing w:val="-1"/>
          <w:w w:val="110"/>
        </w:rPr>
        <w:t xml:space="preserve"> </w:t>
      </w:r>
      <w:r w:rsidRPr="00FD40B8">
        <w:rPr>
          <w:color w:val="131727" w:themeColor="text1"/>
          <w:w w:val="110"/>
        </w:rPr>
        <w:t>available (2021 and 2016 Census), it is not reliable</w:t>
      </w:r>
      <w:r w:rsidRPr="00FD40B8">
        <w:rPr>
          <w:color w:val="131727" w:themeColor="text1"/>
          <w:spacing w:val="-1"/>
          <w:w w:val="110"/>
        </w:rPr>
        <w:t xml:space="preserve"> </w:t>
      </w:r>
      <w:r w:rsidRPr="00FD40B8">
        <w:rPr>
          <w:color w:val="131727" w:themeColor="text1"/>
          <w:w w:val="110"/>
        </w:rPr>
        <w:t>at this stage</w:t>
      </w:r>
      <w:r w:rsidRPr="00FD40B8">
        <w:rPr>
          <w:color w:val="131727" w:themeColor="text1"/>
          <w:spacing w:val="-1"/>
          <w:w w:val="110"/>
        </w:rPr>
        <w:t xml:space="preserve"> </w:t>
      </w:r>
      <w:r w:rsidRPr="00FD40B8">
        <w:rPr>
          <w:color w:val="131727" w:themeColor="text1"/>
          <w:w w:val="110"/>
        </w:rPr>
        <w:t>to draw any meaningful conclusions on progress against the</w:t>
      </w:r>
      <w:r w:rsidRPr="00FD40B8">
        <w:rPr>
          <w:color w:val="131727" w:themeColor="text1"/>
          <w:spacing w:val="-1"/>
          <w:w w:val="110"/>
        </w:rPr>
        <w:t xml:space="preserve"> </w:t>
      </w:r>
      <w:r w:rsidRPr="00FD40B8">
        <w:rPr>
          <w:color w:val="131727" w:themeColor="text1"/>
          <w:w w:val="110"/>
        </w:rPr>
        <w:t>housing</w:t>
      </w:r>
      <w:r w:rsidRPr="00FD40B8">
        <w:rPr>
          <w:color w:val="131727" w:themeColor="text1"/>
          <w:spacing w:val="-1"/>
          <w:w w:val="110"/>
        </w:rPr>
        <w:t xml:space="preserve"> </w:t>
      </w:r>
      <w:r w:rsidRPr="00FD40B8">
        <w:rPr>
          <w:color w:val="131727" w:themeColor="text1"/>
          <w:w w:val="110"/>
        </w:rPr>
        <w:t>target.</w:t>
      </w:r>
    </w:p>
    <w:p w14:paraId="5FA39B81" w14:textId="77777777" w:rsidR="00811887" w:rsidRPr="00FD40B8" w:rsidRDefault="00811887" w:rsidP="00811887">
      <w:pPr>
        <w:pStyle w:val="BodyText"/>
        <w:spacing w:before="117" w:line="264" w:lineRule="auto"/>
        <w:ind w:left="508" w:right="749"/>
        <w:rPr>
          <w:color w:val="131727" w:themeColor="text1"/>
        </w:rPr>
      </w:pPr>
      <w:r w:rsidRPr="00FD40B8">
        <w:rPr>
          <w:color w:val="131727" w:themeColor="text1"/>
          <w:w w:val="110"/>
        </w:rPr>
        <w:t>The</w:t>
      </w:r>
      <w:r w:rsidRPr="00FD40B8">
        <w:rPr>
          <w:color w:val="131727" w:themeColor="text1"/>
          <w:spacing w:val="-8"/>
          <w:w w:val="110"/>
        </w:rPr>
        <w:t xml:space="preserve"> </w:t>
      </w:r>
      <w:r w:rsidRPr="00FD40B8">
        <w:rPr>
          <w:i/>
          <w:color w:val="131727" w:themeColor="text1"/>
          <w:w w:val="110"/>
        </w:rPr>
        <w:t>Census</w:t>
      </w:r>
      <w:r w:rsidRPr="00FD40B8">
        <w:rPr>
          <w:i/>
          <w:color w:val="131727" w:themeColor="text1"/>
          <w:spacing w:val="-4"/>
          <w:w w:val="110"/>
        </w:rPr>
        <w:t xml:space="preserve"> </w:t>
      </w:r>
      <w:r w:rsidRPr="00FD40B8">
        <w:rPr>
          <w:i/>
          <w:color w:val="131727" w:themeColor="text1"/>
          <w:w w:val="110"/>
        </w:rPr>
        <w:t>Estimates</w:t>
      </w:r>
      <w:r w:rsidRPr="00FD40B8">
        <w:rPr>
          <w:i/>
          <w:color w:val="131727" w:themeColor="text1"/>
          <w:spacing w:val="-8"/>
          <w:w w:val="110"/>
        </w:rPr>
        <w:t xml:space="preserve"> </w:t>
      </w:r>
      <w:r w:rsidRPr="00FD40B8">
        <w:rPr>
          <w:i/>
          <w:color w:val="131727" w:themeColor="text1"/>
          <w:w w:val="110"/>
        </w:rPr>
        <w:t>of</w:t>
      </w:r>
      <w:r w:rsidRPr="00FD40B8">
        <w:rPr>
          <w:i/>
          <w:color w:val="131727" w:themeColor="text1"/>
          <w:spacing w:val="-4"/>
          <w:w w:val="110"/>
        </w:rPr>
        <w:t xml:space="preserve"> </w:t>
      </w:r>
      <w:r w:rsidRPr="00FD40B8">
        <w:rPr>
          <w:i/>
          <w:color w:val="131727" w:themeColor="text1"/>
          <w:w w:val="110"/>
        </w:rPr>
        <w:t>Homelessness</w:t>
      </w:r>
      <w:r w:rsidRPr="00FD40B8">
        <w:rPr>
          <w:i/>
          <w:color w:val="131727" w:themeColor="text1"/>
          <w:spacing w:val="-1"/>
          <w:w w:val="110"/>
        </w:rPr>
        <w:t xml:space="preserve"> </w:t>
      </w:r>
      <w:r w:rsidRPr="00FD40B8">
        <w:rPr>
          <w:color w:val="131727" w:themeColor="text1"/>
          <w:w w:val="110"/>
        </w:rPr>
        <w:t>provides</w:t>
      </w:r>
      <w:r w:rsidRPr="00FD40B8">
        <w:rPr>
          <w:color w:val="131727" w:themeColor="text1"/>
          <w:spacing w:val="-2"/>
          <w:w w:val="110"/>
        </w:rPr>
        <w:t xml:space="preserve"> </w:t>
      </w:r>
      <w:r w:rsidRPr="00FD40B8">
        <w:rPr>
          <w:color w:val="131727" w:themeColor="text1"/>
          <w:w w:val="110"/>
        </w:rPr>
        <w:t>estimates</w:t>
      </w:r>
      <w:r w:rsidRPr="00FD40B8">
        <w:rPr>
          <w:color w:val="131727" w:themeColor="text1"/>
          <w:spacing w:val="-3"/>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prevalence</w:t>
      </w:r>
      <w:r w:rsidRPr="00FD40B8">
        <w:rPr>
          <w:color w:val="131727" w:themeColor="text1"/>
          <w:spacing w:val="-8"/>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homelessness</w:t>
      </w:r>
      <w:r w:rsidRPr="00FD40B8">
        <w:rPr>
          <w:color w:val="131727" w:themeColor="text1"/>
          <w:spacing w:val="-7"/>
          <w:w w:val="110"/>
        </w:rPr>
        <w:t xml:space="preserve"> </w:t>
      </w:r>
      <w:r w:rsidRPr="00FD40B8">
        <w:rPr>
          <w:color w:val="131727" w:themeColor="text1"/>
          <w:w w:val="110"/>
        </w:rPr>
        <w:t>from</w:t>
      </w:r>
      <w:r w:rsidRPr="00FD40B8">
        <w:rPr>
          <w:color w:val="131727" w:themeColor="text1"/>
          <w:spacing w:val="-4"/>
          <w:w w:val="110"/>
        </w:rPr>
        <w:t xml:space="preserve"> </w:t>
      </w:r>
      <w:r w:rsidRPr="00FD40B8">
        <w:rPr>
          <w:color w:val="131727" w:themeColor="text1"/>
          <w:w w:val="110"/>
        </w:rPr>
        <w:t>the Census. Homelessness is not a characteristic that is directly measured in the Census and estimates of those experiencing homelessness are derived using analytical techniques based on the characteristics observed in the Census and statistical assumptions</w:t>
      </w:r>
      <w:hyperlink w:anchor="_bookmark71" w:history="1">
        <w:r w:rsidRPr="00FD40B8">
          <w:rPr>
            <w:color w:val="131727" w:themeColor="text1"/>
            <w:w w:val="110"/>
            <w:position w:val="8"/>
            <w:sz w:val="13"/>
          </w:rPr>
          <w:t>60</w:t>
        </w:r>
        <w:r w:rsidRPr="00FD40B8">
          <w:rPr>
            <w:color w:val="131727" w:themeColor="text1"/>
            <w:w w:val="110"/>
          </w:rPr>
          <w:t>.</w:t>
        </w:r>
      </w:hyperlink>
      <w:r w:rsidRPr="00FD40B8">
        <w:rPr>
          <w:color w:val="131727" w:themeColor="text1"/>
          <w:w w:val="110"/>
        </w:rPr>
        <w:t xml:space="preserve"> The ABS’ estimates are released after each </w:t>
      </w:r>
      <w:r w:rsidRPr="00FD40B8">
        <w:rPr>
          <w:color w:val="131727" w:themeColor="text1"/>
          <w:spacing w:val="-2"/>
          <w:w w:val="110"/>
        </w:rPr>
        <w:t>Census.</w:t>
      </w:r>
    </w:p>
    <w:p w14:paraId="22918439" w14:textId="77777777" w:rsidR="00811887" w:rsidRPr="00FD40B8" w:rsidRDefault="00811887" w:rsidP="00811887">
      <w:pPr>
        <w:spacing w:before="127" w:line="268" w:lineRule="auto"/>
        <w:ind w:left="508" w:right="598"/>
        <w:rPr>
          <w:i/>
          <w:color w:val="131727" w:themeColor="text1"/>
          <w:sz w:val="20"/>
        </w:rPr>
      </w:pP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ABS</w:t>
      </w:r>
      <w:r w:rsidRPr="00FD40B8">
        <w:rPr>
          <w:color w:val="131727" w:themeColor="text1"/>
          <w:spacing w:val="-1"/>
          <w:w w:val="110"/>
          <w:sz w:val="20"/>
        </w:rPr>
        <w:t xml:space="preserve"> </w:t>
      </w:r>
      <w:r w:rsidRPr="00FD40B8">
        <w:rPr>
          <w:color w:val="131727" w:themeColor="text1"/>
          <w:w w:val="110"/>
          <w:sz w:val="20"/>
        </w:rPr>
        <w:t>also</w:t>
      </w:r>
      <w:r w:rsidRPr="00FD40B8">
        <w:rPr>
          <w:color w:val="131727" w:themeColor="text1"/>
          <w:spacing w:val="-5"/>
          <w:w w:val="110"/>
          <w:sz w:val="20"/>
        </w:rPr>
        <w:t xml:space="preserve"> </w:t>
      </w:r>
      <w:r w:rsidRPr="00FD40B8">
        <w:rPr>
          <w:color w:val="131727" w:themeColor="text1"/>
          <w:w w:val="110"/>
          <w:sz w:val="20"/>
        </w:rPr>
        <w:t>undertakes two</w:t>
      </w:r>
      <w:r w:rsidRPr="00FD40B8">
        <w:rPr>
          <w:color w:val="131727" w:themeColor="text1"/>
          <w:spacing w:val="-5"/>
          <w:w w:val="110"/>
          <w:sz w:val="20"/>
        </w:rPr>
        <w:t xml:space="preserve"> </w:t>
      </w:r>
      <w:r w:rsidRPr="00FD40B8">
        <w:rPr>
          <w:color w:val="131727" w:themeColor="text1"/>
          <w:w w:val="110"/>
          <w:sz w:val="20"/>
        </w:rPr>
        <w:t>multidimensional social</w:t>
      </w:r>
      <w:r w:rsidRPr="00FD40B8">
        <w:rPr>
          <w:color w:val="131727" w:themeColor="text1"/>
          <w:spacing w:val="-5"/>
          <w:w w:val="110"/>
          <w:sz w:val="20"/>
        </w:rPr>
        <w:t xml:space="preserve"> </w:t>
      </w:r>
      <w:r w:rsidRPr="00FD40B8">
        <w:rPr>
          <w:color w:val="131727" w:themeColor="text1"/>
          <w:w w:val="110"/>
          <w:sz w:val="20"/>
        </w:rPr>
        <w:t>surveys which includes aspects of Aboriginal and Torres</w:t>
      </w:r>
      <w:r w:rsidRPr="00FD40B8">
        <w:rPr>
          <w:color w:val="131727" w:themeColor="text1"/>
          <w:spacing w:val="-7"/>
          <w:w w:val="110"/>
          <w:sz w:val="20"/>
        </w:rPr>
        <w:t xml:space="preserve"> </w:t>
      </w:r>
      <w:r w:rsidRPr="00FD40B8">
        <w:rPr>
          <w:color w:val="131727" w:themeColor="text1"/>
          <w:w w:val="110"/>
          <w:sz w:val="20"/>
        </w:rPr>
        <w:t>Strait</w:t>
      </w:r>
      <w:r w:rsidRPr="00FD40B8">
        <w:rPr>
          <w:color w:val="131727" w:themeColor="text1"/>
          <w:spacing w:val="-9"/>
          <w:w w:val="110"/>
          <w:sz w:val="20"/>
        </w:rPr>
        <w:t xml:space="preserve"> </w:t>
      </w:r>
      <w:r w:rsidRPr="00FD40B8">
        <w:rPr>
          <w:color w:val="131727" w:themeColor="text1"/>
          <w:w w:val="110"/>
          <w:sz w:val="20"/>
        </w:rPr>
        <w:t>Islander</w:t>
      </w:r>
      <w:r w:rsidRPr="00FD40B8">
        <w:rPr>
          <w:color w:val="131727" w:themeColor="text1"/>
          <w:spacing w:val="-8"/>
          <w:w w:val="110"/>
          <w:sz w:val="20"/>
        </w:rPr>
        <w:t xml:space="preserve"> </w:t>
      </w:r>
      <w:r w:rsidRPr="00FD40B8">
        <w:rPr>
          <w:color w:val="131727" w:themeColor="text1"/>
          <w:w w:val="110"/>
          <w:sz w:val="20"/>
        </w:rPr>
        <w:t>housing</w:t>
      </w:r>
      <w:r w:rsidRPr="00FD40B8">
        <w:rPr>
          <w:color w:val="131727" w:themeColor="text1"/>
          <w:spacing w:val="-4"/>
          <w:w w:val="110"/>
          <w:sz w:val="20"/>
        </w:rPr>
        <w:t xml:space="preserve"> </w:t>
      </w:r>
      <w:r w:rsidRPr="00FD40B8">
        <w:rPr>
          <w:color w:val="131727" w:themeColor="text1"/>
          <w:w w:val="110"/>
          <w:sz w:val="20"/>
        </w:rPr>
        <w:t>conditions.</w:t>
      </w:r>
      <w:r w:rsidRPr="00FD40B8">
        <w:rPr>
          <w:color w:val="131727" w:themeColor="text1"/>
          <w:spacing w:val="-9"/>
          <w:w w:val="110"/>
          <w:sz w:val="20"/>
        </w:rPr>
        <w:t xml:space="preserve"> </w:t>
      </w:r>
      <w:r w:rsidRPr="00FD40B8">
        <w:rPr>
          <w:color w:val="131727" w:themeColor="text1"/>
          <w:w w:val="110"/>
          <w:sz w:val="20"/>
        </w:rPr>
        <w:t>The</w:t>
      </w:r>
      <w:r w:rsidRPr="00FD40B8">
        <w:rPr>
          <w:color w:val="131727" w:themeColor="text1"/>
          <w:spacing w:val="-9"/>
          <w:w w:val="110"/>
          <w:sz w:val="20"/>
        </w:rPr>
        <w:t xml:space="preserve"> </w:t>
      </w:r>
      <w:r w:rsidRPr="00FD40B8">
        <w:rPr>
          <w:color w:val="131727" w:themeColor="text1"/>
          <w:w w:val="110"/>
          <w:sz w:val="20"/>
        </w:rPr>
        <w:t>first</w:t>
      </w:r>
      <w:r w:rsidRPr="00FD40B8">
        <w:rPr>
          <w:color w:val="131727" w:themeColor="text1"/>
          <w:spacing w:val="-9"/>
          <w:w w:val="110"/>
          <w:sz w:val="20"/>
        </w:rPr>
        <w:t xml:space="preserve"> </w:t>
      </w:r>
      <w:r w:rsidRPr="00FD40B8">
        <w:rPr>
          <w:color w:val="131727" w:themeColor="text1"/>
          <w:w w:val="110"/>
          <w:sz w:val="20"/>
        </w:rPr>
        <w:t>is</w:t>
      </w:r>
      <w:r w:rsidRPr="00FD40B8">
        <w:rPr>
          <w:color w:val="131727" w:themeColor="text1"/>
          <w:spacing w:val="-3"/>
          <w:w w:val="110"/>
          <w:sz w:val="20"/>
        </w:rPr>
        <w:t xml:space="preserve"> </w:t>
      </w:r>
      <w:r w:rsidRPr="00FD40B8">
        <w:rPr>
          <w:color w:val="131727" w:themeColor="text1"/>
          <w:w w:val="110"/>
          <w:sz w:val="20"/>
        </w:rPr>
        <w:t>the</w:t>
      </w:r>
      <w:r w:rsidRPr="00FD40B8">
        <w:rPr>
          <w:color w:val="131727" w:themeColor="text1"/>
          <w:spacing w:val="-3"/>
          <w:w w:val="110"/>
          <w:sz w:val="20"/>
        </w:rPr>
        <w:t xml:space="preserve"> </w:t>
      </w:r>
      <w:r w:rsidRPr="00FD40B8">
        <w:rPr>
          <w:i/>
          <w:color w:val="131727" w:themeColor="text1"/>
          <w:w w:val="110"/>
          <w:sz w:val="20"/>
        </w:rPr>
        <w:t>National</w:t>
      </w:r>
      <w:r w:rsidRPr="00FD40B8">
        <w:rPr>
          <w:i/>
          <w:color w:val="131727" w:themeColor="text1"/>
          <w:spacing w:val="-8"/>
          <w:w w:val="110"/>
          <w:sz w:val="20"/>
        </w:rPr>
        <w:t xml:space="preserve"> </w:t>
      </w:r>
      <w:r w:rsidRPr="00FD40B8">
        <w:rPr>
          <w:i/>
          <w:color w:val="131727" w:themeColor="text1"/>
          <w:w w:val="110"/>
          <w:sz w:val="20"/>
        </w:rPr>
        <w:t>Aboriginal</w:t>
      </w:r>
      <w:r w:rsidRPr="00FD40B8">
        <w:rPr>
          <w:i/>
          <w:color w:val="131727" w:themeColor="text1"/>
          <w:spacing w:val="-4"/>
          <w:w w:val="110"/>
          <w:sz w:val="20"/>
        </w:rPr>
        <w:t xml:space="preserve"> </w:t>
      </w:r>
      <w:r w:rsidRPr="00FD40B8">
        <w:rPr>
          <w:i/>
          <w:color w:val="131727" w:themeColor="text1"/>
          <w:w w:val="110"/>
          <w:sz w:val="20"/>
        </w:rPr>
        <w:t>and</w:t>
      </w:r>
      <w:r w:rsidRPr="00FD40B8">
        <w:rPr>
          <w:i/>
          <w:color w:val="131727" w:themeColor="text1"/>
          <w:spacing w:val="-5"/>
          <w:w w:val="110"/>
          <w:sz w:val="20"/>
        </w:rPr>
        <w:t xml:space="preserve"> </w:t>
      </w:r>
      <w:r w:rsidRPr="00FD40B8">
        <w:rPr>
          <w:i/>
          <w:color w:val="131727" w:themeColor="text1"/>
          <w:w w:val="110"/>
          <w:sz w:val="20"/>
        </w:rPr>
        <w:t>Torres</w:t>
      </w:r>
      <w:r w:rsidRPr="00FD40B8">
        <w:rPr>
          <w:i/>
          <w:color w:val="131727" w:themeColor="text1"/>
          <w:spacing w:val="-4"/>
          <w:w w:val="110"/>
          <w:sz w:val="20"/>
        </w:rPr>
        <w:t xml:space="preserve"> </w:t>
      </w:r>
      <w:r w:rsidRPr="00FD40B8">
        <w:rPr>
          <w:i/>
          <w:color w:val="131727" w:themeColor="text1"/>
          <w:w w:val="110"/>
          <w:sz w:val="20"/>
        </w:rPr>
        <w:t>Strait</w:t>
      </w:r>
      <w:r w:rsidRPr="00FD40B8">
        <w:rPr>
          <w:i/>
          <w:color w:val="131727" w:themeColor="text1"/>
          <w:spacing w:val="-4"/>
          <w:w w:val="110"/>
          <w:sz w:val="20"/>
        </w:rPr>
        <w:t xml:space="preserve"> </w:t>
      </w:r>
      <w:r w:rsidRPr="00FD40B8">
        <w:rPr>
          <w:i/>
          <w:color w:val="131727" w:themeColor="text1"/>
          <w:w w:val="110"/>
          <w:sz w:val="20"/>
        </w:rPr>
        <w:t>Islander</w:t>
      </w:r>
    </w:p>
    <w:p w14:paraId="438A48D0" w14:textId="77777777" w:rsidR="00811887" w:rsidRPr="00FD40B8" w:rsidRDefault="00811887" w:rsidP="00811887">
      <w:pPr>
        <w:pStyle w:val="BodyText"/>
        <w:spacing w:before="71"/>
        <w:rPr>
          <w:i/>
          <w:color w:val="131727" w:themeColor="text1"/>
        </w:rPr>
      </w:pPr>
      <w:r w:rsidRPr="00FD40B8">
        <w:rPr>
          <w:noProof/>
          <w:color w:val="131727" w:themeColor="text1"/>
        </w:rPr>
        <mc:AlternateContent>
          <mc:Choice Requires="wps">
            <w:drawing>
              <wp:anchor distT="0" distB="0" distL="0" distR="0" simplePos="0" relativeHeight="251751424" behindDoc="1" locked="0" layoutInCell="1" allowOverlap="1" wp14:anchorId="030D3942" wp14:editId="2D5A4E41">
                <wp:simplePos x="0" y="0"/>
                <wp:positionH relativeFrom="page">
                  <wp:posOffset>792784</wp:posOffset>
                </wp:positionH>
                <wp:positionV relativeFrom="paragraph">
                  <wp:posOffset>215977</wp:posOffset>
                </wp:positionV>
                <wp:extent cx="1830070" cy="6350"/>
                <wp:effectExtent l="0" t="0" r="0" b="0"/>
                <wp:wrapTopAndBottom/>
                <wp:docPr id="175" name="Graphic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28BF5" id="Graphic 175" o:spid="_x0000_s1026" alt="&quot;&quot;" style="position:absolute;margin-left:62.4pt;margin-top:17pt;width:144.1pt;height:.5pt;z-index:-25156505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" path="m1829689,l,,,6095r1829689,l1829689,xe" fillcolor="black" stroked="f">
                <v:path arrowok="t"/>
                <w10:wrap type="topAndBottom" anchorx="page"/>
              </v:shape>
            </w:pict>
          </mc:Fallback>
        </mc:AlternateContent>
      </w:r>
    </w:p>
    <w:p w14:paraId="2B181FB1" w14:textId="77777777" w:rsidR="00811887" w:rsidRPr="00FD40B8" w:rsidRDefault="00811887" w:rsidP="00811887">
      <w:pPr>
        <w:spacing w:before="123"/>
        <w:ind w:left="508"/>
        <w:rPr>
          <w:color w:val="131727" w:themeColor="text1"/>
          <w:sz w:val="16"/>
        </w:rPr>
      </w:pPr>
      <w:bookmarkStart w:id="181" w:name="_bookmark70"/>
      <w:bookmarkEnd w:id="181"/>
      <w:r w:rsidRPr="00FD40B8">
        <w:rPr>
          <w:color w:val="131727" w:themeColor="text1"/>
          <w:position w:val="6"/>
          <w:sz w:val="10"/>
        </w:rPr>
        <w:t>59</w:t>
      </w:r>
      <w:r w:rsidRPr="00FD40B8">
        <w:rPr>
          <w:color w:val="131727" w:themeColor="text1"/>
          <w:spacing w:val="76"/>
          <w:position w:val="6"/>
          <w:sz w:val="10"/>
        </w:rPr>
        <w:t xml:space="preserve">  </w:t>
      </w:r>
      <w:r w:rsidRPr="00FD40B8">
        <w:rPr>
          <w:color w:val="131727" w:themeColor="text1"/>
          <w:sz w:val="16"/>
        </w:rPr>
        <w:t>https://</w:t>
      </w:r>
      <w:hyperlink r:id="rId114">
        <w:r w:rsidRPr="00FD40B8">
          <w:rPr>
            <w:color w:val="131727" w:themeColor="text1"/>
            <w:sz w:val="16"/>
          </w:rPr>
          <w:t>www.abs.gov.au/census/about-</w:t>
        </w:r>
        <w:r w:rsidRPr="00FD40B8">
          <w:rPr>
            <w:color w:val="131727" w:themeColor="text1"/>
            <w:spacing w:val="-2"/>
            <w:sz w:val="16"/>
          </w:rPr>
          <w:t>census</w:t>
        </w:r>
      </w:hyperlink>
    </w:p>
    <w:p w14:paraId="578491C1" w14:textId="77777777" w:rsidR="00811887" w:rsidRPr="00FD40B8" w:rsidRDefault="00811887" w:rsidP="00811887">
      <w:pPr>
        <w:spacing w:before="18"/>
        <w:ind w:left="508"/>
        <w:rPr>
          <w:color w:val="131727" w:themeColor="text1"/>
          <w:sz w:val="16"/>
        </w:rPr>
      </w:pPr>
      <w:bookmarkStart w:id="182" w:name="_bookmark71"/>
      <w:bookmarkEnd w:id="182"/>
      <w:r w:rsidRPr="00FD40B8">
        <w:rPr>
          <w:color w:val="131727" w:themeColor="text1"/>
          <w:w w:val="105"/>
          <w:position w:val="6"/>
          <w:sz w:val="10"/>
        </w:rPr>
        <w:t>60</w:t>
      </w:r>
      <w:r w:rsidRPr="00FD40B8">
        <w:rPr>
          <w:color w:val="131727" w:themeColor="text1"/>
          <w:spacing w:val="60"/>
          <w:w w:val="105"/>
          <w:position w:val="6"/>
          <w:sz w:val="10"/>
        </w:rPr>
        <w:t xml:space="preserve">  </w:t>
      </w:r>
      <w:r w:rsidRPr="00FD40B8">
        <w:rPr>
          <w:color w:val="131727" w:themeColor="text1"/>
          <w:w w:val="105"/>
          <w:sz w:val="16"/>
        </w:rPr>
        <w:t>https://</w:t>
      </w:r>
      <w:hyperlink r:id="rId115">
        <w:r w:rsidRPr="00FD40B8">
          <w:rPr>
            <w:color w:val="131727" w:themeColor="text1"/>
            <w:w w:val="105"/>
            <w:sz w:val="16"/>
          </w:rPr>
          <w:t>www.abs.gov.au/methodologies/estimating-homelessness-census-</w:t>
        </w:r>
        <w:r w:rsidRPr="00FD40B8">
          <w:rPr>
            <w:color w:val="131727" w:themeColor="text1"/>
            <w:spacing w:val="-2"/>
            <w:w w:val="105"/>
            <w:sz w:val="16"/>
          </w:rPr>
          <w:t>methodology/2021</w:t>
        </w:r>
      </w:hyperlink>
    </w:p>
    <w:p w14:paraId="13D88BC2" w14:textId="77777777" w:rsidR="00811887" w:rsidRPr="00FD40B8" w:rsidRDefault="00811887" w:rsidP="00811887">
      <w:pPr>
        <w:rPr>
          <w:color w:val="131727" w:themeColor="text1"/>
          <w:sz w:val="16"/>
        </w:rPr>
        <w:sectPr w:rsidR="00811887" w:rsidRPr="00FD40B8" w:rsidSect="00811887">
          <w:pgSz w:w="11910" w:h="16840"/>
          <w:pgMar w:top="1320" w:right="720" w:bottom="1080" w:left="740" w:header="0" w:footer="885" w:gutter="0"/>
          <w:cols w:space="720"/>
        </w:sectPr>
      </w:pPr>
    </w:p>
    <w:p w14:paraId="75764181" w14:textId="77777777" w:rsidR="00811887" w:rsidRPr="00FD40B8" w:rsidRDefault="00811887" w:rsidP="00811887">
      <w:pPr>
        <w:pStyle w:val="BodyText"/>
        <w:spacing w:before="103" w:line="268" w:lineRule="auto"/>
        <w:ind w:left="508" w:right="689"/>
        <w:rPr>
          <w:color w:val="131727" w:themeColor="text1"/>
        </w:rPr>
      </w:pPr>
      <w:r w:rsidRPr="00FD40B8">
        <w:rPr>
          <w:i/>
          <w:color w:val="131727" w:themeColor="text1"/>
          <w:w w:val="110"/>
        </w:rPr>
        <w:lastRenderedPageBreak/>
        <w:t>Social</w:t>
      </w:r>
      <w:r w:rsidRPr="00FD40B8">
        <w:rPr>
          <w:i/>
          <w:color w:val="131727" w:themeColor="text1"/>
          <w:spacing w:val="-13"/>
          <w:w w:val="110"/>
        </w:rPr>
        <w:t xml:space="preserve"> </w:t>
      </w:r>
      <w:r w:rsidRPr="00FD40B8">
        <w:rPr>
          <w:i/>
          <w:color w:val="131727" w:themeColor="text1"/>
          <w:w w:val="110"/>
        </w:rPr>
        <w:t>Survey</w:t>
      </w:r>
      <w:r w:rsidRPr="00FD40B8">
        <w:rPr>
          <w:i/>
          <w:color w:val="131727" w:themeColor="text1"/>
          <w:spacing w:val="-12"/>
          <w:w w:val="110"/>
        </w:rPr>
        <w:t xml:space="preserve"> </w:t>
      </w:r>
      <w:r w:rsidRPr="00FD40B8">
        <w:rPr>
          <w:color w:val="131727" w:themeColor="text1"/>
          <w:w w:val="110"/>
        </w:rPr>
        <w:t>(NATSISS),</w:t>
      </w:r>
      <w:r w:rsidRPr="00FD40B8">
        <w:rPr>
          <w:color w:val="131727" w:themeColor="text1"/>
          <w:spacing w:val="-13"/>
          <w:w w:val="110"/>
        </w:rPr>
        <w:t xml:space="preserve"> </w:t>
      </w:r>
      <w:r w:rsidRPr="00FD40B8">
        <w:rPr>
          <w:color w:val="131727" w:themeColor="text1"/>
          <w:w w:val="110"/>
        </w:rPr>
        <w:t>which</w:t>
      </w:r>
      <w:r w:rsidRPr="00FD40B8">
        <w:rPr>
          <w:color w:val="131727" w:themeColor="text1"/>
          <w:spacing w:val="-12"/>
          <w:w w:val="110"/>
        </w:rPr>
        <w:t xml:space="preserve"> </w:t>
      </w:r>
      <w:r w:rsidRPr="00FD40B8">
        <w:rPr>
          <w:color w:val="131727" w:themeColor="text1"/>
          <w:w w:val="110"/>
        </w:rPr>
        <w:t>captures</w:t>
      </w:r>
      <w:r w:rsidRPr="00FD40B8">
        <w:rPr>
          <w:color w:val="131727" w:themeColor="text1"/>
          <w:spacing w:val="-13"/>
          <w:w w:val="110"/>
        </w:rPr>
        <w:t xml:space="preserve"> </w:t>
      </w:r>
      <w:r w:rsidRPr="00FD40B8">
        <w:rPr>
          <w:color w:val="131727" w:themeColor="text1"/>
          <w:w w:val="110"/>
        </w:rPr>
        <w:t>socioeconomic,</w:t>
      </w:r>
      <w:r w:rsidRPr="00FD40B8">
        <w:rPr>
          <w:color w:val="131727" w:themeColor="text1"/>
          <w:spacing w:val="-12"/>
          <w:w w:val="110"/>
        </w:rPr>
        <w:t xml:space="preserve"> </w:t>
      </w:r>
      <w:r w:rsidRPr="00FD40B8">
        <w:rPr>
          <w:color w:val="131727" w:themeColor="text1"/>
          <w:w w:val="110"/>
        </w:rPr>
        <w:t>cultural,</w:t>
      </w:r>
      <w:r w:rsidRPr="00FD40B8">
        <w:rPr>
          <w:color w:val="131727" w:themeColor="text1"/>
          <w:spacing w:val="-13"/>
          <w:w w:val="110"/>
        </w:rPr>
        <w:t xml:space="preserve"> </w:t>
      </w:r>
      <w:r w:rsidRPr="00FD40B8">
        <w:rPr>
          <w:color w:val="131727" w:themeColor="text1"/>
          <w:w w:val="110"/>
        </w:rPr>
        <w:t>health</w:t>
      </w:r>
      <w:r w:rsidRPr="00FD40B8">
        <w:rPr>
          <w:color w:val="131727" w:themeColor="text1"/>
          <w:spacing w:val="-12"/>
          <w:w w:val="110"/>
        </w:rPr>
        <w:t xml:space="preserve"> </w:t>
      </w:r>
      <w:r w:rsidRPr="00FD40B8">
        <w:rPr>
          <w:color w:val="131727" w:themeColor="text1"/>
          <w:w w:val="110"/>
        </w:rPr>
        <w:t>and</w:t>
      </w:r>
      <w:r w:rsidRPr="00FD40B8">
        <w:rPr>
          <w:color w:val="131727" w:themeColor="text1"/>
          <w:spacing w:val="-12"/>
          <w:w w:val="110"/>
        </w:rPr>
        <w:t xml:space="preserve"> </w:t>
      </w:r>
      <w:r w:rsidRPr="00FD40B8">
        <w:rPr>
          <w:color w:val="131727" w:themeColor="text1"/>
          <w:w w:val="110"/>
        </w:rPr>
        <w:t>wellbeing</w:t>
      </w:r>
      <w:r w:rsidRPr="00FD40B8">
        <w:rPr>
          <w:color w:val="131727" w:themeColor="text1"/>
          <w:spacing w:val="-13"/>
          <w:w w:val="110"/>
        </w:rPr>
        <w:t xml:space="preserve"> </w:t>
      </w:r>
      <w:r w:rsidRPr="00FD40B8">
        <w:rPr>
          <w:color w:val="131727" w:themeColor="text1"/>
          <w:w w:val="110"/>
        </w:rPr>
        <w:t>information</w:t>
      </w:r>
      <w:r w:rsidRPr="00FD40B8">
        <w:rPr>
          <w:color w:val="131727" w:themeColor="text1"/>
          <w:spacing w:val="-12"/>
          <w:w w:val="110"/>
        </w:rPr>
        <w:t xml:space="preserve"> </w:t>
      </w:r>
      <w:r w:rsidRPr="00FD40B8">
        <w:rPr>
          <w:color w:val="131727" w:themeColor="text1"/>
          <w:w w:val="110"/>
        </w:rPr>
        <w:t>at</w:t>
      </w:r>
      <w:r w:rsidRPr="00FD40B8">
        <w:rPr>
          <w:color w:val="131727" w:themeColor="text1"/>
          <w:spacing w:val="-13"/>
          <w:w w:val="110"/>
        </w:rPr>
        <w:t xml:space="preserve"> </w:t>
      </w:r>
      <w:r w:rsidRPr="00FD40B8">
        <w:rPr>
          <w:color w:val="131727" w:themeColor="text1"/>
          <w:w w:val="110"/>
        </w:rPr>
        <w:t>the national, state/territory and remoteness geographies. More extensive than the Census, the NATSISS includes additional questions on housing condition (e.g. repairs, standards). It was last conducted in 2014-15. The ABS advised that there is currently no funding to undertake another NATSISS.</w:t>
      </w:r>
    </w:p>
    <w:p w14:paraId="54BBDC43" w14:textId="77777777" w:rsidR="00811887" w:rsidRPr="00FD40B8" w:rsidRDefault="00811887" w:rsidP="00811887">
      <w:pPr>
        <w:pStyle w:val="BodyText"/>
        <w:spacing w:before="117" w:line="264" w:lineRule="auto"/>
        <w:ind w:left="508" w:right="823"/>
        <w:rPr>
          <w:color w:val="131727" w:themeColor="text1"/>
        </w:rPr>
      </w:pPr>
      <w:r w:rsidRPr="00FD40B8">
        <w:rPr>
          <w:color w:val="131727" w:themeColor="text1"/>
          <w:w w:val="110"/>
        </w:rPr>
        <w:t>The</w:t>
      </w:r>
      <w:r w:rsidRPr="00FD40B8">
        <w:rPr>
          <w:color w:val="131727" w:themeColor="text1"/>
          <w:spacing w:val="-13"/>
          <w:w w:val="110"/>
        </w:rPr>
        <w:t xml:space="preserve"> </w:t>
      </w:r>
      <w:r w:rsidRPr="00FD40B8">
        <w:rPr>
          <w:color w:val="131727" w:themeColor="text1"/>
          <w:w w:val="110"/>
        </w:rPr>
        <w:t>second</w:t>
      </w:r>
      <w:r w:rsidRPr="00FD40B8">
        <w:rPr>
          <w:color w:val="131727" w:themeColor="text1"/>
          <w:spacing w:val="-12"/>
          <w:w w:val="110"/>
        </w:rPr>
        <w:t xml:space="preserve"> </w:t>
      </w:r>
      <w:r w:rsidRPr="00FD40B8">
        <w:rPr>
          <w:color w:val="131727" w:themeColor="text1"/>
          <w:w w:val="110"/>
        </w:rPr>
        <w:t>survey</w:t>
      </w:r>
      <w:r w:rsidRPr="00FD40B8">
        <w:rPr>
          <w:color w:val="131727" w:themeColor="text1"/>
          <w:spacing w:val="-13"/>
          <w:w w:val="110"/>
        </w:rPr>
        <w:t xml:space="preserve"> </w:t>
      </w:r>
      <w:r w:rsidRPr="00FD40B8">
        <w:rPr>
          <w:color w:val="131727" w:themeColor="text1"/>
          <w:w w:val="110"/>
        </w:rPr>
        <w:t>is</w:t>
      </w:r>
      <w:r w:rsidRPr="00FD40B8">
        <w:rPr>
          <w:color w:val="131727" w:themeColor="text1"/>
          <w:spacing w:val="-12"/>
          <w:w w:val="110"/>
        </w:rPr>
        <w:t xml:space="preserve"> </w:t>
      </w:r>
      <w:r w:rsidRPr="00FD40B8">
        <w:rPr>
          <w:color w:val="131727" w:themeColor="text1"/>
          <w:w w:val="110"/>
        </w:rPr>
        <w:t>the</w:t>
      </w:r>
      <w:r w:rsidRPr="00FD40B8">
        <w:rPr>
          <w:color w:val="131727" w:themeColor="text1"/>
          <w:spacing w:val="-13"/>
          <w:w w:val="110"/>
        </w:rPr>
        <w:t xml:space="preserve"> </w:t>
      </w:r>
      <w:r w:rsidRPr="00FD40B8">
        <w:rPr>
          <w:i/>
          <w:color w:val="131727" w:themeColor="text1"/>
          <w:w w:val="110"/>
        </w:rPr>
        <w:t>National</w:t>
      </w:r>
      <w:r w:rsidRPr="00FD40B8">
        <w:rPr>
          <w:i/>
          <w:color w:val="131727" w:themeColor="text1"/>
          <w:spacing w:val="-12"/>
          <w:w w:val="110"/>
        </w:rPr>
        <w:t xml:space="preserve"> </w:t>
      </w:r>
      <w:r w:rsidRPr="00FD40B8">
        <w:rPr>
          <w:i/>
          <w:color w:val="131727" w:themeColor="text1"/>
          <w:w w:val="110"/>
        </w:rPr>
        <w:t>Aboriginal</w:t>
      </w:r>
      <w:r w:rsidRPr="00FD40B8">
        <w:rPr>
          <w:i/>
          <w:color w:val="131727" w:themeColor="text1"/>
          <w:spacing w:val="-9"/>
          <w:w w:val="110"/>
        </w:rPr>
        <w:t xml:space="preserve"> </w:t>
      </w:r>
      <w:r w:rsidRPr="00FD40B8">
        <w:rPr>
          <w:i/>
          <w:color w:val="131727" w:themeColor="text1"/>
          <w:w w:val="110"/>
        </w:rPr>
        <w:t>and</w:t>
      </w:r>
      <w:r w:rsidRPr="00FD40B8">
        <w:rPr>
          <w:i/>
          <w:color w:val="131727" w:themeColor="text1"/>
          <w:spacing w:val="-11"/>
          <w:w w:val="110"/>
        </w:rPr>
        <w:t xml:space="preserve"> </w:t>
      </w:r>
      <w:r w:rsidRPr="00FD40B8">
        <w:rPr>
          <w:i/>
          <w:color w:val="131727" w:themeColor="text1"/>
          <w:w w:val="110"/>
        </w:rPr>
        <w:t>Torres</w:t>
      </w:r>
      <w:r w:rsidRPr="00FD40B8">
        <w:rPr>
          <w:i/>
          <w:color w:val="131727" w:themeColor="text1"/>
          <w:spacing w:val="-10"/>
          <w:w w:val="110"/>
        </w:rPr>
        <w:t xml:space="preserve"> </w:t>
      </w:r>
      <w:r w:rsidRPr="00FD40B8">
        <w:rPr>
          <w:i/>
          <w:color w:val="131727" w:themeColor="text1"/>
          <w:w w:val="110"/>
        </w:rPr>
        <w:t>Strait</w:t>
      </w:r>
      <w:r w:rsidRPr="00FD40B8">
        <w:rPr>
          <w:i/>
          <w:color w:val="131727" w:themeColor="text1"/>
          <w:spacing w:val="-9"/>
          <w:w w:val="110"/>
        </w:rPr>
        <w:t xml:space="preserve"> </w:t>
      </w:r>
      <w:r w:rsidRPr="00FD40B8">
        <w:rPr>
          <w:i/>
          <w:color w:val="131727" w:themeColor="text1"/>
          <w:w w:val="110"/>
        </w:rPr>
        <w:t>Islander</w:t>
      </w:r>
      <w:r w:rsidRPr="00FD40B8">
        <w:rPr>
          <w:i/>
          <w:color w:val="131727" w:themeColor="text1"/>
          <w:spacing w:val="-11"/>
          <w:w w:val="110"/>
        </w:rPr>
        <w:t xml:space="preserve"> </w:t>
      </w:r>
      <w:r w:rsidRPr="00FD40B8">
        <w:rPr>
          <w:i/>
          <w:color w:val="131727" w:themeColor="text1"/>
          <w:w w:val="110"/>
        </w:rPr>
        <w:t>Health</w:t>
      </w:r>
      <w:r w:rsidRPr="00FD40B8">
        <w:rPr>
          <w:i/>
          <w:color w:val="131727" w:themeColor="text1"/>
          <w:spacing w:val="-11"/>
          <w:w w:val="110"/>
        </w:rPr>
        <w:t xml:space="preserve"> </w:t>
      </w:r>
      <w:r w:rsidRPr="00FD40B8">
        <w:rPr>
          <w:i/>
          <w:color w:val="131727" w:themeColor="text1"/>
          <w:w w:val="110"/>
        </w:rPr>
        <w:t>Survey</w:t>
      </w:r>
      <w:r w:rsidRPr="00FD40B8">
        <w:rPr>
          <w:i/>
          <w:color w:val="131727" w:themeColor="text1"/>
          <w:spacing w:val="-6"/>
          <w:w w:val="110"/>
        </w:rPr>
        <w:t xml:space="preserve"> </w:t>
      </w:r>
      <w:r w:rsidRPr="00FD40B8">
        <w:rPr>
          <w:color w:val="131727" w:themeColor="text1"/>
          <w:w w:val="110"/>
        </w:rPr>
        <w:t>(NATSIHS)</w:t>
      </w:r>
      <w:r w:rsidRPr="00FD40B8">
        <w:rPr>
          <w:color w:val="131727" w:themeColor="text1"/>
          <w:spacing w:val="-11"/>
          <w:w w:val="110"/>
        </w:rPr>
        <w:t xml:space="preserve"> </w:t>
      </w:r>
      <w:r w:rsidRPr="00FD40B8">
        <w:rPr>
          <w:color w:val="131727" w:themeColor="text1"/>
          <w:w w:val="110"/>
        </w:rPr>
        <w:t>which captures</w:t>
      </w:r>
      <w:r w:rsidRPr="00FD40B8">
        <w:rPr>
          <w:color w:val="131727" w:themeColor="text1"/>
          <w:spacing w:val="-12"/>
          <w:w w:val="110"/>
        </w:rPr>
        <w:t xml:space="preserve"> </w:t>
      </w:r>
      <w:r w:rsidRPr="00FD40B8">
        <w:rPr>
          <w:color w:val="131727" w:themeColor="text1"/>
          <w:w w:val="110"/>
        </w:rPr>
        <w:t>information</w:t>
      </w:r>
      <w:r w:rsidRPr="00FD40B8">
        <w:rPr>
          <w:color w:val="131727" w:themeColor="text1"/>
          <w:spacing w:val="-8"/>
          <w:w w:val="110"/>
        </w:rPr>
        <w:t xml:space="preserve"> </w:t>
      </w:r>
      <w:r w:rsidRPr="00FD40B8">
        <w:rPr>
          <w:color w:val="131727" w:themeColor="text1"/>
          <w:w w:val="110"/>
        </w:rPr>
        <w:t>about</w:t>
      </w:r>
      <w:r w:rsidRPr="00FD40B8">
        <w:rPr>
          <w:color w:val="131727" w:themeColor="text1"/>
          <w:spacing w:val="-9"/>
          <w:w w:val="110"/>
        </w:rPr>
        <w:t xml:space="preserve"> </w:t>
      </w:r>
      <w:r w:rsidRPr="00FD40B8">
        <w:rPr>
          <w:color w:val="131727" w:themeColor="text1"/>
          <w:w w:val="110"/>
        </w:rPr>
        <w:t>long-term</w:t>
      </w:r>
      <w:r w:rsidRPr="00FD40B8">
        <w:rPr>
          <w:color w:val="131727" w:themeColor="text1"/>
          <w:spacing w:val="-13"/>
          <w:w w:val="110"/>
        </w:rPr>
        <w:t xml:space="preserve"> </w:t>
      </w:r>
      <w:r w:rsidRPr="00FD40B8">
        <w:rPr>
          <w:color w:val="131727" w:themeColor="text1"/>
          <w:w w:val="110"/>
        </w:rPr>
        <w:t>health</w:t>
      </w:r>
      <w:r w:rsidRPr="00FD40B8">
        <w:rPr>
          <w:color w:val="131727" w:themeColor="text1"/>
          <w:spacing w:val="-8"/>
          <w:w w:val="110"/>
        </w:rPr>
        <w:t xml:space="preserve"> </w:t>
      </w:r>
      <w:r w:rsidRPr="00FD40B8">
        <w:rPr>
          <w:color w:val="131727" w:themeColor="text1"/>
          <w:w w:val="110"/>
        </w:rPr>
        <w:t>conditions,</w:t>
      </w:r>
      <w:r w:rsidRPr="00FD40B8">
        <w:rPr>
          <w:color w:val="131727" w:themeColor="text1"/>
          <w:spacing w:val="-9"/>
          <w:w w:val="110"/>
        </w:rPr>
        <w:t xml:space="preserve"> </w:t>
      </w:r>
      <w:r w:rsidRPr="00FD40B8">
        <w:rPr>
          <w:color w:val="131727" w:themeColor="text1"/>
          <w:w w:val="110"/>
        </w:rPr>
        <w:t>disability,</w:t>
      </w:r>
      <w:r w:rsidRPr="00FD40B8">
        <w:rPr>
          <w:color w:val="131727" w:themeColor="text1"/>
          <w:spacing w:val="-13"/>
          <w:w w:val="110"/>
        </w:rPr>
        <w:t xml:space="preserve"> </w:t>
      </w:r>
      <w:r w:rsidRPr="00FD40B8">
        <w:rPr>
          <w:color w:val="131727" w:themeColor="text1"/>
          <w:w w:val="110"/>
        </w:rPr>
        <w:t>lifestyle</w:t>
      </w:r>
      <w:r w:rsidRPr="00FD40B8">
        <w:rPr>
          <w:color w:val="131727" w:themeColor="text1"/>
          <w:spacing w:val="-12"/>
          <w:w w:val="110"/>
        </w:rPr>
        <w:t xml:space="preserve"> </w:t>
      </w:r>
      <w:r w:rsidRPr="00FD40B8">
        <w:rPr>
          <w:color w:val="131727" w:themeColor="text1"/>
          <w:w w:val="110"/>
        </w:rPr>
        <w:t>factors,</w:t>
      </w:r>
      <w:r w:rsidRPr="00FD40B8">
        <w:rPr>
          <w:color w:val="131727" w:themeColor="text1"/>
          <w:spacing w:val="-13"/>
          <w:w w:val="110"/>
        </w:rPr>
        <w:t xml:space="preserve"> </w:t>
      </w:r>
      <w:r w:rsidRPr="00FD40B8">
        <w:rPr>
          <w:color w:val="131727" w:themeColor="text1"/>
          <w:w w:val="110"/>
        </w:rPr>
        <w:t>physical</w:t>
      </w:r>
      <w:r w:rsidRPr="00FD40B8">
        <w:rPr>
          <w:color w:val="131727" w:themeColor="text1"/>
          <w:spacing w:val="-7"/>
          <w:w w:val="110"/>
        </w:rPr>
        <w:t xml:space="preserve"> </w:t>
      </w:r>
      <w:r w:rsidRPr="00FD40B8">
        <w:rPr>
          <w:color w:val="131727" w:themeColor="text1"/>
          <w:w w:val="110"/>
        </w:rPr>
        <w:t>harm,</w:t>
      </w:r>
      <w:r w:rsidRPr="00FD40B8">
        <w:rPr>
          <w:color w:val="131727" w:themeColor="text1"/>
          <w:spacing w:val="-13"/>
          <w:w w:val="110"/>
        </w:rPr>
        <w:t xml:space="preserve"> </w:t>
      </w:r>
      <w:r w:rsidRPr="00FD40B8">
        <w:rPr>
          <w:color w:val="131727" w:themeColor="text1"/>
          <w:w w:val="110"/>
        </w:rPr>
        <w:t>and use of health services. It collects very similar information on housing and housing conditions as the NATSISS and was last</w:t>
      </w:r>
      <w:r w:rsidRPr="00FD40B8">
        <w:rPr>
          <w:color w:val="131727" w:themeColor="text1"/>
          <w:spacing w:val="-1"/>
          <w:w w:val="110"/>
        </w:rPr>
        <w:t xml:space="preserve"> </w:t>
      </w:r>
      <w:r w:rsidRPr="00FD40B8">
        <w:rPr>
          <w:color w:val="131727" w:themeColor="text1"/>
          <w:w w:val="110"/>
        </w:rPr>
        <w:t>conducted</w:t>
      </w:r>
      <w:r w:rsidRPr="00FD40B8">
        <w:rPr>
          <w:color w:val="131727" w:themeColor="text1"/>
          <w:spacing w:val="-1"/>
          <w:w w:val="110"/>
        </w:rPr>
        <w:t xml:space="preserve"> </w:t>
      </w:r>
      <w:r w:rsidRPr="00FD40B8">
        <w:rPr>
          <w:color w:val="131727" w:themeColor="text1"/>
          <w:w w:val="110"/>
        </w:rPr>
        <w:t>in 2018-19</w:t>
      </w:r>
      <w:hyperlink w:anchor="_bookmark72" w:history="1">
        <w:r w:rsidRPr="00FD40B8">
          <w:rPr>
            <w:color w:val="131727" w:themeColor="text1"/>
            <w:w w:val="110"/>
          </w:rPr>
          <w:t>.</w:t>
        </w:r>
        <w:r w:rsidRPr="00FD40B8">
          <w:rPr>
            <w:color w:val="131727" w:themeColor="text1"/>
            <w:w w:val="110"/>
            <w:position w:val="8"/>
            <w:sz w:val="13"/>
          </w:rPr>
          <w:t>61</w:t>
        </w:r>
      </w:hyperlink>
      <w:r w:rsidRPr="00FD40B8">
        <w:rPr>
          <w:color w:val="131727" w:themeColor="text1"/>
          <w:spacing w:val="20"/>
          <w:w w:val="110"/>
          <w:position w:val="8"/>
          <w:sz w:val="13"/>
        </w:rPr>
        <w:t xml:space="preserve"> </w:t>
      </w:r>
      <w:r w:rsidRPr="00FD40B8">
        <w:rPr>
          <w:color w:val="131727" w:themeColor="text1"/>
          <w:w w:val="110"/>
        </w:rPr>
        <w:t>A new ‘cycle’</w:t>
      </w:r>
      <w:r w:rsidRPr="00FD40B8">
        <w:rPr>
          <w:color w:val="131727" w:themeColor="text1"/>
          <w:spacing w:val="-2"/>
          <w:w w:val="110"/>
        </w:rPr>
        <w:t xml:space="preserve"> </w:t>
      </w:r>
      <w:r w:rsidRPr="00FD40B8">
        <w:rPr>
          <w:color w:val="131727" w:themeColor="text1"/>
          <w:w w:val="110"/>
        </w:rPr>
        <w:t>of NATSIHS has just been completed and data is expected to be available by the end of the 2024 calendar year.</w:t>
      </w:r>
    </w:p>
    <w:p w14:paraId="45FDCD7B" w14:textId="77777777" w:rsidR="00811887" w:rsidRPr="00FD40B8" w:rsidRDefault="00811887" w:rsidP="00811887">
      <w:pPr>
        <w:pStyle w:val="BodyText"/>
        <w:spacing w:before="127" w:line="268" w:lineRule="auto"/>
        <w:ind w:left="508" w:right="532"/>
        <w:rPr>
          <w:color w:val="131727" w:themeColor="text1"/>
        </w:rPr>
      </w:pPr>
      <w:r w:rsidRPr="00FD40B8">
        <w:rPr>
          <w:color w:val="131727" w:themeColor="text1"/>
          <w:w w:val="110"/>
        </w:rPr>
        <w:t>None of the surveys are designed to support community-level planning of housing and infrastructure needs</w:t>
      </w:r>
      <w:r w:rsidRPr="00FD40B8">
        <w:rPr>
          <w:color w:val="131727" w:themeColor="text1"/>
          <w:spacing w:val="-3"/>
          <w:w w:val="110"/>
        </w:rPr>
        <w:t xml:space="preserve"> </w:t>
      </w:r>
      <w:r w:rsidRPr="00FD40B8">
        <w:rPr>
          <w:color w:val="131727" w:themeColor="text1"/>
          <w:w w:val="110"/>
        </w:rPr>
        <w:t>for</w:t>
      </w:r>
      <w:r w:rsidRPr="00FD40B8">
        <w:rPr>
          <w:color w:val="131727" w:themeColor="text1"/>
          <w:spacing w:val="-2"/>
          <w:w w:val="110"/>
        </w:rPr>
        <w:t xml:space="preserve"> </w:t>
      </w:r>
      <w:r w:rsidRPr="00FD40B8">
        <w:rPr>
          <w:color w:val="131727" w:themeColor="text1"/>
          <w:w w:val="110"/>
        </w:rPr>
        <w:t>Aboriginal and</w:t>
      </w:r>
      <w:r w:rsidRPr="00FD40B8">
        <w:rPr>
          <w:color w:val="131727" w:themeColor="text1"/>
          <w:spacing w:val="-5"/>
          <w:w w:val="110"/>
        </w:rPr>
        <w:t xml:space="preserve"> </w:t>
      </w:r>
      <w:r w:rsidRPr="00FD40B8">
        <w:rPr>
          <w:color w:val="131727" w:themeColor="text1"/>
          <w:w w:val="110"/>
        </w:rPr>
        <w:t>Torres Strait</w:t>
      </w:r>
      <w:r w:rsidRPr="00FD40B8">
        <w:rPr>
          <w:color w:val="131727" w:themeColor="text1"/>
          <w:spacing w:val="-5"/>
          <w:w w:val="110"/>
        </w:rPr>
        <w:t xml:space="preserve"> </w:t>
      </w:r>
      <w:r w:rsidRPr="00FD40B8">
        <w:rPr>
          <w:color w:val="131727" w:themeColor="text1"/>
          <w:w w:val="110"/>
        </w:rPr>
        <w:t>Islander communities,</w:t>
      </w:r>
      <w:r w:rsidRPr="00FD40B8">
        <w:rPr>
          <w:color w:val="131727" w:themeColor="text1"/>
          <w:spacing w:val="-5"/>
          <w:w w:val="110"/>
        </w:rPr>
        <w:t xml:space="preserve"> </w:t>
      </w:r>
      <w:r w:rsidRPr="00FD40B8">
        <w:rPr>
          <w:color w:val="131727" w:themeColor="text1"/>
          <w:w w:val="110"/>
        </w:rPr>
        <w:t>organisations and people, and</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1"/>
          <w:w w:val="110"/>
        </w:rPr>
        <w:t xml:space="preserve"> </w:t>
      </w:r>
      <w:r w:rsidRPr="00FD40B8">
        <w:rPr>
          <w:color w:val="131727" w:themeColor="text1"/>
          <w:w w:val="110"/>
        </w:rPr>
        <w:t>that is</w:t>
      </w:r>
      <w:r w:rsidRPr="00FD40B8">
        <w:rPr>
          <w:color w:val="131727" w:themeColor="text1"/>
          <w:spacing w:val="-1"/>
          <w:w w:val="110"/>
        </w:rPr>
        <w:t xml:space="preserve"> </w:t>
      </w:r>
      <w:r w:rsidRPr="00FD40B8">
        <w:rPr>
          <w:color w:val="131727" w:themeColor="text1"/>
          <w:w w:val="110"/>
        </w:rPr>
        <w:t>provided through the</w:t>
      </w:r>
      <w:r w:rsidRPr="00FD40B8">
        <w:rPr>
          <w:color w:val="131727" w:themeColor="text1"/>
          <w:spacing w:val="-3"/>
          <w:w w:val="110"/>
        </w:rPr>
        <w:t xml:space="preserve"> </w:t>
      </w:r>
      <w:r w:rsidRPr="00FD40B8">
        <w:rPr>
          <w:color w:val="131727" w:themeColor="text1"/>
          <w:w w:val="110"/>
        </w:rPr>
        <w:t>surveys are</w:t>
      </w:r>
      <w:r w:rsidRPr="00FD40B8">
        <w:rPr>
          <w:color w:val="131727" w:themeColor="text1"/>
          <w:spacing w:val="-3"/>
          <w:w w:val="110"/>
        </w:rPr>
        <w:t xml:space="preserve"> </w:t>
      </w:r>
      <w:r w:rsidRPr="00FD40B8">
        <w:rPr>
          <w:color w:val="131727" w:themeColor="text1"/>
          <w:w w:val="110"/>
        </w:rPr>
        <w:t>not organised or available</w:t>
      </w:r>
      <w:r w:rsidRPr="00FD40B8">
        <w:rPr>
          <w:color w:val="131727" w:themeColor="text1"/>
          <w:spacing w:val="-2"/>
          <w:w w:val="110"/>
        </w:rPr>
        <w:t xml:space="preserve"> </w:t>
      </w:r>
      <w:r w:rsidRPr="00FD40B8">
        <w:rPr>
          <w:color w:val="131727" w:themeColor="text1"/>
          <w:w w:val="110"/>
        </w:rPr>
        <w:t>in a way that is accessible and easy to use for communities and representative organisations. Appendix F provides further detail on the three ABS datasets, including a comparison of the housing data captured.</w:t>
      </w:r>
    </w:p>
    <w:p w14:paraId="34C0CB0A" w14:textId="77777777" w:rsidR="00811887" w:rsidRPr="00FD40B8" w:rsidRDefault="00811887" w:rsidP="00811887">
      <w:pPr>
        <w:pStyle w:val="BodyText"/>
        <w:spacing w:before="116" w:line="264" w:lineRule="auto"/>
        <w:ind w:left="508" w:right="532"/>
        <w:rPr>
          <w:color w:val="131727" w:themeColor="text1"/>
          <w:sz w:val="13"/>
        </w:rPr>
      </w:pPr>
      <w:r w:rsidRPr="00FD40B8">
        <w:rPr>
          <w:color w:val="131727" w:themeColor="text1"/>
          <w:w w:val="110"/>
        </w:rPr>
        <w:t>Another</w:t>
      </w:r>
      <w:r w:rsidRPr="00FD40B8">
        <w:rPr>
          <w:color w:val="131727" w:themeColor="text1"/>
          <w:spacing w:val="-5"/>
          <w:w w:val="110"/>
        </w:rPr>
        <w:t xml:space="preserve"> </w:t>
      </w:r>
      <w:r w:rsidRPr="00FD40B8">
        <w:rPr>
          <w:color w:val="131727" w:themeColor="text1"/>
          <w:w w:val="110"/>
        </w:rPr>
        <w:t>national</w:t>
      </w:r>
      <w:r w:rsidRPr="00FD40B8">
        <w:rPr>
          <w:color w:val="131727" w:themeColor="text1"/>
          <w:spacing w:val="-1"/>
          <w:w w:val="110"/>
        </w:rPr>
        <w:t xml:space="preserve"> </w:t>
      </w:r>
      <w:r w:rsidRPr="00FD40B8">
        <w:rPr>
          <w:color w:val="131727" w:themeColor="text1"/>
          <w:w w:val="110"/>
        </w:rPr>
        <w:t>data</w:t>
      </w:r>
      <w:r w:rsidRPr="00FD40B8">
        <w:rPr>
          <w:color w:val="131727" w:themeColor="text1"/>
          <w:spacing w:val="-10"/>
          <w:w w:val="110"/>
        </w:rPr>
        <w:t xml:space="preserve"> </w:t>
      </w:r>
      <w:r w:rsidRPr="00FD40B8">
        <w:rPr>
          <w:color w:val="131727" w:themeColor="text1"/>
          <w:w w:val="110"/>
        </w:rPr>
        <w:t>source</w:t>
      </w:r>
      <w:r w:rsidRPr="00FD40B8">
        <w:rPr>
          <w:color w:val="131727" w:themeColor="text1"/>
          <w:spacing w:val="-8"/>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8"/>
          <w:w w:val="110"/>
        </w:rPr>
        <w:t xml:space="preserve"> </w:t>
      </w:r>
      <w:r w:rsidRPr="00FD40B8">
        <w:rPr>
          <w:color w:val="131727" w:themeColor="text1"/>
          <w:w w:val="110"/>
        </w:rPr>
        <w:t>annual</w:t>
      </w:r>
      <w:r w:rsidRPr="00FD40B8">
        <w:rPr>
          <w:color w:val="131727" w:themeColor="text1"/>
          <w:spacing w:val="-8"/>
          <w:w w:val="110"/>
        </w:rPr>
        <w:t xml:space="preserve"> </w:t>
      </w:r>
      <w:r w:rsidRPr="00FD40B8">
        <w:rPr>
          <w:i/>
          <w:color w:val="131727" w:themeColor="text1"/>
          <w:w w:val="110"/>
        </w:rPr>
        <w:t>Report</w:t>
      </w:r>
      <w:r w:rsidRPr="00FD40B8">
        <w:rPr>
          <w:i/>
          <w:color w:val="131727" w:themeColor="text1"/>
          <w:spacing w:val="-3"/>
          <w:w w:val="110"/>
        </w:rPr>
        <w:t xml:space="preserve"> </w:t>
      </w:r>
      <w:r w:rsidRPr="00FD40B8">
        <w:rPr>
          <w:i/>
          <w:color w:val="131727" w:themeColor="text1"/>
          <w:w w:val="110"/>
        </w:rPr>
        <w:t>on</w:t>
      </w:r>
      <w:r w:rsidRPr="00FD40B8">
        <w:rPr>
          <w:i/>
          <w:color w:val="131727" w:themeColor="text1"/>
          <w:spacing w:val="-5"/>
          <w:w w:val="110"/>
        </w:rPr>
        <w:t xml:space="preserve"> </w:t>
      </w:r>
      <w:r w:rsidRPr="00FD40B8">
        <w:rPr>
          <w:i/>
          <w:color w:val="131727" w:themeColor="text1"/>
          <w:w w:val="110"/>
        </w:rPr>
        <w:t>Government</w:t>
      </w:r>
      <w:r w:rsidRPr="00FD40B8">
        <w:rPr>
          <w:i/>
          <w:color w:val="131727" w:themeColor="text1"/>
          <w:spacing w:val="-3"/>
          <w:w w:val="110"/>
        </w:rPr>
        <w:t xml:space="preserve"> </w:t>
      </w:r>
      <w:r w:rsidRPr="00FD40B8">
        <w:rPr>
          <w:i/>
          <w:color w:val="131727" w:themeColor="text1"/>
          <w:w w:val="110"/>
        </w:rPr>
        <w:t>Services</w:t>
      </w:r>
      <w:r w:rsidRPr="00FD40B8">
        <w:rPr>
          <w:i/>
          <w:color w:val="131727" w:themeColor="text1"/>
          <w:spacing w:val="-1"/>
          <w:w w:val="110"/>
        </w:rPr>
        <w:t xml:space="preserve"> </w:t>
      </w:r>
      <w:r w:rsidRPr="00FD40B8">
        <w:rPr>
          <w:color w:val="131727" w:themeColor="text1"/>
          <w:w w:val="110"/>
        </w:rPr>
        <w:t>(RoGs),</w:t>
      </w:r>
      <w:r w:rsidRPr="00FD40B8">
        <w:rPr>
          <w:color w:val="131727" w:themeColor="text1"/>
          <w:spacing w:val="-4"/>
          <w:w w:val="110"/>
        </w:rPr>
        <w:t xml:space="preserve"> </w:t>
      </w:r>
      <w:r w:rsidRPr="00FD40B8">
        <w:rPr>
          <w:color w:val="131727" w:themeColor="text1"/>
          <w:w w:val="110"/>
        </w:rPr>
        <w:t>which</w:t>
      </w:r>
      <w:r w:rsidRPr="00FD40B8">
        <w:rPr>
          <w:color w:val="131727" w:themeColor="text1"/>
          <w:spacing w:val="-2"/>
          <w:w w:val="110"/>
        </w:rPr>
        <w:t xml:space="preserve"> </w:t>
      </w:r>
      <w:r w:rsidRPr="00FD40B8">
        <w:rPr>
          <w:color w:val="131727" w:themeColor="text1"/>
          <w:w w:val="110"/>
        </w:rPr>
        <w:t>provides information on the equity, effectiveness and efficiency</w:t>
      </w:r>
      <w:r w:rsidRPr="00FD40B8">
        <w:rPr>
          <w:color w:val="131727" w:themeColor="text1"/>
          <w:spacing w:val="-7"/>
          <w:w w:val="110"/>
        </w:rPr>
        <w:t xml:space="preserve"> </w:t>
      </w:r>
      <w:r w:rsidRPr="00FD40B8">
        <w:rPr>
          <w:color w:val="131727" w:themeColor="text1"/>
          <w:w w:val="110"/>
        </w:rPr>
        <w:t>of government</w:t>
      </w:r>
      <w:r w:rsidRPr="00FD40B8">
        <w:rPr>
          <w:color w:val="131727" w:themeColor="text1"/>
          <w:spacing w:val="-1"/>
          <w:w w:val="110"/>
        </w:rPr>
        <w:t xml:space="preserve"> </w:t>
      </w:r>
      <w:r w:rsidRPr="00FD40B8">
        <w:rPr>
          <w:color w:val="131727" w:themeColor="text1"/>
          <w:w w:val="110"/>
        </w:rPr>
        <w:t>services in Australia. Prepared by the PC, it is intended to help governments improve and evaluate their service delivery and effectiveness and includes performance indicators on childcare, education and training; justice; emergency management; health; community services; and housing and homelessness. For housing, the administrative data focuses on government performance across eleven indicators, which includes some information about prioritisation, expenditure, conditions, and distance to other amenities</w:t>
      </w:r>
      <w:hyperlink w:anchor="_bookmark73" w:history="1">
        <w:r w:rsidRPr="00FD40B8">
          <w:rPr>
            <w:color w:val="131727" w:themeColor="text1"/>
            <w:w w:val="110"/>
          </w:rPr>
          <w:t>.</w:t>
        </w:r>
        <w:r w:rsidRPr="00FD40B8">
          <w:rPr>
            <w:color w:val="131727" w:themeColor="text1"/>
            <w:w w:val="110"/>
            <w:position w:val="8"/>
            <w:sz w:val="13"/>
          </w:rPr>
          <w:t>62</w:t>
        </w:r>
      </w:hyperlink>
      <w:r w:rsidRPr="00FD40B8">
        <w:rPr>
          <w:color w:val="131727" w:themeColor="text1"/>
          <w:spacing w:val="22"/>
          <w:w w:val="110"/>
          <w:position w:val="8"/>
          <w:sz w:val="13"/>
        </w:rPr>
        <w:t xml:space="preserve"> </w:t>
      </w:r>
      <w:r w:rsidRPr="00FD40B8">
        <w:rPr>
          <w:color w:val="131727" w:themeColor="text1"/>
          <w:w w:val="110"/>
        </w:rPr>
        <w:t>Most indicators are</w:t>
      </w:r>
      <w:r w:rsidRPr="00FD40B8">
        <w:rPr>
          <w:color w:val="131727" w:themeColor="text1"/>
          <w:spacing w:val="-2"/>
          <w:w w:val="110"/>
        </w:rPr>
        <w:t xml:space="preserve"> </w:t>
      </w:r>
      <w:r w:rsidRPr="00FD40B8">
        <w:rPr>
          <w:color w:val="131727" w:themeColor="text1"/>
          <w:w w:val="110"/>
        </w:rPr>
        <w:t>disaggregated</w:t>
      </w:r>
      <w:r w:rsidRPr="00FD40B8">
        <w:rPr>
          <w:color w:val="131727" w:themeColor="text1"/>
          <w:spacing w:val="-6"/>
          <w:w w:val="110"/>
        </w:rPr>
        <w:t xml:space="preserve"> </w:t>
      </w:r>
      <w:r w:rsidRPr="00FD40B8">
        <w:rPr>
          <w:color w:val="131727" w:themeColor="text1"/>
          <w:w w:val="110"/>
        </w:rPr>
        <w:t>by</w:t>
      </w:r>
      <w:r w:rsidRPr="00FD40B8">
        <w:rPr>
          <w:color w:val="131727" w:themeColor="text1"/>
          <w:spacing w:val="-3"/>
          <w:w w:val="110"/>
        </w:rPr>
        <w:t xml:space="preserve"> </w:t>
      </w:r>
      <w:r w:rsidRPr="00FD40B8">
        <w:rPr>
          <w:color w:val="131727" w:themeColor="text1"/>
          <w:w w:val="110"/>
        </w:rPr>
        <w:t>Indigeneity</w:t>
      </w:r>
      <w:r w:rsidRPr="00FD40B8">
        <w:rPr>
          <w:color w:val="131727" w:themeColor="text1"/>
          <w:spacing w:val="-4"/>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some</w:t>
      </w:r>
      <w:r w:rsidRPr="00FD40B8">
        <w:rPr>
          <w:color w:val="131727" w:themeColor="text1"/>
          <w:spacing w:val="-11"/>
          <w:w w:val="110"/>
        </w:rPr>
        <w:t xml:space="preserve"> </w:t>
      </w:r>
      <w:r w:rsidRPr="00FD40B8">
        <w:rPr>
          <w:color w:val="131727" w:themeColor="text1"/>
          <w:w w:val="110"/>
        </w:rPr>
        <w:t>capture</w:t>
      </w:r>
      <w:r w:rsidRPr="00FD40B8">
        <w:rPr>
          <w:color w:val="131727" w:themeColor="text1"/>
          <w:spacing w:val="-2"/>
          <w:w w:val="110"/>
        </w:rPr>
        <w:t xml:space="preserve"> </w:t>
      </w:r>
      <w:r w:rsidRPr="00FD40B8">
        <w:rPr>
          <w:color w:val="131727" w:themeColor="text1"/>
          <w:w w:val="110"/>
        </w:rPr>
        <w:t>remoteness as well. However,</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are</w:t>
      </w:r>
      <w:r w:rsidRPr="00FD40B8">
        <w:rPr>
          <w:color w:val="131727" w:themeColor="text1"/>
          <w:spacing w:val="-2"/>
          <w:w w:val="110"/>
        </w:rPr>
        <w:t xml:space="preserve"> </w:t>
      </w:r>
      <w:r w:rsidRPr="00FD40B8">
        <w:rPr>
          <w:color w:val="131727" w:themeColor="text1"/>
          <w:w w:val="110"/>
        </w:rPr>
        <w:t xml:space="preserve">not always complete and/or available across jurisdictions. In 2023, National Cabinet tasked the Council on Federal Financial Relations to review RoGs and its associated </w:t>
      </w:r>
      <w:hyperlink r:id="rId116">
        <w:r w:rsidRPr="00FD40B8">
          <w:rPr>
            <w:color w:val="131727" w:themeColor="text1"/>
            <w:w w:val="110"/>
          </w:rPr>
          <w:t>Performance Reporting Dashboard.</w:t>
        </w:r>
      </w:hyperlink>
      <w:r w:rsidRPr="00FD40B8">
        <w:rPr>
          <w:color w:val="131727" w:themeColor="text1"/>
          <w:w w:val="110"/>
        </w:rPr>
        <w:t xml:space="preserve"> The review is underway and is being led by Treasury</w:t>
      </w:r>
      <w:hyperlink w:anchor="_bookmark74" w:history="1">
        <w:r w:rsidRPr="00FD40B8">
          <w:rPr>
            <w:color w:val="131727" w:themeColor="text1"/>
            <w:w w:val="110"/>
          </w:rPr>
          <w:t>.</w:t>
        </w:r>
        <w:r w:rsidRPr="00FD40B8">
          <w:rPr>
            <w:color w:val="131727" w:themeColor="text1"/>
            <w:w w:val="110"/>
            <w:position w:val="8"/>
            <w:sz w:val="13"/>
          </w:rPr>
          <w:t>63</w:t>
        </w:r>
      </w:hyperlink>
    </w:p>
    <w:p w14:paraId="633A12ED" w14:textId="77777777" w:rsidR="00811887" w:rsidRPr="00FD40B8" w:rsidRDefault="00811887" w:rsidP="00811887">
      <w:pPr>
        <w:pStyle w:val="BodyText"/>
        <w:spacing w:before="136" w:line="266" w:lineRule="auto"/>
        <w:ind w:left="508" w:right="547"/>
        <w:rPr>
          <w:color w:val="131727" w:themeColor="text1"/>
        </w:rPr>
      </w:pPr>
      <w:r w:rsidRPr="00FD40B8">
        <w:rPr>
          <w:color w:val="131727" w:themeColor="text1"/>
          <w:spacing w:val="-2"/>
          <w:w w:val="110"/>
        </w:rPr>
        <w:t>The</w:t>
      </w:r>
      <w:r w:rsidRPr="00FD40B8">
        <w:rPr>
          <w:color w:val="131727" w:themeColor="text1"/>
          <w:spacing w:val="-4"/>
          <w:w w:val="110"/>
        </w:rPr>
        <w:t xml:space="preserve"> </w:t>
      </w:r>
      <w:r w:rsidRPr="00FD40B8">
        <w:rPr>
          <w:color w:val="131727" w:themeColor="text1"/>
          <w:spacing w:val="-2"/>
          <w:w w:val="110"/>
        </w:rPr>
        <w:t>AIHW also</w:t>
      </w:r>
      <w:r w:rsidRPr="00FD40B8">
        <w:rPr>
          <w:color w:val="131727" w:themeColor="text1"/>
          <w:spacing w:val="-6"/>
          <w:w w:val="110"/>
        </w:rPr>
        <w:t xml:space="preserve"> </w:t>
      </w:r>
      <w:r w:rsidRPr="00FD40B8">
        <w:rPr>
          <w:color w:val="131727" w:themeColor="text1"/>
          <w:spacing w:val="-2"/>
          <w:w w:val="110"/>
        </w:rPr>
        <w:t>undertakes</w:t>
      </w:r>
      <w:r w:rsidRPr="00FD40B8">
        <w:rPr>
          <w:color w:val="131727" w:themeColor="text1"/>
          <w:spacing w:val="-3"/>
          <w:w w:val="110"/>
        </w:rPr>
        <w:t xml:space="preserve"> </w:t>
      </w:r>
      <w:r w:rsidRPr="00FD40B8">
        <w:rPr>
          <w:color w:val="131727" w:themeColor="text1"/>
          <w:spacing w:val="-2"/>
          <w:w w:val="110"/>
        </w:rPr>
        <w:t>two</w:t>
      </w:r>
      <w:r w:rsidRPr="00FD40B8">
        <w:rPr>
          <w:color w:val="131727" w:themeColor="text1"/>
          <w:spacing w:val="-3"/>
          <w:w w:val="110"/>
        </w:rPr>
        <w:t xml:space="preserve"> </w:t>
      </w:r>
      <w:r w:rsidRPr="00FD40B8">
        <w:rPr>
          <w:color w:val="131727" w:themeColor="text1"/>
          <w:spacing w:val="-2"/>
          <w:w w:val="110"/>
        </w:rPr>
        <w:t>significant related</w:t>
      </w:r>
      <w:r w:rsidRPr="00FD40B8">
        <w:rPr>
          <w:color w:val="131727" w:themeColor="text1"/>
          <w:spacing w:val="-7"/>
          <w:w w:val="110"/>
        </w:rPr>
        <w:t xml:space="preserve"> </w:t>
      </w:r>
      <w:r w:rsidRPr="00FD40B8">
        <w:rPr>
          <w:color w:val="131727" w:themeColor="text1"/>
          <w:spacing w:val="-2"/>
          <w:w w:val="110"/>
        </w:rPr>
        <w:t>surveys —</w:t>
      </w:r>
      <w:r w:rsidRPr="00FD40B8">
        <w:rPr>
          <w:color w:val="131727" w:themeColor="text1"/>
          <w:spacing w:val="-4"/>
          <w:w w:val="110"/>
        </w:rPr>
        <w:t xml:space="preserve"> </w:t>
      </w:r>
      <w:r w:rsidRPr="00FD40B8">
        <w:rPr>
          <w:color w:val="131727" w:themeColor="text1"/>
          <w:spacing w:val="-2"/>
          <w:w w:val="110"/>
        </w:rPr>
        <w:t>the</w:t>
      </w:r>
      <w:r w:rsidRPr="00FD40B8">
        <w:rPr>
          <w:color w:val="131727" w:themeColor="text1"/>
          <w:spacing w:val="-8"/>
          <w:w w:val="110"/>
        </w:rPr>
        <w:t xml:space="preserve"> </w:t>
      </w:r>
      <w:r w:rsidRPr="00FD40B8">
        <w:rPr>
          <w:i/>
          <w:color w:val="131727" w:themeColor="text1"/>
          <w:spacing w:val="-2"/>
          <w:w w:val="110"/>
        </w:rPr>
        <w:t>Specialist</w:t>
      </w:r>
      <w:r w:rsidRPr="00FD40B8">
        <w:rPr>
          <w:i/>
          <w:color w:val="131727" w:themeColor="text1"/>
          <w:spacing w:val="-6"/>
          <w:w w:val="110"/>
        </w:rPr>
        <w:t xml:space="preserve"> </w:t>
      </w:r>
      <w:r w:rsidRPr="00FD40B8">
        <w:rPr>
          <w:i/>
          <w:color w:val="131727" w:themeColor="text1"/>
          <w:spacing w:val="-2"/>
          <w:w w:val="110"/>
        </w:rPr>
        <w:t>Homelessness</w:t>
      </w:r>
      <w:r w:rsidRPr="00FD40B8">
        <w:rPr>
          <w:i/>
          <w:color w:val="131727" w:themeColor="text1"/>
          <w:spacing w:val="-7"/>
          <w:w w:val="110"/>
        </w:rPr>
        <w:t xml:space="preserve"> </w:t>
      </w:r>
      <w:r w:rsidRPr="00FD40B8">
        <w:rPr>
          <w:i/>
          <w:color w:val="131727" w:themeColor="text1"/>
          <w:spacing w:val="-2"/>
          <w:w w:val="110"/>
        </w:rPr>
        <w:t>Services</w:t>
      </w:r>
      <w:r w:rsidRPr="00FD40B8">
        <w:rPr>
          <w:i/>
          <w:color w:val="131727" w:themeColor="text1"/>
          <w:spacing w:val="-4"/>
          <w:w w:val="110"/>
        </w:rPr>
        <w:t xml:space="preserve"> </w:t>
      </w:r>
      <w:r w:rsidRPr="00FD40B8">
        <w:rPr>
          <w:i/>
          <w:color w:val="131727" w:themeColor="text1"/>
          <w:spacing w:val="-2"/>
          <w:w w:val="110"/>
        </w:rPr>
        <w:t xml:space="preserve">Collection </w:t>
      </w:r>
      <w:r w:rsidRPr="00FD40B8">
        <w:rPr>
          <w:color w:val="131727" w:themeColor="text1"/>
          <w:w w:val="110"/>
        </w:rPr>
        <w:t>(SHSC) and</w:t>
      </w:r>
      <w:r w:rsidRPr="00FD40B8">
        <w:rPr>
          <w:color w:val="131727" w:themeColor="text1"/>
          <w:spacing w:val="-1"/>
          <w:w w:val="110"/>
        </w:rPr>
        <w:t xml:space="preserve"> </w:t>
      </w:r>
      <w:r w:rsidRPr="00FD40B8">
        <w:rPr>
          <w:i/>
          <w:color w:val="131727" w:themeColor="text1"/>
          <w:w w:val="110"/>
        </w:rPr>
        <w:t xml:space="preserve">National Social Housing Survey </w:t>
      </w:r>
      <w:r w:rsidRPr="00FD40B8">
        <w:rPr>
          <w:color w:val="131727" w:themeColor="text1"/>
          <w:w w:val="110"/>
        </w:rPr>
        <w:t>(NSHS).</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SHSC collects information about</w:t>
      </w:r>
      <w:r w:rsidRPr="00FD40B8">
        <w:rPr>
          <w:color w:val="131727" w:themeColor="text1"/>
          <w:spacing w:val="-2"/>
          <w:w w:val="110"/>
        </w:rPr>
        <w:t xml:space="preserve"> </w:t>
      </w:r>
      <w:r w:rsidRPr="00FD40B8">
        <w:rPr>
          <w:color w:val="131727" w:themeColor="text1"/>
          <w:w w:val="110"/>
        </w:rPr>
        <w:t>people who are referred to, or seek assistance from, specialist homelessness services. These services collect the data on an ongoing basis and are responsible for submitting the data to the AIHW monthly. Updated</w:t>
      </w:r>
      <w:r w:rsidRPr="00FD40B8">
        <w:rPr>
          <w:color w:val="131727" w:themeColor="text1"/>
          <w:spacing w:val="18"/>
          <w:w w:val="110"/>
        </w:rPr>
        <w:t xml:space="preserve"> </w:t>
      </w:r>
      <w:r w:rsidRPr="00FD40B8">
        <w:rPr>
          <w:color w:val="131727" w:themeColor="text1"/>
          <w:w w:val="110"/>
        </w:rPr>
        <w:t>data is made available quarterly, with an annual summary report release. Information is disaggregated for Aboriginal</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Torres</w:t>
      </w:r>
      <w:r w:rsidRPr="00FD40B8">
        <w:rPr>
          <w:color w:val="131727" w:themeColor="text1"/>
          <w:spacing w:val="-3"/>
          <w:w w:val="110"/>
        </w:rPr>
        <w:t xml:space="preserve"> </w:t>
      </w:r>
      <w:r w:rsidRPr="00FD40B8">
        <w:rPr>
          <w:color w:val="131727" w:themeColor="text1"/>
          <w:w w:val="110"/>
        </w:rPr>
        <w:t>Strait</w:t>
      </w:r>
      <w:r w:rsidRPr="00FD40B8">
        <w:rPr>
          <w:color w:val="131727" w:themeColor="text1"/>
          <w:spacing w:val="-4"/>
          <w:w w:val="110"/>
        </w:rPr>
        <w:t xml:space="preserve"> </w:t>
      </w:r>
      <w:r w:rsidRPr="00FD40B8">
        <w:rPr>
          <w:color w:val="131727" w:themeColor="text1"/>
          <w:w w:val="110"/>
        </w:rPr>
        <w:t>Islander</w:t>
      </w:r>
      <w:r w:rsidRPr="00FD40B8">
        <w:rPr>
          <w:color w:val="131727" w:themeColor="text1"/>
          <w:spacing w:val="-2"/>
          <w:w w:val="110"/>
        </w:rPr>
        <w:t xml:space="preserve"> </w:t>
      </w:r>
      <w:r w:rsidRPr="00FD40B8">
        <w:rPr>
          <w:color w:val="131727" w:themeColor="text1"/>
          <w:w w:val="110"/>
        </w:rPr>
        <w:t>clients.</w:t>
      </w:r>
      <w:r w:rsidRPr="00FD40B8">
        <w:rPr>
          <w:color w:val="131727" w:themeColor="text1"/>
          <w:spacing w:val="-4"/>
          <w:w w:val="110"/>
        </w:rPr>
        <w:t xml:space="preserve"> </w:t>
      </w:r>
      <w:r w:rsidRPr="00FD40B8">
        <w:rPr>
          <w:color w:val="131727" w:themeColor="text1"/>
          <w:w w:val="110"/>
        </w:rPr>
        <w:t>Geographic</w:t>
      </w:r>
      <w:r w:rsidRPr="00FD40B8">
        <w:rPr>
          <w:color w:val="131727" w:themeColor="text1"/>
          <w:spacing w:val="-4"/>
          <w:w w:val="110"/>
        </w:rPr>
        <w:t xml:space="preserve"> </w:t>
      </w:r>
      <w:r w:rsidRPr="00FD40B8">
        <w:rPr>
          <w:color w:val="131727" w:themeColor="text1"/>
          <w:w w:val="110"/>
        </w:rPr>
        <w:t>location</w:t>
      </w:r>
      <w:r w:rsidRPr="00FD40B8">
        <w:rPr>
          <w:color w:val="131727" w:themeColor="text1"/>
          <w:spacing w:val="-7"/>
          <w:w w:val="110"/>
        </w:rPr>
        <w:t xml:space="preserve"> </w:t>
      </w:r>
      <w:r w:rsidRPr="00FD40B8">
        <w:rPr>
          <w:color w:val="131727" w:themeColor="text1"/>
          <w:w w:val="110"/>
        </w:rPr>
        <w:t>is collected,</w:t>
      </w:r>
      <w:r w:rsidRPr="00FD40B8">
        <w:rPr>
          <w:color w:val="131727" w:themeColor="text1"/>
          <w:spacing w:val="-4"/>
          <w:w w:val="110"/>
        </w:rPr>
        <w:t xml:space="preserve"> </w:t>
      </w:r>
      <w:r w:rsidRPr="00FD40B8">
        <w:rPr>
          <w:color w:val="131727" w:themeColor="text1"/>
          <w:w w:val="110"/>
        </w:rPr>
        <w:t>but</w:t>
      </w:r>
      <w:r w:rsidRPr="00FD40B8">
        <w:rPr>
          <w:color w:val="131727" w:themeColor="text1"/>
          <w:spacing w:val="-8"/>
          <w:w w:val="110"/>
        </w:rPr>
        <w:t xml:space="preserve"> </w:t>
      </w:r>
      <w:r w:rsidRPr="00FD40B8">
        <w:rPr>
          <w:color w:val="131727" w:themeColor="text1"/>
          <w:w w:val="110"/>
        </w:rPr>
        <w:t>not</w:t>
      </w:r>
      <w:r w:rsidRPr="00FD40B8">
        <w:rPr>
          <w:color w:val="131727" w:themeColor="text1"/>
          <w:spacing w:val="-4"/>
          <w:w w:val="110"/>
        </w:rPr>
        <w:t xml:space="preserve"> </w:t>
      </w:r>
      <w:r w:rsidRPr="00FD40B8">
        <w:rPr>
          <w:color w:val="131727" w:themeColor="text1"/>
          <w:w w:val="110"/>
        </w:rPr>
        <w:t>publicly</w:t>
      </w:r>
      <w:r w:rsidRPr="00FD40B8">
        <w:rPr>
          <w:color w:val="131727" w:themeColor="text1"/>
          <w:spacing w:val="-5"/>
          <w:w w:val="110"/>
        </w:rPr>
        <w:t xml:space="preserve"> </w:t>
      </w:r>
      <w:r w:rsidRPr="00FD40B8">
        <w:rPr>
          <w:color w:val="131727" w:themeColor="text1"/>
          <w:w w:val="110"/>
        </w:rPr>
        <w:t>reported</w:t>
      </w:r>
      <w:r w:rsidRPr="00FD40B8">
        <w:rPr>
          <w:color w:val="131727" w:themeColor="text1"/>
          <w:spacing w:val="-1"/>
          <w:w w:val="110"/>
        </w:rPr>
        <w:t xml:space="preserve"> </w:t>
      </w:r>
      <w:r w:rsidRPr="00FD40B8">
        <w:rPr>
          <w:color w:val="131727" w:themeColor="text1"/>
          <w:w w:val="110"/>
        </w:rPr>
        <w:t>by the smaller regions.</w:t>
      </w:r>
    </w:p>
    <w:p w14:paraId="45F4F533" w14:textId="77777777" w:rsidR="00811887" w:rsidRPr="00FD40B8" w:rsidRDefault="00811887" w:rsidP="00811887">
      <w:pPr>
        <w:pStyle w:val="BodyText"/>
        <w:spacing w:before="129" w:line="264" w:lineRule="auto"/>
        <w:ind w:left="508" w:right="598"/>
        <w:rPr>
          <w:color w:val="131727" w:themeColor="text1"/>
          <w:sz w:val="13"/>
        </w:rPr>
      </w:pPr>
      <w:r w:rsidRPr="00FD40B8">
        <w:rPr>
          <w:color w:val="131727" w:themeColor="text1"/>
          <w:w w:val="110"/>
        </w:rPr>
        <w:t>The NSHS is a survey of social housing tenants which complements administrative data collected by social housing providers (reported through RoGs) and</w:t>
      </w:r>
      <w:r w:rsidRPr="00FD40B8">
        <w:rPr>
          <w:color w:val="131727" w:themeColor="text1"/>
          <w:spacing w:val="-2"/>
          <w:w w:val="110"/>
        </w:rPr>
        <w:t xml:space="preserve"> </w:t>
      </w:r>
      <w:r w:rsidRPr="00FD40B8">
        <w:rPr>
          <w:color w:val="131727" w:themeColor="text1"/>
          <w:w w:val="110"/>
        </w:rPr>
        <w:t>includes information</w:t>
      </w:r>
      <w:r w:rsidRPr="00FD40B8">
        <w:rPr>
          <w:color w:val="131727" w:themeColor="text1"/>
          <w:spacing w:val="-1"/>
          <w:w w:val="110"/>
        </w:rPr>
        <w:t xml:space="preserve"> </w:t>
      </w:r>
      <w:r w:rsidRPr="00FD40B8">
        <w:rPr>
          <w:color w:val="131727" w:themeColor="text1"/>
          <w:w w:val="110"/>
        </w:rPr>
        <w:t>on a</w:t>
      </w:r>
      <w:r w:rsidRPr="00FD40B8">
        <w:rPr>
          <w:color w:val="131727" w:themeColor="text1"/>
          <w:spacing w:val="-3"/>
          <w:w w:val="110"/>
        </w:rPr>
        <w:t xml:space="preserve"> </w:t>
      </w:r>
      <w:r w:rsidRPr="00FD40B8">
        <w:rPr>
          <w:color w:val="131727" w:themeColor="text1"/>
          <w:w w:val="110"/>
        </w:rPr>
        <w:t>sample</w:t>
      </w:r>
      <w:r w:rsidRPr="00FD40B8">
        <w:rPr>
          <w:color w:val="131727" w:themeColor="text1"/>
          <w:spacing w:val="-2"/>
          <w:w w:val="110"/>
        </w:rPr>
        <w:t xml:space="preserve"> </w:t>
      </w:r>
      <w:r w:rsidRPr="00FD40B8">
        <w:rPr>
          <w:color w:val="131727" w:themeColor="text1"/>
          <w:w w:val="110"/>
        </w:rPr>
        <w:t>of tenants and their</w:t>
      </w:r>
      <w:r w:rsidRPr="00FD40B8">
        <w:rPr>
          <w:color w:val="131727" w:themeColor="text1"/>
          <w:spacing w:val="-9"/>
          <w:w w:val="110"/>
        </w:rPr>
        <w:t xml:space="preserve"> </w:t>
      </w:r>
      <w:r w:rsidRPr="00FD40B8">
        <w:rPr>
          <w:color w:val="131727" w:themeColor="text1"/>
          <w:w w:val="110"/>
        </w:rPr>
        <w:t>social</w:t>
      </w:r>
      <w:r w:rsidRPr="00FD40B8">
        <w:rPr>
          <w:color w:val="131727" w:themeColor="text1"/>
          <w:spacing w:val="-2"/>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experiences.</w:t>
      </w:r>
      <w:r w:rsidRPr="00FD40B8">
        <w:rPr>
          <w:color w:val="131727" w:themeColor="text1"/>
          <w:spacing w:val="-9"/>
          <w:w w:val="110"/>
        </w:rPr>
        <w:t xml:space="preserve"> </w:t>
      </w:r>
      <w:r w:rsidRPr="00FD40B8">
        <w:rPr>
          <w:color w:val="131727" w:themeColor="text1"/>
          <w:w w:val="110"/>
        </w:rPr>
        <w:t>It</w:t>
      </w:r>
      <w:r w:rsidRPr="00FD40B8">
        <w:rPr>
          <w:color w:val="131727" w:themeColor="text1"/>
          <w:spacing w:val="-1"/>
          <w:w w:val="110"/>
        </w:rPr>
        <w:t xml:space="preserve"> </w:t>
      </w:r>
      <w:r w:rsidRPr="00FD40B8">
        <w:rPr>
          <w:color w:val="131727" w:themeColor="text1"/>
          <w:w w:val="110"/>
        </w:rPr>
        <w:t>is</w:t>
      </w:r>
      <w:r w:rsidRPr="00FD40B8">
        <w:rPr>
          <w:color w:val="131727" w:themeColor="text1"/>
          <w:spacing w:val="-7"/>
          <w:w w:val="110"/>
        </w:rPr>
        <w:t xml:space="preserve"> </w:t>
      </w:r>
      <w:r w:rsidRPr="00FD40B8">
        <w:rPr>
          <w:color w:val="131727" w:themeColor="text1"/>
          <w:w w:val="110"/>
        </w:rPr>
        <w:t>ordinarily</w:t>
      </w:r>
      <w:r w:rsidRPr="00FD40B8">
        <w:rPr>
          <w:color w:val="131727" w:themeColor="text1"/>
          <w:spacing w:val="-4"/>
          <w:w w:val="110"/>
        </w:rPr>
        <w:t xml:space="preserve"> </w:t>
      </w:r>
      <w:r w:rsidRPr="00FD40B8">
        <w:rPr>
          <w:color w:val="131727" w:themeColor="text1"/>
          <w:w w:val="110"/>
        </w:rPr>
        <w:t>conducted</w:t>
      </w:r>
      <w:r w:rsidRPr="00FD40B8">
        <w:rPr>
          <w:color w:val="131727" w:themeColor="text1"/>
          <w:spacing w:val="-3"/>
          <w:w w:val="110"/>
        </w:rPr>
        <w:t xml:space="preserve"> </w:t>
      </w:r>
      <w:r w:rsidRPr="00FD40B8">
        <w:rPr>
          <w:color w:val="131727" w:themeColor="text1"/>
          <w:w w:val="110"/>
        </w:rPr>
        <w:t>every</w:t>
      </w:r>
      <w:r w:rsidRPr="00FD40B8">
        <w:rPr>
          <w:color w:val="131727" w:themeColor="text1"/>
          <w:spacing w:val="-6"/>
          <w:w w:val="110"/>
        </w:rPr>
        <w:t xml:space="preserve"> </w:t>
      </w:r>
      <w:r w:rsidRPr="00FD40B8">
        <w:rPr>
          <w:color w:val="131727" w:themeColor="text1"/>
          <w:w w:val="110"/>
        </w:rPr>
        <w:t>two</w:t>
      </w:r>
      <w:r w:rsidRPr="00FD40B8">
        <w:rPr>
          <w:color w:val="131727" w:themeColor="text1"/>
          <w:spacing w:val="-3"/>
          <w:w w:val="110"/>
        </w:rPr>
        <w:t xml:space="preserve"> </w:t>
      </w:r>
      <w:r w:rsidRPr="00FD40B8">
        <w:rPr>
          <w:color w:val="131727" w:themeColor="text1"/>
          <w:w w:val="110"/>
        </w:rPr>
        <w:t>years,</w:t>
      </w:r>
      <w:r w:rsidRPr="00FD40B8">
        <w:rPr>
          <w:color w:val="131727" w:themeColor="text1"/>
          <w:spacing w:val="-3"/>
          <w:w w:val="110"/>
        </w:rPr>
        <w:t xml:space="preserve"> </w:t>
      </w:r>
      <w:r w:rsidRPr="00FD40B8">
        <w:rPr>
          <w:color w:val="131727" w:themeColor="text1"/>
          <w:w w:val="110"/>
        </w:rPr>
        <w:t>with</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most</w:t>
      </w:r>
      <w:r w:rsidRPr="00FD40B8">
        <w:rPr>
          <w:color w:val="131727" w:themeColor="text1"/>
          <w:spacing w:val="-4"/>
          <w:w w:val="110"/>
        </w:rPr>
        <w:t xml:space="preserve"> </w:t>
      </w:r>
      <w:r w:rsidRPr="00FD40B8">
        <w:rPr>
          <w:color w:val="131727" w:themeColor="text1"/>
          <w:w w:val="110"/>
        </w:rPr>
        <w:t>recent</w:t>
      </w:r>
      <w:r w:rsidRPr="00FD40B8">
        <w:rPr>
          <w:color w:val="131727" w:themeColor="text1"/>
          <w:spacing w:val="-9"/>
          <w:w w:val="110"/>
        </w:rPr>
        <w:t xml:space="preserve"> </w:t>
      </w:r>
      <w:r w:rsidRPr="00FD40B8">
        <w:rPr>
          <w:color w:val="131727" w:themeColor="text1"/>
          <w:w w:val="110"/>
        </w:rPr>
        <w:t>survey undertaken</w:t>
      </w:r>
      <w:r w:rsidRPr="00FD40B8">
        <w:rPr>
          <w:color w:val="131727" w:themeColor="text1"/>
          <w:spacing w:val="-3"/>
          <w:w w:val="110"/>
        </w:rPr>
        <w:t xml:space="preserve"> </w:t>
      </w:r>
      <w:r w:rsidRPr="00FD40B8">
        <w:rPr>
          <w:color w:val="131727" w:themeColor="text1"/>
          <w:w w:val="110"/>
        </w:rPr>
        <w:t>in 2021. Information</w:t>
      </w:r>
      <w:r w:rsidRPr="00FD40B8">
        <w:rPr>
          <w:color w:val="131727" w:themeColor="text1"/>
          <w:spacing w:val="-3"/>
          <w:w w:val="110"/>
        </w:rPr>
        <w:t xml:space="preserve"> </w:t>
      </w:r>
      <w:r w:rsidRPr="00FD40B8">
        <w:rPr>
          <w:color w:val="131727" w:themeColor="text1"/>
          <w:w w:val="110"/>
        </w:rPr>
        <w:t>on the</w:t>
      </w:r>
      <w:r w:rsidRPr="00FD40B8">
        <w:rPr>
          <w:color w:val="131727" w:themeColor="text1"/>
          <w:spacing w:val="-4"/>
          <w:w w:val="110"/>
        </w:rPr>
        <w:t xml:space="preserve"> </w:t>
      </w:r>
      <w:r w:rsidRPr="00FD40B8">
        <w:rPr>
          <w:color w:val="131727" w:themeColor="text1"/>
          <w:w w:val="110"/>
        </w:rPr>
        <w:t>Indigeneity</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clients is collected and reported. Data</w:t>
      </w:r>
      <w:r w:rsidRPr="00FD40B8">
        <w:rPr>
          <w:color w:val="131727" w:themeColor="text1"/>
          <w:spacing w:val="-6"/>
          <w:w w:val="110"/>
        </w:rPr>
        <w:t xml:space="preserve"> </w:t>
      </w:r>
      <w:r w:rsidRPr="00FD40B8">
        <w:rPr>
          <w:color w:val="131727" w:themeColor="text1"/>
          <w:w w:val="110"/>
        </w:rPr>
        <w:t>is publicly reported mainly at the jurisdictional level, but it is also</w:t>
      </w:r>
      <w:r w:rsidRPr="00FD40B8">
        <w:rPr>
          <w:color w:val="131727" w:themeColor="text1"/>
          <w:spacing w:val="-2"/>
          <w:w w:val="110"/>
        </w:rPr>
        <w:t xml:space="preserve"> </w:t>
      </w:r>
      <w:r w:rsidRPr="00FD40B8">
        <w:rPr>
          <w:color w:val="131727" w:themeColor="text1"/>
          <w:w w:val="110"/>
        </w:rPr>
        <w:t>collected at smaller geographical levels</w:t>
      </w:r>
      <w:hyperlink w:anchor="_bookmark75" w:history="1">
        <w:r w:rsidRPr="00FD40B8">
          <w:rPr>
            <w:color w:val="131727" w:themeColor="text1"/>
            <w:w w:val="110"/>
          </w:rPr>
          <w:t>.</w:t>
        </w:r>
        <w:r w:rsidRPr="00FD40B8">
          <w:rPr>
            <w:color w:val="131727" w:themeColor="text1"/>
            <w:w w:val="110"/>
            <w:position w:val="8"/>
            <w:sz w:val="13"/>
          </w:rPr>
          <w:t>64</w:t>
        </w:r>
      </w:hyperlink>
    </w:p>
    <w:p w14:paraId="616F7CF8" w14:textId="77777777" w:rsidR="00811887" w:rsidRPr="00FD40B8" w:rsidRDefault="00811887" w:rsidP="00811887">
      <w:pPr>
        <w:pStyle w:val="BodyText"/>
        <w:spacing w:before="127" w:line="266" w:lineRule="auto"/>
        <w:ind w:left="508" w:right="598"/>
        <w:rPr>
          <w:color w:val="131727" w:themeColor="text1"/>
        </w:rPr>
      </w:pPr>
      <w:r w:rsidRPr="00FD40B8">
        <w:rPr>
          <w:color w:val="131727" w:themeColor="text1"/>
          <w:w w:val="110"/>
        </w:rPr>
        <w:t>Like the ABS run surveys, these surveys do not collect information on the condition and quality of housing and related</w:t>
      </w:r>
      <w:r w:rsidRPr="00FD40B8">
        <w:rPr>
          <w:color w:val="131727" w:themeColor="text1"/>
          <w:spacing w:val="-3"/>
          <w:w w:val="110"/>
        </w:rPr>
        <w:t xml:space="preserve"> </w:t>
      </w:r>
      <w:r w:rsidRPr="00FD40B8">
        <w:rPr>
          <w:color w:val="131727" w:themeColor="text1"/>
          <w:w w:val="110"/>
        </w:rPr>
        <w:t>infrastructure requirements and are not</w:t>
      </w:r>
      <w:r w:rsidRPr="00FD40B8">
        <w:rPr>
          <w:color w:val="131727" w:themeColor="text1"/>
          <w:spacing w:val="-3"/>
          <w:w w:val="110"/>
        </w:rPr>
        <w:t xml:space="preserve"> </w:t>
      </w:r>
      <w:r w:rsidRPr="00FD40B8">
        <w:rPr>
          <w:color w:val="131727" w:themeColor="text1"/>
          <w:w w:val="110"/>
        </w:rPr>
        <w:t>intended to</w:t>
      </w:r>
      <w:r w:rsidRPr="00FD40B8">
        <w:rPr>
          <w:color w:val="131727" w:themeColor="text1"/>
          <w:spacing w:val="-1"/>
          <w:w w:val="110"/>
        </w:rPr>
        <w:t xml:space="preserve"> </w:t>
      </w:r>
      <w:r w:rsidRPr="00FD40B8">
        <w:rPr>
          <w:color w:val="131727" w:themeColor="text1"/>
          <w:w w:val="110"/>
        </w:rPr>
        <w:t>support investment decisions on new housing and repairs and maintenance.</w:t>
      </w:r>
    </w:p>
    <w:p w14:paraId="0D1A0EF6" w14:textId="77777777" w:rsidR="00811887" w:rsidRPr="00FD40B8" w:rsidRDefault="00811887" w:rsidP="00811887">
      <w:pPr>
        <w:pStyle w:val="BodyText"/>
        <w:rPr>
          <w:color w:val="131727" w:themeColor="text1"/>
        </w:rPr>
      </w:pPr>
    </w:p>
    <w:p w14:paraId="3BBCB72E" w14:textId="77777777" w:rsidR="00811887" w:rsidRPr="00FD40B8" w:rsidRDefault="00811887" w:rsidP="00811887">
      <w:pPr>
        <w:pStyle w:val="BodyText"/>
        <w:spacing w:before="210"/>
        <w:rPr>
          <w:color w:val="131727" w:themeColor="text1"/>
        </w:rPr>
      </w:pPr>
      <w:r w:rsidRPr="00FD40B8">
        <w:rPr>
          <w:noProof/>
          <w:color w:val="131727" w:themeColor="text1"/>
        </w:rPr>
        <mc:AlternateContent>
          <mc:Choice Requires="wps">
            <w:drawing>
              <wp:anchor distT="0" distB="0" distL="0" distR="0" simplePos="0" relativeHeight="251752448" behindDoc="1" locked="0" layoutInCell="1" allowOverlap="1" wp14:anchorId="7C78CCB5" wp14:editId="41523C55">
                <wp:simplePos x="0" y="0"/>
                <wp:positionH relativeFrom="page">
                  <wp:posOffset>792784</wp:posOffset>
                </wp:positionH>
                <wp:positionV relativeFrom="paragraph">
                  <wp:posOffset>303729</wp:posOffset>
                </wp:positionV>
                <wp:extent cx="1830070" cy="6350"/>
                <wp:effectExtent l="0" t="0" r="0" b="0"/>
                <wp:wrapTopAndBottom/>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5BC6E" id="Graphic 176" o:spid="_x0000_s1026" alt="&quot;&quot;" style="position:absolute;margin-left:62.4pt;margin-top:23.9pt;width:144.1pt;height:.5pt;z-index:-25156403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" path="m1829689,l,,,6095r1829689,l1829689,xe" fillcolor="black" stroked="f">
                <v:path arrowok="t"/>
                <w10:wrap type="topAndBottom" anchorx="page"/>
              </v:shape>
            </w:pict>
          </mc:Fallback>
        </mc:AlternateContent>
      </w:r>
    </w:p>
    <w:p w14:paraId="51CC21F2" w14:textId="77777777" w:rsidR="00811887" w:rsidRPr="00FD40B8" w:rsidRDefault="00811887" w:rsidP="00811887">
      <w:pPr>
        <w:spacing w:before="123" w:line="266" w:lineRule="auto"/>
        <w:ind w:left="508" w:right="989"/>
        <w:rPr>
          <w:color w:val="131727" w:themeColor="text1"/>
          <w:sz w:val="16"/>
        </w:rPr>
      </w:pPr>
      <w:bookmarkStart w:id="183" w:name="_bookmark72"/>
      <w:bookmarkEnd w:id="183"/>
      <w:r w:rsidRPr="00FD40B8">
        <w:rPr>
          <w:color w:val="131727" w:themeColor="text1"/>
          <w:w w:val="105"/>
          <w:position w:val="6"/>
          <w:sz w:val="10"/>
        </w:rPr>
        <w:t>61</w:t>
      </w:r>
      <w:r w:rsidRPr="00FD40B8">
        <w:rPr>
          <w:color w:val="131727" w:themeColor="text1"/>
          <w:spacing w:val="21"/>
          <w:w w:val="105"/>
          <w:position w:val="6"/>
          <w:sz w:val="10"/>
        </w:rPr>
        <w:t xml:space="preserve"> </w:t>
      </w:r>
      <w:r w:rsidRPr="00FD40B8">
        <w:rPr>
          <w:color w:val="131727" w:themeColor="text1"/>
          <w:w w:val="105"/>
          <w:sz w:val="16"/>
        </w:rPr>
        <w:t>https://</w:t>
      </w:r>
      <w:hyperlink r:id="rId117">
        <w:r w:rsidRPr="00FD40B8">
          <w:rPr>
            <w:color w:val="131727" w:themeColor="text1"/>
            <w:w w:val="105"/>
            <w:sz w:val="16"/>
          </w:rPr>
          <w:t>www.abs.gov.au/statistics/people/aboriginal-and-torres-strait-islander-peoples/national-aboriginal-and-torres-strait-</w:t>
        </w:r>
      </w:hyperlink>
      <w:r w:rsidRPr="00FD40B8">
        <w:rPr>
          <w:color w:val="131727" w:themeColor="text1"/>
          <w:spacing w:val="40"/>
          <w:w w:val="105"/>
          <w:sz w:val="16"/>
        </w:rPr>
        <w:t xml:space="preserve"> </w:t>
      </w:r>
      <w:r w:rsidRPr="00FD40B8">
        <w:rPr>
          <w:color w:val="131727" w:themeColor="text1"/>
          <w:spacing w:val="-2"/>
          <w:w w:val="105"/>
          <w:sz w:val="16"/>
        </w:rPr>
        <w:t>islander-health-survey</w:t>
      </w:r>
    </w:p>
    <w:p w14:paraId="1F3F30A2" w14:textId="77777777" w:rsidR="00811887" w:rsidRPr="00FD40B8" w:rsidRDefault="00811887" w:rsidP="00811887">
      <w:pPr>
        <w:spacing w:before="1"/>
        <w:ind w:left="508"/>
        <w:rPr>
          <w:color w:val="131727" w:themeColor="text1"/>
          <w:sz w:val="16"/>
        </w:rPr>
      </w:pPr>
      <w:bookmarkStart w:id="184" w:name="_bookmark73"/>
      <w:bookmarkEnd w:id="184"/>
      <w:r w:rsidRPr="00FD40B8">
        <w:rPr>
          <w:color w:val="131727" w:themeColor="text1"/>
          <w:w w:val="105"/>
          <w:position w:val="6"/>
          <w:sz w:val="10"/>
        </w:rPr>
        <w:t>62</w:t>
      </w:r>
      <w:r w:rsidRPr="00FD40B8">
        <w:rPr>
          <w:color w:val="131727" w:themeColor="text1"/>
          <w:spacing w:val="58"/>
          <w:w w:val="105"/>
          <w:position w:val="6"/>
          <w:sz w:val="10"/>
        </w:rPr>
        <w:t xml:space="preserve"> </w:t>
      </w:r>
      <w:r w:rsidRPr="00FD40B8">
        <w:rPr>
          <w:color w:val="131727" w:themeColor="text1"/>
          <w:w w:val="105"/>
          <w:sz w:val="16"/>
        </w:rPr>
        <w:t>https://</w:t>
      </w:r>
      <w:hyperlink r:id="rId118">
        <w:r w:rsidRPr="00FD40B8">
          <w:rPr>
            <w:color w:val="131727" w:themeColor="text1"/>
            <w:w w:val="105"/>
            <w:sz w:val="16"/>
          </w:rPr>
          <w:t>www.pc.gov.au/ongoing/report-on-government-</w:t>
        </w:r>
        <w:r w:rsidRPr="00FD40B8">
          <w:rPr>
            <w:color w:val="131727" w:themeColor="text1"/>
            <w:spacing w:val="-2"/>
            <w:w w:val="105"/>
            <w:sz w:val="16"/>
          </w:rPr>
          <w:t>services</w:t>
        </w:r>
      </w:hyperlink>
    </w:p>
    <w:p w14:paraId="56398A05" w14:textId="77777777" w:rsidR="00811887" w:rsidRPr="00FD40B8" w:rsidRDefault="00811887" w:rsidP="00811887">
      <w:pPr>
        <w:spacing w:before="18"/>
        <w:ind w:left="508"/>
        <w:rPr>
          <w:color w:val="131727" w:themeColor="text1"/>
          <w:sz w:val="16"/>
        </w:rPr>
      </w:pPr>
      <w:bookmarkStart w:id="185" w:name="_bookmark74"/>
      <w:bookmarkEnd w:id="185"/>
      <w:r w:rsidRPr="00FD40B8">
        <w:rPr>
          <w:color w:val="131727" w:themeColor="text1"/>
          <w:w w:val="105"/>
          <w:position w:val="6"/>
          <w:sz w:val="10"/>
        </w:rPr>
        <w:t>63</w:t>
      </w:r>
      <w:r w:rsidRPr="00FD40B8">
        <w:rPr>
          <w:color w:val="131727" w:themeColor="text1"/>
          <w:spacing w:val="29"/>
          <w:w w:val="105"/>
          <w:position w:val="6"/>
          <w:sz w:val="10"/>
        </w:rPr>
        <w:t xml:space="preserve"> </w:t>
      </w:r>
      <w:hyperlink r:id="rId119">
        <w:r w:rsidRPr="00FD40B8">
          <w:rPr>
            <w:color w:val="131727" w:themeColor="text1"/>
            <w:w w:val="105"/>
            <w:sz w:val="16"/>
          </w:rPr>
          <w:t>Review</w:t>
        </w:r>
        <w:r w:rsidRPr="00FD40B8">
          <w:rPr>
            <w:color w:val="131727" w:themeColor="text1"/>
            <w:spacing w:val="16"/>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the</w:t>
        </w:r>
        <w:r w:rsidRPr="00FD40B8">
          <w:rPr>
            <w:color w:val="131727" w:themeColor="text1"/>
            <w:spacing w:val="15"/>
            <w:w w:val="105"/>
            <w:sz w:val="16"/>
          </w:rPr>
          <w:t xml:space="preserve"> </w:t>
        </w:r>
        <w:r w:rsidRPr="00FD40B8">
          <w:rPr>
            <w:color w:val="131727" w:themeColor="text1"/>
            <w:w w:val="105"/>
            <w:sz w:val="16"/>
          </w:rPr>
          <w:t>RoGS</w:t>
        </w:r>
        <w:r w:rsidRPr="00FD40B8">
          <w:rPr>
            <w:color w:val="131727" w:themeColor="text1"/>
            <w:spacing w:val="15"/>
            <w:w w:val="105"/>
            <w:sz w:val="16"/>
          </w:rPr>
          <w:t xml:space="preserve"> </w:t>
        </w:r>
        <w:r w:rsidRPr="00FD40B8">
          <w:rPr>
            <w:color w:val="131727" w:themeColor="text1"/>
            <w:w w:val="105"/>
            <w:sz w:val="16"/>
          </w:rPr>
          <w:t>and</w:t>
        </w:r>
        <w:r w:rsidRPr="00FD40B8">
          <w:rPr>
            <w:color w:val="131727" w:themeColor="text1"/>
            <w:spacing w:val="18"/>
            <w:w w:val="105"/>
            <w:sz w:val="16"/>
          </w:rPr>
          <w:t xml:space="preserve"> </w:t>
        </w:r>
        <w:r w:rsidRPr="00FD40B8">
          <w:rPr>
            <w:color w:val="131727" w:themeColor="text1"/>
            <w:w w:val="105"/>
            <w:sz w:val="16"/>
          </w:rPr>
          <w:t>Dashboard</w:t>
        </w:r>
        <w:r w:rsidRPr="00FD40B8">
          <w:rPr>
            <w:color w:val="131727" w:themeColor="text1"/>
            <w:spacing w:val="22"/>
            <w:w w:val="105"/>
            <w:sz w:val="16"/>
          </w:rPr>
          <w:t xml:space="preserve"> </w:t>
        </w:r>
        <w:r w:rsidRPr="00FD40B8">
          <w:rPr>
            <w:color w:val="131727" w:themeColor="text1"/>
            <w:w w:val="105"/>
            <w:sz w:val="16"/>
          </w:rPr>
          <w:t>–</w:t>
        </w:r>
        <w:r w:rsidRPr="00FD40B8">
          <w:rPr>
            <w:color w:val="131727" w:themeColor="text1"/>
            <w:spacing w:val="20"/>
            <w:w w:val="105"/>
            <w:sz w:val="16"/>
          </w:rPr>
          <w:t xml:space="preserve"> </w:t>
        </w:r>
        <w:r w:rsidRPr="00FD40B8">
          <w:rPr>
            <w:color w:val="131727" w:themeColor="text1"/>
            <w:w w:val="105"/>
            <w:sz w:val="16"/>
          </w:rPr>
          <w:t>Terms</w:t>
        </w:r>
        <w:r w:rsidRPr="00FD40B8">
          <w:rPr>
            <w:color w:val="131727" w:themeColor="text1"/>
            <w:spacing w:val="14"/>
            <w:w w:val="105"/>
            <w:sz w:val="16"/>
          </w:rPr>
          <w:t xml:space="preserve"> </w:t>
        </w:r>
        <w:r w:rsidRPr="00FD40B8">
          <w:rPr>
            <w:color w:val="131727" w:themeColor="text1"/>
            <w:w w:val="105"/>
            <w:sz w:val="16"/>
          </w:rPr>
          <w:t>of</w:t>
        </w:r>
        <w:r w:rsidRPr="00FD40B8">
          <w:rPr>
            <w:color w:val="131727" w:themeColor="text1"/>
            <w:spacing w:val="16"/>
            <w:w w:val="105"/>
            <w:sz w:val="16"/>
          </w:rPr>
          <w:t xml:space="preserve"> </w:t>
        </w:r>
        <w:r w:rsidRPr="00FD40B8">
          <w:rPr>
            <w:color w:val="131727" w:themeColor="text1"/>
            <w:w w:val="105"/>
            <w:sz w:val="16"/>
          </w:rPr>
          <w:t>reference</w:t>
        </w:r>
        <w:r w:rsidRPr="00FD40B8">
          <w:rPr>
            <w:color w:val="131727" w:themeColor="text1"/>
            <w:spacing w:val="15"/>
            <w:w w:val="105"/>
            <w:sz w:val="16"/>
          </w:rPr>
          <w:t xml:space="preserve"> </w:t>
        </w:r>
        <w:r w:rsidRPr="00FD40B8">
          <w:rPr>
            <w:color w:val="131727" w:themeColor="text1"/>
            <w:w w:val="105"/>
            <w:sz w:val="16"/>
          </w:rPr>
          <w:t>|</w:t>
        </w:r>
        <w:r w:rsidRPr="00FD40B8">
          <w:rPr>
            <w:color w:val="131727" w:themeColor="text1"/>
            <w:spacing w:val="16"/>
            <w:w w:val="105"/>
            <w:sz w:val="16"/>
          </w:rPr>
          <w:t xml:space="preserve"> </w:t>
        </w:r>
        <w:r w:rsidRPr="00FD40B8">
          <w:rPr>
            <w:color w:val="131727" w:themeColor="text1"/>
            <w:spacing w:val="-2"/>
            <w:w w:val="105"/>
            <w:sz w:val="16"/>
          </w:rPr>
          <w:t>Treasury.gov.au</w:t>
        </w:r>
      </w:hyperlink>
    </w:p>
    <w:p w14:paraId="7870D37B" w14:textId="77777777" w:rsidR="00811887" w:rsidRPr="00FD40B8" w:rsidRDefault="00811887" w:rsidP="00811887">
      <w:pPr>
        <w:spacing w:before="17" w:line="268" w:lineRule="auto"/>
        <w:ind w:left="508"/>
        <w:rPr>
          <w:color w:val="131727" w:themeColor="text1"/>
          <w:sz w:val="16"/>
        </w:rPr>
      </w:pPr>
      <w:bookmarkStart w:id="186" w:name="_bookmark75"/>
      <w:bookmarkEnd w:id="186"/>
      <w:r w:rsidRPr="00FD40B8">
        <w:rPr>
          <w:color w:val="131727" w:themeColor="text1"/>
          <w:w w:val="110"/>
          <w:position w:val="6"/>
          <w:sz w:val="10"/>
        </w:rPr>
        <w:t>64</w:t>
      </w:r>
      <w:r w:rsidRPr="00FD40B8">
        <w:rPr>
          <w:color w:val="131727" w:themeColor="text1"/>
          <w:spacing w:val="2"/>
          <w:w w:val="110"/>
          <w:position w:val="6"/>
          <w:sz w:val="10"/>
        </w:rPr>
        <w:t xml:space="preserve"> </w:t>
      </w:r>
      <w:r w:rsidRPr="00FD40B8">
        <w:rPr>
          <w:color w:val="131727" w:themeColor="text1"/>
          <w:w w:val="110"/>
          <w:sz w:val="16"/>
        </w:rPr>
        <w:t>https://</w:t>
      </w:r>
      <w:hyperlink r:id="rId120">
        <w:r w:rsidRPr="00FD40B8">
          <w:rPr>
            <w:color w:val="131727" w:themeColor="text1"/>
            <w:w w:val="110"/>
            <w:sz w:val="16"/>
          </w:rPr>
          <w:t>www.aihw.gov.au/about-our-data/our-data-collections/national-social-housing-</w:t>
        </w:r>
      </w:hyperlink>
      <w:r w:rsidRPr="00FD40B8">
        <w:rPr>
          <w:color w:val="131727" w:themeColor="text1"/>
          <w:spacing w:val="40"/>
          <w:w w:val="110"/>
          <w:sz w:val="16"/>
        </w:rPr>
        <w:t xml:space="preserve"> </w:t>
      </w:r>
      <w:r w:rsidRPr="00FD40B8">
        <w:rPr>
          <w:color w:val="131727" w:themeColor="text1"/>
          <w:spacing w:val="-2"/>
          <w:w w:val="110"/>
          <w:sz w:val="16"/>
        </w:rPr>
        <w:t>survey#:~:text=The%20National%20Social%20Housing%20Survey%20%28NSHS%29%20is%20a,information%20on%20tenants%20</w:t>
      </w:r>
      <w:r w:rsidRPr="00FD40B8">
        <w:rPr>
          <w:color w:val="131727" w:themeColor="text1"/>
          <w:spacing w:val="80"/>
          <w:w w:val="110"/>
          <w:sz w:val="16"/>
        </w:rPr>
        <w:t xml:space="preserve"> </w:t>
      </w:r>
      <w:r w:rsidRPr="00FD40B8">
        <w:rPr>
          <w:color w:val="131727" w:themeColor="text1"/>
          <w:spacing w:val="-2"/>
          <w:w w:val="110"/>
          <w:sz w:val="16"/>
        </w:rPr>
        <w:t>and%20their%20social%20housing%20experiences.</w:t>
      </w:r>
    </w:p>
    <w:p w14:paraId="1B6E0494" w14:textId="77777777" w:rsidR="00811887" w:rsidRPr="00FD40B8" w:rsidRDefault="00811887" w:rsidP="00811887">
      <w:pPr>
        <w:spacing w:line="268" w:lineRule="auto"/>
        <w:rPr>
          <w:color w:val="131727" w:themeColor="text1"/>
          <w:sz w:val="16"/>
        </w:rPr>
        <w:sectPr w:rsidR="00811887" w:rsidRPr="00FD40B8" w:rsidSect="00811887">
          <w:pgSz w:w="11910" w:h="16840"/>
          <w:pgMar w:top="1320" w:right="720" w:bottom="1080" w:left="740" w:header="0" w:footer="885" w:gutter="0"/>
          <w:cols w:space="720"/>
        </w:sectPr>
      </w:pPr>
    </w:p>
    <w:p w14:paraId="66B27502" w14:textId="77777777" w:rsidR="00811887" w:rsidRPr="00FD40B8" w:rsidRDefault="00811887" w:rsidP="00811887">
      <w:pPr>
        <w:pStyle w:val="BodyText"/>
        <w:spacing w:before="103" w:line="264" w:lineRule="auto"/>
        <w:ind w:left="508" w:right="598"/>
        <w:rPr>
          <w:color w:val="131727" w:themeColor="text1"/>
        </w:rPr>
      </w:pPr>
      <w:r w:rsidRPr="00FD40B8">
        <w:rPr>
          <w:color w:val="131727" w:themeColor="text1"/>
          <w:w w:val="110"/>
        </w:rPr>
        <w:lastRenderedPageBreak/>
        <w:t>The AIHW also</w:t>
      </w:r>
      <w:r w:rsidRPr="00FD40B8">
        <w:rPr>
          <w:color w:val="131727" w:themeColor="text1"/>
          <w:spacing w:val="-3"/>
          <w:w w:val="110"/>
        </w:rPr>
        <w:t xml:space="preserve"> </w:t>
      </w:r>
      <w:r w:rsidRPr="00FD40B8">
        <w:rPr>
          <w:color w:val="131727" w:themeColor="text1"/>
          <w:w w:val="110"/>
        </w:rPr>
        <w:t>brings together</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1"/>
          <w:w w:val="110"/>
        </w:rPr>
        <w:t xml:space="preserve"> </w:t>
      </w:r>
      <w:r w:rsidRPr="00FD40B8">
        <w:rPr>
          <w:color w:val="131727" w:themeColor="text1"/>
          <w:w w:val="110"/>
        </w:rPr>
        <w:t>range</w:t>
      </w:r>
      <w:r w:rsidRPr="00FD40B8">
        <w:rPr>
          <w:color w:val="131727" w:themeColor="text1"/>
          <w:spacing w:val="-5"/>
          <w:w w:val="110"/>
        </w:rPr>
        <w:t xml:space="preserve"> </w:t>
      </w:r>
      <w:r w:rsidRPr="00FD40B8">
        <w:rPr>
          <w:color w:val="131727" w:themeColor="text1"/>
          <w:w w:val="110"/>
        </w:rPr>
        <w:t>of datasets</w:t>
      </w:r>
      <w:r w:rsidRPr="00FD40B8">
        <w:rPr>
          <w:color w:val="131727" w:themeColor="text1"/>
          <w:spacing w:val="-3"/>
          <w:w w:val="110"/>
        </w:rPr>
        <w:t xml:space="preserve"> </w:t>
      </w:r>
      <w:r w:rsidRPr="00FD40B8">
        <w:rPr>
          <w:color w:val="131727" w:themeColor="text1"/>
          <w:w w:val="110"/>
        </w:rPr>
        <w:t>to</w:t>
      </w:r>
      <w:r w:rsidRPr="00FD40B8">
        <w:rPr>
          <w:color w:val="131727" w:themeColor="text1"/>
          <w:spacing w:val="-3"/>
          <w:w w:val="110"/>
        </w:rPr>
        <w:t xml:space="preserve"> </w:t>
      </w:r>
      <w:r w:rsidRPr="00FD40B8">
        <w:rPr>
          <w:color w:val="131727" w:themeColor="text1"/>
          <w:w w:val="110"/>
        </w:rPr>
        <w:t>produce</w:t>
      </w:r>
      <w:r w:rsidRPr="00FD40B8">
        <w:rPr>
          <w:color w:val="131727" w:themeColor="text1"/>
          <w:spacing w:val="-5"/>
          <w:w w:val="110"/>
        </w:rPr>
        <w:t xml:space="preserve"> </w:t>
      </w:r>
      <w:r w:rsidRPr="00FD40B8">
        <w:rPr>
          <w:color w:val="131727" w:themeColor="text1"/>
          <w:w w:val="110"/>
        </w:rPr>
        <w:t xml:space="preserve">the </w:t>
      </w:r>
      <w:r w:rsidRPr="00FD40B8">
        <w:rPr>
          <w:i/>
          <w:color w:val="131727" w:themeColor="text1"/>
          <w:w w:val="110"/>
        </w:rPr>
        <w:t>Regional Insights for</w:t>
      </w:r>
      <w:r w:rsidRPr="00FD40B8">
        <w:rPr>
          <w:i/>
          <w:color w:val="131727" w:themeColor="text1"/>
          <w:spacing w:val="-3"/>
          <w:w w:val="110"/>
        </w:rPr>
        <w:t xml:space="preserve"> </w:t>
      </w:r>
      <w:r w:rsidRPr="00FD40B8">
        <w:rPr>
          <w:i/>
          <w:color w:val="131727" w:themeColor="text1"/>
          <w:w w:val="110"/>
        </w:rPr>
        <w:t>Indigenous Communities</w:t>
      </w:r>
      <w:hyperlink w:anchor="_bookmark76" w:history="1">
        <w:r w:rsidRPr="00FD40B8">
          <w:rPr>
            <w:color w:val="131727" w:themeColor="text1"/>
            <w:w w:val="110"/>
          </w:rPr>
          <w:t>.</w:t>
        </w:r>
        <w:r w:rsidRPr="00FD40B8">
          <w:rPr>
            <w:color w:val="131727" w:themeColor="text1"/>
            <w:w w:val="110"/>
            <w:position w:val="8"/>
            <w:sz w:val="13"/>
          </w:rPr>
          <w:t>65</w:t>
        </w:r>
      </w:hyperlink>
      <w:r w:rsidRPr="00FD40B8">
        <w:rPr>
          <w:color w:val="131727" w:themeColor="text1"/>
          <w:spacing w:val="24"/>
          <w:w w:val="110"/>
          <w:position w:val="8"/>
          <w:sz w:val="13"/>
        </w:rPr>
        <w:t xml:space="preserve"> </w:t>
      </w:r>
      <w:r w:rsidRPr="00FD40B8">
        <w:rPr>
          <w:color w:val="131727" w:themeColor="text1"/>
          <w:w w:val="110"/>
        </w:rPr>
        <w:t>This includes reporting on overcrowding and homelessness at lower geographic levels, based</w:t>
      </w:r>
      <w:r w:rsidRPr="00FD40B8">
        <w:rPr>
          <w:color w:val="131727" w:themeColor="text1"/>
          <w:spacing w:val="-5"/>
          <w:w w:val="110"/>
        </w:rPr>
        <w:t xml:space="preserve"> </w:t>
      </w:r>
      <w:r w:rsidRPr="00FD40B8">
        <w:rPr>
          <w:color w:val="131727" w:themeColor="text1"/>
          <w:w w:val="110"/>
        </w:rPr>
        <w:t>on</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that</w:t>
      </w:r>
      <w:r w:rsidRPr="00FD40B8">
        <w:rPr>
          <w:color w:val="131727" w:themeColor="text1"/>
          <w:spacing w:val="-5"/>
          <w:w w:val="110"/>
        </w:rPr>
        <w:t xml:space="preserve"> </w:t>
      </w:r>
      <w:r w:rsidRPr="00FD40B8">
        <w:rPr>
          <w:color w:val="131727" w:themeColor="text1"/>
          <w:w w:val="110"/>
        </w:rPr>
        <w:t>is not</w:t>
      </w:r>
      <w:r w:rsidRPr="00FD40B8">
        <w:rPr>
          <w:color w:val="131727" w:themeColor="text1"/>
          <w:spacing w:val="-5"/>
          <w:w w:val="110"/>
        </w:rPr>
        <w:t xml:space="preserve"> </w:t>
      </w:r>
      <w:r w:rsidRPr="00FD40B8">
        <w:rPr>
          <w:color w:val="131727" w:themeColor="text1"/>
          <w:w w:val="110"/>
        </w:rPr>
        <w:t>otherwise</w:t>
      </w:r>
      <w:r w:rsidRPr="00FD40B8">
        <w:rPr>
          <w:color w:val="131727" w:themeColor="text1"/>
          <w:spacing w:val="-1"/>
          <w:w w:val="110"/>
        </w:rPr>
        <w:t xml:space="preserve"> </w:t>
      </w:r>
      <w:r w:rsidRPr="00FD40B8">
        <w:rPr>
          <w:color w:val="131727" w:themeColor="text1"/>
          <w:w w:val="110"/>
        </w:rPr>
        <w:t>publicly</w:t>
      </w:r>
      <w:r w:rsidRPr="00FD40B8">
        <w:rPr>
          <w:color w:val="131727" w:themeColor="text1"/>
          <w:spacing w:val="-3"/>
          <w:w w:val="110"/>
        </w:rPr>
        <w:t xml:space="preserve"> </w:t>
      </w:r>
      <w:r w:rsidRPr="00FD40B8">
        <w:rPr>
          <w:color w:val="131727" w:themeColor="text1"/>
          <w:w w:val="110"/>
        </w:rPr>
        <w:t>available.</w:t>
      </w:r>
      <w:r w:rsidRPr="00FD40B8">
        <w:rPr>
          <w:color w:val="131727" w:themeColor="text1"/>
          <w:spacing w:val="-5"/>
          <w:w w:val="110"/>
        </w:rPr>
        <w:t xml:space="preserve"> </w:t>
      </w:r>
      <w:r w:rsidRPr="00FD40B8">
        <w:rPr>
          <w:color w:val="131727" w:themeColor="text1"/>
          <w:w w:val="110"/>
        </w:rPr>
        <w:t>This</w:t>
      </w:r>
      <w:r w:rsidRPr="00FD40B8">
        <w:rPr>
          <w:color w:val="131727" w:themeColor="text1"/>
          <w:spacing w:val="-4"/>
          <w:w w:val="110"/>
        </w:rPr>
        <w:t xml:space="preserve"> </w:t>
      </w:r>
      <w:r w:rsidRPr="00FD40B8">
        <w:rPr>
          <w:color w:val="131727" w:themeColor="text1"/>
          <w:w w:val="110"/>
        </w:rPr>
        <w:t>is</w:t>
      </w:r>
      <w:r w:rsidRPr="00FD40B8">
        <w:rPr>
          <w:color w:val="131727" w:themeColor="text1"/>
          <w:spacing w:val="-4"/>
          <w:w w:val="110"/>
        </w:rPr>
        <w:t xml:space="preserve"> </w:t>
      </w:r>
      <w:r w:rsidRPr="00FD40B8">
        <w:rPr>
          <w:color w:val="131727" w:themeColor="text1"/>
          <w:w w:val="110"/>
        </w:rPr>
        <w:t>drawn from</w:t>
      </w:r>
      <w:r w:rsidRPr="00FD40B8">
        <w:rPr>
          <w:color w:val="131727" w:themeColor="text1"/>
          <w:spacing w:val="-1"/>
          <w:w w:val="110"/>
        </w:rPr>
        <w:t xml:space="preserve"> </w:t>
      </w:r>
      <w:r w:rsidRPr="00FD40B8">
        <w:rPr>
          <w:color w:val="131727" w:themeColor="text1"/>
          <w:w w:val="110"/>
        </w:rPr>
        <w:t>Census and</w:t>
      </w:r>
      <w:r w:rsidRPr="00FD40B8">
        <w:rPr>
          <w:color w:val="131727" w:themeColor="text1"/>
          <w:spacing w:val="-5"/>
          <w:w w:val="110"/>
        </w:rPr>
        <w:t xml:space="preserve"> </w:t>
      </w:r>
      <w:r w:rsidRPr="00FD40B8">
        <w:rPr>
          <w:color w:val="131727" w:themeColor="text1"/>
          <w:w w:val="110"/>
        </w:rPr>
        <w:t>state</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1"/>
          <w:w w:val="110"/>
        </w:rPr>
        <w:t xml:space="preserve"> </w:t>
      </w:r>
      <w:r w:rsidRPr="00FD40B8">
        <w:rPr>
          <w:color w:val="131727" w:themeColor="text1"/>
          <w:w w:val="110"/>
        </w:rPr>
        <w:t>territory government collections and has the potential to support community planning and partnership discussions between governments and Aboriginal and Torres Strait Islander communities.</w:t>
      </w:r>
    </w:p>
    <w:p w14:paraId="673FC65C" w14:textId="77777777" w:rsidR="00811887" w:rsidRPr="00FD40B8" w:rsidRDefault="00811887" w:rsidP="00811887">
      <w:pPr>
        <w:pStyle w:val="BodyText"/>
        <w:spacing w:before="4"/>
        <w:rPr>
          <w:color w:val="131727" w:themeColor="text1"/>
        </w:rPr>
      </w:pPr>
    </w:p>
    <w:p w14:paraId="14A9A233" w14:textId="77777777" w:rsidR="00811887" w:rsidRPr="00FD40B8" w:rsidRDefault="00811887" w:rsidP="00811887">
      <w:pPr>
        <w:pStyle w:val="BodyText"/>
        <w:spacing w:line="266" w:lineRule="auto"/>
        <w:ind w:left="508" w:right="534"/>
        <w:rPr>
          <w:color w:val="131727" w:themeColor="text1"/>
          <w:sz w:val="13"/>
        </w:rPr>
      </w:pPr>
      <w:r w:rsidRPr="00FD40B8">
        <w:rPr>
          <w:color w:val="131727" w:themeColor="text1"/>
          <w:w w:val="110"/>
        </w:rPr>
        <w:t>A</w:t>
      </w:r>
      <w:r w:rsidRPr="00FD40B8">
        <w:rPr>
          <w:color w:val="131727" w:themeColor="text1"/>
          <w:spacing w:val="-3"/>
          <w:w w:val="110"/>
        </w:rPr>
        <w:t xml:space="preserve"> </w:t>
      </w:r>
      <w:r w:rsidRPr="00FD40B8">
        <w:rPr>
          <w:color w:val="131727" w:themeColor="text1"/>
          <w:w w:val="110"/>
        </w:rPr>
        <w:t>major</w:t>
      </w:r>
      <w:r w:rsidRPr="00FD40B8">
        <w:rPr>
          <w:color w:val="131727" w:themeColor="text1"/>
          <w:spacing w:val="-3"/>
          <w:w w:val="110"/>
        </w:rPr>
        <w:t xml:space="preserve"> </w:t>
      </w:r>
      <w:r w:rsidRPr="00FD40B8">
        <w:rPr>
          <w:color w:val="131727" w:themeColor="text1"/>
          <w:w w:val="110"/>
        </w:rPr>
        <w:t>setback</w:t>
      </w:r>
      <w:r w:rsidRPr="00FD40B8">
        <w:rPr>
          <w:color w:val="131727" w:themeColor="text1"/>
          <w:spacing w:val="-3"/>
          <w:w w:val="110"/>
        </w:rPr>
        <w:t xml:space="preserve"> </w:t>
      </w:r>
      <w:r w:rsidRPr="00FD40B8">
        <w:rPr>
          <w:color w:val="131727" w:themeColor="text1"/>
          <w:w w:val="110"/>
        </w:rPr>
        <w:t>to</w:t>
      </w:r>
      <w:r w:rsidRPr="00FD40B8">
        <w:rPr>
          <w:color w:val="131727" w:themeColor="text1"/>
          <w:spacing w:val="-4"/>
          <w:w w:val="110"/>
        </w:rPr>
        <w:t xml:space="preserve"> </w:t>
      </w:r>
      <w:r w:rsidRPr="00FD40B8">
        <w:rPr>
          <w:color w:val="131727" w:themeColor="text1"/>
          <w:w w:val="110"/>
        </w:rPr>
        <w:t>collection</w:t>
      </w:r>
      <w:r w:rsidRPr="00FD40B8">
        <w:rPr>
          <w:color w:val="131727" w:themeColor="text1"/>
          <w:spacing w:val="-5"/>
          <w:w w:val="110"/>
        </w:rPr>
        <w:t xml:space="preserve"> </w:t>
      </w:r>
      <w:r w:rsidRPr="00FD40B8">
        <w:rPr>
          <w:color w:val="131727" w:themeColor="text1"/>
          <w:w w:val="110"/>
        </w:rPr>
        <w:t>of remote</w:t>
      </w:r>
      <w:r w:rsidRPr="00FD40B8">
        <w:rPr>
          <w:color w:val="131727" w:themeColor="text1"/>
          <w:spacing w:val="-3"/>
          <w:w w:val="110"/>
        </w:rPr>
        <w:t xml:space="preserve"> </w:t>
      </w:r>
      <w:r w:rsidRPr="00FD40B8">
        <w:rPr>
          <w:color w:val="131727" w:themeColor="text1"/>
          <w:w w:val="110"/>
        </w:rPr>
        <w:t>Aboriginal and</w:t>
      </w:r>
      <w:r w:rsidRPr="00FD40B8">
        <w:rPr>
          <w:color w:val="131727" w:themeColor="text1"/>
          <w:spacing w:val="-6"/>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w:t>
      </w:r>
      <w:r w:rsidRPr="00FD40B8">
        <w:rPr>
          <w:color w:val="131727" w:themeColor="text1"/>
          <w:spacing w:val="-6"/>
          <w:w w:val="110"/>
        </w:rPr>
        <w:t xml:space="preserve"> </w:t>
      </w:r>
      <w:r w:rsidRPr="00FD40B8">
        <w:rPr>
          <w:color w:val="131727" w:themeColor="text1"/>
          <w:w w:val="110"/>
        </w:rPr>
        <w:t>Islander</w:t>
      </w:r>
      <w:r w:rsidRPr="00FD40B8">
        <w:rPr>
          <w:color w:val="131727" w:themeColor="text1"/>
          <w:spacing w:val="-8"/>
          <w:w w:val="110"/>
        </w:rPr>
        <w:t xml:space="preserve"> </w:t>
      </w:r>
      <w:r w:rsidRPr="00FD40B8">
        <w:rPr>
          <w:color w:val="131727" w:themeColor="text1"/>
          <w:w w:val="110"/>
        </w:rPr>
        <w:t>housing</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(and Aboriginal and Torres Strait Islander housing data more generally) has been the cessation of the Aboriginal and Torres Strait Islander Commission and the then Department of Families, Housing and Community</w:t>
      </w:r>
      <w:r w:rsidRPr="00FD40B8">
        <w:rPr>
          <w:color w:val="131727" w:themeColor="text1"/>
          <w:spacing w:val="40"/>
          <w:w w:val="110"/>
        </w:rPr>
        <w:t xml:space="preserve"> </w:t>
      </w:r>
      <w:r w:rsidRPr="00FD40B8">
        <w:rPr>
          <w:color w:val="131727" w:themeColor="text1"/>
          <w:w w:val="110"/>
        </w:rPr>
        <w:t>Services</w:t>
      </w:r>
      <w:r w:rsidRPr="00FD40B8">
        <w:rPr>
          <w:color w:val="131727" w:themeColor="text1"/>
          <w:spacing w:val="-5"/>
          <w:w w:val="110"/>
        </w:rPr>
        <w:t xml:space="preserve"> </w:t>
      </w:r>
      <w:r w:rsidRPr="00FD40B8">
        <w:rPr>
          <w:color w:val="131727" w:themeColor="text1"/>
          <w:w w:val="110"/>
        </w:rPr>
        <w:t>sponsored</w:t>
      </w:r>
      <w:r w:rsidRPr="00FD40B8">
        <w:rPr>
          <w:color w:val="131727" w:themeColor="text1"/>
          <w:spacing w:val="-9"/>
          <w:w w:val="110"/>
        </w:rPr>
        <w:t xml:space="preserve"> </w:t>
      </w:r>
      <w:r w:rsidRPr="00FD40B8">
        <w:rPr>
          <w:i/>
          <w:color w:val="131727" w:themeColor="text1"/>
          <w:w w:val="110"/>
        </w:rPr>
        <w:t>Community</w:t>
      </w:r>
      <w:r w:rsidRPr="00FD40B8">
        <w:rPr>
          <w:i/>
          <w:color w:val="131727" w:themeColor="text1"/>
          <w:spacing w:val="-6"/>
          <w:w w:val="110"/>
        </w:rPr>
        <w:t xml:space="preserve"> </w:t>
      </w:r>
      <w:r w:rsidRPr="00FD40B8">
        <w:rPr>
          <w:i/>
          <w:color w:val="131727" w:themeColor="text1"/>
          <w:w w:val="110"/>
        </w:rPr>
        <w:t>Housing</w:t>
      </w:r>
      <w:r w:rsidRPr="00FD40B8">
        <w:rPr>
          <w:i/>
          <w:color w:val="131727" w:themeColor="text1"/>
          <w:spacing w:val="-8"/>
          <w:w w:val="110"/>
        </w:rPr>
        <w:t xml:space="preserve"> </w:t>
      </w:r>
      <w:r w:rsidRPr="00FD40B8">
        <w:rPr>
          <w:i/>
          <w:color w:val="131727" w:themeColor="text1"/>
          <w:w w:val="110"/>
        </w:rPr>
        <w:t>and</w:t>
      </w:r>
      <w:r w:rsidRPr="00FD40B8">
        <w:rPr>
          <w:i/>
          <w:color w:val="131727" w:themeColor="text1"/>
          <w:spacing w:val="-7"/>
          <w:w w:val="110"/>
        </w:rPr>
        <w:t xml:space="preserve"> </w:t>
      </w:r>
      <w:r w:rsidRPr="00FD40B8">
        <w:rPr>
          <w:i/>
          <w:color w:val="131727" w:themeColor="text1"/>
          <w:w w:val="110"/>
        </w:rPr>
        <w:t>Infrastructure</w:t>
      </w:r>
      <w:r w:rsidRPr="00FD40B8">
        <w:rPr>
          <w:i/>
          <w:color w:val="131727" w:themeColor="text1"/>
          <w:spacing w:val="-6"/>
          <w:w w:val="110"/>
        </w:rPr>
        <w:t xml:space="preserve"> </w:t>
      </w:r>
      <w:r w:rsidRPr="00FD40B8">
        <w:rPr>
          <w:i/>
          <w:color w:val="131727" w:themeColor="text1"/>
          <w:w w:val="110"/>
        </w:rPr>
        <w:t>Needs</w:t>
      </w:r>
      <w:r w:rsidRPr="00FD40B8">
        <w:rPr>
          <w:i/>
          <w:color w:val="131727" w:themeColor="text1"/>
          <w:spacing w:val="-6"/>
          <w:w w:val="110"/>
        </w:rPr>
        <w:t xml:space="preserve"> </w:t>
      </w:r>
      <w:r w:rsidRPr="00FD40B8">
        <w:rPr>
          <w:i/>
          <w:color w:val="131727" w:themeColor="text1"/>
          <w:w w:val="110"/>
        </w:rPr>
        <w:t>Survey</w:t>
      </w:r>
      <w:r w:rsidRPr="00FD40B8">
        <w:rPr>
          <w:i/>
          <w:color w:val="131727" w:themeColor="text1"/>
          <w:spacing w:val="-4"/>
          <w:w w:val="110"/>
        </w:rPr>
        <w:t xml:space="preserve"> </w:t>
      </w:r>
      <w:r w:rsidRPr="00FD40B8">
        <w:rPr>
          <w:color w:val="131727" w:themeColor="text1"/>
          <w:w w:val="110"/>
        </w:rPr>
        <w:t>(CHINS)</w:t>
      </w:r>
      <w:r w:rsidRPr="00FD40B8">
        <w:rPr>
          <w:color w:val="131727" w:themeColor="text1"/>
          <w:spacing w:val="-8"/>
          <w:w w:val="110"/>
        </w:rPr>
        <w:t xml:space="preserve"> </w:t>
      </w:r>
      <w:r w:rsidRPr="00FD40B8">
        <w:rPr>
          <w:color w:val="131727" w:themeColor="text1"/>
          <w:w w:val="110"/>
        </w:rPr>
        <w:t>that</w:t>
      </w:r>
      <w:r w:rsidRPr="00FD40B8">
        <w:rPr>
          <w:color w:val="131727" w:themeColor="text1"/>
          <w:spacing w:val="-5"/>
          <w:w w:val="110"/>
        </w:rPr>
        <w:t xml:space="preserve"> </w:t>
      </w:r>
      <w:r w:rsidRPr="00FD40B8">
        <w:rPr>
          <w:color w:val="131727" w:themeColor="text1"/>
          <w:w w:val="110"/>
        </w:rPr>
        <w:t>was</w:t>
      </w:r>
      <w:r w:rsidRPr="00FD40B8">
        <w:rPr>
          <w:color w:val="131727" w:themeColor="text1"/>
          <w:spacing w:val="-4"/>
          <w:w w:val="110"/>
        </w:rPr>
        <w:t xml:space="preserve"> </w:t>
      </w:r>
      <w:r w:rsidRPr="00FD40B8">
        <w:rPr>
          <w:color w:val="131727" w:themeColor="text1"/>
          <w:w w:val="110"/>
        </w:rPr>
        <w:t>last</w:t>
      </w:r>
      <w:r w:rsidRPr="00FD40B8">
        <w:rPr>
          <w:color w:val="131727" w:themeColor="text1"/>
          <w:spacing w:val="-6"/>
          <w:w w:val="110"/>
        </w:rPr>
        <w:t xml:space="preserve"> </w:t>
      </w:r>
      <w:r w:rsidRPr="00FD40B8">
        <w:rPr>
          <w:color w:val="131727" w:themeColor="text1"/>
          <w:w w:val="110"/>
        </w:rPr>
        <w:t>conducted in 2006 as a preliminary to the ABS Census of that year. The CHINS provided five-yearly enumeration of the adequacy and functionality of all community housing and related infrastructure at even the smallest of locations. It captured details of current housing stock conditions, information on Indigenous organisations providing housing, and specifics about housing-related infrastructure at various levels, including discrete Indigenous communities</w:t>
      </w:r>
      <w:hyperlink w:anchor="_bookmark77" w:history="1">
        <w:r w:rsidRPr="00FD40B8">
          <w:rPr>
            <w:color w:val="131727" w:themeColor="text1"/>
            <w:w w:val="110"/>
          </w:rPr>
          <w:t>.</w:t>
        </w:r>
        <w:r w:rsidRPr="00FD40B8">
          <w:rPr>
            <w:color w:val="131727" w:themeColor="text1"/>
            <w:w w:val="110"/>
            <w:position w:val="8"/>
            <w:sz w:val="13"/>
          </w:rPr>
          <w:t>66</w:t>
        </w:r>
      </w:hyperlink>
      <w:r w:rsidRPr="00FD40B8">
        <w:rPr>
          <w:color w:val="131727" w:themeColor="text1"/>
          <w:spacing w:val="19"/>
          <w:w w:val="110"/>
          <w:position w:val="8"/>
          <w:sz w:val="13"/>
        </w:rPr>
        <w:t xml:space="preserve"> </w:t>
      </w:r>
      <w:r w:rsidRPr="00FD40B8">
        <w:rPr>
          <w:color w:val="131727" w:themeColor="text1"/>
          <w:w w:val="110"/>
        </w:rPr>
        <w:t>A more</w:t>
      </w:r>
      <w:r w:rsidRPr="00FD40B8">
        <w:rPr>
          <w:color w:val="131727" w:themeColor="text1"/>
          <w:spacing w:val="-2"/>
          <w:w w:val="110"/>
        </w:rPr>
        <w:t xml:space="preserve"> </w:t>
      </w:r>
      <w:r w:rsidRPr="00FD40B8">
        <w:rPr>
          <w:color w:val="131727" w:themeColor="text1"/>
          <w:w w:val="110"/>
        </w:rPr>
        <w:t>detailed</w:t>
      </w:r>
      <w:r w:rsidRPr="00FD40B8">
        <w:rPr>
          <w:color w:val="131727" w:themeColor="text1"/>
          <w:spacing w:val="-2"/>
          <w:w w:val="110"/>
        </w:rPr>
        <w:t xml:space="preserve"> </w:t>
      </w:r>
      <w:r w:rsidRPr="00FD40B8">
        <w:rPr>
          <w:color w:val="131727" w:themeColor="text1"/>
          <w:w w:val="110"/>
        </w:rPr>
        <w:t>overview of CHINS</w:t>
      </w:r>
      <w:r w:rsidRPr="00FD40B8">
        <w:rPr>
          <w:color w:val="131727" w:themeColor="text1"/>
          <w:spacing w:val="-1"/>
          <w:w w:val="110"/>
        </w:rPr>
        <w:t xml:space="preserve"> </w:t>
      </w:r>
      <w:r w:rsidRPr="00FD40B8">
        <w:rPr>
          <w:color w:val="131727" w:themeColor="text1"/>
          <w:w w:val="110"/>
        </w:rPr>
        <w:t>including the indicators collected is provided at Appendix G. Aboriginal community-controlled organisations such as the</w:t>
      </w:r>
      <w:r w:rsidRPr="00FD40B8">
        <w:rPr>
          <w:color w:val="131727" w:themeColor="text1"/>
          <w:spacing w:val="-2"/>
          <w:w w:val="110"/>
        </w:rPr>
        <w:t xml:space="preserve"> </w:t>
      </w:r>
      <w:r w:rsidRPr="00FD40B8">
        <w:rPr>
          <w:color w:val="131727" w:themeColor="text1"/>
          <w:w w:val="110"/>
        </w:rPr>
        <w:t>National Aboriginal Community Controlled Organisation (NACCHO) and NATSIHA, amongst others, have called for its reinstatement while noting that it would need to be redesigned to meet contemporary needs</w:t>
      </w:r>
      <w:hyperlink w:anchor="_bookmark78" w:history="1">
        <w:r w:rsidRPr="00FD40B8">
          <w:rPr>
            <w:color w:val="131727" w:themeColor="text1"/>
            <w:w w:val="110"/>
          </w:rPr>
          <w:t>.</w:t>
        </w:r>
        <w:r w:rsidRPr="00FD40B8">
          <w:rPr>
            <w:color w:val="131727" w:themeColor="text1"/>
            <w:w w:val="110"/>
            <w:position w:val="8"/>
            <w:sz w:val="13"/>
          </w:rPr>
          <w:t>67</w:t>
        </w:r>
      </w:hyperlink>
    </w:p>
    <w:p w14:paraId="4AC02BC9" w14:textId="77777777" w:rsidR="00811887" w:rsidRPr="00FD40B8" w:rsidRDefault="00811887" w:rsidP="00811887">
      <w:pPr>
        <w:pStyle w:val="BodyText"/>
        <w:spacing w:before="80"/>
        <w:rPr>
          <w:color w:val="131727" w:themeColor="text1"/>
        </w:rPr>
      </w:pPr>
    </w:p>
    <w:p w14:paraId="495C8CC5" w14:textId="77777777" w:rsidR="00811887" w:rsidRPr="00FD40B8" w:rsidRDefault="00811887" w:rsidP="00811887">
      <w:pPr>
        <w:pStyle w:val="Heading8"/>
        <w:rPr>
          <w:color w:val="131727" w:themeColor="text1"/>
        </w:rPr>
      </w:pPr>
      <w:r w:rsidRPr="00FD40B8">
        <w:rPr>
          <w:color w:val="131727" w:themeColor="text1"/>
        </w:rPr>
        <w:t>Commonwealth</w:t>
      </w:r>
      <w:r w:rsidRPr="00FD40B8">
        <w:rPr>
          <w:color w:val="131727" w:themeColor="text1"/>
          <w:spacing w:val="-3"/>
        </w:rPr>
        <w:t xml:space="preserve"> </w:t>
      </w:r>
      <w:r w:rsidRPr="00FD40B8">
        <w:rPr>
          <w:color w:val="131727" w:themeColor="text1"/>
        </w:rPr>
        <w:t>housing</w:t>
      </w:r>
      <w:r w:rsidRPr="00FD40B8">
        <w:rPr>
          <w:color w:val="131727" w:themeColor="text1"/>
          <w:spacing w:val="-8"/>
        </w:rPr>
        <w:t xml:space="preserve"> </w:t>
      </w:r>
      <w:r w:rsidRPr="00FD40B8">
        <w:rPr>
          <w:color w:val="131727" w:themeColor="text1"/>
        </w:rPr>
        <w:t>investment</w:t>
      </w:r>
      <w:r w:rsidRPr="00FD40B8">
        <w:rPr>
          <w:color w:val="131727" w:themeColor="text1"/>
          <w:spacing w:val="-5"/>
        </w:rPr>
        <w:t xml:space="preserve"> </w:t>
      </w:r>
      <w:r w:rsidRPr="00FD40B8">
        <w:rPr>
          <w:color w:val="131727" w:themeColor="text1"/>
          <w:spacing w:val="-2"/>
        </w:rPr>
        <w:t>reporting</w:t>
      </w:r>
    </w:p>
    <w:p w14:paraId="7E9137BB" w14:textId="77777777" w:rsidR="00811887" w:rsidRPr="00FD40B8" w:rsidRDefault="00811887" w:rsidP="00811887">
      <w:pPr>
        <w:spacing w:before="265" w:line="268" w:lineRule="auto"/>
        <w:ind w:left="508" w:right="579"/>
        <w:rPr>
          <w:color w:val="131727" w:themeColor="text1"/>
          <w:sz w:val="20"/>
        </w:rPr>
      </w:pPr>
      <w:r w:rsidRPr="00FD40B8">
        <w:rPr>
          <w:color w:val="131727" w:themeColor="text1"/>
          <w:w w:val="110"/>
          <w:sz w:val="20"/>
        </w:rPr>
        <w:t>Other data and information</w:t>
      </w:r>
      <w:r w:rsidRPr="00FD40B8">
        <w:rPr>
          <w:color w:val="131727" w:themeColor="text1"/>
          <w:spacing w:val="-2"/>
          <w:w w:val="110"/>
          <w:sz w:val="20"/>
        </w:rPr>
        <w:t xml:space="preserve"> </w:t>
      </w:r>
      <w:r w:rsidRPr="00FD40B8">
        <w:rPr>
          <w:color w:val="131727" w:themeColor="text1"/>
          <w:w w:val="110"/>
          <w:sz w:val="20"/>
        </w:rPr>
        <w:t>on Aboriginal and</w:t>
      </w:r>
      <w:r w:rsidRPr="00FD40B8">
        <w:rPr>
          <w:color w:val="131727" w:themeColor="text1"/>
          <w:spacing w:val="-3"/>
          <w:w w:val="110"/>
          <w:sz w:val="20"/>
        </w:rPr>
        <w:t xml:space="preserve"> </w:t>
      </w:r>
      <w:r w:rsidRPr="00FD40B8">
        <w:rPr>
          <w:color w:val="131727" w:themeColor="text1"/>
          <w:w w:val="110"/>
          <w:sz w:val="20"/>
        </w:rPr>
        <w:t>Torres Strait Islander housing</w:t>
      </w:r>
      <w:r w:rsidRPr="00FD40B8">
        <w:rPr>
          <w:color w:val="131727" w:themeColor="text1"/>
          <w:spacing w:val="-3"/>
          <w:w w:val="110"/>
          <w:sz w:val="20"/>
        </w:rPr>
        <w:t xml:space="preserve"> </w:t>
      </w:r>
      <w:r w:rsidRPr="00FD40B8">
        <w:rPr>
          <w:color w:val="131727" w:themeColor="text1"/>
          <w:w w:val="110"/>
          <w:sz w:val="20"/>
        </w:rPr>
        <w:t>comes through reporting</w:t>
      </w:r>
      <w:r w:rsidRPr="00FD40B8">
        <w:rPr>
          <w:color w:val="131727" w:themeColor="text1"/>
          <w:spacing w:val="-3"/>
          <w:w w:val="110"/>
          <w:sz w:val="20"/>
        </w:rPr>
        <w:t xml:space="preserve"> </w:t>
      </w:r>
      <w:r w:rsidRPr="00FD40B8">
        <w:rPr>
          <w:color w:val="131727" w:themeColor="text1"/>
          <w:w w:val="110"/>
          <w:sz w:val="20"/>
        </w:rPr>
        <w:t>on intergovernmental agreements relating to housing and homelessness. The key agreements or</w:t>
      </w:r>
      <w:r w:rsidRPr="00FD40B8">
        <w:rPr>
          <w:color w:val="131727" w:themeColor="text1"/>
          <w:spacing w:val="80"/>
          <w:w w:val="110"/>
          <w:sz w:val="20"/>
        </w:rPr>
        <w:t xml:space="preserve"> </w:t>
      </w:r>
      <w:r w:rsidRPr="00FD40B8">
        <w:rPr>
          <w:color w:val="131727" w:themeColor="text1"/>
          <w:sz w:val="20"/>
        </w:rPr>
        <w:t>investments</w:t>
      </w:r>
      <w:r w:rsidRPr="00FD40B8">
        <w:rPr>
          <w:color w:val="131727" w:themeColor="text1"/>
          <w:spacing w:val="40"/>
          <w:sz w:val="20"/>
        </w:rPr>
        <w:t xml:space="preserve"> </w:t>
      </w:r>
      <w:r w:rsidRPr="00FD40B8">
        <w:rPr>
          <w:color w:val="131727" w:themeColor="text1"/>
          <w:sz w:val="20"/>
        </w:rPr>
        <w:t>–</w:t>
      </w:r>
      <w:r w:rsidRPr="00FD40B8">
        <w:rPr>
          <w:color w:val="131727" w:themeColor="text1"/>
          <w:spacing w:val="40"/>
          <w:sz w:val="20"/>
        </w:rPr>
        <w:t xml:space="preserve"> </w:t>
      </w:r>
      <w:r w:rsidRPr="00FD40B8">
        <w:rPr>
          <w:color w:val="131727" w:themeColor="text1"/>
          <w:sz w:val="20"/>
        </w:rPr>
        <w:t>the</w:t>
      </w:r>
      <w:r w:rsidRPr="00FD40B8">
        <w:rPr>
          <w:color w:val="131727" w:themeColor="text1"/>
          <w:spacing w:val="40"/>
          <w:sz w:val="20"/>
        </w:rPr>
        <w:t xml:space="preserve"> </w:t>
      </w:r>
      <w:r w:rsidRPr="00FD40B8">
        <w:rPr>
          <w:i/>
          <w:color w:val="131727" w:themeColor="text1"/>
          <w:sz w:val="20"/>
        </w:rPr>
        <w:t>National</w:t>
      </w:r>
      <w:r w:rsidRPr="00FD40B8">
        <w:rPr>
          <w:i/>
          <w:color w:val="131727" w:themeColor="text1"/>
          <w:spacing w:val="40"/>
          <w:sz w:val="20"/>
        </w:rPr>
        <w:t xml:space="preserve"> </w:t>
      </w:r>
      <w:r w:rsidRPr="00FD40B8">
        <w:rPr>
          <w:i/>
          <w:color w:val="131727" w:themeColor="text1"/>
          <w:sz w:val="20"/>
        </w:rPr>
        <w:t>Housing</w:t>
      </w:r>
      <w:r w:rsidRPr="00FD40B8">
        <w:rPr>
          <w:i/>
          <w:color w:val="131727" w:themeColor="text1"/>
          <w:spacing w:val="40"/>
          <w:sz w:val="20"/>
        </w:rPr>
        <w:t xml:space="preserve"> </w:t>
      </w:r>
      <w:r w:rsidRPr="00FD40B8">
        <w:rPr>
          <w:i/>
          <w:color w:val="131727" w:themeColor="text1"/>
          <w:sz w:val="20"/>
        </w:rPr>
        <w:t>and</w:t>
      </w:r>
      <w:r w:rsidRPr="00FD40B8">
        <w:rPr>
          <w:i/>
          <w:color w:val="131727" w:themeColor="text1"/>
          <w:spacing w:val="40"/>
          <w:sz w:val="20"/>
        </w:rPr>
        <w:t xml:space="preserve"> </w:t>
      </w:r>
      <w:r w:rsidRPr="00FD40B8">
        <w:rPr>
          <w:i/>
          <w:color w:val="131727" w:themeColor="text1"/>
          <w:sz w:val="20"/>
        </w:rPr>
        <w:t>Homelessness</w:t>
      </w:r>
      <w:r w:rsidRPr="00FD40B8">
        <w:rPr>
          <w:i/>
          <w:color w:val="131727" w:themeColor="text1"/>
          <w:spacing w:val="40"/>
          <w:sz w:val="20"/>
        </w:rPr>
        <w:t xml:space="preserve"> </w:t>
      </w:r>
      <w:r w:rsidRPr="00FD40B8">
        <w:rPr>
          <w:i/>
          <w:color w:val="131727" w:themeColor="text1"/>
          <w:sz w:val="20"/>
        </w:rPr>
        <w:t>Agreement</w:t>
      </w:r>
      <w:r w:rsidRPr="00FD40B8">
        <w:rPr>
          <w:i/>
          <w:color w:val="131727" w:themeColor="text1"/>
          <w:spacing w:val="40"/>
          <w:sz w:val="20"/>
        </w:rPr>
        <w:t xml:space="preserve"> </w:t>
      </w:r>
      <w:r w:rsidRPr="00FD40B8">
        <w:rPr>
          <w:color w:val="131727" w:themeColor="text1"/>
          <w:sz w:val="20"/>
        </w:rPr>
        <w:t>(NHHA),</w:t>
      </w:r>
      <w:r w:rsidRPr="00FD40B8">
        <w:rPr>
          <w:color w:val="131727" w:themeColor="text1"/>
          <w:spacing w:val="40"/>
          <w:sz w:val="20"/>
        </w:rPr>
        <w:t xml:space="preserve"> </w:t>
      </w:r>
      <w:r w:rsidRPr="00FD40B8">
        <w:rPr>
          <w:color w:val="131727" w:themeColor="text1"/>
          <w:sz w:val="20"/>
        </w:rPr>
        <w:t>the</w:t>
      </w:r>
      <w:r w:rsidRPr="00FD40B8">
        <w:rPr>
          <w:color w:val="131727" w:themeColor="text1"/>
          <w:spacing w:val="40"/>
          <w:sz w:val="20"/>
        </w:rPr>
        <w:t xml:space="preserve"> </w:t>
      </w:r>
      <w:r w:rsidRPr="00FD40B8">
        <w:rPr>
          <w:i/>
          <w:color w:val="131727" w:themeColor="text1"/>
          <w:sz w:val="20"/>
        </w:rPr>
        <w:t>Housing</w:t>
      </w:r>
      <w:r w:rsidRPr="00FD40B8">
        <w:rPr>
          <w:i/>
          <w:color w:val="131727" w:themeColor="text1"/>
          <w:spacing w:val="40"/>
          <w:sz w:val="20"/>
        </w:rPr>
        <w:t xml:space="preserve"> </w:t>
      </w:r>
      <w:r w:rsidRPr="00FD40B8">
        <w:rPr>
          <w:i/>
          <w:color w:val="131727" w:themeColor="text1"/>
          <w:sz w:val="20"/>
        </w:rPr>
        <w:t>Australia</w:t>
      </w:r>
      <w:r w:rsidRPr="00FD40B8">
        <w:rPr>
          <w:i/>
          <w:color w:val="131727" w:themeColor="text1"/>
          <w:spacing w:val="40"/>
          <w:sz w:val="20"/>
        </w:rPr>
        <w:t xml:space="preserve"> </w:t>
      </w:r>
      <w:r w:rsidRPr="00FD40B8">
        <w:rPr>
          <w:i/>
          <w:color w:val="131727" w:themeColor="text1"/>
          <w:sz w:val="20"/>
        </w:rPr>
        <w:t xml:space="preserve">Future </w:t>
      </w:r>
      <w:r w:rsidRPr="00FD40B8">
        <w:rPr>
          <w:i/>
          <w:color w:val="131727" w:themeColor="text1"/>
          <w:w w:val="110"/>
          <w:sz w:val="20"/>
        </w:rPr>
        <w:t xml:space="preserve">Fund, </w:t>
      </w:r>
      <w:r w:rsidRPr="00FD40B8">
        <w:rPr>
          <w:color w:val="131727" w:themeColor="text1"/>
          <w:w w:val="110"/>
          <w:sz w:val="20"/>
        </w:rPr>
        <w:t>the</w:t>
      </w:r>
      <w:r w:rsidRPr="00FD40B8">
        <w:rPr>
          <w:color w:val="131727" w:themeColor="text1"/>
          <w:spacing w:val="-8"/>
          <w:w w:val="110"/>
          <w:sz w:val="20"/>
        </w:rPr>
        <w:t xml:space="preserve"> </w:t>
      </w:r>
      <w:r w:rsidRPr="00FD40B8">
        <w:rPr>
          <w:i/>
          <w:color w:val="131727" w:themeColor="text1"/>
          <w:w w:val="110"/>
          <w:sz w:val="20"/>
        </w:rPr>
        <w:t>Social</w:t>
      </w:r>
      <w:r w:rsidRPr="00FD40B8">
        <w:rPr>
          <w:i/>
          <w:color w:val="131727" w:themeColor="text1"/>
          <w:spacing w:val="-2"/>
          <w:w w:val="110"/>
          <w:sz w:val="20"/>
        </w:rPr>
        <w:t xml:space="preserve"> </w:t>
      </w:r>
      <w:r w:rsidRPr="00FD40B8">
        <w:rPr>
          <w:i/>
          <w:color w:val="131727" w:themeColor="text1"/>
          <w:w w:val="110"/>
          <w:sz w:val="20"/>
        </w:rPr>
        <w:t>Housing</w:t>
      </w:r>
      <w:r w:rsidRPr="00FD40B8">
        <w:rPr>
          <w:i/>
          <w:color w:val="131727" w:themeColor="text1"/>
          <w:spacing w:val="-5"/>
          <w:w w:val="110"/>
          <w:sz w:val="20"/>
        </w:rPr>
        <w:t xml:space="preserve"> </w:t>
      </w:r>
      <w:r w:rsidRPr="00FD40B8">
        <w:rPr>
          <w:i/>
          <w:color w:val="131727" w:themeColor="text1"/>
          <w:w w:val="110"/>
          <w:sz w:val="20"/>
        </w:rPr>
        <w:t>Accelerator</w:t>
      </w:r>
      <w:r w:rsidRPr="00FD40B8">
        <w:rPr>
          <w:i/>
          <w:color w:val="131727" w:themeColor="text1"/>
          <w:spacing w:val="-6"/>
          <w:w w:val="110"/>
          <w:sz w:val="20"/>
        </w:rPr>
        <w:t xml:space="preserve"> </w:t>
      </w:r>
      <w:r w:rsidRPr="00FD40B8">
        <w:rPr>
          <w:i/>
          <w:color w:val="131727" w:themeColor="text1"/>
          <w:w w:val="110"/>
          <w:sz w:val="20"/>
        </w:rPr>
        <w:t>Fund</w:t>
      </w:r>
      <w:r w:rsidRPr="00FD40B8">
        <w:rPr>
          <w:i/>
          <w:color w:val="131727" w:themeColor="text1"/>
          <w:spacing w:val="-2"/>
          <w:w w:val="110"/>
          <w:sz w:val="20"/>
        </w:rPr>
        <w:t xml:space="preserve"> </w:t>
      </w:r>
      <w:r w:rsidRPr="00FD40B8">
        <w:rPr>
          <w:color w:val="131727" w:themeColor="text1"/>
          <w:w w:val="110"/>
          <w:sz w:val="20"/>
        </w:rPr>
        <w:t>–</w:t>
      </w:r>
      <w:r w:rsidRPr="00FD40B8">
        <w:rPr>
          <w:color w:val="131727" w:themeColor="text1"/>
          <w:spacing w:val="-8"/>
          <w:w w:val="110"/>
          <w:sz w:val="20"/>
        </w:rPr>
        <w:t xml:space="preserve"> </w:t>
      </w:r>
      <w:r w:rsidRPr="00FD40B8">
        <w:rPr>
          <w:color w:val="131727" w:themeColor="text1"/>
          <w:w w:val="110"/>
          <w:sz w:val="20"/>
        </w:rPr>
        <w:t>have</w:t>
      </w:r>
      <w:r w:rsidRPr="00FD40B8">
        <w:rPr>
          <w:color w:val="131727" w:themeColor="text1"/>
          <w:spacing w:val="-3"/>
          <w:w w:val="110"/>
          <w:sz w:val="20"/>
        </w:rPr>
        <w:t xml:space="preserve"> </w:t>
      </w:r>
      <w:r w:rsidRPr="00FD40B8">
        <w:rPr>
          <w:color w:val="131727" w:themeColor="text1"/>
          <w:w w:val="110"/>
          <w:sz w:val="20"/>
        </w:rPr>
        <w:t>their</w:t>
      </w:r>
      <w:r w:rsidRPr="00FD40B8">
        <w:rPr>
          <w:color w:val="131727" w:themeColor="text1"/>
          <w:spacing w:val="-8"/>
          <w:w w:val="110"/>
          <w:sz w:val="20"/>
        </w:rPr>
        <w:t xml:space="preserve"> </w:t>
      </w:r>
      <w:r w:rsidRPr="00FD40B8">
        <w:rPr>
          <w:color w:val="131727" w:themeColor="text1"/>
          <w:w w:val="110"/>
          <w:sz w:val="20"/>
        </w:rPr>
        <w:t>own</w:t>
      </w:r>
      <w:r w:rsidRPr="00FD40B8">
        <w:rPr>
          <w:color w:val="131727" w:themeColor="text1"/>
          <w:spacing w:val="-2"/>
          <w:w w:val="110"/>
          <w:sz w:val="20"/>
        </w:rPr>
        <w:t xml:space="preserve"> </w:t>
      </w:r>
      <w:r w:rsidRPr="00FD40B8">
        <w:rPr>
          <w:color w:val="131727" w:themeColor="text1"/>
          <w:w w:val="110"/>
          <w:sz w:val="20"/>
        </w:rPr>
        <w:t>reporting</w:t>
      </w:r>
      <w:r w:rsidRPr="00FD40B8">
        <w:rPr>
          <w:color w:val="131727" w:themeColor="text1"/>
          <w:spacing w:val="-8"/>
          <w:w w:val="110"/>
          <w:sz w:val="20"/>
        </w:rPr>
        <w:t xml:space="preserve"> </w:t>
      </w:r>
      <w:r w:rsidRPr="00FD40B8">
        <w:rPr>
          <w:color w:val="131727" w:themeColor="text1"/>
          <w:w w:val="110"/>
          <w:sz w:val="20"/>
        </w:rPr>
        <w:t>on</w:t>
      </w:r>
      <w:r w:rsidRPr="00FD40B8">
        <w:rPr>
          <w:color w:val="131727" w:themeColor="text1"/>
          <w:spacing w:val="-7"/>
          <w:w w:val="110"/>
          <w:sz w:val="20"/>
        </w:rPr>
        <w:t xml:space="preserve"> </w:t>
      </w:r>
      <w:r w:rsidRPr="00FD40B8">
        <w:rPr>
          <w:color w:val="131727" w:themeColor="text1"/>
          <w:w w:val="110"/>
          <w:sz w:val="20"/>
        </w:rPr>
        <w:t>expenditure,</w:t>
      </w:r>
      <w:r w:rsidRPr="00FD40B8">
        <w:rPr>
          <w:color w:val="131727" w:themeColor="text1"/>
          <w:spacing w:val="-3"/>
          <w:w w:val="110"/>
          <w:sz w:val="20"/>
        </w:rPr>
        <w:t xml:space="preserve"> </w:t>
      </w:r>
      <w:r w:rsidRPr="00FD40B8">
        <w:rPr>
          <w:color w:val="131727" w:themeColor="text1"/>
          <w:w w:val="110"/>
          <w:sz w:val="20"/>
        </w:rPr>
        <w:t>performance measures and outcomes. Appendix H provides a summary of the existing and expected reporting under these agreements.</w:t>
      </w:r>
    </w:p>
    <w:p w14:paraId="2413FCCB" w14:textId="77777777" w:rsidR="00811887" w:rsidRPr="00FD40B8" w:rsidRDefault="00811887" w:rsidP="00811887">
      <w:pPr>
        <w:pStyle w:val="BodyText"/>
        <w:spacing w:before="237" w:line="268" w:lineRule="auto"/>
        <w:ind w:left="508" w:right="598"/>
        <w:rPr>
          <w:color w:val="131727" w:themeColor="text1"/>
        </w:rPr>
      </w:pPr>
      <w:r w:rsidRPr="00FD40B8">
        <w:rPr>
          <w:color w:val="131727" w:themeColor="text1"/>
          <w:w w:val="110"/>
        </w:rPr>
        <w:t>However,</w:t>
      </w:r>
      <w:r w:rsidRPr="00FD40B8">
        <w:rPr>
          <w:color w:val="131727" w:themeColor="text1"/>
          <w:spacing w:val="-2"/>
          <w:w w:val="110"/>
        </w:rPr>
        <w:t xml:space="preserve"> </w:t>
      </w:r>
      <w:r w:rsidRPr="00FD40B8">
        <w:rPr>
          <w:color w:val="131727" w:themeColor="text1"/>
          <w:w w:val="110"/>
        </w:rPr>
        <w:t>much</w:t>
      </w:r>
      <w:r w:rsidRPr="00FD40B8">
        <w:rPr>
          <w:color w:val="131727" w:themeColor="text1"/>
          <w:spacing w:val="-5"/>
          <w:w w:val="110"/>
        </w:rPr>
        <w:t xml:space="preserve"> </w:t>
      </w:r>
      <w:r w:rsidRPr="00FD40B8">
        <w:rPr>
          <w:color w:val="131727" w:themeColor="text1"/>
          <w:w w:val="110"/>
        </w:rPr>
        <w:t>of this reporting</w:t>
      </w:r>
      <w:r w:rsidRPr="00FD40B8">
        <w:rPr>
          <w:color w:val="131727" w:themeColor="text1"/>
          <w:spacing w:val="-6"/>
          <w:w w:val="110"/>
        </w:rPr>
        <w:t xml:space="preserve"> </w:t>
      </w:r>
      <w:r w:rsidRPr="00FD40B8">
        <w:rPr>
          <w:color w:val="131727" w:themeColor="text1"/>
          <w:w w:val="110"/>
        </w:rPr>
        <w:t>is</w:t>
      </w:r>
      <w:r w:rsidRPr="00FD40B8">
        <w:rPr>
          <w:color w:val="131727" w:themeColor="text1"/>
          <w:spacing w:val="-4"/>
          <w:w w:val="110"/>
        </w:rPr>
        <w:t xml:space="preserve"> </w:t>
      </w:r>
      <w:r w:rsidRPr="00FD40B8">
        <w:rPr>
          <w:color w:val="131727" w:themeColor="text1"/>
          <w:w w:val="110"/>
        </w:rPr>
        <w:t>not consistently</w:t>
      </w:r>
      <w:r w:rsidRPr="00FD40B8">
        <w:rPr>
          <w:color w:val="131727" w:themeColor="text1"/>
          <w:spacing w:val="-2"/>
          <w:w w:val="110"/>
        </w:rPr>
        <w:t xml:space="preserve"> </w:t>
      </w:r>
      <w:r w:rsidRPr="00FD40B8">
        <w:rPr>
          <w:color w:val="131727" w:themeColor="text1"/>
          <w:w w:val="110"/>
        </w:rPr>
        <w:t>produced</w:t>
      </w:r>
      <w:r w:rsidRPr="00FD40B8">
        <w:rPr>
          <w:color w:val="131727" w:themeColor="text1"/>
          <w:spacing w:val="-6"/>
          <w:w w:val="110"/>
        </w:rPr>
        <w:t xml:space="preserve"> </w:t>
      </w:r>
      <w:r w:rsidRPr="00FD40B8">
        <w:rPr>
          <w:color w:val="131727" w:themeColor="text1"/>
          <w:w w:val="110"/>
        </w:rPr>
        <w:t>by</w:t>
      </w:r>
      <w:r w:rsidRPr="00FD40B8">
        <w:rPr>
          <w:color w:val="131727" w:themeColor="text1"/>
          <w:spacing w:val="-3"/>
          <w:w w:val="110"/>
        </w:rPr>
        <w:t xml:space="preserve"> </w:t>
      </w:r>
      <w:r w:rsidRPr="00FD40B8">
        <w:rPr>
          <w:color w:val="131727" w:themeColor="text1"/>
          <w:w w:val="110"/>
        </w:rPr>
        <w:t>states and</w:t>
      </w:r>
      <w:r w:rsidRPr="00FD40B8">
        <w:rPr>
          <w:color w:val="131727" w:themeColor="text1"/>
          <w:spacing w:val="-2"/>
          <w:w w:val="110"/>
        </w:rPr>
        <w:t xml:space="preserve"> </w:t>
      </w:r>
      <w:r w:rsidRPr="00FD40B8">
        <w:rPr>
          <w:color w:val="131727" w:themeColor="text1"/>
          <w:w w:val="110"/>
        </w:rPr>
        <w:t>territory</w:t>
      </w:r>
      <w:r w:rsidRPr="00FD40B8">
        <w:rPr>
          <w:color w:val="131727" w:themeColor="text1"/>
          <w:spacing w:val="-3"/>
          <w:w w:val="110"/>
        </w:rPr>
        <w:t xml:space="preserve"> </w:t>
      </w:r>
      <w:r w:rsidRPr="00FD40B8">
        <w:rPr>
          <w:color w:val="131727" w:themeColor="text1"/>
          <w:w w:val="110"/>
        </w:rPr>
        <w:t>governments and what is provided</w:t>
      </w:r>
      <w:r w:rsidRPr="00FD40B8">
        <w:rPr>
          <w:color w:val="131727" w:themeColor="text1"/>
          <w:spacing w:val="-4"/>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often not timely, not made</w:t>
      </w:r>
      <w:r w:rsidRPr="00FD40B8">
        <w:rPr>
          <w:color w:val="131727" w:themeColor="text1"/>
          <w:spacing w:val="-4"/>
          <w:w w:val="110"/>
        </w:rPr>
        <w:t xml:space="preserve"> </w:t>
      </w:r>
      <w:r w:rsidRPr="00FD40B8">
        <w:rPr>
          <w:color w:val="131727" w:themeColor="text1"/>
          <w:w w:val="110"/>
        </w:rPr>
        <w:t>public, and/or unable to compared across</w:t>
      </w:r>
      <w:r w:rsidRPr="00FD40B8">
        <w:rPr>
          <w:color w:val="131727" w:themeColor="text1"/>
          <w:spacing w:val="-2"/>
          <w:w w:val="110"/>
        </w:rPr>
        <w:t xml:space="preserve"> </w:t>
      </w:r>
      <w:r w:rsidRPr="00FD40B8">
        <w:rPr>
          <w:color w:val="131727" w:themeColor="text1"/>
          <w:w w:val="110"/>
        </w:rPr>
        <w:t>jurisdictions. The reporting also does not often break down data by Aboriginal and Torres Strait Islander people or households making it difficult to ascertain how Aboriginal and Torres Strait Islander people have benefited and how investments are contributing to Closing the Gap.</w:t>
      </w:r>
    </w:p>
    <w:p w14:paraId="2DD5B4F7" w14:textId="77777777" w:rsidR="00811887" w:rsidRPr="00FD40B8" w:rsidRDefault="00811887" w:rsidP="00811887">
      <w:pPr>
        <w:pStyle w:val="BodyText"/>
        <w:rPr>
          <w:color w:val="131727" w:themeColor="text1"/>
        </w:rPr>
      </w:pPr>
    </w:p>
    <w:p w14:paraId="7A8C2A90" w14:textId="77777777" w:rsidR="00811887" w:rsidRPr="00FD40B8" w:rsidRDefault="00811887" w:rsidP="00811887">
      <w:pPr>
        <w:pStyle w:val="BodyText"/>
        <w:rPr>
          <w:color w:val="131727" w:themeColor="text1"/>
        </w:rPr>
      </w:pPr>
    </w:p>
    <w:p w14:paraId="6E49D769" w14:textId="77777777" w:rsidR="00811887" w:rsidRPr="00FD40B8" w:rsidRDefault="00811887" w:rsidP="00811887">
      <w:pPr>
        <w:pStyle w:val="BodyText"/>
        <w:rPr>
          <w:color w:val="131727" w:themeColor="text1"/>
        </w:rPr>
      </w:pPr>
    </w:p>
    <w:p w14:paraId="21D9D626" w14:textId="77777777" w:rsidR="00811887" w:rsidRPr="00FD40B8" w:rsidRDefault="00811887" w:rsidP="00811887">
      <w:pPr>
        <w:pStyle w:val="BodyText"/>
        <w:rPr>
          <w:color w:val="131727" w:themeColor="text1"/>
        </w:rPr>
      </w:pPr>
    </w:p>
    <w:p w14:paraId="3CF94526" w14:textId="77777777" w:rsidR="00811887" w:rsidRPr="00FD40B8" w:rsidRDefault="00811887" w:rsidP="00811887">
      <w:pPr>
        <w:pStyle w:val="BodyText"/>
        <w:rPr>
          <w:color w:val="131727" w:themeColor="text1"/>
        </w:rPr>
      </w:pPr>
    </w:p>
    <w:p w14:paraId="41DE985F" w14:textId="77777777" w:rsidR="00811887" w:rsidRPr="00FD40B8" w:rsidRDefault="00811887" w:rsidP="00811887">
      <w:pPr>
        <w:pStyle w:val="BodyText"/>
        <w:rPr>
          <w:color w:val="131727" w:themeColor="text1"/>
        </w:rPr>
      </w:pPr>
    </w:p>
    <w:p w14:paraId="13885EFD" w14:textId="77777777" w:rsidR="00811887" w:rsidRPr="00FD40B8" w:rsidRDefault="00811887" w:rsidP="00811887">
      <w:pPr>
        <w:pStyle w:val="BodyText"/>
        <w:rPr>
          <w:color w:val="131727" w:themeColor="text1"/>
        </w:rPr>
      </w:pPr>
    </w:p>
    <w:p w14:paraId="71B0C7A7" w14:textId="77777777" w:rsidR="00811887" w:rsidRPr="00FD40B8" w:rsidRDefault="00811887" w:rsidP="00811887">
      <w:pPr>
        <w:pStyle w:val="BodyText"/>
        <w:rPr>
          <w:color w:val="131727" w:themeColor="text1"/>
        </w:rPr>
      </w:pPr>
    </w:p>
    <w:p w14:paraId="25E85744" w14:textId="77777777" w:rsidR="00811887" w:rsidRPr="00FD40B8" w:rsidRDefault="00811887" w:rsidP="00811887">
      <w:pPr>
        <w:pStyle w:val="BodyText"/>
        <w:rPr>
          <w:color w:val="131727" w:themeColor="text1"/>
        </w:rPr>
      </w:pPr>
    </w:p>
    <w:p w14:paraId="5D68A072" w14:textId="77777777" w:rsidR="00811887" w:rsidRPr="00FD40B8" w:rsidRDefault="00811887" w:rsidP="00811887">
      <w:pPr>
        <w:pStyle w:val="BodyText"/>
        <w:rPr>
          <w:color w:val="131727" w:themeColor="text1"/>
        </w:rPr>
      </w:pPr>
    </w:p>
    <w:p w14:paraId="11E01FF7" w14:textId="77777777" w:rsidR="00811887" w:rsidRPr="00FD40B8" w:rsidRDefault="00811887" w:rsidP="00811887">
      <w:pPr>
        <w:pStyle w:val="BodyText"/>
        <w:rPr>
          <w:color w:val="131727" w:themeColor="text1"/>
        </w:rPr>
      </w:pPr>
    </w:p>
    <w:p w14:paraId="5E370572" w14:textId="77777777" w:rsidR="00811887" w:rsidRPr="00FD40B8" w:rsidRDefault="00811887" w:rsidP="00811887">
      <w:pPr>
        <w:pStyle w:val="BodyText"/>
        <w:rPr>
          <w:color w:val="131727" w:themeColor="text1"/>
        </w:rPr>
      </w:pPr>
    </w:p>
    <w:p w14:paraId="7FD8C186" w14:textId="77777777" w:rsidR="00811887" w:rsidRPr="00FD40B8" w:rsidRDefault="00811887" w:rsidP="00811887">
      <w:pPr>
        <w:pStyle w:val="BodyText"/>
        <w:rPr>
          <w:color w:val="131727" w:themeColor="text1"/>
        </w:rPr>
      </w:pPr>
    </w:p>
    <w:p w14:paraId="39852D16" w14:textId="77777777" w:rsidR="00811887" w:rsidRPr="00FD40B8" w:rsidRDefault="00811887" w:rsidP="00811887">
      <w:pPr>
        <w:pStyle w:val="BodyText"/>
        <w:rPr>
          <w:color w:val="131727" w:themeColor="text1"/>
        </w:rPr>
      </w:pPr>
    </w:p>
    <w:p w14:paraId="451F8520" w14:textId="77777777" w:rsidR="00811887" w:rsidRPr="00FD40B8" w:rsidRDefault="00811887" w:rsidP="00811887">
      <w:pPr>
        <w:pStyle w:val="BodyText"/>
        <w:rPr>
          <w:color w:val="131727" w:themeColor="text1"/>
        </w:rPr>
      </w:pPr>
    </w:p>
    <w:p w14:paraId="6542F82F" w14:textId="77777777" w:rsidR="00811887" w:rsidRPr="00FD40B8" w:rsidRDefault="00811887" w:rsidP="00811887">
      <w:pPr>
        <w:pStyle w:val="BodyText"/>
        <w:spacing w:before="55"/>
        <w:rPr>
          <w:color w:val="131727" w:themeColor="text1"/>
        </w:rPr>
      </w:pPr>
      <w:r w:rsidRPr="00FD40B8">
        <w:rPr>
          <w:noProof/>
          <w:color w:val="131727" w:themeColor="text1"/>
        </w:rPr>
        <mc:AlternateContent>
          <mc:Choice Requires="wps">
            <w:drawing>
              <wp:anchor distT="0" distB="0" distL="0" distR="0" simplePos="0" relativeHeight="251753472" behindDoc="1" locked="0" layoutInCell="1" allowOverlap="1" wp14:anchorId="0AE15708" wp14:editId="01D492B2">
                <wp:simplePos x="0" y="0"/>
                <wp:positionH relativeFrom="page">
                  <wp:posOffset>792784</wp:posOffset>
                </wp:positionH>
                <wp:positionV relativeFrom="paragraph">
                  <wp:posOffset>205413</wp:posOffset>
                </wp:positionV>
                <wp:extent cx="1830070" cy="6350"/>
                <wp:effectExtent l="0" t="0" r="0" b="0"/>
                <wp:wrapTopAndBottom/>
                <wp:docPr id="181" name="Graphic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B42ED" id="Graphic 181" o:spid="_x0000_s1026" alt="&quot;&quot;" style="position:absolute;margin-left:62.4pt;margin-top:16.15pt;width:144.1pt;height:.5pt;z-index:-25156300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" path="m1829689,l,,,6095r1829689,l1829689,xe" fillcolor="black" stroked="f">
                <v:path arrowok="t"/>
                <w10:wrap type="topAndBottom" anchorx="page"/>
              </v:shape>
            </w:pict>
          </mc:Fallback>
        </mc:AlternateContent>
      </w:r>
    </w:p>
    <w:p w14:paraId="553821ED" w14:textId="77777777" w:rsidR="00811887" w:rsidRPr="00FD40B8" w:rsidRDefault="00811887" w:rsidP="00811887">
      <w:pPr>
        <w:spacing w:before="123"/>
        <w:ind w:left="508"/>
        <w:rPr>
          <w:color w:val="131727" w:themeColor="text1"/>
          <w:sz w:val="16"/>
        </w:rPr>
      </w:pPr>
      <w:bookmarkStart w:id="187" w:name="_bookmark76"/>
      <w:bookmarkEnd w:id="187"/>
      <w:r w:rsidRPr="00FD40B8">
        <w:rPr>
          <w:color w:val="131727" w:themeColor="text1"/>
          <w:w w:val="105"/>
          <w:position w:val="6"/>
          <w:sz w:val="10"/>
        </w:rPr>
        <w:t>65</w:t>
      </w:r>
      <w:r w:rsidRPr="00FD40B8">
        <w:rPr>
          <w:color w:val="131727" w:themeColor="text1"/>
          <w:spacing w:val="25"/>
          <w:w w:val="105"/>
          <w:position w:val="6"/>
          <w:sz w:val="10"/>
        </w:rPr>
        <w:t xml:space="preserve"> </w:t>
      </w:r>
      <w:r w:rsidRPr="00FD40B8">
        <w:rPr>
          <w:color w:val="131727" w:themeColor="text1"/>
          <w:w w:val="105"/>
          <w:sz w:val="16"/>
        </w:rPr>
        <w:t>See</w:t>
      </w:r>
      <w:r w:rsidRPr="00FD40B8">
        <w:rPr>
          <w:color w:val="131727" w:themeColor="text1"/>
          <w:spacing w:val="10"/>
          <w:w w:val="105"/>
          <w:sz w:val="16"/>
        </w:rPr>
        <w:t xml:space="preserve"> </w:t>
      </w:r>
      <w:r w:rsidRPr="00FD40B8">
        <w:rPr>
          <w:color w:val="131727" w:themeColor="text1"/>
          <w:w w:val="105"/>
          <w:sz w:val="16"/>
        </w:rPr>
        <w:t>AIHW</w:t>
      </w:r>
      <w:r w:rsidRPr="00FD40B8">
        <w:rPr>
          <w:color w:val="131727" w:themeColor="text1"/>
          <w:spacing w:val="8"/>
          <w:w w:val="105"/>
          <w:sz w:val="16"/>
        </w:rPr>
        <w:t xml:space="preserve"> </w:t>
      </w:r>
      <w:r w:rsidRPr="00FD40B8">
        <w:rPr>
          <w:color w:val="131727" w:themeColor="text1"/>
          <w:w w:val="105"/>
          <w:sz w:val="16"/>
        </w:rPr>
        <w:t>website</w:t>
      </w:r>
      <w:r w:rsidRPr="00FD40B8">
        <w:rPr>
          <w:color w:val="131727" w:themeColor="text1"/>
          <w:spacing w:val="10"/>
          <w:w w:val="105"/>
          <w:sz w:val="16"/>
        </w:rPr>
        <w:t xml:space="preserve"> </w:t>
      </w:r>
      <w:r w:rsidRPr="00FD40B8">
        <w:rPr>
          <w:color w:val="131727" w:themeColor="text1"/>
          <w:w w:val="105"/>
          <w:sz w:val="16"/>
        </w:rPr>
        <w:t>at</w:t>
      </w:r>
      <w:r w:rsidRPr="00FD40B8">
        <w:rPr>
          <w:color w:val="131727" w:themeColor="text1"/>
          <w:spacing w:val="14"/>
          <w:w w:val="105"/>
          <w:sz w:val="16"/>
        </w:rPr>
        <w:t xml:space="preserve"> </w:t>
      </w:r>
      <w:hyperlink r:id="rId121">
        <w:r w:rsidRPr="00FD40B8">
          <w:rPr>
            <w:color w:val="131727" w:themeColor="text1"/>
            <w:spacing w:val="-2"/>
            <w:w w:val="105"/>
            <w:sz w:val="16"/>
          </w:rPr>
          <w:t>https://www.rific.gov.au/.</w:t>
        </w:r>
      </w:hyperlink>
    </w:p>
    <w:p w14:paraId="657A6ECA" w14:textId="77777777" w:rsidR="00811887" w:rsidRPr="00FD40B8" w:rsidRDefault="00811887" w:rsidP="00811887">
      <w:pPr>
        <w:spacing w:before="18"/>
        <w:ind w:left="508"/>
        <w:rPr>
          <w:color w:val="131727" w:themeColor="text1"/>
          <w:sz w:val="16"/>
        </w:rPr>
      </w:pPr>
      <w:bookmarkStart w:id="188" w:name="_bookmark77"/>
      <w:bookmarkEnd w:id="188"/>
      <w:r w:rsidRPr="00FD40B8">
        <w:rPr>
          <w:color w:val="131727" w:themeColor="text1"/>
          <w:w w:val="105"/>
          <w:position w:val="6"/>
          <w:sz w:val="10"/>
        </w:rPr>
        <w:t>66</w:t>
      </w:r>
      <w:r w:rsidRPr="00FD40B8">
        <w:rPr>
          <w:color w:val="131727" w:themeColor="text1"/>
          <w:spacing w:val="32"/>
          <w:w w:val="105"/>
          <w:position w:val="6"/>
          <w:sz w:val="10"/>
        </w:rPr>
        <w:t xml:space="preserve"> </w:t>
      </w:r>
      <w:r w:rsidRPr="00FD40B8">
        <w:rPr>
          <w:color w:val="131727" w:themeColor="text1"/>
          <w:w w:val="105"/>
          <w:sz w:val="16"/>
        </w:rPr>
        <w:t>ABS</w:t>
      </w:r>
      <w:r w:rsidRPr="00FD40B8">
        <w:rPr>
          <w:color w:val="131727" w:themeColor="text1"/>
          <w:spacing w:val="17"/>
          <w:w w:val="105"/>
          <w:sz w:val="16"/>
        </w:rPr>
        <w:t xml:space="preserve"> </w:t>
      </w:r>
      <w:r w:rsidRPr="00FD40B8">
        <w:rPr>
          <w:color w:val="131727" w:themeColor="text1"/>
          <w:w w:val="105"/>
          <w:sz w:val="16"/>
        </w:rPr>
        <w:t>(2007).</w:t>
      </w:r>
      <w:r w:rsidRPr="00FD40B8">
        <w:rPr>
          <w:color w:val="131727" w:themeColor="text1"/>
          <w:spacing w:val="19"/>
          <w:w w:val="105"/>
          <w:sz w:val="16"/>
        </w:rPr>
        <w:t xml:space="preserve"> </w:t>
      </w:r>
      <w:r w:rsidRPr="00FD40B8">
        <w:rPr>
          <w:color w:val="131727" w:themeColor="text1"/>
          <w:w w:val="105"/>
          <w:sz w:val="16"/>
        </w:rPr>
        <w:t>Housing</w:t>
      </w:r>
      <w:r w:rsidRPr="00FD40B8">
        <w:rPr>
          <w:color w:val="131727" w:themeColor="text1"/>
          <w:spacing w:val="16"/>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Infrastructure</w:t>
      </w:r>
      <w:r w:rsidRPr="00FD40B8">
        <w:rPr>
          <w:color w:val="131727" w:themeColor="text1"/>
          <w:spacing w:val="18"/>
          <w:w w:val="105"/>
          <w:sz w:val="16"/>
        </w:rPr>
        <w:t xml:space="preserve"> </w:t>
      </w:r>
      <w:r w:rsidRPr="00FD40B8">
        <w:rPr>
          <w:color w:val="131727" w:themeColor="text1"/>
          <w:w w:val="105"/>
          <w:sz w:val="16"/>
        </w:rPr>
        <w:t>in</w:t>
      </w:r>
      <w:r w:rsidRPr="00FD40B8">
        <w:rPr>
          <w:color w:val="131727" w:themeColor="text1"/>
          <w:spacing w:val="15"/>
          <w:w w:val="105"/>
          <w:sz w:val="16"/>
        </w:rPr>
        <w:t xml:space="preserve"> </w:t>
      </w:r>
      <w:r w:rsidRPr="00FD40B8">
        <w:rPr>
          <w:color w:val="131727" w:themeColor="text1"/>
          <w:w w:val="105"/>
          <w:sz w:val="16"/>
        </w:rPr>
        <w:t>Aboriginal</w:t>
      </w:r>
      <w:r w:rsidRPr="00FD40B8">
        <w:rPr>
          <w:color w:val="131727" w:themeColor="text1"/>
          <w:spacing w:val="15"/>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Torres</w:t>
      </w:r>
      <w:r w:rsidRPr="00FD40B8">
        <w:rPr>
          <w:color w:val="131727" w:themeColor="text1"/>
          <w:spacing w:val="16"/>
          <w:w w:val="105"/>
          <w:sz w:val="16"/>
        </w:rPr>
        <w:t xml:space="preserve"> </w:t>
      </w:r>
      <w:r w:rsidRPr="00FD40B8">
        <w:rPr>
          <w:color w:val="131727" w:themeColor="text1"/>
          <w:w w:val="105"/>
          <w:sz w:val="16"/>
        </w:rPr>
        <w:t>Strait</w:t>
      </w:r>
      <w:r w:rsidRPr="00FD40B8">
        <w:rPr>
          <w:color w:val="131727" w:themeColor="text1"/>
          <w:spacing w:val="17"/>
          <w:w w:val="105"/>
          <w:sz w:val="16"/>
        </w:rPr>
        <w:t xml:space="preserve"> </w:t>
      </w:r>
      <w:r w:rsidRPr="00FD40B8">
        <w:rPr>
          <w:color w:val="131727" w:themeColor="text1"/>
          <w:w w:val="105"/>
          <w:sz w:val="16"/>
        </w:rPr>
        <w:t>Islander</w:t>
      </w:r>
      <w:r w:rsidRPr="00FD40B8">
        <w:rPr>
          <w:color w:val="131727" w:themeColor="text1"/>
          <w:spacing w:val="19"/>
          <w:w w:val="105"/>
          <w:sz w:val="16"/>
        </w:rPr>
        <w:t xml:space="preserve"> </w:t>
      </w:r>
      <w:r w:rsidRPr="00FD40B8">
        <w:rPr>
          <w:color w:val="131727" w:themeColor="text1"/>
          <w:w w:val="105"/>
          <w:sz w:val="16"/>
        </w:rPr>
        <w:t>Communities,</w:t>
      </w:r>
      <w:r w:rsidRPr="00FD40B8">
        <w:rPr>
          <w:color w:val="131727" w:themeColor="text1"/>
          <w:spacing w:val="18"/>
          <w:w w:val="105"/>
          <w:sz w:val="16"/>
        </w:rPr>
        <w:t xml:space="preserve"> </w:t>
      </w:r>
      <w:r w:rsidRPr="00FD40B8">
        <w:rPr>
          <w:color w:val="131727" w:themeColor="text1"/>
          <w:w w:val="105"/>
          <w:sz w:val="16"/>
        </w:rPr>
        <w:t>Australia,</w:t>
      </w:r>
      <w:r w:rsidRPr="00FD40B8">
        <w:rPr>
          <w:color w:val="131727" w:themeColor="text1"/>
          <w:spacing w:val="17"/>
          <w:w w:val="105"/>
          <w:sz w:val="16"/>
        </w:rPr>
        <w:t xml:space="preserve"> </w:t>
      </w:r>
      <w:r w:rsidRPr="00FD40B8">
        <w:rPr>
          <w:color w:val="131727" w:themeColor="text1"/>
          <w:w w:val="105"/>
          <w:sz w:val="16"/>
        </w:rPr>
        <w:t>2006.</w:t>
      </w:r>
      <w:r w:rsidRPr="00FD40B8">
        <w:rPr>
          <w:color w:val="131727" w:themeColor="text1"/>
          <w:spacing w:val="19"/>
          <w:w w:val="105"/>
          <w:sz w:val="16"/>
        </w:rPr>
        <w:t xml:space="preserve"> </w:t>
      </w:r>
      <w:r w:rsidRPr="00FD40B8">
        <w:rPr>
          <w:color w:val="131727" w:themeColor="text1"/>
          <w:w w:val="105"/>
          <w:sz w:val="16"/>
        </w:rPr>
        <w:t>Cat</w:t>
      </w:r>
      <w:r w:rsidRPr="00FD40B8">
        <w:rPr>
          <w:color w:val="131727" w:themeColor="text1"/>
          <w:spacing w:val="17"/>
          <w:w w:val="105"/>
          <w:sz w:val="16"/>
        </w:rPr>
        <w:t xml:space="preserve"> </w:t>
      </w:r>
      <w:r w:rsidRPr="00FD40B8">
        <w:rPr>
          <w:color w:val="131727" w:themeColor="text1"/>
          <w:w w:val="105"/>
          <w:sz w:val="16"/>
        </w:rPr>
        <w:t>no.</w:t>
      </w:r>
      <w:r w:rsidRPr="00FD40B8">
        <w:rPr>
          <w:color w:val="131727" w:themeColor="text1"/>
          <w:spacing w:val="19"/>
          <w:w w:val="105"/>
          <w:sz w:val="16"/>
        </w:rPr>
        <w:t xml:space="preserve"> </w:t>
      </w:r>
      <w:r w:rsidRPr="00FD40B8">
        <w:rPr>
          <w:color w:val="131727" w:themeColor="text1"/>
          <w:spacing w:val="-2"/>
          <w:w w:val="105"/>
          <w:sz w:val="16"/>
        </w:rPr>
        <w:t>4710.0.</w:t>
      </w:r>
    </w:p>
    <w:p w14:paraId="24F93897" w14:textId="77777777" w:rsidR="00811887" w:rsidRPr="00FD40B8" w:rsidRDefault="00811887" w:rsidP="00811887">
      <w:pPr>
        <w:spacing w:before="22" w:line="266" w:lineRule="auto"/>
        <w:ind w:left="508" w:right="1148"/>
        <w:rPr>
          <w:color w:val="131727" w:themeColor="text1"/>
          <w:sz w:val="16"/>
        </w:rPr>
      </w:pPr>
      <w:bookmarkStart w:id="189" w:name="_bookmark78"/>
      <w:bookmarkEnd w:id="189"/>
      <w:r w:rsidRPr="00FD40B8">
        <w:rPr>
          <w:color w:val="131727" w:themeColor="text1"/>
          <w:w w:val="105"/>
          <w:position w:val="6"/>
          <w:sz w:val="10"/>
        </w:rPr>
        <w:t>67</w:t>
      </w:r>
      <w:r w:rsidRPr="00FD40B8">
        <w:rPr>
          <w:color w:val="131727" w:themeColor="text1"/>
          <w:spacing w:val="11"/>
          <w:w w:val="105"/>
          <w:position w:val="6"/>
          <w:sz w:val="10"/>
        </w:rPr>
        <w:t xml:space="preserve"> </w:t>
      </w:r>
      <w:r w:rsidRPr="00FD40B8">
        <w:rPr>
          <w:color w:val="131727" w:themeColor="text1"/>
          <w:w w:val="105"/>
          <w:sz w:val="16"/>
        </w:rPr>
        <w:t>NATSIHA</w:t>
      </w:r>
      <w:r w:rsidRPr="00FD40B8">
        <w:rPr>
          <w:color w:val="131727" w:themeColor="text1"/>
          <w:spacing w:val="-3"/>
          <w:w w:val="105"/>
          <w:sz w:val="16"/>
        </w:rPr>
        <w:t xml:space="preserve"> </w:t>
      </w:r>
      <w:r w:rsidRPr="00FD40B8">
        <w:rPr>
          <w:color w:val="131727" w:themeColor="text1"/>
          <w:w w:val="105"/>
          <w:sz w:val="16"/>
        </w:rPr>
        <w:t>(2023)</w:t>
      </w:r>
      <w:r w:rsidRPr="00FD40B8">
        <w:rPr>
          <w:color w:val="131727" w:themeColor="text1"/>
          <w:spacing w:val="-1"/>
          <w:w w:val="105"/>
          <w:sz w:val="16"/>
        </w:rPr>
        <w:t xml:space="preserve"> </w:t>
      </w:r>
      <w:r w:rsidRPr="00FD40B8">
        <w:rPr>
          <w:i/>
          <w:color w:val="131727" w:themeColor="text1"/>
          <w:w w:val="105"/>
          <w:sz w:val="16"/>
        </w:rPr>
        <w:t>Productivity</w:t>
      </w:r>
      <w:r w:rsidRPr="00FD40B8">
        <w:rPr>
          <w:i/>
          <w:color w:val="131727" w:themeColor="text1"/>
          <w:spacing w:val="-3"/>
          <w:w w:val="105"/>
          <w:sz w:val="16"/>
        </w:rPr>
        <w:t xml:space="preserve"> </w:t>
      </w:r>
      <w:r w:rsidRPr="00FD40B8">
        <w:rPr>
          <w:i/>
          <w:color w:val="131727" w:themeColor="text1"/>
          <w:w w:val="105"/>
          <w:sz w:val="16"/>
        </w:rPr>
        <w:t>Commission</w:t>
      </w:r>
      <w:r w:rsidRPr="00FD40B8">
        <w:rPr>
          <w:i/>
          <w:color w:val="131727" w:themeColor="text1"/>
          <w:spacing w:val="-5"/>
          <w:w w:val="105"/>
          <w:sz w:val="16"/>
        </w:rPr>
        <w:t xml:space="preserve"> </w:t>
      </w:r>
      <w:r w:rsidRPr="00FD40B8">
        <w:rPr>
          <w:i/>
          <w:color w:val="131727" w:themeColor="text1"/>
          <w:w w:val="105"/>
          <w:sz w:val="16"/>
        </w:rPr>
        <w:t>review</w:t>
      </w:r>
      <w:r w:rsidRPr="00FD40B8">
        <w:rPr>
          <w:i/>
          <w:color w:val="131727" w:themeColor="text1"/>
          <w:spacing w:val="-5"/>
          <w:w w:val="105"/>
          <w:sz w:val="16"/>
        </w:rPr>
        <w:t xml:space="preserve"> </w:t>
      </w:r>
      <w:r w:rsidRPr="00FD40B8">
        <w:rPr>
          <w:i/>
          <w:color w:val="131727" w:themeColor="text1"/>
          <w:w w:val="105"/>
          <w:sz w:val="16"/>
        </w:rPr>
        <w:t>of</w:t>
      </w:r>
      <w:r w:rsidRPr="00FD40B8">
        <w:rPr>
          <w:i/>
          <w:color w:val="131727" w:themeColor="text1"/>
          <w:spacing w:val="-4"/>
          <w:w w:val="105"/>
          <w:sz w:val="16"/>
        </w:rPr>
        <w:t xml:space="preserve"> </w:t>
      </w:r>
      <w:r w:rsidRPr="00FD40B8">
        <w:rPr>
          <w:i/>
          <w:color w:val="131727" w:themeColor="text1"/>
          <w:w w:val="105"/>
          <w:sz w:val="16"/>
        </w:rPr>
        <w:t>the</w:t>
      </w:r>
      <w:r w:rsidRPr="00FD40B8">
        <w:rPr>
          <w:i/>
          <w:color w:val="131727" w:themeColor="text1"/>
          <w:spacing w:val="-3"/>
          <w:w w:val="105"/>
          <w:sz w:val="16"/>
        </w:rPr>
        <w:t xml:space="preserve"> </w:t>
      </w:r>
      <w:r w:rsidRPr="00FD40B8">
        <w:rPr>
          <w:i/>
          <w:color w:val="131727" w:themeColor="text1"/>
          <w:w w:val="105"/>
          <w:sz w:val="16"/>
        </w:rPr>
        <w:t>National</w:t>
      </w:r>
      <w:r w:rsidRPr="00FD40B8">
        <w:rPr>
          <w:i/>
          <w:color w:val="131727" w:themeColor="text1"/>
          <w:spacing w:val="-2"/>
          <w:w w:val="105"/>
          <w:sz w:val="16"/>
        </w:rPr>
        <w:t xml:space="preserve"> </w:t>
      </w:r>
      <w:r w:rsidRPr="00FD40B8">
        <w:rPr>
          <w:i/>
          <w:color w:val="131727" w:themeColor="text1"/>
          <w:w w:val="105"/>
          <w:sz w:val="16"/>
        </w:rPr>
        <w:t>Housing</w:t>
      </w:r>
      <w:r w:rsidRPr="00FD40B8">
        <w:rPr>
          <w:i/>
          <w:color w:val="131727" w:themeColor="text1"/>
          <w:spacing w:val="-3"/>
          <w:w w:val="105"/>
          <w:sz w:val="16"/>
        </w:rPr>
        <w:t xml:space="preserve"> </w:t>
      </w:r>
      <w:r w:rsidRPr="00FD40B8">
        <w:rPr>
          <w:i/>
          <w:color w:val="131727" w:themeColor="text1"/>
          <w:w w:val="105"/>
          <w:sz w:val="16"/>
        </w:rPr>
        <w:t>and</w:t>
      </w:r>
      <w:r w:rsidRPr="00FD40B8">
        <w:rPr>
          <w:i/>
          <w:color w:val="131727" w:themeColor="text1"/>
          <w:spacing w:val="-4"/>
          <w:w w:val="105"/>
          <w:sz w:val="16"/>
        </w:rPr>
        <w:t xml:space="preserve"> </w:t>
      </w:r>
      <w:r w:rsidRPr="00FD40B8">
        <w:rPr>
          <w:i/>
          <w:color w:val="131727" w:themeColor="text1"/>
          <w:w w:val="105"/>
          <w:sz w:val="16"/>
        </w:rPr>
        <w:t>Homeless</w:t>
      </w:r>
      <w:r w:rsidRPr="00FD40B8">
        <w:rPr>
          <w:i/>
          <w:color w:val="131727" w:themeColor="text1"/>
          <w:spacing w:val="-4"/>
          <w:w w:val="105"/>
          <w:sz w:val="16"/>
        </w:rPr>
        <w:t xml:space="preserve"> </w:t>
      </w:r>
      <w:r w:rsidRPr="00FD40B8">
        <w:rPr>
          <w:i/>
          <w:color w:val="131727" w:themeColor="text1"/>
          <w:w w:val="105"/>
          <w:sz w:val="16"/>
        </w:rPr>
        <w:t>Agreement</w:t>
      </w:r>
      <w:r w:rsidRPr="00FD40B8">
        <w:rPr>
          <w:color w:val="131727" w:themeColor="text1"/>
          <w:w w:val="105"/>
          <w:sz w:val="16"/>
        </w:rPr>
        <w:t>.</w:t>
      </w:r>
      <w:r w:rsidRPr="00FD40B8">
        <w:rPr>
          <w:color w:val="131727" w:themeColor="text1"/>
          <w:spacing w:val="-3"/>
          <w:w w:val="105"/>
          <w:sz w:val="16"/>
        </w:rPr>
        <w:t xml:space="preserve"> </w:t>
      </w:r>
      <w:r w:rsidRPr="00FD40B8">
        <w:rPr>
          <w:color w:val="131727" w:themeColor="text1"/>
          <w:w w:val="105"/>
          <w:sz w:val="16"/>
        </w:rPr>
        <w:t>Available</w:t>
      </w:r>
      <w:r w:rsidRPr="00FD40B8">
        <w:rPr>
          <w:color w:val="131727" w:themeColor="text1"/>
          <w:spacing w:val="-3"/>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hyperlink r:id="rId122">
        <w:r w:rsidRPr="00FD40B8">
          <w:rPr>
            <w:color w:val="131727" w:themeColor="text1"/>
            <w:w w:val="105"/>
            <w:sz w:val="16"/>
          </w:rPr>
          <w:t>www.pc.gov.au/</w:t>
        </w:r>
        <w:r w:rsidRPr="00FD40B8">
          <w:rPr>
            <w:color w:val="131727" w:themeColor="text1"/>
            <w:spacing w:val="80"/>
            <w:w w:val="105"/>
            <w:sz w:val="16"/>
          </w:rPr>
          <w:t xml:space="preserve"> </w:t>
        </w:r>
        <w:r w:rsidRPr="00FD40B8">
          <w:rPr>
            <w:color w:val="131727" w:themeColor="text1"/>
            <w:w w:val="105"/>
            <w:sz w:val="16"/>
          </w:rPr>
          <w:t>data/assets/pdf_file/0006/337560/sub055-housing-homelessness.pdf.</w:t>
        </w:r>
      </w:hyperlink>
    </w:p>
    <w:p w14:paraId="07FCC057" w14:textId="77777777" w:rsidR="00811887" w:rsidRPr="00FD40B8" w:rsidRDefault="00811887" w:rsidP="00811887">
      <w:pPr>
        <w:spacing w:line="266" w:lineRule="auto"/>
        <w:rPr>
          <w:color w:val="131727" w:themeColor="text1"/>
          <w:sz w:val="16"/>
        </w:rPr>
        <w:sectPr w:rsidR="00811887" w:rsidRPr="00FD40B8" w:rsidSect="00811887">
          <w:footerReference w:type="default" r:id="rId123"/>
          <w:pgSz w:w="11910" w:h="16840"/>
          <w:pgMar w:top="1320" w:right="720" w:bottom="1080" w:left="740" w:header="0" w:footer="885" w:gutter="0"/>
          <w:cols w:space="720"/>
        </w:sectPr>
      </w:pPr>
    </w:p>
    <w:p w14:paraId="066B8806" w14:textId="77777777" w:rsidR="00811887" w:rsidRPr="00FD40B8" w:rsidRDefault="00811887" w:rsidP="00811887">
      <w:pPr>
        <w:pStyle w:val="BodyText"/>
        <w:spacing w:before="90" w:line="268" w:lineRule="auto"/>
        <w:ind w:left="508" w:right="598"/>
        <w:rPr>
          <w:color w:val="131727" w:themeColor="text1"/>
        </w:rPr>
      </w:pPr>
      <w:r w:rsidRPr="00FD40B8">
        <w:rPr>
          <w:color w:val="131727" w:themeColor="text1"/>
          <w:w w:val="110"/>
        </w:rPr>
        <w:lastRenderedPageBreak/>
        <w:t>For</w:t>
      </w:r>
      <w:r w:rsidRPr="00FD40B8">
        <w:rPr>
          <w:color w:val="131727" w:themeColor="text1"/>
          <w:spacing w:val="-3"/>
          <w:w w:val="110"/>
        </w:rPr>
        <w:t xml:space="preserve"> </w:t>
      </w:r>
      <w:r w:rsidRPr="00FD40B8">
        <w:rPr>
          <w:color w:val="131727" w:themeColor="text1"/>
          <w:w w:val="110"/>
        </w:rPr>
        <w:t>example,</w:t>
      </w:r>
      <w:r w:rsidRPr="00FD40B8">
        <w:rPr>
          <w:color w:val="131727" w:themeColor="text1"/>
          <w:spacing w:val="-1"/>
          <w:w w:val="110"/>
        </w:rPr>
        <w:t xml:space="preserve"> </w:t>
      </w:r>
      <w:r w:rsidRPr="00FD40B8">
        <w:rPr>
          <w:color w:val="131727" w:themeColor="text1"/>
          <w:w w:val="110"/>
        </w:rPr>
        <w:t>a</w:t>
      </w:r>
      <w:r w:rsidRPr="00FD40B8">
        <w:rPr>
          <w:color w:val="131727" w:themeColor="text1"/>
          <w:spacing w:val="-6"/>
          <w:w w:val="110"/>
        </w:rPr>
        <w:t xml:space="preserve"> </w:t>
      </w:r>
      <w:r w:rsidRPr="00FD40B8">
        <w:rPr>
          <w:color w:val="131727" w:themeColor="text1"/>
          <w:w w:val="110"/>
        </w:rPr>
        <w:t>2022</w:t>
      </w:r>
      <w:r w:rsidRPr="00FD40B8">
        <w:rPr>
          <w:color w:val="131727" w:themeColor="text1"/>
          <w:spacing w:val="-4"/>
          <w:w w:val="110"/>
        </w:rPr>
        <w:t xml:space="preserve"> </w:t>
      </w:r>
      <w:r w:rsidRPr="00FD40B8">
        <w:rPr>
          <w:color w:val="131727" w:themeColor="text1"/>
          <w:w w:val="110"/>
        </w:rPr>
        <w:t>Productivity</w:t>
      </w:r>
      <w:r w:rsidRPr="00FD40B8">
        <w:rPr>
          <w:color w:val="131727" w:themeColor="text1"/>
          <w:spacing w:val="-7"/>
          <w:w w:val="110"/>
        </w:rPr>
        <w:t xml:space="preserve"> </w:t>
      </w:r>
      <w:r w:rsidRPr="00FD40B8">
        <w:rPr>
          <w:color w:val="131727" w:themeColor="text1"/>
          <w:w w:val="110"/>
        </w:rPr>
        <w:t>Commission review</w:t>
      </w:r>
      <w:hyperlink w:anchor="_bookmark79" w:history="1">
        <w:r w:rsidRPr="00FD40B8">
          <w:rPr>
            <w:color w:val="131727" w:themeColor="text1"/>
            <w:w w:val="110"/>
            <w:position w:val="8"/>
            <w:sz w:val="13"/>
          </w:rPr>
          <w:t>68</w:t>
        </w:r>
      </w:hyperlink>
      <w:r w:rsidRPr="00FD40B8">
        <w:rPr>
          <w:color w:val="131727" w:themeColor="text1"/>
          <w:spacing w:val="15"/>
          <w:w w:val="110"/>
          <w:position w:val="8"/>
          <w:sz w:val="13"/>
        </w:rPr>
        <w:t xml:space="preserve"> </w:t>
      </w:r>
      <w:r w:rsidRPr="00FD40B8">
        <w:rPr>
          <w:color w:val="131727" w:themeColor="text1"/>
          <w:w w:val="110"/>
        </w:rPr>
        <w:t>of the</w:t>
      </w:r>
      <w:r w:rsidRPr="00FD40B8">
        <w:rPr>
          <w:color w:val="131727" w:themeColor="text1"/>
          <w:spacing w:val="-1"/>
          <w:w w:val="110"/>
        </w:rPr>
        <w:t xml:space="preserve"> </w:t>
      </w:r>
      <w:r w:rsidRPr="00FD40B8">
        <w:rPr>
          <w:color w:val="131727" w:themeColor="text1"/>
          <w:w w:val="110"/>
        </w:rPr>
        <w:t>NHHA</w:t>
      </w:r>
      <w:r w:rsidRPr="00FD40B8">
        <w:rPr>
          <w:color w:val="131727" w:themeColor="text1"/>
          <w:spacing w:val="-2"/>
          <w:w w:val="110"/>
        </w:rPr>
        <w:t xml:space="preserve"> </w:t>
      </w:r>
      <w:r w:rsidRPr="00FD40B8">
        <w:rPr>
          <w:color w:val="131727" w:themeColor="text1"/>
          <w:w w:val="110"/>
        </w:rPr>
        <w:t>found</w:t>
      </w:r>
      <w:r w:rsidRPr="00FD40B8">
        <w:rPr>
          <w:color w:val="131727" w:themeColor="text1"/>
          <w:spacing w:val="-1"/>
          <w:w w:val="110"/>
        </w:rPr>
        <w:t xml:space="preserve"> </w:t>
      </w:r>
      <w:r w:rsidRPr="00FD40B8">
        <w:rPr>
          <w:color w:val="131727" w:themeColor="text1"/>
          <w:w w:val="110"/>
        </w:rPr>
        <w:t>that,</w:t>
      </w:r>
      <w:r w:rsidRPr="00FD40B8">
        <w:rPr>
          <w:color w:val="131727" w:themeColor="text1"/>
          <w:spacing w:val="-1"/>
          <w:w w:val="110"/>
        </w:rPr>
        <w:t xml:space="preserve"> </w:t>
      </w:r>
      <w:r w:rsidRPr="00FD40B8">
        <w:rPr>
          <w:color w:val="131727" w:themeColor="text1"/>
          <w:w w:val="110"/>
        </w:rPr>
        <w:t>while</w:t>
      </w:r>
      <w:r w:rsidRPr="00FD40B8">
        <w:rPr>
          <w:color w:val="131727" w:themeColor="text1"/>
          <w:spacing w:val="-5"/>
          <w:w w:val="110"/>
        </w:rPr>
        <w:t xml:space="preserve"> </w:t>
      </w:r>
      <w:r w:rsidRPr="00FD40B8">
        <w:rPr>
          <w:color w:val="131727" w:themeColor="text1"/>
          <w:w w:val="110"/>
        </w:rPr>
        <w:t>it</w:t>
      </w:r>
      <w:r w:rsidRPr="00FD40B8">
        <w:rPr>
          <w:color w:val="131727" w:themeColor="text1"/>
          <w:spacing w:val="-5"/>
          <w:w w:val="110"/>
        </w:rPr>
        <w:t xml:space="preserve"> </w:t>
      </w:r>
      <w:r w:rsidRPr="00FD40B8">
        <w:rPr>
          <w:color w:val="131727" w:themeColor="text1"/>
          <w:w w:val="110"/>
        </w:rPr>
        <w:t>sets out</w:t>
      </w:r>
      <w:r w:rsidRPr="00FD40B8">
        <w:rPr>
          <w:color w:val="131727" w:themeColor="text1"/>
          <w:spacing w:val="-1"/>
          <w:w w:val="110"/>
        </w:rPr>
        <w:t xml:space="preserve"> </w:t>
      </w:r>
      <w:r w:rsidRPr="00FD40B8">
        <w:rPr>
          <w:color w:val="131727" w:themeColor="text1"/>
          <w:w w:val="110"/>
        </w:rPr>
        <w:t>a</w:t>
      </w:r>
      <w:r w:rsidRPr="00FD40B8">
        <w:rPr>
          <w:color w:val="131727" w:themeColor="text1"/>
          <w:spacing w:val="-6"/>
          <w:w w:val="110"/>
        </w:rPr>
        <w:t xml:space="preserve"> </w:t>
      </w:r>
      <w:r w:rsidRPr="00FD40B8">
        <w:rPr>
          <w:color w:val="131727" w:themeColor="text1"/>
          <w:w w:val="110"/>
        </w:rPr>
        <w:t>series of outcomes and national performance indicators and required annual independent reporting against them,</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Productivity</w:t>
      </w:r>
      <w:r w:rsidRPr="00FD40B8">
        <w:rPr>
          <w:color w:val="131727" w:themeColor="text1"/>
          <w:spacing w:val="-3"/>
          <w:w w:val="110"/>
        </w:rPr>
        <w:t xml:space="preserve"> </w:t>
      </w:r>
      <w:r w:rsidRPr="00FD40B8">
        <w:rPr>
          <w:color w:val="131727" w:themeColor="text1"/>
          <w:w w:val="110"/>
        </w:rPr>
        <w:t>Commission’s</w:t>
      </w:r>
      <w:r w:rsidRPr="00FD40B8">
        <w:rPr>
          <w:color w:val="131727" w:themeColor="text1"/>
          <w:spacing w:val="-4"/>
          <w:w w:val="110"/>
        </w:rPr>
        <w:t xml:space="preserve"> </w:t>
      </w:r>
      <w:r w:rsidRPr="00FD40B8">
        <w:rPr>
          <w:color w:val="131727" w:themeColor="text1"/>
          <w:w w:val="110"/>
        </w:rPr>
        <w:t>Performance</w:t>
      </w:r>
      <w:r w:rsidRPr="00FD40B8">
        <w:rPr>
          <w:color w:val="131727" w:themeColor="text1"/>
          <w:spacing w:val="-6"/>
          <w:w w:val="110"/>
        </w:rPr>
        <w:t xml:space="preserve"> </w:t>
      </w:r>
      <w:r w:rsidRPr="00FD40B8">
        <w:rPr>
          <w:color w:val="131727" w:themeColor="text1"/>
          <w:w w:val="110"/>
        </w:rPr>
        <w:t>Reporting</w:t>
      </w:r>
      <w:r w:rsidRPr="00FD40B8">
        <w:rPr>
          <w:color w:val="131727" w:themeColor="text1"/>
          <w:spacing w:val="-2"/>
          <w:w w:val="110"/>
        </w:rPr>
        <w:t xml:space="preserve"> </w:t>
      </w:r>
      <w:r w:rsidRPr="00FD40B8">
        <w:rPr>
          <w:color w:val="131727" w:themeColor="text1"/>
          <w:w w:val="110"/>
        </w:rPr>
        <w:t>Dashboard is</w:t>
      </w:r>
      <w:r w:rsidRPr="00FD40B8">
        <w:rPr>
          <w:color w:val="131727" w:themeColor="text1"/>
          <w:spacing w:val="-4"/>
          <w:w w:val="110"/>
        </w:rPr>
        <w:t xml:space="preserve"> </w:t>
      </w:r>
      <w:r w:rsidRPr="00FD40B8">
        <w:rPr>
          <w:color w:val="131727" w:themeColor="text1"/>
          <w:w w:val="110"/>
        </w:rPr>
        <w:t>only</w:t>
      </w:r>
      <w:r w:rsidRPr="00FD40B8">
        <w:rPr>
          <w:color w:val="131727" w:themeColor="text1"/>
          <w:spacing w:val="-3"/>
          <w:w w:val="110"/>
        </w:rPr>
        <w:t xml:space="preserve"> </w:t>
      </w:r>
      <w:r w:rsidRPr="00FD40B8">
        <w:rPr>
          <w:color w:val="131727" w:themeColor="text1"/>
          <w:w w:val="110"/>
        </w:rPr>
        <w:t>able</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report</w:t>
      </w:r>
      <w:r w:rsidRPr="00FD40B8">
        <w:rPr>
          <w:color w:val="131727" w:themeColor="text1"/>
          <w:spacing w:val="-2"/>
          <w:w w:val="110"/>
        </w:rPr>
        <w:t xml:space="preserve"> </w:t>
      </w:r>
      <w:r w:rsidRPr="00FD40B8">
        <w:rPr>
          <w:color w:val="131727" w:themeColor="text1"/>
          <w:w w:val="110"/>
        </w:rPr>
        <w:t>on</w:t>
      </w:r>
      <w:r w:rsidRPr="00FD40B8">
        <w:rPr>
          <w:color w:val="131727" w:themeColor="text1"/>
          <w:spacing w:val="-1"/>
          <w:w w:val="110"/>
        </w:rPr>
        <w:t xml:space="preserve"> </w:t>
      </w:r>
      <w:r w:rsidRPr="00FD40B8">
        <w:rPr>
          <w:color w:val="131727" w:themeColor="text1"/>
          <w:w w:val="110"/>
        </w:rPr>
        <w:t>4</w:t>
      </w:r>
      <w:r w:rsidRPr="00FD40B8">
        <w:rPr>
          <w:color w:val="131727" w:themeColor="text1"/>
          <w:spacing w:val="-5"/>
          <w:w w:val="110"/>
        </w:rPr>
        <w:t xml:space="preserve"> </w:t>
      </w:r>
      <w:r w:rsidRPr="00FD40B8">
        <w:rPr>
          <w:color w:val="131727" w:themeColor="text1"/>
          <w:w w:val="110"/>
        </w:rPr>
        <w:t>of its 14 indicators:</w:t>
      </w:r>
    </w:p>
    <w:p w14:paraId="664E0D6B" w14:textId="77777777" w:rsidR="00811887" w:rsidRPr="00FD40B8" w:rsidRDefault="00811887" w:rsidP="00811887">
      <w:pPr>
        <w:pStyle w:val="ListParagraph"/>
        <w:widowControl w:val="0"/>
        <w:numPr>
          <w:ilvl w:val="0"/>
          <w:numId w:val="63"/>
        </w:numPr>
        <w:tabs>
          <w:tab w:val="left" w:pos="1228"/>
        </w:tabs>
        <w:autoSpaceDE w:val="0"/>
        <w:autoSpaceDN w:val="0"/>
        <w:spacing w:before="106" w:after="0"/>
        <w:ind w:hanging="360"/>
        <w:contextualSpacing w:val="0"/>
        <w:rPr>
          <w:color w:val="131727" w:themeColor="text1"/>
          <w:sz w:val="20"/>
        </w:rPr>
      </w:pP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number</w:t>
      </w:r>
      <w:r w:rsidRPr="00FD40B8">
        <w:rPr>
          <w:color w:val="131727" w:themeColor="text1"/>
          <w:spacing w:val="-3"/>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people</w:t>
      </w:r>
      <w:r w:rsidRPr="00FD40B8">
        <w:rPr>
          <w:color w:val="131727" w:themeColor="text1"/>
          <w:spacing w:val="-2"/>
          <w:w w:val="110"/>
          <w:sz w:val="20"/>
        </w:rPr>
        <w:t xml:space="preserve"> </w:t>
      </w:r>
      <w:r w:rsidRPr="00FD40B8">
        <w:rPr>
          <w:color w:val="131727" w:themeColor="text1"/>
          <w:w w:val="110"/>
          <w:sz w:val="20"/>
        </w:rPr>
        <w:t>experiencing</w:t>
      </w:r>
      <w:r w:rsidRPr="00FD40B8">
        <w:rPr>
          <w:color w:val="131727" w:themeColor="text1"/>
          <w:spacing w:val="2"/>
          <w:w w:val="110"/>
          <w:sz w:val="20"/>
        </w:rPr>
        <w:t xml:space="preserve"> </w:t>
      </w:r>
      <w:r w:rsidRPr="00FD40B8">
        <w:rPr>
          <w:color w:val="131727" w:themeColor="text1"/>
          <w:spacing w:val="-2"/>
          <w:w w:val="110"/>
          <w:sz w:val="20"/>
        </w:rPr>
        <w:t>homelessness</w:t>
      </w:r>
    </w:p>
    <w:p w14:paraId="5B65A766" w14:textId="77777777" w:rsidR="00811887" w:rsidRPr="00FD40B8" w:rsidRDefault="00811887" w:rsidP="00811887">
      <w:pPr>
        <w:pStyle w:val="ListParagraph"/>
        <w:widowControl w:val="0"/>
        <w:numPr>
          <w:ilvl w:val="0"/>
          <w:numId w:val="63"/>
        </w:numPr>
        <w:tabs>
          <w:tab w:val="left" w:pos="1228"/>
        </w:tabs>
        <w:autoSpaceDE w:val="0"/>
        <w:autoSpaceDN w:val="0"/>
        <w:spacing w:before="139" w:after="0" w:line="268" w:lineRule="auto"/>
        <w:ind w:right="958"/>
        <w:contextualSpacing w:val="0"/>
        <w:rPr>
          <w:color w:val="131727" w:themeColor="text1"/>
          <w:sz w:val="20"/>
        </w:rPr>
      </w:pP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proportion</w:t>
      </w:r>
      <w:r w:rsidRPr="00FD40B8">
        <w:rPr>
          <w:color w:val="131727" w:themeColor="text1"/>
          <w:spacing w:val="-2"/>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rental</w:t>
      </w:r>
      <w:r w:rsidRPr="00FD40B8">
        <w:rPr>
          <w:color w:val="131727" w:themeColor="text1"/>
          <w:spacing w:val="-6"/>
          <w:w w:val="110"/>
          <w:sz w:val="20"/>
        </w:rPr>
        <w:t xml:space="preserve"> </w:t>
      </w:r>
      <w:r w:rsidRPr="00FD40B8">
        <w:rPr>
          <w:color w:val="131727" w:themeColor="text1"/>
          <w:w w:val="110"/>
          <w:sz w:val="20"/>
        </w:rPr>
        <w:t>households</w:t>
      </w:r>
      <w:r w:rsidRPr="00FD40B8">
        <w:rPr>
          <w:color w:val="131727" w:themeColor="text1"/>
          <w:spacing w:val="-1"/>
          <w:w w:val="110"/>
          <w:sz w:val="20"/>
        </w:rPr>
        <w:t xml:space="preserve"> </w:t>
      </w:r>
      <w:r w:rsidRPr="00FD40B8">
        <w:rPr>
          <w:color w:val="131727" w:themeColor="text1"/>
          <w:w w:val="110"/>
          <w:sz w:val="20"/>
        </w:rPr>
        <w:t>with</w:t>
      </w:r>
      <w:r w:rsidRPr="00FD40B8">
        <w:rPr>
          <w:color w:val="131727" w:themeColor="text1"/>
          <w:spacing w:val="-2"/>
          <w:w w:val="110"/>
          <w:sz w:val="20"/>
        </w:rPr>
        <w:t xml:space="preserve"> </w:t>
      </w:r>
      <w:r w:rsidRPr="00FD40B8">
        <w:rPr>
          <w:color w:val="131727" w:themeColor="text1"/>
          <w:w w:val="110"/>
          <w:sz w:val="20"/>
        </w:rPr>
        <w:t>household</w:t>
      </w:r>
      <w:r w:rsidRPr="00FD40B8">
        <w:rPr>
          <w:color w:val="131727" w:themeColor="text1"/>
          <w:spacing w:val="-8"/>
          <w:w w:val="110"/>
          <w:sz w:val="20"/>
        </w:rPr>
        <w:t xml:space="preserve"> </w:t>
      </w:r>
      <w:r w:rsidRPr="00FD40B8">
        <w:rPr>
          <w:color w:val="131727" w:themeColor="text1"/>
          <w:w w:val="110"/>
          <w:sz w:val="20"/>
        </w:rPr>
        <w:t>income</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7"/>
          <w:w w:val="110"/>
          <w:sz w:val="20"/>
        </w:rPr>
        <w:t xml:space="preserve"> </w:t>
      </w:r>
      <w:r w:rsidRPr="00FD40B8">
        <w:rPr>
          <w:color w:val="131727" w:themeColor="text1"/>
          <w:w w:val="110"/>
          <w:sz w:val="20"/>
        </w:rPr>
        <w:t>the</w:t>
      </w:r>
      <w:r w:rsidRPr="00FD40B8">
        <w:rPr>
          <w:color w:val="131727" w:themeColor="text1"/>
          <w:spacing w:val="-8"/>
          <w:w w:val="110"/>
          <w:sz w:val="20"/>
        </w:rPr>
        <w:t xml:space="preserve"> </w:t>
      </w:r>
      <w:r w:rsidRPr="00FD40B8">
        <w:rPr>
          <w:color w:val="131727" w:themeColor="text1"/>
          <w:w w:val="110"/>
          <w:sz w:val="20"/>
        </w:rPr>
        <w:t>bottom</w:t>
      </w:r>
      <w:r w:rsidRPr="00FD40B8">
        <w:rPr>
          <w:color w:val="131727" w:themeColor="text1"/>
          <w:spacing w:val="-3"/>
          <w:w w:val="110"/>
          <w:sz w:val="20"/>
        </w:rPr>
        <w:t xml:space="preserve"> </w:t>
      </w:r>
      <w:r w:rsidRPr="00FD40B8">
        <w:rPr>
          <w:color w:val="131727" w:themeColor="text1"/>
          <w:w w:val="110"/>
          <w:sz w:val="20"/>
        </w:rPr>
        <w:t>two</w:t>
      </w:r>
      <w:r w:rsidRPr="00FD40B8">
        <w:rPr>
          <w:color w:val="131727" w:themeColor="text1"/>
          <w:spacing w:val="-2"/>
          <w:w w:val="110"/>
          <w:sz w:val="20"/>
        </w:rPr>
        <w:t xml:space="preserve"> </w:t>
      </w:r>
      <w:r w:rsidRPr="00FD40B8">
        <w:rPr>
          <w:color w:val="131727" w:themeColor="text1"/>
          <w:w w:val="110"/>
          <w:sz w:val="20"/>
        </w:rPr>
        <w:t>quintiles</w:t>
      </w:r>
      <w:r w:rsidRPr="00FD40B8">
        <w:rPr>
          <w:color w:val="131727" w:themeColor="text1"/>
          <w:spacing w:val="-6"/>
          <w:w w:val="110"/>
          <w:sz w:val="20"/>
        </w:rPr>
        <w:t xml:space="preserve"> </w:t>
      </w:r>
      <w:r w:rsidRPr="00FD40B8">
        <w:rPr>
          <w:color w:val="131727" w:themeColor="text1"/>
          <w:w w:val="110"/>
          <w:sz w:val="20"/>
        </w:rPr>
        <w:t>that spend more than 30% of their income on rent</w:t>
      </w:r>
    </w:p>
    <w:p w14:paraId="65D3D29D" w14:textId="77777777" w:rsidR="00811887" w:rsidRPr="00FD40B8" w:rsidRDefault="00811887" w:rsidP="00811887">
      <w:pPr>
        <w:pStyle w:val="ListParagraph"/>
        <w:widowControl w:val="0"/>
        <w:numPr>
          <w:ilvl w:val="0"/>
          <w:numId w:val="63"/>
        </w:numPr>
        <w:tabs>
          <w:tab w:val="left" w:pos="1228"/>
        </w:tabs>
        <w:autoSpaceDE w:val="0"/>
        <w:autoSpaceDN w:val="0"/>
        <w:spacing w:before="109" w:after="0"/>
        <w:ind w:hanging="360"/>
        <w:contextualSpacing w:val="0"/>
        <w:rPr>
          <w:color w:val="131727" w:themeColor="text1"/>
          <w:sz w:val="20"/>
        </w:rPr>
      </w:pPr>
      <w:r w:rsidRPr="00FD40B8">
        <w:rPr>
          <w:color w:val="131727" w:themeColor="text1"/>
          <w:w w:val="110"/>
          <w:sz w:val="20"/>
        </w:rPr>
        <w:t>the</w:t>
      </w:r>
      <w:r w:rsidRPr="00FD40B8">
        <w:rPr>
          <w:color w:val="131727" w:themeColor="text1"/>
          <w:spacing w:val="-1"/>
          <w:w w:val="110"/>
          <w:sz w:val="20"/>
        </w:rPr>
        <w:t xml:space="preserve"> </w:t>
      </w:r>
      <w:r w:rsidRPr="00FD40B8">
        <w:rPr>
          <w:color w:val="131727" w:themeColor="text1"/>
          <w:w w:val="110"/>
          <w:sz w:val="20"/>
        </w:rPr>
        <w:t>number</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social</w:t>
      </w:r>
      <w:r w:rsidRPr="00FD40B8">
        <w:rPr>
          <w:color w:val="131727" w:themeColor="text1"/>
          <w:spacing w:val="-3"/>
          <w:w w:val="110"/>
          <w:sz w:val="20"/>
        </w:rPr>
        <w:t xml:space="preserve"> </w:t>
      </w:r>
      <w:r w:rsidRPr="00FD40B8">
        <w:rPr>
          <w:color w:val="131727" w:themeColor="text1"/>
          <w:w w:val="110"/>
          <w:sz w:val="20"/>
        </w:rPr>
        <w:t>housing</w:t>
      </w:r>
      <w:r w:rsidRPr="00FD40B8">
        <w:rPr>
          <w:color w:val="131727" w:themeColor="text1"/>
          <w:spacing w:val="-5"/>
          <w:w w:val="110"/>
          <w:sz w:val="20"/>
        </w:rPr>
        <w:t xml:space="preserve"> </w:t>
      </w:r>
      <w:r w:rsidRPr="00FD40B8">
        <w:rPr>
          <w:color w:val="131727" w:themeColor="text1"/>
          <w:w w:val="110"/>
          <w:sz w:val="20"/>
        </w:rPr>
        <w:t>occupants</w:t>
      </w:r>
      <w:r w:rsidRPr="00FD40B8">
        <w:rPr>
          <w:color w:val="131727" w:themeColor="text1"/>
          <w:spacing w:val="1"/>
          <w:w w:val="110"/>
          <w:sz w:val="20"/>
        </w:rPr>
        <w:t xml:space="preserve"> </w:t>
      </w:r>
      <w:r w:rsidRPr="00FD40B8">
        <w:rPr>
          <w:color w:val="131727" w:themeColor="text1"/>
          <w:w w:val="110"/>
          <w:sz w:val="20"/>
        </w:rPr>
        <w:t>with</w:t>
      </w:r>
      <w:r w:rsidRPr="00FD40B8">
        <w:rPr>
          <w:color w:val="131727" w:themeColor="text1"/>
          <w:spacing w:val="-4"/>
          <w:w w:val="110"/>
          <w:sz w:val="20"/>
        </w:rPr>
        <w:t xml:space="preserve"> </w:t>
      </w:r>
      <w:r w:rsidRPr="00FD40B8">
        <w:rPr>
          <w:color w:val="131727" w:themeColor="text1"/>
          <w:w w:val="110"/>
          <w:sz w:val="20"/>
        </w:rPr>
        <w:t>greatest</w:t>
      </w:r>
      <w:r w:rsidRPr="00FD40B8">
        <w:rPr>
          <w:color w:val="131727" w:themeColor="text1"/>
          <w:spacing w:val="-10"/>
          <w:w w:val="110"/>
          <w:sz w:val="20"/>
        </w:rPr>
        <w:t xml:space="preserve"> </w:t>
      </w:r>
      <w:r w:rsidRPr="00FD40B8">
        <w:rPr>
          <w:color w:val="131727" w:themeColor="text1"/>
          <w:w w:val="110"/>
          <w:sz w:val="20"/>
        </w:rPr>
        <w:t>need as</w:t>
      </w:r>
      <w:r w:rsidRPr="00FD40B8">
        <w:rPr>
          <w:color w:val="131727" w:themeColor="text1"/>
          <w:spacing w:val="2"/>
          <w:w w:val="110"/>
          <w:sz w:val="20"/>
        </w:rPr>
        <w:t xml:space="preserve"> </w:t>
      </w:r>
      <w:r w:rsidRPr="00FD40B8">
        <w:rPr>
          <w:color w:val="131727" w:themeColor="text1"/>
          <w:w w:val="110"/>
          <w:sz w:val="20"/>
        </w:rPr>
        <w:t>a</w:t>
      </w:r>
      <w:r w:rsidRPr="00FD40B8">
        <w:rPr>
          <w:color w:val="131727" w:themeColor="text1"/>
          <w:spacing w:val="-1"/>
          <w:w w:val="110"/>
          <w:sz w:val="20"/>
        </w:rPr>
        <w:t xml:space="preserve"> </w:t>
      </w:r>
      <w:r w:rsidRPr="00FD40B8">
        <w:rPr>
          <w:color w:val="131727" w:themeColor="text1"/>
          <w:w w:val="110"/>
          <w:sz w:val="20"/>
        </w:rPr>
        <w:t>proportion</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all</w:t>
      </w:r>
      <w:r w:rsidRPr="00FD40B8">
        <w:rPr>
          <w:color w:val="131727" w:themeColor="text1"/>
          <w:spacing w:val="-3"/>
          <w:w w:val="110"/>
          <w:sz w:val="20"/>
        </w:rPr>
        <w:t xml:space="preserve"> </w:t>
      </w:r>
      <w:r w:rsidRPr="00FD40B8">
        <w:rPr>
          <w:color w:val="131727" w:themeColor="text1"/>
          <w:w w:val="110"/>
          <w:sz w:val="20"/>
        </w:rPr>
        <w:t>new</w:t>
      </w:r>
      <w:r w:rsidRPr="00FD40B8">
        <w:rPr>
          <w:color w:val="131727" w:themeColor="text1"/>
          <w:spacing w:val="-2"/>
          <w:w w:val="110"/>
          <w:sz w:val="20"/>
        </w:rPr>
        <w:t xml:space="preserve"> allocations</w:t>
      </w:r>
    </w:p>
    <w:p w14:paraId="0A43B3B8" w14:textId="77777777" w:rsidR="00811887" w:rsidRPr="00FD40B8" w:rsidRDefault="00811887" w:rsidP="00811887">
      <w:pPr>
        <w:pStyle w:val="ListParagraph"/>
        <w:widowControl w:val="0"/>
        <w:numPr>
          <w:ilvl w:val="0"/>
          <w:numId w:val="63"/>
        </w:numPr>
        <w:tabs>
          <w:tab w:val="left" w:pos="1228"/>
        </w:tabs>
        <w:autoSpaceDE w:val="0"/>
        <w:autoSpaceDN w:val="0"/>
        <w:spacing w:before="135" w:after="0"/>
        <w:ind w:hanging="360"/>
        <w:contextualSpacing w:val="0"/>
        <w:rPr>
          <w:color w:val="131727" w:themeColor="text1"/>
          <w:sz w:val="20"/>
        </w:rPr>
      </w:pPr>
      <w:r w:rsidRPr="00FD40B8">
        <w:rPr>
          <w:color w:val="131727" w:themeColor="text1"/>
          <w:w w:val="110"/>
          <w:sz w:val="20"/>
        </w:rPr>
        <w:t>the</w:t>
      </w:r>
      <w:r w:rsidRPr="00FD40B8">
        <w:rPr>
          <w:color w:val="131727" w:themeColor="text1"/>
          <w:spacing w:val="-3"/>
          <w:w w:val="110"/>
          <w:sz w:val="20"/>
        </w:rPr>
        <w:t xml:space="preserve"> </w:t>
      </w:r>
      <w:r w:rsidRPr="00FD40B8">
        <w:rPr>
          <w:color w:val="131727" w:themeColor="text1"/>
          <w:w w:val="110"/>
          <w:sz w:val="20"/>
        </w:rPr>
        <w:t>proportion</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5"/>
          <w:w w:val="110"/>
          <w:sz w:val="20"/>
        </w:rPr>
        <w:t xml:space="preserve"> </w:t>
      </w:r>
      <w:r w:rsidRPr="00FD40B8">
        <w:rPr>
          <w:color w:val="131727" w:themeColor="text1"/>
          <w:w w:val="110"/>
          <w:sz w:val="20"/>
        </w:rPr>
        <w:t>Indigenous</w:t>
      </w:r>
      <w:r w:rsidRPr="00FD40B8">
        <w:rPr>
          <w:color w:val="131727" w:themeColor="text1"/>
          <w:spacing w:val="-1"/>
          <w:w w:val="110"/>
          <w:sz w:val="20"/>
        </w:rPr>
        <w:t xml:space="preserve"> </w:t>
      </w:r>
      <w:r w:rsidRPr="00FD40B8">
        <w:rPr>
          <w:color w:val="131727" w:themeColor="text1"/>
          <w:w w:val="110"/>
          <w:sz w:val="20"/>
        </w:rPr>
        <w:t>Australians</w:t>
      </w:r>
      <w:r w:rsidRPr="00FD40B8">
        <w:rPr>
          <w:color w:val="131727" w:themeColor="text1"/>
          <w:spacing w:val="-5"/>
          <w:w w:val="110"/>
          <w:sz w:val="20"/>
        </w:rPr>
        <w:t xml:space="preserve"> </w:t>
      </w:r>
      <w:r w:rsidRPr="00FD40B8">
        <w:rPr>
          <w:color w:val="131727" w:themeColor="text1"/>
          <w:w w:val="110"/>
          <w:sz w:val="20"/>
        </w:rPr>
        <w:t>purchasing</w:t>
      </w:r>
      <w:r w:rsidRPr="00FD40B8">
        <w:rPr>
          <w:color w:val="131727" w:themeColor="text1"/>
          <w:spacing w:val="-7"/>
          <w:w w:val="110"/>
          <w:sz w:val="20"/>
        </w:rPr>
        <w:t xml:space="preserve"> </w:t>
      </w:r>
      <w:r w:rsidRPr="00FD40B8">
        <w:rPr>
          <w:color w:val="131727" w:themeColor="text1"/>
          <w:w w:val="110"/>
          <w:sz w:val="20"/>
        </w:rPr>
        <w:t>or</w:t>
      </w:r>
      <w:r w:rsidRPr="00FD40B8">
        <w:rPr>
          <w:color w:val="131727" w:themeColor="text1"/>
          <w:spacing w:val="-4"/>
          <w:w w:val="110"/>
          <w:sz w:val="20"/>
        </w:rPr>
        <w:t xml:space="preserve"> </w:t>
      </w:r>
      <w:r w:rsidRPr="00FD40B8">
        <w:rPr>
          <w:color w:val="131727" w:themeColor="text1"/>
          <w:w w:val="110"/>
          <w:sz w:val="20"/>
        </w:rPr>
        <w:t>owning</w:t>
      </w:r>
      <w:r w:rsidRPr="00FD40B8">
        <w:rPr>
          <w:color w:val="131727" w:themeColor="text1"/>
          <w:spacing w:val="-3"/>
          <w:w w:val="110"/>
          <w:sz w:val="20"/>
        </w:rPr>
        <w:t xml:space="preserve"> </w:t>
      </w:r>
      <w:r w:rsidRPr="00FD40B8">
        <w:rPr>
          <w:color w:val="131727" w:themeColor="text1"/>
          <w:w w:val="110"/>
          <w:sz w:val="20"/>
        </w:rPr>
        <w:t>their</w:t>
      </w:r>
      <w:r w:rsidRPr="00FD40B8">
        <w:rPr>
          <w:color w:val="131727" w:themeColor="text1"/>
          <w:spacing w:val="-7"/>
          <w:w w:val="110"/>
          <w:sz w:val="20"/>
        </w:rPr>
        <w:t xml:space="preserve"> </w:t>
      </w:r>
      <w:r w:rsidRPr="00FD40B8">
        <w:rPr>
          <w:color w:val="131727" w:themeColor="text1"/>
          <w:w w:val="110"/>
          <w:sz w:val="20"/>
        </w:rPr>
        <w:t>own</w:t>
      </w:r>
      <w:r w:rsidRPr="00FD40B8">
        <w:rPr>
          <w:color w:val="131727" w:themeColor="text1"/>
          <w:spacing w:val="-6"/>
          <w:w w:val="110"/>
          <w:sz w:val="20"/>
        </w:rPr>
        <w:t xml:space="preserve"> </w:t>
      </w:r>
      <w:r w:rsidRPr="00FD40B8">
        <w:rPr>
          <w:color w:val="131727" w:themeColor="text1"/>
          <w:spacing w:val="-2"/>
          <w:w w:val="110"/>
          <w:sz w:val="20"/>
        </w:rPr>
        <w:t>home.</w:t>
      </w:r>
    </w:p>
    <w:p w14:paraId="625255C9" w14:textId="77777777" w:rsidR="00811887" w:rsidRPr="00FD40B8" w:rsidRDefault="00811887" w:rsidP="00811887">
      <w:pPr>
        <w:pStyle w:val="BodyText"/>
        <w:spacing w:before="149" w:line="266" w:lineRule="auto"/>
        <w:ind w:left="508" w:right="598"/>
        <w:rPr>
          <w:color w:val="131727" w:themeColor="text1"/>
          <w:sz w:val="13"/>
        </w:rPr>
      </w:pPr>
      <w:r w:rsidRPr="00FD40B8">
        <w:rPr>
          <w:color w:val="131727" w:themeColor="text1"/>
          <w:w w:val="110"/>
        </w:rPr>
        <w:t>Consequently, this</w:t>
      </w:r>
      <w:r w:rsidRPr="00FD40B8">
        <w:rPr>
          <w:color w:val="131727" w:themeColor="text1"/>
          <w:spacing w:val="-3"/>
          <w:w w:val="110"/>
        </w:rPr>
        <w:t xml:space="preserve"> </w:t>
      </w:r>
      <w:r w:rsidRPr="00FD40B8">
        <w:rPr>
          <w:color w:val="131727" w:themeColor="text1"/>
          <w:w w:val="110"/>
        </w:rPr>
        <w:t>provides no additional data</w:t>
      </w:r>
      <w:r w:rsidRPr="00FD40B8">
        <w:rPr>
          <w:color w:val="131727" w:themeColor="text1"/>
          <w:spacing w:val="-6"/>
          <w:w w:val="110"/>
        </w:rPr>
        <w:t xml:space="preserve"> </w:t>
      </w:r>
      <w:r w:rsidRPr="00FD40B8">
        <w:rPr>
          <w:color w:val="131727" w:themeColor="text1"/>
          <w:w w:val="110"/>
        </w:rPr>
        <w:t>than</w:t>
      </w:r>
      <w:r w:rsidRPr="00FD40B8">
        <w:rPr>
          <w:color w:val="131727" w:themeColor="text1"/>
          <w:spacing w:val="-4"/>
          <w:w w:val="110"/>
        </w:rPr>
        <w:t xml:space="preserve"> </w:t>
      </w:r>
      <w:r w:rsidRPr="00FD40B8">
        <w:rPr>
          <w:color w:val="131727" w:themeColor="text1"/>
          <w:w w:val="110"/>
        </w:rPr>
        <w:t>what is already</w:t>
      </w:r>
      <w:r w:rsidRPr="00FD40B8">
        <w:rPr>
          <w:color w:val="131727" w:themeColor="text1"/>
          <w:spacing w:val="-6"/>
          <w:w w:val="110"/>
        </w:rPr>
        <w:t xml:space="preserve"> </w:t>
      </w:r>
      <w:r w:rsidRPr="00FD40B8">
        <w:rPr>
          <w:color w:val="131727" w:themeColor="text1"/>
          <w:w w:val="110"/>
        </w:rPr>
        <w:t>provided</w:t>
      </w:r>
      <w:r w:rsidRPr="00FD40B8">
        <w:rPr>
          <w:color w:val="131727" w:themeColor="text1"/>
          <w:spacing w:val="-5"/>
          <w:w w:val="110"/>
        </w:rPr>
        <w:t xml:space="preserve"> </w:t>
      </w:r>
      <w:r w:rsidRPr="00FD40B8">
        <w:rPr>
          <w:color w:val="131727" w:themeColor="text1"/>
          <w:w w:val="110"/>
        </w:rPr>
        <w:t>in</w:t>
      </w:r>
      <w:r w:rsidRPr="00FD40B8">
        <w:rPr>
          <w:color w:val="131727" w:themeColor="text1"/>
          <w:spacing w:val="-4"/>
          <w:w w:val="110"/>
        </w:rPr>
        <w:t xml:space="preserve"> </w:t>
      </w:r>
      <w:r w:rsidRPr="00FD40B8">
        <w:rPr>
          <w:color w:val="131727" w:themeColor="text1"/>
          <w:w w:val="110"/>
        </w:rPr>
        <w:t>the Census or</w:t>
      </w:r>
      <w:r w:rsidRPr="00FD40B8">
        <w:rPr>
          <w:color w:val="131727" w:themeColor="text1"/>
          <w:spacing w:val="-6"/>
          <w:w w:val="110"/>
        </w:rPr>
        <w:t xml:space="preserve"> </w:t>
      </w:r>
      <w:r w:rsidRPr="00FD40B8">
        <w:rPr>
          <w:color w:val="131727" w:themeColor="text1"/>
          <w:w w:val="110"/>
        </w:rPr>
        <w:t>other</w:t>
      </w:r>
      <w:r w:rsidRPr="00FD40B8">
        <w:rPr>
          <w:color w:val="131727" w:themeColor="text1"/>
          <w:spacing w:val="-2"/>
          <w:w w:val="110"/>
        </w:rPr>
        <w:t xml:space="preserve"> </w:t>
      </w:r>
      <w:r w:rsidRPr="00FD40B8">
        <w:rPr>
          <w:color w:val="131727" w:themeColor="text1"/>
          <w:w w:val="110"/>
        </w:rPr>
        <w:t>data sources (other than state expenditure on Aboriginal and Torres Strait Islander housing as per the Statements of Expenditure). The PC concludes that “the NHHA performance framework is not sufficient to hold governments to account on their contribution to improving access to affordable, safe and sustainable housing across the housing spectrum. The performance indicators are not comprehensive, and some are ambiguous, and reporting is incomplete”. The PC goes further to say that the statements of assurance required by state and territory governments do not provide much useful information for understanding expenditure on housing across jurisdictions and do not support analysis of the full costs</w:t>
      </w:r>
      <w:r w:rsidRPr="00FD40B8">
        <w:rPr>
          <w:color w:val="131727" w:themeColor="text1"/>
          <w:spacing w:val="40"/>
          <w:w w:val="110"/>
        </w:rPr>
        <w:t xml:space="preserve"> </w:t>
      </w:r>
      <w:r w:rsidRPr="00FD40B8">
        <w:rPr>
          <w:color w:val="131727" w:themeColor="text1"/>
          <w:w w:val="110"/>
        </w:rPr>
        <w:t>of providing housing assistance.</w:t>
      </w:r>
      <w:hyperlink w:anchor="_bookmark80" w:history="1">
        <w:r w:rsidRPr="00FD40B8">
          <w:rPr>
            <w:color w:val="131727" w:themeColor="text1"/>
            <w:w w:val="110"/>
            <w:position w:val="8"/>
            <w:sz w:val="13"/>
          </w:rPr>
          <w:t>69</w:t>
        </w:r>
      </w:hyperlink>
    </w:p>
    <w:p w14:paraId="0BB1E5DA" w14:textId="77777777" w:rsidR="00811887" w:rsidRPr="00FD40B8" w:rsidRDefault="00811887" w:rsidP="00811887">
      <w:pPr>
        <w:pStyle w:val="BodyText"/>
        <w:spacing w:before="121" w:line="266" w:lineRule="auto"/>
        <w:ind w:left="508" w:right="598"/>
        <w:rPr>
          <w:color w:val="131727" w:themeColor="text1"/>
          <w:sz w:val="13"/>
        </w:rPr>
      </w:pPr>
      <w:r w:rsidRPr="00FD40B8">
        <w:rPr>
          <w:color w:val="131727" w:themeColor="text1"/>
          <w:spacing w:val="-2"/>
          <w:w w:val="110"/>
        </w:rPr>
        <w:t>The</w:t>
      </w:r>
      <w:r w:rsidRPr="00FD40B8">
        <w:rPr>
          <w:color w:val="131727" w:themeColor="text1"/>
          <w:spacing w:val="-9"/>
          <w:w w:val="110"/>
        </w:rPr>
        <w:t xml:space="preserve"> </w:t>
      </w:r>
      <w:r w:rsidRPr="00FD40B8">
        <w:rPr>
          <w:i/>
          <w:color w:val="131727" w:themeColor="text1"/>
          <w:spacing w:val="-2"/>
          <w:w w:val="110"/>
        </w:rPr>
        <w:t>National</w:t>
      </w:r>
      <w:r w:rsidRPr="00FD40B8">
        <w:rPr>
          <w:i/>
          <w:color w:val="131727" w:themeColor="text1"/>
          <w:spacing w:val="-4"/>
          <w:w w:val="110"/>
        </w:rPr>
        <w:t xml:space="preserve"> </w:t>
      </w:r>
      <w:r w:rsidRPr="00FD40B8">
        <w:rPr>
          <w:i/>
          <w:color w:val="131727" w:themeColor="text1"/>
          <w:spacing w:val="-2"/>
          <w:w w:val="110"/>
        </w:rPr>
        <w:t>Agreement</w:t>
      </w:r>
      <w:r w:rsidRPr="00FD40B8">
        <w:rPr>
          <w:i/>
          <w:color w:val="131727" w:themeColor="text1"/>
          <w:spacing w:val="-4"/>
          <w:w w:val="110"/>
        </w:rPr>
        <w:t xml:space="preserve"> </w:t>
      </w:r>
      <w:r w:rsidRPr="00FD40B8">
        <w:rPr>
          <w:i/>
          <w:color w:val="131727" w:themeColor="text1"/>
          <w:spacing w:val="-2"/>
          <w:w w:val="110"/>
        </w:rPr>
        <w:t>on</w:t>
      </w:r>
      <w:r w:rsidRPr="00FD40B8">
        <w:rPr>
          <w:i/>
          <w:color w:val="131727" w:themeColor="text1"/>
          <w:spacing w:val="-11"/>
          <w:w w:val="110"/>
        </w:rPr>
        <w:t xml:space="preserve"> </w:t>
      </w:r>
      <w:r w:rsidRPr="00FD40B8">
        <w:rPr>
          <w:i/>
          <w:color w:val="131727" w:themeColor="text1"/>
          <w:spacing w:val="-2"/>
          <w:w w:val="110"/>
        </w:rPr>
        <w:t>Remote</w:t>
      </w:r>
      <w:r w:rsidRPr="00FD40B8">
        <w:rPr>
          <w:i/>
          <w:color w:val="131727" w:themeColor="text1"/>
          <w:spacing w:val="-4"/>
          <w:w w:val="110"/>
        </w:rPr>
        <w:t xml:space="preserve"> </w:t>
      </w:r>
      <w:r w:rsidRPr="00FD40B8">
        <w:rPr>
          <w:i/>
          <w:color w:val="131727" w:themeColor="text1"/>
          <w:spacing w:val="-2"/>
          <w:w w:val="110"/>
        </w:rPr>
        <w:t>Housing</w:t>
      </w:r>
      <w:r w:rsidRPr="00FD40B8">
        <w:rPr>
          <w:i/>
          <w:color w:val="131727" w:themeColor="text1"/>
          <w:spacing w:val="-6"/>
          <w:w w:val="110"/>
        </w:rPr>
        <w:t xml:space="preserve"> </w:t>
      </w:r>
      <w:r w:rsidRPr="00FD40B8">
        <w:rPr>
          <w:i/>
          <w:color w:val="131727" w:themeColor="text1"/>
          <w:spacing w:val="-2"/>
          <w:w w:val="110"/>
        </w:rPr>
        <w:t>Northern</w:t>
      </w:r>
      <w:r w:rsidRPr="00FD40B8">
        <w:rPr>
          <w:i/>
          <w:color w:val="131727" w:themeColor="text1"/>
          <w:spacing w:val="-6"/>
          <w:w w:val="110"/>
        </w:rPr>
        <w:t xml:space="preserve"> </w:t>
      </w:r>
      <w:r w:rsidRPr="00FD40B8">
        <w:rPr>
          <w:i/>
          <w:color w:val="131727" w:themeColor="text1"/>
          <w:spacing w:val="-2"/>
          <w:w w:val="110"/>
        </w:rPr>
        <w:t xml:space="preserve">Territory </w:t>
      </w:r>
      <w:r w:rsidRPr="00FD40B8">
        <w:rPr>
          <w:color w:val="131727" w:themeColor="text1"/>
          <w:spacing w:val="-2"/>
          <w:w w:val="110"/>
        </w:rPr>
        <w:t>(NARHNT)</w:t>
      </w:r>
      <w:r w:rsidRPr="00FD40B8">
        <w:rPr>
          <w:color w:val="131727" w:themeColor="text1"/>
          <w:spacing w:val="-6"/>
          <w:w w:val="110"/>
        </w:rPr>
        <w:t xml:space="preserve"> </w:t>
      </w:r>
      <w:r w:rsidRPr="00FD40B8">
        <w:rPr>
          <w:color w:val="131727" w:themeColor="text1"/>
          <w:spacing w:val="-2"/>
          <w:w w:val="110"/>
        </w:rPr>
        <w:t>draws</w:t>
      </w:r>
      <w:r w:rsidRPr="00FD40B8">
        <w:rPr>
          <w:color w:val="131727" w:themeColor="text1"/>
          <w:spacing w:val="-7"/>
          <w:w w:val="110"/>
        </w:rPr>
        <w:t xml:space="preserve"> </w:t>
      </w:r>
      <w:r w:rsidRPr="00FD40B8">
        <w:rPr>
          <w:color w:val="131727" w:themeColor="text1"/>
          <w:spacing w:val="-2"/>
          <w:w w:val="110"/>
        </w:rPr>
        <w:t>its</w:t>
      </w:r>
      <w:r w:rsidRPr="00FD40B8">
        <w:rPr>
          <w:color w:val="131727" w:themeColor="text1"/>
          <w:spacing w:val="-6"/>
          <w:w w:val="110"/>
        </w:rPr>
        <w:t xml:space="preserve"> </w:t>
      </w:r>
      <w:r w:rsidRPr="00FD40B8">
        <w:rPr>
          <w:color w:val="131727" w:themeColor="text1"/>
          <w:spacing w:val="-2"/>
          <w:w w:val="110"/>
        </w:rPr>
        <w:t>reporting</w:t>
      </w:r>
      <w:r w:rsidRPr="00FD40B8">
        <w:rPr>
          <w:color w:val="131727" w:themeColor="text1"/>
          <w:spacing w:val="-9"/>
          <w:w w:val="110"/>
        </w:rPr>
        <w:t xml:space="preserve"> </w:t>
      </w:r>
      <w:r w:rsidRPr="00FD40B8">
        <w:rPr>
          <w:color w:val="131727" w:themeColor="text1"/>
          <w:spacing w:val="-2"/>
          <w:w w:val="110"/>
        </w:rPr>
        <w:t xml:space="preserve">framework </w:t>
      </w:r>
      <w:r w:rsidRPr="00FD40B8">
        <w:rPr>
          <w:color w:val="131727" w:themeColor="text1"/>
          <w:w w:val="110"/>
        </w:rPr>
        <w:t>from the Northern Territory Government’s ‘Our Community. Our Future. Our Homes’ program and the Northern Territory government is responsible the provision of public reporting under the Agreement. However, on review,</w:t>
      </w:r>
      <w:r w:rsidRPr="00FD40B8">
        <w:rPr>
          <w:color w:val="131727" w:themeColor="text1"/>
          <w:spacing w:val="-1"/>
          <w:w w:val="110"/>
        </w:rPr>
        <w:t xml:space="preserve"> </w:t>
      </w:r>
      <w:r w:rsidRPr="00FD40B8">
        <w:rPr>
          <w:color w:val="131727" w:themeColor="text1"/>
          <w:w w:val="110"/>
        </w:rPr>
        <w:t>much of what was agreed to be reported publicly</w:t>
      </w:r>
      <w:r w:rsidRPr="00FD40B8">
        <w:rPr>
          <w:color w:val="131727" w:themeColor="text1"/>
          <w:spacing w:val="-1"/>
          <w:w w:val="110"/>
        </w:rPr>
        <w:t xml:space="preserve"> </w:t>
      </w:r>
      <w:r w:rsidRPr="00FD40B8">
        <w:rPr>
          <w:color w:val="131727" w:themeColor="text1"/>
          <w:w w:val="110"/>
        </w:rPr>
        <w:t>is not</w:t>
      </w:r>
      <w:r w:rsidRPr="00FD40B8">
        <w:rPr>
          <w:color w:val="131727" w:themeColor="text1"/>
          <w:spacing w:val="-1"/>
          <w:w w:val="110"/>
        </w:rPr>
        <w:t xml:space="preserve"> </w:t>
      </w:r>
      <w:r w:rsidRPr="00FD40B8">
        <w:rPr>
          <w:color w:val="131727" w:themeColor="text1"/>
          <w:w w:val="110"/>
        </w:rPr>
        <w:t>available</w:t>
      </w:r>
      <w:r w:rsidRPr="00FD40B8">
        <w:rPr>
          <w:color w:val="131727" w:themeColor="text1"/>
          <w:spacing w:val="-1"/>
          <w:w w:val="110"/>
        </w:rPr>
        <w:t xml:space="preserve"> </w:t>
      </w:r>
      <w:r w:rsidRPr="00FD40B8">
        <w:rPr>
          <w:color w:val="131727" w:themeColor="text1"/>
          <w:w w:val="110"/>
        </w:rPr>
        <w:t>and the website contains caveats around</w:t>
      </w:r>
      <w:r w:rsidRPr="00FD40B8">
        <w:rPr>
          <w:color w:val="131727" w:themeColor="text1"/>
          <w:spacing w:val="-7"/>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definitions</w:t>
      </w:r>
      <w:r w:rsidRPr="00FD40B8">
        <w:rPr>
          <w:color w:val="131727" w:themeColor="text1"/>
          <w:spacing w:val="-5"/>
          <w:w w:val="110"/>
        </w:rPr>
        <w:t xml:space="preserve"> </w:t>
      </w:r>
      <w:r w:rsidRPr="00FD40B8">
        <w:rPr>
          <w:color w:val="131727" w:themeColor="text1"/>
          <w:w w:val="110"/>
        </w:rPr>
        <w:t>including</w:t>
      </w:r>
      <w:r w:rsidRPr="00FD40B8">
        <w:rPr>
          <w:color w:val="131727" w:themeColor="text1"/>
          <w:spacing w:val="-2"/>
          <w:w w:val="110"/>
        </w:rPr>
        <w:t xml:space="preserve"> </w:t>
      </w:r>
      <w:r w:rsidRPr="00FD40B8">
        <w:rPr>
          <w:color w:val="131727" w:themeColor="text1"/>
          <w:w w:val="110"/>
        </w:rPr>
        <w:t>timeframes. It</w:t>
      </w:r>
      <w:r w:rsidRPr="00FD40B8">
        <w:rPr>
          <w:color w:val="131727" w:themeColor="text1"/>
          <w:spacing w:val="-7"/>
          <w:w w:val="110"/>
        </w:rPr>
        <w:t xml:space="preserve"> </w:t>
      </w:r>
      <w:r w:rsidRPr="00FD40B8">
        <w:rPr>
          <w:color w:val="131727" w:themeColor="text1"/>
          <w:w w:val="110"/>
        </w:rPr>
        <w:t>is</w:t>
      </w:r>
      <w:r w:rsidRPr="00FD40B8">
        <w:rPr>
          <w:color w:val="131727" w:themeColor="text1"/>
          <w:spacing w:val="-5"/>
          <w:w w:val="110"/>
        </w:rPr>
        <w:t xml:space="preserve"> </w:t>
      </w:r>
      <w:r w:rsidRPr="00FD40B8">
        <w:rPr>
          <w:color w:val="131727" w:themeColor="text1"/>
          <w:w w:val="110"/>
        </w:rPr>
        <w:t>also</w:t>
      </w:r>
      <w:r w:rsidRPr="00FD40B8">
        <w:rPr>
          <w:color w:val="131727" w:themeColor="text1"/>
          <w:spacing w:val="-5"/>
          <w:w w:val="110"/>
        </w:rPr>
        <w:t xml:space="preserve"> </w:t>
      </w:r>
      <w:r w:rsidRPr="00FD40B8">
        <w:rPr>
          <w:color w:val="131727" w:themeColor="text1"/>
          <w:w w:val="110"/>
        </w:rPr>
        <w:t>not</w:t>
      </w:r>
      <w:r w:rsidRPr="00FD40B8">
        <w:rPr>
          <w:color w:val="131727" w:themeColor="text1"/>
          <w:spacing w:val="-2"/>
          <w:w w:val="110"/>
        </w:rPr>
        <w:t xml:space="preserve"> </w:t>
      </w:r>
      <w:r w:rsidRPr="00FD40B8">
        <w:rPr>
          <w:color w:val="131727" w:themeColor="text1"/>
          <w:w w:val="110"/>
        </w:rPr>
        <w:t>possible</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distinguish</w:t>
      </w:r>
      <w:r w:rsidRPr="00FD40B8">
        <w:rPr>
          <w:color w:val="131727" w:themeColor="text1"/>
          <w:spacing w:val="-1"/>
          <w:w w:val="110"/>
        </w:rPr>
        <w:t xml:space="preserve"> </w:t>
      </w:r>
      <w:r w:rsidRPr="00FD40B8">
        <w:rPr>
          <w:color w:val="131727" w:themeColor="text1"/>
          <w:w w:val="110"/>
        </w:rPr>
        <w:t>what has been achieved with the Commonwealth investment compared to the Northern Territory government’s investment and its other programs including for other parts of the Territory</w:t>
      </w:r>
      <w:hyperlink w:anchor="_bookmark81" w:history="1">
        <w:r w:rsidRPr="00FD40B8">
          <w:rPr>
            <w:color w:val="131727" w:themeColor="text1"/>
            <w:w w:val="110"/>
          </w:rPr>
          <w:t>.</w:t>
        </w:r>
        <w:r w:rsidRPr="00FD40B8">
          <w:rPr>
            <w:color w:val="131727" w:themeColor="text1"/>
            <w:w w:val="110"/>
            <w:position w:val="8"/>
            <w:sz w:val="13"/>
          </w:rPr>
          <w:t>70</w:t>
        </w:r>
      </w:hyperlink>
    </w:p>
    <w:p w14:paraId="42CB89E7" w14:textId="77777777" w:rsidR="00811887" w:rsidRPr="00FD40B8" w:rsidRDefault="00811887" w:rsidP="00811887">
      <w:pPr>
        <w:pStyle w:val="BodyText"/>
        <w:spacing w:before="116" w:line="268" w:lineRule="auto"/>
        <w:ind w:left="508" w:right="542"/>
        <w:rPr>
          <w:color w:val="131727" w:themeColor="text1"/>
        </w:rPr>
      </w:pPr>
      <w:r w:rsidRPr="00FD40B8">
        <w:rPr>
          <w:color w:val="131727" w:themeColor="text1"/>
          <w:w w:val="110"/>
        </w:rPr>
        <w:t>A significant loss in the government reporting on Aboriginal and Torres Strait Islander housing</w:t>
      </w:r>
      <w:r w:rsidRPr="00FD40B8">
        <w:rPr>
          <w:color w:val="131727" w:themeColor="text1"/>
          <w:spacing w:val="40"/>
          <w:w w:val="110"/>
        </w:rPr>
        <w:t xml:space="preserve"> </w:t>
      </w:r>
      <w:r w:rsidRPr="00FD40B8">
        <w:rPr>
          <w:color w:val="131727" w:themeColor="text1"/>
          <w:w w:val="110"/>
        </w:rPr>
        <w:t>investment</w:t>
      </w:r>
      <w:r w:rsidRPr="00FD40B8">
        <w:rPr>
          <w:color w:val="131727" w:themeColor="text1"/>
          <w:spacing w:val="-11"/>
          <w:w w:val="110"/>
        </w:rPr>
        <w:t xml:space="preserve"> </w:t>
      </w:r>
      <w:r w:rsidRPr="00FD40B8">
        <w:rPr>
          <w:color w:val="131727" w:themeColor="text1"/>
          <w:w w:val="110"/>
        </w:rPr>
        <w:t>and</w:t>
      </w:r>
      <w:r w:rsidRPr="00FD40B8">
        <w:rPr>
          <w:color w:val="131727" w:themeColor="text1"/>
          <w:spacing w:val="-11"/>
          <w:w w:val="110"/>
        </w:rPr>
        <w:t xml:space="preserve"> </w:t>
      </w:r>
      <w:r w:rsidRPr="00FD40B8">
        <w:rPr>
          <w:color w:val="131727" w:themeColor="text1"/>
          <w:w w:val="110"/>
        </w:rPr>
        <w:t>outcomes</w:t>
      </w:r>
      <w:r w:rsidRPr="00FD40B8">
        <w:rPr>
          <w:color w:val="131727" w:themeColor="text1"/>
          <w:spacing w:val="-6"/>
          <w:w w:val="110"/>
        </w:rPr>
        <w:t xml:space="preserve"> </w:t>
      </w:r>
      <w:r w:rsidRPr="00FD40B8">
        <w:rPr>
          <w:color w:val="131727" w:themeColor="text1"/>
          <w:w w:val="110"/>
        </w:rPr>
        <w:t>was</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cessation</w:t>
      </w:r>
      <w:r w:rsidRPr="00FD40B8">
        <w:rPr>
          <w:color w:val="131727" w:themeColor="text1"/>
          <w:spacing w:val="-10"/>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6"/>
          <w:w w:val="110"/>
        </w:rPr>
        <w:t xml:space="preserve"> </w:t>
      </w:r>
      <w:r w:rsidRPr="00FD40B8">
        <w:rPr>
          <w:i/>
          <w:color w:val="131727" w:themeColor="text1"/>
          <w:w w:val="110"/>
        </w:rPr>
        <w:t>National</w:t>
      </w:r>
      <w:r w:rsidRPr="00FD40B8">
        <w:rPr>
          <w:i/>
          <w:color w:val="131727" w:themeColor="text1"/>
          <w:spacing w:val="-6"/>
          <w:w w:val="110"/>
        </w:rPr>
        <w:t xml:space="preserve"> </w:t>
      </w:r>
      <w:r w:rsidRPr="00FD40B8">
        <w:rPr>
          <w:i/>
          <w:color w:val="131727" w:themeColor="text1"/>
          <w:w w:val="110"/>
        </w:rPr>
        <w:t>Partnership</w:t>
      </w:r>
      <w:r w:rsidRPr="00FD40B8">
        <w:rPr>
          <w:i/>
          <w:color w:val="131727" w:themeColor="text1"/>
          <w:spacing w:val="-5"/>
          <w:w w:val="110"/>
        </w:rPr>
        <w:t xml:space="preserve"> </w:t>
      </w:r>
      <w:r w:rsidRPr="00FD40B8">
        <w:rPr>
          <w:i/>
          <w:color w:val="131727" w:themeColor="text1"/>
          <w:w w:val="110"/>
        </w:rPr>
        <w:t>on</w:t>
      </w:r>
      <w:r w:rsidRPr="00FD40B8">
        <w:rPr>
          <w:i/>
          <w:color w:val="131727" w:themeColor="text1"/>
          <w:spacing w:val="-9"/>
          <w:w w:val="110"/>
        </w:rPr>
        <w:t xml:space="preserve"> </w:t>
      </w:r>
      <w:r w:rsidRPr="00FD40B8">
        <w:rPr>
          <w:i/>
          <w:color w:val="131727" w:themeColor="text1"/>
          <w:w w:val="110"/>
        </w:rPr>
        <w:t>Remote</w:t>
      </w:r>
      <w:r w:rsidRPr="00FD40B8">
        <w:rPr>
          <w:i/>
          <w:color w:val="131727" w:themeColor="text1"/>
          <w:spacing w:val="-7"/>
          <w:w w:val="110"/>
        </w:rPr>
        <w:t xml:space="preserve"> </w:t>
      </w:r>
      <w:r w:rsidRPr="00FD40B8">
        <w:rPr>
          <w:i/>
          <w:color w:val="131727" w:themeColor="text1"/>
          <w:w w:val="110"/>
        </w:rPr>
        <w:t>Indigenous</w:t>
      </w:r>
      <w:r w:rsidRPr="00FD40B8">
        <w:rPr>
          <w:i/>
          <w:color w:val="131727" w:themeColor="text1"/>
          <w:spacing w:val="-7"/>
          <w:w w:val="110"/>
        </w:rPr>
        <w:t xml:space="preserve"> </w:t>
      </w:r>
      <w:r w:rsidRPr="00FD40B8">
        <w:rPr>
          <w:i/>
          <w:color w:val="131727" w:themeColor="text1"/>
          <w:w w:val="110"/>
        </w:rPr>
        <w:t xml:space="preserve">Housing </w:t>
      </w:r>
      <w:r w:rsidRPr="00FD40B8">
        <w:rPr>
          <w:color w:val="131727" w:themeColor="text1"/>
          <w:w w:val="110"/>
        </w:rPr>
        <w:t>(NPARIH)</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its</w:t>
      </w:r>
      <w:r w:rsidRPr="00FD40B8">
        <w:rPr>
          <w:color w:val="131727" w:themeColor="text1"/>
          <w:spacing w:val="-4"/>
          <w:w w:val="110"/>
        </w:rPr>
        <w:t xml:space="preserve"> </w:t>
      </w:r>
      <w:r w:rsidRPr="00FD40B8">
        <w:rPr>
          <w:color w:val="131727" w:themeColor="text1"/>
          <w:w w:val="110"/>
        </w:rPr>
        <w:t>subsequent</w:t>
      </w:r>
      <w:r w:rsidRPr="00FD40B8">
        <w:rPr>
          <w:color w:val="131727" w:themeColor="text1"/>
          <w:spacing w:val="-6"/>
          <w:w w:val="110"/>
        </w:rPr>
        <w:t xml:space="preserve"> </w:t>
      </w:r>
      <w:r w:rsidRPr="00FD40B8">
        <w:rPr>
          <w:color w:val="131727" w:themeColor="text1"/>
          <w:w w:val="110"/>
        </w:rPr>
        <w:t>iterations,</w:t>
      </w:r>
      <w:r w:rsidRPr="00FD40B8">
        <w:rPr>
          <w:color w:val="131727" w:themeColor="text1"/>
          <w:spacing w:val="-2"/>
          <w:w w:val="110"/>
        </w:rPr>
        <w:t xml:space="preserve"> </w:t>
      </w:r>
      <w:r w:rsidRPr="00FD40B8">
        <w:rPr>
          <w:color w:val="131727" w:themeColor="text1"/>
          <w:w w:val="110"/>
        </w:rPr>
        <w:t>ending</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2018.</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NPARIH</w:t>
      </w:r>
      <w:r w:rsidRPr="00FD40B8">
        <w:rPr>
          <w:color w:val="131727" w:themeColor="text1"/>
          <w:spacing w:val="-2"/>
          <w:w w:val="110"/>
        </w:rPr>
        <w:t xml:space="preserve"> </w:t>
      </w:r>
      <w:r w:rsidRPr="00FD40B8">
        <w:rPr>
          <w:color w:val="131727" w:themeColor="text1"/>
          <w:w w:val="110"/>
        </w:rPr>
        <w:t>sought</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4"/>
          <w:w w:val="110"/>
        </w:rPr>
        <w:t xml:space="preserve"> </w:t>
      </w:r>
      <w:r w:rsidRPr="00FD40B8">
        <w:rPr>
          <w:color w:val="131727" w:themeColor="text1"/>
          <w:w w:val="110"/>
        </w:rPr>
        <w:t>significantly</w:t>
      </w:r>
      <w:r w:rsidRPr="00FD40B8">
        <w:rPr>
          <w:color w:val="131727" w:themeColor="text1"/>
          <w:spacing w:val="-4"/>
          <w:w w:val="110"/>
        </w:rPr>
        <w:t xml:space="preserve"> </w:t>
      </w:r>
      <w:r w:rsidRPr="00FD40B8">
        <w:rPr>
          <w:color w:val="131727" w:themeColor="text1"/>
          <w:w w:val="110"/>
        </w:rPr>
        <w:t>reduce</w:t>
      </w:r>
      <w:r w:rsidRPr="00FD40B8">
        <w:rPr>
          <w:color w:val="131727" w:themeColor="text1"/>
          <w:spacing w:val="-2"/>
          <w:w w:val="110"/>
        </w:rPr>
        <w:t xml:space="preserve"> </w:t>
      </w:r>
      <w:r w:rsidRPr="00FD40B8">
        <w:rPr>
          <w:color w:val="131727" w:themeColor="text1"/>
          <w:w w:val="110"/>
        </w:rPr>
        <w:t>severe overcrowding in remote Indigenous communities; increase the supply of new houses; improve the condition of existing houses in remote Indigenous communities; and ensure that rental houses are well- maintained and managed in remote Indigenous communities. It included public targets against these areas with regular reporting by relevant jurisdictions, compiled by the Commonwealth. Release of funding to relevant jurisdictions was generally tied to</w:t>
      </w:r>
      <w:r w:rsidRPr="00FD40B8">
        <w:rPr>
          <w:color w:val="131727" w:themeColor="text1"/>
          <w:spacing w:val="-1"/>
          <w:w w:val="110"/>
        </w:rPr>
        <w:t xml:space="preserve"> </w:t>
      </w:r>
      <w:r w:rsidRPr="00FD40B8">
        <w:rPr>
          <w:color w:val="131727" w:themeColor="text1"/>
          <w:w w:val="110"/>
        </w:rPr>
        <w:t xml:space="preserve">meeting the targets which incentivised timely </w:t>
      </w:r>
      <w:r w:rsidRPr="00FD40B8">
        <w:rPr>
          <w:color w:val="131727" w:themeColor="text1"/>
          <w:spacing w:val="-2"/>
          <w:w w:val="110"/>
        </w:rPr>
        <w:t>reporting.</w:t>
      </w:r>
    </w:p>
    <w:p w14:paraId="1576351E" w14:textId="77777777" w:rsidR="00811887" w:rsidRPr="00FD40B8" w:rsidRDefault="00811887" w:rsidP="00811887">
      <w:pPr>
        <w:pStyle w:val="BodyText"/>
        <w:rPr>
          <w:color w:val="131727" w:themeColor="text1"/>
        </w:rPr>
      </w:pPr>
    </w:p>
    <w:p w14:paraId="72E07D56" w14:textId="77777777" w:rsidR="00811887" w:rsidRPr="00FD40B8" w:rsidRDefault="00811887" w:rsidP="00811887">
      <w:pPr>
        <w:pStyle w:val="BodyText"/>
        <w:rPr>
          <w:color w:val="131727" w:themeColor="text1"/>
        </w:rPr>
      </w:pPr>
    </w:p>
    <w:p w14:paraId="29354A59" w14:textId="77777777" w:rsidR="00811887" w:rsidRPr="00FD40B8" w:rsidRDefault="00811887" w:rsidP="00811887">
      <w:pPr>
        <w:pStyle w:val="BodyText"/>
        <w:rPr>
          <w:color w:val="131727" w:themeColor="text1"/>
        </w:rPr>
      </w:pPr>
    </w:p>
    <w:p w14:paraId="7C7206C7" w14:textId="77777777" w:rsidR="00811887" w:rsidRPr="00FD40B8" w:rsidRDefault="00811887" w:rsidP="00811887">
      <w:pPr>
        <w:pStyle w:val="BodyText"/>
        <w:rPr>
          <w:color w:val="131727" w:themeColor="text1"/>
        </w:rPr>
      </w:pPr>
    </w:p>
    <w:p w14:paraId="3D7B0750" w14:textId="77777777" w:rsidR="00811887" w:rsidRPr="00FD40B8" w:rsidRDefault="00811887" w:rsidP="00811887">
      <w:pPr>
        <w:pStyle w:val="BodyText"/>
        <w:rPr>
          <w:color w:val="131727" w:themeColor="text1"/>
        </w:rPr>
      </w:pPr>
    </w:p>
    <w:p w14:paraId="33D46E31" w14:textId="77777777" w:rsidR="00811887" w:rsidRPr="00FD40B8" w:rsidRDefault="00811887" w:rsidP="00811887">
      <w:pPr>
        <w:pStyle w:val="BodyText"/>
        <w:rPr>
          <w:color w:val="131727" w:themeColor="text1"/>
        </w:rPr>
      </w:pPr>
    </w:p>
    <w:p w14:paraId="77941761" w14:textId="77777777" w:rsidR="00811887" w:rsidRPr="00FD40B8" w:rsidRDefault="00811887" w:rsidP="00811887">
      <w:pPr>
        <w:pStyle w:val="BodyText"/>
        <w:rPr>
          <w:color w:val="131727" w:themeColor="text1"/>
        </w:rPr>
      </w:pPr>
    </w:p>
    <w:p w14:paraId="0751CC51" w14:textId="77777777" w:rsidR="00811887" w:rsidRPr="00FD40B8" w:rsidRDefault="00811887" w:rsidP="00811887">
      <w:pPr>
        <w:pStyle w:val="BodyText"/>
        <w:rPr>
          <w:color w:val="131727" w:themeColor="text1"/>
        </w:rPr>
      </w:pPr>
    </w:p>
    <w:p w14:paraId="6817FE70" w14:textId="77777777" w:rsidR="00811887" w:rsidRPr="00FD40B8" w:rsidRDefault="00811887" w:rsidP="00811887">
      <w:pPr>
        <w:pStyle w:val="BodyText"/>
        <w:spacing w:before="2"/>
        <w:rPr>
          <w:color w:val="131727" w:themeColor="text1"/>
        </w:rPr>
      </w:pPr>
      <w:r w:rsidRPr="00FD40B8">
        <w:rPr>
          <w:noProof/>
          <w:color w:val="131727" w:themeColor="text1"/>
        </w:rPr>
        <mc:AlternateContent>
          <mc:Choice Requires="wps">
            <w:drawing>
              <wp:anchor distT="0" distB="0" distL="0" distR="0" simplePos="0" relativeHeight="251754496" behindDoc="1" locked="0" layoutInCell="1" allowOverlap="1" wp14:anchorId="530C6066" wp14:editId="1CDB0991">
                <wp:simplePos x="0" y="0"/>
                <wp:positionH relativeFrom="page">
                  <wp:posOffset>792784</wp:posOffset>
                </wp:positionH>
                <wp:positionV relativeFrom="paragraph">
                  <wp:posOffset>171844</wp:posOffset>
                </wp:positionV>
                <wp:extent cx="1830070" cy="6350"/>
                <wp:effectExtent l="0" t="0" r="0" b="0"/>
                <wp:wrapTopAndBottom/>
                <wp:docPr id="185" name="Graphic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1A036" id="Graphic 185" o:spid="_x0000_s1026" alt="&quot;&quot;" style="position:absolute;margin-left:62.4pt;margin-top:13.55pt;width:144.1pt;height:.5pt;z-index:-25156198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" path="m1829689,l,,,6095r1829689,l1829689,xe" fillcolor="black" stroked="f">
                <v:path arrowok="t"/>
                <w10:wrap type="topAndBottom" anchorx="page"/>
              </v:shape>
            </w:pict>
          </mc:Fallback>
        </mc:AlternateContent>
      </w:r>
    </w:p>
    <w:p w14:paraId="7B8905AC" w14:textId="77777777" w:rsidR="00811887" w:rsidRPr="00FD40B8" w:rsidRDefault="00811887" w:rsidP="00811887">
      <w:pPr>
        <w:spacing w:before="123" w:line="268" w:lineRule="auto"/>
        <w:ind w:left="508" w:right="1089"/>
        <w:rPr>
          <w:color w:val="131727" w:themeColor="text1"/>
          <w:sz w:val="16"/>
        </w:rPr>
      </w:pPr>
      <w:bookmarkStart w:id="190" w:name="_bookmark79"/>
      <w:bookmarkEnd w:id="190"/>
      <w:r w:rsidRPr="00FD40B8">
        <w:rPr>
          <w:color w:val="131727" w:themeColor="text1"/>
          <w:w w:val="105"/>
          <w:position w:val="6"/>
          <w:sz w:val="10"/>
        </w:rPr>
        <w:t>68</w:t>
      </w:r>
      <w:r w:rsidRPr="00FD40B8">
        <w:rPr>
          <w:color w:val="131727" w:themeColor="text1"/>
          <w:spacing w:val="40"/>
          <w:w w:val="105"/>
          <w:position w:val="6"/>
          <w:sz w:val="10"/>
        </w:rPr>
        <w:t xml:space="preserve"> </w:t>
      </w:r>
      <w:r w:rsidRPr="00FD40B8">
        <w:rPr>
          <w:color w:val="131727" w:themeColor="text1"/>
          <w:w w:val="105"/>
          <w:sz w:val="16"/>
        </w:rPr>
        <w:t>Productivity</w:t>
      </w:r>
      <w:r w:rsidRPr="00FD40B8">
        <w:rPr>
          <w:color w:val="131727" w:themeColor="text1"/>
          <w:spacing w:val="29"/>
          <w:w w:val="105"/>
          <w:sz w:val="16"/>
        </w:rPr>
        <w:t xml:space="preserve"> </w:t>
      </w:r>
      <w:r w:rsidRPr="00FD40B8">
        <w:rPr>
          <w:color w:val="131727" w:themeColor="text1"/>
          <w:w w:val="105"/>
          <w:sz w:val="16"/>
        </w:rPr>
        <w:t>Commission</w:t>
      </w:r>
      <w:r w:rsidRPr="00FD40B8">
        <w:rPr>
          <w:color w:val="131727" w:themeColor="text1"/>
          <w:spacing w:val="35"/>
          <w:w w:val="105"/>
          <w:sz w:val="16"/>
        </w:rPr>
        <w:t xml:space="preserve"> </w:t>
      </w:r>
      <w:r w:rsidRPr="00FD40B8">
        <w:rPr>
          <w:color w:val="131727" w:themeColor="text1"/>
          <w:w w:val="105"/>
          <w:sz w:val="16"/>
        </w:rPr>
        <w:t>2022.</w:t>
      </w:r>
      <w:r w:rsidRPr="00FD40B8">
        <w:rPr>
          <w:color w:val="131727" w:themeColor="text1"/>
          <w:spacing w:val="37"/>
          <w:w w:val="105"/>
          <w:sz w:val="16"/>
        </w:rPr>
        <w:t xml:space="preserve"> </w:t>
      </w:r>
      <w:r w:rsidRPr="00FD40B8">
        <w:rPr>
          <w:color w:val="131727" w:themeColor="text1"/>
          <w:w w:val="105"/>
          <w:sz w:val="16"/>
        </w:rPr>
        <w:t>In</w:t>
      </w:r>
      <w:r w:rsidRPr="00FD40B8">
        <w:rPr>
          <w:color w:val="131727" w:themeColor="text1"/>
          <w:spacing w:val="35"/>
          <w:w w:val="105"/>
          <w:sz w:val="16"/>
        </w:rPr>
        <w:t xml:space="preserve"> </w:t>
      </w:r>
      <w:r w:rsidRPr="00FD40B8">
        <w:rPr>
          <w:color w:val="131727" w:themeColor="text1"/>
          <w:w w:val="105"/>
          <w:sz w:val="16"/>
        </w:rPr>
        <w:t>need</w:t>
      </w:r>
      <w:r w:rsidRPr="00FD40B8">
        <w:rPr>
          <w:color w:val="131727" w:themeColor="text1"/>
          <w:spacing w:val="34"/>
          <w:w w:val="105"/>
          <w:sz w:val="16"/>
        </w:rPr>
        <w:t xml:space="preserve"> </w:t>
      </w:r>
      <w:r w:rsidRPr="00FD40B8">
        <w:rPr>
          <w:color w:val="131727" w:themeColor="text1"/>
          <w:w w:val="105"/>
          <w:sz w:val="16"/>
        </w:rPr>
        <w:t>of</w:t>
      </w:r>
      <w:r w:rsidRPr="00FD40B8">
        <w:rPr>
          <w:color w:val="131727" w:themeColor="text1"/>
          <w:spacing w:val="32"/>
          <w:w w:val="105"/>
          <w:sz w:val="16"/>
        </w:rPr>
        <w:t xml:space="preserve"> </w:t>
      </w:r>
      <w:r w:rsidRPr="00FD40B8">
        <w:rPr>
          <w:color w:val="131727" w:themeColor="text1"/>
          <w:w w:val="105"/>
          <w:sz w:val="16"/>
        </w:rPr>
        <w:t>repair:</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30"/>
          <w:w w:val="105"/>
          <w:sz w:val="16"/>
        </w:rPr>
        <w:t xml:space="preserve"> </w:t>
      </w:r>
      <w:r w:rsidRPr="00FD40B8">
        <w:rPr>
          <w:color w:val="131727" w:themeColor="text1"/>
          <w:w w:val="105"/>
          <w:sz w:val="16"/>
        </w:rPr>
        <w:t>National</w:t>
      </w:r>
      <w:r w:rsidRPr="00FD40B8">
        <w:rPr>
          <w:color w:val="131727" w:themeColor="text1"/>
          <w:spacing w:val="27"/>
          <w:w w:val="105"/>
          <w:sz w:val="16"/>
        </w:rPr>
        <w:t xml:space="preserve"> </w:t>
      </w:r>
      <w:r w:rsidRPr="00FD40B8">
        <w:rPr>
          <w:color w:val="131727" w:themeColor="text1"/>
          <w:w w:val="105"/>
          <w:sz w:val="16"/>
        </w:rPr>
        <w:t>Housing</w:t>
      </w:r>
      <w:r w:rsidRPr="00FD40B8">
        <w:rPr>
          <w:color w:val="131727" w:themeColor="text1"/>
          <w:spacing w:val="29"/>
          <w:w w:val="105"/>
          <w:sz w:val="16"/>
        </w:rPr>
        <w:t xml:space="preserve"> </w:t>
      </w:r>
      <w:r w:rsidRPr="00FD40B8">
        <w:rPr>
          <w:color w:val="131727" w:themeColor="text1"/>
          <w:w w:val="105"/>
          <w:sz w:val="16"/>
        </w:rPr>
        <w:t>and</w:t>
      </w:r>
      <w:r w:rsidRPr="00FD40B8">
        <w:rPr>
          <w:color w:val="131727" w:themeColor="text1"/>
          <w:spacing w:val="34"/>
          <w:w w:val="105"/>
          <w:sz w:val="16"/>
        </w:rPr>
        <w:t xml:space="preserve"> </w:t>
      </w:r>
      <w:r w:rsidRPr="00FD40B8">
        <w:rPr>
          <w:color w:val="131727" w:themeColor="text1"/>
          <w:w w:val="105"/>
          <w:sz w:val="16"/>
        </w:rPr>
        <w:t>Homelessness</w:t>
      </w:r>
      <w:r w:rsidRPr="00FD40B8">
        <w:rPr>
          <w:color w:val="131727" w:themeColor="text1"/>
          <w:spacing w:val="29"/>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0"/>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spacing w:val="-2"/>
          <w:w w:val="105"/>
          <w:sz w:val="16"/>
        </w:rPr>
        <w:t>https://view.officeapps.live.com/op/view.aspx?src=https%3A%2F%2Fwww.pc.gov.au%2Finquiries%2Fcompleted%2Fhousing-</w:t>
      </w:r>
      <w:r w:rsidRPr="00FD40B8">
        <w:rPr>
          <w:color w:val="131727" w:themeColor="text1"/>
          <w:spacing w:val="80"/>
          <w:w w:val="105"/>
          <w:sz w:val="16"/>
        </w:rPr>
        <w:t xml:space="preserve">   </w:t>
      </w:r>
      <w:r w:rsidRPr="00FD40B8">
        <w:rPr>
          <w:color w:val="131727" w:themeColor="text1"/>
          <w:spacing w:val="-2"/>
          <w:w w:val="105"/>
          <w:sz w:val="16"/>
        </w:rPr>
        <w:t>homelessness%2Freport%2Fhousing-homelessness-overview.docx&amp;wdOrigin=BROWSELINK</w:t>
      </w:r>
    </w:p>
    <w:p w14:paraId="52AB8268" w14:textId="77777777" w:rsidR="00811887" w:rsidRPr="00FD40B8" w:rsidRDefault="00811887" w:rsidP="00811887">
      <w:pPr>
        <w:spacing w:line="268" w:lineRule="auto"/>
        <w:ind w:left="508" w:right="1089"/>
        <w:rPr>
          <w:color w:val="131727" w:themeColor="text1"/>
          <w:sz w:val="16"/>
        </w:rPr>
      </w:pPr>
      <w:bookmarkStart w:id="191" w:name="_bookmark80"/>
      <w:bookmarkEnd w:id="191"/>
      <w:r w:rsidRPr="00FD40B8">
        <w:rPr>
          <w:color w:val="131727" w:themeColor="text1"/>
          <w:w w:val="105"/>
          <w:position w:val="6"/>
          <w:sz w:val="10"/>
        </w:rPr>
        <w:t>69</w:t>
      </w:r>
      <w:r w:rsidRPr="00FD40B8">
        <w:rPr>
          <w:color w:val="131727" w:themeColor="text1"/>
          <w:spacing w:val="40"/>
          <w:w w:val="105"/>
          <w:position w:val="6"/>
          <w:sz w:val="10"/>
        </w:rPr>
        <w:t xml:space="preserve"> </w:t>
      </w:r>
      <w:r w:rsidRPr="00FD40B8">
        <w:rPr>
          <w:color w:val="131727" w:themeColor="text1"/>
          <w:w w:val="105"/>
          <w:sz w:val="16"/>
        </w:rPr>
        <w:t>Productivity</w:t>
      </w:r>
      <w:r w:rsidRPr="00FD40B8">
        <w:rPr>
          <w:color w:val="131727" w:themeColor="text1"/>
          <w:spacing w:val="29"/>
          <w:w w:val="105"/>
          <w:sz w:val="16"/>
        </w:rPr>
        <w:t xml:space="preserve"> </w:t>
      </w:r>
      <w:r w:rsidRPr="00FD40B8">
        <w:rPr>
          <w:color w:val="131727" w:themeColor="text1"/>
          <w:w w:val="105"/>
          <w:sz w:val="16"/>
        </w:rPr>
        <w:t>Commission</w:t>
      </w:r>
      <w:r w:rsidRPr="00FD40B8">
        <w:rPr>
          <w:color w:val="131727" w:themeColor="text1"/>
          <w:spacing w:val="35"/>
          <w:w w:val="105"/>
          <w:sz w:val="16"/>
        </w:rPr>
        <w:t xml:space="preserve"> </w:t>
      </w:r>
      <w:r w:rsidRPr="00FD40B8">
        <w:rPr>
          <w:color w:val="131727" w:themeColor="text1"/>
          <w:w w:val="105"/>
          <w:sz w:val="16"/>
        </w:rPr>
        <w:t>2022.</w:t>
      </w:r>
      <w:r w:rsidRPr="00FD40B8">
        <w:rPr>
          <w:color w:val="131727" w:themeColor="text1"/>
          <w:spacing w:val="37"/>
          <w:w w:val="105"/>
          <w:sz w:val="16"/>
        </w:rPr>
        <w:t xml:space="preserve"> </w:t>
      </w:r>
      <w:r w:rsidRPr="00FD40B8">
        <w:rPr>
          <w:color w:val="131727" w:themeColor="text1"/>
          <w:w w:val="105"/>
          <w:sz w:val="16"/>
        </w:rPr>
        <w:t>In</w:t>
      </w:r>
      <w:r w:rsidRPr="00FD40B8">
        <w:rPr>
          <w:color w:val="131727" w:themeColor="text1"/>
          <w:spacing w:val="35"/>
          <w:w w:val="105"/>
          <w:sz w:val="16"/>
        </w:rPr>
        <w:t xml:space="preserve"> </w:t>
      </w:r>
      <w:r w:rsidRPr="00FD40B8">
        <w:rPr>
          <w:color w:val="131727" w:themeColor="text1"/>
          <w:w w:val="105"/>
          <w:sz w:val="16"/>
        </w:rPr>
        <w:t>need</w:t>
      </w:r>
      <w:r w:rsidRPr="00FD40B8">
        <w:rPr>
          <w:color w:val="131727" w:themeColor="text1"/>
          <w:spacing w:val="34"/>
          <w:w w:val="105"/>
          <w:sz w:val="16"/>
        </w:rPr>
        <w:t xml:space="preserve"> </w:t>
      </w:r>
      <w:r w:rsidRPr="00FD40B8">
        <w:rPr>
          <w:color w:val="131727" w:themeColor="text1"/>
          <w:w w:val="105"/>
          <w:sz w:val="16"/>
        </w:rPr>
        <w:t>of</w:t>
      </w:r>
      <w:r w:rsidRPr="00FD40B8">
        <w:rPr>
          <w:color w:val="131727" w:themeColor="text1"/>
          <w:spacing w:val="32"/>
          <w:w w:val="105"/>
          <w:sz w:val="16"/>
        </w:rPr>
        <w:t xml:space="preserve"> </w:t>
      </w:r>
      <w:r w:rsidRPr="00FD40B8">
        <w:rPr>
          <w:color w:val="131727" w:themeColor="text1"/>
          <w:w w:val="105"/>
          <w:sz w:val="16"/>
        </w:rPr>
        <w:t>repair:</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30"/>
          <w:w w:val="105"/>
          <w:sz w:val="16"/>
        </w:rPr>
        <w:t xml:space="preserve"> </w:t>
      </w:r>
      <w:r w:rsidRPr="00FD40B8">
        <w:rPr>
          <w:color w:val="131727" w:themeColor="text1"/>
          <w:w w:val="105"/>
          <w:sz w:val="16"/>
        </w:rPr>
        <w:t>National</w:t>
      </w:r>
      <w:r w:rsidRPr="00FD40B8">
        <w:rPr>
          <w:color w:val="131727" w:themeColor="text1"/>
          <w:spacing w:val="27"/>
          <w:w w:val="105"/>
          <w:sz w:val="16"/>
        </w:rPr>
        <w:t xml:space="preserve"> </w:t>
      </w:r>
      <w:r w:rsidRPr="00FD40B8">
        <w:rPr>
          <w:color w:val="131727" w:themeColor="text1"/>
          <w:w w:val="105"/>
          <w:sz w:val="16"/>
        </w:rPr>
        <w:t>Housing</w:t>
      </w:r>
      <w:r w:rsidRPr="00FD40B8">
        <w:rPr>
          <w:color w:val="131727" w:themeColor="text1"/>
          <w:spacing w:val="29"/>
          <w:w w:val="105"/>
          <w:sz w:val="16"/>
        </w:rPr>
        <w:t xml:space="preserve"> </w:t>
      </w:r>
      <w:r w:rsidRPr="00FD40B8">
        <w:rPr>
          <w:color w:val="131727" w:themeColor="text1"/>
          <w:w w:val="105"/>
          <w:sz w:val="16"/>
        </w:rPr>
        <w:t>and</w:t>
      </w:r>
      <w:r w:rsidRPr="00FD40B8">
        <w:rPr>
          <w:color w:val="131727" w:themeColor="text1"/>
          <w:spacing w:val="34"/>
          <w:w w:val="105"/>
          <w:sz w:val="16"/>
        </w:rPr>
        <w:t xml:space="preserve"> </w:t>
      </w:r>
      <w:r w:rsidRPr="00FD40B8">
        <w:rPr>
          <w:color w:val="131727" w:themeColor="text1"/>
          <w:w w:val="105"/>
          <w:sz w:val="16"/>
        </w:rPr>
        <w:t>Homelessness</w:t>
      </w:r>
      <w:r w:rsidRPr="00FD40B8">
        <w:rPr>
          <w:color w:val="131727" w:themeColor="text1"/>
          <w:spacing w:val="29"/>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0"/>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spacing w:val="-2"/>
          <w:w w:val="105"/>
          <w:sz w:val="16"/>
        </w:rPr>
        <w:t>https://view.officeapps.live.com/op/view.aspx?src=https%3A%2F%2Fwww.pc.gov.au%2Finquiries%2Fcompleted%2Fhousing-</w:t>
      </w:r>
      <w:r w:rsidRPr="00FD40B8">
        <w:rPr>
          <w:color w:val="131727" w:themeColor="text1"/>
          <w:spacing w:val="80"/>
          <w:w w:val="105"/>
          <w:sz w:val="16"/>
        </w:rPr>
        <w:t xml:space="preserve">   </w:t>
      </w:r>
      <w:r w:rsidRPr="00FD40B8">
        <w:rPr>
          <w:color w:val="131727" w:themeColor="text1"/>
          <w:spacing w:val="-2"/>
          <w:w w:val="105"/>
          <w:sz w:val="16"/>
        </w:rPr>
        <w:t>homelessness%2Freport%2Fhousing-homelessness-overview.docx&amp;wdOrigin=BROWSELINK</w:t>
      </w:r>
    </w:p>
    <w:p w14:paraId="18B6B16A" w14:textId="77777777" w:rsidR="00811887" w:rsidRPr="00FD40B8" w:rsidRDefault="00811887" w:rsidP="00811887">
      <w:pPr>
        <w:spacing w:line="192" w:lineRule="exact"/>
        <w:ind w:left="508"/>
        <w:rPr>
          <w:color w:val="131727" w:themeColor="text1"/>
          <w:sz w:val="16"/>
        </w:rPr>
      </w:pPr>
      <w:bookmarkStart w:id="192" w:name="_bookmark81"/>
      <w:bookmarkEnd w:id="192"/>
      <w:r w:rsidRPr="00FD40B8">
        <w:rPr>
          <w:color w:val="131727" w:themeColor="text1"/>
          <w:w w:val="105"/>
          <w:position w:val="6"/>
          <w:sz w:val="10"/>
        </w:rPr>
        <w:lastRenderedPageBreak/>
        <w:t>70</w:t>
      </w:r>
      <w:r w:rsidRPr="00FD40B8">
        <w:rPr>
          <w:color w:val="131727" w:themeColor="text1"/>
          <w:spacing w:val="26"/>
          <w:w w:val="105"/>
          <w:position w:val="6"/>
          <w:sz w:val="10"/>
        </w:rPr>
        <w:t xml:space="preserve"> </w:t>
      </w:r>
      <w:r w:rsidRPr="00FD40B8">
        <w:rPr>
          <w:color w:val="131727" w:themeColor="text1"/>
          <w:spacing w:val="-2"/>
          <w:w w:val="105"/>
          <w:sz w:val="16"/>
        </w:rPr>
        <w:t>https://ourfuture.nt.gov.au/</w:t>
      </w:r>
    </w:p>
    <w:p w14:paraId="33C0FCFC" w14:textId="77777777" w:rsidR="00811887" w:rsidRPr="00FD40B8" w:rsidRDefault="00811887" w:rsidP="00811887">
      <w:pPr>
        <w:spacing w:line="192" w:lineRule="exact"/>
        <w:rPr>
          <w:color w:val="131727" w:themeColor="text1"/>
          <w:sz w:val="16"/>
        </w:rPr>
        <w:sectPr w:rsidR="00811887" w:rsidRPr="00FD40B8" w:rsidSect="00811887">
          <w:footerReference w:type="default" r:id="rId124"/>
          <w:pgSz w:w="11910" w:h="16840"/>
          <w:pgMar w:top="1320" w:right="720" w:bottom="1000" w:left="740" w:header="0" w:footer="805" w:gutter="0"/>
          <w:cols w:space="720"/>
        </w:sectPr>
      </w:pPr>
    </w:p>
    <w:p w14:paraId="0DB62259" w14:textId="77777777" w:rsidR="00811887" w:rsidRPr="00FD40B8" w:rsidRDefault="00811887" w:rsidP="00811887">
      <w:pPr>
        <w:pStyle w:val="Heading8"/>
        <w:spacing w:before="77"/>
        <w:rPr>
          <w:color w:val="131727" w:themeColor="text1"/>
        </w:rPr>
      </w:pPr>
      <w:r w:rsidRPr="00FD40B8">
        <w:rPr>
          <w:color w:val="131727" w:themeColor="text1"/>
        </w:rPr>
        <w:lastRenderedPageBreak/>
        <w:t>Housing</w:t>
      </w:r>
      <w:r w:rsidRPr="00FD40B8">
        <w:rPr>
          <w:color w:val="131727" w:themeColor="text1"/>
          <w:spacing w:val="-7"/>
        </w:rPr>
        <w:t xml:space="preserve"> </w:t>
      </w:r>
      <w:r w:rsidRPr="00FD40B8">
        <w:rPr>
          <w:color w:val="131727" w:themeColor="text1"/>
        </w:rPr>
        <w:t>and</w:t>
      </w:r>
      <w:r w:rsidRPr="00FD40B8">
        <w:rPr>
          <w:color w:val="131727" w:themeColor="text1"/>
          <w:spacing w:val="-1"/>
        </w:rPr>
        <w:t xml:space="preserve"> </w:t>
      </w:r>
      <w:r w:rsidRPr="00FD40B8">
        <w:rPr>
          <w:color w:val="131727" w:themeColor="text1"/>
        </w:rPr>
        <w:t>community</w:t>
      </w:r>
      <w:r w:rsidRPr="00FD40B8">
        <w:rPr>
          <w:color w:val="131727" w:themeColor="text1"/>
          <w:spacing w:val="-2"/>
        </w:rPr>
        <w:t xml:space="preserve"> </w:t>
      </w:r>
      <w:r w:rsidRPr="00FD40B8">
        <w:rPr>
          <w:color w:val="131727" w:themeColor="text1"/>
        </w:rPr>
        <w:t>related</w:t>
      </w:r>
      <w:r w:rsidRPr="00FD40B8">
        <w:rPr>
          <w:color w:val="131727" w:themeColor="text1"/>
          <w:spacing w:val="-1"/>
        </w:rPr>
        <w:t xml:space="preserve"> </w:t>
      </w:r>
      <w:r w:rsidRPr="00FD40B8">
        <w:rPr>
          <w:color w:val="131727" w:themeColor="text1"/>
          <w:spacing w:val="-2"/>
        </w:rPr>
        <w:t>infrastructure</w:t>
      </w:r>
    </w:p>
    <w:p w14:paraId="1F5058CC" w14:textId="77777777" w:rsidR="00811887" w:rsidRPr="00FD40B8" w:rsidRDefault="00811887" w:rsidP="00811887">
      <w:pPr>
        <w:pStyle w:val="BodyText"/>
        <w:spacing w:before="265" w:line="266" w:lineRule="auto"/>
        <w:ind w:left="508" w:right="532"/>
        <w:rPr>
          <w:color w:val="131727" w:themeColor="text1"/>
        </w:rPr>
      </w:pPr>
      <w:r w:rsidRPr="00FD40B8">
        <w:rPr>
          <w:color w:val="131727" w:themeColor="text1"/>
          <w:w w:val="110"/>
        </w:rPr>
        <w:t>Housing-related and community infrastructure is one of the most significant and consistent gaps in the data</w:t>
      </w:r>
      <w:r w:rsidRPr="00FD40B8">
        <w:rPr>
          <w:color w:val="131727" w:themeColor="text1"/>
          <w:spacing w:val="-1"/>
          <w:w w:val="110"/>
        </w:rPr>
        <w:t xml:space="preserve"> </w:t>
      </w:r>
      <w:r w:rsidRPr="00FD40B8">
        <w:rPr>
          <w:color w:val="131727" w:themeColor="text1"/>
          <w:w w:val="110"/>
        </w:rPr>
        <w:t>landscape. For</w:t>
      </w:r>
      <w:r w:rsidRPr="00FD40B8">
        <w:rPr>
          <w:color w:val="131727" w:themeColor="text1"/>
          <w:spacing w:val="-5"/>
          <w:w w:val="110"/>
        </w:rPr>
        <w:t xml:space="preserve"> </w:t>
      </w:r>
      <w:r w:rsidRPr="00FD40B8">
        <w:rPr>
          <w:color w:val="131727" w:themeColor="text1"/>
          <w:w w:val="110"/>
        </w:rPr>
        <w:t>example, there is currently</w:t>
      </w:r>
      <w:r w:rsidRPr="00FD40B8">
        <w:rPr>
          <w:color w:val="131727" w:themeColor="text1"/>
          <w:spacing w:val="-1"/>
          <w:w w:val="110"/>
        </w:rPr>
        <w:t xml:space="preserve"> </w:t>
      </w:r>
      <w:r w:rsidRPr="00FD40B8">
        <w:rPr>
          <w:color w:val="131727" w:themeColor="text1"/>
          <w:w w:val="110"/>
        </w:rPr>
        <w:t>no reporting available on the Closing the Gap target that relates to the housing and community related</w:t>
      </w:r>
      <w:r w:rsidRPr="00FD40B8">
        <w:rPr>
          <w:color w:val="131727" w:themeColor="text1"/>
          <w:spacing w:val="-1"/>
          <w:w w:val="110"/>
        </w:rPr>
        <w:t xml:space="preserve"> </w:t>
      </w:r>
      <w:r w:rsidRPr="00FD40B8">
        <w:rPr>
          <w:color w:val="131727" w:themeColor="text1"/>
          <w:w w:val="110"/>
        </w:rPr>
        <w:t>infrastructure target (Target 9b), which looks at access to power, water, wastewater, and</w:t>
      </w:r>
      <w:r w:rsidRPr="00FD40B8">
        <w:rPr>
          <w:color w:val="131727" w:themeColor="text1"/>
          <w:spacing w:val="-1"/>
          <w:w w:val="110"/>
        </w:rPr>
        <w:t xml:space="preserve"> </w:t>
      </w:r>
      <w:r w:rsidRPr="00FD40B8">
        <w:rPr>
          <w:color w:val="131727" w:themeColor="text1"/>
          <w:w w:val="110"/>
        </w:rPr>
        <w:t>solid waste</w:t>
      </w:r>
      <w:r w:rsidRPr="00FD40B8">
        <w:rPr>
          <w:color w:val="131727" w:themeColor="text1"/>
          <w:spacing w:val="-2"/>
          <w:w w:val="110"/>
        </w:rPr>
        <w:t xml:space="preserve"> </w:t>
      </w:r>
      <w:r w:rsidRPr="00FD40B8">
        <w:rPr>
          <w:color w:val="131727" w:themeColor="text1"/>
          <w:w w:val="110"/>
        </w:rPr>
        <w:t>management. The</w:t>
      </w:r>
      <w:r w:rsidRPr="00FD40B8">
        <w:rPr>
          <w:color w:val="131727" w:themeColor="text1"/>
          <w:spacing w:val="-1"/>
          <w:w w:val="110"/>
        </w:rPr>
        <w:t xml:space="preserve"> </w:t>
      </w:r>
      <w:r w:rsidRPr="00FD40B8">
        <w:rPr>
          <w:color w:val="131727" w:themeColor="text1"/>
          <w:w w:val="110"/>
        </w:rPr>
        <w:t>DITRDCA</w:t>
      </w:r>
      <w:r w:rsidRPr="00FD40B8">
        <w:rPr>
          <w:color w:val="131727" w:themeColor="text1"/>
          <w:spacing w:val="-2"/>
          <w:w w:val="110"/>
        </w:rPr>
        <w:t xml:space="preserve"> </w:t>
      </w:r>
      <w:r w:rsidRPr="00FD40B8">
        <w:rPr>
          <w:color w:val="131727" w:themeColor="text1"/>
          <w:w w:val="110"/>
        </w:rPr>
        <w:t>is responsible</w:t>
      </w:r>
      <w:r w:rsidRPr="00FD40B8">
        <w:rPr>
          <w:color w:val="131727" w:themeColor="text1"/>
          <w:spacing w:val="-1"/>
          <w:w w:val="110"/>
        </w:rPr>
        <w:t xml:space="preserve"> </w:t>
      </w:r>
      <w:r w:rsidRPr="00FD40B8">
        <w:rPr>
          <w:color w:val="131727" w:themeColor="text1"/>
          <w:w w:val="110"/>
        </w:rPr>
        <w:t>for the target</w:t>
      </w:r>
      <w:r w:rsidRPr="00FD40B8">
        <w:rPr>
          <w:color w:val="131727" w:themeColor="text1"/>
          <w:spacing w:val="-2"/>
          <w:w w:val="110"/>
        </w:rPr>
        <w:t xml:space="preserve"> </w:t>
      </w:r>
      <w:r w:rsidRPr="00FD40B8">
        <w:rPr>
          <w:color w:val="131727" w:themeColor="text1"/>
          <w:w w:val="110"/>
        </w:rPr>
        <w:t>and developing its associated data. However, it is noted in the most recent Commonwealth Annual Closing the Gap Implementation Plan that</w:t>
      </w:r>
      <w:r w:rsidRPr="00FD40B8">
        <w:rPr>
          <w:color w:val="131727" w:themeColor="text1"/>
          <w:spacing w:val="-1"/>
          <w:w w:val="110"/>
        </w:rPr>
        <w:t xml:space="preserve"> </w:t>
      </w:r>
      <w:r w:rsidRPr="00FD40B8">
        <w:rPr>
          <w:color w:val="131727" w:themeColor="text1"/>
          <w:w w:val="110"/>
        </w:rPr>
        <w:t>effort</w:t>
      </w:r>
      <w:r w:rsidRPr="00FD40B8">
        <w:rPr>
          <w:color w:val="131727" w:themeColor="text1"/>
          <w:spacing w:val="-2"/>
          <w:w w:val="110"/>
        </w:rPr>
        <w:t xml:space="preserve"> </w:t>
      </w:r>
      <w:r w:rsidRPr="00FD40B8">
        <w:rPr>
          <w:color w:val="131727" w:themeColor="text1"/>
          <w:w w:val="110"/>
        </w:rPr>
        <w:t>on this has ceased. No rationale</w:t>
      </w:r>
      <w:r w:rsidRPr="00FD40B8">
        <w:rPr>
          <w:color w:val="131727" w:themeColor="text1"/>
          <w:spacing w:val="-1"/>
          <w:w w:val="110"/>
        </w:rPr>
        <w:t xml:space="preserve"> </w:t>
      </w:r>
      <w:r w:rsidRPr="00FD40B8">
        <w:rPr>
          <w:color w:val="131727" w:themeColor="text1"/>
          <w:w w:val="110"/>
        </w:rPr>
        <w:t>or alternative</w:t>
      </w:r>
      <w:r w:rsidRPr="00FD40B8">
        <w:rPr>
          <w:color w:val="131727" w:themeColor="text1"/>
          <w:spacing w:val="-1"/>
          <w:w w:val="110"/>
        </w:rPr>
        <w:t xml:space="preserve"> </w:t>
      </w:r>
      <w:r w:rsidRPr="00FD40B8">
        <w:rPr>
          <w:color w:val="131727" w:themeColor="text1"/>
          <w:w w:val="110"/>
        </w:rPr>
        <w:t>is provided.</w:t>
      </w:r>
      <w:hyperlink w:anchor="_bookmark82" w:history="1">
        <w:r w:rsidRPr="00FD40B8">
          <w:rPr>
            <w:color w:val="131727" w:themeColor="text1"/>
            <w:w w:val="110"/>
            <w:position w:val="8"/>
            <w:sz w:val="13"/>
          </w:rPr>
          <w:t>71</w:t>
        </w:r>
      </w:hyperlink>
      <w:r w:rsidRPr="00FD40B8">
        <w:rPr>
          <w:color w:val="131727" w:themeColor="text1"/>
          <w:spacing w:val="74"/>
          <w:w w:val="110"/>
          <w:position w:val="8"/>
          <w:sz w:val="13"/>
        </w:rPr>
        <w:t xml:space="preserve"> </w:t>
      </w:r>
      <w:r w:rsidRPr="00FD40B8">
        <w:rPr>
          <w:color w:val="131727" w:themeColor="text1"/>
          <w:w w:val="110"/>
        </w:rPr>
        <w:t>In consultations</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5"/>
          <w:w w:val="110"/>
        </w:rPr>
        <w:t xml:space="preserve"> </w:t>
      </w:r>
      <w:r w:rsidRPr="00FD40B8">
        <w:rPr>
          <w:color w:val="131727" w:themeColor="text1"/>
          <w:w w:val="110"/>
        </w:rPr>
        <w:t>this</w:t>
      </w:r>
      <w:r w:rsidRPr="00FD40B8">
        <w:rPr>
          <w:color w:val="131727" w:themeColor="text1"/>
          <w:spacing w:val="-2"/>
          <w:w w:val="110"/>
        </w:rPr>
        <w:t xml:space="preserve"> </w:t>
      </w:r>
      <w:r w:rsidRPr="00FD40B8">
        <w:rPr>
          <w:color w:val="131727" w:themeColor="text1"/>
          <w:w w:val="110"/>
        </w:rPr>
        <w:t>report,</w:t>
      </w:r>
      <w:r w:rsidRPr="00FD40B8">
        <w:rPr>
          <w:color w:val="131727" w:themeColor="text1"/>
          <w:spacing w:val="-1"/>
          <w:w w:val="110"/>
        </w:rPr>
        <w:t xml:space="preserve"> </w:t>
      </w:r>
      <w:r w:rsidRPr="00FD40B8">
        <w:rPr>
          <w:color w:val="131727" w:themeColor="text1"/>
          <w:w w:val="110"/>
        </w:rPr>
        <w:t>DITRDCA</w:t>
      </w:r>
      <w:r w:rsidRPr="00FD40B8">
        <w:rPr>
          <w:color w:val="131727" w:themeColor="text1"/>
          <w:spacing w:val="-4"/>
          <w:w w:val="110"/>
        </w:rPr>
        <w:t xml:space="preserve"> </w:t>
      </w:r>
      <w:r w:rsidRPr="00FD40B8">
        <w:rPr>
          <w:color w:val="131727" w:themeColor="text1"/>
          <w:w w:val="110"/>
        </w:rPr>
        <w:t>advised</w:t>
      </w:r>
      <w:r w:rsidRPr="00FD40B8">
        <w:rPr>
          <w:color w:val="131727" w:themeColor="text1"/>
          <w:spacing w:val="-3"/>
          <w:w w:val="110"/>
        </w:rPr>
        <w:t xml:space="preserve"> </w:t>
      </w:r>
      <w:r w:rsidRPr="00FD40B8">
        <w:rPr>
          <w:color w:val="131727" w:themeColor="text1"/>
          <w:w w:val="110"/>
        </w:rPr>
        <w:t>that</w:t>
      </w:r>
      <w:r w:rsidRPr="00FD40B8">
        <w:rPr>
          <w:color w:val="131727" w:themeColor="text1"/>
          <w:spacing w:val="-8"/>
          <w:w w:val="110"/>
        </w:rPr>
        <w:t xml:space="preserve"> </w:t>
      </w:r>
      <w:r w:rsidRPr="00FD40B8">
        <w:rPr>
          <w:color w:val="131727" w:themeColor="text1"/>
          <w:w w:val="110"/>
        </w:rPr>
        <w:t>they</w:t>
      </w:r>
      <w:r w:rsidRPr="00FD40B8">
        <w:rPr>
          <w:color w:val="131727" w:themeColor="text1"/>
          <w:spacing w:val="-3"/>
          <w:w w:val="110"/>
        </w:rPr>
        <w:t xml:space="preserve"> </w:t>
      </w:r>
      <w:r w:rsidRPr="00FD40B8">
        <w:rPr>
          <w:color w:val="131727" w:themeColor="text1"/>
          <w:w w:val="110"/>
        </w:rPr>
        <w:t>are</w:t>
      </w:r>
      <w:r w:rsidRPr="00FD40B8">
        <w:rPr>
          <w:color w:val="131727" w:themeColor="text1"/>
          <w:spacing w:val="-3"/>
          <w:w w:val="110"/>
        </w:rPr>
        <w:t xml:space="preserve"> </w:t>
      </w:r>
      <w:r w:rsidRPr="00FD40B8">
        <w:rPr>
          <w:color w:val="131727" w:themeColor="text1"/>
          <w:w w:val="110"/>
        </w:rPr>
        <w:t>continuing</w:t>
      </w:r>
      <w:r w:rsidRPr="00FD40B8">
        <w:rPr>
          <w:color w:val="131727" w:themeColor="text1"/>
          <w:spacing w:val="-3"/>
          <w:w w:val="110"/>
        </w:rPr>
        <w:t xml:space="preserve"> </w:t>
      </w:r>
      <w:r w:rsidRPr="00FD40B8">
        <w:rPr>
          <w:color w:val="131727" w:themeColor="text1"/>
          <w:w w:val="110"/>
        </w:rPr>
        <w:t>to</w:t>
      </w:r>
      <w:r w:rsidRPr="00FD40B8">
        <w:rPr>
          <w:color w:val="131727" w:themeColor="text1"/>
          <w:spacing w:val="-6"/>
          <w:w w:val="110"/>
        </w:rPr>
        <w:t xml:space="preserve"> </w:t>
      </w:r>
      <w:r w:rsidRPr="00FD40B8">
        <w:rPr>
          <w:color w:val="131727" w:themeColor="text1"/>
          <w:w w:val="110"/>
        </w:rPr>
        <w:t>look</w:t>
      </w:r>
      <w:r w:rsidRPr="00FD40B8">
        <w:rPr>
          <w:color w:val="131727" w:themeColor="text1"/>
          <w:spacing w:val="-2"/>
          <w:w w:val="110"/>
        </w:rPr>
        <w:t xml:space="preserve"> </w:t>
      </w:r>
      <w:r w:rsidRPr="00FD40B8">
        <w:rPr>
          <w:color w:val="131727" w:themeColor="text1"/>
          <w:w w:val="110"/>
        </w:rPr>
        <w:t>at</w:t>
      </w:r>
      <w:r w:rsidRPr="00FD40B8">
        <w:rPr>
          <w:color w:val="131727" w:themeColor="text1"/>
          <w:spacing w:val="-8"/>
          <w:w w:val="110"/>
        </w:rPr>
        <w:t xml:space="preserve"> </w:t>
      </w:r>
      <w:r w:rsidRPr="00FD40B8">
        <w:rPr>
          <w:color w:val="131727" w:themeColor="text1"/>
          <w:w w:val="110"/>
        </w:rPr>
        <w:t>opportunities</w:t>
      </w:r>
      <w:r w:rsidRPr="00FD40B8">
        <w:rPr>
          <w:color w:val="131727" w:themeColor="text1"/>
          <w:spacing w:val="-2"/>
          <w:w w:val="110"/>
        </w:rPr>
        <w:t xml:space="preserve"> </w:t>
      </w:r>
      <w:r w:rsidRPr="00FD40B8">
        <w:rPr>
          <w:color w:val="131727" w:themeColor="text1"/>
          <w:w w:val="110"/>
        </w:rPr>
        <w:t>to report on the target properly, but challenges were significant including the different data collection regimes across jurisdictions and more resources would be required to make meaningful progress.</w:t>
      </w:r>
    </w:p>
    <w:p w14:paraId="686B40E1" w14:textId="77777777" w:rsidR="00811887" w:rsidRPr="00FD40B8" w:rsidRDefault="00811887" w:rsidP="00811887">
      <w:pPr>
        <w:pStyle w:val="BodyText"/>
        <w:spacing w:before="241" w:line="268" w:lineRule="auto"/>
        <w:ind w:left="508" w:right="598"/>
        <w:rPr>
          <w:color w:val="131727" w:themeColor="text1"/>
        </w:rPr>
      </w:pPr>
      <w:r w:rsidRPr="00FD40B8">
        <w:rPr>
          <w:color w:val="131727" w:themeColor="text1"/>
          <w:spacing w:val="-2"/>
          <w:w w:val="110"/>
        </w:rPr>
        <w:t>Infrastructure Australia also has responsibility</w:t>
      </w:r>
      <w:r w:rsidRPr="00FD40B8">
        <w:rPr>
          <w:color w:val="131727" w:themeColor="text1"/>
          <w:spacing w:val="-3"/>
          <w:w w:val="110"/>
        </w:rPr>
        <w:t xml:space="preserve"> </w:t>
      </w:r>
      <w:r w:rsidRPr="00FD40B8">
        <w:rPr>
          <w:color w:val="131727" w:themeColor="text1"/>
          <w:spacing w:val="-2"/>
          <w:w w:val="110"/>
        </w:rPr>
        <w:t>to</w:t>
      </w:r>
      <w:r w:rsidRPr="00FD40B8">
        <w:rPr>
          <w:color w:val="131727" w:themeColor="text1"/>
          <w:spacing w:val="-4"/>
          <w:w w:val="110"/>
        </w:rPr>
        <w:t xml:space="preserve"> </w:t>
      </w:r>
      <w:r w:rsidRPr="00FD40B8">
        <w:rPr>
          <w:color w:val="131727" w:themeColor="text1"/>
          <w:spacing w:val="-2"/>
          <w:w w:val="110"/>
        </w:rPr>
        <w:t xml:space="preserve">undertake an </w:t>
      </w:r>
      <w:r w:rsidRPr="00FD40B8">
        <w:rPr>
          <w:i/>
          <w:color w:val="131727" w:themeColor="text1"/>
          <w:spacing w:val="-2"/>
          <w:w w:val="110"/>
        </w:rPr>
        <w:t>Australian</w:t>
      </w:r>
      <w:r w:rsidRPr="00FD40B8">
        <w:rPr>
          <w:i/>
          <w:color w:val="131727" w:themeColor="text1"/>
          <w:spacing w:val="-3"/>
          <w:w w:val="110"/>
        </w:rPr>
        <w:t xml:space="preserve"> </w:t>
      </w:r>
      <w:r w:rsidRPr="00FD40B8">
        <w:rPr>
          <w:i/>
          <w:color w:val="131727" w:themeColor="text1"/>
          <w:spacing w:val="-2"/>
          <w:w w:val="110"/>
        </w:rPr>
        <w:t>Infrastructure Audit</w:t>
      </w:r>
      <w:r w:rsidRPr="00FD40B8">
        <w:rPr>
          <w:color w:val="131727" w:themeColor="text1"/>
          <w:spacing w:val="-2"/>
          <w:w w:val="110"/>
        </w:rPr>
        <w:t xml:space="preserve">, designed to </w:t>
      </w:r>
      <w:r w:rsidRPr="00FD40B8">
        <w:rPr>
          <w:color w:val="131727" w:themeColor="text1"/>
          <w:w w:val="110"/>
        </w:rPr>
        <w:t>strategically</w:t>
      </w:r>
      <w:r w:rsidRPr="00FD40B8">
        <w:rPr>
          <w:color w:val="131727" w:themeColor="text1"/>
          <w:spacing w:val="-3"/>
          <w:w w:val="110"/>
        </w:rPr>
        <w:t xml:space="preserve"> </w:t>
      </w:r>
      <w:r w:rsidRPr="00FD40B8">
        <w:rPr>
          <w:color w:val="131727" w:themeColor="text1"/>
          <w:w w:val="110"/>
        </w:rPr>
        <w:t>audit</w:t>
      </w:r>
      <w:r w:rsidRPr="00FD40B8">
        <w:rPr>
          <w:color w:val="131727" w:themeColor="text1"/>
          <w:spacing w:val="-2"/>
          <w:w w:val="110"/>
        </w:rPr>
        <w:t xml:space="preserve"> </w:t>
      </w:r>
      <w:r w:rsidRPr="00FD40B8">
        <w:rPr>
          <w:color w:val="131727" w:themeColor="text1"/>
          <w:w w:val="110"/>
        </w:rPr>
        <w:t>Australia’s</w:t>
      </w:r>
      <w:r w:rsidRPr="00FD40B8">
        <w:rPr>
          <w:color w:val="131727" w:themeColor="text1"/>
          <w:spacing w:val="-4"/>
          <w:w w:val="110"/>
        </w:rPr>
        <w:t xml:space="preserve"> </w:t>
      </w:r>
      <w:r w:rsidRPr="00FD40B8">
        <w:rPr>
          <w:color w:val="131727" w:themeColor="text1"/>
          <w:w w:val="110"/>
        </w:rPr>
        <w:t>nationally</w:t>
      </w:r>
      <w:r w:rsidRPr="00FD40B8">
        <w:rPr>
          <w:color w:val="131727" w:themeColor="text1"/>
          <w:spacing w:val="-3"/>
          <w:w w:val="110"/>
        </w:rPr>
        <w:t xml:space="preserve"> </w:t>
      </w:r>
      <w:r w:rsidRPr="00FD40B8">
        <w:rPr>
          <w:color w:val="131727" w:themeColor="text1"/>
          <w:w w:val="110"/>
        </w:rPr>
        <w:t>significant</w:t>
      </w:r>
      <w:r w:rsidRPr="00FD40B8">
        <w:rPr>
          <w:color w:val="131727" w:themeColor="text1"/>
          <w:spacing w:val="-2"/>
          <w:w w:val="110"/>
        </w:rPr>
        <w:t xml:space="preserve"> </w:t>
      </w:r>
      <w:r w:rsidRPr="00FD40B8">
        <w:rPr>
          <w:color w:val="131727" w:themeColor="text1"/>
          <w:w w:val="110"/>
        </w:rPr>
        <w:t>transport,</w:t>
      </w:r>
      <w:r w:rsidRPr="00FD40B8">
        <w:rPr>
          <w:color w:val="131727" w:themeColor="text1"/>
          <w:spacing w:val="-2"/>
          <w:w w:val="110"/>
        </w:rPr>
        <w:t xml:space="preserve"> </w:t>
      </w:r>
      <w:r w:rsidRPr="00FD40B8">
        <w:rPr>
          <w:color w:val="131727" w:themeColor="text1"/>
          <w:w w:val="110"/>
        </w:rPr>
        <w:t>energy,</w:t>
      </w:r>
      <w:r w:rsidRPr="00FD40B8">
        <w:rPr>
          <w:color w:val="131727" w:themeColor="text1"/>
          <w:spacing w:val="-2"/>
          <w:w w:val="110"/>
        </w:rPr>
        <w:t xml:space="preserve"> </w:t>
      </w:r>
      <w:r w:rsidRPr="00FD40B8">
        <w:rPr>
          <w:color w:val="131727" w:themeColor="text1"/>
          <w:w w:val="110"/>
        </w:rPr>
        <w:t>water,</w:t>
      </w:r>
      <w:r w:rsidRPr="00FD40B8">
        <w:rPr>
          <w:color w:val="131727" w:themeColor="text1"/>
          <w:spacing w:val="-2"/>
          <w:w w:val="110"/>
        </w:rPr>
        <w:t xml:space="preserve"> </w:t>
      </w:r>
      <w:r w:rsidRPr="00FD40B8">
        <w:rPr>
          <w:color w:val="131727" w:themeColor="text1"/>
          <w:w w:val="110"/>
        </w:rPr>
        <w:t>telecommunications and social infrastructure, and develop 15 year rolling infrastructure plans with national and state level priorities. The last audit was conducted in 2019 and its accompanying plan was released in 2021 (the 2021 Australian Infrastructure Plan).</w:t>
      </w:r>
    </w:p>
    <w:p w14:paraId="75A4EF79" w14:textId="77777777" w:rsidR="00811887" w:rsidRPr="00FD40B8" w:rsidRDefault="00811887" w:rsidP="00811887">
      <w:pPr>
        <w:pStyle w:val="BodyText"/>
        <w:spacing w:before="237" w:line="266" w:lineRule="auto"/>
        <w:ind w:left="508" w:right="532"/>
        <w:rPr>
          <w:color w:val="131727" w:themeColor="text1"/>
        </w:rPr>
      </w:pPr>
      <w:r w:rsidRPr="00FD40B8">
        <w:rPr>
          <w:color w:val="131727" w:themeColor="text1"/>
          <w:w w:val="110"/>
        </w:rPr>
        <w:t>In developing the 2019 audit, Infrastructure Australia notes that there is no single source of data on the current and future performance of our infrastructure networks and assets. Instead, responsibility for generating and updating data</w:t>
      </w:r>
      <w:r w:rsidRPr="00FD40B8">
        <w:rPr>
          <w:color w:val="131727" w:themeColor="text1"/>
          <w:spacing w:val="-5"/>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fragmented across a</w:t>
      </w:r>
      <w:r w:rsidRPr="00FD40B8">
        <w:rPr>
          <w:color w:val="131727" w:themeColor="text1"/>
          <w:spacing w:val="-4"/>
          <w:w w:val="110"/>
        </w:rPr>
        <w:t xml:space="preserve"> </w:t>
      </w:r>
      <w:r w:rsidRPr="00FD40B8">
        <w:rPr>
          <w:color w:val="131727" w:themeColor="text1"/>
          <w:w w:val="110"/>
        </w:rPr>
        <w:t>huge range</w:t>
      </w:r>
      <w:r w:rsidRPr="00FD40B8">
        <w:rPr>
          <w:color w:val="131727" w:themeColor="text1"/>
          <w:spacing w:val="-4"/>
          <w:w w:val="110"/>
        </w:rPr>
        <w:t xml:space="preserve"> </w:t>
      </w:r>
      <w:r w:rsidRPr="00FD40B8">
        <w:rPr>
          <w:color w:val="131727" w:themeColor="text1"/>
          <w:w w:val="110"/>
        </w:rPr>
        <w:t>of public and private sector</w:t>
      </w:r>
      <w:r w:rsidRPr="00FD40B8">
        <w:rPr>
          <w:color w:val="131727" w:themeColor="text1"/>
          <w:spacing w:val="-5"/>
          <w:w w:val="110"/>
        </w:rPr>
        <w:t xml:space="preserve"> </w:t>
      </w:r>
      <w:r w:rsidRPr="00FD40B8">
        <w:rPr>
          <w:color w:val="131727" w:themeColor="text1"/>
          <w:w w:val="110"/>
        </w:rPr>
        <w:t>institutions, who are each focused on a sub-section of infrastructure, and who each adopt different methodologies. There are clear gaps in the data that is available. Some</w:t>
      </w:r>
      <w:r w:rsidRPr="00FD40B8">
        <w:rPr>
          <w:color w:val="131727" w:themeColor="text1"/>
          <w:spacing w:val="-1"/>
          <w:w w:val="110"/>
        </w:rPr>
        <w:t xml:space="preserve"> </w:t>
      </w:r>
      <w:r w:rsidRPr="00FD40B8">
        <w:rPr>
          <w:color w:val="131727" w:themeColor="text1"/>
          <w:w w:val="110"/>
        </w:rPr>
        <w:t>parts of the country – particularly regional and remote areas – are not covered with great detail or clarity by existing datasets. Given these challenges, Infrastructure Australia does</w:t>
      </w:r>
      <w:r w:rsidRPr="00FD40B8">
        <w:rPr>
          <w:color w:val="131727" w:themeColor="text1"/>
          <w:spacing w:val="-2"/>
          <w:w w:val="110"/>
        </w:rPr>
        <w:t xml:space="preserve"> </w:t>
      </w:r>
      <w:r w:rsidRPr="00FD40B8">
        <w:rPr>
          <w:color w:val="131727" w:themeColor="text1"/>
          <w:w w:val="110"/>
        </w:rPr>
        <w:t>not seek</w:t>
      </w:r>
      <w:r w:rsidRPr="00FD40B8">
        <w:rPr>
          <w:color w:val="131727" w:themeColor="text1"/>
          <w:spacing w:val="-1"/>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create a new</w:t>
      </w:r>
      <w:r w:rsidRPr="00FD40B8">
        <w:rPr>
          <w:color w:val="131727" w:themeColor="text1"/>
          <w:spacing w:val="-6"/>
          <w:w w:val="110"/>
        </w:rPr>
        <w:t xml:space="preserve"> </w:t>
      </w:r>
      <w:r w:rsidRPr="00FD40B8">
        <w:rPr>
          <w:color w:val="131727" w:themeColor="text1"/>
          <w:w w:val="110"/>
        </w:rPr>
        <w:t>single evidence</w:t>
      </w:r>
      <w:r w:rsidRPr="00FD40B8">
        <w:rPr>
          <w:color w:val="131727" w:themeColor="text1"/>
          <w:spacing w:val="-4"/>
          <w:w w:val="110"/>
        </w:rPr>
        <w:t xml:space="preserve"> </w:t>
      </w:r>
      <w:r w:rsidRPr="00FD40B8">
        <w:rPr>
          <w:color w:val="131727" w:themeColor="text1"/>
          <w:w w:val="110"/>
        </w:rPr>
        <w:t>base</w:t>
      </w:r>
      <w:r w:rsidRPr="00FD40B8">
        <w:rPr>
          <w:color w:val="131727" w:themeColor="text1"/>
          <w:spacing w:val="-4"/>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support</w:t>
      </w:r>
      <w:r w:rsidRPr="00FD40B8">
        <w:rPr>
          <w:color w:val="131727" w:themeColor="text1"/>
          <w:spacing w:val="-4"/>
          <w:w w:val="110"/>
        </w:rPr>
        <w:t xml:space="preserve"> </w:t>
      </w:r>
      <w:r w:rsidRPr="00FD40B8">
        <w:rPr>
          <w:color w:val="131727" w:themeColor="text1"/>
          <w:w w:val="110"/>
        </w:rPr>
        <w:t>the analysis</w:t>
      </w:r>
      <w:r w:rsidRPr="00FD40B8">
        <w:rPr>
          <w:color w:val="131727" w:themeColor="text1"/>
          <w:spacing w:val="-2"/>
          <w:w w:val="110"/>
        </w:rPr>
        <w:t xml:space="preserve"> </w:t>
      </w:r>
      <w:r w:rsidRPr="00FD40B8">
        <w:rPr>
          <w:color w:val="131727" w:themeColor="text1"/>
          <w:w w:val="110"/>
        </w:rPr>
        <w:t>of the Audi</w:t>
      </w:r>
      <w:hyperlink w:anchor="_bookmark83" w:history="1">
        <w:r w:rsidRPr="00FD40B8">
          <w:rPr>
            <w:color w:val="131727" w:themeColor="text1"/>
            <w:w w:val="110"/>
          </w:rPr>
          <w:t>t</w:t>
        </w:r>
        <w:r w:rsidRPr="00FD40B8">
          <w:rPr>
            <w:color w:val="131727" w:themeColor="text1"/>
            <w:w w:val="110"/>
            <w:position w:val="8"/>
            <w:sz w:val="13"/>
          </w:rPr>
          <w:t>72</w:t>
        </w:r>
        <w:r w:rsidRPr="00FD40B8">
          <w:rPr>
            <w:color w:val="131727" w:themeColor="text1"/>
            <w:w w:val="110"/>
          </w:rPr>
          <w:t>.</w:t>
        </w:r>
      </w:hyperlink>
      <w:r w:rsidRPr="00FD40B8">
        <w:rPr>
          <w:color w:val="131727" w:themeColor="text1"/>
          <w:w w:val="110"/>
        </w:rPr>
        <w:t xml:space="preserve"> Further, whilst the audit provides some general information on the infrastructure needs of Aboriginal and Torres Strait Islander communities, it is not sufficient or at the level required to support community planning.</w:t>
      </w:r>
    </w:p>
    <w:p w14:paraId="5383D8D6" w14:textId="77777777" w:rsidR="00811887" w:rsidRPr="00FD40B8" w:rsidRDefault="00811887" w:rsidP="00811887">
      <w:pPr>
        <w:pStyle w:val="BodyText"/>
        <w:spacing w:before="93"/>
        <w:rPr>
          <w:color w:val="131727" w:themeColor="text1"/>
        </w:rPr>
      </w:pPr>
    </w:p>
    <w:p w14:paraId="04226888" w14:textId="77777777" w:rsidR="00811887" w:rsidRPr="00FD40B8" w:rsidRDefault="00811887" w:rsidP="00811887">
      <w:pPr>
        <w:pStyle w:val="Heading8"/>
        <w:rPr>
          <w:color w:val="131727" w:themeColor="text1"/>
        </w:rPr>
      </w:pPr>
      <w:r w:rsidRPr="00FD40B8">
        <w:rPr>
          <w:color w:val="131727" w:themeColor="text1"/>
        </w:rPr>
        <w:t>State</w:t>
      </w:r>
      <w:r w:rsidRPr="00FD40B8">
        <w:rPr>
          <w:color w:val="131727" w:themeColor="text1"/>
          <w:spacing w:val="-5"/>
        </w:rPr>
        <w:t xml:space="preserve"> </w:t>
      </w:r>
      <w:r w:rsidRPr="00FD40B8">
        <w:rPr>
          <w:color w:val="131727" w:themeColor="text1"/>
        </w:rPr>
        <w:t>and</w:t>
      </w:r>
      <w:r w:rsidRPr="00FD40B8">
        <w:rPr>
          <w:color w:val="131727" w:themeColor="text1"/>
          <w:spacing w:val="-3"/>
        </w:rPr>
        <w:t xml:space="preserve"> </w:t>
      </w:r>
      <w:r w:rsidRPr="00FD40B8">
        <w:rPr>
          <w:color w:val="131727" w:themeColor="text1"/>
        </w:rPr>
        <w:t>territory</w:t>
      </w:r>
      <w:r w:rsidRPr="00FD40B8">
        <w:rPr>
          <w:color w:val="131727" w:themeColor="text1"/>
          <w:spacing w:val="-3"/>
        </w:rPr>
        <w:t xml:space="preserve"> </w:t>
      </w:r>
      <w:r w:rsidRPr="00FD40B8">
        <w:rPr>
          <w:color w:val="131727" w:themeColor="text1"/>
        </w:rPr>
        <w:t>government</w:t>
      </w:r>
      <w:r w:rsidRPr="00FD40B8">
        <w:rPr>
          <w:color w:val="131727" w:themeColor="text1"/>
          <w:spacing w:val="-6"/>
        </w:rPr>
        <w:t xml:space="preserve"> </w:t>
      </w:r>
      <w:r w:rsidRPr="00FD40B8">
        <w:rPr>
          <w:color w:val="131727" w:themeColor="text1"/>
        </w:rPr>
        <w:t>held</w:t>
      </w:r>
      <w:r w:rsidRPr="00FD40B8">
        <w:rPr>
          <w:color w:val="131727" w:themeColor="text1"/>
          <w:spacing w:val="-3"/>
        </w:rPr>
        <w:t xml:space="preserve"> </w:t>
      </w:r>
      <w:r w:rsidRPr="00FD40B8">
        <w:rPr>
          <w:color w:val="131727" w:themeColor="text1"/>
          <w:spacing w:val="-4"/>
        </w:rPr>
        <w:t>data</w:t>
      </w:r>
    </w:p>
    <w:p w14:paraId="3710D444" w14:textId="77777777" w:rsidR="00811887" w:rsidRPr="00FD40B8" w:rsidRDefault="00811887" w:rsidP="00811887">
      <w:pPr>
        <w:pStyle w:val="BodyText"/>
        <w:spacing w:before="145" w:line="268" w:lineRule="auto"/>
        <w:ind w:left="508" w:right="576"/>
        <w:rPr>
          <w:color w:val="131727" w:themeColor="text1"/>
        </w:rPr>
      </w:pPr>
      <w:r w:rsidRPr="00FD40B8">
        <w:rPr>
          <w:color w:val="131727" w:themeColor="text1"/>
          <w:w w:val="110"/>
        </w:rPr>
        <w:t>Aligned with their responsibilities, state and territory governments collect their own data on public housing and generally hold the information on repairs and maintenance required as well as data on supporting infrastructure such as water and power services and transport links. States and territories also have their</w:t>
      </w:r>
      <w:r w:rsidRPr="00FD40B8">
        <w:rPr>
          <w:color w:val="131727" w:themeColor="text1"/>
          <w:spacing w:val="-1"/>
          <w:w w:val="110"/>
        </w:rPr>
        <w:t xml:space="preserve"> </w:t>
      </w:r>
      <w:r w:rsidRPr="00FD40B8">
        <w:rPr>
          <w:color w:val="131727" w:themeColor="text1"/>
          <w:w w:val="110"/>
        </w:rPr>
        <w:t>own</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strategies,</w:t>
      </w:r>
      <w:r w:rsidRPr="00FD40B8">
        <w:rPr>
          <w:color w:val="131727" w:themeColor="text1"/>
          <w:spacing w:val="-4"/>
          <w:w w:val="110"/>
        </w:rPr>
        <w:t xml:space="preserve"> </w:t>
      </w:r>
      <w:r w:rsidRPr="00FD40B8">
        <w:rPr>
          <w:color w:val="131727" w:themeColor="text1"/>
          <w:w w:val="110"/>
        </w:rPr>
        <w:t>frameworks and investments</w:t>
      </w:r>
      <w:r w:rsidRPr="00FD40B8">
        <w:rPr>
          <w:color w:val="131727" w:themeColor="text1"/>
          <w:spacing w:val="-2"/>
          <w:w w:val="110"/>
        </w:rPr>
        <w:t xml:space="preserve"> </w:t>
      </w:r>
      <w:r w:rsidRPr="00FD40B8">
        <w:rPr>
          <w:color w:val="131727" w:themeColor="text1"/>
          <w:w w:val="110"/>
        </w:rPr>
        <w:t>which</w:t>
      </w:r>
      <w:r w:rsidRPr="00FD40B8">
        <w:rPr>
          <w:color w:val="131727" w:themeColor="text1"/>
          <w:spacing w:val="-3"/>
          <w:w w:val="110"/>
        </w:rPr>
        <w:t xml:space="preserve"> </w:t>
      </w:r>
      <w:r w:rsidRPr="00FD40B8">
        <w:rPr>
          <w:color w:val="131727" w:themeColor="text1"/>
          <w:w w:val="110"/>
        </w:rPr>
        <w:t>have their</w:t>
      </w:r>
      <w:r w:rsidRPr="00FD40B8">
        <w:rPr>
          <w:color w:val="131727" w:themeColor="text1"/>
          <w:spacing w:val="-5"/>
          <w:w w:val="110"/>
        </w:rPr>
        <w:t xml:space="preserve"> </w:t>
      </w:r>
      <w:r w:rsidRPr="00FD40B8">
        <w:rPr>
          <w:color w:val="131727" w:themeColor="text1"/>
          <w:w w:val="110"/>
        </w:rPr>
        <w:t>own performance reporting requirements. Much</w:t>
      </w:r>
      <w:r w:rsidRPr="00FD40B8">
        <w:rPr>
          <w:color w:val="131727" w:themeColor="text1"/>
          <w:spacing w:val="-3"/>
          <w:w w:val="110"/>
        </w:rPr>
        <w:t xml:space="preserve"> </w:t>
      </w:r>
      <w:r w:rsidRPr="00FD40B8">
        <w:rPr>
          <w:color w:val="131727" w:themeColor="text1"/>
          <w:w w:val="110"/>
        </w:rPr>
        <w:t>of this data</w:t>
      </w:r>
      <w:r w:rsidRPr="00FD40B8">
        <w:rPr>
          <w:color w:val="131727" w:themeColor="text1"/>
          <w:spacing w:val="-5"/>
          <w:w w:val="110"/>
        </w:rPr>
        <w:t xml:space="preserve"> </w:t>
      </w:r>
      <w:r w:rsidRPr="00FD40B8">
        <w:rPr>
          <w:color w:val="131727" w:themeColor="text1"/>
          <w:w w:val="110"/>
        </w:rPr>
        <w:t>is not publicly</w:t>
      </w:r>
      <w:r w:rsidRPr="00FD40B8">
        <w:rPr>
          <w:color w:val="131727" w:themeColor="text1"/>
          <w:spacing w:val="-1"/>
          <w:w w:val="110"/>
        </w:rPr>
        <w:t xml:space="preserve"> </w:t>
      </w:r>
      <w:r w:rsidRPr="00FD40B8">
        <w:rPr>
          <w:color w:val="131727" w:themeColor="text1"/>
          <w:w w:val="110"/>
        </w:rPr>
        <w:t>available or</w:t>
      </w:r>
      <w:r w:rsidRPr="00FD40B8">
        <w:rPr>
          <w:color w:val="131727" w:themeColor="text1"/>
          <w:spacing w:val="-5"/>
          <w:w w:val="110"/>
        </w:rPr>
        <w:t xml:space="preserve"> </w:t>
      </w:r>
      <w:r w:rsidRPr="00FD40B8">
        <w:rPr>
          <w:color w:val="131727" w:themeColor="text1"/>
          <w:w w:val="110"/>
        </w:rPr>
        <w:t>shared with</w:t>
      </w:r>
      <w:r w:rsidRPr="00FD40B8">
        <w:rPr>
          <w:color w:val="131727" w:themeColor="text1"/>
          <w:spacing w:val="-3"/>
          <w:w w:val="110"/>
        </w:rPr>
        <w:t xml:space="preserve"> </w:t>
      </w:r>
      <w:r w:rsidRPr="00FD40B8">
        <w:rPr>
          <w:color w:val="131727" w:themeColor="text1"/>
          <w:w w:val="110"/>
        </w:rPr>
        <w:t>the Commonwealth</w:t>
      </w:r>
      <w:r w:rsidRPr="00FD40B8">
        <w:rPr>
          <w:color w:val="131727" w:themeColor="text1"/>
          <w:spacing w:val="-3"/>
          <w:w w:val="110"/>
        </w:rPr>
        <w:t xml:space="preserve"> </w:t>
      </w:r>
      <w:r w:rsidRPr="00FD40B8">
        <w:rPr>
          <w:color w:val="131727" w:themeColor="text1"/>
          <w:w w:val="110"/>
        </w:rPr>
        <w:t>to support discussions on future investment needs. Given each state and territory has their own data collection methods and definitions, data that is shared or made public is often not comparable across jurisdictions.</w:t>
      </w:r>
      <w:r w:rsidRPr="00FD40B8">
        <w:rPr>
          <w:color w:val="131727" w:themeColor="text1"/>
          <w:spacing w:val="-8"/>
          <w:w w:val="110"/>
        </w:rPr>
        <w:t xml:space="preserve"> </w:t>
      </w:r>
      <w:r w:rsidRPr="00FD40B8">
        <w:rPr>
          <w:color w:val="131727" w:themeColor="text1"/>
          <w:w w:val="110"/>
        </w:rPr>
        <w:t>There</w:t>
      </w:r>
      <w:r w:rsidRPr="00FD40B8">
        <w:rPr>
          <w:color w:val="131727" w:themeColor="text1"/>
          <w:spacing w:val="-8"/>
          <w:w w:val="110"/>
        </w:rPr>
        <w:t xml:space="preserve"> </w:t>
      </w:r>
      <w:r w:rsidRPr="00FD40B8">
        <w:rPr>
          <w:color w:val="131727" w:themeColor="text1"/>
          <w:w w:val="110"/>
        </w:rPr>
        <w:t>is</w:t>
      </w:r>
      <w:r w:rsidRPr="00FD40B8">
        <w:rPr>
          <w:color w:val="131727" w:themeColor="text1"/>
          <w:spacing w:val="-6"/>
          <w:w w:val="110"/>
        </w:rPr>
        <w:t xml:space="preserve"> </w:t>
      </w:r>
      <w:r w:rsidRPr="00FD40B8">
        <w:rPr>
          <w:color w:val="131727" w:themeColor="text1"/>
          <w:w w:val="110"/>
        </w:rPr>
        <w:t>also</w:t>
      </w:r>
      <w:r w:rsidRPr="00FD40B8">
        <w:rPr>
          <w:color w:val="131727" w:themeColor="text1"/>
          <w:spacing w:val="-6"/>
          <w:w w:val="110"/>
        </w:rPr>
        <w:t xml:space="preserve"> </w:t>
      </w:r>
      <w:r w:rsidRPr="00FD40B8">
        <w:rPr>
          <w:color w:val="131727" w:themeColor="text1"/>
          <w:w w:val="110"/>
        </w:rPr>
        <w:t>likely</w:t>
      </w:r>
      <w:r w:rsidRPr="00FD40B8">
        <w:rPr>
          <w:color w:val="131727" w:themeColor="text1"/>
          <w:spacing w:val="-5"/>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be</w:t>
      </w:r>
      <w:r w:rsidRPr="00FD40B8">
        <w:rPr>
          <w:color w:val="131727" w:themeColor="text1"/>
          <w:spacing w:val="-8"/>
          <w:w w:val="110"/>
        </w:rPr>
        <w:t xml:space="preserve"> </w:t>
      </w:r>
      <w:r w:rsidRPr="00FD40B8">
        <w:rPr>
          <w:color w:val="131727" w:themeColor="text1"/>
          <w:w w:val="110"/>
        </w:rPr>
        <w:t>‘no</w:t>
      </w:r>
      <w:r w:rsidRPr="00FD40B8">
        <w:rPr>
          <w:color w:val="131727" w:themeColor="text1"/>
          <w:spacing w:val="-2"/>
          <w:w w:val="110"/>
        </w:rPr>
        <w:t xml:space="preserve"> </w:t>
      </w:r>
      <w:r w:rsidRPr="00FD40B8">
        <w:rPr>
          <w:color w:val="131727" w:themeColor="text1"/>
          <w:w w:val="110"/>
        </w:rPr>
        <w:t>single</w:t>
      </w:r>
      <w:r w:rsidRPr="00FD40B8">
        <w:rPr>
          <w:color w:val="131727" w:themeColor="text1"/>
          <w:spacing w:val="-8"/>
          <w:w w:val="110"/>
        </w:rPr>
        <w:t xml:space="preserve"> </w:t>
      </w:r>
      <w:r w:rsidRPr="00FD40B8">
        <w:rPr>
          <w:color w:val="131727" w:themeColor="text1"/>
          <w:w w:val="110"/>
        </w:rPr>
        <w:t>bucket</w:t>
      </w:r>
      <w:r w:rsidRPr="00FD40B8">
        <w:rPr>
          <w:color w:val="131727" w:themeColor="text1"/>
          <w:spacing w:val="-12"/>
          <w:w w:val="110"/>
        </w:rPr>
        <w:t xml:space="preserve"> </w:t>
      </w:r>
      <w:r w:rsidRPr="00FD40B8">
        <w:rPr>
          <w:color w:val="131727" w:themeColor="text1"/>
          <w:w w:val="110"/>
        </w:rPr>
        <w:t>of</w:t>
      </w:r>
      <w:r w:rsidRPr="00FD40B8">
        <w:rPr>
          <w:color w:val="131727" w:themeColor="text1"/>
          <w:spacing w:val="-6"/>
          <w:w w:val="110"/>
        </w:rPr>
        <w:t xml:space="preserve"> </w:t>
      </w:r>
      <w:r w:rsidRPr="00FD40B8">
        <w:rPr>
          <w:color w:val="131727" w:themeColor="text1"/>
          <w:w w:val="110"/>
        </w:rPr>
        <w:t>housing</w:t>
      </w:r>
      <w:r w:rsidRPr="00FD40B8">
        <w:rPr>
          <w:color w:val="131727" w:themeColor="text1"/>
          <w:spacing w:val="-3"/>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collected</w:t>
      </w:r>
      <w:r w:rsidRPr="00FD40B8">
        <w:rPr>
          <w:color w:val="131727" w:themeColor="text1"/>
          <w:spacing w:val="-3"/>
          <w:w w:val="110"/>
        </w:rPr>
        <w:t xml:space="preserve"> </w:t>
      </w:r>
      <w:r w:rsidRPr="00FD40B8">
        <w:rPr>
          <w:color w:val="131727" w:themeColor="text1"/>
          <w:w w:val="110"/>
        </w:rPr>
        <w:t>by</w:t>
      </w:r>
      <w:r w:rsidRPr="00FD40B8">
        <w:rPr>
          <w:color w:val="131727" w:themeColor="text1"/>
          <w:spacing w:val="-9"/>
          <w:w w:val="110"/>
        </w:rPr>
        <w:t xml:space="preserve"> </w:t>
      </w:r>
      <w:r w:rsidRPr="00FD40B8">
        <w:rPr>
          <w:color w:val="131727" w:themeColor="text1"/>
          <w:w w:val="110"/>
        </w:rPr>
        <w:t>states</w:t>
      </w:r>
      <w:r w:rsidRPr="00FD40B8">
        <w:rPr>
          <w:color w:val="131727" w:themeColor="text1"/>
          <w:spacing w:val="-6"/>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territories and instead multiple collections exist by tenure type (e.g. public housing, community housing, home ownership etc.). Further, aside from investments targeted specifically to Aboriginal and Torres Strait Islander people, publicly available information on the outcomes of investments is not disaggregated to clearly ascertain how Aboriginal and Torres Strait Islander people have benefitted.</w:t>
      </w:r>
    </w:p>
    <w:p w14:paraId="1BAC0AA6" w14:textId="77777777" w:rsidR="00811887" w:rsidRPr="00FD40B8" w:rsidRDefault="00811887" w:rsidP="00811887">
      <w:pPr>
        <w:pStyle w:val="BodyText"/>
        <w:rPr>
          <w:color w:val="131727" w:themeColor="text1"/>
        </w:rPr>
      </w:pPr>
    </w:p>
    <w:p w14:paraId="322142E5" w14:textId="77777777" w:rsidR="00811887" w:rsidRPr="00FD40B8" w:rsidRDefault="00811887" w:rsidP="00811887">
      <w:pPr>
        <w:pStyle w:val="BodyText"/>
        <w:rPr>
          <w:color w:val="131727" w:themeColor="text1"/>
        </w:rPr>
      </w:pPr>
    </w:p>
    <w:p w14:paraId="411014B2" w14:textId="77777777" w:rsidR="00811887" w:rsidRPr="00FD40B8" w:rsidRDefault="00811887" w:rsidP="00811887">
      <w:pPr>
        <w:pStyle w:val="BodyText"/>
        <w:rPr>
          <w:color w:val="131727" w:themeColor="text1"/>
        </w:rPr>
      </w:pPr>
    </w:p>
    <w:p w14:paraId="20F6D1C6" w14:textId="77777777" w:rsidR="00811887" w:rsidRPr="00FD40B8" w:rsidRDefault="00811887" w:rsidP="00811887">
      <w:pPr>
        <w:pStyle w:val="BodyText"/>
        <w:rPr>
          <w:color w:val="131727" w:themeColor="text1"/>
        </w:rPr>
      </w:pPr>
    </w:p>
    <w:p w14:paraId="37DA5BFE" w14:textId="77777777" w:rsidR="00811887" w:rsidRPr="00FD40B8" w:rsidRDefault="00811887" w:rsidP="00811887">
      <w:pPr>
        <w:pStyle w:val="BodyText"/>
        <w:rPr>
          <w:color w:val="131727" w:themeColor="text1"/>
        </w:rPr>
      </w:pPr>
    </w:p>
    <w:p w14:paraId="4F07E88D" w14:textId="77777777" w:rsidR="00811887" w:rsidRPr="00FD40B8" w:rsidRDefault="00811887" w:rsidP="00811887">
      <w:pPr>
        <w:pStyle w:val="BodyText"/>
        <w:rPr>
          <w:color w:val="131727" w:themeColor="text1"/>
        </w:rPr>
      </w:pPr>
    </w:p>
    <w:p w14:paraId="7D715BC9" w14:textId="77777777" w:rsidR="00811887" w:rsidRPr="00FD40B8" w:rsidRDefault="00811887" w:rsidP="00811887">
      <w:pPr>
        <w:pStyle w:val="BodyText"/>
        <w:spacing w:before="93"/>
        <w:rPr>
          <w:color w:val="131727" w:themeColor="text1"/>
        </w:rPr>
      </w:pPr>
      <w:r w:rsidRPr="00FD40B8">
        <w:rPr>
          <w:noProof/>
          <w:color w:val="131727" w:themeColor="text1"/>
        </w:rPr>
        <mc:AlternateContent>
          <mc:Choice Requires="wps">
            <w:drawing>
              <wp:anchor distT="0" distB="0" distL="0" distR="0" simplePos="0" relativeHeight="251755520" behindDoc="1" locked="0" layoutInCell="1" allowOverlap="1" wp14:anchorId="1A0AC85C" wp14:editId="2AB52C3E">
                <wp:simplePos x="0" y="0"/>
                <wp:positionH relativeFrom="page">
                  <wp:posOffset>792784</wp:posOffset>
                </wp:positionH>
                <wp:positionV relativeFrom="paragraph">
                  <wp:posOffset>229744</wp:posOffset>
                </wp:positionV>
                <wp:extent cx="1830070" cy="6350"/>
                <wp:effectExtent l="0" t="0" r="0" b="0"/>
                <wp:wrapTopAndBottom/>
                <wp:docPr id="186" name="Graphic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98247" id="Graphic 186" o:spid="_x0000_s1026" alt="&quot;&quot;" style="position:absolute;margin-left:62.4pt;margin-top:18.1pt;width:144.1pt;height:.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" path="m1829689,l,,,6095r1829689,l1829689,xe" fillcolor="black" stroked="f">
                <v:path arrowok="t"/>
                <w10:wrap type="topAndBottom" anchorx="page"/>
              </v:shape>
            </w:pict>
          </mc:Fallback>
        </mc:AlternateContent>
      </w:r>
    </w:p>
    <w:p w14:paraId="00DB23D0" w14:textId="77777777" w:rsidR="00811887" w:rsidRPr="00FD40B8" w:rsidRDefault="00811887" w:rsidP="00811887">
      <w:pPr>
        <w:spacing w:before="123"/>
        <w:ind w:left="508"/>
        <w:rPr>
          <w:color w:val="131727" w:themeColor="text1"/>
          <w:sz w:val="16"/>
        </w:rPr>
      </w:pPr>
      <w:bookmarkStart w:id="193" w:name="_bookmark82"/>
      <w:bookmarkEnd w:id="193"/>
      <w:r w:rsidRPr="00FD40B8">
        <w:rPr>
          <w:color w:val="131727" w:themeColor="text1"/>
          <w:w w:val="105"/>
          <w:position w:val="6"/>
          <w:sz w:val="10"/>
        </w:rPr>
        <w:t>71</w:t>
      </w:r>
      <w:r w:rsidRPr="00FD40B8">
        <w:rPr>
          <w:color w:val="131727" w:themeColor="text1"/>
          <w:spacing w:val="35"/>
          <w:w w:val="105"/>
          <w:position w:val="6"/>
          <w:sz w:val="10"/>
        </w:rPr>
        <w:t xml:space="preserve">  </w:t>
      </w:r>
      <w:r w:rsidRPr="00FD40B8">
        <w:rPr>
          <w:color w:val="131727" w:themeColor="text1"/>
          <w:w w:val="105"/>
          <w:sz w:val="16"/>
        </w:rPr>
        <w:t>https://</w:t>
      </w:r>
      <w:hyperlink r:id="rId125">
        <w:r w:rsidRPr="00FD40B8">
          <w:rPr>
            <w:color w:val="131727" w:themeColor="text1"/>
            <w:w w:val="105"/>
            <w:sz w:val="16"/>
          </w:rPr>
          <w:t>www.niaa.gov.au/sites/default/files/publications/ctg-annual-report-and-implementation-plan-</w:t>
        </w:r>
        <w:r w:rsidRPr="00FD40B8">
          <w:rPr>
            <w:color w:val="131727" w:themeColor="text1"/>
            <w:spacing w:val="-2"/>
            <w:w w:val="105"/>
            <w:sz w:val="16"/>
          </w:rPr>
          <w:t>hq.pdf</w:t>
        </w:r>
      </w:hyperlink>
    </w:p>
    <w:p w14:paraId="71F9845A" w14:textId="77777777" w:rsidR="00811887" w:rsidRPr="00FD40B8" w:rsidRDefault="00811887" w:rsidP="00811887">
      <w:pPr>
        <w:spacing w:before="18"/>
        <w:ind w:left="508"/>
        <w:rPr>
          <w:color w:val="131727" w:themeColor="text1"/>
          <w:sz w:val="16"/>
        </w:rPr>
      </w:pPr>
      <w:bookmarkStart w:id="194" w:name="_bookmark83"/>
      <w:bookmarkEnd w:id="194"/>
      <w:r w:rsidRPr="00FD40B8">
        <w:rPr>
          <w:color w:val="131727" w:themeColor="text1"/>
          <w:w w:val="105"/>
          <w:position w:val="6"/>
          <w:sz w:val="10"/>
        </w:rPr>
        <w:t>72</w:t>
      </w:r>
      <w:r w:rsidRPr="00FD40B8">
        <w:rPr>
          <w:color w:val="131727" w:themeColor="text1"/>
          <w:spacing w:val="35"/>
          <w:w w:val="105"/>
          <w:position w:val="6"/>
          <w:sz w:val="10"/>
        </w:rPr>
        <w:t xml:space="preserve"> </w:t>
      </w:r>
      <w:r w:rsidRPr="00FD40B8">
        <w:rPr>
          <w:color w:val="131727" w:themeColor="text1"/>
          <w:w w:val="105"/>
          <w:sz w:val="16"/>
        </w:rPr>
        <w:t>https://</w:t>
      </w:r>
      <w:hyperlink r:id="rId126">
        <w:r w:rsidRPr="00FD40B8">
          <w:rPr>
            <w:color w:val="131727" w:themeColor="text1"/>
            <w:w w:val="105"/>
            <w:sz w:val="16"/>
          </w:rPr>
          <w:t>www.infrastructureaustralia.gov.au/sites/default/files/2020-</w:t>
        </w:r>
        <w:r w:rsidRPr="00FD40B8">
          <w:rPr>
            <w:color w:val="131727" w:themeColor="text1"/>
            <w:spacing w:val="-2"/>
            <w:w w:val="105"/>
            <w:sz w:val="16"/>
          </w:rPr>
          <w:t>09/2019_AIAudit_may2020_update.pdf</w:t>
        </w:r>
      </w:hyperlink>
    </w:p>
    <w:p w14:paraId="0C576DD5" w14:textId="77777777" w:rsidR="00811887" w:rsidRPr="00FD40B8" w:rsidRDefault="00811887" w:rsidP="00811887">
      <w:pPr>
        <w:rPr>
          <w:color w:val="131727" w:themeColor="text1"/>
          <w:sz w:val="16"/>
        </w:rPr>
        <w:sectPr w:rsidR="00811887" w:rsidRPr="00FD40B8" w:rsidSect="00811887">
          <w:pgSz w:w="11910" w:h="16840"/>
          <w:pgMar w:top="1320" w:right="720" w:bottom="1080" w:left="740" w:header="0" w:footer="805" w:gutter="0"/>
          <w:cols w:space="720"/>
        </w:sectPr>
      </w:pPr>
    </w:p>
    <w:p w14:paraId="111D2A12" w14:textId="77777777" w:rsidR="00811887" w:rsidRPr="00FD40B8" w:rsidRDefault="00811887" w:rsidP="00811887">
      <w:pPr>
        <w:pStyle w:val="BodyText"/>
        <w:spacing w:before="103" w:line="268" w:lineRule="auto"/>
        <w:ind w:left="508" w:right="547"/>
        <w:rPr>
          <w:color w:val="131727" w:themeColor="text1"/>
        </w:rPr>
      </w:pPr>
      <w:r w:rsidRPr="00FD40B8">
        <w:rPr>
          <w:color w:val="131727" w:themeColor="text1"/>
          <w:w w:val="110"/>
        </w:rPr>
        <w:lastRenderedPageBreak/>
        <w:t>That said, views of those consulted differed about how much data state and territory governments collected.</w:t>
      </w:r>
      <w:r w:rsidRPr="00FD40B8">
        <w:rPr>
          <w:color w:val="131727" w:themeColor="text1"/>
          <w:spacing w:val="-3"/>
          <w:w w:val="110"/>
        </w:rPr>
        <w:t xml:space="preserve"> </w:t>
      </w:r>
      <w:r w:rsidRPr="00FD40B8">
        <w:rPr>
          <w:color w:val="131727" w:themeColor="text1"/>
          <w:w w:val="110"/>
        </w:rPr>
        <w:t>There</w:t>
      </w:r>
      <w:r w:rsidRPr="00FD40B8">
        <w:rPr>
          <w:color w:val="131727" w:themeColor="text1"/>
          <w:spacing w:val="-3"/>
          <w:w w:val="110"/>
        </w:rPr>
        <w:t xml:space="preserve"> </w:t>
      </w:r>
      <w:r w:rsidRPr="00FD40B8">
        <w:rPr>
          <w:color w:val="131727" w:themeColor="text1"/>
          <w:w w:val="110"/>
        </w:rPr>
        <w:t>was</w:t>
      </w:r>
      <w:r w:rsidRPr="00FD40B8">
        <w:rPr>
          <w:color w:val="131727" w:themeColor="text1"/>
          <w:spacing w:val="-1"/>
          <w:w w:val="110"/>
        </w:rPr>
        <w:t xml:space="preserve"> </w:t>
      </w:r>
      <w:r w:rsidRPr="00FD40B8">
        <w:rPr>
          <w:color w:val="131727" w:themeColor="text1"/>
          <w:w w:val="110"/>
        </w:rPr>
        <w:t>agreement</w:t>
      </w:r>
      <w:r w:rsidRPr="00FD40B8">
        <w:rPr>
          <w:color w:val="131727" w:themeColor="text1"/>
          <w:spacing w:val="-7"/>
          <w:w w:val="110"/>
        </w:rPr>
        <w:t xml:space="preserve"> </w:t>
      </w:r>
      <w:r w:rsidRPr="00FD40B8">
        <w:rPr>
          <w:color w:val="131727" w:themeColor="text1"/>
          <w:w w:val="110"/>
        </w:rPr>
        <w:t>that</w:t>
      </w:r>
      <w:r w:rsidRPr="00FD40B8">
        <w:rPr>
          <w:color w:val="131727" w:themeColor="text1"/>
          <w:spacing w:val="-3"/>
          <w:w w:val="110"/>
        </w:rPr>
        <w:t xml:space="preserve"> </w:t>
      </w:r>
      <w:r w:rsidRPr="00FD40B8">
        <w:rPr>
          <w:color w:val="131727" w:themeColor="text1"/>
          <w:w w:val="110"/>
        </w:rPr>
        <w:t>more</w:t>
      </w:r>
      <w:r w:rsidRPr="00FD40B8">
        <w:rPr>
          <w:color w:val="131727" w:themeColor="text1"/>
          <w:spacing w:val="-7"/>
          <w:w w:val="110"/>
        </w:rPr>
        <w:t xml:space="preserve"> </w:t>
      </w:r>
      <w:r w:rsidRPr="00FD40B8">
        <w:rPr>
          <w:color w:val="131727" w:themeColor="text1"/>
          <w:w w:val="110"/>
        </w:rPr>
        <w:t>housing-related</w:t>
      </w:r>
      <w:r w:rsidRPr="00FD40B8">
        <w:rPr>
          <w:color w:val="131727" w:themeColor="text1"/>
          <w:spacing w:val="-3"/>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is</w:t>
      </w:r>
      <w:r w:rsidRPr="00FD40B8">
        <w:rPr>
          <w:color w:val="131727" w:themeColor="text1"/>
          <w:spacing w:val="-1"/>
          <w:w w:val="110"/>
        </w:rPr>
        <w:t xml:space="preserve"> </w:t>
      </w:r>
      <w:r w:rsidRPr="00FD40B8">
        <w:rPr>
          <w:color w:val="131727" w:themeColor="text1"/>
          <w:w w:val="110"/>
        </w:rPr>
        <w:t>collected</w:t>
      </w:r>
      <w:r w:rsidRPr="00FD40B8">
        <w:rPr>
          <w:color w:val="131727" w:themeColor="text1"/>
          <w:spacing w:val="-3"/>
          <w:w w:val="110"/>
        </w:rPr>
        <w:t xml:space="preserve"> </w:t>
      </w:r>
      <w:r w:rsidRPr="00FD40B8">
        <w:rPr>
          <w:color w:val="131727" w:themeColor="text1"/>
          <w:w w:val="110"/>
        </w:rPr>
        <w:t>than</w:t>
      </w:r>
      <w:r w:rsidRPr="00FD40B8">
        <w:rPr>
          <w:color w:val="131727" w:themeColor="text1"/>
          <w:spacing w:val="-6"/>
          <w:w w:val="110"/>
        </w:rPr>
        <w:t xml:space="preserve"> </w:t>
      </w:r>
      <w:r w:rsidRPr="00FD40B8">
        <w:rPr>
          <w:color w:val="131727" w:themeColor="text1"/>
          <w:w w:val="110"/>
        </w:rPr>
        <w:t>is</w:t>
      </w:r>
      <w:r w:rsidRPr="00FD40B8">
        <w:rPr>
          <w:color w:val="131727" w:themeColor="text1"/>
          <w:spacing w:val="-5"/>
          <w:w w:val="110"/>
        </w:rPr>
        <w:t xml:space="preserve"> </w:t>
      </w:r>
      <w:r w:rsidRPr="00FD40B8">
        <w:rPr>
          <w:color w:val="131727" w:themeColor="text1"/>
          <w:w w:val="110"/>
        </w:rPr>
        <w:t>currently</w:t>
      </w:r>
      <w:r w:rsidRPr="00FD40B8">
        <w:rPr>
          <w:color w:val="131727" w:themeColor="text1"/>
          <w:spacing w:val="-4"/>
          <w:w w:val="110"/>
        </w:rPr>
        <w:t xml:space="preserve"> </w:t>
      </w:r>
      <w:r w:rsidRPr="00FD40B8">
        <w:rPr>
          <w:color w:val="131727" w:themeColor="text1"/>
          <w:w w:val="110"/>
        </w:rPr>
        <w:t>shared</w:t>
      </w:r>
      <w:r w:rsidRPr="00FD40B8">
        <w:rPr>
          <w:color w:val="131727" w:themeColor="text1"/>
          <w:spacing w:val="-3"/>
          <w:w w:val="110"/>
        </w:rPr>
        <w:t xml:space="preserve"> </w:t>
      </w:r>
      <w:r w:rsidRPr="00FD40B8">
        <w:rPr>
          <w:color w:val="131727" w:themeColor="text1"/>
          <w:w w:val="110"/>
        </w:rPr>
        <w:t>with the Commonwealth but also that</w:t>
      </w:r>
      <w:r w:rsidRPr="00FD40B8">
        <w:rPr>
          <w:color w:val="131727" w:themeColor="text1"/>
          <w:spacing w:val="-3"/>
          <w:w w:val="110"/>
        </w:rPr>
        <w:t xml:space="preserve"> </w:t>
      </w:r>
      <w:r w:rsidRPr="00FD40B8">
        <w:rPr>
          <w:color w:val="131727" w:themeColor="text1"/>
          <w:w w:val="110"/>
        </w:rPr>
        <w:t>there were</w:t>
      </w:r>
      <w:r w:rsidRPr="00FD40B8">
        <w:rPr>
          <w:color w:val="131727" w:themeColor="text1"/>
          <w:spacing w:val="-3"/>
          <w:w w:val="110"/>
        </w:rPr>
        <w:t xml:space="preserve"> </w:t>
      </w:r>
      <w:r w:rsidRPr="00FD40B8">
        <w:rPr>
          <w:color w:val="131727" w:themeColor="text1"/>
          <w:w w:val="110"/>
        </w:rPr>
        <w:t>still likely to be</w:t>
      </w:r>
      <w:r w:rsidRPr="00FD40B8">
        <w:rPr>
          <w:color w:val="131727" w:themeColor="text1"/>
          <w:spacing w:val="-2"/>
          <w:w w:val="110"/>
        </w:rPr>
        <w:t xml:space="preserve"> </w:t>
      </w:r>
      <w:r w:rsidRPr="00FD40B8">
        <w:rPr>
          <w:color w:val="131727" w:themeColor="text1"/>
          <w:w w:val="110"/>
        </w:rPr>
        <w:t>gaps</w:t>
      </w:r>
      <w:r w:rsidRPr="00FD40B8">
        <w:rPr>
          <w:color w:val="131727" w:themeColor="text1"/>
          <w:spacing w:val="-1"/>
          <w:w w:val="110"/>
        </w:rPr>
        <w:t xml:space="preserve"> </w:t>
      </w:r>
      <w:r w:rsidRPr="00FD40B8">
        <w:rPr>
          <w:color w:val="131727" w:themeColor="text1"/>
          <w:w w:val="110"/>
        </w:rPr>
        <w:t>in</w:t>
      </w:r>
      <w:r w:rsidRPr="00FD40B8">
        <w:rPr>
          <w:color w:val="131727" w:themeColor="text1"/>
          <w:spacing w:val="-2"/>
          <w:w w:val="110"/>
        </w:rPr>
        <w:t xml:space="preserve"> </w:t>
      </w:r>
      <w:r w:rsidRPr="00FD40B8">
        <w:rPr>
          <w:color w:val="131727" w:themeColor="text1"/>
          <w:w w:val="110"/>
        </w:rPr>
        <w:t>data collection. Views differed as to why data already collected was not</w:t>
      </w:r>
      <w:r w:rsidRPr="00FD40B8">
        <w:rPr>
          <w:color w:val="131727" w:themeColor="text1"/>
          <w:spacing w:val="-1"/>
          <w:w w:val="110"/>
        </w:rPr>
        <w:t xml:space="preserve"> </w:t>
      </w:r>
      <w:r w:rsidRPr="00FD40B8">
        <w:rPr>
          <w:color w:val="131727" w:themeColor="text1"/>
          <w:w w:val="110"/>
        </w:rPr>
        <w:t>shared with the Commonwealth, ranging</w:t>
      </w:r>
      <w:r w:rsidRPr="00FD40B8">
        <w:rPr>
          <w:color w:val="131727" w:themeColor="text1"/>
          <w:spacing w:val="-1"/>
          <w:w w:val="110"/>
        </w:rPr>
        <w:t xml:space="preserve"> </w:t>
      </w:r>
      <w:r w:rsidRPr="00FD40B8">
        <w:rPr>
          <w:color w:val="131727" w:themeColor="text1"/>
          <w:w w:val="110"/>
        </w:rPr>
        <w:t>from a lack of incentives given responsibility for Aboriginal and Torres Strait Islander housing had been shifted to state and territory governments by the former Coalition Government; no consequences for not providing data or meeting targets related to Commonwealth investments; concern about being</w:t>
      </w:r>
      <w:r w:rsidRPr="00FD40B8">
        <w:rPr>
          <w:color w:val="131727" w:themeColor="text1"/>
          <w:spacing w:val="-1"/>
          <w:w w:val="110"/>
        </w:rPr>
        <w:t xml:space="preserve"> </w:t>
      </w:r>
      <w:r w:rsidRPr="00FD40B8">
        <w:rPr>
          <w:color w:val="131727" w:themeColor="text1"/>
          <w:w w:val="110"/>
        </w:rPr>
        <w:t>shamed</w:t>
      </w:r>
      <w:r w:rsidRPr="00FD40B8">
        <w:rPr>
          <w:color w:val="131727" w:themeColor="text1"/>
          <w:spacing w:val="-1"/>
          <w:w w:val="110"/>
        </w:rPr>
        <w:t xml:space="preserve"> </w:t>
      </w:r>
      <w:r w:rsidRPr="00FD40B8">
        <w:rPr>
          <w:color w:val="131727" w:themeColor="text1"/>
          <w:w w:val="110"/>
        </w:rPr>
        <w:t>due</w:t>
      </w:r>
      <w:r w:rsidRPr="00FD40B8">
        <w:rPr>
          <w:color w:val="131727" w:themeColor="text1"/>
          <w:spacing w:val="-1"/>
          <w:w w:val="110"/>
        </w:rPr>
        <w:t xml:space="preserve"> </w:t>
      </w:r>
      <w:r w:rsidRPr="00FD40B8">
        <w:rPr>
          <w:color w:val="131727" w:themeColor="text1"/>
          <w:w w:val="110"/>
        </w:rPr>
        <w:t>to challenges in delivery</w:t>
      </w:r>
      <w:r w:rsidRPr="00FD40B8">
        <w:rPr>
          <w:color w:val="131727" w:themeColor="text1"/>
          <w:spacing w:val="-2"/>
          <w:w w:val="110"/>
        </w:rPr>
        <w:t xml:space="preserve"> </w:t>
      </w:r>
      <w:r w:rsidRPr="00FD40B8">
        <w:rPr>
          <w:color w:val="131727" w:themeColor="text1"/>
          <w:w w:val="110"/>
        </w:rPr>
        <w:t>and performance;</w:t>
      </w:r>
      <w:r w:rsidRPr="00FD40B8">
        <w:rPr>
          <w:color w:val="131727" w:themeColor="text1"/>
          <w:spacing w:val="-5"/>
          <w:w w:val="110"/>
        </w:rPr>
        <w:t xml:space="preserve"> </w:t>
      </w:r>
      <w:r w:rsidRPr="00FD40B8">
        <w:rPr>
          <w:color w:val="131727" w:themeColor="text1"/>
          <w:w w:val="110"/>
        </w:rPr>
        <w:t>privacy</w:t>
      </w:r>
      <w:r w:rsidRPr="00FD40B8">
        <w:rPr>
          <w:color w:val="131727" w:themeColor="text1"/>
          <w:spacing w:val="-1"/>
          <w:w w:val="110"/>
        </w:rPr>
        <w:t xml:space="preserve"> </w:t>
      </w:r>
      <w:r w:rsidRPr="00FD40B8">
        <w:rPr>
          <w:color w:val="131727" w:themeColor="text1"/>
          <w:w w:val="110"/>
        </w:rPr>
        <w:t>concerns over</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2"/>
          <w:w w:val="110"/>
        </w:rPr>
        <w:t xml:space="preserve"> </w:t>
      </w:r>
      <w:r w:rsidRPr="00FD40B8">
        <w:rPr>
          <w:color w:val="131727" w:themeColor="text1"/>
          <w:w w:val="110"/>
        </w:rPr>
        <w:t>sharing and a</w:t>
      </w:r>
      <w:r w:rsidRPr="00FD40B8">
        <w:rPr>
          <w:color w:val="131727" w:themeColor="text1"/>
          <w:spacing w:val="-5"/>
          <w:w w:val="110"/>
        </w:rPr>
        <w:t xml:space="preserve"> </w:t>
      </w:r>
      <w:r w:rsidRPr="00FD40B8">
        <w:rPr>
          <w:color w:val="131727" w:themeColor="text1"/>
          <w:w w:val="110"/>
        </w:rPr>
        <w:t>need to review</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Privacy</w:t>
      </w:r>
      <w:r w:rsidRPr="00FD40B8">
        <w:rPr>
          <w:color w:val="131727" w:themeColor="text1"/>
          <w:spacing w:val="-1"/>
          <w:w w:val="110"/>
        </w:rPr>
        <w:t xml:space="preserve"> </w:t>
      </w:r>
      <w:r w:rsidRPr="00FD40B8">
        <w:rPr>
          <w:color w:val="131727" w:themeColor="text1"/>
          <w:w w:val="110"/>
        </w:rPr>
        <w:t>Act; to a lack of resourcing to make improvements.</w:t>
      </w:r>
    </w:p>
    <w:p w14:paraId="26E3B607" w14:textId="77777777" w:rsidR="00811887" w:rsidRPr="00FD40B8" w:rsidRDefault="00811887" w:rsidP="00811887">
      <w:pPr>
        <w:pStyle w:val="BodyText"/>
        <w:spacing w:before="82"/>
        <w:rPr>
          <w:color w:val="131727" w:themeColor="text1"/>
        </w:rPr>
      </w:pPr>
    </w:p>
    <w:p w14:paraId="08CAFAF2" w14:textId="77777777" w:rsidR="00811887" w:rsidRPr="00FD40B8" w:rsidRDefault="00811887" w:rsidP="00811887">
      <w:pPr>
        <w:pStyle w:val="Heading8"/>
        <w:rPr>
          <w:color w:val="131727" w:themeColor="text1"/>
        </w:rPr>
      </w:pPr>
      <w:r w:rsidRPr="00FD40B8">
        <w:rPr>
          <w:color w:val="131727" w:themeColor="text1"/>
        </w:rPr>
        <w:t>Future</w:t>
      </w:r>
      <w:r w:rsidRPr="00FD40B8">
        <w:rPr>
          <w:color w:val="131727" w:themeColor="text1"/>
          <w:spacing w:val="-4"/>
        </w:rPr>
        <w:t xml:space="preserve"> </w:t>
      </w:r>
      <w:r w:rsidRPr="00FD40B8">
        <w:rPr>
          <w:color w:val="131727" w:themeColor="text1"/>
        </w:rPr>
        <w:t>data</w:t>
      </w:r>
      <w:r w:rsidRPr="00FD40B8">
        <w:rPr>
          <w:color w:val="131727" w:themeColor="text1"/>
          <w:spacing w:val="-2"/>
        </w:rPr>
        <w:t xml:space="preserve"> requirements</w:t>
      </w:r>
    </w:p>
    <w:p w14:paraId="6E09C591" w14:textId="77777777" w:rsidR="00811887" w:rsidRPr="00FD40B8" w:rsidRDefault="00811887" w:rsidP="00811887">
      <w:pPr>
        <w:pStyle w:val="BodyText"/>
        <w:spacing w:before="146" w:line="268" w:lineRule="auto"/>
        <w:ind w:left="508" w:right="598"/>
        <w:rPr>
          <w:color w:val="131727" w:themeColor="text1"/>
        </w:rPr>
      </w:pPr>
      <w:r w:rsidRPr="00FD40B8">
        <w:rPr>
          <w:color w:val="131727" w:themeColor="text1"/>
          <w:w w:val="110"/>
        </w:rPr>
        <w:t>As noted</w:t>
      </w:r>
      <w:r w:rsidRPr="00FD40B8">
        <w:rPr>
          <w:color w:val="131727" w:themeColor="text1"/>
          <w:spacing w:val="-2"/>
          <w:w w:val="110"/>
        </w:rPr>
        <w:t xml:space="preserve"> </w:t>
      </w:r>
      <w:r w:rsidRPr="00FD40B8">
        <w:rPr>
          <w:color w:val="131727" w:themeColor="text1"/>
          <w:w w:val="110"/>
        </w:rPr>
        <w:t>above,</w:t>
      </w:r>
      <w:r w:rsidRPr="00FD40B8">
        <w:rPr>
          <w:color w:val="131727" w:themeColor="text1"/>
          <w:spacing w:val="-5"/>
          <w:w w:val="110"/>
        </w:rPr>
        <w:t xml:space="preserve"> </w:t>
      </w:r>
      <w:r w:rsidRPr="00FD40B8">
        <w:rPr>
          <w:color w:val="131727" w:themeColor="text1"/>
          <w:w w:val="110"/>
        </w:rPr>
        <w:t>some</w:t>
      </w:r>
      <w:r w:rsidRPr="00FD40B8">
        <w:rPr>
          <w:color w:val="131727" w:themeColor="text1"/>
          <w:spacing w:val="-6"/>
          <w:w w:val="110"/>
        </w:rPr>
        <w:t xml:space="preserve"> </w:t>
      </w:r>
      <w:r w:rsidRPr="00FD40B8">
        <w:rPr>
          <w:color w:val="131727" w:themeColor="text1"/>
          <w:w w:val="110"/>
        </w:rPr>
        <w:t>of those</w:t>
      </w:r>
      <w:r w:rsidRPr="00FD40B8">
        <w:rPr>
          <w:color w:val="131727" w:themeColor="text1"/>
          <w:spacing w:val="-2"/>
          <w:w w:val="110"/>
        </w:rPr>
        <w:t xml:space="preserve"> </w:t>
      </w:r>
      <w:r w:rsidRPr="00FD40B8">
        <w:rPr>
          <w:color w:val="131727" w:themeColor="text1"/>
          <w:w w:val="110"/>
        </w:rPr>
        <w:t>we</w:t>
      </w:r>
      <w:r w:rsidRPr="00FD40B8">
        <w:rPr>
          <w:color w:val="131727" w:themeColor="text1"/>
          <w:spacing w:val="-6"/>
          <w:w w:val="110"/>
        </w:rPr>
        <w:t xml:space="preserve"> </w:t>
      </w:r>
      <w:r w:rsidRPr="00FD40B8">
        <w:rPr>
          <w:color w:val="131727" w:themeColor="text1"/>
          <w:w w:val="110"/>
        </w:rPr>
        <w:t>consulted,</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5"/>
          <w:w w:val="110"/>
        </w:rPr>
        <w:t xml:space="preserve"> </w:t>
      </w:r>
      <w:r w:rsidRPr="00FD40B8">
        <w:rPr>
          <w:color w:val="131727" w:themeColor="text1"/>
          <w:w w:val="110"/>
        </w:rPr>
        <w:t>other</w:t>
      </w:r>
      <w:r w:rsidRPr="00FD40B8">
        <w:rPr>
          <w:color w:val="131727" w:themeColor="text1"/>
          <w:spacing w:val="-3"/>
          <w:w w:val="110"/>
        </w:rPr>
        <w:t xml:space="preserve"> </w:t>
      </w:r>
      <w:r w:rsidRPr="00FD40B8">
        <w:rPr>
          <w:color w:val="131727" w:themeColor="text1"/>
          <w:w w:val="110"/>
        </w:rPr>
        <w:t>stakeholders,</w:t>
      </w:r>
      <w:r w:rsidRPr="00FD40B8">
        <w:rPr>
          <w:color w:val="131727" w:themeColor="text1"/>
          <w:spacing w:val="-2"/>
          <w:w w:val="110"/>
        </w:rPr>
        <w:t xml:space="preserve"> </w:t>
      </w:r>
      <w:r w:rsidRPr="00FD40B8">
        <w:rPr>
          <w:color w:val="131727" w:themeColor="text1"/>
          <w:w w:val="110"/>
        </w:rPr>
        <w:t>have</w:t>
      </w:r>
      <w:r w:rsidRPr="00FD40B8">
        <w:rPr>
          <w:color w:val="131727" w:themeColor="text1"/>
          <w:spacing w:val="-6"/>
          <w:w w:val="110"/>
        </w:rPr>
        <w:t xml:space="preserve"> </w:t>
      </w:r>
      <w:r w:rsidRPr="00FD40B8">
        <w:rPr>
          <w:color w:val="131727" w:themeColor="text1"/>
          <w:w w:val="110"/>
        </w:rPr>
        <w:t>called</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re-instatement of CHINS to fulfil many of the existing data gaps. However, it is noted that CHINS also had some data limitations and</w:t>
      </w:r>
      <w:r w:rsidRPr="00FD40B8">
        <w:rPr>
          <w:color w:val="131727" w:themeColor="text1"/>
          <w:spacing w:val="-2"/>
          <w:w w:val="110"/>
        </w:rPr>
        <w:t xml:space="preserve"> </w:t>
      </w:r>
      <w:r w:rsidRPr="00FD40B8">
        <w:rPr>
          <w:color w:val="131727" w:themeColor="text1"/>
          <w:w w:val="110"/>
        </w:rPr>
        <w:t>did</w:t>
      </w:r>
      <w:r w:rsidRPr="00FD40B8">
        <w:rPr>
          <w:color w:val="131727" w:themeColor="text1"/>
          <w:spacing w:val="-7"/>
          <w:w w:val="110"/>
        </w:rPr>
        <w:t xml:space="preserve"> </w:t>
      </w:r>
      <w:r w:rsidRPr="00FD40B8">
        <w:rPr>
          <w:color w:val="131727" w:themeColor="text1"/>
          <w:w w:val="110"/>
        </w:rPr>
        <w:t>not</w:t>
      </w:r>
      <w:r w:rsidRPr="00FD40B8">
        <w:rPr>
          <w:color w:val="131727" w:themeColor="text1"/>
          <w:spacing w:val="-7"/>
          <w:w w:val="110"/>
        </w:rPr>
        <w:t xml:space="preserve"> </w:t>
      </w:r>
      <w:r w:rsidRPr="00FD40B8">
        <w:rPr>
          <w:color w:val="131727" w:themeColor="text1"/>
          <w:w w:val="110"/>
        </w:rPr>
        <w:t>collect</w:t>
      </w:r>
      <w:r w:rsidRPr="00FD40B8">
        <w:rPr>
          <w:color w:val="131727" w:themeColor="text1"/>
          <w:spacing w:val="-7"/>
          <w:w w:val="110"/>
        </w:rPr>
        <w:t xml:space="preserve"> </w:t>
      </w:r>
      <w:r w:rsidRPr="00FD40B8">
        <w:rPr>
          <w:color w:val="131727" w:themeColor="text1"/>
          <w:w w:val="110"/>
        </w:rPr>
        <w:t>information</w:t>
      </w:r>
      <w:r w:rsidRPr="00FD40B8">
        <w:rPr>
          <w:color w:val="131727" w:themeColor="text1"/>
          <w:spacing w:val="-1"/>
          <w:w w:val="110"/>
        </w:rPr>
        <w:t xml:space="preserve"> </w:t>
      </w:r>
      <w:r w:rsidRPr="00FD40B8">
        <w:rPr>
          <w:color w:val="131727" w:themeColor="text1"/>
          <w:w w:val="110"/>
        </w:rPr>
        <w:t>on</w:t>
      </w:r>
      <w:r w:rsidRPr="00FD40B8">
        <w:rPr>
          <w:color w:val="131727" w:themeColor="text1"/>
          <w:spacing w:val="-6"/>
          <w:w w:val="110"/>
        </w:rPr>
        <w:t xml:space="preserve"> </w:t>
      </w:r>
      <w:r w:rsidRPr="00FD40B8">
        <w:rPr>
          <w:color w:val="131727" w:themeColor="text1"/>
          <w:w w:val="110"/>
        </w:rPr>
        <w:t>some</w:t>
      </w:r>
      <w:r w:rsidRPr="00FD40B8">
        <w:rPr>
          <w:color w:val="131727" w:themeColor="text1"/>
          <w:spacing w:val="-2"/>
          <w:w w:val="110"/>
        </w:rPr>
        <w:t xml:space="preserve"> </w:t>
      </w:r>
      <w:r w:rsidRPr="00FD40B8">
        <w:rPr>
          <w:color w:val="131727" w:themeColor="text1"/>
          <w:w w:val="110"/>
        </w:rPr>
        <w:t>areas that</w:t>
      </w:r>
      <w:r w:rsidRPr="00FD40B8">
        <w:rPr>
          <w:color w:val="131727" w:themeColor="text1"/>
          <w:spacing w:val="-2"/>
          <w:w w:val="110"/>
        </w:rPr>
        <w:t xml:space="preserve"> </w:t>
      </w:r>
      <w:r w:rsidRPr="00FD40B8">
        <w:rPr>
          <w:color w:val="131727" w:themeColor="text1"/>
          <w:w w:val="110"/>
        </w:rPr>
        <w:t>would</w:t>
      </w:r>
      <w:r w:rsidRPr="00FD40B8">
        <w:rPr>
          <w:color w:val="131727" w:themeColor="text1"/>
          <w:spacing w:val="-7"/>
          <w:w w:val="110"/>
        </w:rPr>
        <w:t xml:space="preserve"> </w:t>
      </w:r>
      <w:r w:rsidRPr="00FD40B8">
        <w:rPr>
          <w:color w:val="131727" w:themeColor="text1"/>
          <w:w w:val="110"/>
        </w:rPr>
        <w:t>be</w:t>
      </w:r>
      <w:r w:rsidRPr="00FD40B8">
        <w:rPr>
          <w:color w:val="131727" w:themeColor="text1"/>
          <w:spacing w:val="-2"/>
          <w:w w:val="110"/>
        </w:rPr>
        <w:t xml:space="preserve"> </w:t>
      </w:r>
      <w:r w:rsidRPr="00FD40B8">
        <w:rPr>
          <w:color w:val="131727" w:themeColor="text1"/>
          <w:w w:val="110"/>
        </w:rPr>
        <w:t>important</w:t>
      </w:r>
      <w:r w:rsidRPr="00FD40B8">
        <w:rPr>
          <w:color w:val="131727" w:themeColor="text1"/>
          <w:spacing w:val="-2"/>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future</w:t>
      </w:r>
      <w:r w:rsidRPr="00FD40B8">
        <w:rPr>
          <w:color w:val="131727" w:themeColor="text1"/>
          <w:spacing w:val="-7"/>
          <w:w w:val="110"/>
        </w:rPr>
        <w:t xml:space="preserve"> </w:t>
      </w:r>
      <w:r w:rsidRPr="00FD40B8">
        <w:rPr>
          <w:color w:val="131727" w:themeColor="text1"/>
          <w:w w:val="110"/>
        </w:rPr>
        <w:t>collections, such as:</w:t>
      </w:r>
    </w:p>
    <w:p w14:paraId="07ED3999" w14:textId="77777777" w:rsidR="00811887" w:rsidRPr="00FD40B8" w:rsidRDefault="00811887" w:rsidP="00811887">
      <w:pPr>
        <w:pStyle w:val="BodyText"/>
        <w:spacing w:before="101"/>
        <w:rPr>
          <w:color w:val="131727" w:themeColor="text1"/>
        </w:rPr>
      </w:pPr>
    </w:p>
    <w:p w14:paraId="32C7680B" w14:textId="77777777" w:rsidR="00811887" w:rsidRPr="00FD40B8" w:rsidRDefault="00811887" w:rsidP="00811887">
      <w:pPr>
        <w:pStyle w:val="ListParagraph"/>
        <w:widowControl w:val="0"/>
        <w:numPr>
          <w:ilvl w:val="0"/>
          <w:numId w:val="63"/>
        </w:numPr>
        <w:tabs>
          <w:tab w:val="left" w:pos="1228"/>
        </w:tabs>
        <w:autoSpaceDE w:val="0"/>
        <w:autoSpaceDN w:val="0"/>
        <w:spacing w:after="0" w:line="268" w:lineRule="auto"/>
        <w:ind w:right="747"/>
        <w:contextualSpacing w:val="0"/>
        <w:rPr>
          <w:color w:val="131727" w:themeColor="text1"/>
          <w:sz w:val="20"/>
        </w:rPr>
      </w:pPr>
      <w:r w:rsidRPr="00FD40B8">
        <w:rPr>
          <w:color w:val="131727" w:themeColor="text1"/>
          <w:w w:val="110"/>
          <w:sz w:val="20"/>
        </w:rPr>
        <w:t>the number</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serviced blocks</w:t>
      </w:r>
      <w:r w:rsidRPr="00FD40B8">
        <w:rPr>
          <w:color w:val="131727" w:themeColor="text1"/>
          <w:spacing w:val="-2"/>
          <w:w w:val="110"/>
          <w:sz w:val="20"/>
        </w:rPr>
        <w:t xml:space="preserve"> </w:t>
      </w:r>
      <w:r w:rsidRPr="00FD40B8">
        <w:rPr>
          <w:color w:val="131727" w:themeColor="text1"/>
          <w:w w:val="110"/>
          <w:sz w:val="20"/>
        </w:rPr>
        <w:t>in</w:t>
      </w:r>
      <w:r w:rsidRPr="00FD40B8">
        <w:rPr>
          <w:color w:val="131727" w:themeColor="text1"/>
          <w:spacing w:val="-3"/>
          <w:w w:val="110"/>
          <w:sz w:val="20"/>
        </w:rPr>
        <w:t xml:space="preserve"> </w:t>
      </w:r>
      <w:r w:rsidRPr="00FD40B8">
        <w:rPr>
          <w:color w:val="131727" w:themeColor="text1"/>
          <w:w w:val="110"/>
          <w:sz w:val="20"/>
        </w:rPr>
        <w:t>a community</w:t>
      </w:r>
      <w:r w:rsidRPr="00FD40B8">
        <w:rPr>
          <w:color w:val="131727" w:themeColor="text1"/>
          <w:spacing w:val="-1"/>
          <w:w w:val="110"/>
          <w:sz w:val="20"/>
        </w:rPr>
        <w:t xml:space="preserve"> </w:t>
      </w:r>
      <w:r w:rsidRPr="00FD40B8">
        <w:rPr>
          <w:color w:val="131727" w:themeColor="text1"/>
          <w:w w:val="110"/>
          <w:sz w:val="20"/>
        </w:rPr>
        <w:t>and capacity</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housing</w:t>
      </w:r>
      <w:r w:rsidRPr="00FD40B8">
        <w:rPr>
          <w:color w:val="131727" w:themeColor="text1"/>
          <w:spacing w:val="-4"/>
          <w:w w:val="110"/>
          <w:sz w:val="20"/>
        </w:rPr>
        <w:t xml:space="preserve"> </w:t>
      </w:r>
      <w:r w:rsidRPr="00FD40B8">
        <w:rPr>
          <w:color w:val="131727" w:themeColor="text1"/>
          <w:w w:val="110"/>
          <w:sz w:val="20"/>
        </w:rPr>
        <w:t>and community-related infrastructure to take on additional housing supply</w:t>
      </w:r>
    </w:p>
    <w:p w14:paraId="26EF3016" w14:textId="77777777" w:rsidR="00811887" w:rsidRPr="00FD40B8" w:rsidRDefault="00811887" w:rsidP="00811887">
      <w:pPr>
        <w:pStyle w:val="ListParagraph"/>
        <w:widowControl w:val="0"/>
        <w:numPr>
          <w:ilvl w:val="0"/>
          <w:numId w:val="63"/>
        </w:numPr>
        <w:tabs>
          <w:tab w:val="left" w:pos="1228"/>
        </w:tabs>
        <w:autoSpaceDE w:val="0"/>
        <w:autoSpaceDN w:val="0"/>
        <w:spacing w:before="110" w:after="0"/>
        <w:ind w:hanging="360"/>
        <w:contextualSpacing w:val="0"/>
        <w:rPr>
          <w:color w:val="131727" w:themeColor="text1"/>
          <w:sz w:val="20"/>
        </w:rPr>
      </w:pPr>
      <w:r w:rsidRPr="00FD40B8">
        <w:rPr>
          <w:color w:val="131727" w:themeColor="text1"/>
          <w:w w:val="110"/>
          <w:sz w:val="20"/>
        </w:rPr>
        <w:t>accessibility</w:t>
      </w:r>
      <w:r w:rsidRPr="00FD40B8">
        <w:rPr>
          <w:color w:val="131727" w:themeColor="text1"/>
          <w:spacing w:val="-12"/>
          <w:w w:val="110"/>
          <w:sz w:val="20"/>
        </w:rPr>
        <w:t xml:space="preserve"> </w:t>
      </w:r>
      <w:r w:rsidRPr="00FD40B8">
        <w:rPr>
          <w:color w:val="131727" w:themeColor="text1"/>
          <w:w w:val="110"/>
          <w:sz w:val="20"/>
        </w:rPr>
        <w:t>of</w:t>
      </w:r>
      <w:r w:rsidRPr="00FD40B8">
        <w:rPr>
          <w:color w:val="131727" w:themeColor="text1"/>
          <w:spacing w:val="-9"/>
          <w:w w:val="110"/>
          <w:sz w:val="20"/>
        </w:rPr>
        <w:t xml:space="preserve"> </w:t>
      </w:r>
      <w:r w:rsidRPr="00FD40B8">
        <w:rPr>
          <w:color w:val="131727" w:themeColor="text1"/>
          <w:w w:val="110"/>
          <w:sz w:val="20"/>
        </w:rPr>
        <w:t>housing</w:t>
      </w:r>
      <w:r w:rsidRPr="00FD40B8">
        <w:rPr>
          <w:color w:val="131727" w:themeColor="text1"/>
          <w:spacing w:val="-10"/>
          <w:w w:val="110"/>
          <w:sz w:val="20"/>
        </w:rPr>
        <w:t xml:space="preserve"> </w:t>
      </w:r>
      <w:r w:rsidRPr="00FD40B8">
        <w:rPr>
          <w:color w:val="131727" w:themeColor="text1"/>
          <w:w w:val="110"/>
          <w:sz w:val="20"/>
        </w:rPr>
        <w:t>for</w:t>
      </w:r>
      <w:r w:rsidRPr="00FD40B8">
        <w:rPr>
          <w:color w:val="131727" w:themeColor="text1"/>
          <w:spacing w:val="-5"/>
          <w:w w:val="110"/>
          <w:sz w:val="20"/>
        </w:rPr>
        <w:t xml:space="preserve"> </w:t>
      </w:r>
      <w:r w:rsidRPr="00FD40B8">
        <w:rPr>
          <w:color w:val="131727" w:themeColor="text1"/>
          <w:w w:val="110"/>
          <w:sz w:val="20"/>
        </w:rPr>
        <w:t>residents</w:t>
      </w:r>
      <w:r w:rsidRPr="00FD40B8">
        <w:rPr>
          <w:color w:val="131727" w:themeColor="text1"/>
          <w:spacing w:val="-4"/>
          <w:w w:val="110"/>
          <w:sz w:val="20"/>
        </w:rPr>
        <w:t xml:space="preserve"> </w:t>
      </w:r>
      <w:r w:rsidRPr="00FD40B8">
        <w:rPr>
          <w:color w:val="131727" w:themeColor="text1"/>
          <w:w w:val="110"/>
          <w:sz w:val="20"/>
        </w:rPr>
        <w:t>living</w:t>
      </w:r>
      <w:r w:rsidRPr="00FD40B8">
        <w:rPr>
          <w:color w:val="131727" w:themeColor="text1"/>
          <w:spacing w:val="-6"/>
          <w:w w:val="110"/>
          <w:sz w:val="20"/>
        </w:rPr>
        <w:t xml:space="preserve"> </w:t>
      </w:r>
      <w:r w:rsidRPr="00FD40B8">
        <w:rPr>
          <w:color w:val="131727" w:themeColor="text1"/>
          <w:w w:val="110"/>
          <w:sz w:val="20"/>
        </w:rPr>
        <w:t>with</w:t>
      </w:r>
      <w:r w:rsidRPr="00FD40B8">
        <w:rPr>
          <w:color w:val="131727" w:themeColor="text1"/>
          <w:spacing w:val="-6"/>
          <w:w w:val="110"/>
          <w:sz w:val="20"/>
        </w:rPr>
        <w:t xml:space="preserve"> </w:t>
      </w:r>
      <w:r w:rsidRPr="00FD40B8">
        <w:rPr>
          <w:color w:val="131727" w:themeColor="text1"/>
          <w:w w:val="110"/>
          <w:sz w:val="20"/>
        </w:rPr>
        <w:t>a</w:t>
      </w:r>
      <w:r w:rsidRPr="00FD40B8">
        <w:rPr>
          <w:color w:val="131727" w:themeColor="text1"/>
          <w:spacing w:val="-11"/>
          <w:w w:val="110"/>
          <w:sz w:val="20"/>
        </w:rPr>
        <w:t xml:space="preserve"> </w:t>
      </w:r>
      <w:r w:rsidRPr="00FD40B8">
        <w:rPr>
          <w:color w:val="131727" w:themeColor="text1"/>
          <w:w w:val="110"/>
          <w:sz w:val="20"/>
        </w:rPr>
        <w:t>disability</w:t>
      </w:r>
      <w:r w:rsidRPr="00FD40B8">
        <w:rPr>
          <w:color w:val="131727" w:themeColor="text1"/>
          <w:spacing w:val="-9"/>
          <w:w w:val="110"/>
          <w:sz w:val="20"/>
        </w:rPr>
        <w:t xml:space="preserve"> </w:t>
      </w:r>
      <w:r w:rsidRPr="00FD40B8">
        <w:rPr>
          <w:color w:val="131727" w:themeColor="text1"/>
          <w:w w:val="110"/>
          <w:sz w:val="20"/>
        </w:rPr>
        <w:t>or</w:t>
      </w:r>
      <w:r w:rsidRPr="00FD40B8">
        <w:rPr>
          <w:color w:val="131727" w:themeColor="text1"/>
          <w:spacing w:val="-8"/>
          <w:w w:val="110"/>
          <w:sz w:val="20"/>
        </w:rPr>
        <w:t xml:space="preserve"> </w:t>
      </w:r>
      <w:r w:rsidRPr="00FD40B8">
        <w:rPr>
          <w:color w:val="131727" w:themeColor="text1"/>
          <w:spacing w:val="-2"/>
          <w:w w:val="110"/>
          <w:sz w:val="20"/>
        </w:rPr>
        <w:t>ageing</w:t>
      </w:r>
    </w:p>
    <w:p w14:paraId="41147769" w14:textId="77777777" w:rsidR="00811887" w:rsidRPr="00FD40B8" w:rsidRDefault="00811887" w:rsidP="00811887">
      <w:pPr>
        <w:pStyle w:val="ListParagraph"/>
        <w:widowControl w:val="0"/>
        <w:numPr>
          <w:ilvl w:val="0"/>
          <w:numId w:val="63"/>
        </w:numPr>
        <w:tabs>
          <w:tab w:val="left" w:pos="1228"/>
        </w:tabs>
        <w:autoSpaceDE w:val="0"/>
        <w:autoSpaceDN w:val="0"/>
        <w:spacing w:before="139" w:after="0"/>
        <w:ind w:hanging="360"/>
        <w:contextualSpacing w:val="0"/>
        <w:rPr>
          <w:color w:val="131727" w:themeColor="text1"/>
          <w:sz w:val="20"/>
        </w:rPr>
      </w:pPr>
      <w:r w:rsidRPr="00FD40B8">
        <w:rPr>
          <w:color w:val="131727" w:themeColor="text1"/>
          <w:w w:val="110"/>
          <w:sz w:val="20"/>
        </w:rPr>
        <w:t>climate appropriateness</w:t>
      </w:r>
      <w:r w:rsidRPr="00FD40B8">
        <w:rPr>
          <w:color w:val="131727" w:themeColor="text1"/>
          <w:spacing w:val="4"/>
          <w:w w:val="110"/>
          <w:sz w:val="20"/>
        </w:rPr>
        <w:t xml:space="preserve"> </w:t>
      </w:r>
      <w:r w:rsidRPr="00FD40B8">
        <w:rPr>
          <w:color w:val="131727" w:themeColor="text1"/>
          <w:w w:val="110"/>
          <w:sz w:val="20"/>
        </w:rPr>
        <w:t>and</w:t>
      </w:r>
      <w:r w:rsidRPr="00FD40B8">
        <w:rPr>
          <w:color w:val="131727" w:themeColor="text1"/>
          <w:spacing w:val="2"/>
          <w:w w:val="110"/>
          <w:sz w:val="20"/>
        </w:rPr>
        <w:t xml:space="preserve"> </w:t>
      </w:r>
      <w:r w:rsidRPr="00FD40B8">
        <w:rPr>
          <w:color w:val="131727" w:themeColor="text1"/>
          <w:w w:val="110"/>
          <w:sz w:val="20"/>
        </w:rPr>
        <w:t>resilience</w:t>
      </w:r>
      <w:r w:rsidRPr="00FD40B8">
        <w:rPr>
          <w:color w:val="131727" w:themeColor="text1"/>
          <w:spacing w:val="-4"/>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housing</w:t>
      </w:r>
      <w:r w:rsidRPr="00FD40B8">
        <w:rPr>
          <w:color w:val="131727" w:themeColor="text1"/>
          <w:spacing w:val="7"/>
          <w:w w:val="110"/>
          <w:sz w:val="20"/>
        </w:rPr>
        <w:t xml:space="preserve"> </w:t>
      </w:r>
      <w:r w:rsidRPr="00FD40B8">
        <w:rPr>
          <w:color w:val="131727" w:themeColor="text1"/>
          <w:w w:val="110"/>
          <w:sz w:val="20"/>
        </w:rPr>
        <w:t>and</w:t>
      </w:r>
      <w:r w:rsidRPr="00FD40B8">
        <w:rPr>
          <w:color w:val="131727" w:themeColor="text1"/>
          <w:spacing w:val="-3"/>
          <w:w w:val="110"/>
          <w:sz w:val="20"/>
        </w:rPr>
        <w:t xml:space="preserve"> </w:t>
      </w:r>
      <w:r w:rsidRPr="00FD40B8">
        <w:rPr>
          <w:color w:val="131727" w:themeColor="text1"/>
          <w:spacing w:val="-2"/>
          <w:w w:val="110"/>
          <w:sz w:val="20"/>
        </w:rPr>
        <w:t>infrastructure</w:t>
      </w:r>
    </w:p>
    <w:p w14:paraId="4935D28F" w14:textId="77777777" w:rsidR="00811887" w:rsidRPr="00FD40B8" w:rsidRDefault="00811887" w:rsidP="00811887">
      <w:pPr>
        <w:pStyle w:val="ListParagraph"/>
        <w:widowControl w:val="0"/>
        <w:numPr>
          <w:ilvl w:val="0"/>
          <w:numId w:val="63"/>
        </w:numPr>
        <w:tabs>
          <w:tab w:val="left" w:pos="1228"/>
        </w:tabs>
        <w:autoSpaceDE w:val="0"/>
        <w:autoSpaceDN w:val="0"/>
        <w:spacing w:before="134" w:after="0"/>
        <w:ind w:hanging="360"/>
        <w:contextualSpacing w:val="0"/>
        <w:rPr>
          <w:color w:val="131727" w:themeColor="text1"/>
          <w:sz w:val="20"/>
        </w:rPr>
      </w:pPr>
      <w:r w:rsidRPr="00FD40B8">
        <w:rPr>
          <w:color w:val="131727" w:themeColor="text1"/>
          <w:w w:val="110"/>
          <w:sz w:val="20"/>
        </w:rPr>
        <w:t>stages</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8"/>
          <w:w w:val="110"/>
          <w:sz w:val="20"/>
        </w:rPr>
        <w:t xml:space="preserve"> </w:t>
      </w:r>
      <w:r w:rsidRPr="00FD40B8">
        <w:rPr>
          <w:color w:val="131727" w:themeColor="text1"/>
          <w:w w:val="110"/>
          <w:sz w:val="20"/>
        </w:rPr>
        <w:t>infrastructure</w:t>
      </w:r>
      <w:r w:rsidRPr="00FD40B8">
        <w:rPr>
          <w:color w:val="131727" w:themeColor="text1"/>
          <w:spacing w:val="-4"/>
          <w:w w:val="110"/>
          <w:sz w:val="20"/>
        </w:rPr>
        <w:t xml:space="preserve"> </w:t>
      </w:r>
      <w:r w:rsidRPr="00FD40B8">
        <w:rPr>
          <w:color w:val="131727" w:themeColor="text1"/>
          <w:w w:val="110"/>
          <w:sz w:val="20"/>
        </w:rPr>
        <w:t>required</w:t>
      </w:r>
      <w:r w:rsidRPr="00FD40B8">
        <w:rPr>
          <w:color w:val="131727" w:themeColor="text1"/>
          <w:spacing w:val="-4"/>
          <w:w w:val="110"/>
          <w:sz w:val="20"/>
        </w:rPr>
        <w:t xml:space="preserve"> </w:t>
      </w:r>
      <w:r w:rsidRPr="00FD40B8">
        <w:rPr>
          <w:color w:val="131727" w:themeColor="text1"/>
          <w:w w:val="110"/>
          <w:sz w:val="20"/>
        </w:rPr>
        <w:t>to</w:t>
      </w:r>
      <w:r w:rsidRPr="00FD40B8">
        <w:rPr>
          <w:color w:val="131727" w:themeColor="text1"/>
          <w:spacing w:val="-7"/>
          <w:w w:val="110"/>
          <w:sz w:val="20"/>
        </w:rPr>
        <w:t xml:space="preserve"> </w:t>
      </w:r>
      <w:r w:rsidRPr="00FD40B8">
        <w:rPr>
          <w:color w:val="131727" w:themeColor="text1"/>
          <w:w w:val="110"/>
          <w:sz w:val="20"/>
        </w:rPr>
        <w:t>transition</w:t>
      </w:r>
      <w:r w:rsidRPr="00FD40B8">
        <w:rPr>
          <w:color w:val="131727" w:themeColor="text1"/>
          <w:spacing w:val="-3"/>
          <w:w w:val="110"/>
          <w:sz w:val="20"/>
        </w:rPr>
        <w:t xml:space="preserve"> </w:t>
      </w:r>
      <w:r w:rsidRPr="00FD40B8">
        <w:rPr>
          <w:color w:val="131727" w:themeColor="text1"/>
          <w:w w:val="110"/>
          <w:sz w:val="20"/>
        </w:rPr>
        <w:t>to</w:t>
      </w:r>
      <w:r w:rsidRPr="00FD40B8">
        <w:rPr>
          <w:color w:val="131727" w:themeColor="text1"/>
          <w:spacing w:val="-7"/>
          <w:w w:val="110"/>
          <w:sz w:val="20"/>
        </w:rPr>
        <w:t xml:space="preserve"> </w:t>
      </w:r>
      <w:r w:rsidRPr="00FD40B8">
        <w:rPr>
          <w:color w:val="131727" w:themeColor="text1"/>
          <w:w w:val="110"/>
          <w:sz w:val="20"/>
        </w:rPr>
        <w:t>renewable</w:t>
      </w:r>
      <w:r w:rsidRPr="00FD40B8">
        <w:rPr>
          <w:color w:val="131727" w:themeColor="text1"/>
          <w:spacing w:val="-4"/>
          <w:w w:val="110"/>
          <w:sz w:val="20"/>
        </w:rPr>
        <w:t xml:space="preserve"> </w:t>
      </w:r>
      <w:r w:rsidRPr="00FD40B8">
        <w:rPr>
          <w:color w:val="131727" w:themeColor="text1"/>
          <w:spacing w:val="-2"/>
          <w:w w:val="110"/>
          <w:sz w:val="20"/>
        </w:rPr>
        <w:t>energy</w:t>
      </w:r>
    </w:p>
    <w:p w14:paraId="30DB8281" w14:textId="77777777" w:rsidR="00811887" w:rsidRPr="00FD40B8" w:rsidRDefault="00811887" w:rsidP="00811887">
      <w:pPr>
        <w:pStyle w:val="BodyText"/>
        <w:tabs>
          <w:tab w:val="left" w:pos="1944"/>
        </w:tabs>
        <w:spacing w:before="150" w:line="266" w:lineRule="auto"/>
        <w:ind w:left="1944" w:right="855" w:hanging="360"/>
        <w:rPr>
          <w:color w:val="131727" w:themeColor="text1"/>
        </w:rPr>
      </w:pPr>
      <w:r w:rsidRPr="00FD40B8">
        <w:rPr>
          <w:color w:val="131727" w:themeColor="text1"/>
          <w:spacing w:val="-10"/>
          <w:w w:val="110"/>
        </w:rPr>
        <w:t>»</w:t>
      </w:r>
      <w:r w:rsidRPr="00FD40B8">
        <w:rPr>
          <w:color w:val="131727" w:themeColor="text1"/>
        </w:rPr>
        <w:tab/>
      </w:r>
      <w:r w:rsidRPr="00FD40B8">
        <w:rPr>
          <w:color w:val="131727" w:themeColor="text1"/>
          <w:w w:val="110"/>
        </w:rPr>
        <w:t>a 2021 report on sustainable indigenous housing in regional and remote Australia, prepared</w:t>
      </w:r>
      <w:r w:rsidRPr="00FD40B8">
        <w:rPr>
          <w:color w:val="131727" w:themeColor="text1"/>
          <w:spacing w:val="-2"/>
          <w:w w:val="110"/>
        </w:rPr>
        <w:t xml:space="preserve"> </w:t>
      </w:r>
      <w:r w:rsidRPr="00FD40B8">
        <w:rPr>
          <w:color w:val="131727" w:themeColor="text1"/>
          <w:w w:val="110"/>
        </w:rPr>
        <w:t>by</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Australian</w:t>
      </w:r>
      <w:r w:rsidRPr="00FD40B8">
        <w:rPr>
          <w:color w:val="131727" w:themeColor="text1"/>
          <w:spacing w:val="-1"/>
          <w:w w:val="110"/>
        </w:rPr>
        <w:t xml:space="preserve"> </w:t>
      </w:r>
      <w:r w:rsidRPr="00FD40B8">
        <w:rPr>
          <w:color w:val="131727" w:themeColor="text1"/>
          <w:w w:val="110"/>
        </w:rPr>
        <w:t>Housing</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Urban</w:t>
      </w:r>
      <w:r w:rsidRPr="00FD40B8">
        <w:rPr>
          <w:color w:val="131727" w:themeColor="text1"/>
          <w:spacing w:val="-5"/>
          <w:w w:val="110"/>
        </w:rPr>
        <w:t xml:space="preserve"> </w:t>
      </w:r>
      <w:r w:rsidRPr="00FD40B8">
        <w:rPr>
          <w:color w:val="131727" w:themeColor="text1"/>
          <w:w w:val="110"/>
        </w:rPr>
        <w:t>Research</w:t>
      </w:r>
      <w:r w:rsidRPr="00FD40B8">
        <w:rPr>
          <w:color w:val="131727" w:themeColor="text1"/>
          <w:spacing w:val="-1"/>
          <w:w w:val="110"/>
        </w:rPr>
        <w:t xml:space="preserve"> </w:t>
      </w:r>
      <w:r w:rsidRPr="00FD40B8">
        <w:rPr>
          <w:color w:val="131727" w:themeColor="text1"/>
          <w:w w:val="110"/>
        </w:rPr>
        <w:t>Institute</w:t>
      </w:r>
      <w:r w:rsidRPr="00FD40B8">
        <w:rPr>
          <w:color w:val="131727" w:themeColor="text1"/>
          <w:spacing w:val="-2"/>
          <w:w w:val="110"/>
        </w:rPr>
        <w:t xml:space="preserve"> </w:t>
      </w:r>
      <w:r w:rsidRPr="00FD40B8">
        <w:rPr>
          <w:color w:val="131727" w:themeColor="text1"/>
          <w:w w:val="110"/>
        </w:rPr>
        <w:t>(AHURI)</w:t>
      </w:r>
      <w:r w:rsidRPr="00FD40B8">
        <w:rPr>
          <w:color w:val="131727" w:themeColor="text1"/>
          <w:spacing w:val="-8"/>
          <w:w w:val="110"/>
        </w:rPr>
        <w:t xml:space="preserve"> </w:t>
      </w:r>
      <w:r w:rsidRPr="00FD40B8">
        <w:rPr>
          <w:color w:val="131727" w:themeColor="text1"/>
          <w:w w:val="110"/>
        </w:rPr>
        <w:t>found</w:t>
      </w:r>
      <w:r w:rsidRPr="00FD40B8">
        <w:rPr>
          <w:color w:val="131727" w:themeColor="text1"/>
          <w:spacing w:val="-6"/>
          <w:w w:val="110"/>
        </w:rPr>
        <w:t xml:space="preserve"> </w:t>
      </w:r>
      <w:r w:rsidRPr="00FD40B8">
        <w:rPr>
          <w:color w:val="131727" w:themeColor="text1"/>
          <w:w w:val="110"/>
        </w:rPr>
        <w:t>that, ‘…attention to climate change is not yet a feature of indigenous housing and infrastructure agreements, with inadequate funding and attention paid</w:t>
      </w:r>
    </w:p>
    <w:p w14:paraId="702A5E6F" w14:textId="77777777" w:rsidR="00811887" w:rsidRPr="00FD40B8" w:rsidRDefault="00811887" w:rsidP="00811887">
      <w:pPr>
        <w:pStyle w:val="BodyText"/>
        <w:spacing w:line="250" w:lineRule="exact"/>
        <w:ind w:left="1944"/>
        <w:rPr>
          <w:color w:val="131727" w:themeColor="text1"/>
          <w:sz w:val="13"/>
        </w:rPr>
      </w:pP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climate</w:t>
      </w:r>
      <w:r w:rsidRPr="00FD40B8">
        <w:rPr>
          <w:color w:val="131727" w:themeColor="text1"/>
          <w:spacing w:val="-3"/>
          <w:w w:val="110"/>
        </w:rPr>
        <w:t xml:space="preserve"> </w:t>
      </w:r>
      <w:r w:rsidRPr="00FD40B8">
        <w:rPr>
          <w:color w:val="131727" w:themeColor="text1"/>
          <w:w w:val="110"/>
        </w:rPr>
        <w:t>preparedness</w:t>
      </w:r>
      <w:r w:rsidRPr="00FD40B8">
        <w:rPr>
          <w:color w:val="131727" w:themeColor="text1"/>
          <w:spacing w:val="-6"/>
          <w:w w:val="110"/>
        </w:rPr>
        <w:t xml:space="preserve"> </w:t>
      </w:r>
      <w:r w:rsidRPr="00FD40B8">
        <w:rPr>
          <w:color w:val="131727" w:themeColor="text1"/>
          <w:w w:val="110"/>
        </w:rPr>
        <w:t>in</w:t>
      </w:r>
      <w:r w:rsidRPr="00FD40B8">
        <w:rPr>
          <w:color w:val="131727" w:themeColor="text1"/>
          <w:spacing w:val="-6"/>
          <w:w w:val="110"/>
        </w:rPr>
        <w:t xml:space="preserve"> </w:t>
      </w:r>
      <w:r w:rsidRPr="00FD40B8">
        <w:rPr>
          <w:color w:val="131727" w:themeColor="text1"/>
          <w:w w:val="110"/>
        </w:rPr>
        <w:t>new</w:t>
      </w:r>
      <w:r w:rsidRPr="00FD40B8">
        <w:rPr>
          <w:color w:val="131727" w:themeColor="text1"/>
          <w:spacing w:val="-5"/>
          <w:w w:val="110"/>
        </w:rPr>
        <w:t xml:space="preserve"> </w:t>
      </w:r>
      <w:r w:rsidRPr="00FD40B8">
        <w:rPr>
          <w:color w:val="131727" w:themeColor="text1"/>
          <w:w w:val="110"/>
        </w:rPr>
        <w:t>builds,</w:t>
      </w:r>
      <w:r w:rsidRPr="00FD40B8">
        <w:rPr>
          <w:color w:val="131727" w:themeColor="text1"/>
          <w:spacing w:val="-8"/>
          <w:w w:val="110"/>
        </w:rPr>
        <w:t xml:space="preserve"> </w:t>
      </w:r>
      <w:r w:rsidRPr="00FD40B8">
        <w:rPr>
          <w:color w:val="131727" w:themeColor="text1"/>
          <w:w w:val="110"/>
        </w:rPr>
        <w:t>refurbishments</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retrofit</w:t>
      </w:r>
      <w:r w:rsidRPr="00FD40B8">
        <w:rPr>
          <w:color w:val="131727" w:themeColor="text1"/>
          <w:spacing w:val="-8"/>
          <w:w w:val="110"/>
        </w:rPr>
        <w:t xml:space="preserve"> </w:t>
      </w:r>
      <w:r w:rsidRPr="00FD40B8">
        <w:rPr>
          <w:color w:val="131727" w:themeColor="text1"/>
          <w:spacing w:val="-2"/>
          <w:w w:val="110"/>
        </w:rPr>
        <w:t>programs’</w:t>
      </w:r>
      <w:hyperlink w:anchor="_bookmark84" w:history="1">
        <w:r w:rsidRPr="00FD40B8">
          <w:rPr>
            <w:color w:val="131727" w:themeColor="text1"/>
            <w:spacing w:val="-2"/>
            <w:w w:val="110"/>
          </w:rPr>
          <w:t>.</w:t>
        </w:r>
        <w:r w:rsidRPr="00FD40B8">
          <w:rPr>
            <w:color w:val="131727" w:themeColor="text1"/>
            <w:spacing w:val="-2"/>
            <w:w w:val="110"/>
            <w:position w:val="8"/>
            <w:sz w:val="13"/>
          </w:rPr>
          <w:t>73</w:t>
        </w:r>
      </w:hyperlink>
    </w:p>
    <w:p w14:paraId="2475C4C8" w14:textId="77777777" w:rsidR="00811887" w:rsidRPr="00FD40B8" w:rsidRDefault="00811887" w:rsidP="00811887">
      <w:pPr>
        <w:pStyle w:val="ListParagraph"/>
        <w:widowControl w:val="0"/>
        <w:numPr>
          <w:ilvl w:val="0"/>
          <w:numId w:val="63"/>
        </w:numPr>
        <w:tabs>
          <w:tab w:val="left" w:pos="1228"/>
        </w:tabs>
        <w:autoSpaceDE w:val="0"/>
        <w:autoSpaceDN w:val="0"/>
        <w:spacing w:before="138" w:after="0" w:line="259" w:lineRule="auto"/>
        <w:ind w:right="657"/>
        <w:contextualSpacing w:val="0"/>
        <w:rPr>
          <w:color w:val="131727" w:themeColor="text1"/>
          <w:sz w:val="13"/>
        </w:rPr>
      </w:pPr>
      <w:r w:rsidRPr="00FD40B8">
        <w:rPr>
          <w:color w:val="131727" w:themeColor="text1"/>
          <w:w w:val="110"/>
          <w:sz w:val="20"/>
        </w:rPr>
        <w:t>CHINS data reporting on access to drinking water, sewerage and electricity</w:t>
      </w:r>
      <w:r w:rsidRPr="00FD40B8">
        <w:rPr>
          <w:color w:val="131727" w:themeColor="text1"/>
          <w:spacing w:val="-1"/>
          <w:w w:val="110"/>
          <w:sz w:val="20"/>
        </w:rPr>
        <w:t xml:space="preserve"> </w:t>
      </w:r>
      <w:r w:rsidRPr="00FD40B8">
        <w:rPr>
          <w:color w:val="131727" w:themeColor="text1"/>
          <w:w w:val="110"/>
          <w:sz w:val="20"/>
        </w:rPr>
        <w:t>services did not use definitions</w:t>
      </w:r>
      <w:r w:rsidRPr="00FD40B8">
        <w:rPr>
          <w:color w:val="131727" w:themeColor="text1"/>
          <w:spacing w:val="-3"/>
          <w:w w:val="110"/>
          <w:sz w:val="20"/>
        </w:rPr>
        <w:t xml:space="preserve"> </w:t>
      </w:r>
      <w:r w:rsidRPr="00FD40B8">
        <w:rPr>
          <w:color w:val="131727" w:themeColor="text1"/>
          <w:w w:val="110"/>
          <w:sz w:val="20"/>
        </w:rPr>
        <w:t>comparable</w:t>
      </w:r>
      <w:r w:rsidRPr="00FD40B8">
        <w:rPr>
          <w:color w:val="131727" w:themeColor="text1"/>
          <w:spacing w:val="-4"/>
          <w:w w:val="110"/>
          <w:sz w:val="20"/>
        </w:rPr>
        <w:t xml:space="preserve"> </w:t>
      </w:r>
      <w:r w:rsidRPr="00FD40B8">
        <w:rPr>
          <w:color w:val="131727" w:themeColor="text1"/>
          <w:w w:val="110"/>
          <w:sz w:val="20"/>
        </w:rPr>
        <w:t>to</w:t>
      </w:r>
      <w:r w:rsidRPr="00FD40B8">
        <w:rPr>
          <w:color w:val="131727" w:themeColor="text1"/>
          <w:spacing w:val="-8"/>
          <w:w w:val="110"/>
          <w:sz w:val="20"/>
        </w:rPr>
        <w:t xml:space="preserve"> </w:t>
      </w:r>
      <w:r w:rsidRPr="00FD40B8">
        <w:rPr>
          <w:color w:val="131727" w:themeColor="text1"/>
          <w:w w:val="110"/>
          <w:sz w:val="20"/>
        </w:rPr>
        <w:t>those</w:t>
      </w:r>
      <w:r w:rsidRPr="00FD40B8">
        <w:rPr>
          <w:color w:val="131727" w:themeColor="text1"/>
          <w:spacing w:val="-9"/>
          <w:w w:val="110"/>
          <w:sz w:val="20"/>
        </w:rPr>
        <w:t xml:space="preserve"> </w:t>
      </w:r>
      <w:r w:rsidRPr="00FD40B8">
        <w:rPr>
          <w:color w:val="131727" w:themeColor="text1"/>
          <w:w w:val="110"/>
          <w:sz w:val="20"/>
        </w:rPr>
        <w:t>used</w:t>
      </w:r>
      <w:r w:rsidRPr="00FD40B8">
        <w:rPr>
          <w:color w:val="131727" w:themeColor="text1"/>
          <w:spacing w:val="-9"/>
          <w:w w:val="110"/>
          <w:sz w:val="20"/>
        </w:rPr>
        <w:t xml:space="preserve"> </w:t>
      </w:r>
      <w:r w:rsidRPr="00FD40B8">
        <w:rPr>
          <w:color w:val="131727" w:themeColor="text1"/>
          <w:w w:val="110"/>
          <w:sz w:val="20"/>
        </w:rPr>
        <w:t>for</w:t>
      </w:r>
      <w:r w:rsidRPr="00FD40B8">
        <w:rPr>
          <w:color w:val="131727" w:themeColor="text1"/>
          <w:spacing w:val="-6"/>
          <w:w w:val="110"/>
          <w:sz w:val="20"/>
        </w:rPr>
        <w:t xml:space="preserve"> </w:t>
      </w:r>
      <w:r w:rsidRPr="00FD40B8">
        <w:rPr>
          <w:color w:val="131727" w:themeColor="text1"/>
          <w:w w:val="110"/>
          <w:sz w:val="20"/>
        </w:rPr>
        <w:t>performance</w:t>
      </w:r>
      <w:r w:rsidRPr="00FD40B8">
        <w:rPr>
          <w:color w:val="131727" w:themeColor="text1"/>
          <w:spacing w:val="-9"/>
          <w:w w:val="110"/>
          <w:sz w:val="20"/>
        </w:rPr>
        <w:t xml:space="preserve"> </w:t>
      </w:r>
      <w:r w:rsidRPr="00FD40B8">
        <w:rPr>
          <w:color w:val="131727" w:themeColor="text1"/>
          <w:w w:val="110"/>
          <w:sz w:val="20"/>
        </w:rPr>
        <w:t>by</w:t>
      </w:r>
      <w:r w:rsidRPr="00FD40B8">
        <w:rPr>
          <w:color w:val="131727" w:themeColor="text1"/>
          <w:spacing w:val="-5"/>
          <w:w w:val="110"/>
          <w:sz w:val="20"/>
        </w:rPr>
        <w:t xml:space="preserve"> </w:t>
      </w:r>
      <w:r w:rsidRPr="00FD40B8">
        <w:rPr>
          <w:color w:val="131727" w:themeColor="text1"/>
          <w:w w:val="110"/>
          <w:sz w:val="20"/>
        </w:rPr>
        <w:t>major</w:t>
      </w:r>
      <w:r w:rsidRPr="00FD40B8">
        <w:rPr>
          <w:color w:val="131727" w:themeColor="text1"/>
          <w:spacing w:val="-6"/>
          <w:w w:val="110"/>
          <w:sz w:val="20"/>
        </w:rPr>
        <w:t xml:space="preserve"> </w:t>
      </w:r>
      <w:r w:rsidRPr="00FD40B8">
        <w:rPr>
          <w:color w:val="131727" w:themeColor="text1"/>
          <w:w w:val="110"/>
          <w:sz w:val="20"/>
        </w:rPr>
        <w:t>water,</w:t>
      </w:r>
      <w:r w:rsidRPr="00FD40B8">
        <w:rPr>
          <w:color w:val="131727" w:themeColor="text1"/>
          <w:spacing w:val="-4"/>
          <w:w w:val="110"/>
          <w:sz w:val="20"/>
        </w:rPr>
        <w:t xml:space="preserve"> </w:t>
      </w:r>
      <w:r w:rsidRPr="00FD40B8">
        <w:rPr>
          <w:color w:val="131727" w:themeColor="text1"/>
          <w:w w:val="110"/>
          <w:sz w:val="20"/>
        </w:rPr>
        <w:t>sewerage,</w:t>
      </w:r>
      <w:r w:rsidRPr="00FD40B8">
        <w:rPr>
          <w:color w:val="131727" w:themeColor="text1"/>
          <w:spacing w:val="-5"/>
          <w:w w:val="110"/>
          <w:sz w:val="20"/>
        </w:rPr>
        <w:t xml:space="preserve"> </w:t>
      </w:r>
      <w:r w:rsidRPr="00FD40B8">
        <w:rPr>
          <w:color w:val="131727" w:themeColor="text1"/>
          <w:w w:val="110"/>
          <w:sz w:val="20"/>
        </w:rPr>
        <w:t>and</w:t>
      </w:r>
      <w:r w:rsidRPr="00FD40B8">
        <w:rPr>
          <w:color w:val="131727" w:themeColor="text1"/>
          <w:spacing w:val="-9"/>
          <w:w w:val="110"/>
          <w:sz w:val="20"/>
        </w:rPr>
        <w:t xml:space="preserve"> </w:t>
      </w:r>
      <w:r w:rsidRPr="00FD40B8">
        <w:rPr>
          <w:color w:val="131727" w:themeColor="text1"/>
          <w:w w:val="110"/>
          <w:sz w:val="20"/>
        </w:rPr>
        <w:t xml:space="preserve">electricity </w:t>
      </w:r>
      <w:r w:rsidRPr="00FD40B8">
        <w:rPr>
          <w:color w:val="131727" w:themeColor="text1"/>
          <w:spacing w:val="-2"/>
          <w:w w:val="110"/>
          <w:sz w:val="20"/>
        </w:rPr>
        <w:t>utilities</w:t>
      </w:r>
      <w:hyperlink w:anchor="_bookmark85" w:history="1">
        <w:r w:rsidRPr="00FD40B8">
          <w:rPr>
            <w:color w:val="131727" w:themeColor="text1"/>
            <w:spacing w:val="-2"/>
            <w:w w:val="110"/>
            <w:sz w:val="20"/>
          </w:rPr>
          <w:t>.</w:t>
        </w:r>
        <w:r w:rsidRPr="00FD40B8">
          <w:rPr>
            <w:color w:val="131727" w:themeColor="text1"/>
            <w:spacing w:val="-2"/>
            <w:w w:val="110"/>
            <w:position w:val="8"/>
            <w:sz w:val="13"/>
          </w:rPr>
          <w:t>74</w:t>
        </w:r>
      </w:hyperlink>
    </w:p>
    <w:p w14:paraId="550AFB41" w14:textId="77777777" w:rsidR="00811887" w:rsidRPr="00FD40B8" w:rsidRDefault="00811887" w:rsidP="00811887">
      <w:pPr>
        <w:pStyle w:val="BodyText"/>
        <w:spacing w:before="132" w:line="266" w:lineRule="auto"/>
        <w:ind w:left="508" w:right="598"/>
        <w:rPr>
          <w:color w:val="131727" w:themeColor="text1"/>
        </w:rPr>
      </w:pPr>
      <w:r w:rsidRPr="00FD40B8">
        <w:rPr>
          <w:color w:val="131727" w:themeColor="text1"/>
          <w:w w:val="110"/>
        </w:rPr>
        <w:t>The need to ensure that any new surveys take account of climate appropriateness and community resilience</w:t>
      </w:r>
      <w:r w:rsidRPr="00FD40B8">
        <w:rPr>
          <w:color w:val="131727" w:themeColor="text1"/>
          <w:spacing w:val="-4"/>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1"/>
          <w:w w:val="110"/>
        </w:rPr>
        <w:t xml:space="preserve"> </w:t>
      </w:r>
      <w:r w:rsidRPr="00FD40B8">
        <w:rPr>
          <w:color w:val="131727" w:themeColor="text1"/>
          <w:w w:val="110"/>
        </w:rPr>
        <w:t>related</w:t>
      </w:r>
      <w:r w:rsidRPr="00FD40B8">
        <w:rPr>
          <w:color w:val="131727" w:themeColor="text1"/>
          <w:spacing w:val="-1"/>
          <w:w w:val="110"/>
        </w:rPr>
        <w:t xml:space="preserve"> </w:t>
      </w:r>
      <w:r w:rsidRPr="00FD40B8">
        <w:rPr>
          <w:color w:val="131727" w:themeColor="text1"/>
          <w:w w:val="110"/>
        </w:rPr>
        <w:t>infrastructure</w:t>
      </w:r>
      <w:r w:rsidRPr="00FD40B8">
        <w:rPr>
          <w:color w:val="131727" w:themeColor="text1"/>
          <w:spacing w:val="-2"/>
          <w:w w:val="110"/>
        </w:rPr>
        <w:t xml:space="preserve"> </w:t>
      </w:r>
      <w:r w:rsidRPr="00FD40B8">
        <w:rPr>
          <w:color w:val="131727" w:themeColor="text1"/>
          <w:w w:val="110"/>
        </w:rPr>
        <w:t>is particularly</w:t>
      </w:r>
      <w:r w:rsidRPr="00FD40B8">
        <w:rPr>
          <w:color w:val="131727" w:themeColor="text1"/>
          <w:spacing w:val="-3"/>
          <w:w w:val="110"/>
        </w:rPr>
        <w:t xml:space="preserve"> </w:t>
      </w:r>
      <w:r w:rsidRPr="00FD40B8">
        <w:rPr>
          <w:color w:val="131727" w:themeColor="text1"/>
          <w:w w:val="110"/>
        </w:rPr>
        <w:t>prominent</w:t>
      </w:r>
      <w:r w:rsidRPr="00FD40B8">
        <w:rPr>
          <w:color w:val="131727" w:themeColor="text1"/>
          <w:spacing w:val="-1"/>
          <w:w w:val="110"/>
        </w:rPr>
        <w:t xml:space="preserve"> </w:t>
      </w:r>
      <w:r w:rsidRPr="00FD40B8">
        <w:rPr>
          <w:color w:val="131727" w:themeColor="text1"/>
          <w:w w:val="110"/>
        </w:rPr>
        <w:t>amongst</w:t>
      </w:r>
      <w:r w:rsidRPr="00FD40B8">
        <w:rPr>
          <w:color w:val="131727" w:themeColor="text1"/>
          <w:spacing w:val="-1"/>
          <w:w w:val="110"/>
        </w:rPr>
        <w:t xml:space="preserve"> </w:t>
      </w:r>
      <w:r w:rsidRPr="00FD40B8">
        <w:rPr>
          <w:color w:val="131727" w:themeColor="text1"/>
          <w:w w:val="110"/>
        </w:rPr>
        <w:t>Coalition</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 xml:space="preserve">Peaks </w:t>
      </w:r>
      <w:r w:rsidRPr="00FD40B8">
        <w:rPr>
          <w:color w:val="131727" w:themeColor="text1"/>
          <w:spacing w:val="-2"/>
          <w:w w:val="110"/>
        </w:rPr>
        <w:t>members.</w:t>
      </w:r>
    </w:p>
    <w:p w14:paraId="2155DB36" w14:textId="77777777" w:rsidR="00811887" w:rsidRPr="00FD40B8" w:rsidRDefault="00811887" w:rsidP="00811887">
      <w:pPr>
        <w:pStyle w:val="BodyText"/>
        <w:spacing w:before="124" w:line="266" w:lineRule="auto"/>
        <w:ind w:left="508" w:right="617"/>
        <w:rPr>
          <w:color w:val="131727" w:themeColor="text1"/>
        </w:rPr>
      </w:pPr>
      <w:r w:rsidRPr="00FD40B8">
        <w:rPr>
          <w:color w:val="131727" w:themeColor="text1"/>
          <w:w w:val="110"/>
        </w:rPr>
        <w:t>Equity Economics also notes that the surveys and reporting by</w:t>
      </w:r>
      <w:r w:rsidRPr="00FD40B8">
        <w:rPr>
          <w:color w:val="131727" w:themeColor="text1"/>
          <w:spacing w:val="-3"/>
          <w:w w:val="110"/>
        </w:rPr>
        <w:t xml:space="preserve"> </w:t>
      </w:r>
      <w:r w:rsidRPr="00FD40B8">
        <w:rPr>
          <w:color w:val="131727" w:themeColor="text1"/>
          <w:w w:val="110"/>
        </w:rPr>
        <w:t>number of additional bedrooms required to address overcrowding runs the risks of adverse implications for the adequacy of a kitchen and other wet areas (bathroom, toilet, laundry), assuming that these may also need to be upgraded to be appropriate for the size of</w:t>
      </w:r>
      <w:r w:rsidRPr="00FD40B8">
        <w:rPr>
          <w:color w:val="131727" w:themeColor="text1"/>
          <w:spacing w:val="14"/>
          <w:w w:val="110"/>
        </w:rPr>
        <w:t xml:space="preserve"> </w:t>
      </w:r>
      <w:r w:rsidRPr="00FD40B8">
        <w:rPr>
          <w:color w:val="131727" w:themeColor="text1"/>
          <w:w w:val="110"/>
        </w:rPr>
        <w:t>the household.</w:t>
      </w:r>
      <w:r w:rsidRPr="00FD40B8">
        <w:rPr>
          <w:color w:val="131727" w:themeColor="text1"/>
          <w:spacing w:val="16"/>
          <w:w w:val="110"/>
        </w:rPr>
        <w:t xml:space="preserve"> </w:t>
      </w:r>
      <w:r w:rsidRPr="00FD40B8">
        <w:rPr>
          <w:color w:val="131727" w:themeColor="text1"/>
          <w:w w:val="110"/>
        </w:rPr>
        <w:t>For example, under the</w:t>
      </w:r>
      <w:r w:rsidRPr="00FD40B8">
        <w:rPr>
          <w:color w:val="131727" w:themeColor="text1"/>
          <w:spacing w:val="14"/>
          <w:w w:val="110"/>
        </w:rPr>
        <w:t xml:space="preserve"> </w:t>
      </w:r>
      <w:r w:rsidRPr="00FD40B8">
        <w:rPr>
          <w:color w:val="131727" w:themeColor="text1"/>
          <w:w w:val="110"/>
        </w:rPr>
        <w:t>NARHNT, reporting was measured</w:t>
      </w:r>
      <w:r w:rsidRPr="00FD40B8">
        <w:rPr>
          <w:color w:val="131727" w:themeColor="text1"/>
          <w:spacing w:val="40"/>
          <w:w w:val="110"/>
        </w:rPr>
        <w:t xml:space="preserve"> </w:t>
      </w:r>
      <w:r w:rsidRPr="00FD40B8">
        <w:rPr>
          <w:color w:val="131727" w:themeColor="text1"/>
          <w:w w:val="110"/>
        </w:rPr>
        <w:t>per bedroom, rather than number</w:t>
      </w:r>
      <w:r w:rsidRPr="00FD40B8">
        <w:rPr>
          <w:color w:val="131727" w:themeColor="text1"/>
          <w:spacing w:val="-1"/>
          <w:w w:val="110"/>
        </w:rPr>
        <w:t xml:space="preserve"> </w:t>
      </w:r>
      <w:r w:rsidRPr="00FD40B8">
        <w:rPr>
          <w:color w:val="131727" w:themeColor="text1"/>
          <w:w w:val="110"/>
        </w:rPr>
        <w:t>of houses delivered as the number</w:t>
      </w:r>
      <w:r w:rsidRPr="00FD40B8">
        <w:rPr>
          <w:color w:val="131727" w:themeColor="text1"/>
          <w:spacing w:val="-1"/>
          <w:w w:val="110"/>
        </w:rPr>
        <w:t xml:space="preserve"> </w:t>
      </w:r>
      <w:r w:rsidRPr="00FD40B8">
        <w:rPr>
          <w:color w:val="131727" w:themeColor="text1"/>
          <w:w w:val="110"/>
        </w:rPr>
        <w:t>of bedrooms per</w:t>
      </w:r>
      <w:r w:rsidRPr="00FD40B8">
        <w:rPr>
          <w:color w:val="131727" w:themeColor="text1"/>
          <w:spacing w:val="-1"/>
          <w:w w:val="110"/>
        </w:rPr>
        <w:t xml:space="preserve"> </w:t>
      </w:r>
      <w:r w:rsidRPr="00FD40B8">
        <w:rPr>
          <w:color w:val="131727" w:themeColor="text1"/>
          <w:w w:val="110"/>
        </w:rPr>
        <w:t>house that were delivered varied depending on each community’s needs. It is not clear however if there were corresponding upgrades</w:t>
      </w:r>
      <w:r w:rsidRPr="00FD40B8">
        <w:rPr>
          <w:color w:val="131727" w:themeColor="text1"/>
          <w:spacing w:val="-1"/>
          <w:w w:val="110"/>
        </w:rPr>
        <w:t xml:space="preserve"> </w:t>
      </w:r>
      <w:r w:rsidRPr="00FD40B8">
        <w:rPr>
          <w:color w:val="131727" w:themeColor="text1"/>
          <w:w w:val="110"/>
        </w:rPr>
        <w:t>to</w:t>
      </w:r>
      <w:r w:rsidRPr="00FD40B8">
        <w:rPr>
          <w:color w:val="131727" w:themeColor="text1"/>
          <w:spacing w:val="-1"/>
          <w:w w:val="110"/>
        </w:rPr>
        <w:t xml:space="preserve"> </w:t>
      </w:r>
      <w:r w:rsidRPr="00FD40B8">
        <w:rPr>
          <w:color w:val="131727" w:themeColor="text1"/>
          <w:w w:val="110"/>
        </w:rPr>
        <w:t>other amenities. Given</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importance</w:t>
      </w:r>
      <w:r w:rsidRPr="00FD40B8">
        <w:rPr>
          <w:color w:val="131727" w:themeColor="text1"/>
          <w:spacing w:val="-3"/>
          <w:w w:val="110"/>
        </w:rPr>
        <w:t xml:space="preserve"> </w:t>
      </w:r>
      <w:r w:rsidRPr="00FD40B8">
        <w:rPr>
          <w:color w:val="131727" w:themeColor="text1"/>
          <w:w w:val="110"/>
        </w:rPr>
        <w:t>of the</w:t>
      </w:r>
      <w:r w:rsidRPr="00FD40B8">
        <w:rPr>
          <w:color w:val="131727" w:themeColor="text1"/>
          <w:spacing w:val="-3"/>
          <w:w w:val="110"/>
        </w:rPr>
        <w:t xml:space="preserve"> </w:t>
      </w:r>
      <w:r w:rsidRPr="00FD40B8">
        <w:rPr>
          <w:color w:val="131727" w:themeColor="text1"/>
          <w:w w:val="110"/>
        </w:rPr>
        <w:t>kitchen and</w:t>
      </w:r>
      <w:r w:rsidRPr="00FD40B8">
        <w:rPr>
          <w:color w:val="131727" w:themeColor="text1"/>
          <w:spacing w:val="-3"/>
          <w:w w:val="110"/>
        </w:rPr>
        <w:t xml:space="preserve"> </w:t>
      </w:r>
      <w:r w:rsidRPr="00FD40B8">
        <w:rPr>
          <w:color w:val="131727" w:themeColor="text1"/>
          <w:w w:val="110"/>
        </w:rPr>
        <w:t>other wet</w:t>
      </w:r>
      <w:r w:rsidRPr="00FD40B8">
        <w:rPr>
          <w:color w:val="131727" w:themeColor="text1"/>
          <w:spacing w:val="-4"/>
          <w:w w:val="110"/>
        </w:rPr>
        <w:t xml:space="preserve"> </w:t>
      </w:r>
      <w:r w:rsidRPr="00FD40B8">
        <w:rPr>
          <w:color w:val="131727" w:themeColor="text1"/>
          <w:w w:val="110"/>
        </w:rPr>
        <w:t>areas to</w:t>
      </w:r>
    </w:p>
    <w:p w14:paraId="75C75DFC" w14:textId="77777777" w:rsidR="00811887" w:rsidRPr="00FD40B8" w:rsidRDefault="00811887" w:rsidP="00811887">
      <w:pPr>
        <w:pStyle w:val="BodyText"/>
        <w:spacing w:before="9" w:line="268" w:lineRule="auto"/>
        <w:ind w:left="508"/>
        <w:rPr>
          <w:color w:val="131727" w:themeColor="text1"/>
        </w:rPr>
      </w:pPr>
      <w:r w:rsidRPr="00FD40B8">
        <w:rPr>
          <w:color w:val="131727" w:themeColor="text1"/>
          <w:w w:val="110"/>
        </w:rPr>
        <w:t>health and</w:t>
      </w:r>
      <w:r w:rsidRPr="00FD40B8">
        <w:rPr>
          <w:color w:val="131727" w:themeColor="text1"/>
          <w:spacing w:val="-5"/>
          <w:w w:val="110"/>
        </w:rPr>
        <w:t xml:space="preserve"> </w:t>
      </w:r>
      <w:r w:rsidRPr="00FD40B8">
        <w:rPr>
          <w:color w:val="131727" w:themeColor="text1"/>
          <w:w w:val="110"/>
        </w:rPr>
        <w:t>the acceleration</w:t>
      </w:r>
      <w:r w:rsidRPr="00FD40B8">
        <w:rPr>
          <w:color w:val="131727" w:themeColor="text1"/>
          <w:spacing w:val="-4"/>
          <w:w w:val="110"/>
        </w:rPr>
        <w:t xml:space="preserve"> </w:t>
      </w:r>
      <w:r w:rsidRPr="00FD40B8">
        <w:rPr>
          <w:color w:val="131727" w:themeColor="text1"/>
          <w:w w:val="110"/>
        </w:rPr>
        <w:t>of wear</w:t>
      </w:r>
      <w:r w:rsidRPr="00FD40B8">
        <w:rPr>
          <w:color w:val="131727" w:themeColor="text1"/>
          <w:spacing w:val="-2"/>
          <w:w w:val="110"/>
        </w:rPr>
        <w:t xml:space="preserve"> </w:t>
      </w:r>
      <w:r w:rsidRPr="00FD40B8">
        <w:rPr>
          <w:color w:val="131727" w:themeColor="text1"/>
          <w:w w:val="110"/>
        </w:rPr>
        <w:t>and tear</w:t>
      </w:r>
      <w:r w:rsidRPr="00FD40B8">
        <w:rPr>
          <w:color w:val="131727" w:themeColor="text1"/>
          <w:spacing w:val="-6"/>
          <w:w w:val="110"/>
        </w:rPr>
        <w:t xml:space="preserve"> </w:t>
      </w:r>
      <w:r w:rsidRPr="00FD40B8">
        <w:rPr>
          <w:color w:val="131727" w:themeColor="text1"/>
          <w:w w:val="110"/>
        </w:rPr>
        <w:t>on these</w:t>
      </w:r>
      <w:r w:rsidRPr="00FD40B8">
        <w:rPr>
          <w:color w:val="131727" w:themeColor="text1"/>
          <w:spacing w:val="-5"/>
          <w:w w:val="110"/>
        </w:rPr>
        <w:t xml:space="preserve"> </w:t>
      </w:r>
      <w:r w:rsidRPr="00FD40B8">
        <w:rPr>
          <w:color w:val="131727" w:themeColor="text1"/>
          <w:w w:val="110"/>
        </w:rPr>
        <w:t>areas in overcrowded</w:t>
      </w:r>
      <w:r w:rsidRPr="00FD40B8">
        <w:rPr>
          <w:color w:val="131727" w:themeColor="text1"/>
          <w:spacing w:val="-5"/>
          <w:w w:val="110"/>
        </w:rPr>
        <w:t xml:space="preserve"> </w:t>
      </w:r>
      <w:r w:rsidRPr="00FD40B8">
        <w:rPr>
          <w:color w:val="131727" w:themeColor="text1"/>
          <w:w w:val="110"/>
        </w:rPr>
        <w:t>houses, we suggest any</w:t>
      </w:r>
      <w:r w:rsidRPr="00FD40B8">
        <w:rPr>
          <w:color w:val="131727" w:themeColor="text1"/>
          <w:spacing w:val="-6"/>
          <w:w w:val="110"/>
        </w:rPr>
        <w:t xml:space="preserve"> </w:t>
      </w:r>
      <w:r w:rsidRPr="00FD40B8">
        <w:rPr>
          <w:color w:val="131727" w:themeColor="text1"/>
          <w:w w:val="110"/>
        </w:rPr>
        <w:t>new surveys and reporting consider this issue, including for the new investment in the Northern Territory.</w:t>
      </w:r>
    </w:p>
    <w:p w14:paraId="7C6D95AA" w14:textId="77777777" w:rsidR="00811887" w:rsidRPr="00FD40B8" w:rsidRDefault="00811887" w:rsidP="00811887">
      <w:pPr>
        <w:pStyle w:val="BodyText"/>
        <w:rPr>
          <w:color w:val="131727" w:themeColor="text1"/>
        </w:rPr>
      </w:pPr>
    </w:p>
    <w:p w14:paraId="1313842F" w14:textId="77777777" w:rsidR="00811887" w:rsidRPr="00FD40B8" w:rsidRDefault="00811887" w:rsidP="00811887">
      <w:pPr>
        <w:pStyle w:val="BodyText"/>
        <w:spacing w:before="154"/>
        <w:rPr>
          <w:color w:val="131727" w:themeColor="text1"/>
        </w:rPr>
      </w:pPr>
      <w:r w:rsidRPr="00FD40B8">
        <w:rPr>
          <w:noProof/>
          <w:color w:val="131727" w:themeColor="text1"/>
        </w:rPr>
        <mc:AlternateContent>
          <mc:Choice Requires="wps">
            <w:drawing>
              <wp:anchor distT="0" distB="0" distL="0" distR="0" simplePos="0" relativeHeight="251756544" behindDoc="1" locked="0" layoutInCell="1" allowOverlap="1" wp14:anchorId="036F108E" wp14:editId="56DADCBE">
                <wp:simplePos x="0" y="0"/>
                <wp:positionH relativeFrom="page">
                  <wp:posOffset>792784</wp:posOffset>
                </wp:positionH>
                <wp:positionV relativeFrom="paragraph">
                  <wp:posOffset>268171</wp:posOffset>
                </wp:positionV>
                <wp:extent cx="1830070" cy="6350"/>
                <wp:effectExtent l="0" t="0" r="0" b="0"/>
                <wp:wrapTopAndBottom/>
                <wp:docPr id="187" name="Graphic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1AF18" id="Graphic 187" o:spid="_x0000_s1026" alt="&quot;&quot;" style="position:absolute;margin-left:62.4pt;margin-top:21.1pt;width:144.1pt;height:.5pt;z-index:-25155993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ITNmu94AAAAJAQAADwAAAAAAAAAAAAAAAAB9BAAAZHJzL2Rvd25y&#10;ZXYueG1sUEsFBgAAAAAEAAQA8wAAAIgFAAAAAA==&#10;" path="m1829689,l,,,6095r1829689,l1829689,xe" fillcolor="black" stroked="f">
                <v:path arrowok="t"/>
                <w10:wrap type="topAndBottom" anchorx="page"/>
              </v:shape>
            </w:pict>
          </mc:Fallback>
        </mc:AlternateContent>
      </w:r>
    </w:p>
    <w:p w14:paraId="6EC2C86D" w14:textId="77777777" w:rsidR="00811887" w:rsidRPr="00FD40B8" w:rsidRDefault="00811887" w:rsidP="00811887">
      <w:pPr>
        <w:spacing w:before="123" w:line="266" w:lineRule="auto"/>
        <w:ind w:left="508" w:right="3284"/>
        <w:rPr>
          <w:color w:val="131727" w:themeColor="text1"/>
          <w:sz w:val="16"/>
        </w:rPr>
      </w:pPr>
      <w:bookmarkStart w:id="195" w:name="_bookmark84"/>
      <w:bookmarkEnd w:id="195"/>
      <w:r w:rsidRPr="00FD40B8">
        <w:rPr>
          <w:color w:val="131727" w:themeColor="text1"/>
          <w:w w:val="105"/>
          <w:position w:val="6"/>
          <w:sz w:val="10"/>
        </w:rPr>
        <w:t>73</w:t>
      </w:r>
      <w:r w:rsidRPr="00FD40B8">
        <w:rPr>
          <w:color w:val="131727" w:themeColor="text1"/>
          <w:spacing w:val="36"/>
          <w:w w:val="105"/>
          <w:position w:val="6"/>
          <w:sz w:val="10"/>
        </w:rPr>
        <w:t xml:space="preserve"> </w:t>
      </w:r>
      <w:r w:rsidRPr="00FD40B8">
        <w:rPr>
          <w:color w:val="131727" w:themeColor="text1"/>
          <w:w w:val="105"/>
          <w:sz w:val="16"/>
        </w:rPr>
        <w:t>AHURI 2021, Sustainable Indigenous housing in</w:t>
      </w:r>
      <w:r w:rsidRPr="00FD40B8">
        <w:rPr>
          <w:color w:val="131727" w:themeColor="text1"/>
          <w:spacing w:val="25"/>
          <w:w w:val="105"/>
          <w:sz w:val="16"/>
        </w:rPr>
        <w:t xml:space="preserve"> </w:t>
      </w:r>
      <w:r w:rsidRPr="00FD40B8">
        <w:rPr>
          <w:color w:val="131727" w:themeColor="text1"/>
          <w:w w:val="105"/>
          <w:sz w:val="16"/>
        </w:rPr>
        <w:t>regional and remote Australia. Available at:</w:t>
      </w:r>
      <w:r w:rsidRPr="00FD40B8">
        <w:rPr>
          <w:color w:val="131727" w:themeColor="text1"/>
          <w:spacing w:val="40"/>
          <w:w w:val="105"/>
          <w:sz w:val="16"/>
        </w:rPr>
        <w:t xml:space="preserve"> </w:t>
      </w:r>
      <w:hyperlink r:id="rId127">
        <w:r w:rsidRPr="00FD40B8">
          <w:rPr>
            <w:color w:val="131727" w:themeColor="text1"/>
            <w:w w:val="105"/>
            <w:sz w:val="16"/>
          </w:rPr>
          <w:t>https://www.ahuri.edu.au/research/final-reports/368,</w:t>
        </w:r>
      </w:hyperlink>
      <w:r w:rsidRPr="00FD40B8">
        <w:rPr>
          <w:color w:val="131727" w:themeColor="text1"/>
          <w:w w:val="105"/>
          <w:sz w:val="16"/>
        </w:rPr>
        <w:t xml:space="preserve"> p.2.</w:t>
      </w:r>
    </w:p>
    <w:p w14:paraId="418FF722" w14:textId="77777777" w:rsidR="00811887" w:rsidRPr="00FD40B8" w:rsidRDefault="00811887" w:rsidP="00811887">
      <w:pPr>
        <w:ind w:left="508"/>
        <w:rPr>
          <w:color w:val="131727" w:themeColor="text1"/>
          <w:sz w:val="16"/>
        </w:rPr>
      </w:pPr>
      <w:bookmarkStart w:id="196" w:name="_bookmark85"/>
      <w:bookmarkEnd w:id="196"/>
      <w:r w:rsidRPr="00FD40B8">
        <w:rPr>
          <w:color w:val="131727" w:themeColor="text1"/>
          <w:w w:val="105"/>
          <w:position w:val="6"/>
          <w:sz w:val="10"/>
        </w:rPr>
        <w:t>74</w:t>
      </w:r>
      <w:r w:rsidRPr="00FD40B8">
        <w:rPr>
          <w:color w:val="131727" w:themeColor="text1"/>
          <w:spacing w:val="35"/>
          <w:w w:val="105"/>
          <w:position w:val="6"/>
          <w:sz w:val="10"/>
        </w:rPr>
        <w:t xml:space="preserve"> </w:t>
      </w:r>
      <w:r w:rsidRPr="00FD40B8">
        <w:rPr>
          <w:color w:val="131727" w:themeColor="text1"/>
          <w:w w:val="105"/>
          <w:sz w:val="16"/>
        </w:rPr>
        <w:t>SCRGSP</w:t>
      </w:r>
      <w:r w:rsidRPr="00FD40B8">
        <w:rPr>
          <w:color w:val="131727" w:themeColor="text1"/>
          <w:spacing w:val="19"/>
          <w:w w:val="105"/>
          <w:sz w:val="16"/>
        </w:rPr>
        <w:t xml:space="preserve"> </w:t>
      </w:r>
      <w:r w:rsidRPr="00FD40B8">
        <w:rPr>
          <w:color w:val="131727" w:themeColor="text1"/>
          <w:w w:val="105"/>
          <w:sz w:val="16"/>
        </w:rPr>
        <w:t>(Steering</w:t>
      </w:r>
      <w:r w:rsidRPr="00FD40B8">
        <w:rPr>
          <w:color w:val="131727" w:themeColor="text1"/>
          <w:spacing w:val="19"/>
          <w:w w:val="105"/>
          <w:sz w:val="16"/>
        </w:rPr>
        <w:t xml:space="preserve"> </w:t>
      </w:r>
      <w:r w:rsidRPr="00FD40B8">
        <w:rPr>
          <w:color w:val="131727" w:themeColor="text1"/>
          <w:w w:val="105"/>
          <w:sz w:val="16"/>
        </w:rPr>
        <w:t>Committee</w:t>
      </w:r>
      <w:r w:rsidRPr="00FD40B8">
        <w:rPr>
          <w:color w:val="131727" w:themeColor="text1"/>
          <w:spacing w:val="20"/>
          <w:w w:val="105"/>
          <w:sz w:val="16"/>
        </w:rPr>
        <w:t xml:space="preserve"> </w:t>
      </w:r>
      <w:r w:rsidRPr="00FD40B8">
        <w:rPr>
          <w:color w:val="131727" w:themeColor="text1"/>
          <w:w w:val="105"/>
          <w:sz w:val="16"/>
        </w:rPr>
        <w:t>for</w:t>
      </w:r>
      <w:r w:rsidRPr="00FD40B8">
        <w:rPr>
          <w:color w:val="131727" w:themeColor="text1"/>
          <w:spacing w:val="22"/>
          <w:w w:val="105"/>
          <w:sz w:val="16"/>
        </w:rPr>
        <w:t xml:space="preserve"> </w:t>
      </w:r>
      <w:r w:rsidRPr="00FD40B8">
        <w:rPr>
          <w:color w:val="131727" w:themeColor="text1"/>
          <w:w w:val="105"/>
          <w:sz w:val="16"/>
        </w:rPr>
        <w:t>the</w:t>
      </w:r>
      <w:r w:rsidRPr="00FD40B8">
        <w:rPr>
          <w:color w:val="131727" w:themeColor="text1"/>
          <w:spacing w:val="21"/>
          <w:w w:val="105"/>
          <w:sz w:val="16"/>
        </w:rPr>
        <w:t xml:space="preserve"> </w:t>
      </w:r>
      <w:r w:rsidRPr="00FD40B8">
        <w:rPr>
          <w:color w:val="131727" w:themeColor="text1"/>
          <w:w w:val="105"/>
          <w:sz w:val="16"/>
        </w:rPr>
        <w:t>Review</w:t>
      </w:r>
      <w:r w:rsidRPr="00FD40B8">
        <w:rPr>
          <w:color w:val="131727" w:themeColor="text1"/>
          <w:spacing w:val="29"/>
          <w:w w:val="105"/>
          <w:sz w:val="16"/>
        </w:rPr>
        <w:t xml:space="preserve"> </w:t>
      </w:r>
      <w:r w:rsidRPr="00FD40B8">
        <w:rPr>
          <w:color w:val="131727" w:themeColor="text1"/>
          <w:w w:val="105"/>
          <w:sz w:val="16"/>
        </w:rPr>
        <w:t>of</w:t>
      </w:r>
      <w:r w:rsidRPr="00FD40B8">
        <w:rPr>
          <w:color w:val="131727" w:themeColor="text1"/>
          <w:spacing w:val="21"/>
          <w:w w:val="105"/>
          <w:sz w:val="16"/>
        </w:rPr>
        <w:t xml:space="preserve"> </w:t>
      </w:r>
      <w:r w:rsidRPr="00FD40B8">
        <w:rPr>
          <w:color w:val="131727" w:themeColor="text1"/>
          <w:w w:val="105"/>
          <w:sz w:val="16"/>
        </w:rPr>
        <w:t>Government</w:t>
      </w:r>
      <w:r w:rsidRPr="00FD40B8">
        <w:rPr>
          <w:color w:val="131727" w:themeColor="text1"/>
          <w:spacing w:val="21"/>
          <w:w w:val="105"/>
          <w:sz w:val="16"/>
        </w:rPr>
        <w:t xml:space="preserve"> </w:t>
      </w:r>
      <w:r w:rsidRPr="00FD40B8">
        <w:rPr>
          <w:color w:val="131727" w:themeColor="text1"/>
          <w:w w:val="105"/>
          <w:sz w:val="16"/>
        </w:rPr>
        <w:t>Service</w:t>
      </w:r>
      <w:r w:rsidRPr="00FD40B8">
        <w:rPr>
          <w:color w:val="131727" w:themeColor="text1"/>
          <w:spacing w:val="27"/>
          <w:w w:val="105"/>
          <w:sz w:val="16"/>
        </w:rPr>
        <w:t xml:space="preserve"> </w:t>
      </w:r>
      <w:r w:rsidRPr="00FD40B8">
        <w:rPr>
          <w:color w:val="131727" w:themeColor="text1"/>
          <w:w w:val="105"/>
          <w:sz w:val="16"/>
        </w:rPr>
        <w:t>Provision)</w:t>
      </w:r>
      <w:r w:rsidRPr="00FD40B8">
        <w:rPr>
          <w:color w:val="131727" w:themeColor="text1"/>
          <w:spacing w:val="21"/>
          <w:w w:val="105"/>
          <w:sz w:val="16"/>
        </w:rPr>
        <w:t xml:space="preserve"> </w:t>
      </w:r>
      <w:r w:rsidRPr="00FD40B8">
        <w:rPr>
          <w:color w:val="131727" w:themeColor="text1"/>
          <w:w w:val="105"/>
          <w:sz w:val="16"/>
        </w:rPr>
        <w:t>2009,</w:t>
      </w:r>
      <w:r w:rsidRPr="00FD40B8">
        <w:rPr>
          <w:color w:val="131727" w:themeColor="text1"/>
          <w:spacing w:val="20"/>
          <w:w w:val="105"/>
          <w:sz w:val="16"/>
        </w:rPr>
        <w:t xml:space="preserve"> </w:t>
      </w:r>
      <w:r w:rsidRPr="00FD40B8">
        <w:rPr>
          <w:color w:val="131727" w:themeColor="text1"/>
          <w:w w:val="105"/>
          <w:sz w:val="16"/>
        </w:rPr>
        <w:t>Overcoming</w:t>
      </w:r>
      <w:r w:rsidRPr="00FD40B8">
        <w:rPr>
          <w:color w:val="131727" w:themeColor="text1"/>
          <w:spacing w:val="19"/>
          <w:w w:val="105"/>
          <w:sz w:val="16"/>
        </w:rPr>
        <w:t xml:space="preserve"> </w:t>
      </w:r>
      <w:r w:rsidRPr="00FD40B8">
        <w:rPr>
          <w:color w:val="131727" w:themeColor="text1"/>
          <w:w w:val="105"/>
          <w:sz w:val="16"/>
        </w:rPr>
        <w:t>Indigenous</w:t>
      </w:r>
      <w:r w:rsidRPr="00FD40B8">
        <w:rPr>
          <w:color w:val="131727" w:themeColor="text1"/>
          <w:spacing w:val="19"/>
          <w:w w:val="105"/>
          <w:sz w:val="16"/>
        </w:rPr>
        <w:t xml:space="preserve"> </w:t>
      </w:r>
      <w:r w:rsidRPr="00FD40B8">
        <w:rPr>
          <w:color w:val="131727" w:themeColor="text1"/>
          <w:w w:val="105"/>
          <w:sz w:val="16"/>
        </w:rPr>
        <w:t>Disadvantage:</w:t>
      </w:r>
      <w:r w:rsidRPr="00FD40B8">
        <w:rPr>
          <w:color w:val="131727" w:themeColor="text1"/>
          <w:spacing w:val="22"/>
          <w:w w:val="105"/>
          <w:sz w:val="16"/>
        </w:rPr>
        <w:t xml:space="preserve"> </w:t>
      </w:r>
      <w:r w:rsidRPr="00FD40B8">
        <w:rPr>
          <w:color w:val="131727" w:themeColor="text1"/>
          <w:spacing w:val="-5"/>
          <w:w w:val="105"/>
          <w:sz w:val="16"/>
        </w:rPr>
        <w:t>Key</w:t>
      </w:r>
    </w:p>
    <w:p w14:paraId="4B089ECE" w14:textId="77777777" w:rsidR="00811887" w:rsidRPr="00FD40B8" w:rsidRDefault="00811887" w:rsidP="00811887">
      <w:pPr>
        <w:spacing w:before="21"/>
        <w:ind w:left="508"/>
        <w:rPr>
          <w:color w:val="131727" w:themeColor="text1"/>
          <w:sz w:val="16"/>
        </w:rPr>
      </w:pPr>
      <w:r w:rsidRPr="00FD40B8">
        <w:rPr>
          <w:color w:val="131727" w:themeColor="text1"/>
          <w:w w:val="105"/>
          <w:sz w:val="16"/>
        </w:rPr>
        <w:t>Indicators</w:t>
      </w:r>
      <w:r w:rsidRPr="00FD40B8">
        <w:rPr>
          <w:color w:val="131727" w:themeColor="text1"/>
          <w:spacing w:val="16"/>
          <w:w w:val="105"/>
          <w:sz w:val="16"/>
        </w:rPr>
        <w:t xml:space="preserve"> </w:t>
      </w:r>
      <w:r w:rsidRPr="00FD40B8">
        <w:rPr>
          <w:color w:val="131727" w:themeColor="text1"/>
          <w:w w:val="105"/>
          <w:sz w:val="16"/>
        </w:rPr>
        <w:t>2009,</w:t>
      </w:r>
      <w:r w:rsidRPr="00FD40B8">
        <w:rPr>
          <w:color w:val="131727" w:themeColor="text1"/>
          <w:spacing w:val="19"/>
          <w:w w:val="105"/>
          <w:sz w:val="16"/>
        </w:rPr>
        <w:t xml:space="preserve"> </w:t>
      </w:r>
      <w:r w:rsidRPr="00FD40B8">
        <w:rPr>
          <w:color w:val="131727" w:themeColor="text1"/>
          <w:w w:val="105"/>
          <w:sz w:val="16"/>
        </w:rPr>
        <w:t>Productivity</w:t>
      </w:r>
      <w:r w:rsidRPr="00FD40B8">
        <w:rPr>
          <w:color w:val="131727" w:themeColor="text1"/>
          <w:spacing w:val="16"/>
          <w:w w:val="105"/>
          <w:sz w:val="16"/>
        </w:rPr>
        <w:t xml:space="preserve"> </w:t>
      </w:r>
      <w:r w:rsidRPr="00FD40B8">
        <w:rPr>
          <w:color w:val="131727" w:themeColor="text1"/>
          <w:w w:val="105"/>
          <w:sz w:val="16"/>
        </w:rPr>
        <w:t>Commission,</w:t>
      </w:r>
      <w:r w:rsidRPr="00FD40B8">
        <w:rPr>
          <w:color w:val="131727" w:themeColor="text1"/>
          <w:spacing w:val="19"/>
          <w:w w:val="105"/>
          <w:sz w:val="16"/>
        </w:rPr>
        <w:t xml:space="preserve"> </w:t>
      </w:r>
      <w:r w:rsidRPr="00FD40B8">
        <w:rPr>
          <w:color w:val="131727" w:themeColor="text1"/>
          <w:w w:val="105"/>
          <w:sz w:val="16"/>
        </w:rPr>
        <w:t>Chapter</w:t>
      </w:r>
      <w:r w:rsidRPr="00FD40B8">
        <w:rPr>
          <w:color w:val="131727" w:themeColor="text1"/>
          <w:spacing w:val="19"/>
          <w:w w:val="105"/>
          <w:sz w:val="16"/>
        </w:rPr>
        <w:t xml:space="preserve"> </w:t>
      </w:r>
      <w:r w:rsidRPr="00FD40B8">
        <w:rPr>
          <w:color w:val="131727" w:themeColor="text1"/>
          <w:w w:val="105"/>
          <w:sz w:val="16"/>
        </w:rPr>
        <w:t>9</w:t>
      </w:r>
      <w:r w:rsidRPr="00FD40B8">
        <w:rPr>
          <w:color w:val="131727" w:themeColor="text1"/>
          <w:spacing w:val="20"/>
          <w:w w:val="105"/>
          <w:sz w:val="16"/>
        </w:rPr>
        <w:t xml:space="preserve"> </w:t>
      </w:r>
      <w:r w:rsidRPr="00FD40B8">
        <w:rPr>
          <w:color w:val="131727" w:themeColor="text1"/>
          <w:w w:val="105"/>
          <w:sz w:val="16"/>
        </w:rPr>
        <w:t>‘Home</w:t>
      </w:r>
      <w:r w:rsidRPr="00FD40B8">
        <w:rPr>
          <w:color w:val="131727" w:themeColor="text1"/>
          <w:spacing w:val="18"/>
          <w:w w:val="105"/>
          <w:sz w:val="16"/>
        </w:rPr>
        <w:t xml:space="preserve"> </w:t>
      </w:r>
      <w:r w:rsidRPr="00FD40B8">
        <w:rPr>
          <w:color w:val="131727" w:themeColor="text1"/>
          <w:w w:val="105"/>
          <w:sz w:val="16"/>
        </w:rPr>
        <w:t>Environment’,</w:t>
      </w:r>
      <w:r w:rsidRPr="00FD40B8">
        <w:rPr>
          <w:color w:val="131727" w:themeColor="text1"/>
          <w:spacing w:val="18"/>
          <w:w w:val="105"/>
          <w:sz w:val="16"/>
        </w:rPr>
        <w:t xml:space="preserve"> </w:t>
      </w:r>
      <w:r w:rsidRPr="00FD40B8">
        <w:rPr>
          <w:color w:val="131727" w:themeColor="text1"/>
          <w:spacing w:val="-2"/>
          <w:w w:val="105"/>
          <w:sz w:val="16"/>
        </w:rPr>
        <w:t>p.30.</w:t>
      </w:r>
    </w:p>
    <w:p w14:paraId="24C11B4E" w14:textId="77777777" w:rsidR="00811887" w:rsidRPr="00FD40B8" w:rsidRDefault="00811887" w:rsidP="00811887">
      <w:pPr>
        <w:rPr>
          <w:color w:val="131727" w:themeColor="text1"/>
          <w:sz w:val="16"/>
        </w:rPr>
        <w:sectPr w:rsidR="00811887" w:rsidRPr="00FD40B8" w:rsidSect="00811887">
          <w:pgSz w:w="11910" w:h="16840"/>
          <w:pgMar w:top="1320" w:right="720" w:bottom="1080" w:left="740" w:header="0" w:footer="805" w:gutter="0"/>
          <w:cols w:space="720"/>
        </w:sectPr>
      </w:pPr>
    </w:p>
    <w:p w14:paraId="1F414A57" w14:textId="77777777" w:rsidR="00811887" w:rsidRPr="00FD40B8" w:rsidRDefault="00811887" w:rsidP="00811887">
      <w:pPr>
        <w:pStyle w:val="Heading9"/>
        <w:spacing w:before="66"/>
        <w:rPr>
          <w:color w:val="131727" w:themeColor="text1"/>
        </w:rPr>
      </w:pPr>
      <w:bookmarkStart w:id="197" w:name="_bookmark86"/>
      <w:bookmarkEnd w:id="197"/>
      <w:r w:rsidRPr="00FD40B8">
        <w:rPr>
          <w:color w:val="131727" w:themeColor="text1"/>
          <w:spacing w:val="19"/>
          <w:w w:val="85"/>
        </w:rPr>
        <w:lastRenderedPageBreak/>
        <w:t>REF</w:t>
      </w:r>
      <w:r w:rsidRPr="00FD40B8">
        <w:rPr>
          <w:color w:val="131727" w:themeColor="text1"/>
          <w:spacing w:val="-38"/>
          <w:w w:val="85"/>
        </w:rPr>
        <w:t xml:space="preserve"> </w:t>
      </w:r>
      <w:r w:rsidRPr="00FD40B8">
        <w:rPr>
          <w:color w:val="131727" w:themeColor="text1"/>
          <w:spacing w:val="18"/>
          <w:w w:val="85"/>
        </w:rPr>
        <w:t>ORM</w:t>
      </w:r>
      <w:r w:rsidRPr="00FD40B8">
        <w:rPr>
          <w:color w:val="131727" w:themeColor="text1"/>
          <w:spacing w:val="33"/>
        </w:rPr>
        <w:t xml:space="preserve"> </w:t>
      </w:r>
      <w:r w:rsidRPr="00FD40B8">
        <w:rPr>
          <w:color w:val="131727" w:themeColor="text1"/>
          <w:spacing w:val="14"/>
          <w:w w:val="85"/>
        </w:rPr>
        <w:t>EF</w:t>
      </w:r>
      <w:r w:rsidRPr="00FD40B8">
        <w:rPr>
          <w:color w:val="131727" w:themeColor="text1"/>
          <w:spacing w:val="-38"/>
          <w:w w:val="85"/>
        </w:rPr>
        <w:t xml:space="preserve"> </w:t>
      </w:r>
      <w:r w:rsidRPr="00FD40B8">
        <w:rPr>
          <w:color w:val="131727" w:themeColor="text1"/>
          <w:w w:val="85"/>
        </w:rPr>
        <w:t>F</w:t>
      </w:r>
      <w:r w:rsidRPr="00FD40B8">
        <w:rPr>
          <w:color w:val="131727" w:themeColor="text1"/>
          <w:spacing w:val="-38"/>
          <w:w w:val="85"/>
        </w:rPr>
        <w:t xml:space="preserve"> </w:t>
      </w:r>
      <w:r w:rsidRPr="00FD40B8">
        <w:rPr>
          <w:color w:val="131727" w:themeColor="text1"/>
          <w:spacing w:val="13"/>
          <w:w w:val="85"/>
        </w:rPr>
        <w:t>OR</w:t>
      </w:r>
      <w:r w:rsidRPr="00FD40B8">
        <w:rPr>
          <w:color w:val="131727" w:themeColor="text1"/>
          <w:spacing w:val="-35"/>
          <w:w w:val="85"/>
        </w:rPr>
        <w:t xml:space="preserve"> </w:t>
      </w:r>
      <w:r w:rsidRPr="00FD40B8">
        <w:rPr>
          <w:color w:val="131727" w:themeColor="text1"/>
          <w:spacing w:val="8"/>
          <w:w w:val="85"/>
        </w:rPr>
        <w:t>TS</w:t>
      </w:r>
    </w:p>
    <w:p w14:paraId="26CDBEA1" w14:textId="77777777" w:rsidR="00811887" w:rsidRPr="00FD40B8" w:rsidRDefault="00811887" w:rsidP="00811887">
      <w:pPr>
        <w:pStyle w:val="BodyText"/>
        <w:spacing w:before="239" w:line="268" w:lineRule="auto"/>
        <w:ind w:left="508" w:right="598"/>
        <w:rPr>
          <w:color w:val="131727" w:themeColor="text1"/>
        </w:rPr>
      </w:pP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addition</w:t>
      </w:r>
      <w:r w:rsidRPr="00FD40B8">
        <w:rPr>
          <w:color w:val="131727" w:themeColor="text1"/>
          <w:spacing w:val="-5"/>
          <w:w w:val="110"/>
        </w:rPr>
        <w:t xml:space="preserve"> </w:t>
      </w:r>
      <w:r w:rsidRPr="00FD40B8">
        <w:rPr>
          <w:color w:val="131727" w:themeColor="text1"/>
          <w:w w:val="110"/>
        </w:rPr>
        <w:t>to</w:t>
      </w:r>
      <w:r w:rsidRPr="00FD40B8">
        <w:rPr>
          <w:color w:val="131727" w:themeColor="text1"/>
          <w:spacing w:val="-9"/>
          <w:w w:val="110"/>
        </w:rPr>
        <w:t xml:space="preserve"> </w:t>
      </w:r>
      <w:r w:rsidRPr="00FD40B8">
        <w:rPr>
          <w:color w:val="131727" w:themeColor="text1"/>
          <w:w w:val="110"/>
        </w:rPr>
        <w:t>those</w:t>
      </w:r>
      <w:r w:rsidRPr="00FD40B8">
        <w:rPr>
          <w:color w:val="131727" w:themeColor="text1"/>
          <w:spacing w:val="-10"/>
          <w:w w:val="110"/>
        </w:rPr>
        <w:t xml:space="preserve"> </w:t>
      </w:r>
      <w:r w:rsidRPr="00FD40B8">
        <w:rPr>
          <w:color w:val="131727" w:themeColor="text1"/>
          <w:w w:val="110"/>
        </w:rPr>
        <w:t>already</w:t>
      </w:r>
      <w:r w:rsidRPr="00FD40B8">
        <w:rPr>
          <w:color w:val="131727" w:themeColor="text1"/>
          <w:spacing w:val="-7"/>
          <w:w w:val="110"/>
        </w:rPr>
        <w:t xml:space="preserve"> </w:t>
      </w:r>
      <w:r w:rsidRPr="00FD40B8">
        <w:rPr>
          <w:color w:val="131727" w:themeColor="text1"/>
          <w:w w:val="110"/>
        </w:rPr>
        <w:t>mentioned,</w:t>
      </w:r>
      <w:r w:rsidRPr="00FD40B8">
        <w:rPr>
          <w:color w:val="131727" w:themeColor="text1"/>
          <w:spacing w:val="-6"/>
          <w:w w:val="110"/>
        </w:rPr>
        <w:t xml:space="preserve"> </w:t>
      </w:r>
      <w:r w:rsidRPr="00FD40B8">
        <w:rPr>
          <w:color w:val="131727" w:themeColor="text1"/>
          <w:w w:val="110"/>
        </w:rPr>
        <w:t>there</w:t>
      </w:r>
      <w:r w:rsidRPr="00FD40B8">
        <w:rPr>
          <w:color w:val="131727" w:themeColor="text1"/>
          <w:spacing w:val="-6"/>
          <w:w w:val="110"/>
        </w:rPr>
        <w:t xml:space="preserve"> </w:t>
      </w:r>
      <w:r w:rsidRPr="00FD40B8">
        <w:rPr>
          <w:color w:val="131727" w:themeColor="text1"/>
          <w:w w:val="110"/>
        </w:rPr>
        <w:t>are</w:t>
      </w:r>
      <w:r w:rsidRPr="00FD40B8">
        <w:rPr>
          <w:color w:val="131727" w:themeColor="text1"/>
          <w:spacing w:val="-10"/>
          <w:w w:val="110"/>
        </w:rPr>
        <w:t xml:space="preserve"> </w:t>
      </w:r>
      <w:r w:rsidRPr="00FD40B8">
        <w:rPr>
          <w:color w:val="131727" w:themeColor="text1"/>
          <w:w w:val="110"/>
        </w:rPr>
        <w:t>some</w:t>
      </w:r>
      <w:r w:rsidRPr="00FD40B8">
        <w:rPr>
          <w:color w:val="131727" w:themeColor="text1"/>
          <w:spacing w:val="-3"/>
          <w:w w:val="110"/>
        </w:rPr>
        <w:t xml:space="preserve"> </w:t>
      </w:r>
      <w:r w:rsidRPr="00FD40B8">
        <w:rPr>
          <w:color w:val="131727" w:themeColor="text1"/>
          <w:w w:val="110"/>
        </w:rPr>
        <w:t>key</w:t>
      </w:r>
      <w:r w:rsidRPr="00FD40B8">
        <w:rPr>
          <w:color w:val="131727" w:themeColor="text1"/>
          <w:spacing w:val="-8"/>
          <w:w w:val="110"/>
        </w:rPr>
        <w:t xml:space="preserve"> </w:t>
      </w:r>
      <w:r w:rsidRPr="00FD40B8">
        <w:rPr>
          <w:color w:val="131727" w:themeColor="text1"/>
          <w:w w:val="110"/>
        </w:rPr>
        <w:t>initiatives,</w:t>
      </w:r>
      <w:r w:rsidRPr="00FD40B8">
        <w:rPr>
          <w:color w:val="131727" w:themeColor="text1"/>
          <w:spacing w:val="-6"/>
          <w:w w:val="110"/>
        </w:rPr>
        <w:t xml:space="preserve"> </w:t>
      </w:r>
      <w:r w:rsidRPr="00FD40B8">
        <w:rPr>
          <w:color w:val="131727" w:themeColor="text1"/>
          <w:w w:val="110"/>
        </w:rPr>
        <w:t>commitments</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 xml:space="preserve">efforts underway to improve the data quality and use. However, progress is behind schedule on most </w:t>
      </w:r>
      <w:r w:rsidRPr="00FD40B8">
        <w:rPr>
          <w:color w:val="131727" w:themeColor="text1"/>
          <w:spacing w:val="-2"/>
          <w:w w:val="110"/>
        </w:rPr>
        <w:t>commitments.</w:t>
      </w:r>
    </w:p>
    <w:p w14:paraId="3E16E3DB" w14:textId="77777777" w:rsidR="00811887" w:rsidRPr="00FD40B8" w:rsidRDefault="00811887" w:rsidP="00811887">
      <w:pPr>
        <w:pStyle w:val="Heading8"/>
        <w:spacing w:before="94"/>
        <w:rPr>
          <w:color w:val="131727" w:themeColor="text1"/>
        </w:rPr>
      </w:pPr>
      <w:r w:rsidRPr="00FD40B8">
        <w:rPr>
          <w:color w:val="131727" w:themeColor="text1"/>
        </w:rPr>
        <w:t>National</w:t>
      </w:r>
      <w:r w:rsidRPr="00FD40B8">
        <w:rPr>
          <w:color w:val="131727" w:themeColor="text1"/>
          <w:spacing w:val="-5"/>
        </w:rPr>
        <w:t xml:space="preserve"> </w:t>
      </w:r>
      <w:r w:rsidRPr="00FD40B8">
        <w:rPr>
          <w:color w:val="131727" w:themeColor="text1"/>
        </w:rPr>
        <w:t>Agreement</w:t>
      </w:r>
      <w:r w:rsidRPr="00FD40B8">
        <w:rPr>
          <w:color w:val="131727" w:themeColor="text1"/>
          <w:spacing w:val="-4"/>
        </w:rPr>
        <w:t xml:space="preserve"> </w:t>
      </w:r>
      <w:r w:rsidRPr="00FD40B8">
        <w:rPr>
          <w:color w:val="131727" w:themeColor="text1"/>
        </w:rPr>
        <w:t>on</w:t>
      </w:r>
      <w:r w:rsidRPr="00FD40B8">
        <w:rPr>
          <w:color w:val="131727" w:themeColor="text1"/>
          <w:spacing w:val="-2"/>
        </w:rPr>
        <w:t xml:space="preserve"> </w:t>
      </w:r>
      <w:r w:rsidRPr="00FD40B8">
        <w:rPr>
          <w:color w:val="131727" w:themeColor="text1"/>
        </w:rPr>
        <w:t>Closing</w:t>
      </w:r>
      <w:r w:rsidRPr="00FD40B8">
        <w:rPr>
          <w:color w:val="131727" w:themeColor="text1"/>
          <w:spacing w:val="-2"/>
        </w:rPr>
        <w:t xml:space="preserve"> </w:t>
      </w:r>
      <w:r w:rsidRPr="00FD40B8">
        <w:rPr>
          <w:color w:val="131727" w:themeColor="text1"/>
        </w:rPr>
        <w:t>the</w:t>
      </w:r>
      <w:r w:rsidRPr="00FD40B8">
        <w:rPr>
          <w:color w:val="131727" w:themeColor="text1"/>
          <w:spacing w:val="-2"/>
        </w:rPr>
        <w:t xml:space="preserve"> </w:t>
      </w:r>
      <w:r w:rsidRPr="00FD40B8">
        <w:rPr>
          <w:color w:val="131727" w:themeColor="text1"/>
          <w:spacing w:val="-5"/>
        </w:rPr>
        <w:t>Gap</w:t>
      </w:r>
    </w:p>
    <w:p w14:paraId="0F301956" w14:textId="77777777" w:rsidR="00811887" w:rsidRPr="00FD40B8" w:rsidRDefault="00811887" w:rsidP="00811887">
      <w:pPr>
        <w:spacing w:before="239"/>
        <w:ind w:left="508"/>
        <w:rPr>
          <w:rFonts w:ascii="Book Antiqua"/>
          <w:i/>
          <w:color w:val="131727" w:themeColor="text1"/>
          <w:sz w:val="24"/>
        </w:rPr>
      </w:pPr>
      <w:r w:rsidRPr="00FD40B8">
        <w:rPr>
          <w:rFonts w:ascii="Book Antiqua"/>
          <w:i/>
          <w:color w:val="131727" w:themeColor="text1"/>
          <w:sz w:val="24"/>
        </w:rPr>
        <w:t>Priority</w:t>
      </w:r>
      <w:r w:rsidRPr="00FD40B8">
        <w:rPr>
          <w:rFonts w:ascii="Book Antiqua"/>
          <w:i/>
          <w:color w:val="131727" w:themeColor="text1"/>
          <w:spacing w:val="-8"/>
          <w:sz w:val="24"/>
        </w:rPr>
        <w:t xml:space="preserve"> </w:t>
      </w:r>
      <w:r w:rsidRPr="00FD40B8">
        <w:rPr>
          <w:rFonts w:ascii="Book Antiqua"/>
          <w:i/>
          <w:color w:val="131727" w:themeColor="text1"/>
          <w:sz w:val="24"/>
        </w:rPr>
        <w:t>Reform</w:t>
      </w:r>
      <w:r w:rsidRPr="00FD40B8">
        <w:rPr>
          <w:rFonts w:ascii="Book Antiqua"/>
          <w:i/>
          <w:color w:val="131727" w:themeColor="text1"/>
          <w:spacing w:val="-6"/>
          <w:sz w:val="24"/>
        </w:rPr>
        <w:t xml:space="preserve"> </w:t>
      </w:r>
      <w:r w:rsidRPr="00FD40B8">
        <w:rPr>
          <w:rFonts w:ascii="Book Antiqua"/>
          <w:i/>
          <w:color w:val="131727" w:themeColor="text1"/>
          <w:spacing w:val="-4"/>
          <w:sz w:val="24"/>
        </w:rPr>
        <w:t>Four</w:t>
      </w:r>
    </w:p>
    <w:p w14:paraId="4348A460" w14:textId="77777777" w:rsidR="00811887" w:rsidRPr="00FD40B8" w:rsidRDefault="00811887" w:rsidP="00811887">
      <w:pPr>
        <w:pStyle w:val="BodyText"/>
        <w:spacing w:before="265" w:line="268" w:lineRule="auto"/>
        <w:ind w:left="508" w:right="598"/>
        <w:rPr>
          <w:color w:val="131727" w:themeColor="text1"/>
        </w:rPr>
      </w:pP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Closing</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Gap</w:t>
      </w:r>
      <w:r w:rsidRPr="00FD40B8">
        <w:rPr>
          <w:color w:val="131727" w:themeColor="text1"/>
          <w:spacing w:val="-4"/>
          <w:w w:val="110"/>
        </w:rPr>
        <w:t xml:space="preserve"> </w:t>
      </w:r>
      <w:r w:rsidRPr="00FD40B8">
        <w:rPr>
          <w:color w:val="131727" w:themeColor="text1"/>
          <w:w w:val="110"/>
        </w:rPr>
        <w:t>Agreement</w:t>
      </w:r>
      <w:r w:rsidRPr="00FD40B8">
        <w:rPr>
          <w:color w:val="131727" w:themeColor="text1"/>
          <w:spacing w:val="-8"/>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5"/>
          <w:w w:val="110"/>
        </w:rPr>
        <w:t xml:space="preserve"> </w:t>
      </w:r>
      <w:r w:rsidRPr="00FD40B8">
        <w:rPr>
          <w:color w:val="131727" w:themeColor="text1"/>
          <w:w w:val="110"/>
        </w:rPr>
        <w:t>commitment</w:t>
      </w:r>
      <w:r w:rsidRPr="00FD40B8">
        <w:rPr>
          <w:color w:val="131727" w:themeColor="text1"/>
          <w:spacing w:val="-4"/>
          <w:w w:val="110"/>
        </w:rPr>
        <w:t xml:space="preserve"> </w:t>
      </w:r>
      <w:r w:rsidRPr="00FD40B8">
        <w:rPr>
          <w:color w:val="131727" w:themeColor="text1"/>
          <w:w w:val="110"/>
        </w:rPr>
        <w:t>to</w:t>
      </w:r>
      <w:r w:rsidRPr="00FD40B8">
        <w:rPr>
          <w:color w:val="131727" w:themeColor="text1"/>
          <w:spacing w:val="-7"/>
          <w:w w:val="110"/>
        </w:rPr>
        <w:t xml:space="preserve"> </w:t>
      </w:r>
      <w:r w:rsidRPr="00FD40B8">
        <w:rPr>
          <w:color w:val="131727" w:themeColor="text1"/>
          <w:w w:val="110"/>
        </w:rPr>
        <w:t>change</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8"/>
          <w:w w:val="110"/>
        </w:rPr>
        <w:t xml:space="preserve"> </w:t>
      </w:r>
      <w:r w:rsidRPr="00FD40B8">
        <w:rPr>
          <w:color w:val="131727" w:themeColor="text1"/>
          <w:w w:val="110"/>
        </w:rPr>
        <w:t>way</w:t>
      </w:r>
      <w:r w:rsidRPr="00FD40B8">
        <w:rPr>
          <w:color w:val="131727" w:themeColor="text1"/>
          <w:spacing w:val="-6"/>
          <w:w w:val="110"/>
        </w:rPr>
        <w:t xml:space="preserve"> </w:t>
      </w:r>
      <w:r w:rsidRPr="00FD40B8">
        <w:rPr>
          <w:color w:val="131727" w:themeColor="text1"/>
          <w:w w:val="110"/>
        </w:rPr>
        <w:t>governments</w:t>
      </w:r>
      <w:r w:rsidRPr="00FD40B8">
        <w:rPr>
          <w:color w:val="131727" w:themeColor="text1"/>
          <w:spacing w:val="-2"/>
          <w:w w:val="110"/>
        </w:rPr>
        <w:t xml:space="preserve"> </w:t>
      </w:r>
      <w:r w:rsidRPr="00FD40B8">
        <w:rPr>
          <w:color w:val="131727" w:themeColor="text1"/>
          <w:w w:val="110"/>
        </w:rPr>
        <w:t>work</w:t>
      </w:r>
      <w:r w:rsidRPr="00FD40B8">
        <w:rPr>
          <w:color w:val="131727" w:themeColor="text1"/>
          <w:spacing w:val="-6"/>
          <w:w w:val="110"/>
        </w:rPr>
        <w:t xml:space="preserve"> </w:t>
      </w:r>
      <w:r w:rsidRPr="00FD40B8">
        <w:rPr>
          <w:color w:val="131727" w:themeColor="text1"/>
          <w:w w:val="110"/>
        </w:rPr>
        <w:t>with</w:t>
      </w:r>
      <w:r w:rsidRPr="00FD40B8">
        <w:rPr>
          <w:color w:val="131727" w:themeColor="text1"/>
          <w:spacing w:val="-7"/>
          <w:w w:val="110"/>
        </w:rPr>
        <w:t xml:space="preserve"> </w:t>
      </w:r>
      <w:r w:rsidRPr="00FD40B8">
        <w:rPr>
          <w:color w:val="131727" w:themeColor="text1"/>
          <w:w w:val="110"/>
        </w:rPr>
        <w:t xml:space="preserve">Aboriginal and Torres Strait Islander communities and organisations and this change is set out in four priority </w:t>
      </w:r>
      <w:r w:rsidRPr="00FD40B8">
        <w:rPr>
          <w:color w:val="131727" w:themeColor="text1"/>
          <w:spacing w:val="-2"/>
          <w:w w:val="110"/>
        </w:rPr>
        <w:t>reforms.</w:t>
      </w:r>
    </w:p>
    <w:p w14:paraId="54D6D030" w14:textId="77777777" w:rsidR="00811887" w:rsidRPr="00FD40B8" w:rsidRDefault="00811887" w:rsidP="00811887">
      <w:pPr>
        <w:pStyle w:val="ListParagraph"/>
        <w:widowControl w:val="0"/>
        <w:numPr>
          <w:ilvl w:val="0"/>
          <w:numId w:val="63"/>
        </w:numPr>
        <w:tabs>
          <w:tab w:val="left" w:pos="1228"/>
        </w:tabs>
        <w:autoSpaceDE w:val="0"/>
        <w:autoSpaceDN w:val="0"/>
        <w:spacing w:before="226" w:after="0" w:line="268" w:lineRule="auto"/>
        <w:ind w:right="1123"/>
        <w:contextualSpacing w:val="0"/>
        <w:rPr>
          <w:color w:val="131727" w:themeColor="text1"/>
          <w:sz w:val="20"/>
        </w:rPr>
      </w:pPr>
      <w:r w:rsidRPr="00FD40B8">
        <w:rPr>
          <w:i/>
          <w:color w:val="131727" w:themeColor="text1"/>
          <w:w w:val="110"/>
          <w:sz w:val="20"/>
        </w:rPr>
        <w:t>Priority</w:t>
      </w:r>
      <w:r w:rsidRPr="00FD40B8">
        <w:rPr>
          <w:i/>
          <w:color w:val="131727" w:themeColor="text1"/>
          <w:spacing w:val="-12"/>
          <w:w w:val="110"/>
          <w:sz w:val="20"/>
        </w:rPr>
        <w:t xml:space="preserve"> </w:t>
      </w:r>
      <w:r w:rsidRPr="00FD40B8">
        <w:rPr>
          <w:i/>
          <w:color w:val="131727" w:themeColor="text1"/>
          <w:w w:val="110"/>
          <w:sz w:val="20"/>
        </w:rPr>
        <w:t>Reform</w:t>
      </w:r>
      <w:r w:rsidRPr="00FD40B8">
        <w:rPr>
          <w:i/>
          <w:color w:val="131727" w:themeColor="text1"/>
          <w:spacing w:val="-12"/>
          <w:w w:val="110"/>
          <w:sz w:val="20"/>
        </w:rPr>
        <w:t xml:space="preserve"> </w:t>
      </w:r>
      <w:r w:rsidRPr="00FD40B8">
        <w:rPr>
          <w:i/>
          <w:color w:val="131727" w:themeColor="text1"/>
          <w:w w:val="110"/>
          <w:sz w:val="20"/>
        </w:rPr>
        <w:t>One</w:t>
      </w:r>
      <w:r w:rsidRPr="00FD40B8">
        <w:rPr>
          <w:i/>
          <w:color w:val="131727" w:themeColor="text1"/>
          <w:spacing w:val="-7"/>
          <w:w w:val="110"/>
          <w:sz w:val="20"/>
        </w:rPr>
        <w:t xml:space="preserve"> </w:t>
      </w:r>
      <w:r w:rsidRPr="00FD40B8">
        <w:rPr>
          <w:color w:val="131727" w:themeColor="text1"/>
          <w:w w:val="110"/>
          <w:sz w:val="20"/>
        </w:rPr>
        <w:t>is</w:t>
      </w:r>
      <w:r w:rsidRPr="00FD40B8">
        <w:rPr>
          <w:color w:val="131727" w:themeColor="text1"/>
          <w:spacing w:val="-7"/>
          <w:w w:val="110"/>
          <w:sz w:val="20"/>
        </w:rPr>
        <w:t xml:space="preserve"> </w:t>
      </w:r>
      <w:r w:rsidRPr="00FD40B8">
        <w:rPr>
          <w:color w:val="131727" w:themeColor="text1"/>
          <w:w w:val="110"/>
          <w:sz w:val="20"/>
        </w:rPr>
        <w:t>a</w:t>
      </w:r>
      <w:r w:rsidRPr="00FD40B8">
        <w:rPr>
          <w:color w:val="131727" w:themeColor="text1"/>
          <w:spacing w:val="-10"/>
          <w:w w:val="110"/>
          <w:sz w:val="20"/>
        </w:rPr>
        <w:t xml:space="preserve"> </w:t>
      </w:r>
      <w:r w:rsidRPr="00FD40B8">
        <w:rPr>
          <w:color w:val="131727" w:themeColor="text1"/>
          <w:w w:val="110"/>
          <w:sz w:val="20"/>
        </w:rPr>
        <w:t>commitment</w:t>
      </w:r>
      <w:r w:rsidRPr="00FD40B8">
        <w:rPr>
          <w:color w:val="131727" w:themeColor="text1"/>
          <w:spacing w:val="-9"/>
          <w:w w:val="110"/>
          <w:sz w:val="20"/>
        </w:rPr>
        <w:t xml:space="preserve"> </w:t>
      </w:r>
      <w:r w:rsidRPr="00FD40B8">
        <w:rPr>
          <w:color w:val="131727" w:themeColor="text1"/>
          <w:w w:val="110"/>
          <w:sz w:val="20"/>
        </w:rPr>
        <w:t>to</w:t>
      </w:r>
      <w:r w:rsidRPr="00FD40B8">
        <w:rPr>
          <w:color w:val="131727" w:themeColor="text1"/>
          <w:spacing w:val="-8"/>
          <w:w w:val="110"/>
          <w:sz w:val="20"/>
        </w:rPr>
        <w:t xml:space="preserve"> </w:t>
      </w:r>
      <w:r w:rsidRPr="00FD40B8">
        <w:rPr>
          <w:color w:val="131727" w:themeColor="text1"/>
          <w:w w:val="110"/>
          <w:sz w:val="20"/>
        </w:rPr>
        <w:t>shared</w:t>
      </w:r>
      <w:r w:rsidRPr="00FD40B8">
        <w:rPr>
          <w:color w:val="131727" w:themeColor="text1"/>
          <w:spacing w:val="-9"/>
          <w:w w:val="110"/>
          <w:sz w:val="20"/>
        </w:rPr>
        <w:t xml:space="preserve"> </w:t>
      </w:r>
      <w:r w:rsidRPr="00FD40B8">
        <w:rPr>
          <w:color w:val="131727" w:themeColor="text1"/>
          <w:w w:val="110"/>
          <w:sz w:val="20"/>
        </w:rPr>
        <w:t>decision</w:t>
      </w:r>
      <w:r w:rsidRPr="00FD40B8">
        <w:rPr>
          <w:color w:val="131727" w:themeColor="text1"/>
          <w:spacing w:val="-8"/>
          <w:w w:val="110"/>
          <w:sz w:val="20"/>
        </w:rPr>
        <w:t xml:space="preserve"> </w:t>
      </w:r>
      <w:r w:rsidRPr="00FD40B8">
        <w:rPr>
          <w:color w:val="131727" w:themeColor="text1"/>
          <w:w w:val="110"/>
          <w:sz w:val="20"/>
        </w:rPr>
        <w:t>making</w:t>
      </w:r>
      <w:r w:rsidRPr="00FD40B8">
        <w:rPr>
          <w:color w:val="131727" w:themeColor="text1"/>
          <w:spacing w:val="-9"/>
          <w:w w:val="110"/>
          <w:sz w:val="20"/>
        </w:rPr>
        <w:t xml:space="preserve"> </w:t>
      </w:r>
      <w:r w:rsidRPr="00FD40B8">
        <w:rPr>
          <w:color w:val="131727" w:themeColor="text1"/>
          <w:w w:val="110"/>
          <w:sz w:val="20"/>
        </w:rPr>
        <w:t>between</w:t>
      </w:r>
      <w:r w:rsidRPr="00FD40B8">
        <w:rPr>
          <w:color w:val="131727" w:themeColor="text1"/>
          <w:spacing w:val="-9"/>
          <w:w w:val="110"/>
          <w:sz w:val="20"/>
        </w:rPr>
        <w:t xml:space="preserve"> </w:t>
      </w:r>
      <w:r w:rsidRPr="00FD40B8">
        <w:rPr>
          <w:color w:val="131727" w:themeColor="text1"/>
          <w:w w:val="110"/>
          <w:sz w:val="20"/>
        </w:rPr>
        <w:t>governments</w:t>
      </w:r>
      <w:r w:rsidRPr="00FD40B8">
        <w:rPr>
          <w:color w:val="131727" w:themeColor="text1"/>
          <w:spacing w:val="-7"/>
          <w:w w:val="110"/>
          <w:sz w:val="20"/>
        </w:rPr>
        <w:t xml:space="preserve"> </w:t>
      </w:r>
      <w:r w:rsidRPr="00FD40B8">
        <w:rPr>
          <w:color w:val="131727" w:themeColor="text1"/>
          <w:w w:val="110"/>
          <w:sz w:val="20"/>
        </w:rPr>
        <w:t>and Aboriginal and Torres Strait Islander representatives.</w:t>
      </w:r>
    </w:p>
    <w:p w14:paraId="4FFDAF0F" w14:textId="77777777" w:rsidR="00811887" w:rsidRPr="00FD40B8" w:rsidRDefault="00811887" w:rsidP="00811887">
      <w:pPr>
        <w:pStyle w:val="ListParagraph"/>
        <w:widowControl w:val="0"/>
        <w:numPr>
          <w:ilvl w:val="0"/>
          <w:numId w:val="63"/>
        </w:numPr>
        <w:tabs>
          <w:tab w:val="left" w:pos="1228"/>
        </w:tabs>
        <w:autoSpaceDE w:val="0"/>
        <w:autoSpaceDN w:val="0"/>
        <w:spacing w:before="230" w:after="0" w:line="268" w:lineRule="auto"/>
        <w:ind w:right="819"/>
        <w:contextualSpacing w:val="0"/>
        <w:rPr>
          <w:color w:val="131727" w:themeColor="text1"/>
          <w:sz w:val="20"/>
        </w:rPr>
      </w:pPr>
      <w:r w:rsidRPr="00FD40B8">
        <w:rPr>
          <w:i/>
          <w:color w:val="131727" w:themeColor="text1"/>
          <w:w w:val="110"/>
          <w:sz w:val="20"/>
        </w:rPr>
        <w:t>Priority</w:t>
      </w:r>
      <w:r w:rsidRPr="00FD40B8">
        <w:rPr>
          <w:i/>
          <w:color w:val="131727" w:themeColor="text1"/>
          <w:spacing w:val="-13"/>
          <w:w w:val="110"/>
          <w:sz w:val="20"/>
        </w:rPr>
        <w:t xml:space="preserve"> </w:t>
      </w:r>
      <w:r w:rsidRPr="00FD40B8">
        <w:rPr>
          <w:i/>
          <w:color w:val="131727" w:themeColor="text1"/>
          <w:w w:val="110"/>
          <w:sz w:val="20"/>
        </w:rPr>
        <w:t>Reform</w:t>
      </w:r>
      <w:r w:rsidRPr="00FD40B8">
        <w:rPr>
          <w:i/>
          <w:color w:val="131727" w:themeColor="text1"/>
          <w:spacing w:val="-12"/>
          <w:w w:val="110"/>
          <w:sz w:val="20"/>
        </w:rPr>
        <w:t xml:space="preserve"> </w:t>
      </w:r>
      <w:r w:rsidRPr="00FD40B8">
        <w:rPr>
          <w:i/>
          <w:color w:val="131727" w:themeColor="text1"/>
          <w:w w:val="110"/>
          <w:sz w:val="20"/>
        </w:rPr>
        <w:t>Two</w:t>
      </w:r>
      <w:r w:rsidRPr="00FD40B8">
        <w:rPr>
          <w:i/>
          <w:color w:val="131727" w:themeColor="text1"/>
          <w:spacing w:val="-13"/>
          <w:w w:val="110"/>
          <w:sz w:val="20"/>
        </w:rPr>
        <w:t xml:space="preserve"> </w:t>
      </w:r>
      <w:r w:rsidRPr="00FD40B8">
        <w:rPr>
          <w:color w:val="131727" w:themeColor="text1"/>
          <w:w w:val="110"/>
          <w:sz w:val="20"/>
        </w:rPr>
        <w:t>is</w:t>
      </w:r>
      <w:r w:rsidRPr="00FD40B8">
        <w:rPr>
          <w:color w:val="131727" w:themeColor="text1"/>
          <w:spacing w:val="-12"/>
          <w:w w:val="110"/>
          <w:sz w:val="20"/>
        </w:rPr>
        <w:t xml:space="preserve"> </w:t>
      </w:r>
      <w:r w:rsidRPr="00FD40B8">
        <w:rPr>
          <w:color w:val="131727" w:themeColor="text1"/>
          <w:w w:val="110"/>
          <w:sz w:val="20"/>
        </w:rPr>
        <w:t>a</w:t>
      </w:r>
      <w:r w:rsidRPr="00FD40B8">
        <w:rPr>
          <w:color w:val="131727" w:themeColor="text1"/>
          <w:spacing w:val="-12"/>
          <w:w w:val="110"/>
          <w:sz w:val="20"/>
        </w:rPr>
        <w:t xml:space="preserve"> </w:t>
      </w:r>
      <w:r w:rsidRPr="00FD40B8">
        <w:rPr>
          <w:color w:val="131727" w:themeColor="text1"/>
          <w:w w:val="110"/>
          <w:sz w:val="20"/>
        </w:rPr>
        <w:t>commitment</w:t>
      </w:r>
      <w:r w:rsidRPr="00FD40B8">
        <w:rPr>
          <w:color w:val="131727" w:themeColor="text1"/>
          <w:spacing w:val="-13"/>
          <w:w w:val="110"/>
          <w:sz w:val="20"/>
        </w:rPr>
        <w:t xml:space="preserve"> </w:t>
      </w:r>
      <w:r w:rsidRPr="00FD40B8">
        <w:rPr>
          <w:color w:val="131727" w:themeColor="text1"/>
          <w:w w:val="110"/>
          <w:sz w:val="20"/>
        </w:rPr>
        <w:t>from</w:t>
      </w:r>
      <w:r w:rsidRPr="00FD40B8">
        <w:rPr>
          <w:color w:val="131727" w:themeColor="text1"/>
          <w:spacing w:val="-10"/>
          <w:w w:val="110"/>
          <w:sz w:val="20"/>
        </w:rPr>
        <w:t xml:space="preserve"> </w:t>
      </w:r>
      <w:r w:rsidRPr="00FD40B8">
        <w:rPr>
          <w:color w:val="131727" w:themeColor="text1"/>
          <w:w w:val="110"/>
          <w:sz w:val="20"/>
        </w:rPr>
        <w:t>governments</w:t>
      </w:r>
      <w:r w:rsidRPr="00FD40B8">
        <w:rPr>
          <w:color w:val="131727" w:themeColor="text1"/>
          <w:spacing w:val="-9"/>
          <w:w w:val="110"/>
          <w:sz w:val="20"/>
        </w:rPr>
        <w:t xml:space="preserve"> </w:t>
      </w:r>
      <w:r w:rsidRPr="00FD40B8">
        <w:rPr>
          <w:color w:val="131727" w:themeColor="text1"/>
          <w:w w:val="110"/>
          <w:sz w:val="20"/>
        </w:rPr>
        <w:t>to</w:t>
      </w:r>
      <w:r w:rsidRPr="00FD40B8">
        <w:rPr>
          <w:color w:val="131727" w:themeColor="text1"/>
          <w:spacing w:val="-13"/>
          <w:w w:val="110"/>
          <w:sz w:val="20"/>
        </w:rPr>
        <w:t xml:space="preserve"> </w:t>
      </w:r>
      <w:r w:rsidRPr="00FD40B8">
        <w:rPr>
          <w:color w:val="131727" w:themeColor="text1"/>
          <w:w w:val="110"/>
          <w:sz w:val="20"/>
        </w:rPr>
        <w:t>build</w:t>
      </w:r>
      <w:r w:rsidRPr="00FD40B8">
        <w:rPr>
          <w:color w:val="131727" w:themeColor="text1"/>
          <w:spacing w:val="-10"/>
          <w:w w:val="110"/>
          <w:sz w:val="20"/>
        </w:rPr>
        <w:t xml:space="preserve"> </w:t>
      </w:r>
      <w:r w:rsidRPr="00FD40B8">
        <w:rPr>
          <w:color w:val="131727" w:themeColor="text1"/>
          <w:w w:val="110"/>
          <w:sz w:val="20"/>
        </w:rPr>
        <w:t>and</w:t>
      </w:r>
      <w:r w:rsidRPr="00FD40B8">
        <w:rPr>
          <w:color w:val="131727" w:themeColor="text1"/>
          <w:spacing w:val="-13"/>
          <w:w w:val="110"/>
          <w:sz w:val="20"/>
        </w:rPr>
        <w:t xml:space="preserve"> </w:t>
      </w:r>
      <w:r w:rsidRPr="00FD40B8">
        <w:rPr>
          <w:color w:val="131727" w:themeColor="text1"/>
          <w:w w:val="110"/>
          <w:sz w:val="20"/>
        </w:rPr>
        <w:t>strengthen</w:t>
      </w:r>
      <w:r w:rsidRPr="00FD40B8">
        <w:rPr>
          <w:color w:val="131727" w:themeColor="text1"/>
          <w:spacing w:val="-9"/>
          <w:w w:val="110"/>
          <w:sz w:val="20"/>
        </w:rPr>
        <w:t xml:space="preserve"> </w:t>
      </w:r>
      <w:r w:rsidRPr="00FD40B8">
        <w:rPr>
          <w:color w:val="131727" w:themeColor="text1"/>
          <w:w w:val="110"/>
          <w:sz w:val="20"/>
        </w:rPr>
        <w:t>the</w:t>
      </w:r>
      <w:r w:rsidRPr="00FD40B8">
        <w:rPr>
          <w:color w:val="131727" w:themeColor="text1"/>
          <w:spacing w:val="-11"/>
          <w:w w:val="110"/>
          <w:sz w:val="20"/>
        </w:rPr>
        <w:t xml:space="preserve"> </w:t>
      </w:r>
      <w:r w:rsidRPr="00FD40B8">
        <w:rPr>
          <w:color w:val="131727" w:themeColor="text1"/>
          <w:w w:val="110"/>
          <w:sz w:val="20"/>
        </w:rPr>
        <w:t>Aboriginal and Torres Strait Islander community-controlled sector.</w:t>
      </w:r>
    </w:p>
    <w:p w14:paraId="5231A252" w14:textId="77777777" w:rsidR="00811887" w:rsidRPr="00FD40B8" w:rsidRDefault="00811887" w:rsidP="00811887">
      <w:pPr>
        <w:pStyle w:val="ListParagraph"/>
        <w:widowControl w:val="0"/>
        <w:numPr>
          <w:ilvl w:val="0"/>
          <w:numId w:val="63"/>
        </w:numPr>
        <w:tabs>
          <w:tab w:val="left" w:pos="1228"/>
        </w:tabs>
        <w:autoSpaceDE w:val="0"/>
        <w:autoSpaceDN w:val="0"/>
        <w:spacing w:before="225" w:after="0" w:line="268" w:lineRule="auto"/>
        <w:ind w:right="587"/>
        <w:contextualSpacing w:val="0"/>
        <w:rPr>
          <w:color w:val="131727" w:themeColor="text1"/>
          <w:sz w:val="20"/>
        </w:rPr>
      </w:pPr>
      <w:r w:rsidRPr="00FD40B8">
        <w:rPr>
          <w:i/>
          <w:color w:val="131727" w:themeColor="text1"/>
          <w:w w:val="110"/>
          <w:sz w:val="20"/>
        </w:rPr>
        <w:t>Priority</w:t>
      </w:r>
      <w:r w:rsidRPr="00FD40B8">
        <w:rPr>
          <w:i/>
          <w:color w:val="131727" w:themeColor="text1"/>
          <w:spacing w:val="-13"/>
          <w:w w:val="110"/>
          <w:sz w:val="20"/>
        </w:rPr>
        <w:t xml:space="preserve"> </w:t>
      </w:r>
      <w:r w:rsidRPr="00FD40B8">
        <w:rPr>
          <w:i/>
          <w:color w:val="131727" w:themeColor="text1"/>
          <w:w w:val="110"/>
          <w:sz w:val="20"/>
        </w:rPr>
        <w:t>Reform</w:t>
      </w:r>
      <w:r w:rsidRPr="00FD40B8">
        <w:rPr>
          <w:i/>
          <w:color w:val="131727" w:themeColor="text1"/>
          <w:spacing w:val="-12"/>
          <w:w w:val="110"/>
          <w:sz w:val="20"/>
        </w:rPr>
        <w:t xml:space="preserve"> </w:t>
      </w:r>
      <w:r w:rsidRPr="00FD40B8">
        <w:rPr>
          <w:i/>
          <w:color w:val="131727" w:themeColor="text1"/>
          <w:w w:val="110"/>
          <w:sz w:val="20"/>
        </w:rPr>
        <w:t>Three</w:t>
      </w:r>
      <w:r w:rsidRPr="00FD40B8">
        <w:rPr>
          <w:i/>
          <w:color w:val="131727" w:themeColor="text1"/>
          <w:spacing w:val="-13"/>
          <w:w w:val="110"/>
          <w:sz w:val="20"/>
        </w:rPr>
        <w:t xml:space="preserve"> </w:t>
      </w:r>
      <w:r w:rsidRPr="00FD40B8">
        <w:rPr>
          <w:color w:val="131727" w:themeColor="text1"/>
          <w:w w:val="110"/>
          <w:sz w:val="20"/>
        </w:rPr>
        <w:t>is</w:t>
      </w:r>
      <w:r w:rsidRPr="00FD40B8">
        <w:rPr>
          <w:color w:val="131727" w:themeColor="text1"/>
          <w:spacing w:val="-12"/>
          <w:w w:val="110"/>
          <w:sz w:val="20"/>
        </w:rPr>
        <w:t xml:space="preserve"> </w:t>
      </w:r>
      <w:r w:rsidRPr="00FD40B8">
        <w:rPr>
          <w:color w:val="131727" w:themeColor="text1"/>
          <w:w w:val="110"/>
          <w:sz w:val="20"/>
        </w:rPr>
        <w:t>a</w:t>
      </w:r>
      <w:r w:rsidRPr="00FD40B8">
        <w:rPr>
          <w:color w:val="131727" w:themeColor="text1"/>
          <w:spacing w:val="-13"/>
          <w:w w:val="110"/>
          <w:sz w:val="20"/>
        </w:rPr>
        <w:t xml:space="preserve"> </w:t>
      </w:r>
      <w:r w:rsidRPr="00FD40B8">
        <w:rPr>
          <w:color w:val="131727" w:themeColor="text1"/>
          <w:w w:val="110"/>
          <w:sz w:val="20"/>
        </w:rPr>
        <w:t>commitment</w:t>
      </w:r>
      <w:r w:rsidRPr="00FD40B8">
        <w:rPr>
          <w:color w:val="131727" w:themeColor="text1"/>
          <w:spacing w:val="-12"/>
          <w:w w:val="110"/>
          <w:sz w:val="20"/>
        </w:rPr>
        <w:t xml:space="preserve"> </w:t>
      </w:r>
      <w:r w:rsidRPr="00FD40B8">
        <w:rPr>
          <w:color w:val="131727" w:themeColor="text1"/>
          <w:w w:val="110"/>
          <w:sz w:val="20"/>
        </w:rPr>
        <w:t>from</w:t>
      </w:r>
      <w:r w:rsidRPr="00FD40B8">
        <w:rPr>
          <w:color w:val="131727" w:themeColor="text1"/>
          <w:spacing w:val="-13"/>
          <w:w w:val="110"/>
          <w:sz w:val="20"/>
        </w:rPr>
        <w:t xml:space="preserve"> </w:t>
      </w:r>
      <w:r w:rsidRPr="00FD40B8">
        <w:rPr>
          <w:color w:val="131727" w:themeColor="text1"/>
          <w:w w:val="110"/>
          <w:sz w:val="20"/>
        </w:rPr>
        <w:t>governments</w:t>
      </w:r>
      <w:r w:rsidRPr="00FD40B8">
        <w:rPr>
          <w:color w:val="131727" w:themeColor="text1"/>
          <w:spacing w:val="-12"/>
          <w:w w:val="110"/>
          <w:sz w:val="20"/>
        </w:rPr>
        <w:t xml:space="preserve"> </w:t>
      </w:r>
      <w:r w:rsidRPr="00FD40B8">
        <w:rPr>
          <w:color w:val="131727" w:themeColor="text1"/>
          <w:w w:val="110"/>
          <w:sz w:val="20"/>
        </w:rPr>
        <w:t>to</w:t>
      </w:r>
      <w:r w:rsidRPr="00FD40B8">
        <w:rPr>
          <w:color w:val="131727" w:themeColor="text1"/>
          <w:spacing w:val="-12"/>
          <w:w w:val="110"/>
          <w:sz w:val="20"/>
        </w:rPr>
        <w:t xml:space="preserve"> </w:t>
      </w:r>
      <w:r w:rsidRPr="00FD40B8">
        <w:rPr>
          <w:color w:val="131727" w:themeColor="text1"/>
          <w:w w:val="110"/>
          <w:sz w:val="20"/>
        </w:rPr>
        <w:t>transform</w:t>
      </w:r>
      <w:r w:rsidRPr="00FD40B8">
        <w:rPr>
          <w:color w:val="131727" w:themeColor="text1"/>
          <w:spacing w:val="-13"/>
          <w:w w:val="110"/>
          <w:sz w:val="20"/>
        </w:rPr>
        <w:t xml:space="preserve"> </w:t>
      </w:r>
      <w:r w:rsidRPr="00FD40B8">
        <w:rPr>
          <w:color w:val="131727" w:themeColor="text1"/>
          <w:w w:val="110"/>
          <w:sz w:val="20"/>
        </w:rPr>
        <w:t>mainstream</w:t>
      </w:r>
      <w:r w:rsidRPr="00FD40B8">
        <w:rPr>
          <w:color w:val="131727" w:themeColor="text1"/>
          <w:spacing w:val="-12"/>
          <w:w w:val="110"/>
          <w:sz w:val="20"/>
        </w:rPr>
        <w:t xml:space="preserve"> </w:t>
      </w:r>
      <w:r w:rsidRPr="00FD40B8">
        <w:rPr>
          <w:color w:val="131727" w:themeColor="text1"/>
          <w:w w:val="110"/>
          <w:sz w:val="20"/>
        </w:rPr>
        <w:t>organisations and institutions so that these are</w:t>
      </w:r>
      <w:r w:rsidRPr="00FD40B8">
        <w:rPr>
          <w:color w:val="131727" w:themeColor="text1"/>
          <w:spacing w:val="-1"/>
          <w:w w:val="110"/>
          <w:sz w:val="20"/>
        </w:rPr>
        <w:t xml:space="preserve"> </w:t>
      </w:r>
      <w:r w:rsidRPr="00FD40B8">
        <w:rPr>
          <w:color w:val="131727" w:themeColor="text1"/>
          <w:w w:val="110"/>
          <w:sz w:val="20"/>
        </w:rPr>
        <w:t>significantly more accountable and responsive</w:t>
      </w:r>
      <w:r w:rsidRPr="00FD40B8">
        <w:rPr>
          <w:color w:val="131727" w:themeColor="text1"/>
          <w:spacing w:val="-1"/>
          <w:w w:val="110"/>
          <w:sz w:val="20"/>
        </w:rPr>
        <w:t xml:space="preserve"> </w:t>
      </w:r>
      <w:r w:rsidRPr="00FD40B8">
        <w:rPr>
          <w:color w:val="131727" w:themeColor="text1"/>
          <w:w w:val="110"/>
          <w:sz w:val="20"/>
        </w:rPr>
        <w:t>to the</w:t>
      </w:r>
      <w:r w:rsidRPr="00FD40B8">
        <w:rPr>
          <w:color w:val="131727" w:themeColor="text1"/>
          <w:spacing w:val="-1"/>
          <w:w w:val="110"/>
          <w:sz w:val="20"/>
        </w:rPr>
        <w:t xml:space="preserve"> </w:t>
      </w:r>
      <w:r w:rsidRPr="00FD40B8">
        <w:rPr>
          <w:color w:val="131727" w:themeColor="text1"/>
          <w:w w:val="110"/>
          <w:sz w:val="20"/>
        </w:rPr>
        <w:t>needs of Aboriginal and Torres Strait Islander people.</w:t>
      </w:r>
    </w:p>
    <w:p w14:paraId="552D15C1" w14:textId="77777777" w:rsidR="00811887" w:rsidRPr="00FD40B8" w:rsidRDefault="00811887" w:rsidP="00811887">
      <w:pPr>
        <w:pStyle w:val="ListParagraph"/>
        <w:widowControl w:val="0"/>
        <w:numPr>
          <w:ilvl w:val="0"/>
          <w:numId w:val="63"/>
        </w:numPr>
        <w:tabs>
          <w:tab w:val="left" w:pos="1228"/>
        </w:tabs>
        <w:autoSpaceDE w:val="0"/>
        <w:autoSpaceDN w:val="0"/>
        <w:spacing w:before="225" w:after="0" w:line="268" w:lineRule="auto"/>
        <w:ind w:right="569"/>
        <w:contextualSpacing w:val="0"/>
        <w:rPr>
          <w:color w:val="131727" w:themeColor="text1"/>
          <w:sz w:val="20"/>
        </w:rPr>
      </w:pPr>
      <w:r w:rsidRPr="00FD40B8">
        <w:rPr>
          <w:i/>
          <w:color w:val="131727" w:themeColor="text1"/>
          <w:w w:val="110"/>
          <w:sz w:val="20"/>
        </w:rPr>
        <w:t>Priority</w:t>
      </w:r>
      <w:r w:rsidRPr="00FD40B8">
        <w:rPr>
          <w:i/>
          <w:color w:val="131727" w:themeColor="text1"/>
          <w:spacing w:val="-1"/>
          <w:w w:val="110"/>
          <w:sz w:val="20"/>
        </w:rPr>
        <w:t xml:space="preserve"> </w:t>
      </w:r>
      <w:r w:rsidRPr="00FD40B8">
        <w:rPr>
          <w:i/>
          <w:color w:val="131727" w:themeColor="text1"/>
          <w:w w:val="110"/>
          <w:sz w:val="20"/>
        </w:rPr>
        <w:t xml:space="preserve">Reform Four </w:t>
      </w:r>
      <w:r w:rsidRPr="00FD40B8">
        <w:rPr>
          <w:color w:val="131727" w:themeColor="text1"/>
          <w:w w:val="110"/>
          <w:sz w:val="20"/>
        </w:rPr>
        <w:t>is a</w:t>
      </w:r>
      <w:r w:rsidRPr="00FD40B8">
        <w:rPr>
          <w:color w:val="131727" w:themeColor="text1"/>
          <w:spacing w:val="-3"/>
          <w:w w:val="110"/>
          <w:sz w:val="20"/>
        </w:rPr>
        <w:t xml:space="preserve"> </w:t>
      </w:r>
      <w:r w:rsidRPr="00FD40B8">
        <w:rPr>
          <w:color w:val="131727" w:themeColor="text1"/>
          <w:w w:val="110"/>
          <w:sz w:val="20"/>
        </w:rPr>
        <w:t>commitment</w:t>
      </w:r>
      <w:r w:rsidRPr="00FD40B8">
        <w:rPr>
          <w:color w:val="131727" w:themeColor="text1"/>
          <w:spacing w:val="-2"/>
          <w:w w:val="110"/>
          <w:sz w:val="20"/>
        </w:rPr>
        <w:t xml:space="preserve"> </w:t>
      </w:r>
      <w:r w:rsidRPr="00FD40B8">
        <w:rPr>
          <w:color w:val="131727" w:themeColor="text1"/>
          <w:w w:val="110"/>
          <w:sz w:val="20"/>
        </w:rPr>
        <w:t>from governments to share data and</w:t>
      </w:r>
      <w:r w:rsidRPr="00FD40B8">
        <w:rPr>
          <w:color w:val="131727" w:themeColor="text1"/>
          <w:spacing w:val="-2"/>
          <w:w w:val="110"/>
          <w:sz w:val="20"/>
        </w:rPr>
        <w:t xml:space="preserve"> </w:t>
      </w:r>
      <w:r w:rsidRPr="00FD40B8">
        <w:rPr>
          <w:color w:val="131727" w:themeColor="text1"/>
          <w:w w:val="110"/>
          <w:sz w:val="20"/>
        </w:rPr>
        <w:t>information</w:t>
      </w:r>
      <w:r w:rsidRPr="00FD40B8">
        <w:rPr>
          <w:color w:val="131727" w:themeColor="text1"/>
          <w:spacing w:val="-1"/>
          <w:w w:val="110"/>
          <w:sz w:val="20"/>
        </w:rPr>
        <w:t xml:space="preserve"> </w:t>
      </w:r>
      <w:r w:rsidRPr="00FD40B8">
        <w:rPr>
          <w:color w:val="131727" w:themeColor="text1"/>
          <w:w w:val="110"/>
          <w:sz w:val="20"/>
        </w:rPr>
        <w:t>with communities and organisations, including at the community level to support shared decision making</w:t>
      </w:r>
      <w:r w:rsidRPr="00FD40B8">
        <w:rPr>
          <w:color w:val="131727" w:themeColor="text1"/>
          <w:spacing w:val="-5"/>
          <w:w w:val="110"/>
          <w:sz w:val="20"/>
        </w:rPr>
        <w:t xml:space="preserve"> </w:t>
      </w:r>
      <w:r w:rsidRPr="00FD40B8">
        <w:rPr>
          <w:color w:val="131727" w:themeColor="text1"/>
          <w:w w:val="110"/>
          <w:sz w:val="20"/>
        </w:rPr>
        <w:t>between</w:t>
      </w:r>
      <w:r w:rsidRPr="00FD40B8">
        <w:rPr>
          <w:color w:val="131727" w:themeColor="text1"/>
          <w:spacing w:val="-4"/>
          <w:w w:val="110"/>
          <w:sz w:val="20"/>
        </w:rPr>
        <w:t xml:space="preserve"> </w:t>
      </w:r>
      <w:r w:rsidRPr="00FD40B8">
        <w:rPr>
          <w:color w:val="131727" w:themeColor="text1"/>
          <w:w w:val="110"/>
          <w:sz w:val="20"/>
        </w:rPr>
        <w:t>governments and communities on</w:t>
      </w:r>
      <w:r w:rsidRPr="00FD40B8">
        <w:rPr>
          <w:color w:val="131727" w:themeColor="text1"/>
          <w:spacing w:val="-4"/>
          <w:w w:val="110"/>
          <w:sz w:val="20"/>
        </w:rPr>
        <w:t xml:space="preserve"> </w:t>
      </w:r>
      <w:r w:rsidRPr="00FD40B8">
        <w:rPr>
          <w:color w:val="131727" w:themeColor="text1"/>
          <w:w w:val="110"/>
          <w:sz w:val="20"/>
        </w:rPr>
        <w:t>policy</w:t>
      </w:r>
      <w:r w:rsidRPr="00FD40B8">
        <w:rPr>
          <w:color w:val="131727" w:themeColor="text1"/>
          <w:spacing w:val="-1"/>
          <w:w w:val="110"/>
          <w:sz w:val="20"/>
        </w:rPr>
        <w:t xml:space="preserve"> </w:t>
      </w:r>
      <w:r w:rsidRPr="00FD40B8">
        <w:rPr>
          <w:color w:val="131727" w:themeColor="text1"/>
          <w:w w:val="110"/>
          <w:sz w:val="20"/>
        </w:rPr>
        <w:t>and program priorities and to support communities determine their own development objectives. Priority Reform Four is also a commitment to support Aboriginal organisations to be</w:t>
      </w:r>
      <w:r w:rsidRPr="00FD40B8">
        <w:rPr>
          <w:color w:val="131727" w:themeColor="text1"/>
          <w:spacing w:val="-1"/>
          <w:w w:val="110"/>
          <w:sz w:val="20"/>
        </w:rPr>
        <w:t xml:space="preserve"> </w:t>
      </w:r>
      <w:r w:rsidRPr="00FD40B8">
        <w:rPr>
          <w:color w:val="131727" w:themeColor="text1"/>
          <w:w w:val="110"/>
          <w:sz w:val="20"/>
        </w:rPr>
        <w:t>able to better manage</w:t>
      </w:r>
      <w:r w:rsidRPr="00FD40B8">
        <w:rPr>
          <w:color w:val="131727" w:themeColor="text1"/>
          <w:spacing w:val="-2"/>
          <w:w w:val="110"/>
          <w:sz w:val="20"/>
        </w:rPr>
        <w:t xml:space="preserve"> </w:t>
      </w:r>
      <w:r w:rsidRPr="00FD40B8">
        <w:rPr>
          <w:color w:val="131727" w:themeColor="text1"/>
          <w:w w:val="110"/>
          <w:sz w:val="20"/>
        </w:rPr>
        <w:t>and</w:t>
      </w:r>
      <w:r w:rsidRPr="00FD40B8">
        <w:rPr>
          <w:color w:val="131727" w:themeColor="text1"/>
          <w:spacing w:val="-2"/>
          <w:w w:val="110"/>
          <w:sz w:val="20"/>
        </w:rPr>
        <w:t xml:space="preserve"> </w:t>
      </w:r>
      <w:r w:rsidRPr="00FD40B8">
        <w:rPr>
          <w:color w:val="131727" w:themeColor="text1"/>
          <w:w w:val="110"/>
          <w:sz w:val="20"/>
        </w:rPr>
        <w:t>use</w:t>
      </w:r>
      <w:r w:rsidRPr="00FD40B8">
        <w:rPr>
          <w:color w:val="131727" w:themeColor="text1"/>
          <w:spacing w:val="-2"/>
          <w:w w:val="110"/>
          <w:sz w:val="20"/>
        </w:rPr>
        <w:t xml:space="preserve"> </w:t>
      </w:r>
      <w:r w:rsidRPr="00FD40B8">
        <w:rPr>
          <w:color w:val="131727" w:themeColor="text1"/>
          <w:w w:val="110"/>
          <w:sz w:val="20"/>
        </w:rPr>
        <w:t xml:space="preserve">their own </w:t>
      </w:r>
      <w:r w:rsidRPr="00FD40B8">
        <w:rPr>
          <w:color w:val="131727" w:themeColor="text1"/>
          <w:spacing w:val="-2"/>
          <w:w w:val="110"/>
          <w:sz w:val="20"/>
        </w:rPr>
        <w:t>data.</w:t>
      </w:r>
    </w:p>
    <w:p w14:paraId="3DA87185" w14:textId="77777777" w:rsidR="00811887" w:rsidRPr="00FD40B8" w:rsidRDefault="00811887" w:rsidP="00811887">
      <w:pPr>
        <w:pStyle w:val="BodyText"/>
        <w:spacing w:before="112"/>
        <w:rPr>
          <w:color w:val="131727" w:themeColor="text1"/>
        </w:rPr>
      </w:pPr>
    </w:p>
    <w:p w14:paraId="0217BE15" w14:textId="77777777" w:rsidR="00811887" w:rsidRPr="00FD40B8" w:rsidRDefault="00811887" w:rsidP="00811887">
      <w:pPr>
        <w:pStyle w:val="BodyText"/>
        <w:spacing w:line="268" w:lineRule="auto"/>
        <w:ind w:left="508" w:right="598"/>
        <w:rPr>
          <w:color w:val="131727" w:themeColor="text1"/>
        </w:rPr>
      </w:pPr>
      <w:r w:rsidRPr="00FD40B8">
        <w:rPr>
          <w:color w:val="131727" w:themeColor="text1"/>
          <w:w w:val="110"/>
        </w:rPr>
        <w:t>The</w:t>
      </w:r>
      <w:r w:rsidRPr="00FD40B8">
        <w:rPr>
          <w:color w:val="131727" w:themeColor="text1"/>
          <w:spacing w:val="-10"/>
          <w:w w:val="110"/>
        </w:rPr>
        <w:t xml:space="preserve"> </w:t>
      </w:r>
      <w:r w:rsidRPr="00FD40B8">
        <w:rPr>
          <w:color w:val="131727" w:themeColor="text1"/>
          <w:w w:val="110"/>
        </w:rPr>
        <w:t>Priority</w:t>
      </w:r>
      <w:r w:rsidRPr="00FD40B8">
        <w:rPr>
          <w:color w:val="131727" w:themeColor="text1"/>
          <w:spacing w:val="-7"/>
          <w:w w:val="110"/>
        </w:rPr>
        <w:t xml:space="preserve"> </w:t>
      </w:r>
      <w:r w:rsidRPr="00FD40B8">
        <w:rPr>
          <w:color w:val="131727" w:themeColor="text1"/>
          <w:w w:val="110"/>
        </w:rPr>
        <w:t>Reforms</w:t>
      </w:r>
      <w:r w:rsidRPr="00FD40B8">
        <w:rPr>
          <w:color w:val="131727" w:themeColor="text1"/>
          <w:spacing w:val="-8"/>
          <w:w w:val="110"/>
        </w:rPr>
        <w:t xml:space="preserve"> </w:t>
      </w:r>
      <w:r w:rsidRPr="00FD40B8">
        <w:rPr>
          <w:color w:val="131727" w:themeColor="text1"/>
          <w:w w:val="110"/>
        </w:rPr>
        <w:t>have</w:t>
      </w:r>
      <w:r w:rsidRPr="00FD40B8">
        <w:rPr>
          <w:color w:val="131727" w:themeColor="text1"/>
          <w:spacing w:val="-6"/>
          <w:w w:val="110"/>
        </w:rPr>
        <w:t xml:space="preserve"> </w:t>
      </w:r>
      <w:r w:rsidRPr="00FD40B8">
        <w:rPr>
          <w:color w:val="131727" w:themeColor="text1"/>
          <w:w w:val="110"/>
        </w:rPr>
        <w:t>significant</w:t>
      </w:r>
      <w:r w:rsidRPr="00FD40B8">
        <w:rPr>
          <w:color w:val="131727" w:themeColor="text1"/>
          <w:spacing w:val="-10"/>
          <w:w w:val="110"/>
        </w:rPr>
        <w:t xml:space="preserve"> </w:t>
      </w:r>
      <w:r w:rsidRPr="00FD40B8">
        <w:rPr>
          <w:color w:val="131727" w:themeColor="text1"/>
          <w:w w:val="110"/>
        </w:rPr>
        <w:t>implications</w:t>
      </w:r>
      <w:r w:rsidRPr="00FD40B8">
        <w:rPr>
          <w:color w:val="131727" w:themeColor="text1"/>
          <w:spacing w:val="-4"/>
          <w:w w:val="110"/>
        </w:rPr>
        <w:t xml:space="preserve"> </w:t>
      </w:r>
      <w:r w:rsidRPr="00FD40B8">
        <w:rPr>
          <w:color w:val="131727" w:themeColor="text1"/>
          <w:w w:val="110"/>
        </w:rPr>
        <w:t>when</w:t>
      </w:r>
      <w:r w:rsidRPr="00FD40B8">
        <w:rPr>
          <w:color w:val="131727" w:themeColor="text1"/>
          <w:spacing w:val="-5"/>
          <w:w w:val="110"/>
        </w:rPr>
        <w:t xml:space="preserve"> </w:t>
      </w:r>
      <w:r w:rsidRPr="00FD40B8">
        <w:rPr>
          <w:color w:val="131727" w:themeColor="text1"/>
          <w:w w:val="110"/>
        </w:rPr>
        <w:t>considering</w:t>
      </w:r>
      <w:r w:rsidRPr="00FD40B8">
        <w:rPr>
          <w:color w:val="131727" w:themeColor="text1"/>
          <w:spacing w:val="-10"/>
          <w:w w:val="110"/>
        </w:rPr>
        <w:t xml:space="preserve"> </w:t>
      </w:r>
      <w:r w:rsidRPr="00FD40B8">
        <w:rPr>
          <w:color w:val="131727" w:themeColor="text1"/>
          <w:w w:val="110"/>
        </w:rPr>
        <w:t>improved</w:t>
      </w:r>
      <w:r w:rsidRPr="00FD40B8">
        <w:rPr>
          <w:color w:val="131727" w:themeColor="text1"/>
          <w:spacing w:val="-10"/>
          <w:w w:val="110"/>
        </w:rPr>
        <w:t xml:space="preserve"> </w:t>
      </w:r>
      <w:r w:rsidRPr="00FD40B8">
        <w:rPr>
          <w:color w:val="131727" w:themeColor="text1"/>
          <w:w w:val="110"/>
        </w:rPr>
        <w:t>data</w:t>
      </w:r>
      <w:r w:rsidRPr="00FD40B8">
        <w:rPr>
          <w:color w:val="131727" w:themeColor="text1"/>
          <w:spacing w:val="-8"/>
          <w:w w:val="110"/>
        </w:rPr>
        <w:t xml:space="preserve"> </w:t>
      </w:r>
      <w:r w:rsidRPr="00FD40B8">
        <w:rPr>
          <w:color w:val="131727" w:themeColor="text1"/>
          <w:w w:val="110"/>
        </w:rPr>
        <w:t xml:space="preserve">collection </w:t>
      </w:r>
      <w:r w:rsidRPr="00FD40B8">
        <w:rPr>
          <w:color w:val="131727" w:themeColor="text1"/>
          <w:spacing w:val="-2"/>
          <w:w w:val="110"/>
        </w:rPr>
        <w:t>opportunities.</w:t>
      </w:r>
    </w:p>
    <w:p w14:paraId="63E3D909" w14:textId="77777777" w:rsidR="00811887" w:rsidRPr="00FD40B8" w:rsidRDefault="00811887" w:rsidP="00811887">
      <w:pPr>
        <w:spacing w:before="94"/>
        <w:ind w:left="508"/>
        <w:rPr>
          <w:rFonts w:ascii="Book Antiqua"/>
          <w:i/>
          <w:color w:val="131727" w:themeColor="text1"/>
          <w:sz w:val="24"/>
        </w:rPr>
      </w:pPr>
      <w:r w:rsidRPr="00FD40B8">
        <w:rPr>
          <w:rFonts w:ascii="Book Antiqua"/>
          <w:i/>
          <w:color w:val="131727" w:themeColor="text1"/>
          <w:sz w:val="24"/>
        </w:rPr>
        <w:t>Community data</w:t>
      </w:r>
      <w:r w:rsidRPr="00FD40B8">
        <w:rPr>
          <w:rFonts w:ascii="Book Antiqua"/>
          <w:i/>
          <w:color w:val="131727" w:themeColor="text1"/>
          <w:spacing w:val="-4"/>
          <w:sz w:val="24"/>
        </w:rPr>
        <w:t xml:space="preserve"> </w:t>
      </w:r>
      <w:r w:rsidRPr="00FD40B8">
        <w:rPr>
          <w:rFonts w:ascii="Book Antiqua"/>
          <w:i/>
          <w:color w:val="131727" w:themeColor="text1"/>
          <w:spacing w:val="-2"/>
          <w:sz w:val="24"/>
        </w:rPr>
        <w:t>projects</w:t>
      </w:r>
    </w:p>
    <w:p w14:paraId="370A0AF6" w14:textId="77777777" w:rsidR="00811887" w:rsidRPr="00FD40B8" w:rsidRDefault="00811887" w:rsidP="00811887">
      <w:pPr>
        <w:pStyle w:val="BodyText"/>
        <w:spacing w:before="146" w:line="264" w:lineRule="auto"/>
        <w:ind w:left="508" w:right="532"/>
        <w:rPr>
          <w:color w:val="131727" w:themeColor="text1"/>
          <w:sz w:val="13"/>
        </w:rPr>
      </w:pPr>
      <w:r w:rsidRPr="00FD40B8">
        <w:rPr>
          <w:color w:val="131727" w:themeColor="text1"/>
          <w:w w:val="110"/>
        </w:rPr>
        <w:t>As part of Priority Reform Four, governments and the Coalition of Peaks have committed to establishing community</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2"/>
          <w:w w:val="110"/>
        </w:rPr>
        <w:t xml:space="preserve"> </w:t>
      </w:r>
      <w:r w:rsidRPr="00FD40B8">
        <w:rPr>
          <w:color w:val="131727" w:themeColor="text1"/>
          <w:w w:val="110"/>
        </w:rPr>
        <w:t>projects</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4"/>
          <w:w w:val="110"/>
        </w:rPr>
        <w:t xml:space="preserve"> </w:t>
      </w:r>
      <w:r w:rsidRPr="00FD40B8">
        <w:rPr>
          <w:color w:val="131727" w:themeColor="text1"/>
          <w:w w:val="110"/>
        </w:rPr>
        <w:t>up to</w:t>
      </w:r>
      <w:r w:rsidRPr="00FD40B8">
        <w:rPr>
          <w:color w:val="131727" w:themeColor="text1"/>
          <w:spacing w:val="-3"/>
          <w:w w:val="110"/>
        </w:rPr>
        <w:t xml:space="preserve"> </w:t>
      </w:r>
      <w:r w:rsidRPr="00FD40B8">
        <w:rPr>
          <w:color w:val="131727" w:themeColor="text1"/>
          <w:w w:val="110"/>
        </w:rPr>
        <w:t>six locations by</w:t>
      </w:r>
      <w:r w:rsidRPr="00FD40B8">
        <w:rPr>
          <w:color w:val="131727" w:themeColor="text1"/>
          <w:spacing w:val="-1"/>
          <w:w w:val="110"/>
        </w:rPr>
        <w:t xml:space="preserve"> </w:t>
      </w:r>
      <w:r w:rsidRPr="00FD40B8">
        <w:rPr>
          <w:color w:val="131727" w:themeColor="text1"/>
          <w:w w:val="110"/>
        </w:rPr>
        <w:t>2023. The</w:t>
      </w:r>
      <w:r w:rsidRPr="00FD40B8">
        <w:rPr>
          <w:color w:val="131727" w:themeColor="text1"/>
          <w:spacing w:val="-5"/>
          <w:w w:val="110"/>
        </w:rPr>
        <w:t xml:space="preserve"> </w:t>
      </w:r>
      <w:r w:rsidRPr="00FD40B8">
        <w:rPr>
          <w:color w:val="131727" w:themeColor="text1"/>
          <w:w w:val="110"/>
        </w:rPr>
        <w:t>PC</w:t>
      </w:r>
      <w:r w:rsidRPr="00FD40B8">
        <w:rPr>
          <w:color w:val="131727" w:themeColor="text1"/>
          <w:spacing w:val="-5"/>
          <w:w w:val="110"/>
        </w:rPr>
        <w:t xml:space="preserve"> </w:t>
      </w:r>
      <w:r w:rsidRPr="00FD40B8">
        <w:rPr>
          <w:color w:val="131727" w:themeColor="text1"/>
          <w:w w:val="110"/>
        </w:rPr>
        <w:t>notes the objective</w:t>
      </w:r>
      <w:r w:rsidRPr="00FD40B8">
        <w:rPr>
          <w:color w:val="131727" w:themeColor="text1"/>
          <w:spacing w:val="-5"/>
          <w:w w:val="110"/>
        </w:rPr>
        <w:t xml:space="preserve"> </w:t>
      </w:r>
      <w:r w:rsidRPr="00FD40B8">
        <w:rPr>
          <w:color w:val="131727" w:themeColor="text1"/>
          <w:w w:val="110"/>
        </w:rPr>
        <w:t>of the</w:t>
      </w:r>
      <w:r w:rsidRPr="00FD40B8">
        <w:rPr>
          <w:color w:val="131727" w:themeColor="text1"/>
          <w:spacing w:val="-5"/>
          <w:w w:val="110"/>
        </w:rPr>
        <w:t xml:space="preserve"> </w:t>
      </w:r>
      <w:r w:rsidRPr="00FD40B8">
        <w:rPr>
          <w:color w:val="131727" w:themeColor="text1"/>
          <w:w w:val="110"/>
        </w:rPr>
        <w:t>projects should be to develop and test new approaches that demonstrate how Aboriginal and Torres Strait Islander communities can be empowered to develop and access data that serves their interests and to use and govern it in a way that reflects their cultural protocols</w:t>
      </w:r>
      <w:r w:rsidRPr="00FD40B8">
        <w:rPr>
          <w:color w:val="131727" w:themeColor="text1"/>
          <w:spacing w:val="-1"/>
          <w:w w:val="110"/>
        </w:rPr>
        <w:t xml:space="preserve"> </w:t>
      </w:r>
      <w:r w:rsidRPr="00FD40B8">
        <w:rPr>
          <w:color w:val="131727" w:themeColor="text1"/>
          <w:w w:val="110"/>
        </w:rPr>
        <w:t>and aspirations. Community housing and infrastructure needs</w:t>
      </w:r>
      <w:r w:rsidRPr="00FD40B8">
        <w:rPr>
          <w:color w:val="131727" w:themeColor="text1"/>
          <w:spacing w:val="-1"/>
          <w:w w:val="110"/>
        </w:rPr>
        <w:t xml:space="preserve"> </w:t>
      </w:r>
      <w:r w:rsidRPr="00FD40B8">
        <w:rPr>
          <w:color w:val="131727" w:themeColor="text1"/>
          <w:w w:val="110"/>
        </w:rPr>
        <w:t>are likely to be part of these</w:t>
      </w:r>
      <w:r w:rsidRPr="00FD40B8">
        <w:rPr>
          <w:color w:val="131727" w:themeColor="text1"/>
          <w:spacing w:val="-3"/>
          <w:w w:val="110"/>
        </w:rPr>
        <w:t xml:space="preserve"> </w:t>
      </w:r>
      <w:r w:rsidRPr="00FD40B8">
        <w:rPr>
          <w:color w:val="131727" w:themeColor="text1"/>
          <w:w w:val="110"/>
        </w:rPr>
        <w:t>projects. They are all behind</w:t>
      </w:r>
      <w:r w:rsidRPr="00FD40B8">
        <w:rPr>
          <w:color w:val="131727" w:themeColor="text1"/>
          <w:spacing w:val="-3"/>
          <w:w w:val="110"/>
        </w:rPr>
        <w:t xml:space="preserve"> </w:t>
      </w:r>
      <w:r w:rsidRPr="00FD40B8">
        <w:rPr>
          <w:color w:val="131727" w:themeColor="text1"/>
          <w:w w:val="110"/>
        </w:rPr>
        <w:t>schedule, however the</w:t>
      </w:r>
      <w:r w:rsidRPr="00FD40B8">
        <w:rPr>
          <w:color w:val="131727" w:themeColor="text1"/>
          <w:spacing w:val="-3"/>
          <w:w w:val="110"/>
        </w:rPr>
        <w:t xml:space="preserve"> </w:t>
      </w:r>
      <w:r w:rsidRPr="00FD40B8">
        <w:rPr>
          <w:color w:val="131727" w:themeColor="text1"/>
          <w:w w:val="110"/>
        </w:rPr>
        <w:t>PC notes that the way they are progressing shows promise</w:t>
      </w:r>
      <w:hyperlink w:anchor="_bookmark87" w:history="1">
        <w:r w:rsidRPr="00FD40B8">
          <w:rPr>
            <w:color w:val="131727" w:themeColor="text1"/>
            <w:w w:val="110"/>
          </w:rPr>
          <w:t>.</w:t>
        </w:r>
        <w:r w:rsidRPr="00FD40B8">
          <w:rPr>
            <w:color w:val="131727" w:themeColor="text1"/>
            <w:w w:val="110"/>
            <w:position w:val="8"/>
            <w:sz w:val="13"/>
          </w:rPr>
          <w:t>75</w:t>
        </w:r>
      </w:hyperlink>
      <w:r w:rsidRPr="00FD40B8">
        <w:rPr>
          <w:color w:val="131727" w:themeColor="text1"/>
          <w:spacing w:val="20"/>
          <w:w w:val="110"/>
          <w:position w:val="8"/>
          <w:sz w:val="13"/>
        </w:rPr>
        <w:t xml:space="preserve"> </w:t>
      </w:r>
      <w:r w:rsidRPr="00FD40B8">
        <w:rPr>
          <w:color w:val="131727" w:themeColor="text1"/>
          <w:w w:val="110"/>
        </w:rPr>
        <w:t>The Coalition of Peaks have indicated that the NIAA is developing a monitoring and</w:t>
      </w:r>
      <w:r w:rsidRPr="00FD40B8">
        <w:rPr>
          <w:color w:val="131727" w:themeColor="text1"/>
          <w:spacing w:val="-4"/>
          <w:w w:val="110"/>
        </w:rPr>
        <w:t xml:space="preserve"> </w:t>
      </w:r>
      <w:r w:rsidRPr="00FD40B8">
        <w:rPr>
          <w:color w:val="131727" w:themeColor="text1"/>
          <w:w w:val="110"/>
        </w:rPr>
        <w:t>evaluation</w:t>
      </w:r>
      <w:r w:rsidRPr="00FD40B8">
        <w:rPr>
          <w:color w:val="131727" w:themeColor="text1"/>
          <w:spacing w:val="-3"/>
          <w:w w:val="110"/>
        </w:rPr>
        <w:t xml:space="preserve"> </w:t>
      </w:r>
      <w:r w:rsidRPr="00FD40B8">
        <w:rPr>
          <w:color w:val="131727" w:themeColor="text1"/>
          <w:w w:val="110"/>
        </w:rPr>
        <w:t>framework</w:t>
      </w:r>
      <w:r w:rsidRPr="00FD40B8">
        <w:rPr>
          <w:color w:val="131727" w:themeColor="text1"/>
          <w:spacing w:val="-1"/>
          <w:w w:val="110"/>
        </w:rPr>
        <w:t xml:space="preserve"> </w:t>
      </w:r>
      <w:r w:rsidRPr="00FD40B8">
        <w:rPr>
          <w:color w:val="131727" w:themeColor="text1"/>
          <w:w w:val="110"/>
        </w:rPr>
        <w:t>for</w:t>
      </w:r>
      <w:r w:rsidRPr="00FD40B8">
        <w:rPr>
          <w:color w:val="131727" w:themeColor="text1"/>
          <w:spacing w:val="-1"/>
          <w:w w:val="110"/>
        </w:rPr>
        <w:t xml:space="preserve"> </w:t>
      </w:r>
      <w:r w:rsidRPr="00FD40B8">
        <w:rPr>
          <w:color w:val="131727" w:themeColor="text1"/>
          <w:w w:val="110"/>
        </w:rPr>
        <w:t>the Community</w:t>
      </w:r>
      <w:r w:rsidRPr="00FD40B8">
        <w:rPr>
          <w:color w:val="131727" w:themeColor="text1"/>
          <w:spacing w:val="-1"/>
          <w:w w:val="110"/>
        </w:rPr>
        <w:t xml:space="preserve"> </w:t>
      </w:r>
      <w:r w:rsidRPr="00FD40B8">
        <w:rPr>
          <w:color w:val="131727" w:themeColor="text1"/>
          <w:w w:val="110"/>
        </w:rPr>
        <w:t>Data</w:t>
      </w:r>
      <w:r w:rsidRPr="00FD40B8">
        <w:rPr>
          <w:color w:val="131727" w:themeColor="text1"/>
          <w:spacing w:val="-5"/>
          <w:w w:val="110"/>
        </w:rPr>
        <w:t xml:space="preserve"> </w:t>
      </w:r>
      <w:r w:rsidRPr="00FD40B8">
        <w:rPr>
          <w:color w:val="131727" w:themeColor="text1"/>
          <w:w w:val="110"/>
        </w:rPr>
        <w:t>Projects but there is no other information available on how this is being advanced.</w:t>
      </w:r>
      <w:hyperlink w:anchor="_bookmark88" w:history="1">
        <w:r w:rsidRPr="00FD40B8">
          <w:rPr>
            <w:color w:val="131727" w:themeColor="text1"/>
            <w:w w:val="110"/>
            <w:position w:val="8"/>
            <w:sz w:val="13"/>
          </w:rPr>
          <w:t>76</w:t>
        </w:r>
      </w:hyperlink>
    </w:p>
    <w:p w14:paraId="17533DEF" w14:textId="77777777" w:rsidR="00811887" w:rsidRPr="00FD40B8" w:rsidRDefault="00811887" w:rsidP="00811887">
      <w:pPr>
        <w:spacing w:before="102"/>
        <w:ind w:left="508"/>
        <w:rPr>
          <w:rFonts w:ascii="Book Antiqua"/>
          <w:i/>
          <w:color w:val="131727" w:themeColor="text1"/>
          <w:sz w:val="24"/>
        </w:rPr>
      </w:pPr>
      <w:r w:rsidRPr="00FD40B8">
        <w:rPr>
          <w:rFonts w:ascii="Book Antiqua"/>
          <w:i/>
          <w:color w:val="131727" w:themeColor="text1"/>
          <w:sz w:val="24"/>
        </w:rPr>
        <w:t>Closing</w:t>
      </w:r>
      <w:r w:rsidRPr="00FD40B8">
        <w:rPr>
          <w:rFonts w:ascii="Book Antiqua"/>
          <w:i/>
          <w:color w:val="131727" w:themeColor="text1"/>
          <w:spacing w:val="-1"/>
          <w:sz w:val="24"/>
        </w:rPr>
        <w:t xml:space="preserve"> </w:t>
      </w:r>
      <w:r w:rsidRPr="00FD40B8">
        <w:rPr>
          <w:rFonts w:ascii="Book Antiqua"/>
          <w:i/>
          <w:color w:val="131727" w:themeColor="text1"/>
          <w:sz w:val="24"/>
        </w:rPr>
        <w:t>the</w:t>
      </w:r>
      <w:r w:rsidRPr="00FD40B8">
        <w:rPr>
          <w:rFonts w:ascii="Book Antiqua"/>
          <w:i/>
          <w:color w:val="131727" w:themeColor="text1"/>
          <w:spacing w:val="-3"/>
          <w:sz w:val="24"/>
        </w:rPr>
        <w:t xml:space="preserve"> </w:t>
      </w:r>
      <w:r w:rsidRPr="00FD40B8">
        <w:rPr>
          <w:rFonts w:ascii="Book Antiqua"/>
          <w:i/>
          <w:color w:val="131727" w:themeColor="text1"/>
          <w:sz w:val="24"/>
        </w:rPr>
        <w:t>Gap</w:t>
      </w:r>
      <w:r w:rsidRPr="00FD40B8">
        <w:rPr>
          <w:rFonts w:ascii="Book Antiqua"/>
          <w:i/>
          <w:color w:val="131727" w:themeColor="text1"/>
          <w:spacing w:val="-1"/>
          <w:sz w:val="24"/>
        </w:rPr>
        <w:t xml:space="preserve"> </w:t>
      </w:r>
      <w:r w:rsidRPr="00FD40B8">
        <w:rPr>
          <w:rFonts w:ascii="Book Antiqua"/>
          <w:i/>
          <w:color w:val="131727" w:themeColor="text1"/>
          <w:sz w:val="24"/>
        </w:rPr>
        <w:t>reporting and</w:t>
      </w:r>
      <w:r w:rsidRPr="00FD40B8">
        <w:rPr>
          <w:rFonts w:ascii="Book Antiqua"/>
          <w:i/>
          <w:color w:val="131727" w:themeColor="text1"/>
          <w:spacing w:val="-1"/>
          <w:sz w:val="24"/>
        </w:rPr>
        <w:t xml:space="preserve"> </w:t>
      </w:r>
      <w:r w:rsidRPr="00FD40B8">
        <w:rPr>
          <w:rFonts w:ascii="Book Antiqua"/>
          <w:i/>
          <w:color w:val="131727" w:themeColor="text1"/>
          <w:sz w:val="24"/>
        </w:rPr>
        <w:t>data</w:t>
      </w:r>
      <w:r w:rsidRPr="00FD40B8">
        <w:rPr>
          <w:rFonts w:ascii="Book Antiqua"/>
          <w:i/>
          <w:color w:val="131727" w:themeColor="text1"/>
          <w:spacing w:val="-1"/>
          <w:sz w:val="24"/>
        </w:rPr>
        <w:t xml:space="preserve"> </w:t>
      </w:r>
      <w:r w:rsidRPr="00FD40B8">
        <w:rPr>
          <w:rFonts w:ascii="Book Antiqua"/>
          <w:i/>
          <w:color w:val="131727" w:themeColor="text1"/>
          <w:spacing w:val="-2"/>
          <w:sz w:val="24"/>
        </w:rPr>
        <w:t>development</w:t>
      </w:r>
    </w:p>
    <w:p w14:paraId="6F7BC6FF" w14:textId="77777777" w:rsidR="00811887" w:rsidRPr="00FD40B8" w:rsidRDefault="00811887" w:rsidP="00811887">
      <w:pPr>
        <w:pStyle w:val="BodyText"/>
        <w:spacing w:before="146" w:line="266" w:lineRule="auto"/>
        <w:ind w:left="508" w:right="547"/>
        <w:rPr>
          <w:color w:val="131727" w:themeColor="text1"/>
        </w:rPr>
      </w:pPr>
      <w:r w:rsidRPr="00FD40B8">
        <w:rPr>
          <w:color w:val="131727" w:themeColor="text1"/>
          <w:w w:val="110"/>
        </w:rPr>
        <w:t>The Closing the Gap Agreement includes a range of indicators to support reporting on targets based on an understanding of available data, and also identifies a range of indicators for data development. This includes a</w:t>
      </w:r>
      <w:r w:rsidRPr="00FD40B8">
        <w:rPr>
          <w:color w:val="131727" w:themeColor="text1"/>
          <w:spacing w:val="-1"/>
          <w:w w:val="110"/>
        </w:rPr>
        <w:t xml:space="preserve"> </w:t>
      </w:r>
      <w:r w:rsidRPr="00FD40B8">
        <w:rPr>
          <w:color w:val="131727" w:themeColor="text1"/>
          <w:w w:val="110"/>
        </w:rPr>
        <w:t>number of housing</w:t>
      </w:r>
      <w:r w:rsidRPr="00FD40B8">
        <w:rPr>
          <w:color w:val="131727" w:themeColor="text1"/>
          <w:spacing w:val="-1"/>
          <w:w w:val="110"/>
        </w:rPr>
        <w:t xml:space="preserve"> </w:t>
      </w:r>
      <w:r w:rsidRPr="00FD40B8">
        <w:rPr>
          <w:color w:val="131727" w:themeColor="text1"/>
          <w:w w:val="110"/>
        </w:rPr>
        <w:t>and community infrastructure indicators. To progress these</w:t>
      </w:r>
      <w:r w:rsidRPr="00FD40B8">
        <w:rPr>
          <w:color w:val="131727" w:themeColor="text1"/>
          <w:spacing w:val="-1"/>
          <w:w w:val="110"/>
        </w:rPr>
        <w:t xml:space="preserve"> </w:t>
      </w:r>
      <w:r w:rsidRPr="00FD40B8">
        <w:rPr>
          <w:color w:val="131727" w:themeColor="text1"/>
          <w:w w:val="110"/>
        </w:rPr>
        <w:t>indicators and</w:t>
      </w:r>
    </w:p>
    <w:p w14:paraId="7A8E2848" w14:textId="77777777" w:rsidR="00811887" w:rsidRPr="00FD40B8" w:rsidRDefault="00811887" w:rsidP="00811887">
      <w:pPr>
        <w:pStyle w:val="BodyText"/>
        <w:spacing w:before="132"/>
        <w:rPr>
          <w:color w:val="131727" w:themeColor="text1"/>
        </w:rPr>
      </w:pPr>
      <w:r w:rsidRPr="00FD40B8">
        <w:rPr>
          <w:noProof/>
          <w:color w:val="131727" w:themeColor="text1"/>
        </w:rPr>
        <mc:AlternateContent>
          <mc:Choice Requires="wps">
            <w:drawing>
              <wp:anchor distT="0" distB="0" distL="0" distR="0" simplePos="0" relativeHeight="251757568" behindDoc="1" locked="0" layoutInCell="1" allowOverlap="1" wp14:anchorId="255357F7" wp14:editId="09626AA3">
                <wp:simplePos x="0" y="0"/>
                <wp:positionH relativeFrom="page">
                  <wp:posOffset>792784</wp:posOffset>
                </wp:positionH>
                <wp:positionV relativeFrom="paragraph">
                  <wp:posOffset>254464</wp:posOffset>
                </wp:positionV>
                <wp:extent cx="1830070" cy="6350"/>
                <wp:effectExtent l="0" t="0" r="0" b="0"/>
                <wp:wrapTopAndBottom/>
                <wp:docPr id="188" name="Graphic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00684" id="Graphic 188" o:spid="_x0000_s1026" alt="&quot;&quot;" style="position:absolute;margin-left:62.4pt;margin-top:20.05pt;width:144.1pt;height:.5pt;z-index:-25155891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" path="m1829689,l,,,6095r1829689,l1829689,xe" fillcolor="black" stroked="f">
                <v:path arrowok="t"/>
                <w10:wrap type="topAndBottom" anchorx="page"/>
              </v:shape>
            </w:pict>
          </mc:Fallback>
        </mc:AlternateContent>
      </w:r>
    </w:p>
    <w:p w14:paraId="3AAC57E7" w14:textId="77777777" w:rsidR="00811887" w:rsidRPr="00FD40B8" w:rsidRDefault="00811887" w:rsidP="00811887">
      <w:pPr>
        <w:spacing w:before="123"/>
        <w:ind w:left="508"/>
        <w:rPr>
          <w:color w:val="131727" w:themeColor="text1"/>
          <w:sz w:val="16"/>
        </w:rPr>
      </w:pPr>
      <w:bookmarkStart w:id="198" w:name="_bookmark87"/>
      <w:bookmarkEnd w:id="198"/>
      <w:r w:rsidRPr="00FD40B8">
        <w:rPr>
          <w:color w:val="131727" w:themeColor="text1"/>
          <w:w w:val="105"/>
          <w:position w:val="6"/>
          <w:sz w:val="10"/>
        </w:rPr>
        <w:t>75</w:t>
      </w:r>
      <w:r w:rsidRPr="00FD40B8">
        <w:rPr>
          <w:color w:val="131727" w:themeColor="text1"/>
          <w:spacing w:val="30"/>
          <w:w w:val="105"/>
          <w:position w:val="6"/>
          <w:sz w:val="10"/>
        </w:rPr>
        <w:t xml:space="preserve"> </w:t>
      </w:r>
      <w:r w:rsidRPr="00FD40B8">
        <w:rPr>
          <w:color w:val="131727" w:themeColor="text1"/>
          <w:w w:val="105"/>
          <w:sz w:val="16"/>
        </w:rPr>
        <w:t>Productivity</w:t>
      </w:r>
      <w:r w:rsidRPr="00FD40B8">
        <w:rPr>
          <w:color w:val="131727" w:themeColor="text1"/>
          <w:spacing w:val="15"/>
          <w:w w:val="105"/>
          <w:sz w:val="16"/>
        </w:rPr>
        <w:t xml:space="preserve"> </w:t>
      </w:r>
      <w:r w:rsidRPr="00FD40B8">
        <w:rPr>
          <w:color w:val="131727" w:themeColor="text1"/>
          <w:w w:val="105"/>
          <w:sz w:val="16"/>
        </w:rPr>
        <w:t>Commission</w:t>
      </w:r>
      <w:r w:rsidRPr="00FD40B8">
        <w:rPr>
          <w:color w:val="131727" w:themeColor="text1"/>
          <w:spacing w:val="19"/>
          <w:w w:val="105"/>
          <w:sz w:val="16"/>
        </w:rPr>
        <w:t xml:space="preserve"> </w:t>
      </w:r>
      <w:r w:rsidRPr="00FD40B8">
        <w:rPr>
          <w:color w:val="131727" w:themeColor="text1"/>
          <w:w w:val="105"/>
          <w:sz w:val="16"/>
        </w:rPr>
        <w:t>2024,</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7"/>
          <w:w w:val="105"/>
          <w:sz w:val="16"/>
        </w:rPr>
        <w:t xml:space="preserve"> </w:t>
      </w:r>
      <w:r w:rsidRPr="00FD40B8">
        <w:rPr>
          <w:color w:val="131727" w:themeColor="text1"/>
          <w:w w:val="105"/>
          <w:sz w:val="16"/>
        </w:rPr>
        <w:t>of</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6"/>
          <w:w w:val="105"/>
          <w:sz w:val="16"/>
        </w:rPr>
        <w:t xml:space="preserve"> </w:t>
      </w:r>
      <w:r w:rsidRPr="00FD40B8">
        <w:rPr>
          <w:color w:val="131727" w:themeColor="text1"/>
          <w:w w:val="105"/>
          <w:sz w:val="16"/>
        </w:rPr>
        <w:t>National</w:t>
      </w:r>
      <w:r w:rsidRPr="00FD40B8">
        <w:rPr>
          <w:color w:val="131727" w:themeColor="text1"/>
          <w:spacing w:val="14"/>
          <w:w w:val="105"/>
          <w:sz w:val="16"/>
        </w:rPr>
        <w:t xml:space="preserve"> </w:t>
      </w:r>
      <w:r w:rsidRPr="00FD40B8">
        <w:rPr>
          <w:color w:val="131727" w:themeColor="text1"/>
          <w:w w:val="105"/>
          <w:sz w:val="16"/>
        </w:rPr>
        <w:t>Agreement</w:t>
      </w:r>
      <w:r w:rsidRPr="00FD40B8">
        <w:rPr>
          <w:color w:val="131727" w:themeColor="text1"/>
          <w:spacing w:val="15"/>
          <w:w w:val="105"/>
          <w:sz w:val="16"/>
        </w:rPr>
        <w:t xml:space="preserve"> </w:t>
      </w:r>
      <w:r w:rsidRPr="00FD40B8">
        <w:rPr>
          <w:color w:val="131727" w:themeColor="text1"/>
          <w:w w:val="105"/>
          <w:sz w:val="16"/>
        </w:rPr>
        <w:t>on</w:t>
      </w:r>
      <w:r w:rsidRPr="00FD40B8">
        <w:rPr>
          <w:color w:val="131727" w:themeColor="text1"/>
          <w:spacing w:val="20"/>
          <w:w w:val="105"/>
          <w:sz w:val="16"/>
        </w:rPr>
        <w:t xml:space="preserve"> </w:t>
      </w:r>
      <w:r w:rsidRPr="00FD40B8">
        <w:rPr>
          <w:color w:val="131727" w:themeColor="text1"/>
          <w:w w:val="105"/>
          <w:sz w:val="16"/>
        </w:rPr>
        <w:t>Closing</w:t>
      </w:r>
      <w:r w:rsidRPr="00FD40B8">
        <w:rPr>
          <w:color w:val="131727" w:themeColor="text1"/>
          <w:spacing w:val="15"/>
          <w:w w:val="105"/>
          <w:sz w:val="16"/>
        </w:rPr>
        <w:t xml:space="preserve"> </w:t>
      </w:r>
      <w:r w:rsidRPr="00FD40B8">
        <w:rPr>
          <w:color w:val="131727" w:themeColor="text1"/>
          <w:w w:val="105"/>
          <w:sz w:val="16"/>
        </w:rPr>
        <w:t>the</w:t>
      </w:r>
      <w:r w:rsidRPr="00FD40B8">
        <w:rPr>
          <w:color w:val="131727" w:themeColor="text1"/>
          <w:spacing w:val="15"/>
          <w:w w:val="105"/>
          <w:sz w:val="16"/>
        </w:rPr>
        <w:t xml:space="preserve"> </w:t>
      </w:r>
      <w:r w:rsidRPr="00FD40B8">
        <w:rPr>
          <w:color w:val="131727" w:themeColor="text1"/>
          <w:w w:val="105"/>
          <w:sz w:val="16"/>
        </w:rPr>
        <w:t>Gap,</w:t>
      </w:r>
      <w:r w:rsidRPr="00FD40B8">
        <w:rPr>
          <w:color w:val="131727" w:themeColor="text1"/>
          <w:spacing w:val="16"/>
          <w:w w:val="105"/>
          <w:sz w:val="16"/>
        </w:rPr>
        <w:t xml:space="preserve"> </w:t>
      </w:r>
      <w:r w:rsidRPr="00FD40B8">
        <w:rPr>
          <w:color w:val="131727" w:themeColor="text1"/>
          <w:w w:val="105"/>
          <w:sz w:val="16"/>
        </w:rPr>
        <w:t>Study</w:t>
      </w:r>
      <w:r w:rsidRPr="00FD40B8">
        <w:rPr>
          <w:color w:val="131727" w:themeColor="text1"/>
          <w:spacing w:val="16"/>
          <w:w w:val="105"/>
          <w:sz w:val="16"/>
        </w:rPr>
        <w:t xml:space="preserve"> </w:t>
      </w:r>
      <w:r w:rsidRPr="00FD40B8">
        <w:rPr>
          <w:color w:val="131727" w:themeColor="text1"/>
          <w:w w:val="105"/>
          <w:sz w:val="16"/>
        </w:rPr>
        <w:t>report,</w:t>
      </w:r>
      <w:r w:rsidRPr="00FD40B8">
        <w:rPr>
          <w:color w:val="131727" w:themeColor="text1"/>
          <w:spacing w:val="16"/>
          <w:w w:val="105"/>
          <w:sz w:val="16"/>
        </w:rPr>
        <w:t xml:space="preserve"> </w:t>
      </w:r>
      <w:r w:rsidRPr="00FD40B8">
        <w:rPr>
          <w:color w:val="131727" w:themeColor="text1"/>
          <w:w w:val="105"/>
          <w:sz w:val="16"/>
        </w:rPr>
        <w:t>volume</w:t>
      </w:r>
      <w:r w:rsidRPr="00FD40B8">
        <w:rPr>
          <w:color w:val="131727" w:themeColor="text1"/>
          <w:spacing w:val="16"/>
          <w:w w:val="105"/>
          <w:sz w:val="16"/>
        </w:rPr>
        <w:t xml:space="preserve"> </w:t>
      </w:r>
      <w:r w:rsidRPr="00FD40B8">
        <w:rPr>
          <w:color w:val="131727" w:themeColor="text1"/>
          <w:w w:val="105"/>
          <w:sz w:val="16"/>
        </w:rPr>
        <w:t>1,</w:t>
      </w:r>
      <w:r w:rsidRPr="00FD40B8">
        <w:rPr>
          <w:color w:val="131727" w:themeColor="text1"/>
          <w:spacing w:val="16"/>
          <w:w w:val="105"/>
          <w:sz w:val="16"/>
        </w:rPr>
        <w:t xml:space="preserve"> </w:t>
      </w:r>
      <w:r w:rsidRPr="00FD40B8">
        <w:rPr>
          <w:color w:val="131727" w:themeColor="text1"/>
          <w:w w:val="105"/>
          <w:sz w:val="16"/>
        </w:rPr>
        <w:t>Canberra,</w:t>
      </w:r>
      <w:r w:rsidRPr="00FD40B8">
        <w:rPr>
          <w:color w:val="131727" w:themeColor="text1"/>
          <w:spacing w:val="15"/>
          <w:w w:val="105"/>
          <w:sz w:val="16"/>
        </w:rPr>
        <w:t xml:space="preserve"> </w:t>
      </w:r>
      <w:r w:rsidRPr="00FD40B8">
        <w:rPr>
          <w:color w:val="131727" w:themeColor="text1"/>
          <w:spacing w:val="-2"/>
          <w:w w:val="105"/>
          <w:sz w:val="16"/>
        </w:rPr>
        <w:t>p.71.</w:t>
      </w:r>
    </w:p>
    <w:p w14:paraId="00B51B9A" w14:textId="77777777" w:rsidR="00811887" w:rsidRPr="00FD40B8" w:rsidRDefault="00811887" w:rsidP="00811887">
      <w:pPr>
        <w:spacing w:before="18"/>
        <w:ind w:left="508"/>
        <w:rPr>
          <w:color w:val="131727" w:themeColor="text1"/>
          <w:sz w:val="16"/>
        </w:rPr>
      </w:pPr>
      <w:bookmarkStart w:id="199" w:name="_bookmark88"/>
      <w:bookmarkEnd w:id="199"/>
      <w:r w:rsidRPr="00FD40B8">
        <w:rPr>
          <w:color w:val="131727" w:themeColor="text1"/>
          <w:w w:val="105"/>
          <w:position w:val="6"/>
          <w:sz w:val="10"/>
        </w:rPr>
        <w:t>76</w:t>
      </w:r>
      <w:r w:rsidRPr="00FD40B8">
        <w:rPr>
          <w:color w:val="131727" w:themeColor="text1"/>
          <w:spacing w:val="31"/>
          <w:w w:val="105"/>
          <w:position w:val="6"/>
          <w:sz w:val="10"/>
        </w:rPr>
        <w:t xml:space="preserve"> </w:t>
      </w:r>
      <w:r w:rsidRPr="00FD40B8">
        <w:rPr>
          <w:color w:val="131727" w:themeColor="text1"/>
          <w:w w:val="105"/>
          <w:sz w:val="16"/>
        </w:rPr>
        <w:t>Productivity</w:t>
      </w:r>
      <w:r w:rsidRPr="00FD40B8">
        <w:rPr>
          <w:color w:val="131727" w:themeColor="text1"/>
          <w:spacing w:val="15"/>
          <w:w w:val="105"/>
          <w:sz w:val="16"/>
        </w:rPr>
        <w:t xml:space="preserve"> </w:t>
      </w:r>
      <w:r w:rsidRPr="00FD40B8">
        <w:rPr>
          <w:color w:val="131727" w:themeColor="text1"/>
          <w:w w:val="105"/>
          <w:sz w:val="16"/>
        </w:rPr>
        <w:t>Commission</w:t>
      </w:r>
      <w:r w:rsidRPr="00FD40B8">
        <w:rPr>
          <w:color w:val="131727" w:themeColor="text1"/>
          <w:spacing w:val="21"/>
          <w:w w:val="105"/>
          <w:sz w:val="16"/>
        </w:rPr>
        <w:t xml:space="preserve"> </w:t>
      </w:r>
      <w:r w:rsidRPr="00FD40B8">
        <w:rPr>
          <w:color w:val="131727" w:themeColor="text1"/>
          <w:w w:val="105"/>
          <w:sz w:val="16"/>
        </w:rPr>
        <w:t>2024,</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8"/>
          <w:w w:val="105"/>
          <w:sz w:val="16"/>
        </w:rPr>
        <w:t xml:space="preserve"> </w:t>
      </w:r>
      <w:r w:rsidRPr="00FD40B8">
        <w:rPr>
          <w:color w:val="131727" w:themeColor="text1"/>
          <w:w w:val="105"/>
          <w:sz w:val="16"/>
        </w:rPr>
        <w:t>of</w:t>
      </w:r>
      <w:r w:rsidRPr="00FD40B8">
        <w:rPr>
          <w:color w:val="131727" w:themeColor="text1"/>
          <w:spacing w:val="18"/>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National</w:t>
      </w:r>
      <w:r w:rsidRPr="00FD40B8">
        <w:rPr>
          <w:color w:val="131727" w:themeColor="text1"/>
          <w:spacing w:val="14"/>
          <w:w w:val="105"/>
          <w:sz w:val="16"/>
        </w:rPr>
        <w:t xml:space="preserve"> </w:t>
      </w:r>
      <w:r w:rsidRPr="00FD40B8">
        <w:rPr>
          <w:color w:val="131727" w:themeColor="text1"/>
          <w:w w:val="105"/>
          <w:sz w:val="16"/>
        </w:rPr>
        <w:t>Agreement</w:t>
      </w:r>
      <w:r w:rsidRPr="00FD40B8">
        <w:rPr>
          <w:color w:val="131727" w:themeColor="text1"/>
          <w:spacing w:val="16"/>
          <w:w w:val="105"/>
          <w:sz w:val="16"/>
        </w:rPr>
        <w:t xml:space="preserve"> </w:t>
      </w:r>
      <w:r w:rsidRPr="00FD40B8">
        <w:rPr>
          <w:color w:val="131727" w:themeColor="text1"/>
          <w:w w:val="105"/>
          <w:sz w:val="16"/>
        </w:rPr>
        <w:t>on</w:t>
      </w:r>
      <w:r w:rsidRPr="00FD40B8">
        <w:rPr>
          <w:color w:val="131727" w:themeColor="text1"/>
          <w:spacing w:val="21"/>
          <w:w w:val="105"/>
          <w:sz w:val="16"/>
        </w:rPr>
        <w:t xml:space="preserve"> </w:t>
      </w:r>
      <w:r w:rsidRPr="00FD40B8">
        <w:rPr>
          <w:color w:val="131727" w:themeColor="text1"/>
          <w:w w:val="105"/>
          <w:sz w:val="16"/>
        </w:rPr>
        <w:t>Closing</w:t>
      </w:r>
      <w:r w:rsidRPr="00FD40B8">
        <w:rPr>
          <w:color w:val="131727" w:themeColor="text1"/>
          <w:spacing w:val="15"/>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Gap,</w:t>
      </w:r>
      <w:r w:rsidRPr="00FD40B8">
        <w:rPr>
          <w:color w:val="131727" w:themeColor="text1"/>
          <w:spacing w:val="16"/>
          <w:w w:val="105"/>
          <w:sz w:val="16"/>
        </w:rPr>
        <w:t xml:space="preserve"> </w:t>
      </w:r>
      <w:r w:rsidRPr="00FD40B8">
        <w:rPr>
          <w:color w:val="131727" w:themeColor="text1"/>
          <w:w w:val="105"/>
          <w:sz w:val="16"/>
        </w:rPr>
        <w:t>Study</w:t>
      </w:r>
      <w:r w:rsidRPr="00FD40B8">
        <w:rPr>
          <w:color w:val="131727" w:themeColor="text1"/>
          <w:spacing w:val="17"/>
          <w:w w:val="105"/>
          <w:sz w:val="16"/>
        </w:rPr>
        <w:t xml:space="preserve"> </w:t>
      </w:r>
      <w:r w:rsidRPr="00FD40B8">
        <w:rPr>
          <w:color w:val="131727" w:themeColor="text1"/>
          <w:w w:val="105"/>
          <w:sz w:val="16"/>
        </w:rPr>
        <w:t>report,</w:t>
      </w:r>
      <w:r w:rsidRPr="00FD40B8">
        <w:rPr>
          <w:color w:val="131727" w:themeColor="text1"/>
          <w:spacing w:val="16"/>
          <w:w w:val="105"/>
          <w:sz w:val="16"/>
        </w:rPr>
        <w:t xml:space="preserve"> </w:t>
      </w:r>
      <w:r w:rsidRPr="00FD40B8">
        <w:rPr>
          <w:color w:val="131727" w:themeColor="text1"/>
          <w:w w:val="105"/>
          <w:sz w:val="16"/>
        </w:rPr>
        <w:t>volume</w:t>
      </w:r>
      <w:r w:rsidRPr="00FD40B8">
        <w:rPr>
          <w:color w:val="131727" w:themeColor="text1"/>
          <w:spacing w:val="17"/>
          <w:w w:val="105"/>
          <w:sz w:val="16"/>
        </w:rPr>
        <w:t xml:space="preserve"> </w:t>
      </w:r>
      <w:r w:rsidRPr="00FD40B8">
        <w:rPr>
          <w:color w:val="131727" w:themeColor="text1"/>
          <w:w w:val="105"/>
          <w:sz w:val="16"/>
        </w:rPr>
        <w:t>1,</w:t>
      </w:r>
      <w:r w:rsidRPr="00FD40B8">
        <w:rPr>
          <w:color w:val="131727" w:themeColor="text1"/>
          <w:spacing w:val="16"/>
          <w:w w:val="105"/>
          <w:sz w:val="16"/>
        </w:rPr>
        <w:t xml:space="preserve"> </w:t>
      </w:r>
      <w:r w:rsidRPr="00FD40B8">
        <w:rPr>
          <w:color w:val="131727" w:themeColor="text1"/>
          <w:w w:val="105"/>
          <w:sz w:val="16"/>
        </w:rPr>
        <w:t>Canberra,</w:t>
      </w:r>
      <w:r w:rsidRPr="00FD40B8">
        <w:rPr>
          <w:color w:val="131727" w:themeColor="text1"/>
          <w:spacing w:val="18"/>
          <w:w w:val="105"/>
          <w:sz w:val="16"/>
        </w:rPr>
        <w:t xml:space="preserve"> </w:t>
      </w:r>
      <w:r w:rsidRPr="00FD40B8">
        <w:rPr>
          <w:color w:val="131727" w:themeColor="text1"/>
          <w:spacing w:val="-2"/>
          <w:w w:val="105"/>
          <w:sz w:val="16"/>
        </w:rPr>
        <w:t>p.71.</w:t>
      </w:r>
    </w:p>
    <w:p w14:paraId="3EF09EE3" w14:textId="77777777" w:rsidR="00811887" w:rsidRPr="00FD40B8" w:rsidRDefault="00811887" w:rsidP="00811887">
      <w:pPr>
        <w:rPr>
          <w:color w:val="131727" w:themeColor="text1"/>
          <w:sz w:val="16"/>
        </w:rPr>
        <w:sectPr w:rsidR="00811887" w:rsidRPr="00FD40B8" w:rsidSect="00811887">
          <w:pgSz w:w="11910" w:h="16840"/>
          <w:pgMar w:top="1260" w:right="720" w:bottom="1080" w:left="740" w:header="0" w:footer="805" w:gutter="0"/>
          <w:cols w:space="720"/>
        </w:sectPr>
      </w:pPr>
    </w:p>
    <w:p w14:paraId="300C504B" w14:textId="77777777" w:rsidR="00811887" w:rsidRPr="00FD40B8" w:rsidRDefault="00811887" w:rsidP="00811887">
      <w:pPr>
        <w:pStyle w:val="BodyText"/>
        <w:spacing w:before="103" w:line="268" w:lineRule="auto"/>
        <w:ind w:left="508" w:right="598"/>
        <w:rPr>
          <w:color w:val="131727" w:themeColor="text1"/>
        </w:rPr>
      </w:pPr>
      <w:r w:rsidRPr="00FD40B8">
        <w:rPr>
          <w:color w:val="131727" w:themeColor="text1"/>
          <w:w w:val="110"/>
        </w:rPr>
        <w:lastRenderedPageBreak/>
        <w:t>improve reporting against the Closing the Gap targets more generally, the Closing the Gap Agreement also commits governments to develop a Data Development Plan (DDP). A</w:t>
      </w:r>
      <w:r w:rsidRPr="00FD40B8">
        <w:rPr>
          <w:color w:val="131727" w:themeColor="text1"/>
          <w:spacing w:val="-1"/>
          <w:w w:val="110"/>
        </w:rPr>
        <w:t xml:space="preserve"> </w:t>
      </w:r>
      <w:r w:rsidRPr="00FD40B8">
        <w:rPr>
          <w:color w:val="131727" w:themeColor="text1"/>
          <w:w w:val="110"/>
        </w:rPr>
        <w:t>Data and Reporting Working Group</w:t>
      </w:r>
      <w:r w:rsidRPr="00FD40B8">
        <w:rPr>
          <w:color w:val="131727" w:themeColor="text1"/>
          <w:spacing w:val="-3"/>
          <w:w w:val="110"/>
        </w:rPr>
        <w:t xml:space="preserve"> </w:t>
      </w:r>
      <w:r w:rsidRPr="00FD40B8">
        <w:rPr>
          <w:color w:val="131727" w:themeColor="text1"/>
          <w:w w:val="110"/>
        </w:rPr>
        <w:t>(DRWG)</w:t>
      </w:r>
      <w:r w:rsidRPr="00FD40B8">
        <w:rPr>
          <w:color w:val="131727" w:themeColor="text1"/>
          <w:spacing w:val="-4"/>
          <w:w w:val="110"/>
        </w:rPr>
        <w:t xml:space="preserve"> </w:t>
      </w:r>
      <w:r w:rsidRPr="00FD40B8">
        <w:rPr>
          <w:color w:val="131727" w:themeColor="text1"/>
          <w:w w:val="110"/>
        </w:rPr>
        <w:t>consisting</w:t>
      </w:r>
      <w:r w:rsidRPr="00FD40B8">
        <w:rPr>
          <w:color w:val="131727" w:themeColor="text1"/>
          <w:spacing w:val="-7"/>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Coalition</w:t>
      </w:r>
      <w:r w:rsidRPr="00FD40B8">
        <w:rPr>
          <w:color w:val="131727" w:themeColor="text1"/>
          <w:spacing w:val="-6"/>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Peaks,</w:t>
      </w:r>
      <w:r w:rsidRPr="00FD40B8">
        <w:rPr>
          <w:color w:val="131727" w:themeColor="text1"/>
          <w:spacing w:val="-3"/>
          <w:w w:val="110"/>
        </w:rPr>
        <w:t xml:space="preserve"> </w:t>
      </w:r>
      <w:r w:rsidRPr="00FD40B8">
        <w:rPr>
          <w:color w:val="131727" w:themeColor="text1"/>
          <w:w w:val="110"/>
        </w:rPr>
        <w:t>state</w:t>
      </w:r>
      <w:r w:rsidRPr="00FD40B8">
        <w:rPr>
          <w:color w:val="131727" w:themeColor="text1"/>
          <w:spacing w:val="-4"/>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territory</w:t>
      </w:r>
      <w:r w:rsidRPr="00FD40B8">
        <w:rPr>
          <w:color w:val="131727" w:themeColor="text1"/>
          <w:spacing w:val="-5"/>
          <w:w w:val="110"/>
        </w:rPr>
        <w:t xml:space="preserve"> </w:t>
      </w:r>
      <w:r w:rsidRPr="00FD40B8">
        <w:rPr>
          <w:color w:val="131727" w:themeColor="text1"/>
          <w:w w:val="110"/>
        </w:rPr>
        <w:t>governments</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representation from the ABS and AIHW has been established to progress the DDP.</w:t>
      </w:r>
    </w:p>
    <w:p w14:paraId="63712CC7" w14:textId="77777777" w:rsidR="00811887" w:rsidRPr="00FD40B8" w:rsidRDefault="00811887" w:rsidP="00811887">
      <w:pPr>
        <w:pStyle w:val="BodyText"/>
        <w:spacing w:before="117" w:line="268" w:lineRule="auto"/>
        <w:ind w:left="508" w:right="598"/>
        <w:rPr>
          <w:color w:val="131727" w:themeColor="text1"/>
        </w:rPr>
      </w:pP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relation</w:t>
      </w:r>
      <w:r w:rsidRPr="00FD40B8">
        <w:rPr>
          <w:color w:val="131727" w:themeColor="text1"/>
          <w:spacing w:val="-1"/>
          <w:w w:val="110"/>
        </w:rPr>
        <w:t xml:space="preserve"> </w:t>
      </w:r>
      <w:r w:rsidRPr="00FD40B8">
        <w:rPr>
          <w:color w:val="131727" w:themeColor="text1"/>
          <w:w w:val="110"/>
        </w:rPr>
        <w:t>to</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DRWG</w:t>
      </w:r>
      <w:r w:rsidRPr="00FD40B8">
        <w:rPr>
          <w:color w:val="131727" w:themeColor="text1"/>
          <w:spacing w:val="-2"/>
          <w:w w:val="110"/>
        </w:rPr>
        <w:t xml:space="preserve"> </w:t>
      </w:r>
      <w:r w:rsidRPr="00FD40B8">
        <w:rPr>
          <w:color w:val="131727" w:themeColor="text1"/>
          <w:w w:val="110"/>
        </w:rPr>
        <w:t>was considering</w:t>
      </w:r>
      <w:r w:rsidRPr="00FD40B8">
        <w:rPr>
          <w:color w:val="131727" w:themeColor="text1"/>
          <w:spacing w:val="-6"/>
          <w:w w:val="110"/>
        </w:rPr>
        <w:t xml:space="preserve"> </w:t>
      </w:r>
      <w:r w:rsidRPr="00FD40B8">
        <w:rPr>
          <w:color w:val="131727" w:themeColor="text1"/>
          <w:w w:val="110"/>
        </w:rPr>
        <w:t>additional</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collection</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survey</w:t>
      </w:r>
      <w:r w:rsidRPr="00FD40B8">
        <w:rPr>
          <w:color w:val="131727" w:themeColor="text1"/>
          <w:spacing w:val="-4"/>
          <w:w w:val="110"/>
        </w:rPr>
        <w:t xml:space="preserve"> </w:t>
      </w:r>
      <w:r w:rsidRPr="00FD40B8">
        <w:rPr>
          <w:color w:val="131727" w:themeColor="text1"/>
          <w:w w:val="110"/>
        </w:rPr>
        <w:t>questions</w:t>
      </w:r>
      <w:r w:rsidRPr="00FD40B8">
        <w:rPr>
          <w:color w:val="131727" w:themeColor="text1"/>
          <w:spacing w:val="-5"/>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the next Census, including to potentially consider the appropriateness of the Canadian National Occupancy Standard (CNOS) of overcrowding for Aboriginal and Torres Strait Islander households, among others.</w:t>
      </w:r>
    </w:p>
    <w:p w14:paraId="07CFBED7" w14:textId="77777777" w:rsidR="00811887" w:rsidRPr="00FD40B8" w:rsidRDefault="00811887" w:rsidP="00811887">
      <w:pPr>
        <w:pStyle w:val="BodyText"/>
        <w:spacing w:line="268" w:lineRule="auto"/>
        <w:ind w:left="508" w:right="598"/>
        <w:rPr>
          <w:color w:val="131727" w:themeColor="text1"/>
        </w:rPr>
      </w:pPr>
      <w:r w:rsidRPr="00FD40B8">
        <w:rPr>
          <w:color w:val="131727" w:themeColor="text1"/>
          <w:w w:val="110"/>
        </w:rPr>
        <w:t>However, Equity Economics has been advised that there has been little progress by the DRWG and actions</w:t>
      </w:r>
      <w:r w:rsidRPr="00FD40B8">
        <w:rPr>
          <w:color w:val="131727" w:themeColor="text1"/>
          <w:spacing w:val="-2"/>
          <w:w w:val="110"/>
        </w:rPr>
        <w:t xml:space="preserve"> </w:t>
      </w:r>
      <w:r w:rsidRPr="00FD40B8">
        <w:rPr>
          <w:color w:val="131727" w:themeColor="text1"/>
          <w:w w:val="110"/>
        </w:rPr>
        <w:t>under</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DDP.</w:t>
      </w:r>
      <w:r w:rsidRPr="00FD40B8">
        <w:rPr>
          <w:color w:val="131727" w:themeColor="text1"/>
          <w:spacing w:val="-4"/>
          <w:w w:val="110"/>
        </w:rPr>
        <w:t xml:space="preserve"> </w:t>
      </w:r>
      <w:r w:rsidRPr="00FD40B8">
        <w:rPr>
          <w:color w:val="131727" w:themeColor="text1"/>
          <w:w w:val="110"/>
        </w:rPr>
        <w:t>It was noted that resourcing was a key</w:t>
      </w:r>
      <w:r w:rsidRPr="00FD40B8">
        <w:rPr>
          <w:color w:val="131727" w:themeColor="text1"/>
          <w:spacing w:val="-1"/>
          <w:w w:val="110"/>
        </w:rPr>
        <w:t xml:space="preserve"> </w:t>
      </w:r>
      <w:r w:rsidRPr="00FD40B8">
        <w:rPr>
          <w:color w:val="131727" w:themeColor="text1"/>
          <w:w w:val="110"/>
        </w:rPr>
        <w:t>constraint</w:t>
      </w:r>
      <w:r w:rsidRPr="00FD40B8">
        <w:rPr>
          <w:color w:val="131727" w:themeColor="text1"/>
          <w:spacing w:val="-4"/>
          <w:w w:val="110"/>
        </w:rPr>
        <w:t xml:space="preserve"> </w:t>
      </w:r>
      <w:r w:rsidRPr="00FD40B8">
        <w:rPr>
          <w:color w:val="131727" w:themeColor="text1"/>
          <w:w w:val="110"/>
        </w:rPr>
        <w:t>and, the</w:t>
      </w:r>
      <w:r w:rsidRPr="00FD40B8">
        <w:rPr>
          <w:color w:val="131727" w:themeColor="text1"/>
          <w:spacing w:val="-4"/>
          <w:w w:val="110"/>
        </w:rPr>
        <w:t xml:space="preserve"> </w:t>
      </w:r>
      <w:r w:rsidRPr="00FD40B8">
        <w:rPr>
          <w:color w:val="131727" w:themeColor="text1"/>
          <w:w w:val="110"/>
        </w:rPr>
        <w:t>next Census in 2026 will not include any new questions despite DRWG discussions.</w:t>
      </w:r>
    </w:p>
    <w:p w14:paraId="47D8EAD6" w14:textId="77777777" w:rsidR="00811887" w:rsidRPr="00FD40B8" w:rsidRDefault="00811887" w:rsidP="00811887">
      <w:pPr>
        <w:pStyle w:val="BodyText"/>
        <w:spacing w:before="116" w:line="264" w:lineRule="auto"/>
        <w:ind w:left="508" w:right="547"/>
        <w:rPr>
          <w:color w:val="131727" w:themeColor="text1"/>
          <w:sz w:val="13"/>
        </w:rPr>
      </w:pPr>
      <w:r w:rsidRPr="00FD40B8">
        <w:rPr>
          <w:color w:val="131727" w:themeColor="text1"/>
          <w:w w:val="110"/>
        </w:rPr>
        <w:t>Further, the PC notes in its Review</w:t>
      </w:r>
      <w:r w:rsidRPr="00FD40B8">
        <w:rPr>
          <w:color w:val="131727" w:themeColor="text1"/>
          <w:spacing w:val="-2"/>
          <w:w w:val="110"/>
        </w:rPr>
        <w:t xml:space="preserve"> </w:t>
      </w:r>
      <w:r w:rsidRPr="00FD40B8">
        <w:rPr>
          <w:color w:val="131727" w:themeColor="text1"/>
          <w:w w:val="110"/>
        </w:rPr>
        <w:t>of the Closing the Gap Agreement that many of the indicators that were assumed to</w:t>
      </w:r>
      <w:r w:rsidRPr="00FD40B8">
        <w:rPr>
          <w:color w:val="131727" w:themeColor="text1"/>
          <w:spacing w:val="-3"/>
          <w:w w:val="110"/>
        </w:rPr>
        <w:t xml:space="preserve"> </w:t>
      </w:r>
      <w:r w:rsidRPr="00FD40B8">
        <w:rPr>
          <w:color w:val="131727" w:themeColor="text1"/>
          <w:w w:val="110"/>
        </w:rPr>
        <w:t>have existing data</w:t>
      </w:r>
      <w:r w:rsidRPr="00FD40B8">
        <w:rPr>
          <w:color w:val="131727" w:themeColor="text1"/>
          <w:spacing w:val="-6"/>
          <w:w w:val="110"/>
        </w:rPr>
        <w:t xml:space="preserve"> </w:t>
      </w:r>
      <w:r w:rsidRPr="00FD40B8">
        <w:rPr>
          <w:color w:val="131727" w:themeColor="text1"/>
          <w:w w:val="110"/>
        </w:rPr>
        <w:t>sources</w:t>
      </w:r>
      <w:r w:rsidRPr="00FD40B8">
        <w:rPr>
          <w:color w:val="131727" w:themeColor="text1"/>
          <w:spacing w:val="-3"/>
          <w:w w:val="110"/>
        </w:rPr>
        <w:t xml:space="preserve"> </w:t>
      </w:r>
      <w:r w:rsidRPr="00FD40B8">
        <w:rPr>
          <w:color w:val="131727" w:themeColor="text1"/>
          <w:w w:val="110"/>
        </w:rPr>
        <w:t>do</w:t>
      </w:r>
      <w:r w:rsidRPr="00FD40B8">
        <w:rPr>
          <w:color w:val="131727" w:themeColor="text1"/>
          <w:spacing w:val="-3"/>
          <w:w w:val="110"/>
        </w:rPr>
        <w:t xml:space="preserve"> </w:t>
      </w:r>
      <w:r w:rsidRPr="00FD40B8">
        <w:rPr>
          <w:color w:val="131727" w:themeColor="text1"/>
          <w:w w:val="110"/>
        </w:rPr>
        <w:t>not exist, are not routinely</w:t>
      </w:r>
      <w:r w:rsidRPr="00FD40B8">
        <w:rPr>
          <w:color w:val="131727" w:themeColor="text1"/>
          <w:spacing w:val="-2"/>
          <w:w w:val="110"/>
        </w:rPr>
        <w:t xml:space="preserve"> </w:t>
      </w:r>
      <w:r w:rsidRPr="00FD40B8">
        <w:rPr>
          <w:color w:val="131727" w:themeColor="text1"/>
          <w:w w:val="110"/>
        </w:rPr>
        <w:t>collected, or</w:t>
      </w:r>
      <w:r w:rsidRPr="00FD40B8">
        <w:rPr>
          <w:color w:val="131727" w:themeColor="text1"/>
          <w:spacing w:val="-6"/>
          <w:w w:val="110"/>
        </w:rPr>
        <w:t xml:space="preserve"> </w:t>
      </w:r>
      <w:r w:rsidRPr="00FD40B8">
        <w:rPr>
          <w:color w:val="131727" w:themeColor="text1"/>
          <w:w w:val="110"/>
        </w:rPr>
        <w:t>have been found to be</w:t>
      </w:r>
      <w:r w:rsidRPr="00FD40B8">
        <w:rPr>
          <w:color w:val="131727" w:themeColor="text1"/>
          <w:spacing w:val="-3"/>
          <w:w w:val="110"/>
        </w:rPr>
        <w:t xml:space="preserve"> </w:t>
      </w:r>
      <w:r w:rsidRPr="00FD40B8">
        <w:rPr>
          <w:color w:val="131727" w:themeColor="text1"/>
          <w:w w:val="110"/>
        </w:rPr>
        <w:t>unsuitable. They</w:t>
      </w:r>
      <w:r w:rsidRPr="00FD40B8">
        <w:rPr>
          <w:color w:val="131727" w:themeColor="text1"/>
          <w:spacing w:val="-1"/>
          <w:w w:val="110"/>
        </w:rPr>
        <w:t xml:space="preserve"> </w:t>
      </w:r>
      <w:r w:rsidRPr="00FD40B8">
        <w:rPr>
          <w:color w:val="131727" w:themeColor="text1"/>
          <w:w w:val="110"/>
        </w:rPr>
        <w:t>also</w:t>
      </w:r>
      <w:r w:rsidRPr="00FD40B8">
        <w:rPr>
          <w:color w:val="131727" w:themeColor="text1"/>
          <w:spacing w:val="-2"/>
          <w:w w:val="110"/>
        </w:rPr>
        <w:t xml:space="preserve"> </w:t>
      </w:r>
      <w:r w:rsidRPr="00FD40B8">
        <w:rPr>
          <w:color w:val="131727" w:themeColor="text1"/>
          <w:w w:val="110"/>
        </w:rPr>
        <w:t>note that</w:t>
      </w:r>
      <w:r w:rsidRPr="00FD40B8">
        <w:rPr>
          <w:color w:val="131727" w:themeColor="text1"/>
          <w:spacing w:val="-2"/>
          <w:w w:val="110"/>
        </w:rPr>
        <w:t xml:space="preserve"> </w:t>
      </w:r>
      <w:r w:rsidRPr="00FD40B8">
        <w:rPr>
          <w:color w:val="131727" w:themeColor="text1"/>
          <w:w w:val="110"/>
        </w:rPr>
        <w:t>coordination of data</w:t>
      </w:r>
      <w:r w:rsidRPr="00FD40B8">
        <w:rPr>
          <w:color w:val="131727" w:themeColor="text1"/>
          <w:spacing w:val="-1"/>
          <w:w w:val="110"/>
        </w:rPr>
        <w:t xml:space="preserve"> </w:t>
      </w:r>
      <w:r w:rsidRPr="00FD40B8">
        <w:rPr>
          <w:color w:val="131727" w:themeColor="text1"/>
          <w:w w:val="110"/>
        </w:rPr>
        <w:t>development could be</w:t>
      </w:r>
      <w:r w:rsidRPr="00FD40B8">
        <w:rPr>
          <w:color w:val="131727" w:themeColor="text1"/>
          <w:spacing w:val="-4"/>
          <w:w w:val="110"/>
        </w:rPr>
        <w:t xml:space="preserve"> </w:t>
      </w:r>
      <w:r w:rsidRPr="00FD40B8">
        <w:rPr>
          <w:color w:val="131727" w:themeColor="text1"/>
          <w:w w:val="110"/>
        </w:rPr>
        <w:t>consolidated under</w:t>
      </w:r>
      <w:r w:rsidRPr="00FD40B8">
        <w:rPr>
          <w:color w:val="131727" w:themeColor="text1"/>
          <w:spacing w:val="-1"/>
          <w:w w:val="110"/>
        </w:rPr>
        <w:t xml:space="preserve"> </w:t>
      </w:r>
      <w:r w:rsidRPr="00FD40B8">
        <w:rPr>
          <w:color w:val="131727" w:themeColor="text1"/>
          <w:w w:val="110"/>
        </w:rPr>
        <w:t>the DRWG through the DDP, but DDP development and implementation has been delayed and is still in its initial</w:t>
      </w:r>
      <w:r w:rsidRPr="00FD40B8">
        <w:rPr>
          <w:color w:val="131727" w:themeColor="text1"/>
          <w:spacing w:val="-7"/>
          <w:w w:val="110"/>
        </w:rPr>
        <w:t xml:space="preserve"> </w:t>
      </w:r>
      <w:r w:rsidRPr="00FD40B8">
        <w:rPr>
          <w:color w:val="131727" w:themeColor="text1"/>
          <w:w w:val="110"/>
        </w:rPr>
        <w:t>stages.</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9"/>
          <w:w w:val="110"/>
        </w:rPr>
        <w:t xml:space="preserve"> </w:t>
      </w:r>
      <w:r w:rsidRPr="00FD40B8">
        <w:rPr>
          <w:color w:val="131727" w:themeColor="text1"/>
          <w:w w:val="110"/>
        </w:rPr>
        <w:t>result</w:t>
      </w:r>
      <w:r w:rsidRPr="00FD40B8">
        <w:rPr>
          <w:color w:val="131727" w:themeColor="text1"/>
          <w:spacing w:val="-9"/>
          <w:w w:val="110"/>
        </w:rPr>
        <w:t xml:space="preserve"> </w:t>
      </w:r>
      <w:r w:rsidRPr="00FD40B8">
        <w:rPr>
          <w:color w:val="131727" w:themeColor="text1"/>
          <w:w w:val="110"/>
        </w:rPr>
        <w:t>is</w:t>
      </w:r>
      <w:r w:rsidRPr="00FD40B8">
        <w:rPr>
          <w:color w:val="131727" w:themeColor="text1"/>
          <w:spacing w:val="-2"/>
          <w:w w:val="110"/>
        </w:rPr>
        <w:t xml:space="preserve"> </w:t>
      </w:r>
      <w:r w:rsidRPr="00FD40B8">
        <w:rPr>
          <w:color w:val="131727" w:themeColor="text1"/>
          <w:w w:val="110"/>
        </w:rPr>
        <w:t>currently</w:t>
      </w:r>
      <w:r w:rsidRPr="00FD40B8">
        <w:rPr>
          <w:color w:val="131727" w:themeColor="text1"/>
          <w:spacing w:val="-6"/>
          <w:w w:val="110"/>
        </w:rPr>
        <w:t xml:space="preserve"> </w:t>
      </w:r>
      <w:r w:rsidRPr="00FD40B8">
        <w:rPr>
          <w:color w:val="131727" w:themeColor="text1"/>
          <w:w w:val="110"/>
        </w:rPr>
        <w:t>multiple</w:t>
      </w:r>
      <w:r w:rsidRPr="00FD40B8">
        <w:rPr>
          <w:color w:val="131727" w:themeColor="text1"/>
          <w:spacing w:val="-4"/>
          <w:w w:val="110"/>
        </w:rPr>
        <w:t xml:space="preserve"> </w:t>
      </w:r>
      <w:r w:rsidRPr="00FD40B8">
        <w:rPr>
          <w:color w:val="131727" w:themeColor="text1"/>
          <w:w w:val="110"/>
        </w:rPr>
        <w:t>working</w:t>
      </w:r>
      <w:r w:rsidRPr="00FD40B8">
        <w:rPr>
          <w:color w:val="131727" w:themeColor="text1"/>
          <w:spacing w:val="-9"/>
          <w:w w:val="110"/>
        </w:rPr>
        <w:t xml:space="preserve"> </w:t>
      </w:r>
      <w:r w:rsidRPr="00FD40B8">
        <w:rPr>
          <w:color w:val="131727" w:themeColor="text1"/>
          <w:w w:val="110"/>
        </w:rPr>
        <w:t>groups</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data</w:t>
      </w:r>
      <w:r w:rsidRPr="00FD40B8">
        <w:rPr>
          <w:color w:val="131727" w:themeColor="text1"/>
          <w:spacing w:val="-6"/>
          <w:w w:val="110"/>
        </w:rPr>
        <w:t xml:space="preserve"> </w:t>
      </w:r>
      <w:r w:rsidRPr="00FD40B8">
        <w:rPr>
          <w:color w:val="131727" w:themeColor="text1"/>
          <w:w w:val="110"/>
        </w:rPr>
        <w:t>custodians</w:t>
      </w:r>
      <w:r w:rsidRPr="00FD40B8">
        <w:rPr>
          <w:color w:val="131727" w:themeColor="text1"/>
          <w:spacing w:val="-2"/>
          <w:w w:val="110"/>
        </w:rPr>
        <w:t xml:space="preserve"> </w:t>
      </w:r>
      <w:r w:rsidRPr="00FD40B8">
        <w:rPr>
          <w:color w:val="131727" w:themeColor="text1"/>
          <w:w w:val="110"/>
        </w:rPr>
        <w:t>with</w:t>
      </w:r>
      <w:r w:rsidRPr="00FD40B8">
        <w:rPr>
          <w:color w:val="131727" w:themeColor="text1"/>
          <w:spacing w:val="-3"/>
          <w:w w:val="110"/>
        </w:rPr>
        <w:t xml:space="preserve"> </w:t>
      </w:r>
      <w:r w:rsidRPr="00FD40B8">
        <w:rPr>
          <w:color w:val="131727" w:themeColor="text1"/>
          <w:w w:val="110"/>
        </w:rPr>
        <w:t>different</w:t>
      </w:r>
      <w:r w:rsidRPr="00FD40B8">
        <w:rPr>
          <w:color w:val="131727" w:themeColor="text1"/>
          <w:spacing w:val="-9"/>
          <w:w w:val="110"/>
        </w:rPr>
        <w:t xml:space="preserve"> </w:t>
      </w:r>
      <w:r w:rsidRPr="00FD40B8">
        <w:rPr>
          <w:color w:val="131727" w:themeColor="text1"/>
          <w:w w:val="110"/>
        </w:rPr>
        <w:t>priorities, often no resources,</w:t>
      </w:r>
      <w:r w:rsidRPr="00FD40B8">
        <w:rPr>
          <w:color w:val="131727" w:themeColor="text1"/>
          <w:spacing w:val="-2"/>
          <w:w w:val="110"/>
        </w:rPr>
        <w:t xml:space="preserve"> </w:t>
      </w:r>
      <w:r w:rsidRPr="00FD40B8">
        <w:rPr>
          <w:color w:val="131727" w:themeColor="text1"/>
          <w:w w:val="110"/>
        </w:rPr>
        <w:t>and resulting</w:t>
      </w:r>
      <w:r w:rsidRPr="00FD40B8">
        <w:rPr>
          <w:color w:val="131727" w:themeColor="text1"/>
          <w:spacing w:val="-2"/>
          <w:w w:val="110"/>
        </w:rPr>
        <w:t xml:space="preserve"> </w:t>
      </w:r>
      <w:r w:rsidRPr="00FD40B8">
        <w:rPr>
          <w:color w:val="131727" w:themeColor="text1"/>
          <w:w w:val="110"/>
        </w:rPr>
        <w:t>in a</w:t>
      </w:r>
      <w:r w:rsidRPr="00FD40B8">
        <w:rPr>
          <w:color w:val="131727" w:themeColor="text1"/>
          <w:spacing w:val="-3"/>
          <w:w w:val="110"/>
        </w:rPr>
        <w:t xml:space="preserve"> </w:t>
      </w:r>
      <w:r w:rsidRPr="00FD40B8">
        <w:rPr>
          <w:color w:val="131727" w:themeColor="text1"/>
          <w:w w:val="110"/>
        </w:rPr>
        <w:t>dataset</w:t>
      </w:r>
      <w:r w:rsidRPr="00FD40B8">
        <w:rPr>
          <w:color w:val="131727" w:themeColor="text1"/>
          <w:spacing w:val="-3"/>
          <w:w w:val="110"/>
        </w:rPr>
        <w:t xml:space="preserve"> </w:t>
      </w:r>
      <w:r w:rsidRPr="00FD40B8">
        <w:rPr>
          <w:color w:val="131727" w:themeColor="text1"/>
          <w:w w:val="110"/>
        </w:rPr>
        <w:t>that</w:t>
      </w:r>
      <w:r w:rsidRPr="00FD40B8">
        <w:rPr>
          <w:color w:val="131727" w:themeColor="text1"/>
          <w:spacing w:val="-2"/>
          <w:w w:val="110"/>
        </w:rPr>
        <w:t xml:space="preserve"> </w:t>
      </w:r>
      <w:r w:rsidRPr="00FD40B8">
        <w:rPr>
          <w:color w:val="131727" w:themeColor="text1"/>
          <w:w w:val="110"/>
        </w:rPr>
        <w:t>struggles to present a</w:t>
      </w:r>
      <w:r w:rsidRPr="00FD40B8">
        <w:rPr>
          <w:color w:val="131727" w:themeColor="text1"/>
          <w:spacing w:val="-3"/>
          <w:w w:val="110"/>
        </w:rPr>
        <w:t xml:space="preserve"> </w:t>
      </w:r>
      <w:r w:rsidRPr="00FD40B8">
        <w:rPr>
          <w:color w:val="131727" w:themeColor="text1"/>
          <w:w w:val="110"/>
        </w:rPr>
        <w:t>coherent account</w:t>
      </w:r>
      <w:r w:rsidRPr="00FD40B8">
        <w:rPr>
          <w:color w:val="131727" w:themeColor="text1"/>
          <w:spacing w:val="-2"/>
          <w:w w:val="110"/>
        </w:rPr>
        <w:t xml:space="preserve"> </w:t>
      </w:r>
      <w:r w:rsidRPr="00FD40B8">
        <w:rPr>
          <w:color w:val="131727" w:themeColor="text1"/>
          <w:w w:val="110"/>
        </w:rPr>
        <w:t>of progress</w:t>
      </w:r>
      <w:hyperlink w:anchor="_bookmark89" w:history="1">
        <w:r w:rsidRPr="00FD40B8">
          <w:rPr>
            <w:color w:val="131727" w:themeColor="text1"/>
            <w:w w:val="110"/>
          </w:rPr>
          <w:t>.</w:t>
        </w:r>
        <w:r w:rsidRPr="00FD40B8">
          <w:rPr>
            <w:color w:val="131727" w:themeColor="text1"/>
            <w:w w:val="110"/>
            <w:position w:val="8"/>
            <w:sz w:val="13"/>
          </w:rPr>
          <w:t>77</w:t>
        </w:r>
      </w:hyperlink>
      <w:r w:rsidRPr="00FD40B8">
        <w:rPr>
          <w:color w:val="131727" w:themeColor="text1"/>
          <w:spacing w:val="40"/>
          <w:w w:val="110"/>
          <w:position w:val="8"/>
          <w:sz w:val="13"/>
        </w:rPr>
        <w:t xml:space="preserve"> </w:t>
      </w:r>
      <w:r w:rsidRPr="00FD40B8">
        <w:rPr>
          <w:color w:val="131727" w:themeColor="text1"/>
          <w:w w:val="110"/>
        </w:rPr>
        <w:t>The PC goes on to suggest that a Bureau of Indigenous Data should be established to support governments to embed Indigenous Data Governance and Indigenous Data Sovereignty into their data systems and practices; enhance data capabilities of Aboriginal and Torres Strait Islander organisations and communities; and consolidate and oversee data development work for the Agreement.</w:t>
      </w:r>
      <w:hyperlink w:anchor="_bookmark90" w:history="1">
        <w:r w:rsidRPr="00FD40B8">
          <w:rPr>
            <w:color w:val="131727" w:themeColor="text1"/>
            <w:w w:val="110"/>
            <w:position w:val="8"/>
            <w:sz w:val="13"/>
          </w:rPr>
          <w:t>78</w:t>
        </w:r>
      </w:hyperlink>
    </w:p>
    <w:p w14:paraId="67B5FE70" w14:textId="77777777" w:rsidR="00811887" w:rsidRPr="00FD40B8" w:rsidRDefault="00811887" w:rsidP="00811887">
      <w:pPr>
        <w:spacing w:before="103"/>
        <w:ind w:left="508"/>
        <w:rPr>
          <w:rFonts w:ascii="Book Antiqua"/>
          <w:i/>
          <w:color w:val="131727" w:themeColor="text1"/>
          <w:sz w:val="24"/>
        </w:rPr>
      </w:pPr>
      <w:r w:rsidRPr="00FD40B8">
        <w:rPr>
          <w:rFonts w:ascii="Book Antiqua"/>
          <w:i/>
          <w:color w:val="131727" w:themeColor="text1"/>
          <w:sz w:val="24"/>
        </w:rPr>
        <w:t>Housing</w:t>
      </w:r>
      <w:r w:rsidRPr="00FD40B8">
        <w:rPr>
          <w:rFonts w:ascii="Book Antiqua"/>
          <w:i/>
          <w:color w:val="131727" w:themeColor="text1"/>
          <w:spacing w:val="-1"/>
          <w:sz w:val="24"/>
        </w:rPr>
        <w:t xml:space="preserve"> </w:t>
      </w:r>
      <w:r w:rsidRPr="00FD40B8">
        <w:rPr>
          <w:rFonts w:ascii="Book Antiqua"/>
          <w:i/>
          <w:color w:val="131727" w:themeColor="text1"/>
          <w:sz w:val="24"/>
        </w:rPr>
        <w:t>Policy</w:t>
      </w:r>
      <w:r w:rsidRPr="00FD40B8">
        <w:rPr>
          <w:rFonts w:ascii="Book Antiqua"/>
          <w:i/>
          <w:color w:val="131727" w:themeColor="text1"/>
          <w:spacing w:val="-5"/>
          <w:sz w:val="24"/>
        </w:rPr>
        <w:t xml:space="preserve"> </w:t>
      </w:r>
      <w:r w:rsidRPr="00FD40B8">
        <w:rPr>
          <w:rFonts w:ascii="Book Antiqua"/>
          <w:i/>
          <w:color w:val="131727" w:themeColor="text1"/>
          <w:spacing w:val="-2"/>
          <w:sz w:val="24"/>
        </w:rPr>
        <w:t>Partnership</w:t>
      </w:r>
    </w:p>
    <w:p w14:paraId="4BEF01B4" w14:textId="77777777" w:rsidR="00811887" w:rsidRPr="00FD40B8" w:rsidRDefault="00811887" w:rsidP="00811887">
      <w:pPr>
        <w:pStyle w:val="BodyText"/>
        <w:spacing w:before="146" w:line="266" w:lineRule="auto"/>
        <w:ind w:left="508" w:right="532"/>
        <w:rPr>
          <w:color w:val="131727" w:themeColor="text1"/>
          <w:sz w:val="13"/>
        </w:rPr>
      </w:pPr>
      <w:r w:rsidRPr="00FD40B8">
        <w:rPr>
          <w:color w:val="131727" w:themeColor="text1"/>
          <w:w w:val="110"/>
        </w:rPr>
        <w:t>The Housing</w:t>
      </w:r>
      <w:r w:rsidRPr="00FD40B8">
        <w:rPr>
          <w:color w:val="131727" w:themeColor="text1"/>
          <w:spacing w:val="-5"/>
          <w:w w:val="110"/>
        </w:rPr>
        <w:t xml:space="preserve"> </w:t>
      </w:r>
      <w:r w:rsidRPr="00FD40B8">
        <w:rPr>
          <w:color w:val="131727" w:themeColor="text1"/>
          <w:w w:val="110"/>
        </w:rPr>
        <w:t>Policy</w:t>
      </w:r>
      <w:r w:rsidRPr="00FD40B8">
        <w:rPr>
          <w:color w:val="131727" w:themeColor="text1"/>
          <w:spacing w:val="-1"/>
          <w:w w:val="110"/>
        </w:rPr>
        <w:t xml:space="preserve"> </w:t>
      </w:r>
      <w:r w:rsidRPr="00FD40B8">
        <w:rPr>
          <w:color w:val="131727" w:themeColor="text1"/>
          <w:w w:val="110"/>
        </w:rPr>
        <w:t>Partnership</w:t>
      </w:r>
      <w:r w:rsidRPr="00FD40B8">
        <w:rPr>
          <w:color w:val="131727" w:themeColor="text1"/>
          <w:spacing w:val="-2"/>
          <w:w w:val="110"/>
        </w:rPr>
        <w:t xml:space="preserve"> </w:t>
      </w:r>
      <w:r w:rsidRPr="00FD40B8">
        <w:rPr>
          <w:color w:val="131727" w:themeColor="text1"/>
          <w:w w:val="110"/>
        </w:rPr>
        <w:t>has agreed to undertaking a</w:t>
      </w:r>
      <w:r w:rsidRPr="00FD40B8">
        <w:rPr>
          <w:color w:val="131727" w:themeColor="text1"/>
          <w:spacing w:val="-5"/>
          <w:w w:val="110"/>
        </w:rPr>
        <w:t xml:space="preserve"> </w:t>
      </w:r>
      <w:r w:rsidRPr="00FD40B8">
        <w:rPr>
          <w:color w:val="131727" w:themeColor="text1"/>
          <w:w w:val="110"/>
        </w:rPr>
        <w:t>mapping exercise (a</w:t>
      </w:r>
      <w:r w:rsidRPr="00FD40B8">
        <w:rPr>
          <w:color w:val="131727" w:themeColor="text1"/>
          <w:spacing w:val="-6"/>
          <w:w w:val="110"/>
        </w:rPr>
        <w:t xml:space="preserve"> </w:t>
      </w:r>
      <w:r w:rsidRPr="00FD40B8">
        <w:rPr>
          <w:color w:val="131727" w:themeColor="text1"/>
          <w:w w:val="110"/>
        </w:rPr>
        <w:t>stocktake)</w:t>
      </w:r>
      <w:r w:rsidRPr="00FD40B8">
        <w:rPr>
          <w:color w:val="131727" w:themeColor="text1"/>
          <w:spacing w:val="-2"/>
          <w:w w:val="110"/>
        </w:rPr>
        <w:t xml:space="preserve"> </w:t>
      </w:r>
      <w:r w:rsidRPr="00FD40B8">
        <w:rPr>
          <w:color w:val="131727" w:themeColor="text1"/>
          <w:w w:val="110"/>
        </w:rPr>
        <w:t>of all existing data on Aboriginal and Torres Strait Islander housing. This mapping exercise is being commissioned by NIAA and seeks to identify gaps, overlap, and key areas of need in housing data to inform clear and targeted future</w:t>
      </w:r>
      <w:r w:rsidRPr="00FD40B8">
        <w:rPr>
          <w:color w:val="131727" w:themeColor="text1"/>
          <w:spacing w:val="-4"/>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policy. The last</w:t>
      </w:r>
      <w:r w:rsidRPr="00FD40B8">
        <w:rPr>
          <w:color w:val="131727" w:themeColor="text1"/>
          <w:spacing w:val="-4"/>
          <w:w w:val="110"/>
        </w:rPr>
        <w:t xml:space="preserve"> </w:t>
      </w:r>
      <w:r w:rsidRPr="00FD40B8">
        <w:rPr>
          <w:color w:val="131727" w:themeColor="text1"/>
          <w:w w:val="110"/>
        </w:rPr>
        <w:t>update</w:t>
      </w:r>
      <w:r w:rsidRPr="00FD40B8">
        <w:rPr>
          <w:color w:val="131727" w:themeColor="text1"/>
          <w:spacing w:val="-4"/>
          <w:w w:val="110"/>
        </w:rPr>
        <w:t xml:space="preserve"> </w:t>
      </w:r>
      <w:r w:rsidRPr="00FD40B8">
        <w:rPr>
          <w:color w:val="131727" w:themeColor="text1"/>
          <w:w w:val="110"/>
        </w:rPr>
        <w:t>on</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NIAA website,</w:t>
      </w:r>
      <w:r w:rsidRPr="00FD40B8">
        <w:rPr>
          <w:color w:val="131727" w:themeColor="text1"/>
          <w:spacing w:val="-4"/>
          <w:w w:val="110"/>
        </w:rPr>
        <w:t xml:space="preserve"> </w:t>
      </w:r>
      <w:r w:rsidRPr="00FD40B8">
        <w:rPr>
          <w:color w:val="131727" w:themeColor="text1"/>
          <w:w w:val="110"/>
        </w:rPr>
        <w:t>dated</w:t>
      </w:r>
      <w:r w:rsidRPr="00FD40B8">
        <w:rPr>
          <w:color w:val="131727" w:themeColor="text1"/>
          <w:spacing w:val="-4"/>
          <w:w w:val="110"/>
        </w:rPr>
        <w:t xml:space="preserve"> </w:t>
      </w:r>
      <w:r w:rsidRPr="00FD40B8">
        <w:rPr>
          <w:color w:val="131727" w:themeColor="text1"/>
          <w:w w:val="110"/>
        </w:rPr>
        <w:t>December</w:t>
      </w:r>
      <w:r w:rsidRPr="00FD40B8">
        <w:rPr>
          <w:color w:val="131727" w:themeColor="text1"/>
          <w:spacing w:val="-1"/>
          <w:w w:val="110"/>
        </w:rPr>
        <w:t xml:space="preserve"> </w:t>
      </w:r>
      <w:r w:rsidRPr="00FD40B8">
        <w:rPr>
          <w:color w:val="131727" w:themeColor="text1"/>
          <w:w w:val="110"/>
        </w:rPr>
        <w:t>2023, states this</w:t>
      </w:r>
      <w:r w:rsidRPr="00FD40B8">
        <w:rPr>
          <w:color w:val="131727" w:themeColor="text1"/>
          <w:spacing w:val="-2"/>
          <w:w w:val="110"/>
        </w:rPr>
        <w:t xml:space="preserve"> </w:t>
      </w:r>
      <w:r w:rsidRPr="00FD40B8">
        <w:rPr>
          <w:color w:val="131727" w:themeColor="text1"/>
          <w:w w:val="110"/>
        </w:rPr>
        <w:t>is a planned activity but we understand it is yet to progress</w:t>
      </w:r>
      <w:hyperlink w:anchor="_bookmark91" w:history="1">
        <w:r w:rsidRPr="00FD40B8">
          <w:rPr>
            <w:color w:val="131727" w:themeColor="text1"/>
            <w:w w:val="110"/>
          </w:rPr>
          <w:t>.</w:t>
        </w:r>
        <w:r w:rsidRPr="00FD40B8">
          <w:rPr>
            <w:color w:val="131727" w:themeColor="text1"/>
            <w:w w:val="110"/>
            <w:position w:val="8"/>
            <w:sz w:val="13"/>
          </w:rPr>
          <w:t>79</w:t>
        </w:r>
      </w:hyperlink>
    </w:p>
    <w:p w14:paraId="2B212943" w14:textId="77777777" w:rsidR="00811887" w:rsidRPr="00FD40B8" w:rsidRDefault="00811887" w:rsidP="00811887">
      <w:pPr>
        <w:pStyle w:val="BodyText"/>
        <w:rPr>
          <w:color w:val="131727" w:themeColor="text1"/>
        </w:rPr>
      </w:pPr>
    </w:p>
    <w:p w14:paraId="3238C522" w14:textId="77777777" w:rsidR="00811887" w:rsidRPr="00FD40B8" w:rsidRDefault="00811887" w:rsidP="00811887">
      <w:pPr>
        <w:pStyle w:val="BodyText"/>
        <w:spacing w:before="13"/>
        <w:rPr>
          <w:color w:val="131727" w:themeColor="text1"/>
        </w:rPr>
      </w:pPr>
    </w:p>
    <w:p w14:paraId="46EF825E" w14:textId="77777777" w:rsidR="00811887" w:rsidRPr="00FD40B8" w:rsidRDefault="00811887" w:rsidP="00811887">
      <w:pPr>
        <w:pStyle w:val="Heading8"/>
        <w:rPr>
          <w:color w:val="131727" w:themeColor="text1"/>
        </w:rPr>
      </w:pPr>
      <w:r w:rsidRPr="00FD40B8">
        <w:rPr>
          <w:color w:val="131727" w:themeColor="text1"/>
        </w:rPr>
        <w:t>National</w:t>
      </w:r>
      <w:r w:rsidRPr="00FD40B8">
        <w:rPr>
          <w:color w:val="131727" w:themeColor="text1"/>
          <w:spacing w:val="-5"/>
        </w:rPr>
        <w:t xml:space="preserve"> </w:t>
      </w:r>
      <w:r w:rsidRPr="00FD40B8">
        <w:rPr>
          <w:color w:val="131727" w:themeColor="text1"/>
        </w:rPr>
        <w:t>Housing</w:t>
      </w:r>
      <w:r w:rsidRPr="00FD40B8">
        <w:rPr>
          <w:color w:val="131727" w:themeColor="text1"/>
          <w:spacing w:val="-2"/>
        </w:rPr>
        <w:t xml:space="preserve"> </w:t>
      </w:r>
      <w:r w:rsidRPr="00FD40B8">
        <w:rPr>
          <w:color w:val="131727" w:themeColor="text1"/>
        </w:rPr>
        <w:t>and</w:t>
      </w:r>
      <w:r w:rsidRPr="00FD40B8">
        <w:rPr>
          <w:color w:val="131727" w:themeColor="text1"/>
          <w:spacing w:val="-2"/>
        </w:rPr>
        <w:t xml:space="preserve"> </w:t>
      </w:r>
      <w:r w:rsidRPr="00FD40B8">
        <w:rPr>
          <w:color w:val="131727" w:themeColor="text1"/>
        </w:rPr>
        <w:t>Homelessness</w:t>
      </w:r>
      <w:r w:rsidRPr="00FD40B8">
        <w:rPr>
          <w:color w:val="131727" w:themeColor="text1"/>
          <w:spacing w:val="-2"/>
        </w:rPr>
        <w:t xml:space="preserve"> Agreement</w:t>
      </w:r>
    </w:p>
    <w:p w14:paraId="6D6921E5" w14:textId="77777777" w:rsidR="00811887" w:rsidRPr="00FD40B8" w:rsidRDefault="00811887" w:rsidP="00811887">
      <w:pPr>
        <w:pStyle w:val="BodyText"/>
        <w:spacing w:before="146" w:line="268" w:lineRule="auto"/>
        <w:ind w:left="508" w:right="589"/>
        <w:rPr>
          <w:color w:val="131727" w:themeColor="text1"/>
        </w:rPr>
      </w:pPr>
      <w:r w:rsidRPr="00FD40B8">
        <w:rPr>
          <w:color w:val="131727" w:themeColor="text1"/>
          <w:w w:val="110"/>
        </w:rPr>
        <w:t>The NHHA includes a commitment to a Housing and Homelessness Data Improvement Plan to drive improvements to a range of indicators, including number of dwellings, proportion of social housing occupants that are housed in homes that meet their needs, number of people experiencing homelessness, proportion of people at risk of homelessness, number of permitted dwellings, rental stress data,</w:t>
      </w:r>
      <w:r w:rsidRPr="00FD40B8">
        <w:rPr>
          <w:color w:val="131727" w:themeColor="text1"/>
          <w:spacing w:val="-2"/>
          <w:w w:val="110"/>
        </w:rPr>
        <w:t xml:space="preserve"> </w:t>
      </w:r>
      <w:r w:rsidRPr="00FD40B8">
        <w:rPr>
          <w:color w:val="131727" w:themeColor="text1"/>
          <w:w w:val="110"/>
        </w:rPr>
        <w:t>as well as committing</w:t>
      </w:r>
      <w:r w:rsidRPr="00FD40B8">
        <w:rPr>
          <w:color w:val="131727" w:themeColor="text1"/>
          <w:spacing w:val="-7"/>
          <w:w w:val="110"/>
        </w:rPr>
        <w:t xml:space="preserve"> </w:t>
      </w:r>
      <w:r w:rsidRPr="00FD40B8">
        <w:rPr>
          <w:color w:val="131727" w:themeColor="text1"/>
          <w:w w:val="110"/>
        </w:rPr>
        <w:t>data</w:t>
      </w:r>
      <w:r w:rsidRPr="00FD40B8">
        <w:rPr>
          <w:color w:val="131727" w:themeColor="text1"/>
          <w:spacing w:val="-4"/>
          <w:w w:val="110"/>
        </w:rPr>
        <w:t xml:space="preserve"> </w:t>
      </w:r>
      <w:r w:rsidRPr="00FD40B8">
        <w:rPr>
          <w:color w:val="131727" w:themeColor="text1"/>
          <w:w w:val="110"/>
        </w:rPr>
        <w:t>priorities for</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Community</w:t>
      </w:r>
      <w:r w:rsidRPr="00FD40B8">
        <w:rPr>
          <w:color w:val="131727" w:themeColor="text1"/>
          <w:spacing w:val="-4"/>
          <w:w w:val="110"/>
        </w:rPr>
        <w:t xml:space="preserve"> </w:t>
      </w:r>
      <w:r w:rsidRPr="00FD40B8">
        <w:rPr>
          <w:color w:val="131727" w:themeColor="text1"/>
          <w:w w:val="110"/>
        </w:rPr>
        <w:t>Housing</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Indigenous Community Housing collections.</w:t>
      </w:r>
    </w:p>
    <w:p w14:paraId="75462E8C" w14:textId="77777777" w:rsidR="00811887" w:rsidRPr="00FD40B8" w:rsidRDefault="00811887" w:rsidP="00811887">
      <w:pPr>
        <w:pStyle w:val="BodyText"/>
        <w:spacing w:before="112" w:line="264" w:lineRule="auto"/>
        <w:ind w:left="508" w:right="598"/>
        <w:rPr>
          <w:color w:val="131727" w:themeColor="text1"/>
          <w:sz w:val="13"/>
        </w:rPr>
      </w:pPr>
      <w:r w:rsidRPr="00FD40B8">
        <w:rPr>
          <w:color w:val="131727" w:themeColor="text1"/>
          <w:w w:val="110"/>
        </w:rPr>
        <w:t>However,</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2022</w:t>
      </w:r>
      <w:r w:rsidRPr="00FD40B8">
        <w:rPr>
          <w:color w:val="131727" w:themeColor="text1"/>
          <w:spacing w:val="-7"/>
          <w:w w:val="110"/>
        </w:rPr>
        <w:t xml:space="preserve"> </w:t>
      </w:r>
      <w:r w:rsidRPr="00FD40B8">
        <w:rPr>
          <w:color w:val="131727" w:themeColor="text1"/>
          <w:w w:val="110"/>
        </w:rPr>
        <w:t>Productivity</w:t>
      </w:r>
      <w:r w:rsidRPr="00FD40B8">
        <w:rPr>
          <w:color w:val="131727" w:themeColor="text1"/>
          <w:spacing w:val="-9"/>
          <w:w w:val="110"/>
        </w:rPr>
        <w:t xml:space="preserve"> </w:t>
      </w:r>
      <w:r w:rsidRPr="00FD40B8">
        <w:rPr>
          <w:color w:val="131727" w:themeColor="text1"/>
          <w:w w:val="110"/>
        </w:rPr>
        <w:t>Commission</w:t>
      </w:r>
      <w:r w:rsidRPr="00FD40B8">
        <w:rPr>
          <w:color w:val="131727" w:themeColor="text1"/>
          <w:spacing w:val="-1"/>
          <w:w w:val="110"/>
        </w:rPr>
        <w:t xml:space="preserve"> </w:t>
      </w:r>
      <w:r w:rsidRPr="00FD40B8">
        <w:rPr>
          <w:color w:val="131727" w:themeColor="text1"/>
          <w:w w:val="110"/>
        </w:rPr>
        <w:t>review</w:t>
      </w:r>
      <w:r w:rsidRPr="00FD40B8">
        <w:rPr>
          <w:color w:val="131727" w:themeColor="text1"/>
          <w:spacing w:val="-1"/>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the</w:t>
      </w:r>
      <w:r w:rsidRPr="00FD40B8">
        <w:rPr>
          <w:color w:val="131727" w:themeColor="text1"/>
          <w:spacing w:val="-2"/>
          <w:w w:val="110"/>
        </w:rPr>
        <w:t xml:space="preserve"> </w:t>
      </w:r>
      <w:r w:rsidRPr="00FD40B8">
        <w:rPr>
          <w:color w:val="131727" w:themeColor="text1"/>
          <w:w w:val="110"/>
        </w:rPr>
        <w:t>NHHA</w:t>
      </w:r>
      <w:r w:rsidRPr="00FD40B8">
        <w:rPr>
          <w:color w:val="131727" w:themeColor="text1"/>
          <w:spacing w:val="-7"/>
          <w:w w:val="110"/>
        </w:rPr>
        <w:t xml:space="preserve"> </w:t>
      </w:r>
      <w:r w:rsidRPr="00FD40B8">
        <w:rPr>
          <w:color w:val="131727" w:themeColor="text1"/>
          <w:w w:val="110"/>
        </w:rPr>
        <w:t>found</w:t>
      </w:r>
      <w:r w:rsidRPr="00FD40B8">
        <w:rPr>
          <w:color w:val="131727" w:themeColor="text1"/>
          <w:spacing w:val="-2"/>
          <w:w w:val="110"/>
        </w:rPr>
        <w:t xml:space="preserve"> </w:t>
      </w:r>
      <w:r w:rsidRPr="00FD40B8">
        <w:rPr>
          <w:color w:val="131727" w:themeColor="text1"/>
          <w:w w:val="110"/>
        </w:rPr>
        <w:t>that</w:t>
      </w:r>
      <w:r w:rsidRPr="00FD40B8">
        <w:rPr>
          <w:color w:val="131727" w:themeColor="text1"/>
          <w:spacing w:val="-2"/>
          <w:w w:val="110"/>
        </w:rPr>
        <w:t xml:space="preserve"> </w:t>
      </w:r>
      <w:r w:rsidRPr="00FD40B8">
        <w:rPr>
          <w:color w:val="131727" w:themeColor="text1"/>
          <w:w w:val="110"/>
        </w:rPr>
        <w:t>many</w:t>
      </w:r>
      <w:r w:rsidRPr="00FD40B8">
        <w:rPr>
          <w:color w:val="131727" w:themeColor="text1"/>
          <w:spacing w:val="-4"/>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promised</w:t>
      </w:r>
      <w:r w:rsidRPr="00FD40B8">
        <w:rPr>
          <w:color w:val="131727" w:themeColor="text1"/>
          <w:spacing w:val="-2"/>
          <w:w w:val="110"/>
        </w:rPr>
        <w:t xml:space="preserve"> </w:t>
      </w:r>
      <w:r w:rsidRPr="00FD40B8">
        <w:rPr>
          <w:color w:val="131727" w:themeColor="text1"/>
          <w:w w:val="110"/>
        </w:rPr>
        <w:t xml:space="preserve">data improvements under the Data Improvement Plan are yet to be developed and even so, the Data Improvement Plan is narrow and technical in scope and, if fully delivered, is unlikely to yield much </w:t>
      </w:r>
      <w:r w:rsidRPr="00FD40B8">
        <w:rPr>
          <w:color w:val="131727" w:themeColor="text1"/>
          <w:spacing w:val="-2"/>
          <w:w w:val="110"/>
        </w:rPr>
        <w:t>change.</w:t>
      </w:r>
      <w:hyperlink w:anchor="_bookmark92" w:history="1">
        <w:r w:rsidRPr="00FD40B8">
          <w:rPr>
            <w:color w:val="131727" w:themeColor="text1"/>
            <w:spacing w:val="-2"/>
            <w:w w:val="110"/>
            <w:position w:val="8"/>
            <w:sz w:val="13"/>
          </w:rPr>
          <w:t>80</w:t>
        </w:r>
      </w:hyperlink>
    </w:p>
    <w:p w14:paraId="2074A17B" w14:textId="77777777" w:rsidR="00811887" w:rsidRPr="00FD40B8" w:rsidRDefault="00811887" w:rsidP="00811887">
      <w:pPr>
        <w:pStyle w:val="BodyText"/>
        <w:spacing w:before="122"/>
        <w:ind w:left="508"/>
        <w:rPr>
          <w:color w:val="131727" w:themeColor="text1"/>
        </w:rPr>
      </w:pPr>
      <w:r w:rsidRPr="00FD40B8">
        <w:rPr>
          <w:color w:val="131727" w:themeColor="text1"/>
          <w:w w:val="110"/>
        </w:rPr>
        <w:t>In</w:t>
      </w:r>
      <w:r w:rsidRPr="00FD40B8">
        <w:rPr>
          <w:color w:val="131727" w:themeColor="text1"/>
          <w:spacing w:val="-12"/>
          <w:w w:val="110"/>
        </w:rPr>
        <w:t xml:space="preserve"> </w:t>
      </w:r>
      <w:r w:rsidRPr="00FD40B8">
        <w:rPr>
          <w:color w:val="131727" w:themeColor="text1"/>
          <w:w w:val="110"/>
        </w:rPr>
        <w:t>developing</w:t>
      </w:r>
      <w:r w:rsidRPr="00FD40B8">
        <w:rPr>
          <w:color w:val="131727" w:themeColor="text1"/>
          <w:spacing w:val="-9"/>
          <w:w w:val="110"/>
        </w:rPr>
        <w:t xml:space="preserve"> </w:t>
      </w:r>
      <w:r w:rsidRPr="00FD40B8">
        <w:rPr>
          <w:color w:val="131727" w:themeColor="text1"/>
          <w:w w:val="110"/>
        </w:rPr>
        <w:t>a</w:t>
      </w:r>
      <w:r w:rsidRPr="00FD40B8">
        <w:rPr>
          <w:color w:val="131727" w:themeColor="text1"/>
          <w:spacing w:val="-12"/>
          <w:w w:val="110"/>
        </w:rPr>
        <w:t xml:space="preserve"> </w:t>
      </w:r>
      <w:r w:rsidRPr="00FD40B8">
        <w:rPr>
          <w:color w:val="131727" w:themeColor="text1"/>
          <w:w w:val="110"/>
        </w:rPr>
        <w:t>new</w:t>
      </w:r>
      <w:r w:rsidRPr="00FD40B8">
        <w:rPr>
          <w:color w:val="131727" w:themeColor="text1"/>
          <w:spacing w:val="-11"/>
          <w:w w:val="110"/>
        </w:rPr>
        <w:t xml:space="preserve"> </w:t>
      </w:r>
      <w:r w:rsidRPr="00FD40B8">
        <w:rPr>
          <w:color w:val="131727" w:themeColor="text1"/>
          <w:w w:val="110"/>
        </w:rPr>
        <w:t>NHHA,</w:t>
      </w:r>
      <w:r w:rsidRPr="00FD40B8">
        <w:rPr>
          <w:color w:val="131727" w:themeColor="text1"/>
          <w:spacing w:val="-9"/>
          <w:w w:val="110"/>
        </w:rPr>
        <w:t xml:space="preserve"> </w:t>
      </w:r>
      <w:r w:rsidRPr="00FD40B8">
        <w:rPr>
          <w:color w:val="131727" w:themeColor="text1"/>
          <w:w w:val="110"/>
        </w:rPr>
        <w:t>currently</w:t>
      </w:r>
      <w:r w:rsidRPr="00FD40B8">
        <w:rPr>
          <w:color w:val="131727" w:themeColor="text1"/>
          <w:spacing w:val="-11"/>
          <w:w w:val="110"/>
        </w:rPr>
        <w:t xml:space="preserve"> </w:t>
      </w:r>
      <w:r w:rsidRPr="00FD40B8">
        <w:rPr>
          <w:color w:val="131727" w:themeColor="text1"/>
          <w:w w:val="110"/>
        </w:rPr>
        <w:t>being</w:t>
      </w:r>
      <w:r w:rsidRPr="00FD40B8">
        <w:rPr>
          <w:color w:val="131727" w:themeColor="text1"/>
          <w:spacing w:val="-12"/>
          <w:w w:val="110"/>
        </w:rPr>
        <w:t xml:space="preserve"> </w:t>
      </w:r>
      <w:r w:rsidRPr="00FD40B8">
        <w:rPr>
          <w:color w:val="131727" w:themeColor="text1"/>
          <w:w w:val="110"/>
        </w:rPr>
        <w:t>negotiated</w:t>
      </w:r>
      <w:r w:rsidRPr="00FD40B8">
        <w:rPr>
          <w:color w:val="131727" w:themeColor="text1"/>
          <w:spacing w:val="-13"/>
          <w:w w:val="110"/>
        </w:rPr>
        <w:t xml:space="preserve"> </w:t>
      </w:r>
      <w:r w:rsidRPr="00FD40B8">
        <w:rPr>
          <w:color w:val="131727" w:themeColor="text1"/>
          <w:w w:val="110"/>
        </w:rPr>
        <w:t>between</w:t>
      </w:r>
      <w:r w:rsidRPr="00FD40B8">
        <w:rPr>
          <w:color w:val="131727" w:themeColor="text1"/>
          <w:spacing w:val="-9"/>
          <w:w w:val="110"/>
        </w:rPr>
        <w:t xml:space="preserve"> </w:t>
      </w:r>
      <w:r w:rsidRPr="00FD40B8">
        <w:rPr>
          <w:color w:val="131727" w:themeColor="text1"/>
          <w:w w:val="110"/>
        </w:rPr>
        <w:t>governments,</w:t>
      </w:r>
      <w:r w:rsidRPr="00FD40B8">
        <w:rPr>
          <w:color w:val="131727" w:themeColor="text1"/>
          <w:spacing w:val="-6"/>
          <w:w w:val="110"/>
        </w:rPr>
        <w:t xml:space="preserve"> </w:t>
      </w:r>
      <w:r w:rsidRPr="00FD40B8">
        <w:rPr>
          <w:color w:val="131727" w:themeColor="text1"/>
          <w:w w:val="110"/>
        </w:rPr>
        <w:t>the</w:t>
      </w:r>
      <w:r w:rsidRPr="00FD40B8">
        <w:rPr>
          <w:color w:val="131727" w:themeColor="text1"/>
          <w:spacing w:val="-12"/>
          <w:w w:val="110"/>
        </w:rPr>
        <w:t xml:space="preserve"> </w:t>
      </w:r>
      <w:r w:rsidRPr="00FD40B8">
        <w:rPr>
          <w:color w:val="131727" w:themeColor="text1"/>
          <w:w w:val="110"/>
        </w:rPr>
        <w:t>PC’s</w:t>
      </w:r>
      <w:r w:rsidRPr="00FD40B8">
        <w:rPr>
          <w:color w:val="131727" w:themeColor="text1"/>
          <w:spacing w:val="-8"/>
          <w:w w:val="110"/>
        </w:rPr>
        <w:t xml:space="preserve"> </w:t>
      </w:r>
      <w:r w:rsidRPr="00FD40B8">
        <w:rPr>
          <w:color w:val="131727" w:themeColor="text1"/>
          <w:w w:val="110"/>
        </w:rPr>
        <w:t>review</w:t>
      </w:r>
      <w:r w:rsidRPr="00FD40B8">
        <w:rPr>
          <w:color w:val="131727" w:themeColor="text1"/>
          <w:spacing w:val="-11"/>
          <w:w w:val="110"/>
        </w:rPr>
        <w:t xml:space="preserve"> </w:t>
      </w:r>
      <w:r w:rsidRPr="00FD40B8">
        <w:rPr>
          <w:color w:val="131727" w:themeColor="text1"/>
          <w:w w:val="110"/>
        </w:rPr>
        <w:t>of</w:t>
      </w:r>
      <w:r w:rsidRPr="00FD40B8">
        <w:rPr>
          <w:color w:val="131727" w:themeColor="text1"/>
          <w:spacing w:val="-8"/>
          <w:w w:val="110"/>
        </w:rPr>
        <w:t xml:space="preserve"> </w:t>
      </w:r>
      <w:r w:rsidRPr="00FD40B8">
        <w:rPr>
          <w:color w:val="131727" w:themeColor="text1"/>
          <w:spacing w:val="-5"/>
          <w:w w:val="110"/>
        </w:rPr>
        <w:t>the</w:t>
      </w:r>
    </w:p>
    <w:p w14:paraId="35639F76" w14:textId="77777777" w:rsidR="00811887" w:rsidRPr="00FD40B8" w:rsidRDefault="00811887" w:rsidP="00811887">
      <w:pPr>
        <w:pStyle w:val="BodyText"/>
        <w:spacing w:before="30"/>
        <w:ind w:left="508"/>
        <w:rPr>
          <w:color w:val="131727" w:themeColor="text1"/>
        </w:rPr>
      </w:pPr>
      <w:r w:rsidRPr="00FD40B8">
        <w:rPr>
          <w:color w:val="131727" w:themeColor="text1"/>
          <w:w w:val="110"/>
        </w:rPr>
        <w:t>NHHA called</w:t>
      </w:r>
      <w:r w:rsidRPr="00FD40B8">
        <w:rPr>
          <w:color w:val="131727" w:themeColor="text1"/>
          <w:spacing w:val="-3"/>
          <w:w w:val="110"/>
        </w:rPr>
        <w:t xml:space="preserve"> </w:t>
      </w:r>
      <w:r w:rsidRPr="00FD40B8">
        <w:rPr>
          <w:color w:val="131727" w:themeColor="text1"/>
          <w:spacing w:val="-4"/>
          <w:w w:val="110"/>
        </w:rPr>
        <w:t>for:</w:t>
      </w:r>
    </w:p>
    <w:p w14:paraId="49E9390C" w14:textId="77777777" w:rsidR="00811887" w:rsidRPr="00FD40B8" w:rsidRDefault="00811887" w:rsidP="00811887">
      <w:pPr>
        <w:pStyle w:val="BodyText"/>
        <w:spacing w:before="66"/>
        <w:rPr>
          <w:color w:val="131727" w:themeColor="text1"/>
        </w:rPr>
      </w:pPr>
      <w:r w:rsidRPr="00FD40B8">
        <w:rPr>
          <w:noProof/>
          <w:color w:val="131727" w:themeColor="text1"/>
        </w:rPr>
        <mc:AlternateContent>
          <mc:Choice Requires="wps">
            <w:drawing>
              <wp:anchor distT="0" distB="0" distL="0" distR="0" simplePos="0" relativeHeight="251758592" behindDoc="1" locked="0" layoutInCell="1" allowOverlap="1" wp14:anchorId="1FA1A2C5" wp14:editId="16EE11D9">
                <wp:simplePos x="0" y="0"/>
                <wp:positionH relativeFrom="page">
                  <wp:posOffset>792784</wp:posOffset>
                </wp:positionH>
                <wp:positionV relativeFrom="paragraph">
                  <wp:posOffset>212738</wp:posOffset>
                </wp:positionV>
                <wp:extent cx="1830070" cy="6350"/>
                <wp:effectExtent l="0" t="0" r="0" b="0"/>
                <wp:wrapTopAndBottom/>
                <wp:docPr id="189" name="Graphic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0ED7F" id="Graphic 189" o:spid="_x0000_s1026" alt="&quot;&quot;" style="position:absolute;margin-left:62.4pt;margin-top:16.75pt;width:144.1pt;height:.5pt;z-index:-25155788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1Hjs94AAAAJAQAADwAAAAAAAAAAAAAAAAB9BAAAZHJzL2Rvd25y&#10;ZXYueG1sUEsFBgAAAAAEAAQA8wAAAIgFAAAAAA==&#10;" path="m1829689,l,,,6095r1829689,l1829689,xe" fillcolor="black" stroked="f">
                <v:path arrowok="t"/>
                <w10:wrap type="topAndBottom" anchorx="page"/>
              </v:shape>
            </w:pict>
          </mc:Fallback>
        </mc:AlternateContent>
      </w:r>
    </w:p>
    <w:p w14:paraId="133E70A2" w14:textId="77777777" w:rsidR="00811887" w:rsidRPr="00FD40B8" w:rsidRDefault="00811887" w:rsidP="00811887">
      <w:pPr>
        <w:spacing w:before="123"/>
        <w:ind w:left="508"/>
        <w:rPr>
          <w:color w:val="131727" w:themeColor="text1"/>
          <w:sz w:val="16"/>
        </w:rPr>
      </w:pPr>
      <w:bookmarkStart w:id="200" w:name="_bookmark89"/>
      <w:bookmarkEnd w:id="200"/>
      <w:r w:rsidRPr="00FD40B8">
        <w:rPr>
          <w:color w:val="131727" w:themeColor="text1"/>
          <w:w w:val="105"/>
          <w:position w:val="6"/>
          <w:sz w:val="10"/>
        </w:rPr>
        <w:t>77</w:t>
      </w:r>
      <w:r w:rsidRPr="00FD40B8">
        <w:rPr>
          <w:color w:val="131727" w:themeColor="text1"/>
          <w:spacing w:val="30"/>
          <w:w w:val="105"/>
          <w:position w:val="6"/>
          <w:sz w:val="10"/>
        </w:rPr>
        <w:t xml:space="preserve"> </w:t>
      </w:r>
      <w:r w:rsidRPr="00FD40B8">
        <w:rPr>
          <w:color w:val="131727" w:themeColor="text1"/>
          <w:w w:val="105"/>
          <w:sz w:val="16"/>
        </w:rPr>
        <w:t>Productivity</w:t>
      </w:r>
      <w:r w:rsidRPr="00FD40B8">
        <w:rPr>
          <w:color w:val="131727" w:themeColor="text1"/>
          <w:spacing w:val="15"/>
          <w:w w:val="105"/>
          <w:sz w:val="16"/>
        </w:rPr>
        <w:t xml:space="preserve"> </w:t>
      </w:r>
      <w:r w:rsidRPr="00FD40B8">
        <w:rPr>
          <w:color w:val="131727" w:themeColor="text1"/>
          <w:w w:val="105"/>
          <w:sz w:val="16"/>
        </w:rPr>
        <w:t>Commission</w:t>
      </w:r>
      <w:r w:rsidRPr="00FD40B8">
        <w:rPr>
          <w:color w:val="131727" w:themeColor="text1"/>
          <w:spacing w:val="19"/>
          <w:w w:val="105"/>
          <w:sz w:val="16"/>
        </w:rPr>
        <w:t xml:space="preserve"> </w:t>
      </w:r>
      <w:r w:rsidRPr="00FD40B8">
        <w:rPr>
          <w:color w:val="131727" w:themeColor="text1"/>
          <w:w w:val="105"/>
          <w:sz w:val="16"/>
        </w:rPr>
        <w:t>2024,</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7"/>
          <w:w w:val="105"/>
          <w:sz w:val="16"/>
        </w:rPr>
        <w:t xml:space="preserve"> </w:t>
      </w:r>
      <w:r w:rsidRPr="00FD40B8">
        <w:rPr>
          <w:color w:val="131727" w:themeColor="text1"/>
          <w:w w:val="105"/>
          <w:sz w:val="16"/>
        </w:rPr>
        <w:t>of</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6"/>
          <w:w w:val="105"/>
          <w:sz w:val="16"/>
        </w:rPr>
        <w:t xml:space="preserve"> </w:t>
      </w:r>
      <w:r w:rsidRPr="00FD40B8">
        <w:rPr>
          <w:color w:val="131727" w:themeColor="text1"/>
          <w:w w:val="105"/>
          <w:sz w:val="16"/>
        </w:rPr>
        <w:t>National</w:t>
      </w:r>
      <w:r w:rsidRPr="00FD40B8">
        <w:rPr>
          <w:color w:val="131727" w:themeColor="text1"/>
          <w:spacing w:val="14"/>
          <w:w w:val="105"/>
          <w:sz w:val="16"/>
        </w:rPr>
        <w:t xml:space="preserve"> </w:t>
      </w:r>
      <w:r w:rsidRPr="00FD40B8">
        <w:rPr>
          <w:color w:val="131727" w:themeColor="text1"/>
          <w:w w:val="105"/>
          <w:sz w:val="16"/>
        </w:rPr>
        <w:t>Agreement</w:t>
      </w:r>
      <w:r w:rsidRPr="00FD40B8">
        <w:rPr>
          <w:color w:val="131727" w:themeColor="text1"/>
          <w:spacing w:val="15"/>
          <w:w w:val="105"/>
          <w:sz w:val="16"/>
        </w:rPr>
        <w:t xml:space="preserve"> </w:t>
      </w:r>
      <w:r w:rsidRPr="00FD40B8">
        <w:rPr>
          <w:color w:val="131727" w:themeColor="text1"/>
          <w:w w:val="105"/>
          <w:sz w:val="16"/>
        </w:rPr>
        <w:t>on</w:t>
      </w:r>
      <w:r w:rsidRPr="00FD40B8">
        <w:rPr>
          <w:color w:val="131727" w:themeColor="text1"/>
          <w:spacing w:val="20"/>
          <w:w w:val="105"/>
          <w:sz w:val="16"/>
        </w:rPr>
        <w:t xml:space="preserve"> </w:t>
      </w:r>
      <w:r w:rsidRPr="00FD40B8">
        <w:rPr>
          <w:color w:val="131727" w:themeColor="text1"/>
          <w:w w:val="105"/>
          <w:sz w:val="16"/>
        </w:rPr>
        <w:t>Closing</w:t>
      </w:r>
      <w:r w:rsidRPr="00FD40B8">
        <w:rPr>
          <w:color w:val="131727" w:themeColor="text1"/>
          <w:spacing w:val="15"/>
          <w:w w:val="105"/>
          <w:sz w:val="16"/>
        </w:rPr>
        <w:t xml:space="preserve"> </w:t>
      </w:r>
      <w:r w:rsidRPr="00FD40B8">
        <w:rPr>
          <w:color w:val="131727" w:themeColor="text1"/>
          <w:w w:val="105"/>
          <w:sz w:val="16"/>
        </w:rPr>
        <w:t>the</w:t>
      </w:r>
      <w:r w:rsidRPr="00FD40B8">
        <w:rPr>
          <w:color w:val="131727" w:themeColor="text1"/>
          <w:spacing w:val="15"/>
          <w:w w:val="105"/>
          <w:sz w:val="16"/>
        </w:rPr>
        <w:t xml:space="preserve"> </w:t>
      </w:r>
      <w:r w:rsidRPr="00FD40B8">
        <w:rPr>
          <w:color w:val="131727" w:themeColor="text1"/>
          <w:w w:val="105"/>
          <w:sz w:val="16"/>
        </w:rPr>
        <w:t>Gap,</w:t>
      </w:r>
      <w:r w:rsidRPr="00FD40B8">
        <w:rPr>
          <w:color w:val="131727" w:themeColor="text1"/>
          <w:spacing w:val="16"/>
          <w:w w:val="105"/>
          <w:sz w:val="16"/>
        </w:rPr>
        <w:t xml:space="preserve"> </w:t>
      </w:r>
      <w:r w:rsidRPr="00FD40B8">
        <w:rPr>
          <w:color w:val="131727" w:themeColor="text1"/>
          <w:w w:val="105"/>
          <w:sz w:val="16"/>
        </w:rPr>
        <w:t>Study</w:t>
      </w:r>
      <w:r w:rsidRPr="00FD40B8">
        <w:rPr>
          <w:color w:val="131727" w:themeColor="text1"/>
          <w:spacing w:val="16"/>
          <w:w w:val="105"/>
          <w:sz w:val="16"/>
        </w:rPr>
        <w:t xml:space="preserve"> </w:t>
      </w:r>
      <w:r w:rsidRPr="00FD40B8">
        <w:rPr>
          <w:color w:val="131727" w:themeColor="text1"/>
          <w:w w:val="105"/>
          <w:sz w:val="16"/>
        </w:rPr>
        <w:t>report,</w:t>
      </w:r>
      <w:r w:rsidRPr="00FD40B8">
        <w:rPr>
          <w:color w:val="131727" w:themeColor="text1"/>
          <w:spacing w:val="16"/>
          <w:w w:val="105"/>
          <w:sz w:val="16"/>
        </w:rPr>
        <w:t xml:space="preserve"> </w:t>
      </w:r>
      <w:r w:rsidRPr="00FD40B8">
        <w:rPr>
          <w:color w:val="131727" w:themeColor="text1"/>
          <w:w w:val="105"/>
          <w:sz w:val="16"/>
        </w:rPr>
        <w:t>volume</w:t>
      </w:r>
      <w:r w:rsidRPr="00FD40B8">
        <w:rPr>
          <w:color w:val="131727" w:themeColor="text1"/>
          <w:spacing w:val="16"/>
          <w:w w:val="105"/>
          <w:sz w:val="16"/>
        </w:rPr>
        <w:t xml:space="preserve"> </w:t>
      </w:r>
      <w:r w:rsidRPr="00FD40B8">
        <w:rPr>
          <w:color w:val="131727" w:themeColor="text1"/>
          <w:w w:val="105"/>
          <w:sz w:val="16"/>
        </w:rPr>
        <w:t>1,</w:t>
      </w:r>
      <w:r w:rsidRPr="00FD40B8">
        <w:rPr>
          <w:color w:val="131727" w:themeColor="text1"/>
          <w:spacing w:val="16"/>
          <w:w w:val="105"/>
          <w:sz w:val="16"/>
        </w:rPr>
        <w:t xml:space="preserve"> </w:t>
      </w:r>
      <w:r w:rsidRPr="00FD40B8">
        <w:rPr>
          <w:color w:val="131727" w:themeColor="text1"/>
          <w:w w:val="105"/>
          <w:sz w:val="16"/>
        </w:rPr>
        <w:t>Canberra,</w:t>
      </w:r>
      <w:r w:rsidRPr="00FD40B8">
        <w:rPr>
          <w:color w:val="131727" w:themeColor="text1"/>
          <w:spacing w:val="15"/>
          <w:w w:val="105"/>
          <w:sz w:val="16"/>
        </w:rPr>
        <w:t xml:space="preserve"> </w:t>
      </w:r>
      <w:r w:rsidRPr="00FD40B8">
        <w:rPr>
          <w:color w:val="131727" w:themeColor="text1"/>
          <w:spacing w:val="-2"/>
          <w:w w:val="105"/>
          <w:sz w:val="16"/>
        </w:rPr>
        <w:t>p.76.</w:t>
      </w:r>
    </w:p>
    <w:p w14:paraId="5D73A036" w14:textId="77777777" w:rsidR="00811887" w:rsidRPr="00FD40B8" w:rsidRDefault="00811887" w:rsidP="00811887">
      <w:pPr>
        <w:spacing w:before="18"/>
        <w:ind w:left="508"/>
        <w:rPr>
          <w:color w:val="131727" w:themeColor="text1"/>
          <w:sz w:val="16"/>
        </w:rPr>
      </w:pPr>
      <w:bookmarkStart w:id="201" w:name="_bookmark90"/>
      <w:bookmarkEnd w:id="201"/>
      <w:r w:rsidRPr="00FD40B8">
        <w:rPr>
          <w:color w:val="131727" w:themeColor="text1"/>
          <w:w w:val="105"/>
          <w:position w:val="6"/>
          <w:sz w:val="10"/>
        </w:rPr>
        <w:t>78</w:t>
      </w:r>
      <w:r w:rsidRPr="00FD40B8">
        <w:rPr>
          <w:color w:val="131727" w:themeColor="text1"/>
          <w:spacing w:val="31"/>
          <w:w w:val="105"/>
          <w:position w:val="6"/>
          <w:sz w:val="10"/>
        </w:rPr>
        <w:t xml:space="preserve"> </w:t>
      </w:r>
      <w:r w:rsidRPr="00FD40B8">
        <w:rPr>
          <w:color w:val="131727" w:themeColor="text1"/>
          <w:w w:val="105"/>
          <w:sz w:val="16"/>
        </w:rPr>
        <w:t>Productivity</w:t>
      </w:r>
      <w:r w:rsidRPr="00FD40B8">
        <w:rPr>
          <w:color w:val="131727" w:themeColor="text1"/>
          <w:spacing w:val="15"/>
          <w:w w:val="105"/>
          <w:sz w:val="16"/>
        </w:rPr>
        <w:t xml:space="preserve"> </w:t>
      </w:r>
      <w:r w:rsidRPr="00FD40B8">
        <w:rPr>
          <w:color w:val="131727" w:themeColor="text1"/>
          <w:w w:val="105"/>
          <w:sz w:val="16"/>
        </w:rPr>
        <w:t>Commission</w:t>
      </w:r>
      <w:r w:rsidRPr="00FD40B8">
        <w:rPr>
          <w:color w:val="131727" w:themeColor="text1"/>
          <w:spacing w:val="21"/>
          <w:w w:val="105"/>
          <w:sz w:val="16"/>
        </w:rPr>
        <w:t xml:space="preserve"> </w:t>
      </w:r>
      <w:r w:rsidRPr="00FD40B8">
        <w:rPr>
          <w:color w:val="131727" w:themeColor="text1"/>
          <w:w w:val="105"/>
          <w:sz w:val="16"/>
        </w:rPr>
        <w:t>2024,</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8"/>
          <w:w w:val="105"/>
          <w:sz w:val="16"/>
        </w:rPr>
        <w:t xml:space="preserve"> </w:t>
      </w:r>
      <w:r w:rsidRPr="00FD40B8">
        <w:rPr>
          <w:color w:val="131727" w:themeColor="text1"/>
          <w:w w:val="105"/>
          <w:sz w:val="16"/>
        </w:rPr>
        <w:t>of</w:t>
      </w:r>
      <w:r w:rsidRPr="00FD40B8">
        <w:rPr>
          <w:color w:val="131727" w:themeColor="text1"/>
          <w:spacing w:val="18"/>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National</w:t>
      </w:r>
      <w:r w:rsidRPr="00FD40B8">
        <w:rPr>
          <w:color w:val="131727" w:themeColor="text1"/>
          <w:spacing w:val="14"/>
          <w:w w:val="105"/>
          <w:sz w:val="16"/>
        </w:rPr>
        <w:t xml:space="preserve"> </w:t>
      </w:r>
      <w:r w:rsidRPr="00FD40B8">
        <w:rPr>
          <w:color w:val="131727" w:themeColor="text1"/>
          <w:w w:val="105"/>
          <w:sz w:val="16"/>
        </w:rPr>
        <w:t>Agreement</w:t>
      </w:r>
      <w:r w:rsidRPr="00FD40B8">
        <w:rPr>
          <w:color w:val="131727" w:themeColor="text1"/>
          <w:spacing w:val="16"/>
          <w:w w:val="105"/>
          <w:sz w:val="16"/>
        </w:rPr>
        <w:t xml:space="preserve"> </w:t>
      </w:r>
      <w:r w:rsidRPr="00FD40B8">
        <w:rPr>
          <w:color w:val="131727" w:themeColor="text1"/>
          <w:w w:val="105"/>
          <w:sz w:val="16"/>
        </w:rPr>
        <w:t>on</w:t>
      </w:r>
      <w:r w:rsidRPr="00FD40B8">
        <w:rPr>
          <w:color w:val="131727" w:themeColor="text1"/>
          <w:spacing w:val="21"/>
          <w:w w:val="105"/>
          <w:sz w:val="16"/>
        </w:rPr>
        <w:t xml:space="preserve"> </w:t>
      </w:r>
      <w:r w:rsidRPr="00FD40B8">
        <w:rPr>
          <w:color w:val="131727" w:themeColor="text1"/>
          <w:w w:val="105"/>
          <w:sz w:val="16"/>
        </w:rPr>
        <w:t>Closing</w:t>
      </w:r>
      <w:r w:rsidRPr="00FD40B8">
        <w:rPr>
          <w:color w:val="131727" w:themeColor="text1"/>
          <w:spacing w:val="15"/>
          <w:w w:val="105"/>
          <w:sz w:val="16"/>
        </w:rPr>
        <w:t xml:space="preserve"> </w:t>
      </w:r>
      <w:r w:rsidRPr="00FD40B8">
        <w:rPr>
          <w:color w:val="131727" w:themeColor="text1"/>
          <w:w w:val="105"/>
          <w:sz w:val="16"/>
        </w:rPr>
        <w:t>the</w:t>
      </w:r>
      <w:r w:rsidRPr="00FD40B8">
        <w:rPr>
          <w:color w:val="131727" w:themeColor="text1"/>
          <w:spacing w:val="17"/>
          <w:w w:val="105"/>
          <w:sz w:val="16"/>
        </w:rPr>
        <w:t xml:space="preserve"> </w:t>
      </w:r>
      <w:r w:rsidRPr="00FD40B8">
        <w:rPr>
          <w:color w:val="131727" w:themeColor="text1"/>
          <w:w w:val="105"/>
          <w:sz w:val="16"/>
        </w:rPr>
        <w:t>Gap,</w:t>
      </w:r>
      <w:r w:rsidRPr="00FD40B8">
        <w:rPr>
          <w:color w:val="131727" w:themeColor="text1"/>
          <w:spacing w:val="16"/>
          <w:w w:val="105"/>
          <w:sz w:val="16"/>
        </w:rPr>
        <w:t xml:space="preserve"> </w:t>
      </w:r>
      <w:r w:rsidRPr="00FD40B8">
        <w:rPr>
          <w:color w:val="131727" w:themeColor="text1"/>
          <w:w w:val="105"/>
          <w:sz w:val="16"/>
        </w:rPr>
        <w:t>Study</w:t>
      </w:r>
      <w:r w:rsidRPr="00FD40B8">
        <w:rPr>
          <w:color w:val="131727" w:themeColor="text1"/>
          <w:spacing w:val="17"/>
          <w:w w:val="105"/>
          <w:sz w:val="16"/>
        </w:rPr>
        <w:t xml:space="preserve"> </w:t>
      </w:r>
      <w:r w:rsidRPr="00FD40B8">
        <w:rPr>
          <w:color w:val="131727" w:themeColor="text1"/>
          <w:w w:val="105"/>
          <w:sz w:val="16"/>
        </w:rPr>
        <w:t>report,</w:t>
      </w:r>
      <w:r w:rsidRPr="00FD40B8">
        <w:rPr>
          <w:color w:val="131727" w:themeColor="text1"/>
          <w:spacing w:val="16"/>
          <w:w w:val="105"/>
          <w:sz w:val="16"/>
        </w:rPr>
        <w:t xml:space="preserve"> </w:t>
      </w:r>
      <w:r w:rsidRPr="00FD40B8">
        <w:rPr>
          <w:color w:val="131727" w:themeColor="text1"/>
          <w:w w:val="105"/>
          <w:sz w:val="16"/>
        </w:rPr>
        <w:t>volume</w:t>
      </w:r>
      <w:r w:rsidRPr="00FD40B8">
        <w:rPr>
          <w:color w:val="131727" w:themeColor="text1"/>
          <w:spacing w:val="17"/>
          <w:w w:val="105"/>
          <w:sz w:val="16"/>
        </w:rPr>
        <w:t xml:space="preserve"> </w:t>
      </w:r>
      <w:r w:rsidRPr="00FD40B8">
        <w:rPr>
          <w:color w:val="131727" w:themeColor="text1"/>
          <w:w w:val="105"/>
          <w:sz w:val="16"/>
        </w:rPr>
        <w:t>1,</w:t>
      </w:r>
      <w:r w:rsidRPr="00FD40B8">
        <w:rPr>
          <w:color w:val="131727" w:themeColor="text1"/>
          <w:spacing w:val="16"/>
          <w:w w:val="105"/>
          <w:sz w:val="16"/>
        </w:rPr>
        <w:t xml:space="preserve"> </w:t>
      </w:r>
      <w:r w:rsidRPr="00FD40B8">
        <w:rPr>
          <w:color w:val="131727" w:themeColor="text1"/>
          <w:w w:val="105"/>
          <w:sz w:val="16"/>
        </w:rPr>
        <w:t>Canberra,</w:t>
      </w:r>
      <w:r w:rsidRPr="00FD40B8">
        <w:rPr>
          <w:color w:val="131727" w:themeColor="text1"/>
          <w:spacing w:val="18"/>
          <w:w w:val="105"/>
          <w:sz w:val="16"/>
        </w:rPr>
        <w:t xml:space="preserve"> </w:t>
      </w:r>
      <w:r w:rsidRPr="00FD40B8">
        <w:rPr>
          <w:color w:val="131727" w:themeColor="text1"/>
          <w:spacing w:val="-4"/>
          <w:w w:val="105"/>
          <w:sz w:val="16"/>
        </w:rPr>
        <w:t>p.8.</w:t>
      </w:r>
    </w:p>
    <w:p w14:paraId="37D61BA6" w14:textId="77777777" w:rsidR="00811887" w:rsidRPr="00FD40B8" w:rsidRDefault="00811887" w:rsidP="00811887">
      <w:pPr>
        <w:spacing w:before="23" w:line="266" w:lineRule="auto"/>
        <w:ind w:left="508" w:right="1220"/>
        <w:rPr>
          <w:color w:val="131727" w:themeColor="text1"/>
          <w:sz w:val="16"/>
        </w:rPr>
      </w:pPr>
      <w:bookmarkStart w:id="202" w:name="_bookmark91"/>
      <w:bookmarkEnd w:id="202"/>
      <w:r w:rsidRPr="00FD40B8">
        <w:rPr>
          <w:color w:val="131727" w:themeColor="text1"/>
          <w:w w:val="105"/>
          <w:position w:val="6"/>
          <w:sz w:val="10"/>
        </w:rPr>
        <w:t>79</w:t>
      </w:r>
      <w:r w:rsidRPr="00FD40B8">
        <w:rPr>
          <w:color w:val="131727" w:themeColor="text1"/>
          <w:spacing w:val="40"/>
          <w:w w:val="105"/>
          <w:position w:val="6"/>
          <w:sz w:val="10"/>
        </w:rPr>
        <w:t xml:space="preserve"> </w:t>
      </w:r>
      <w:r w:rsidRPr="00FD40B8">
        <w:rPr>
          <w:color w:val="131727" w:themeColor="text1"/>
          <w:w w:val="105"/>
          <w:sz w:val="16"/>
        </w:rPr>
        <w:t xml:space="preserve">See NIAA website at: </w:t>
      </w:r>
      <w:hyperlink r:id="rId128">
        <w:r w:rsidRPr="00FD40B8">
          <w:rPr>
            <w:color w:val="131727" w:themeColor="text1"/>
            <w:w w:val="105"/>
            <w:sz w:val="16"/>
          </w:rPr>
          <w:t>https://www.niaa.gov.au/indigenous-affairs/grants-and-funding/funding-under-ias/evaluation-work-</w:t>
        </w:r>
      </w:hyperlink>
      <w:r w:rsidRPr="00FD40B8">
        <w:rPr>
          <w:color w:val="131727" w:themeColor="text1"/>
          <w:spacing w:val="40"/>
          <w:w w:val="105"/>
          <w:sz w:val="16"/>
        </w:rPr>
        <w:t xml:space="preserve"> </w:t>
      </w:r>
      <w:hyperlink r:id="rId129">
        <w:r w:rsidRPr="00FD40B8">
          <w:rPr>
            <w:color w:val="131727" w:themeColor="text1"/>
            <w:spacing w:val="-2"/>
            <w:w w:val="105"/>
            <w:sz w:val="16"/>
          </w:rPr>
          <w:t>plan/indigenous-housing-data-mapping-project.</w:t>
        </w:r>
      </w:hyperlink>
    </w:p>
    <w:p w14:paraId="2BEF7597" w14:textId="77777777" w:rsidR="00811887" w:rsidRPr="00FD40B8" w:rsidRDefault="00811887" w:rsidP="00811887">
      <w:pPr>
        <w:spacing w:line="268" w:lineRule="auto"/>
        <w:ind w:left="508" w:right="1089"/>
        <w:rPr>
          <w:color w:val="131727" w:themeColor="text1"/>
          <w:sz w:val="16"/>
        </w:rPr>
      </w:pPr>
      <w:bookmarkStart w:id="203" w:name="_bookmark92"/>
      <w:bookmarkEnd w:id="203"/>
      <w:r w:rsidRPr="00FD40B8">
        <w:rPr>
          <w:color w:val="131727" w:themeColor="text1"/>
          <w:w w:val="105"/>
          <w:position w:val="6"/>
          <w:sz w:val="10"/>
        </w:rPr>
        <w:t>80</w:t>
      </w:r>
      <w:r w:rsidRPr="00FD40B8">
        <w:rPr>
          <w:color w:val="131727" w:themeColor="text1"/>
          <w:spacing w:val="40"/>
          <w:w w:val="105"/>
          <w:position w:val="6"/>
          <w:sz w:val="10"/>
        </w:rPr>
        <w:t xml:space="preserve"> </w:t>
      </w:r>
      <w:r w:rsidRPr="00FD40B8">
        <w:rPr>
          <w:color w:val="131727" w:themeColor="text1"/>
          <w:w w:val="105"/>
          <w:sz w:val="16"/>
        </w:rPr>
        <w:t>Productivity</w:t>
      </w:r>
      <w:r w:rsidRPr="00FD40B8">
        <w:rPr>
          <w:color w:val="131727" w:themeColor="text1"/>
          <w:spacing w:val="29"/>
          <w:w w:val="105"/>
          <w:sz w:val="16"/>
        </w:rPr>
        <w:t xml:space="preserve"> </w:t>
      </w:r>
      <w:r w:rsidRPr="00FD40B8">
        <w:rPr>
          <w:color w:val="131727" w:themeColor="text1"/>
          <w:w w:val="105"/>
          <w:sz w:val="16"/>
        </w:rPr>
        <w:t>Commission</w:t>
      </w:r>
      <w:r w:rsidRPr="00FD40B8">
        <w:rPr>
          <w:color w:val="131727" w:themeColor="text1"/>
          <w:spacing w:val="35"/>
          <w:w w:val="105"/>
          <w:sz w:val="16"/>
        </w:rPr>
        <w:t xml:space="preserve"> </w:t>
      </w:r>
      <w:r w:rsidRPr="00FD40B8">
        <w:rPr>
          <w:color w:val="131727" w:themeColor="text1"/>
          <w:w w:val="105"/>
          <w:sz w:val="16"/>
        </w:rPr>
        <w:t>2022.</w:t>
      </w:r>
      <w:r w:rsidRPr="00FD40B8">
        <w:rPr>
          <w:color w:val="131727" w:themeColor="text1"/>
          <w:spacing w:val="37"/>
          <w:w w:val="105"/>
          <w:sz w:val="16"/>
        </w:rPr>
        <w:t xml:space="preserve"> </w:t>
      </w:r>
      <w:r w:rsidRPr="00FD40B8">
        <w:rPr>
          <w:color w:val="131727" w:themeColor="text1"/>
          <w:w w:val="105"/>
          <w:sz w:val="16"/>
        </w:rPr>
        <w:t>In</w:t>
      </w:r>
      <w:r w:rsidRPr="00FD40B8">
        <w:rPr>
          <w:color w:val="131727" w:themeColor="text1"/>
          <w:spacing w:val="35"/>
          <w:w w:val="105"/>
          <w:sz w:val="16"/>
        </w:rPr>
        <w:t xml:space="preserve"> </w:t>
      </w:r>
      <w:r w:rsidRPr="00FD40B8">
        <w:rPr>
          <w:color w:val="131727" w:themeColor="text1"/>
          <w:w w:val="105"/>
          <w:sz w:val="16"/>
        </w:rPr>
        <w:t>need</w:t>
      </w:r>
      <w:r w:rsidRPr="00FD40B8">
        <w:rPr>
          <w:color w:val="131727" w:themeColor="text1"/>
          <w:spacing w:val="34"/>
          <w:w w:val="105"/>
          <w:sz w:val="16"/>
        </w:rPr>
        <w:t xml:space="preserve"> </w:t>
      </w:r>
      <w:r w:rsidRPr="00FD40B8">
        <w:rPr>
          <w:color w:val="131727" w:themeColor="text1"/>
          <w:w w:val="105"/>
          <w:sz w:val="16"/>
        </w:rPr>
        <w:t>of</w:t>
      </w:r>
      <w:r w:rsidRPr="00FD40B8">
        <w:rPr>
          <w:color w:val="131727" w:themeColor="text1"/>
          <w:spacing w:val="32"/>
          <w:w w:val="105"/>
          <w:sz w:val="16"/>
        </w:rPr>
        <w:t xml:space="preserve"> </w:t>
      </w:r>
      <w:r w:rsidRPr="00FD40B8">
        <w:rPr>
          <w:color w:val="131727" w:themeColor="text1"/>
          <w:w w:val="105"/>
          <w:sz w:val="16"/>
        </w:rPr>
        <w:t>repair:</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30"/>
          <w:w w:val="105"/>
          <w:sz w:val="16"/>
        </w:rPr>
        <w:t xml:space="preserve"> </w:t>
      </w:r>
      <w:r w:rsidRPr="00FD40B8">
        <w:rPr>
          <w:color w:val="131727" w:themeColor="text1"/>
          <w:w w:val="105"/>
          <w:sz w:val="16"/>
        </w:rPr>
        <w:t>National</w:t>
      </w:r>
      <w:r w:rsidRPr="00FD40B8">
        <w:rPr>
          <w:color w:val="131727" w:themeColor="text1"/>
          <w:spacing w:val="27"/>
          <w:w w:val="105"/>
          <w:sz w:val="16"/>
        </w:rPr>
        <w:t xml:space="preserve"> </w:t>
      </w:r>
      <w:r w:rsidRPr="00FD40B8">
        <w:rPr>
          <w:color w:val="131727" w:themeColor="text1"/>
          <w:w w:val="105"/>
          <w:sz w:val="16"/>
        </w:rPr>
        <w:t>Housing</w:t>
      </w:r>
      <w:r w:rsidRPr="00FD40B8">
        <w:rPr>
          <w:color w:val="131727" w:themeColor="text1"/>
          <w:spacing w:val="29"/>
          <w:w w:val="105"/>
          <w:sz w:val="16"/>
        </w:rPr>
        <w:t xml:space="preserve"> </w:t>
      </w:r>
      <w:r w:rsidRPr="00FD40B8">
        <w:rPr>
          <w:color w:val="131727" w:themeColor="text1"/>
          <w:w w:val="105"/>
          <w:sz w:val="16"/>
        </w:rPr>
        <w:t>and</w:t>
      </w:r>
      <w:r w:rsidRPr="00FD40B8">
        <w:rPr>
          <w:color w:val="131727" w:themeColor="text1"/>
          <w:spacing w:val="34"/>
          <w:w w:val="105"/>
          <w:sz w:val="16"/>
        </w:rPr>
        <w:t xml:space="preserve"> </w:t>
      </w:r>
      <w:r w:rsidRPr="00FD40B8">
        <w:rPr>
          <w:color w:val="131727" w:themeColor="text1"/>
          <w:w w:val="105"/>
          <w:sz w:val="16"/>
        </w:rPr>
        <w:t>Homelessness</w:t>
      </w:r>
      <w:r w:rsidRPr="00FD40B8">
        <w:rPr>
          <w:color w:val="131727" w:themeColor="text1"/>
          <w:spacing w:val="29"/>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0"/>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spacing w:val="-2"/>
          <w:w w:val="105"/>
          <w:sz w:val="16"/>
        </w:rPr>
        <w:t>https://view.officeapps.live.com/op/view.aspx?src=https%3A%2F%2Fwww.pc.gov.au%2Finquiries%2Fcompleted%2Fhousing-</w:t>
      </w:r>
      <w:r w:rsidRPr="00FD40B8">
        <w:rPr>
          <w:color w:val="131727" w:themeColor="text1"/>
          <w:spacing w:val="80"/>
          <w:w w:val="105"/>
          <w:sz w:val="16"/>
        </w:rPr>
        <w:t xml:space="preserve">   </w:t>
      </w:r>
      <w:r w:rsidRPr="00FD40B8">
        <w:rPr>
          <w:color w:val="131727" w:themeColor="text1"/>
          <w:spacing w:val="-2"/>
          <w:w w:val="105"/>
          <w:sz w:val="16"/>
        </w:rPr>
        <w:t>homelessness%2Freport%2Fhousing-homelessness-overview.docx&amp;wdOrigin=BROWSELINK</w:t>
      </w:r>
    </w:p>
    <w:p w14:paraId="1C7EE3DF" w14:textId="77777777" w:rsidR="00811887" w:rsidRPr="00FD40B8" w:rsidRDefault="00811887" w:rsidP="00811887">
      <w:pPr>
        <w:spacing w:line="268" w:lineRule="auto"/>
        <w:rPr>
          <w:color w:val="131727" w:themeColor="text1"/>
          <w:sz w:val="16"/>
        </w:rPr>
        <w:sectPr w:rsidR="00811887" w:rsidRPr="00FD40B8" w:rsidSect="00811887">
          <w:pgSz w:w="11910" w:h="16840"/>
          <w:pgMar w:top="1320" w:right="720" w:bottom="1080" w:left="740" w:header="0" w:footer="805" w:gutter="0"/>
          <w:cols w:space="720"/>
        </w:sectPr>
      </w:pPr>
    </w:p>
    <w:p w14:paraId="4AF89676" w14:textId="77777777" w:rsidR="00811887" w:rsidRPr="00FD40B8" w:rsidRDefault="00811887" w:rsidP="00811887">
      <w:pPr>
        <w:pStyle w:val="ListParagraph"/>
        <w:widowControl w:val="0"/>
        <w:numPr>
          <w:ilvl w:val="0"/>
          <w:numId w:val="63"/>
        </w:numPr>
        <w:tabs>
          <w:tab w:val="left" w:pos="1228"/>
        </w:tabs>
        <w:autoSpaceDE w:val="0"/>
        <w:autoSpaceDN w:val="0"/>
        <w:spacing w:before="93" w:after="0" w:line="268" w:lineRule="auto"/>
        <w:ind w:right="1227"/>
        <w:contextualSpacing w:val="0"/>
        <w:rPr>
          <w:color w:val="131727" w:themeColor="text1"/>
          <w:sz w:val="20"/>
        </w:rPr>
      </w:pPr>
      <w:r w:rsidRPr="00FD40B8">
        <w:rPr>
          <w:color w:val="131727" w:themeColor="text1"/>
          <w:w w:val="110"/>
          <w:sz w:val="20"/>
        </w:rPr>
        <w:lastRenderedPageBreak/>
        <w:t>the</w:t>
      </w:r>
      <w:r w:rsidRPr="00FD40B8">
        <w:rPr>
          <w:color w:val="131727" w:themeColor="text1"/>
          <w:spacing w:val="-5"/>
          <w:w w:val="110"/>
          <w:sz w:val="20"/>
        </w:rPr>
        <w:t xml:space="preserve"> </w:t>
      </w:r>
      <w:r w:rsidRPr="00FD40B8">
        <w:rPr>
          <w:color w:val="131727" w:themeColor="text1"/>
          <w:w w:val="110"/>
          <w:sz w:val="20"/>
        </w:rPr>
        <w:t>development</w:t>
      </w:r>
      <w:r w:rsidRPr="00FD40B8">
        <w:rPr>
          <w:color w:val="131727" w:themeColor="text1"/>
          <w:spacing w:val="-9"/>
          <w:w w:val="110"/>
          <w:sz w:val="20"/>
        </w:rPr>
        <w:t xml:space="preserve"> </w:t>
      </w:r>
      <w:r w:rsidRPr="00FD40B8">
        <w:rPr>
          <w:color w:val="131727" w:themeColor="text1"/>
          <w:w w:val="110"/>
          <w:sz w:val="20"/>
        </w:rPr>
        <w:t>of</w:t>
      </w:r>
      <w:r w:rsidRPr="00FD40B8">
        <w:rPr>
          <w:color w:val="131727" w:themeColor="text1"/>
          <w:spacing w:val="-3"/>
          <w:w w:val="110"/>
          <w:sz w:val="20"/>
        </w:rPr>
        <w:t xml:space="preserve"> </w:t>
      </w:r>
      <w:r w:rsidRPr="00FD40B8">
        <w:rPr>
          <w:color w:val="131727" w:themeColor="text1"/>
          <w:w w:val="110"/>
          <w:sz w:val="20"/>
        </w:rPr>
        <w:t>a</w:t>
      </w:r>
      <w:r w:rsidRPr="00FD40B8">
        <w:rPr>
          <w:color w:val="131727" w:themeColor="text1"/>
          <w:spacing w:val="-6"/>
          <w:w w:val="110"/>
          <w:sz w:val="20"/>
        </w:rPr>
        <w:t xml:space="preserve"> </w:t>
      </w:r>
      <w:r w:rsidRPr="00FD40B8">
        <w:rPr>
          <w:color w:val="131727" w:themeColor="text1"/>
          <w:w w:val="110"/>
          <w:sz w:val="20"/>
        </w:rPr>
        <w:t>new</w:t>
      </w:r>
      <w:r w:rsidRPr="00FD40B8">
        <w:rPr>
          <w:color w:val="131727" w:themeColor="text1"/>
          <w:spacing w:val="-11"/>
          <w:w w:val="110"/>
          <w:sz w:val="20"/>
        </w:rPr>
        <w:t xml:space="preserve"> </w:t>
      </w:r>
      <w:r w:rsidRPr="00FD40B8">
        <w:rPr>
          <w:color w:val="131727" w:themeColor="text1"/>
          <w:w w:val="110"/>
          <w:sz w:val="20"/>
        </w:rPr>
        <w:t>performance</w:t>
      </w:r>
      <w:r w:rsidRPr="00FD40B8">
        <w:rPr>
          <w:color w:val="131727" w:themeColor="text1"/>
          <w:spacing w:val="-9"/>
          <w:w w:val="110"/>
          <w:sz w:val="20"/>
        </w:rPr>
        <w:t xml:space="preserve"> </w:t>
      </w:r>
      <w:r w:rsidRPr="00FD40B8">
        <w:rPr>
          <w:color w:val="131727" w:themeColor="text1"/>
          <w:w w:val="110"/>
          <w:sz w:val="20"/>
        </w:rPr>
        <w:t>monitoring</w:t>
      </w:r>
      <w:r w:rsidRPr="00FD40B8">
        <w:rPr>
          <w:color w:val="131727" w:themeColor="text1"/>
          <w:spacing w:val="-5"/>
          <w:w w:val="110"/>
          <w:sz w:val="20"/>
        </w:rPr>
        <w:t xml:space="preserve"> </w:t>
      </w:r>
      <w:r w:rsidRPr="00FD40B8">
        <w:rPr>
          <w:color w:val="131727" w:themeColor="text1"/>
          <w:w w:val="110"/>
          <w:sz w:val="20"/>
        </w:rPr>
        <w:t>and</w:t>
      </w:r>
      <w:r w:rsidRPr="00FD40B8">
        <w:rPr>
          <w:color w:val="131727" w:themeColor="text1"/>
          <w:spacing w:val="-5"/>
          <w:w w:val="110"/>
          <w:sz w:val="20"/>
        </w:rPr>
        <w:t xml:space="preserve"> </w:t>
      </w:r>
      <w:r w:rsidRPr="00FD40B8">
        <w:rPr>
          <w:color w:val="131727" w:themeColor="text1"/>
          <w:w w:val="110"/>
          <w:sz w:val="20"/>
        </w:rPr>
        <w:t>reporting</w:t>
      </w:r>
      <w:r w:rsidRPr="00FD40B8">
        <w:rPr>
          <w:color w:val="131727" w:themeColor="text1"/>
          <w:spacing w:val="-9"/>
          <w:w w:val="110"/>
          <w:sz w:val="20"/>
        </w:rPr>
        <w:t xml:space="preserve"> </w:t>
      </w:r>
      <w:r w:rsidRPr="00FD40B8">
        <w:rPr>
          <w:color w:val="131727" w:themeColor="text1"/>
          <w:w w:val="110"/>
          <w:sz w:val="20"/>
        </w:rPr>
        <w:t>framework</w:t>
      </w:r>
      <w:r w:rsidRPr="00FD40B8">
        <w:rPr>
          <w:color w:val="131727" w:themeColor="text1"/>
          <w:spacing w:val="-7"/>
          <w:w w:val="110"/>
          <w:sz w:val="20"/>
        </w:rPr>
        <w:t xml:space="preserve"> </w:t>
      </w:r>
      <w:r w:rsidRPr="00FD40B8">
        <w:rPr>
          <w:color w:val="131727" w:themeColor="text1"/>
          <w:w w:val="110"/>
          <w:sz w:val="20"/>
        </w:rPr>
        <w:t>with</w:t>
      </w:r>
      <w:r w:rsidRPr="00FD40B8">
        <w:rPr>
          <w:color w:val="131727" w:themeColor="text1"/>
          <w:spacing w:val="-5"/>
          <w:w w:val="110"/>
          <w:sz w:val="20"/>
        </w:rPr>
        <w:t xml:space="preserve"> </w:t>
      </w:r>
      <w:r w:rsidRPr="00FD40B8">
        <w:rPr>
          <w:color w:val="131727" w:themeColor="text1"/>
          <w:w w:val="110"/>
          <w:sz w:val="20"/>
        </w:rPr>
        <w:t>annual reporting against outcomes and performance indicators</w:t>
      </w:r>
    </w:p>
    <w:p w14:paraId="3DB10C67" w14:textId="77777777" w:rsidR="00811887" w:rsidRPr="00FD40B8" w:rsidRDefault="00811887" w:rsidP="00811887">
      <w:pPr>
        <w:pStyle w:val="ListParagraph"/>
        <w:widowControl w:val="0"/>
        <w:numPr>
          <w:ilvl w:val="0"/>
          <w:numId w:val="63"/>
        </w:numPr>
        <w:tabs>
          <w:tab w:val="left" w:pos="1228"/>
        </w:tabs>
        <w:autoSpaceDE w:val="0"/>
        <w:autoSpaceDN w:val="0"/>
        <w:spacing w:before="109" w:after="0" w:line="266" w:lineRule="auto"/>
        <w:ind w:right="587"/>
        <w:contextualSpacing w:val="0"/>
        <w:rPr>
          <w:color w:val="131727" w:themeColor="text1"/>
          <w:sz w:val="20"/>
        </w:rPr>
      </w:pPr>
      <w:r w:rsidRPr="00FD40B8">
        <w:rPr>
          <w:color w:val="131727" w:themeColor="text1"/>
          <w:w w:val="110"/>
          <w:sz w:val="20"/>
        </w:rPr>
        <w:t>a schedule outlining support for Aboriginal and Torres Strait Islander</w:t>
      </w:r>
      <w:r w:rsidRPr="00FD40B8">
        <w:rPr>
          <w:color w:val="131727" w:themeColor="text1"/>
          <w:spacing w:val="-1"/>
          <w:w w:val="110"/>
          <w:sz w:val="20"/>
        </w:rPr>
        <w:t xml:space="preserve"> </w:t>
      </w:r>
      <w:r w:rsidRPr="00FD40B8">
        <w:rPr>
          <w:color w:val="131727" w:themeColor="text1"/>
          <w:w w:val="110"/>
          <w:sz w:val="20"/>
        </w:rPr>
        <w:t xml:space="preserve">housing and homelessness services, including capability building and effective involvement in the co-design of policies and </w:t>
      </w:r>
      <w:r w:rsidRPr="00FD40B8">
        <w:rPr>
          <w:color w:val="131727" w:themeColor="text1"/>
          <w:spacing w:val="-2"/>
          <w:w w:val="110"/>
          <w:sz w:val="20"/>
        </w:rPr>
        <w:t>programs</w:t>
      </w:r>
    </w:p>
    <w:p w14:paraId="4C359599" w14:textId="77777777" w:rsidR="00811887" w:rsidRPr="00FD40B8" w:rsidRDefault="00811887" w:rsidP="00811887">
      <w:pPr>
        <w:pStyle w:val="ListParagraph"/>
        <w:widowControl w:val="0"/>
        <w:numPr>
          <w:ilvl w:val="0"/>
          <w:numId w:val="63"/>
        </w:numPr>
        <w:tabs>
          <w:tab w:val="left" w:pos="1228"/>
        </w:tabs>
        <w:autoSpaceDE w:val="0"/>
        <w:autoSpaceDN w:val="0"/>
        <w:spacing w:before="113" w:after="0" w:line="268" w:lineRule="auto"/>
        <w:ind w:right="743"/>
        <w:contextualSpacing w:val="0"/>
        <w:rPr>
          <w:color w:val="131727" w:themeColor="text1"/>
          <w:sz w:val="20"/>
        </w:rPr>
      </w:pPr>
      <w:r w:rsidRPr="00FD40B8">
        <w:rPr>
          <w:color w:val="131727" w:themeColor="text1"/>
          <w:w w:val="110"/>
          <w:sz w:val="20"/>
        </w:rPr>
        <w:t>decisions</w:t>
      </w:r>
      <w:r w:rsidRPr="00FD40B8">
        <w:rPr>
          <w:color w:val="131727" w:themeColor="text1"/>
          <w:spacing w:val="-1"/>
          <w:w w:val="110"/>
          <w:sz w:val="20"/>
        </w:rPr>
        <w:t xml:space="preserve"> </w:t>
      </w:r>
      <w:r w:rsidRPr="00FD40B8">
        <w:rPr>
          <w:color w:val="131727" w:themeColor="text1"/>
          <w:w w:val="110"/>
          <w:sz w:val="20"/>
        </w:rPr>
        <w:t>on data</w:t>
      </w:r>
      <w:r w:rsidRPr="00FD40B8">
        <w:rPr>
          <w:color w:val="131727" w:themeColor="text1"/>
          <w:spacing w:val="-5"/>
          <w:w w:val="110"/>
          <w:sz w:val="20"/>
        </w:rPr>
        <w:t xml:space="preserve"> </w:t>
      </w:r>
      <w:r w:rsidRPr="00FD40B8">
        <w:rPr>
          <w:color w:val="131727" w:themeColor="text1"/>
          <w:w w:val="110"/>
          <w:sz w:val="20"/>
        </w:rPr>
        <w:t>selection and collection</w:t>
      </w:r>
      <w:r w:rsidRPr="00FD40B8">
        <w:rPr>
          <w:color w:val="131727" w:themeColor="text1"/>
          <w:spacing w:val="-2"/>
          <w:w w:val="110"/>
          <w:sz w:val="20"/>
        </w:rPr>
        <w:t xml:space="preserve"> </w:t>
      </w:r>
      <w:r w:rsidRPr="00FD40B8">
        <w:rPr>
          <w:color w:val="131727" w:themeColor="text1"/>
          <w:w w:val="110"/>
          <w:sz w:val="20"/>
        </w:rPr>
        <w:t>should be</w:t>
      </w:r>
      <w:r w:rsidRPr="00FD40B8">
        <w:rPr>
          <w:color w:val="131727" w:themeColor="text1"/>
          <w:spacing w:val="-2"/>
          <w:w w:val="110"/>
          <w:sz w:val="20"/>
        </w:rPr>
        <w:t xml:space="preserve"> </w:t>
      </w:r>
      <w:r w:rsidRPr="00FD40B8">
        <w:rPr>
          <w:color w:val="131727" w:themeColor="text1"/>
          <w:w w:val="110"/>
          <w:sz w:val="20"/>
        </w:rPr>
        <w:t>led by a proposed National</w:t>
      </w:r>
      <w:r w:rsidRPr="00FD40B8">
        <w:rPr>
          <w:color w:val="131727" w:themeColor="text1"/>
          <w:spacing w:val="-1"/>
          <w:w w:val="110"/>
          <w:sz w:val="20"/>
        </w:rPr>
        <w:t xml:space="preserve"> </w:t>
      </w:r>
      <w:r w:rsidRPr="00FD40B8">
        <w:rPr>
          <w:color w:val="131727" w:themeColor="text1"/>
          <w:w w:val="110"/>
          <w:sz w:val="20"/>
        </w:rPr>
        <w:t>Committee on Aboriginal and Torres Strait Islander Housing</w:t>
      </w:r>
    </w:p>
    <w:p w14:paraId="3EB8E1AE" w14:textId="77777777" w:rsidR="00811887" w:rsidRPr="00FD40B8" w:rsidRDefault="00811887" w:rsidP="00811887">
      <w:pPr>
        <w:pStyle w:val="ListParagraph"/>
        <w:widowControl w:val="0"/>
        <w:numPr>
          <w:ilvl w:val="0"/>
          <w:numId w:val="63"/>
        </w:numPr>
        <w:tabs>
          <w:tab w:val="left" w:pos="1228"/>
        </w:tabs>
        <w:autoSpaceDE w:val="0"/>
        <w:autoSpaceDN w:val="0"/>
        <w:spacing w:before="105" w:after="0" w:line="268" w:lineRule="auto"/>
        <w:ind w:right="1060"/>
        <w:contextualSpacing w:val="0"/>
        <w:rPr>
          <w:color w:val="131727" w:themeColor="text1"/>
          <w:sz w:val="20"/>
        </w:rPr>
      </w:pPr>
      <w:r w:rsidRPr="00FD40B8">
        <w:rPr>
          <w:color w:val="131727" w:themeColor="text1"/>
          <w:w w:val="110"/>
          <w:sz w:val="20"/>
        </w:rPr>
        <w:t>state</w:t>
      </w:r>
      <w:r w:rsidRPr="00FD40B8">
        <w:rPr>
          <w:color w:val="131727" w:themeColor="text1"/>
          <w:spacing w:val="-4"/>
          <w:w w:val="110"/>
          <w:sz w:val="20"/>
        </w:rPr>
        <w:t xml:space="preserve"> </w:t>
      </w:r>
      <w:r w:rsidRPr="00FD40B8">
        <w:rPr>
          <w:color w:val="131727" w:themeColor="text1"/>
          <w:w w:val="110"/>
          <w:sz w:val="20"/>
        </w:rPr>
        <w:t>and</w:t>
      </w:r>
      <w:r w:rsidRPr="00FD40B8">
        <w:rPr>
          <w:color w:val="131727" w:themeColor="text1"/>
          <w:spacing w:val="-7"/>
          <w:w w:val="110"/>
          <w:sz w:val="20"/>
        </w:rPr>
        <w:t xml:space="preserve"> </w:t>
      </w:r>
      <w:r w:rsidRPr="00FD40B8">
        <w:rPr>
          <w:color w:val="131727" w:themeColor="text1"/>
          <w:w w:val="110"/>
          <w:sz w:val="20"/>
        </w:rPr>
        <w:t>territory</w:t>
      </w:r>
      <w:r w:rsidRPr="00FD40B8">
        <w:rPr>
          <w:color w:val="131727" w:themeColor="text1"/>
          <w:spacing w:val="-5"/>
          <w:w w:val="110"/>
          <w:sz w:val="20"/>
        </w:rPr>
        <w:t xml:space="preserve"> </w:t>
      </w:r>
      <w:r w:rsidRPr="00FD40B8">
        <w:rPr>
          <w:color w:val="131727" w:themeColor="text1"/>
          <w:w w:val="110"/>
          <w:sz w:val="20"/>
        </w:rPr>
        <w:t>governments</w:t>
      </w:r>
      <w:r w:rsidRPr="00FD40B8">
        <w:rPr>
          <w:color w:val="131727" w:themeColor="text1"/>
          <w:spacing w:val="-1"/>
          <w:w w:val="110"/>
          <w:sz w:val="20"/>
        </w:rPr>
        <w:t xml:space="preserve"> </w:t>
      </w:r>
      <w:r w:rsidRPr="00FD40B8">
        <w:rPr>
          <w:color w:val="131727" w:themeColor="text1"/>
          <w:w w:val="110"/>
          <w:sz w:val="20"/>
        </w:rPr>
        <w:t>to</w:t>
      </w:r>
      <w:r w:rsidRPr="00FD40B8">
        <w:rPr>
          <w:color w:val="131727" w:themeColor="text1"/>
          <w:spacing w:val="-2"/>
          <w:w w:val="110"/>
          <w:sz w:val="20"/>
        </w:rPr>
        <w:t xml:space="preserve"> </w:t>
      </w:r>
      <w:r w:rsidRPr="00FD40B8">
        <w:rPr>
          <w:color w:val="131727" w:themeColor="text1"/>
          <w:w w:val="110"/>
          <w:sz w:val="20"/>
        </w:rPr>
        <w:t>undertake</w:t>
      </w:r>
      <w:r w:rsidRPr="00FD40B8">
        <w:rPr>
          <w:color w:val="131727" w:themeColor="text1"/>
          <w:spacing w:val="-4"/>
          <w:w w:val="110"/>
          <w:sz w:val="20"/>
        </w:rPr>
        <w:t xml:space="preserve"> </w:t>
      </w:r>
      <w:r w:rsidRPr="00FD40B8">
        <w:rPr>
          <w:color w:val="131727" w:themeColor="text1"/>
          <w:w w:val="110"/>
          <w:sz w:val="20"/>
        </w:rPr>
        <w:t>stock</w:t>
      </w:r>
      <w:r w:rsidRPr="00FD40B8">
        <w:rPr>
          <w:color w:val="131727" w:themeColor="text1"/>
          <w:spacing w:val="-8"/>
          <w:w w:val="110"/>
          <w:sz w:val="20"/>
        </w:rPr>
        <w:t xml:space="preserve"> </w:t>
      </w:r>
      <w:r w:rsidRPr="00FD40B8">
        <w:rPr>
          <w:color w:val="131727" w:themeColor="text1"/>
          <w:w w:val="110"/>
          <w:sz w:val="20"/>
        </w:rPr>
        <w:t>takes of</w:t>
      </w:r>
      <w:r w:rsidRPr="00FD40B8">
        <w:rPr>
          <w:color w:val="131727" w:themeColor="text1"/>
          <w:spacing w:val="-1"/>
          <w:w w:val="110"/>
          <w:sz w:val="20"/>
        </w:rPr>
        <w:t xml:space="preserve"> </w:t>
      </w:r>
      <w:r w:rsidRPr="00FD40B8">
        <w:rPr>
          <w:color w:val="131727" w:themeColor="text1"/>
          <w:w w:val="110"/>
          <w:sz w:val="20"/>
        </w:rPr>
        <w:t>the</w:t>
      </w:r>
      <w:r w:rsidRPr="00FD40B8">
        <w:rPr>
          <w:color w:val="131727" w:themeColor="text1"/>
          <w:spacing w:val="-7"/>
          <w:w w:val="110"/>
          <w:sz w:val="20"/>
        </w:rPr>
        <w:t xml:space="preserve"> </w:t>
      </w:r>
      <w:r w:rsidRPr="00FD40B8">
        <w:rPr>
          <w:color w:val="131727" w:themeColor="text1"/>
          <w:w w:val="110"/>
          <w:sz w:val="20"/>
        </w:rPr>
        <w:t>supply</w:t>
      </w:r>
      <w:r w:rsidRPr="00FD40B8">
        <w:rPr>
          <w:color w:val="131727" w:themeColor="text1"/>
          <w:spacing w:val="-5"/>
          <w:w w:val="110"/>
          <w:sz w:val="20"/>
        </w:rPr>
        <w:t xml:space="preserve"> </w:t>
      </w:r>
      <w:r w:rsidRPr="00FD40B8">
        <w:rPr>
          <w:color w:val="131727" w:themeColor="text1"/>
          <w:w w:val="110"/>
          <w:sz w:val="20"/>
        </w:rPr>
        <w:t>and</w:t>
      </w:r>
      <w:r w:rsidRPr="00FD40B8">
        <w:rPr>
          <w:color w:val="131727" w:themeColor="text1"/>
          <w:spacing w:val="-3"/>
          <w:w w:val="110"/>
          <w:sz w:val="20"/>
        </w:rPr>
        <w:t xml:space="preserve"> </w:t>
      </w:r>
      <w:r w:rsidRPr="00FD40B8">
        <w:rPr>
          <w:color w:val="131727" w:themeColor="text1"/>
          <w:w w:val="110"/>
          <w:sz w:val="20"/>
        </w:rPr>
        <w:t>quality</w:t>
      </w:r>
      <w:r w:rsidRPr="00FD40B8">
        <w:rPr>
          <w:color w:val="131727" w:themeColor="text1"/>
          <w:spacing w:val="-5"/>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social housing for Aboriginal and Torres Strait Islander people and identify unmet housing needs</w:t>
      </w:r>
    </w:p>
    <w:p w14:paraId="55B6948B" w14:textId="77777777" w:rsidR="00811887" w:rsidRPr="00FD40B8" w:rsidRDefault="00811887" w:rsidP="00811887">
      <w:pPr>
        <w:pStyle w:val="ListParagraph"/>
        <w:widowControl w:val="0"/>
        <w:numPr>
          <w:ilvl w:val="0"/>
          <w:numId w:val="63"/>
        </w:numPr>
        <w:tabs>
          <w:tab w:val="left" w:pos="1228"/>
        </w:tabs>
        <w:autoSpaceDE w:val="0"/>
        <w:autoSpaceDN w:val="0"/>
        <w:spacing w:before="110" w:after="0" w:line="254" w:lineRule="auto"/>
        <w:ind w:right="779"/>
        <w:contextualSpacing w:val="0"/>
        <w:rPr>
          <w:color w:val="131727" w:themeColor="text1"/>
          <w:sz w:val="13"/>
        </w:rPr>
      </w:pPr>
      <w:r w:rsidRPr="00FD40B8">
        <w:rPr>
          <w:color w:val="131727" w:themeColor="text1"/>
          <w:w w:val="110"/>
          <w:sz w:val="20"/>
        </w:rPr>
        <w:t>state</w:t>
      </w:r>
      <w:r w:rsidRPr="00FD40B8">
        <w:rPr>
          <w:color w:val="131727" w:themeColor="text1"/>
          <w:spacing w:val="-3"/>
          <w:w w:val="110"/>
          <w:sz w:val="20"/>
        </w:rPr>
        <w:t xml:space="preserve"> </w:t>
      </w:r>
      <w:r w:rsidRPr="00FD40B8">
        <w:rPr>
          <w:color w:val="131727" w:themeColor="text1"/>
          <w:w w:val="110"/>
          <w:sz w:val="20"/>
        </w:rPr>
        <w:t>and</w:t>
      </w:r>
      <w:r w:rsidRPr="00FD40B8">
        <w:rPr>
          <w:color w:val="131727" w:themeColor="text1"/>
          <w:spacing w:val="-7"/>
          <w:w w:val="110"/>
          <w:sz w:val="20"/>
        </w:rPr>
        <w:t xml:space="preserve"> </w:t>
      </w:r>
      <w:r w:rsidRPr="00FD40B8">
        <w:rPr>
          <w:color w:val="131727" w:themeColor="text1"/>
          <w:w w:val="110"/>
          <w:sz w:val="20"/>
        </w:rPr>
        <w:t>territory</w:t>
      </w:r>
      <w:r w:rsidRPr="00FD40B8">
        <w:rPr>
          <w:color w:val="131727" w:themeColor="text1"/>
          <w:spacing w:val="-4"/>
          <w:w w:val="110"/>
          <w:sz w:val="20"/>
        </w:rPr>
        <w:t xml:space="preserve"> </w:t>
      </w:r>
      <w:r w:rsidRPr="00FD40B8">
        <w:rPr>
          <w:color w:val="131727" w:themeColor="text1"/>
          <w:w w:val="110"/>
          <w:sz w:val="20"/>
        </w:rPr>
        <w:t>governments</w:t>
      </w:r>
      <w:r w:rsidRPr="00FD40B8">
        <w:rPr>
          <w:color w:val="131727" w:themeColor="text1"/>
          <w:spacing w:val="-1"/>
          <w:w w:val="110"/>
          <w:sz w:val="20"/>
        </w:rPr>
        <w:t xml:space="preserve"> </w:t>
      </w:r>
      <w:r w:rsidRPr="00FD40B8">
        <w:rPr>
          <w:color w:val="131727" w:themeColor="text1"/>
          <w:w w:val="110"/>
          <w:sz w:val="20"/>
        </w:rPr>
        <w:t>to</w:t>
      </w:r>
      <w:r w:rsidRPr="00FD40B8">
        <w:rPr>
          <w:color w:val="131727" w:themeColor="text1"/>
          <w:spacing w:val="-2"/>
          <w:w w:val="110"/>
          <w:sz w:val="20"/>
        </w:rPr>
        <w:t xml:space="preserve"> </w:t>
      </w:r>
      <w:r w:rsidRPr="00FD40B8">
        <w:rPr>
          <w:color w:val="131727" w:themeColor="text1"/>
          <w:w w:val="110"/>
          <w:sz w:val="20"/>
        </w:rPr>
        <w:t>work</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6"/>
          <w:w w:val="110"/>
          <w:sz w:val="20"/>
        </w:rPr>
        <w:t xml:space="preserve"> </w:t>
      </w:r>
      <w:r w:rsidRPr="00FD40B8">
        <w:rPr>
          <w:color w:val="131727" w:themeColor="text1"/>
          <w:w w:val="110"/>
          <w:sz w:val="20"/>
        </w:rPr>
        <w:t>partnership</w:t>
      </w:r>
      <w:r w:rsidRPr="00FD40B8">
        <w:rPr>
          <w:color w:val="131727" w:themeColor="text1"/>
          <w:spacing w:val="-7"/>
          <w:w w:val="110"/>
          <w:sz w:val="20"/>
        </w:rPr>
        <w:t xml:space="preserve"> </w:t>
      </w:r>
      <w:r w:rsidRPr="00FD40B8">
        <w:rPr>
          <w:color w:val="131727" w:themeColor="text1"/>
          <w:w w:val="110"/>
          <w:sz w:val="20"/>
        </w:rPr>
        <w:t>with</w:t>
      </w:r>
      <w:r w:rsidRPr="00FD40B8">
        <w:rPr>
          <w:color w:val="131727" w:themeColor="text1"/>
          <w:spacing w:val="-2"/>
          <w:w w:val="110"/>
          <w:sz w:val="20"/>
        </w:rPr>
        <w:t xml:space="preserve"> </w:t>
      </w:r>
      <w:r w:rsidRPr="00FD40B8">
        <w:rPr>
          <w:color w:val="131727" w:themeColor="text1"/>
          <w:w w:val="110"/>
          <w:sz w:val="20"/>
        </w:rPr>
        <w:t>the</w:t>
      </w:r>
      <w:r w:rsidRPr="00FD40B8">
        <w:rPr>
          <w:color w:val="131727" w:themeColor="text1"/>
          <w:spacing w:val="-2"/>
          <w:w w:val="110"/>
          <w:sz w:val="20"/>
        </w:rPr>
        <w:t xml:space="preserve"> </w:t>
      </w:r>
      <w:r w:rsidRPr="00FD40B8">
        <w:rPr>
          <w:color w:val="131727" w:themeColor="text1"/>
          <w:w w:val="110"/>
          <w:sz w:val="20"/>
        </w:rPr>
        <w:t>proposed</w:t>
      </w:r>
      <w:r w:rsidRPr="00FD40B8">
        <w:rPr>
          <w:color w:val="131727" w:themeColor="text1"/>
          <w:spacing w:val="-7"/>
          <w:w w:val="110"/>
          <w:sz w:val="20"/>
        </w:rPr>
        <w:t xml:space="preserve"> </w:t>
      </w:r>
      <w:r w:rsidRPr="00FD40B8">
        <w:rPr>
          <w:color w:val="131727" w:themeColor="text1"/>
          <w:w w:val="110"/>
          <w:sz w:val="20"/>
        </w:rPr>
        <w:t>Committee</w:t>
      </w:r>
      <w:r w:rsidRPr="00FD40B8">
        <w:rPr>
          <w:color w:val="131727" w:themeColor="text1"/>
          <w:spacing w:val="-2"/>
          <w:w w:val="110"/>
          <w:sz w:val="20"/>
        </w:rPr>
        <w:t xml:space="preserve"> </w:t>
      </w:r>
      <w:r w:rsidRPr="00FD40B8">
        <w:rPr>
          <w:color w:val="131727" w:themeColor="text1"/>
          <w:w w:val="110"/>
          <w:sz w:val="20"/>
        </w:rPr>
        <w:t>to</w:t>
      </w:r>
      <w:r w:rsidRPr="00FD40B8">
        <w:rPr>
          <w:color w:val="131727" w:themeColor="text1"/>
          <w:spacing w:val="-6"/>
          <w:w w:val="110"/>
          <w:sz w:val="20"/>
        </w:rPr>
        <w:t xml:space="preserve"> </w:t>
      </w:r>
      <w:r w:rsidRPr="00FD40B8">
        <w:rPr>
          <w:color w:val="131727" w:themeColor="text1"/>
          <w:w w:val="110"/>
          <w:sz w:val="20"/>
        </w:rPr>
        <w:t>agree on indicators and targets for the next NHHA</w:t>
      </w:r>
      <w:hyperlink w:anchor="_bookmark93" w:history="1">
        <w:r w:rsidRPr="00FD40B8">
          <w:rPr>
            <w:color w:val="131727" w:themeColor="text1"/>
            <w:w w:val="110"/>
            <w:sz w:val="20"/>
          </w:rPr>
          <w:t>.</w:t>
        </w:r>
        <w:r w:rsidRPr="00FD40B8">
          <w:rPr>
            <w:color w:val="131727" w:themeColor="text1"/>
            <w:w w:val="110"/>
            <w:position w:val="8"/>
            <w:sz w:val="13"/>
          </w:rPr>
          <w:t>81</w:t>
        </w:r>
      </w:hyperlink>
    </w:p>
    <w:p w14:paraId="586D8B83" w14:textId="77777777" w:rsidR="00811887" w:rsidRPr="00FD40B8" w:rsidRDefault="00811887" w:rsidP="00811887">
      <w:pPr>
        <w:pStyle w:val="BodyText"/>
        <w:spacing w:before="131" w:line="264" w:lineRule="auto"/>
        <w:ind w:left="508" w:right="598"/>
        <w:rPr>
          <w:color w:val="131727" w:themeColor="text1"/>
          <w:sz w:val="13"/>
        </w:rPr>
      </w:pPr>
      <w:r w:rsidRPr="00FD40B8">
        <w:rPr>
          <w:color w:val="131727" w:themeColor="text1"/>
          <w:w w:val="110"/>
        </w:rPr>
        <w:t>The</w:t>
      </w:r>
      <w:r w:rsidRPr="00FD40B8">
        <w:rPr>
          <w:color w:val="131727" w:themeColor="text1"/>
          <w:spacing w:val="-9"/>
          <w:w w:val="110"/>
        </w:rPr>
        <w:t xml:space="preserve"> </w:t>
      </w:r>
      <w:r w:rsidRPr="00FD40B8">
        <w:rPr>
          <w:color w:val="131727" w:themeColor="text1"/>
          <w:w w:val="110"/>
        </w:rPr>
        <w:t>PC</w:t>
      </w:r>
      <w:r w:rsidRPr="00FD40B8">
        <w:rPr>
          <w:color w:val="131727" w:themeColor="text1"/>
          <w:spacing w:val="-5"/>
          <w:w w:val="110"/>
        </w:rPr>
        <w:t xml:space="preserve"> </w:t>
      </w:r>
      <w:r w:rsidRPr="00FD40B8">
        <w:rPr>
          <w:color w:val="131727" w:themeColor="text1"/>
          <w:w w:val="110"/>
        </w:rPr>
        <w:t>review,</w:t>
      </w:r>
      <w:r w:rsidRPr="00FD40B8">
        <w:rPr>
          <w:color w:val="131727" w:themeColor="text1"/>
          <w:spacing w:val="-5"/>
          <w:w w:val="110"/>
        </w:rPr>
        <w:t xml:space="preserve"> </w:t>
      </w:r>
      <w:r w:rsidRPr="00FD40B8">
        <w:rPr>
          <w:color w:val="131727" w:themeColor="text1"/>
          <w:w w:val="110"/>
        </w:rPr>
        <w:t>along</w:t>
      </w:r>
      <w:r w:rsidRPr="00FD40B8">
        <w:rPr>
          <w:color w:val="131727" w:themeColor="text1"/>
          <w:spacing w:val="-5"/>
          <w:w w:val="110"/>
        </w:rPr>
        <w:t xml:space="preserve"> </w:t>
      </w:r>
      <w:r w:rsidRPr="00FD40B8">
        <w:rPr>
          <w:color w:val="131727" w:themeColor="text1"/>
          <w:w w:val="110"/>
        </w:rPr>
        <w:t>with</w:t>
      </w:r>
      <w:r w:rsidRPr="00FD40B8">
        <w:rPr>
          <w:color w:val="131727" w:themeColor="text1"/>
          <w:spacing w:val="-9"/>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Coalition</w:t>
      </w:r>
      <w:r w:rsidRPr="00FD40B8">
        <w:rPr>
          <w:color w:val="131727" w:themeColor="text1"/>
          <w:spacing w:val="-4"/>
          <w:w w:val="110"/>
        </w:rPr>
        <w:t xml:space="preserve"> </w:t>
      </w:r>
      <w:r w:rsidRPr="00FD40B8">
        <w:rPr>
          <w:color w:val="131727" w:themeColor="text1"/>
          <w:w w:val="110"/>
        </w:rPr>
        <w:t>of</w:t>
      </w:r>
      <w:r w:rsidRPr="00FD40B8">
        <w:rPr>
          <w:color w:val="131727" w:themeColor="text1"/>
          <w:spacing w:val="-8"/>
          <w:w w:val="110"/>
        </w:rPr>
        <w:t xml:space="preserve"> </w:t>
      </w:r>
      <w:r w:rsidRPr="00FD40B8">
        <w:rPr>
          <w:color w:val="131727" w:themeColor="text1"/>
          <w:w w:val="110"/>
        </w:rPr>
        <w:t>Peaks,</w:t>
      </w:r>
      <w:r w:rsidRPr="00FD40B8">
        <w:rPr>
          <w:color w:val="131727" w:themeColor="text1"/>
          <w:spacing w:val="-9"/>
          <w:w w:val="110"/>
        </w:rPr>
        <w:t xml:space="preserve"> </w:t>
      </w:r>
      <w:r w:rsidRPr="00FD40B8">
        <w:rPr>
          <w:color w:val="131727" w:themeColor="text1"/>
          <w:w w:val="110"/>
        </w:rPr>
        <w:t>NATSIHA,</w:t>
      </w:r>
      <w:r w:rsidRPr="00FD40B8">
        <w:rPr>
          <w:color w:val="131727" w:themeColor="text1"/>
          <w:spacing w:val="-5"/>
          <w:w w:val="110"/>
        </w:rPr>
        <w:t xml:space="preserve"> </w:t>
      </w:r>
      <w:r w:rsidRPr="00FD40B8">
        <w:rPr>
          <w:color w:val="131727" w:themeColor="text1"/>
          <w:w w:val="110"/>
        </w:rPr>
        <w:t>NACCHO</w:t>
      </w:r>
      <w:r w:rsidRPr="00FD40B8">
        <w:rPr>
          <w:color w:val="131727" w:themeColor="text1"/>
          <w:spacing w:val="-5"/>
          <w:w w:val="110"/>
        </w:rPr>
        <w:t xml:space="preserve"> </w:t>
      </w:r>
      <w:r w:rsidRPr="00FD40B8">
        <w:rPr>
          <w:color w:val="131727" w:themeColor="text1"/>
          <w:w w:val="110"/>
        </w:rPr>
        <w:t>and</w:t>
      </w:r>
      <w:r w:rsidRPr="00FD40B8">
        <w:rPr>
          <w:color w:val="131727" w:themeColor="text1"/>
          <w:spacing w:val="-5"/>
          <w:w w:val="110"/>
        </w:rPr>
        <w:t xml:space="preserve"> </w:t>
      </w:r>
      <w:r w:rsidRPr="00FD40B8">
        <w:rPr>
          <w:color w:val="131727" w:themeColor="text1"/>
          <w:w w:val="110"/>
        </w:rPr>
        <w:t>many</w:t>
      </w:r>
      <w:r w:rsidRPr="00FD40B8">
        <w:rPr>
          <w:color w:val="131727" w:themeColor="text1"/>
          <w:spacing w:val="-6"/>
          <w:w w:val="110"/>
        </w:rPr>
        <w:t xml:space="preserve"> </w:t>
      </w:r>
      <w:r w:rsidRPr="00FD40B8">
        <w:rPr>
          <w:color w:val="131727" w:themeColor="text1"/>
          <w:w w:val="110"/>
        </w:rPr>
        <w:t>Aboriginal</w:t>
      </w:r>
      <w:r w:rsidRPr="00FD40B8">
        <w:rPr>
          <w:color w:val="131727" w:themeColor="text1"/>
          <w:spacing w:val="-8"/>
          <w:w w:val="110"/>
        </w:rPr>
        <w:t xml:space="preserve"> </w:t>
      </w:r>
      <w:r w:rsidRPr="00FD40B8">
        <w:rPr>
          <w:color w:val="131727" w:themeColor="text1"/>
          <w:w w:val="110"/>
        </w:rPr>
        <w:t>community- controlled organisations also recommended that the next NHHA embed the National Agreement on Closing the Gap, including aligning it with Closing the Gap Agreement’s housing and infrastructure outcome and targets and Priority Reform Four</w:t>
      </w:r>
      <w:hyperlink w:anchor="_bookmark94" w:history="1">
        <w:r w:rsidRPr="00FD40B8">
          <w:rPr>
            <w:color w:val="131727" w:themeColor="text1"/>
            <w:w w:val="110"/>
          </w:rPr>
          <w:t>.</w:t>
        </w:r>
        <w:r w:rsidRPr="00FD40B8">
          <w:rPr>
            <w:color w:val="131727" w:themeColor="text1"/>
            <w:w w:val="110"/>
            <w:position w:val="8"/>
            <w:sz w:val="13"/>
          </w:rPr>
          <w:t>82</w:t>
        </w:r>
      </w:hyperlink>
    </w:p>
    <w:p w14:paraId="7D8DF375" w14:textId="77777777" w:rsidR="00811887" w:rsidRPr="00FD40B8" w:rsidRDefault="00811887" w:rsidP="00811887">
      <w:pPr>
        <w:pStyle w:val="BodyText"/>
        <w:rPr>
          <w:color w:val="131727" w:themeColor="text1"/>
        </w:rPr>
      </w:pPr>
    </w:p>
    <w:p w14:paraId="49C1CBA9" w14:textId="77777777" w:rsidR="00811887" w:rsidRPr="00FD40B8" w:rsidRDefault="00811887" w:rsidP="00811887">
      <w:pPr>
        <w:pStyle w:val="BodyText"/>
        <w:rPr>
          <w:color w:val="131727" w:themeColor="text1"/>
        </w:rPr>
      </w:pPr>
    </w:p>
    <w:p w14:paraId="2AAEEB7C" w14:textId="77777777" w:rsidR="00811887" w:rsidRPr="00FD40B8" w:rsidRDefault="00811887" w:rsidP="00811887">
      <w:pPr>
        <w:pStyle w:val="BodyText"/>
        <w:rPr>
          <w:color w:val="131727" w:themeColor="text1"/>
        </w:rPr>
      </w:pPr>
    </w:p>
    <w:p w14:paraId="138CCCC4" w14:textId="77777777" w:rsidR="00811887" w:rsidRPr="00FD40B8" w:rsidRDefault="00811887" w:rsidP="00811887">
      <w:pPr>
        <w:pStyle w:val="BodyText"/>
        <w:rPr>
          <w:color w:val="131727" w:themeColor="text1"/>
        </w:rPr>
      </w:pPr>
    </w:p>
    <w:p w14:paraId="1B983114" w14:textId="77777777" w:rsidR="00811887" w:rsidRPr="00FD40B8" w:rsidRDefault="00811887" w:rsidP="00811887">
      <w:pPr>
        <w:pStyle w:val="BodyText"/>
        <w:rPr>
          <w:color w:val="131727" w:themeColor="text1"/>
        </w:rPr>
      </w:pPr>
    </w:p>
    <w:p w14:paraId="389F96BF" w14:textId="77777777" w:rsidR="00811887" w:rsidRPr="00FD40B8" w:rsidRDefault="00811887" w:rsidP="00811887">
      <w:pPr>
        <w:pStyle w:val="BodyText"/>
        <w:rPr>
          <w:color w:val="131727" w:themeColor="text1"/>
        </w:rPr>
      </w:pPr>
    </w:p>
    <w:p w14:paraId="5D66E5FE" w14:textId="77777777" w:rsidR="00811887" w:rsidRPr="00FD40B8" w:rsidRDefault="00811887" w:rsidP="00811887">
      <w:pPr>
        <w:pStyle w:val="BodyText"/>
        <w:rPr>
          <w:color w:val="131727" w:themeColor="text1"/>
        </w:rPr>
      </w:pPr>
    </w:p>
    <w:p w14:paraId="4F921B7D" w14:textId="77777777" w:rsidR="00811887" w:rsidRPr="00FD40B8" w:rsidRDefault="00811887" w:rsidP="00811887">
      <w:pPr>
        <w:pStyle w:val="BodyText"/>
        <w:rPr>
          <w:color w:val="131727" w:themeColor="text1"/>
        </w:rPr>
      </w:pPr>
    </w:p>
    <w:p w14:paraId="33355890" w14:textId="77777777" w:rsidR="00811887" w:rsidRPr="00FD40B8" w:rsidRDefault="00811887" w:rsidP="00811887">
      <w:pPr>
        <w:pStyle w:val="BodyText"/>
        <w:rPr>
          <w:color w:val="131727" w:themeColor="text1"/>
        </w:rPr>
      </w:pPr>
    </w:p>
    <w:p w14:paraId="20935119" w14:textId="77777777" w:rsidR="00811887" w:rsidRPr="00FD40B8" w:rsidRDefault="00811887" w:rsidP="00811887">
      <w:pPr>
        <w:pStyle w:val="BodyText"/>
        <w:rPr>
          <w:color w:val="131727" w:themeColor="text1"/>
        </w:rPr>
      </w:pPr>
    </w:p>
    <w:p w14:paraId="4E9AFC2E" w14:textId="77777777" w:rsidR="00811887" w:rsidRPr="00FD40B8" w:rsidRDefault="00811887" w:rsidP="00811887">
      <w:pPr>
        <w:pStyle w:val="BodyText"/>
        <w:rPr>
          <w:color w:val="131727" w:themeColor="text1"/>
        </w:rPr>
      </w:pPr>
    </w:p>
    <w:p w14:paraId="2AC95138" w14:textId="77777777" w:rsidR="00811887" w:rsidRPr="00FD40B8" w:rsidRDefault="00811887" w:rsidP="00811887">
      <w:pPr>
        <w:pStyle w:val="BodyText"/>
        <w:rPr>
          <w:color w:val="131727" w:themeColor="text1"/>
        </w:rPr>
      </w:pPr>
    </w:p>
    <w:p w14:paraId="083DA963" w14:textId="77777777" w:rsidR="00811887" w:rsidRPr="00FD40B8" w:rsidRDefault="00811887" w:rsidP="00811887">
      <w:pPr>
        <w:pStyle w:val="BodyText"/>
        <w:rPr>
          <w:color w:val="131727" w:themeColor="text1"/>
        </w:rPr>
      </w:pPr>
    </w:p>
    <w:p w14:paraId="4097FEDA" w14:textId="77777777" w:rsidR="00811887" w:rsidRPr="00FD40B8" w:rsidRDefault="00811887" w:rsidP="00811887">
      <w:pPr>
        <w:pStyle w:val="BodyText"/>
        <w:rPr>
          <w:color w:val="131727" w:themeColor="text1"/>
        </w:rPr>
      </w:pPr>
    </w:p>
    <w:p w14:paraId="2218BA67" w14:textId="77777777" w:rsidR="00811887" w:rsidRPr="00FD40B8" w:rsidRDefault="00811887" w:rsidP="00811887">
      <w:pPr>
        <w:pStyle w:val="BodyText"/>
        <w:rPr>
          <w:color w:val="131727" w:themeColor="text1"/>
        </w:rPr>
      </w:pPr>
    </w:p>
    <w:p w14:paraId="29B3C6A7" w14:textId="77777777" w:rsidR="00811887" w:rsidRPr="00FD40B8" w:rsidRDefault="00811887" w:rsidP="00811887">
      <w:pPr>
        <w:pStyle w:val="BodyText"/>
        <w:rPr>
          <w:color w:val="131727" w:themeColor="text1"/>
        </w:rPr>
      </w:pPr>
    </w:p>
    <w:p w14:paraId="70D8C836" w14:textId="77777777" w:rsidR="00811887" w:rsidRPr="00FD40B8" w:rsidRDefault="00811887" w:rsidP="00811887">
      <w:pPr>
        <w:pStyle w:val="BodyText"/>
        <w:rPr>
          <w:color w:val="131727" w:themeColor="text1"/>
        </w:rPr>
      </w:pPr>
    </w:p>
    <w:p w14:paraId="4785ADC3" w14:textId="77777777" w:rsidR="00811887" w:rsidRPr="00FD40B8" w:rsidRDefault="00811887" w:rsidP="00811887">
      <w:pPr>
        <w:pStyle w:val="BodyText"/>
        <w:rPr>
          <w:color w:val="131727" w:themeColor="text1"/>
        </w:rPr>
      </w:pPr>
    </w:p>
    <w:p w14:paraId="6E67EC47" w14:textId="77777777" w:rsidR="00811887" w:rsidRPr="00FD40B8" w:rsidRDefault="00811887" w:rsidP="00811887">
      <w:pPr>
        <w:pStyle w:val="BodyText"/>
        <w:rPr>
          <w:color w:val="131727" w:themeColor="text1"/>
        </w:rPr>
      </w:pPr>
    </w:p>
    <w:p w14:paraId="23E042DA" w14:textId="77777777" w:rsidR="00811887" w:rsidRPr="00FD40B8" w:rsidRDefault="00811887" w:rsidP="00811887">
      <w:pPr>
        <w:pStyle w:val="BodyText"/>
        <w:rPr>
          <w:color w:val="131727" w:themeColor="text1"/>
        </w:rPr>
      </w:pPr>
    </w:p>
    <w:p w14:paraId="6D715DC4" w14:textId="77777777" w:rsidR="00811887" w:rsidRPr="00FD40B8" w:rsidRDefault="00811887" w:rsidP="00811887">
      <w:pPr>
        <w:pStyle w:val="BodyText"/>
        <w:rPr>
          <w:color w:val="131727" w:themeColor="text1"/>
        </w:rPr>
      </w:pPr>
    </w:p>
    <w:p w14:paraId="3127075D" w14:textId="77777777" w:rsidR="00811887" w:rsidRPr="00FD40B8" w:rsidRDefault="00811887" w:rsidP="00811887">
      <w:pPr>
        <w:pStyle w:val="BodyText"/>
        <w:rPr>
          <w:color w:val="131727" w:themeColor="text1"/>
        </w:rPr>
      </w:pPr>
    </w:p>
    <w:p w14:paraId="415248A3" w14:textId="77777777" w:rsidR="00811887" w:rsidRPr="00FD40B8" w:rsidRDefault="00811887" w:rsidP="00811887">
      <w:pPr>
        <w:pStyle w:val="BodyText"/>
        <w:rPr>
          <w:color w:val="131727" w:themeColor="text1"/>
        </w:rPr>
      </w:pPr>
    </w:p>
    <w:p w14:paraId="0CB9647E" w14:textId="77777777" w:rsidR="00811887" w:rsidRPr="00FD40B8" w:rsidRDefault="00811887" w:rsidP="00811887">
      <w:pPr>
        <w:pStyle w:val="BodyText"/>
        <w:rPr>
          <w:color w:val="131727" w:themeColor="text1"/>
        </w:rPr>
      </w:pPr>
    </w:p>
    <w:p w14:paraId="3F50EFFE" w14:textId="77777777" w:rsidR="00811887" w:rsidRPr="00FD40B8" w:rsidRDefault="00811887" w:rsidP="00811887">
      <w:pPr>
        <w:pStyle w:val="BodyText"/>
        <w:rPr>
          <w:color w:val="131727" w:themeColor="text1"/>
        </w:rPr>
      </w:pPr>
    </w:p>
    <w:p w14:paraId="1F13C249" w14:textId="77777777" w:rsidR="00811887" w:rsidRPr="00FD40B8" w:rsidRDefault="00811887" w:rsidP="00811887">
      <w:pPr>
        <w:pStyle w:val="BodyText"/>
        <w:rPr>
          <w:color w:val="131727" w:themeColor="text1"/>
        </w:rPr>
      </w:pPr>
    </w:p>
    <w:p w14:paraId="54112A48" w14:textId="77777777" w:rsidR="00811887" w:rsidRPr="00FD40B8" w:rsidRDefault="00811887" w:rsidP="00811887">
      <w:pPr>
        <w:pStyle w:val="BodyText"/>
        <w:rPr>
          <w:color w:val="131727" w:themeColor="text1"/>
        </w:rPr>
      </w:pPr>
    </w:p>
    <w:p w14:paraId="318FFC1A" w14:textId="77777777" w:rsidR="00811887" w:rsidRPr="00FD40B8" w:rsidRDefault="00811887" w:rsidP="00811887">
      <w:pPr>
        <w:pStyle w:val="BodyText"/>
        <w:rPr>
          <w:color w:val="131727" w:themeColor="text1"/>
        </w:rPr>
      </w:pPr>
    </w:p>
    <w:p w14:paraId="7BC73327" w14:textId="77777777" w:rsidR="00811887" w:rsidRPr="00FD40B8" w:rsidRDefault="00811887" w:rsidP="00811887">
      <w:pPr>
        <w:pStyle w:val="BodyText"/>
        <w:rPr>
          <w:color w:val="131727" w:themeColor="text1"/>
        </w:rPr>
      </w:pPr>
    </w:p>
    <w:p w14:paraId="24026AD6" w14:textId="77777777" w:rsidR="00811887" w:rsidRPr="00FD40B8" w:rsidRDefault="00811887" w:rsidP="00811887">
      <w:pPr>
        <w:pStyle w:val="BodyText"/>
        <w:rPr>
          <w:color w:val="131727" w:themeColor="text1"/>
        </w:rPr>
      </w:pPr>
    </w:p>
    <w:p w14:paraId="0BC95D66" w14:textId="77777777" w:rsidR="00811887" w:rsidRPr="00FD40B8" w:rsidRDefault="00811887" w:rsidP="00811887">
      <w:pPr>
        <w:pStyle w:val="BodyText"/>
        <w:rPr>
          <w:color w:val="131727" w:themeColor="text1"/>
        </w:rPr>
      </w:pPr>
    </w:p>
    <w:p w14:paraId="4710DABC" w14:textId="77777777" w:rsidR="00811887" w:rsidRPr="00FD40B8" w:rsidRDefault="00811887" w:rsidP="00811887">
      <w:pPr>
        <w:pStyle w:val="BodyText"/>
        <w:rPr>
          <w:color w:val="131727" w:themeColor="text1"/>
        </w:rPr>
      </w:pPr>
    </w:p>
    <w:p w14:paraId="6CA43F7A" w14:textId="77777777" w:rsidR="00811887" w:rsidRPr="00FD40B8" w:rsidRDefault="00811887" w:rsidP="00811887">
      <w:pPr>
        <w:pStyle w:val="BodyText"/>
        <w:rPr>
          <w:color w:val="131727" w:themeColor="text1"/>
        </w:rPr>
      </w:pPr>
    </w:p>
    <w:p w14:paraId="74241BB6" w14:textId="77777777" w:rsidR="00811887" w:rsidRPr="00FD40B8" w:rsidRDefault="00811887" w:rsidP="00811887">
      <w:pPr>
        <w:pStyle w:val="BodyText"/>
        <w:rPr>
          <w:color w:val="131727" w:themeColor="text1"/>
        </w:rPr>
      </w:pPr>
    </w:p>
    <w:p w14:paraId="284800A4" w14:textId="77777777" w:rsidR="00811887" w:rsidRPr="00FD40B8" w:rsidRDefault="00811887" w:rsidP="00811887">
      <w:pPr>
        <w:pStyle w:val="BodyText"/>
        <w:spacing w:before="175"/>
        <w:rPr>
          <w:color w:val="131727" w:themeColor="text1"/>
        </w:rPr>
      </w:pPr>
      <w:r w:rsidRPr="00FD40B8">
        <w:rPr>
          <w:noProof/>
          <w:color w:val="131727" w:themeColor="text1"/>
        </w:rPr>
        <mc:AlternateContent>
          <mc:Choice Requires="wps">
            <w:drawing>
              <wp:anchor distT="0" distB="0" distL="0" distR="0" simplePos="0" relativeHeight="251759616" behindDoc="1" locked="0" layoutInCell="1" allowOverlap="1" wp14:anchorId="462F60BD" wp14:editId="229F0143">
                <wp:simplePos x="0" y="0"/>
                <wp:positionH relativeFrom="page">
                  <wp:posOffset>792784</wp:posOffset>
                </wp:positionH>
                <wp:positionV relativeFrom="paragraph">
                  <wp:posOffset>281902</wp:posOffset>
                </wp:positionV>
                <wp:extent cx="1830070" cy="6350"/>
                <wp:effectExtent l="0" t="0" r="0" b="0"/>
                <wp:wrapTopAndBottom/>
                <wp:docPr id="190" name="Graphic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34833" id="Graphic 190" o:spid="_x0000_s1026" alt="&quot;&quot;" style="position:absolute;margin-left:62.4pt;margin-top:22.2pt;width:144.1pt;height:.5pt;z-index:-25155686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" path="m1829689,l,,,6095r1829689,l1829689,xe" fillcolor="black" stroked="f">
                <v:path arrowok="t"/>
                <w10:wrap type="topAndBottom" anchorx="page"/>
              </v:shape>
            </w:pict>
          </mc:Fallback>
        </mc:AlternateContent>
      </w:r>
    </w:p>
    <w:p w14:paraId="6D4D603A" w14:textId="77777777" w:rsidR="00811887" w:rsidRPr="00FD40B8" w:rsidRDefault="00811887" w:rsidP="00811887">
      <w:pPr>
        <w:spacing w:before="123"/>
        <w:ind w:left="508"/>
        <w:rPr>
          <w:color w:val="131727" w:themeColor="text1"/>
          <w:sz w:val="16"/>
        </w:rPr>
      </w:pPr>
      <w:bookmarkStart w:id="204" w:name="_bookmark93"/>
      <w:bookmarkEnd w:id="204"/>
      <w:r w:rsidRPr="00FD40B8">
        <w:rPr>
          <w:color w:val="131727" w:themeColor="text1"/>
          <w:w w:val="110"/>
          <w:position w:val="6"/>
          <w:sz w:val="10"/>
        </w:rPr>
        <w:t>81</w:t>
      </w:r>
      <w:r w:rsidRPr="00FD40B8">
        <w:rPr>
          <w:color w:val="131727" w:themeColor="text1"/>
          <w:spacing w:val="11"/>
          <w:w w:val="110"/>
          <w:position w:val="6"/>
          <w:sz w:val="10"/>
        </w:rPr>
        <w:t xml:space="preserve"> </w:t>
      </w:r>
      <w:r w:rsidRPr="00FD40B8">
        <w:rPr>
          <w:color w:val="131727" w:themeColor="text1"/>
          <w:w w:val="110"/>
          <w:sz w:val="16"/>
        </w:rPr>
        <w:t>Productivity</w:t>
      </w:r>
      <w:r w:rsidRPr="00FD40B8">
        <w:rPr>
          <w:color w:val="131727" w:themeColor="text1"/>
          <w:spacing w:val="-5"/>
          <w:w w:val="110"/>
          <w:sz w:val="16"/>
        </w:rPr>
        <w:t xml:space="preserve"> </w:t>
      </w:r>
      <w:r w:rsidRPr="00FD40B8">
        <w:rPr>
          <w:color w:val="131727" w:themeColor="text1"/>
          <w:w w:val="110"/>
          <w:sz w:val="16"/>
        </w:rPr>
        <w:t>Commission</w:t>
      </w:r>
      <w:r w:rsidRPr="00FD40B8">
        <w:rPr>
          <w:color w:val="131727" w:themeColor="text1"/>
          <w:spacing w:val="-2"/>
          <w:w w:val="110"/>
          <w:sz w:val="16"/>
        </w:rPr>
        <w:t xml:space="preserve"> </w:t>
      </w:r>
      <w:r w:rsidRPr="00FD40B8">
        <w:rPr>
          <w:color w:val="131727" w:themeColor="text1"/>
          <w:w w:val="110"/>
          <w:sz w:val="16"/>
        </w:rPr>
        <w:t>2022,</w:t>
      </w:r>
      <w:r w:rsidRPr="00FD40B8">
        <w:rPr>
          <w:color w:val="131727" w:themeColor="text1"/>
          <w:spacing w:val="-4"/>
          <w:w w:val="110"/>
          <w:sz w:val="16"/>
        </w:rPr>
        <w:t xml:space="preserve"> </w:t>
      </w:r>
      <w:r w:rsidRPr="00FD40B8">
        <w:rPr>
          <w:color w:val="131727" w:themeColor="text1"/>
          <w:w w:val="110"/>
          <w:sz w:val="16"/>
        </w:rPr>
        <w:t>In</w:t>
      </w:r>
      <w:r w:rsidRPr="00FD40B8">
        <w:rPr>
          <w:color w:val="131727" w:themeColor="text1"/>
          <w:spacing w:val="-1"/>
          <w:w w:val="110"/>
          <w:sz w:val="16"/>
        </w:rPr>
        <w:t xml:space="preserve"> </w:t>
      </w:r>
      <w:r w:rsidRPr="00FD40B8">
        <w:rPr>
          <w:color w:val="131727" w:themeColor="text1"/>
          <w:w w:val="110"/>
          <w:sz w:val="16"/>
        </w:rPr>
        <w:t>need</w:t>
      </w:r>
      <w:r w:rsidRPr="00FD40B8">
        <w:rPr>
          <w:color w:val="131727" w:themeColor="text1"/>
          <w:spacing w:val="-3"/>
          <w:w w:val="110"/>
          <w:sz w:val="16"/>
        </w:rPr>
        <w:t xml:space="preserve"> </w:t>
      </w:r>
      <w:r w:rsidRPr="00FD40B8">
        <w:rPr>
          <w:color w:val="131727" w:themeColor="text1"/>
          <w:w w:val="110"/>
          <w:sz w:val="16"/>
        </w:rPr>
        <w:t>of</w:t>
      </w:r>
      <w:r w:rsidRPr="00FD40B8">
        <w:rPr>
          <w:color w:val="131727" w:themeColor="text1"/>
          <w:spacing w:val="-3"/>
          <w:w w:val="110"/>
          <w:sz w:val="16"/>
        </w:rPr>
        <w:t xml:space="preserve"> </w:t>
      </w:r>
      <w:r w:rsidRPr="00FD40B8">
        <w:rPr>
          <w:color w:val="131727" w:themeColor="text1"/>
          <w:w w:val="110"/>
          <w:sz w:val="16"/>
        </w:rPr>
        <w:t>repair:</w:t>
      </w:r>
      <w:r w:rsidRPr="00FD40B8">
        <w:rPr>
          <w:color w:val="131727" w:themeColor="text1"/>
          <w:spacing w:val="-3"/>
          <w:w w:val="110"/>
          <w:sz w:val="16"/>
        </w:rPr>
        <w:t xml:space="preserve"> </w:t>
      </w:r>
      <w:r w:rsidRPr="00FD40B8">
        <w:rPr>
          <w:color w:val="131727" w:themeColor="text1"/>
          <w:w w:val="110"/>
          <w:sz w:val="16"/>
        </w:rPr>
        <w:t>The</w:t>
      </w:r>
      <w:r w:rsidRPr="00FD40B8">
        <w:rPr>
          <w:color w:val="131727" w:themeColor="text1"/>
          <w:spacing w:val="-4"/>
          <w:w w:val="110"/>
          <w:sz w:val="16"/>
        </w:rPr>
        <w:t xml:space="preserve"> </w:t>
      </w:r>
      <w:r w:rsidRPr="00FD40B8">
        <w:rPr>
          <w:color w:val="131727" w:themeColor="text1"/>
          <w:w w:val="110"/>
          <w:sz w:val="16"/>
        </w:rPr>
        <w:t>National</w:t>
      </w:r>
      <w:r w:rsidRPr="00FD40B8">
        <w:rPr>
          <w:color w:val="131727" w:themeColor="text1"/>
          <w:spacing w:val="-6"/>
          <w:w w:val="110"/>
          <w:sz w:val="16"/>
        </w:rPr>
        <w:t xml:space="preserve"> </w:t>
      </w:r>
      <w:r w:rsidRPr="00FD40B8">
        <w:rPr>
          <w:color w:val="131727" w:themeColor="text1"/>
          <w:w w:val="110"/>
          <w:sz w:val="16"/>
        </w:rPr>
        <w:t>Housing</w:t>
      </w:r>
      <w:r w:rsidRPr="00FD40B8">
        <w:rPr>
          <w:color w:val="131727" w:themeColor="text1"/>
          <w:spacing w:val="-5"/>
          <w:w w:val="110"/>
          <w:sz w:val="16"/>
        </w:rPr>
        <w:t xml:space="preserve"> </w:t>
      </w:r>
      <w:r w:rsidRPr="00FD40B8">
        <w:rPr>
          <w:color w:val="131727" w:themeColor="text1"/>
          <w:w w:val="110"/>
          <w:sz w:val="16"/>
        </w:rPr>
        <w:t>and</w:t>
      </w:r>
      <w:r w:rsidRPr="00FD40B8">
        <w:rPr>
          <w:color w:val="131727" w:themeColor="text1"/>
          <w:spacing w:val="-2"/>
          <w:w w:val="110"/>
          <w:sz w:val="16"/>
        </w:rPr>
        <w:t xml:space="preserve"> </w:t>
      </w:r>
      <w:r w:rsidRPr="00FD40B8">
        <w:rPr>
          <w:color w:val="131727" w:themeColor="text1"/>
          <w:w w:val="110"/>
          <w:sz w:val="16"/>
        </w:rPr>
        <w:t>Homelessness</w:t>
      </w:r>
      <w:r w:rsidRPr="00FD40B8">
        <w:rPr>
          <w:color w:val="131727" w:themeColor="text1"/>
          <w:spacing w:val="-5"/>
          <w:w w:val="110"/>
          <w:sz w:val="16"/>
        </w:rPr>
        <w:t xml:space="preserve"> </w:t>
      </w:r>
      <w:r w:rsidRPr="00FD40B8">
        <w:rPr>
          <w:color w:val="131727" w:themeColor="text1"/>
          <w:w w:val="110"/>
          <w:sz w:val="16"/>
        </w:rPr>
        <w:t>Agreement,</w:t>
      </w:r>
      <w:r w:rsidRPr="00FD40B8">
        <w:rPr>
          <w:color w:val="131727" w:themeColor="text1"/>
          <w:spacing w:val="-5"/>
          <w:w w:val="110"/>
          <w:sz w:val="16"/>
        </w:rPr>
        <w:t xml:space="preserve"> </w:t>
      </w:r>
      <w:r w:rsidRPr="00FD40B8">
        <w:rPr>
          <w:color w:val="131727" w:themeColor="text1"/>
          <w:w w:val="110"/>
          <w:sz w:val="16"/>
        </w:rPr>
        <w:t>Study</w:t>
      </w:r>
      <w:r w:rsidRPr="00FD40B8">
        <w:rPr>
          <w:color w:val="131727" w:themeColor="text1"/>
          <w:spacing w:val="-4"/>
          <w:w w:val="110"/>
          <w:sz w:val="16"/>
        </w:rPr>
        <w:t xml:space="preserve"> </w:t>
      </w:r>
      <w:r w:rsidRPr="00FD40B8">
        <w:rPr>
          <w:color w:val="131727" w:themeColor="text1"/>
          <w:w w:val="110"/>
          <w:sz w:val="16"/>
        </w:rPr>
        <w:t>Report,</w:t>
      </w:r>
      <w:r w:rsidRPr="00FD40B8">
        <w:rPr>
          <w:color w:val="131727" w:themeColor="text1"/>
          <w:spacing w:val="-4"/>
          <w:w w:val="110"/>
          <w:sz w:val="16"/>
        </w:rPr>
        <w:t xml:space="preserve"> </w:t>
      </w:r>
      <w:r w:rsidRPr="00FD40B8">
        <w:rPr>
          <w:color w:val="131727" w:themeColor="text1"/>
          <w:spacing w:val="-2"/>
          <w:w w:val="110"/>
          <w:sz w:val="16"/>
        </w:rPr>
        <w:t>Canberra.</w:t>
      </w:r>
    </w:p>
    <w:p w14:paraId="4C718A4E" w14:textId="77777777" w:rsidR="00811887" w:rsidRPr="00FD40B8" w:rsidRDefault="00811887" w:rsidP="00811887">
      <w:pPr>
        <w:spacing w:before="18"/>
        <w:ind w:left="508"/>
        <w:rPr>
          <w:color w:val="131727" w:themeColor="text1"/>
          <w:sz w:val="16"/>
        </w:rPr>
      </w:pPr>
      <w:bookmarkStart w:id="205" w:name="_bookmark94"/>
      <w:bookmarkEnd w:id="205"/>
      <w:r w:rsidRPr="00FD40B8">
        <w:rPr>
          <w:color w:val="131727" w:themeColor="text1"/>
          <w:w w:val="105"/>
          <w:position w:val="6"/>
          <w:sz w:val="10"/>
        </w:rPr>
        <w:t>82</w:t>
      </w:r>
      <w:r w:rsidRPr="00FD40B8">
        <w:rPr>
          <w:color w:val="131727" w:themeColor="text1"/>
          <w:spacing w:val="30"/>
          <w:w w:val="105"/>
          <w:position w:val="6"/>
          <w:sz w:val="10"/>
        </w:rPr>
        <w:t xml:space="preserve"> </w:t>
      </w:r>
      <w:r w:rsidRPr="00FD40B8">
        <w:rPr>
          <w:color w:val="131727" w:themeColor="text1"/>
          <w:w w:val="105"/>
          <w:sz w:val="16"/>
        </w:rPr>
        <w:t>Productivity</w:t>
      </w:r>
      <w:r w:rsidRPr="00FD40B8">
        <w:rPr>
          <w:color w:val="131727" w:themeColor="text1"/>
          <w:spacing w:val="13"/>
          <w:w w:val="105"/>
          <w:sz w:val="16"/>
        </w:rPr>
        <w:t xml:space="preserve"> </w:t>
      </w:r>
      <w:r w:rsidRPr="00FD40B8">
        <w:rPr>
          <w:color w:val="131727" w:themeColor="text1"/>
          <w:w w:val="105"/>
          <w:sz w:val="16"/>
        </w:rPr>
        <w:t>Commission</w:t>
      </w:r>
      <w:r w:rsidRPr="00FD40B8">
        <w:rPr>
          <w:color w:val="131727" w:themeColor="text1"/>
          <w:spacing w:val="19"/>
          <w:w w:val="105"/>
          <w:sz w:val="16"/>
        </w:rPr>
        <w:t xml:space="preserve"> </w:t>
      </w:r>
      <w:r w:rsidRPr="00FD40B8">
        <w:rPr>
          <w:color w:val="131727" w:themeColor="text1"/>
          <w:w w:val="105"/>
          <w:sz w:val="16"/>
        </w:rPr>
        <w:t>2024,</w:t>
      </w:r>
      <w:r w:rsidRPr="00FD40B8">
        <w:rPr>
          <w:color w:val="131727" w:themeColor="text1"/>
          <w:spacing w:val="16"/>
          <w:w w:val="105"/>
          <w:sz w:val="16"/>
        </w:rPr>
        <w:t xml:space="preserve"> </w:t>
      </w:r>
      <w:r w:rsidRPr="00FD40B8">
        <w:rPr>
          <w:color w:val="131727" w:themeColor="text1"/>
          <w:w w:val="105"/>
          <w:sz w:val="16"/>
        </w:rPr>
        <w:t>Review</w:t>
      </w:r>
      <w:r w:rsidRPr="00FD40B8">
        <w:rPr>
          <w:color w:val="131727" w:themeColor="text1"/>
          <w:spacing w:val="16"/>
          <w:w w:val="105"/>
          <w:sz w:val="16"/>
        </w:rPr>
        <w:t xml:space="preserve"> </w:t>
      </w:r>
      <w:r w:rsidRPr="00FD40B8">
        <w:rPr>
          <w:color w:val="131727" w:themeColor="text1"/>
          <w:w w:val="105"/>
          <w:sz w:val="16"/>
        </w:rPr>
        <w:t>of</w:t>
      </w:r>
      <w:r w:rsidRPr="00FD40B8">
        <w:rPr>
          <w:color w:val="131727" w:themeColor="text1"/>
          <w:spacing w:val="17"/>
          <w:w w:val="105"/>
          <w:sz w:val="16"/>
        </w:rPr>
        <w:t xml:space="preserve"> </w:t>
      </w:r>
      <w:r w:rsidRPr="00FD40B8">
        <w:rPr>
          <w:color w:val="131727" w:themeColor="text1"/>
          <w:w w:val="105"/>
          <w:sz w:val="16"/>
        </w:rPr>
        <w:t>the</w:t>
      </w:r>
      <w:r w:rsidRPr="00FD40B8">
        <w:rPr>
          <w:color w:val="131727" w:themeColor="text1"/>
          <w:spacing w:val="15"/>
          <w:w w:val="105"/>
          <w:sz w:val="16"/>
        </w:rPr>
        <w:t xml:space="preserve"> </w:t>
      </w:r>
      <w:r w:rsidRPr="00FD40B8">
        <w:rPr>
          <w:color w:val="131727" w:themeColor="text1"/>
          <w:w w:val="105"/>
          <w:sz w:val="16"/>
        </w:rPr>
        <w:t>National</w:t>
      </w:r>
      <w:r w:rsidRPr="00FD40B8">
        <w:rPr>
          <w:color w:val="131727" w:themeColor="text1"/>
          <w:spacing w:val="13"/>
          <w:w w:val="105"/>
          <w:sz w:val="16"/>
        </w:rPr>
        <w:t xml:space="preserve"> </w:t>
      </w:r>
      <w:r w:rsidRPr="00FD40B8">
        <w:rPr>
          <w:color w:val="131727" w:themeColor="text1"/>
          <w:w w:val="105"/>
          <w:sz w:val="16"/>
        </w:rPr>
        <w:t>Agreement</w:t>
      </w:r>
      <w:r w:rsidRPr="00FD40B8">
        <w:rPr>
          <w:color w:val="131727" w:themeColor="text1"/>
          <w:spacing w:val="15"/>
          <w:w w:val="105"/>
          <w:sz w:val="16"/>
        </w:rPr>
        <w:t xml:space="preserve"> </w:t>
      </w:r>
      <w:r w:rsidRPr="00FD40B8">
        <w:rPr>
          <w:color w:val="131727" w:themeColor="text1"/>
          <w:w w:val="105"/>
          <w:sz w:val="16"/>
        </w:rPr>
        <w:t>on</w:t>
      </w:r>
      <w:r w:rsidRPr="00FD40B8">
        <w:rPr>
          <w:color w:val="131727" w:themeColor="text1"/>
          <w:spacing w:val="19"/>
          <w:w w:val="105"/>
          <w:sz w:val="16"/>
        </w:rPr>
        <w:t xml:space="preserve"> </w:t>
      </w:r>
      <w:r w:rsidRPr="00FD40B8">
        <w:rPr>
          <w:color w:val="131727" w:themeColor="text1"/>
          <w:w w:val="105"/>
          <w:sz w:val="16"/>
        </w:rPr>
        <w:t>Closing</w:t>
      </w:r>
      <w:r w:rsidRPr="00FD40B8">
        <w:rPr>
          <w:color w:val="131727" w:themeColor="text1"/>
          <w:spacing w:val="14"/>
          <w:w w:val="105"/>
          <w:sz w:val="16"/>
        </w:rPr>
        <w:t xml:space="preserve"> </w:t>
      </w:r>
      <w:r w:rsidRPr="00FD40B8">
        <w:rPr>
          <w:color w:val="131727" w:themeColor="text1"/>
          <w:w w:val="105"/>
          <w:sz w:val="16"/>
        </w:rPr>
        <w:t>the</w:t>
      </w:r>
      <w:r w:rsidRPr="00FD40B8">
        <w:rPr>
          <w:color w:val="131727" w:themeColor="text1"/>
          <w:spacing w:val="15"/>
          <w:w w:val="105"/>
          <w:sz w:val="16"/>
        </w:rPr>
        <w:t xml:space="preserve"> </w:t>
      </w:r>
      <w:r w:rsidRPr="00FD40B8">
        <w:rPr>
          <w:color w:val="131727" w:themeColor="text1"/>
          <w:w w:val="105"/>
          <w:sz w:val="16"/>
        </w:rPr>
        <w:t>Gap,</w:t>
      </w:r>
      <w:r w:rsidRPr="00FD40B8">
        <w:rPr>
          <w:color w:val="131727" w:themeColor="text1"/>
          <w:spacing w:val="15"/>
          <w:w w:val="105"/>
          <w:sz w:val="16"/>
        </w:rPr>
        <w:t xml:space="preserve"> </w:t>
      </w:r>
      <w:r w:rsidRPr="00FD40B8">
        <w:rPr>
          <w:color w:val="131727" w:themeColor="text1"/>
          <w:w w:val="105"/>
          <w:sz w:val="16"/>
        </w:rPr>
        <w:t>Study</w:t>
      </w:r>
      <w:r w:rsidRPr="00FD40B8">
        <w:rPr>
          <w:color w:val="131727" w:themeColor="text1"/>
          <w:spacing w:val="15"/>
          <w:w w:val="105"/>
          <w:sz w:val="16"/>
        </w:rPr>
        <w:t xml:space="preserve"> </w:t>
      </w:r>
      <w:r w:rsidRPr="00FD40B8">
        <w:rPr>
          <w:color w:val="131727" w:themeColor="text1"/>
          <w:w w:val="105"/>
          <w:sz w:val="16"/>
        </w:rPr>
        <w:t>report,</w:t>
      </w:r>
      <w:r w:rsidRPr="00FD40B8">
        <w:rPr>
          <w:color w:val="131727" w:themeColor="text1"/>
          <w:spacing w:val="16"/>
          <w:w w:val="105"/>
          <w:sz w:val="16"/>
        </w:rPr>
        <w:t xml:space="preserve"> </w:t>
      </w:r>
      <w:r w:rsidRPr="00FD40B8">
        <w:rPr>
          <w:color w:val="131727" w:themeColor="text1"/>
          <w:w w:val="105"/>
          <w:sz w:val="16"/>
        </w:rPr>
        <w:t>volume</w:t>
      </w:r>
      <w:r w:rsidRPr="00FD40B8">
        <w:rPr>
          <w:color w:val="131727" w:themeColor="text1"/>
          <w:spacing w:val="15"/>
          <w:w w:val="105"/>
          <w:sz w:val="16"/>
        </w:rPr>
        <w:t xml:space="preserve"> </w:t>
      </w:r>
      <w:r w:rsidRPr="00FD40B8">
        <w:rPr>
          <w:color w:val="131727" w:themeColor="text1"/>
          <w:w w:val="105"/>
          <w:sz w:val="16"/>
        </w:rPr>
        <w:t>1,</w:t>
      </w:r>
      <w:r w:rsidRPr="00FD40B8">
        <w:rPr>
          <w:color w:val="131727" w:themeColor="text1"/>
          <w:spacing w:val="15"/>
          <w:w w:val="105"/>
          <w:sz w:val="16"/>
        </w:rPr>
        <w:t xml:space="preserve"> </w:t>
      </w:r>
      <w:r w:rsidRPr="00FD40B8">
        <w:rPr>
          <w:color w:val="131727" w:themeColor="text1"/>
          <w:w w:val="105"/>
          <w:sz w:val="16"/>
        </w:rPr>
        <w:t>Canberra,</w:t>
      </w:r>
      <w:r w:rsidRPr="00FD40B8">
        <w:rPr>
          <w:color w:val="131727" w:themeColor="text1"/>
          <w:spacing w:val="69"/>
          <w:w w:val="105"/>
          <w:sz w:val="16"/>
        </w:rPr>
        <w:t xml:space="preserve"> </w:t>
      </w:r>
      <w:r w:rsidRPr="00FD40B8">
        <w:rPr>
          <w:color w:val="131727" w:themeColor="text1"/>
          <w:spacing w:val="-2"/>
          <w:w w:val="105"/>
          <w:sz w:val="16"/>
        </w:rPr>
        <w:t>p.94.</w:t>
      </w:r>
    </w:p>
    <w:p w14:paraId="3AD3A848" w14:textId="77777777" w:rsidR="00811887" w:rsidRPr="00FD40B8" w:rsidRDefault="00811887" w:rsidP="00811887">
      <w:pPr>
        <w:rPr>
          <w:color w:val="131727" w:themeColor="text1"/>
          <w:sz w:val="16"/>
        </w:rPr>
        <w:sectPr w:rsidR="00811887" w:rsidRPr="00FD40B8" w:rsidSect="00811887">
          <w:pgSz w:w="11910" w:h="16840"/>
          <w:pgMar w:top="1320" w:right="720" w:bottom="1080" w:left="740" w:header="0" w:footer="805" w:gutter="0"/>
          <w:cols w:space="720"/>
        </w:sectPr>
      </w:pPr>
    </w:p>
    <w:p w14:paraId="64EB92BE"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sz w:val="2"/>
        </w:rPr>
        <w:lastRenderedPageBreak/>
        <mc:AlternateContent>
          <mc:Choice Requires="wpg">
            <w:drawing>
              <wp:inline distT="0" distB="0" distL="0" distR="0" wp14:anchorId="49002F92" wp14:editId="272DD1C7">
                <wp:extent cx="6016625" cy="6350"/>
                <wp:effectExtent l="0" t="0" r="0" b="0"/>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92" name="Graphic 192"/>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4C1ACA19" id="Group 191"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">
                <v:shape id="Graphic 192"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" path="m6016117,l,,,6096r6016117,l6016117,xe" fillcolor="#4d665b" stroked="f">
                  <v:path arrowok="t"/>
                </v:shape>
                <w10:anchorlock/>
              </v:group>
            </w:pict>
          </mc:Fallback>
        </mc:AlternateContent>
      </w:r>
    </w:p>
    <w:p w14:paraId="3C6972E4" w14:textId="77777777" w:rsidR="00811887" w:rsidRPr="00FD40B8" w:rsidRDefault="00811887" w:rsidP="00811887">
      <w:pPr>
        <w:pStyle w:val="Heading1"/>
        <w:ind w:right="823"/>
        <w:rPr>
          <w:color w:val="131727" w:themeColor="text1"/>
        </w:rPr>
      </w:pPr>
      <w:bookmarkStart w:id="206" w:name="_bookmark95"/>
      <w:bookmarkEnd w:id="206"/>
      <w:r w:rsidRPr="00FD40B8">
        <w:rPr>
          <w:color w:val="131727" w:themeColor="text1"/>
        </w:rPr>
        <w:t>Improving data collection and use</w:t>
      </w:r>
    </w:p>
    <w:p w14:paraId="346975F0" w14:textId="77777777" w:rsidR="00811887" w:rsidRPr="00FD40B8" w:rsidRDefault="00811887" w:rsidP="00811887">
      <w:pPr>
        <w:pStyle w:val="BodyText"/>
        <w:spacing w:before="91"/>
        <w:rPr>
          <w:rFonts w:ascii="Book Antiqua"/>
          <w:color w:val="131727" w:themeColor="text1"/>
        </w:rPr>
      </w:pPr>
      <w:r w:rsidRPr="00FD40B8">
        <w:rPr>
          <w:noProof/>
          <w:color w:val="131727" w:themeColor="text1"/>
        </w:rPr>
        <mc:AlternateContent>
          <mc:Choice Requires="wps">
            <w:drawing>
              <wp:anchor distT="0" distB="0" distL="0" distR="0" simplePos="0" relativeHeight="251760640" behindDoc="1" locked="0" layoutInCell="1" allowOverlap="1" wp14:anchorId="23D57BB0" wp14:editId="4FF6D1D9">
                <wp:simplePos x="0" y="0"/>
                <wp:positionH relativeFrom="page">
                  <wp:posOffset>774496</wp:posOffset>
                </wp:positionH>
                <wp:positionV relativeFrom="paragraph">
                  <wp:posOffset>231047</wp:posOffset>
                </wp:positionV>
                <wp:extent cx="6016625" cy="6350"/>
                <wp:effectExtent l="0" t="0" r="0" b="0"/>
                <wp:wrapTopAndBottom/>
                <wp:docPr id="193" name="Graphic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502E424F" id="Graphic 193" o:spid="_x0000_s1026" alt="&quot;&quot;" style="position:absolute;margin-left:61pt;margin-top:18.2pt;width:473.75pt;height:.5pt;z-index:-251555840;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" path="m6016117,l,,,6096r6016117,l6016117,xe" fillcolor="#4d665b" stroked="f">
                <v:path arrowok="t"/>
                <w10:wrap type="topAndBottom" anchorx="page"/>
              </v:shape>
            </w:pict>
          </mc:Fallback>
        </mc:AlternateContent>
      </w:r>
    </w:p>
    <w:p w14:paraId="4CDE3B3F" w14:textId="77777777" w:rsidR="00811887" w:rsidRPr="00FD40B8" w:rsidRDefault="00811887" w:rsidP="00811887">
      <w:pPr>
        <w:pStyle w:val="BodyText"/>
        <w:spacing w:before="97"/>
        <w:rPr>
          <w:rFonts w:ascii="Book Antiqua"/>
          <w:color w:val="131727" w:themeColor="text1"/>
          <w:sz w:val="22"/>
        </w:rPr>
      </w:pPr>
    </w:p>
    <w:p w14:paraId="0493CF89" w14:textId="77777777" w:rsidR="00811887" w:rsidRPr="00FD40B8" w:rsidRDefault="00811887" w:rsidP="00811887">
      <w:pPr>
        <w:spacing w:line="225" w:lineRule="auto"/>
        <w:ind w:left="508" w:right="598"/>
        <w:rPr>
          <w:rFonts w:ascii="Book Antiqua"/>
          <w:b/>
          <w:i/>
          <w:color w:val="131727" w:themeColor="text1"/>
        </w:rPr>
      </w:pPr>
      <w:r w:rsidRPr="00FD40B8">
        <w:rPr>
          <w:rFonts w:ascii="Book Antiqua"/>
          <w:b/>
          <w:i/>
          <w:color w:val="131727" w:themeColor="text1"/>
        </w:rPr>
        <w:t>In this final section, Equity Economics makes recommendations to improve the collection and use of data on Aboriginal and Torres Strait Islander housing and related housing and community infrastructure. We note that there are significant opportunities to improve data collection and</w:t>
      </w:r>
      <w:r w:rsidRPr="00FD40B8">
        <w:rPr>
          <w:rFonts w:ascii="Book Antiqua"/>
          <w:b/>
          <w:i/>
          <w:color w:val="131727" w:themeColor="text1"/>
          <w:spacing w:val="-4"/>
        </w:rPr>
        <w:t xml:space="preserve"> </w:t>
      </w:r>
      <w:r w:rsidRPr="00FD40B8">
        <w:rPr>
          <w:rFonts w:ascii="Book Antiqua"/>
          <w:b/>
          <w:i/>
          <w:color w:val="131727" w:themeColor="text1"/>
        </w:rPr>
        <w:t>use with</w:t>
      </w:r>
      <w:r w:rsidRPr="00FD40B8">
        <w:rPr>
          <w:rFonts w:ascii="Book Antiqua"/>
          <w:b/>
          <w:i/>
          <w:color w:val="131727" w:themeColor="text1"/>
          <w:spacing w:val="-3"/>
        </w:rPr>
        <w:t xml:space="preserve"> </w:t>
      </w:r>
      <w:r w:rsidRPr="00FD40B8">
        <w:rPr>
          <w:rFonts w:ascii="Book Antiqua"/>
          <w:b/>
          <w:i/>
          <w:color w:val="131727" w:themeColor="text1"/>
        </w:rPr>
        <w:t>newly</w:t>
      </w:r>
      <w:r w:rsidRPr="00FD40B8">
        <w:rPr>
          <w:rFonts w:ascii="Book Antiqua"/>
          <w:b/>
          <w:i/>
          <w:color w:val="131727" w:themeColor="text1"/>
          <w:spacing w:val="-4"/>
        </w:rPr>
        <w:t xml:space="preserve"> </w:t>
      </w:r>
      <w:r w:rsidRPr="00FD40B8">
        <w:rPr>
          <w:rFonts w:ascii="Book Antiqua"/>
          <w:b/>
          <w:i/>
          <w:color w:val="131727" w:themeColor="text1"/>
        </w:rPr>
        <w:t>announced housing</w:t>
      </w:r>
      <w:r w:rsidRPr="00FD40B8">
        <w:rPr>
          <w:rFonts w:ascii="Book Antiqua"/>
          <w:b/>
          <w:i/>
          <w:color w:val="131727" w:themeColor="text1"/>
          <w:spacing w:val="-6"/>
        </w:rPr>
        <w:t xml:space="preserve"> </w:t>
      </w:r>
      <w:r w:rsidRPr="00FD40B8">
        <w:rPr>
          <w:rFonts w:ascii="Book Antiqua"/>
          <w:b/>
          <w:i/>
          <w:color w:val="131727" w:themeColor="text1"/>
        </w:rPr>
        <w:t>investment</w:t>
      </w:r>
      <w:r w:rsidRPr="00FD40B8">
        <w:rPr>
          <w:rFonts w:ascii="Book Antiqua"/>
          <w:b/>
          <w:i/>
          <w:color w:val="131727" w:themeColor="text1"/>
          <w:spacing w:val="-5"/>
        </w:rPr>
        <w:t xml:space="preserve"> </w:t>
      </w:r>
      <w:r w:rsidRPr="00FD40B8">
        <w:rPr>
          <w:rFonts w:ascii="Book Antiqua"/>
          <w:b/>
          <w:i/>
          <w:color w:val="131727" w:themeColor="text1"/>
        </w:rPr>
        <w:t>in the</w:t>
      </w:r>
      <w:r w:rsidRPr="00FD40B8">
        <w:rPr>
          <w:rFonts w:ascii="Book Antiqua"/>
          <w:b/>
          <w:i/>
          <w:color w:val="131727" w:themeColor="text1"/>
          <w:spacing w:val="-8"/>
        </w:rPr>
        <w:t xml:space="preserve"> </w:t>
      </w:r>
      <w:r w:rsidRPr="00FD40B8">
        <w:rPr>
          <w:rFonts w:ascii="Book Antiqua"/>
          <w:b/>
          <w:i/>
          <w:color w:val="131727" w:themeColor="text1"/>
        </w:rPr>
        <w:t>Northern</w:t>
      </w:r>
      <w:r w:rsidRPr="00FD40B8">
        <w:rPr>
          <w:rFonts w:ascii="Book Antiqua"/>
          <w:b/>
          <w:i/>
          <w:color w:val="131727" w:themeColor="text1"/>
          <w:spacing w:val="-3"/>
        </w:rPr>
        <w:t xml:space="preserve"> </w:t>
      </w:r>
      <w:r w:rsidRPr="00FD40B8">
        <w:rPr>
          <w:rFonts w:ascii="Book Antiqua"/>
          <w:b/>
          <w:i/>
          <w:color w:val="131727" w:themeColor="text1"/>
        </w:rPr>
        <w:t>Territory</w:t>
      </w:r>
      <w:r w:rsidRPr="00FD40B8">
        <w:rPr>
          <w:rFonts w:ascii="Book Antiqua"/>
          <w:b/>
          <w:i/>
          <w:color w:val="131727" w:themeColor="text1"/>
          <w:spacing w:val="-4"/>
        </w:rPr>
        <w:t xml:space="preserve"> </w:t>
      </w:r>
      <w:r w:rsidRPr="00FD40B8">
        <w:rPr>
          <w:rFonts w:ascii="Book Antiqua"/>
          <w:b/>
          <w:i/>
          <w:color w:val="131727" w:themeColor="text1"/>
        </w:rPr>
        <w:t>and</w:t>
      </w:r>
      <w:r w:rsidRPr="00FD40B8">
        <w:rPr>
          <w:rFonts w:ascii="Book Antiqua"/>
          <w:b/>
          <w:i/>
          <w:color w:val="131727" w:themeColor="text1"/>
          <w:spacing w:val="-4"/>
        </w:rPr>
        <w:t xml:space="preserve"> </w:t>
      </w:r>
      <w:r w:rsidRPr="00FD40B8">
        <w:rPr>
          <w:rFonts w:ascii="Book Antiqua"/>
          <w:b/>
          <w:i/>
          <w:color w:val="131727" w:themeColor="text1"/>
        </w:rPr>
        <w:t>the negotiations</w:t>
      </w:r>
      <w:r w:rsidRPr="00FD40B8">
        <w:rPr>
          <w:rFonts w:ascii="Book Antiqua"/>
          <w:b/>
          <w:i/>
          <w:color w:val="131727" w:themeColor="text1"/>
          <w:spacing w:val="-2"/>
        </w:rPr>
        <w:t xml:space="preserve"> </w:t>
      </w:r>
      <w:r w:rsidRPr="00FD40B8">
        <w:rPr>
          <w:rFonts w:ascii="Book Antiqua"/>
          <w:b/>
          <w:i/>
          <w:color w:val="131727" w:themeColor="text1"/>
        </w:rPr>
        <w:t>of the</w:t>
      </w:r>
      <w:r w:rsidRPr="00FD40B8">
        <w:rPr>
          <w:rFonts w:ascii="Book Antiqua"/>
          <w:b/>
          <w:i/>
          <w:color w:val="131727" w:themeColor="text1"/>
          <w:spacing w:val="-2"/>
        </w:rPr>
        <w:t xml:space="preserve"> </w:t>
      </w:r>
      <w:r w:rsidRPr="00FD40B8">
        <w:rPr>
          <w:rFonts w:ascii="Book Antiqua"/>
          <w:b/>
          <w:i/>
          <w:color w:val="131727" w:themeColor="text1"/>
        </w:rPr>
        <w:t>new National</w:t>
      </w:r>
      <w:r w:rsidRPr="00FD40B8">
        <w:rPr>
          <w:rFonts w:ascii="Book Antiqua"/>
          <w:b/>
          <w:i/>
          <w:color w:val="131727" w:themeColor="text1"/>
          <w:spacing w:val="-1"/>
        </w:rPr>
        <w:t xml:space="preserve"> </w:t>
      </w:r>
      <w:r w:rsidRPr="00FD40B8">
        <w:rPr>
          <w:rFonts w:ascii="Book Antiqua"/>
          <w:b/>
          <w:i/>
          <w:color w:val="131727" w:themeColor="text1"/>
        </w:rPr>
        <w:t>Housing and Homelessness Agreement. Any changes that the government may consider should be done in partnership with the Coalition of Peaks, in line with the commitments in the Closing the Gap Agreement.</w:t>
      </w:r>
    </w:p>
    <w:p w14:paraId="358D609C" w14:textId="77777777" w:rsidR="00811887" w:rsidRPr="00FD40B8" w:rsidRDefault="00811887" w:rsidP="00811887">
      <w:pPr>
        <w:pStyle w:val="BodyText"/>
        <w:spacing w:before="220" w:line="268" w:lineRule="auto"/>
        <w:ind w:left="508" w:right="532"/>
        <w:rPr>
          <w:color w:val="131727" w:themeColor="text1"/>
        </w:rPr>
      </w:pPr>
      <w:r w:rsidRPr="00FD40B8">
        <w:rPr>
          <w:color w:val="131727" w:themeColor="text1"/>
          <w:w w:val="110"/>
        </w:rPr>
        <w:t>Equity</w:t>
      </w:r>
      <w:r w:rsidRPr="00FD40B8">
        <w:rPr>
          <w:color w:val="131727" w:themeColor="text1"/>
          <w:spacing w:val="-3"/>
          <w:w w:val="110"/>
        </w:rPr>
        <w:t xml:space="preserve"> </w:t>
      </w:r>
      <w:r w:rsidRPr="00FD40B8">
        <w:rPr>
          <w:color w:val="131727" w:themeColor="text1"/>
          <w:w w:val="110"/>
        </w:rPr>
        <w:t>Economics finds that</w:t>
      </w:r>
      <w:r w:rsidRPr="00FD40B8">
        <w:rPr>
          <w:color w:val="131727" w:themeColor="text1"/>
          <w:spacing w:val="-1"/>
          <w:w w:val="110"/>
        </w:rPr>
        <w:t xml:space="preserve"> </w:t>
      </w:r>
      <w:r w:rsidRPr="00FD40B8">
        <w:rPr>
          <w:color w:val="131727" w:themeColor="text1"/>
          <w:w w:val="110"/>
        </w:rPr>
        <w:t>there</w:t>
      </w:r>
      <w:r w:rsidRPr="00FD40B8">
        <w:rPr>
          <w:color w:val="131727" w:themeColor="text1"/>
          <w:spacing w:val="-1"/>
          <w:w w:val="110"/>
        </w:rPr>
        <w:t xml:space="preserve"> </w:t>
      </w:r>
      <w:r w:rsidRPr="00FD40B8">
        <w:rPr>
          <w:color w:val="131727" w:themeColor="text1"/>
          <w:w w:val="110"/>
        </w:rPr>
        <w:t>is a compelling</w:t>
      </w:r>
      <w:r w:rsidRPr="00FD40B8">
        <w:rPr>
          <w:color w:val="131727" w:themeColor="text1"/>
          <w:spacing w:val="-1"/>
          <w:w w:val="110"/>
        </w:rPr>
        <w:t xml:space="preserve"> </w:t>
      </w:r>
      <w:r w:rsidRPr="00FD40B8">
        <w:rPr>
          <w:color w:val="131727" w:themeColor="text1"/>
          <w:w w:val="110"/>
        </w:rPr>
        <w:t>case</w:t>
      </w:r>
      <w:r w:rsidRPr="00FD40B8">
        <w:rPr>
          <w:color w:val="131727" w:themeColor="text1"/>
          <w:spacing w:val="-6"/>
          <w:w w:val="110"/>
        </w:rPr>
        <w:t xml:space="preserve"> </w:t>
      </w:r>
      <w:r w:rsidRPr="00FD40B8">
        <w:rPr>
          <w:color w:val="131727" w:themeColor="text1"/>
          <w:w w:val="110"/>
        </w:rPr>
        <w:t>for new</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6"/>
          <w:w w:val="110"/>
        </w:rPr>
        <w:t xml:space="preserve"> </w:t>
      </w:r>
      <w:r w:rsidRPr="00FD40B8">
        <w:rPr>
          <w:color w:val="131727" w:themeColor="text1"/>
          <w:w w:val="110"/>
        </w:rPr>
        <w:t>improved Aboriginal and</w:t>
      </w:r>
      <w:r w:rsidRPr="00FD40B8">
        <w:rPr>
          <w:color w:val="131727" w:themeColor="text1"/>
          <w:spacing w:val="-1"/>
          <w:w w:val="110"/>
        </w:rPr>
        <w:t xml:space="preserve"> </w:t>
      </w:r>
      <w:r w:rsidRPr="00FD40B8">
        <w:rPr>
          <w:color w:val="131727" w:themeColor="text1"/>
          <w:w w:val="110"/>
        </w:rPr>
        <w:t>Torres</w:t>
      </w:r>
      <w:r w:rsidRPr="00FD40B8">
        <w:rPr>
          <w:color w:val="131727" w:themeColor="text1"/>
          <w:spacing w:val="-4"/>
          <w:w w:val="110"/>
        </w:rPr>
        <w:t xml:space="preserve"> </w:t>
      </w:r>
      <w:r w:rsidRPr="00FD40B8">
        <w:rPr>
          <w:color w:val="131727" w:themeColor="text1"/>
          <w:w w:val="110"/>
        </w:rPr>
        <w:t>Strait Islander housing data collection, including a radically different approach to existing arrangements. A substantive shift in approach is required as commitments — by all levels of government — have been made for over a decade but so far met with little progress and it is difficult to see how continuing with existing commitments is likely to change this trajectory. Our recommended shift includes the Commonwealth Government taking a</w:t>
      </w:r>
      <w:r w:rsidRPr="00FD40B8">
        <w:rPr>
          <w:color w:val="131727" w:themeColor="text1"/>
          <w:spacing w:val="-1"/>
          <w:w w:val="110"/>
        </w:rPr>
        <w:t xml:space="preserve"> </w:t>
      </w:r>
      <w:r w:rsidRPr="00FD40B8">
        <w:rPr>
          <w:color w:val="131727" w:themeColor="text1"/>
          <w:w w:val="110"/>
        </w:rPr>
        <w:t>national leadership role</w:t>
      </w:r>
      <w:r w:rsidRPr="00FD40B8">
        <w:rPr>
          <w:color w:val="131727" w:themeColor="text1"/>
          <w:spacing w:val="-2"/>
          <w:w w:val="110"/>
        </w:rPr>
        <w:t xml:space="preserve"> </w:t>
      </w:r>
      <w:r w:rsidRPr="00FD40B8">
        <w:rPr>
          <w:color w:val="131727" w:themeColor="text1"/>
          <w:w w:val="110"/>
        </w:rPr>
        <w:t>including nominating</w:t>
      </w:r>
      <w:r w:rsidRPr="00FD40B8">
        <w:rPr>
          <w:color w:val="131727" w:themeColor="text1"/>
          <w:spacing w:val="-2"/>
          <w:w w:val="110"/>
        </w:rPr>
        <w:t xml:space="preserve"> </w:t>
      </w:r>
      <w:r w:rsidRPr="00FD40B8">
        <w:rPr>
          <w:color w:val="131727" w:themeColor="text1"/>
          <w:w w:val="110"/>
        </w:rPr>
        <w:t>its own</w:t>
      </w:r>
      <w:r w:rsidRPr="00FD40B8">
        <w:rPr>
          <w:color w:val="131727" w:themeColor="text1"/>
          <w:spacing w:val="-1"/>
          <w:w w:val="110"/>
        </w:rPr>
        <w:t xml:space="preserve"> </w:t>
      </w:r>
      <w:r w:rsidRPr="00FD40B8">
        <w:rPr>
          <w:color w:val="131727" w:themeColor="text1"/>
          <w:w w:val="110"/>
        </w:rPr>
        <w:t>lead</w:t>
      </w:r>
      <w:r w:rsidRPr="00FD40B8">
        <w:rPr>
          <w:color w:val="131727" w:themeColor="text1"/>
          <w:spacing w:val="-2"/>
          <w:w w:val="110"/>
        </w:rPr>
        <w:t xml:space="preserve"> </w:t>
      </w:r>
      <w:r w:rsidRPr="00FD40B8">
        <w:rPr>
          <w:color w:val="131727" w:themeColor="text1"/>
          <w:w w:val="110"/>
        </w:rPr>
        <w:t>agency. Active participation from state and territory governments also remains essential but a greater contribution will require them to have ‘skin</w:t>
      </w:r>
      <w:r w:rsidRPr="00FD40B8">
        <w:rPr>
          <w:color w:val="131727" w:themeColor="text1"/>
          <w:spacing w:val="-1"/>
          <w:w w:val="110"/>
        </w:rPr>
        <w:t xml:space="preserve"> </w:t>
      </w:r>
      <w:r w:rsidRPr="00FD40B8">
        <w:rPr>
          <w:color w:val="131727" w:themeColor="text1"/>
          <w:w w:val="110"/>
        </w:rPr>
        <w:t>in the game’ including through</w:t>
      </w:r>
      <w:r w:rsidRPr="00FD40B8">
        <w:rPr>
          <w:color w:val="131727" w:themeColor="text1"/>
          <w:spacing w:val="-1"/>
          <w:w w:val="110"/>
        </w:rPr>
        <w:t xml:space="preserve"> </w:t>
      </w:r>
      <w:r w:rsidRPr="00FD40B8">
        <w:rPr>
          <w:color w:val="131727" w:themeColor="text1"/>
          <w:w w:val="110"/>
        </w:rPr>
        <w:t>stronger</w:t>
      </w:r>
      <w:r w:rsidRPr="00FD40B8">
        <w:rPr>
          <w:color w:val="131727" w:themeColor="text1"/>
          <w:spacing w:val="-1"/>
          <w:w w:val="110"/>
        </w:rPr>
        <w:t xml:space="preserve"> </w:t>
      </w:r>
      <w:r w:rsidRPr="00FD40B8">
        <w:rPr>
          <w:color w:val="131727" w:themeColor="text1"/>
          <w:w w:val="110"/>
        </w:rPr>
        <w:t>incentives to systematically collect, share and report meaningful data.</w:t>
      </w:r>
    </w:p>
    <w:p w14:paraId="0BC01019" w14:textId="77777777" w:rsidR="00811887" w:rsidRPr="00FD40B8" w:rsidRDefault="00811887" w:rsidP="00811887">
      <w:pPr>
        <w:pStyle w:val="BodyText"/>
        <w:spacing w:before="144"/>
        <w:rPr>
          <w:color w:val="131727" w:themeColor="text1"/>
        </w:rPr>
      </w:pPr>
    </w:p>
    <w:p w14:paraId="6236573C" w14:textId="77777777" w:rsidR="00811887" w:rsidRPr="00FD40B8" w:rsidRDefault="00811887" w:rsidP="00811887">
      <w:pPr>
        <w:pStyle w:val="Heading9"/>
        <w:spacing w:before="1" w:line="170" w:lineRule="auto"/>
        <w:ind w:right="823"/>
        <w:rPr>
          <w:color w:val="131727" w:themeColor="text1"/>
        </w:rPr>
      </w:pPr>
      <w:bookmarkStart w:id="207" w:name="_bookmark96"/>
      <w:bookmarkEnd w:id="207"/>
      <w:r w:rsidRPr="00FD40B8">
        <w:rPr>
          <w:color w:val="131727" w:themeColor="text1"/>
          <w:spacing w:val="18"/>
          <w:w w:val="85"/>
        </w:rPr>
        <w:t>NAT</w:t>
      </w:r>
      <w:r w:rsidRPr="00FD40B8">
        <w:rPr>
          <w:color w:val="131727" w:themeColor="text1"/>
          <w:spacing w:val="-37"/>
          <w:w w:val="85"/>
        </w:rPr>
        <w:t xml:space="preserve"> </w:t>
      </w:r>
      <w:r w:rsidRPr="00FD40B8">
        <w:rPr>
          <w:color w:val="131727" w:themeColor="text1"/>
          <w:spacing w:val="13"/>
          <w:w w:val="85"/>
        </w:rPr>
        <w:t>IO</w:t>
      </w:r>
      <w:r w:rsidRPr="00FD40B8">
        <w:rPr>
          <w:color w:val="131727" w:themeColor="text1"/>
          <w:spacing w:val="-37"/>
          <w:w w:val="85"/>
        </w:rPr>
        <w:t xml:space="preserve"> </w:t>
      </w:r>
      <w:r w:rsidRPr="00FD40B8">
        <w:rPr>
          <w:color w:val="131727" w:themeColor="text1"/>
          <w:spacing w:val="18"/>
          <w:w w:val="85"/>
        </w:rPr>
        <w:t>NAL</w:t>
      </w:r>
      <w:r w:rsidRPr="00FD40B8">
        <w:rPr>
          <w:color w:val="131727" w:themeColor="text1"/>
          <w:spacing w:val="40"/>
        </w:rPr>
        <w:t xml:space="preserve"> </w:t>
      </w:r>
      <w:r w:rsidRPr="00FD40B8">
        <w:rPr>
          <w:color w:val="131727" w:themeColor="text1"/>
          <w:spacing w:val="14"/>
          <w:w w:val="85"/>
        </w:rPr>
        <w:t>AB</w:t>
      </w:r>
      <w:r w:rsidRPr="00FD40B8">
        <w:rPr>
          <w:color w:val="131727" w:themeColor="text1"/>
          <w:spacing w:val="-34"/>
          <w:w w:val="85"/>
        </w:rPr>
        <w:t xml:space="preserve"> </w:t>
      </w:r>
      <w:r w:rsidRPr="00FD40B8">
        <w:rPr>
          <w:color w:val="131727" w:themeColor="text1"/>
          <w:spacing w:val="18"/>
          <w:w w:val="85"/>
        </w:rPr>
        <w:t>ORI</w:t>
      </w:r>
      <w:r w:rsidRPr="00FD40B8">
        <w:rPr>
          <w:color w:val="131727" w:themeColor="text1"/>
          <w:spacing w:val="-36"/>
          <w:w w:val="85"/>
        </w:rPr>
        <w:t xml:space="preserve"> </w:t>
      </w:r>
      <w:r w:rsidRPr="00FD40B8">
        <w:rPr>
          <w:color w:val="131727" w:themeColor="text1"/>
          <w:w w:val="85"/>
        </w:rPr>
        <w:t>G</w:t>
      </w:r>
      <w:r w:rsidRPr="00FD40B8">
        <w:rPr>
          <w:color w:val="131727" w:themeColor="text1"/>
          <w:spacing w:val="-37"/>
          <w:w w:val="85"/>
        </w:rPr>
        <w:t xml:space="preserve"> </w:t>
      </w:r>
      <w:r w:rsidRPr="00FD40B8">
        <w:rPr>
          <w:color w:val="131727" w:themeColor="text1"/>
          <w:spacing w:val="18"/>
          <w:w w:val="85"/>
        </w:rPr>
        <w:t>INA</w:t>
      </w:r>
      <w:r w:rsidRPr="00FD40B8">
        <w:rPr>
          <w:color w:val="131727" w:themeColor="text1"/>
          <w:spacing w:val="-34"/>
          <w:w w:val="85"/>
        </w:rPr>
        <w:t xml:space="preserve"> </w:t>
      </w:r>
      <w:r w:rsidRPr="00FD40B8">
        <w:rPr>
          <w:color w:val="131727" w:themeColor="text1"/>
          <w:w w:val="85"/>
        </w:rPr>
        <w:t>L</w:t>
      </w:r>
      <w:r w:rsidRPr="00FD40B8">
        <w:rPr>
          <w:color w:val="131727" w:themeColor="text1"/>
          <w:spacing w:val="40"/>
        </w:rPr>
        <w:t xml:space="preserve"> </w:t>
      </w:r>
      <w:r w:rsidRPr="00FD40B8">
        <w:rPr>
          <w:color w:val="131727" w:themeColor="text1"/>
          <w:w w:val="85"/>
        </w:rPr>
        <w:t>A</w:t>
      </w:r>
      <w:r w:rsidRPr="00FD40B8">
        <w:rPr>
          <w:color w:val="131727" w:themeColor="text1"/>
          <w:spacing w:val="-34"/>
          <w:w w:val="85"/>
        </w:rPr>
        <w:t xml:space="preserve"> </w:t>
      </w:r>
      <w:r w:rsidRPr="00FD40B8">
        <w:rPr>
          <w:color w:val="131727" w:themeColor="text1"/>
          <w:spacing w:val="13"/>
          <w:w w:val="85"/>
        </w:rPr>
        <w:t>ND</w:t>
      </w:r>
      <w:r w:rsidRPr="00FD40B8">
        <w:rPr>
          <w:color w:val="131727" w:themeColor="text1"/>
          <w:spacing w:val="40"/>
        </w:rPr>
        <w:t xml:space="preserve"> </w:t>
      </w:r>
      <w:r w:rsidRPr="00FD40B8">
        <w:rPr>
          <w:color w:val="131727" w:themeColor="text1"/>
          <w:w w:val="85"/>
        </w:rPr>
        <w:t>T</w:t>
      </w:r>
      <w:r w:rsidRPr="00FD40B8">
        <w:rPr>
          <w:color w:val="131727" w:themeColor="text1"/>
          <w:spacing w:val="-37"/>
          <w:w w:val="85"/>
        </w:rPr>
        <w:t xml:space="preserve"> </w:t>
      </w:r>
      <w:r w:rsidRPr="00FD40B8">
        <w:rPr>
          <w:color w:val="131727" w:themeColor="text1"/>
          <w:spacing w:val="18"/>
          <w:w w:val="85"/>
        </w:rPr>
        <w:t>ORR</w:t>
      </w:r>
      <w:r w:rsidRPr="00FD40B8">
        <w:rPr>
          <w:color w:val="131727" w:themeColor="text1"/>
          <w:spacing w:val="-34"/>
          <w:w w:val="85"/>
        </w:rPr>
        <w:t xml:space="preserve"> </w:t>
      </w:r>
      <w:r w:rsidRPr="00FD40B8">
        <w:rPr>
          <w:color w:val="131727" w:themeColor="text1"/>
          <w:spacing w:val="14"/>
          <w:w w:val="85"/>
        </w:rPr>
        <w:t>ES</w:t>
      </w:r>
      <w:r w:rsidRPr="00FD40B8">
        <w:rPr>
          <w:color w:val="131727" w:themeColor="text1"/>
          <w:spacing w:val="40"/>
        </w:rPr>
        <w:t xml:space="preserve"> </w:t>
      </w:r>
      <w:r w:rsidRPr="00FD40B8">
        <w:rPr>
          <w:color w:val="131727" w:themeColor="text1"/>
          <w:w w:val="85"/>
        </w:rPr>
        <w:t>S</w:t>
      </w:r>
      <w:r w:rsidRPr="00FD40B8">
        <w:rPr>
          <w:color w:val="131727" w:themeColor="text1"/>
          <w:spacing w:val="-38"/>
          <w:w w:val="85"/>
        </w:rPr>
        <w:t xml:space="preserve"> </w:t>
      </w:r>
      <w:r w:rsidRPr="00FD40B8">
        <w:rPr>
          <w:color w:val="131727" w:themeColor="text1"/>
          <w:spacing w:val="20"/>
          <w:w w:val="85"/>
        </w:rPr>
        <w:t>TRAI</w:t>
      </w:r>
      <w:r w:rsidRPr="00FD40B8">
        <w:rPr>
          <w:color w:val="131727" w:themeColor="text1"/>
          <w:spacing w:val="-36"/>
          <w:w w:val="85"/>
        </w:rPr>
        <w:t xml:space="preserve"> </w:t>
      </w:r>
      <w:r w:rsidRPr="00FD40B8">
        <w:rPr>
          <w:color w:val="131727" w:themeColor="text1"/>
          <w:w w:val="85"/>
        </w:rPr>
        <w:t>T</w:t>
      </w:r>
      <w:r w:rsidRPr="00FD40B8">
        <w:rPr>
          <w:color w:val="131727" w:themeColor="text1"/>
          <w:spacing w:val="40"/>
        </w:rPr>
        <w:t xml:space="preserve"> </w:t>
      </w:r>
      <w:r w:rsidRPr="00FD40B8">
        <w:rPr>
          <w:color w:val="131727" w:themeColor="text1"/>
          <w:spacing w:val="13"/>
          <w:w w:val="85"/>
        </w:rPr>
        <w:t>IS</w:t>
      </w:r>
      <w:r w:rsidRPr="00FD40B8">
        <w:rPr>
          <w:color w:val="131727" w:themeColor="text1"/>
          <w:spacing w:val="-38"/>
          <w:w w:val="85"/>
        </w:rPr>
        <w:t xml:space="preserve"> </w:t>
      </w:r>
      <w:r w:rsidRPr="00FD40B8">
        <w:rPr>
          <w:color w:val="131727" w:themeColor="text1"/>
          <w:spacing w:val="20"/>
          <w:w w:val="85"/>
        </w:rPr>
        <w:t>LAND</w:t>
      </w:r>
      <w:r w:rsidRPr="00FD40B8">
        <w:rPr>
          <w:color w:val="131727" w:themeColor="text1"/>
          <w:spacing w:val="-33"/>
          <w:w w:val="85"/>
        </w:rPr>
        <w:t xml:space="preserve"> </w:t>
      </w:r>
      <w:r w:rsidRPr="00FD40B8">
        <w:rPr>
          <w:color w:val="131727" w:themeColor="text1"/>
          <w:spacing w:val="14"/>
          <w:w w:val="85"/>
        </w:rPr>
        <w:t>ER</w:t>
      </w:r>
      <w:r w:rsidRPr="00FD40B8">
        <w:rPr>
          <w:color w:val="131727" w:themeColor="text1"/>
          <w:spacing w:val="40"/>
        </w:rPr>
        <w:t xml:space="preserve"> </w:t>
      </w:r>
      <w:r w:rsidRPr="00FD40B8">
        <w:rPr>
          <w:color w:val="131727" w:themeColor="text1"/>
          <w:w w:val="85"/>
        </w:rPr>
        <w:t>H</w:t>
      </w:r>
      <w:r w:rsidRPr="00FD40B8">
        <w:rPr>
          <w:color w:val="131727" w:themeColor="text1"/>
          <w:spacing w:val="-38"/>
          <w:w w:val="85"/>
        </w:rPr>
        <w:t xml:space="preserve"> </w:t>
      </w:r>
      <w:r w:rsidRPr="00FD40B8">
        <w:rPr>
          <w:color w:val="131727" w:themeColor="text1"/>
          <w:w w:val="85"/>
        </w:rPr>
        <w:t>O</w:t>
      </w:r>
      <w:r w:rsidRPr="00FD40B8">
        <w:rPr>
          <w:color w:val="131727" w:themeColor="text1"/>
          <w:spacing w:val="-37"/>
          <w:w w:val="85"/>
        </w:rPr>
        <w:t xml:space="preserve"> </w:t>
      </w:r>
      <w:r w:rsidRPr="00FD40B8">
        <w:rPr>
          <w:color w:val="131727" w:themeColor="text1"/>
          <w:spacing w:val="14"/>
          <w:w w:val="85"/>
        </w:rPr>
        <w:t>US</w:t>
      </w:r>
      <w:r w:rsidRPr="00FD40B8">
        <w:rPr>
          <w:color w:val="131727" w:themeColor="text1"/>
          <w:spacing w:val="-38"/>
          <w:w w:val="85"/>
        </w:rPr>
        <w:t xml:space="preserve"> </w:t>
      </w:r>
      <w:r w:rsidRPr="00FD40B8">
        <w:rPr>
          <w:color w:val="131727" w:themeColor="text1"/>
          <w:spacing w:val="13"/>
          <w:w w:val="85"/>
        </w:rPr>
        <w:t>IN</w:t>
      </w:r>
      <w:r w:rsidRPr="00FD40B8">
        <w:rPr>
          <w:color w:val="131727" w:themeColor="text1"/>
          <w:spacing w:val="-36"/>
          <w:w w:val="85"/>
        </w:rPr>
        <w:t xml:space="preserve"> </w:t>
      </w:r>
      <w:r w:rsidRPr="00FD40B8">
        <w:rPr>
          <w:color w:val="131727" w:themeColor="text1"/>
          <w:w w:val="85"/>
        </w:rPr>
        <w:t xml:space="preserve">G </w:t>
      </w:r>
      <w:r w:rsidRPr="00FD40B8">
        <w:rPr>
          <w:color w:val="131727" w:themeColor="text1"/>
          <w:w w:val="90"/>
        </w:rPr>
        <w:t>D</w:t>
      </w:r>
      <w:r w:rsidRPr="00FD40B8">
        <w:rPr>
          <w:color w:val="131727" w:themeColor="text1"/>
          <w:spacing w:val="-43"/>
          <w:w w:val="90"/>
        </w:rPr>
        <w:t xml:space="preserve"> </w:t>
      </w:r>
      <w:r w:rsidRPr="00FD40B8">
        <w:rPr>
          <w:color w:val="131727" w:themeColor="text1"/>
          <w:spacing w:val="18"/>
          <w:w w:val="90"/>
        </w:rPr>
        <w:t>ATA</w:t>
      </w:r>
      <w:r w:rsidRPr="00FD40B8">
        <w:rPr>
          <w:color w:val="131727" w:themeColor="text1"/>
          <w:spacing w:val="40"/>
        </w:rPr>
        <w:t xml:space="preserve"> </w:t>
      </w:r>
      <w:r w:rsidRPr="00FD40B8">
        <w:rPr>
          <w:color w:val="131727" w:themeColor="text1"/>
          <w:spacing w:val="19"/>
          <w:w w:val="90"/>
        </w:rPr>
        <w:t>REG</w:t>
      </w:r>
      <w:r w:rsidRPr="00FD40B8">
        <w:rPr>
          <w:color w:val="131727" w:themeColor="text1"/>
          <w:spacing w:val="-41"/>
          <w:w w:val="90"/>
        </w:rPr>
        <w:t xml:space="preserve"> </w:t>
      </w:r>
      <w:r w:rsidRPr="00FD40B8">
        <w:rPr>
          <w:color w:val="131727" w:themeColor="text1"/>
          <w:spacing w:val="13"/>
          <w:w w:val="90"/>
        </w:rPr>
        <w:t>IS</w:t>
      </w:r>
      <w:r w:rsidRPr="00FD40B8">
        <w:rPr>
          <w:color w:val="131727" w:themeColor="text1"/>
          <w:spacing w:val="-42"/>
          <w:w w:val="90"/>
        </w:rPr>
        <w:t xml:space="preserve"> </w:t>
      </w:r>
      <w:r w:rsidRPr="00FD40B8">
        <w:rPr>
          <w:color w:val="131727" w:themeColor="text1"/>
          <w:spacing w:val="18"/>
          <w:w w:val="90"/>
        </w:rPr>
        <w:t>TER</w:t>
      </w:r>
    </w:p>
    <w:p w14:paraId="59BD95ED" w14:textId="77777777" w:rsidR="00811887" w:rsidRPr="00FD40B8" w:rsidRDefault="00811887" w:rsidP="00811887">
      <w:pPr>
        <w:pStyle w:val="BodyText"/>
        <w:spacing w:before="82" w:line="266" w:lineRule="auto"/>
        <w:ind w:left="508" w:right="598"/>
        <w:rPr>
          <w:color w:val="131727" w:themeColor="text1"/>
        </w:rPr>
      </w:pPr>
      <w:r w:rsidRPr="00FD40B8">
        <w:rPr>
          <w:color w:val="131727" w:themeColor="text1"/>
          <w:w w:val="110"/>
        </w:rPr>
        <w:t>We propose that the Commonwealth Government invest in a National Aboriginal and Torres Strait Islander</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Register (Register)</w:t>
      </w:r>
      <w:r w:rsidRPr="00FD40B8">
        <w:rPr>
          <w:color w:val="131727" w:themeColor="text1"/>
          <w:spacing w:val="-2"/>
          <w:w w:val="110"/>
        </w:rPr>
        <w:t xml:space="preserve"> </w:t>
      </w:r>
      <w:r w:rsidRPr="00FD40B8">
        <w:rPr>
          <w:color w:val="131727" w:themeColor="text1"/>
          <w:w w:val="110"/>
        </w:rPr>
        <w:t>to</w:t>
      </w:r>
      <w:r w:rsidRPr="00FD40B8">
        <w:rPr>
          <w:color w:val="131727" w:themeColor="text1"/>
          <w:spacing w:val="-4"/>
          <w:w w:val="110"/>
        </w:rPr>
        <w:t xml:space="preserve"> </w:t>
      </w:r>
      <w:r w:rsidRPr="00FD40B8">
        <w:rPr>
          <w:color w:val="131727" w:themeColor="text1"/>
          <w:w w:val="110"/>
        </w:rPr>
        <w:t>hold</w:t>
      </w:r>
      <w:r w:rsidRPr="00FD40B8">
        <w:rPr>
          <w:color w:val="131727" w:themeColor="text1"/>
          <w:spacing w:val="-5"/>
          <w:w w:val="110"/>
        </w:rPr>
        <w:t xml:space="preserve"> </w:t>
      </w:r>
      <w:r w:rsidRPr="00FD40B8">
        <w:rPr>
          <w:color w:val="131727" w:themeColor="text1"/>
          <w:w w:val="110"/>
        </w:rPr>
        <w:t>data</w:t>
      </w:r>
      <w:r w:rsidRPr="00FD40B8">
        <w:rPr>
          <w:color w:val="131727" w:themeColor="text1"/>
          <w:spacing w:val="-6"/>
          <w:w w:val="110"/>
        </w:rPr>
        <w:t xml:space="preserve"> </w:t>
      </w:r>
      <w:r w:rsidRPr="00FD40B8">
        <w:rPr>
          <w:color w:val="131727" w:themeColor="text1"/>
          <w:w w:val="110"/>
        </w:rPr>
        <w:t>and</w:t>
      </w:r>
      <w:r w:rsidRPr="00FD40B8">
        <w:rPr>
          <w:color w:val="131727" w:themeColor="text1"/>
          <w:spacing w:val="-1"/>
          <w:w w:val="110"/>
        </w:rPr>
        <w:t xml:space="preserve"> </w:t>
      </w:r>
      <w:r w:rsidRPr="00FD40B8">
        <w:rPr>
          <w:color w:val="131727" w:themeColor="text1"/>
          <w:w w:val="110"/>
        </w:rPr>
        <w:t>information</w:t>
      </w:r>
      <w:r w:rsidRPr="00FD40B8">
        <w:rPr>
          <w:color w:val="131727" w:themeColor="text1"/>
          <w:spacing w:val="-4"/>
          <w:w w:val="110"/>
        </w:rPr>
        <w:t xml:space="preserve"> </w:t>
      </w:r>
      <w:r w:rsidRPr="00FD40B8">
        <w:rPr>
          <w:color w:val="131727" w:themeColor="text1"/>
          <w:w w:val="110"/>
        </w:rPr>
        <w:t>on Aboriginal and</w:t>
      </w:r>
      <w:r w:rsidRPr="00FD40B8">
        <w:rPr>
          <w:color w:val="131727" w:themeColor="text1"/>
          <w:spacing w:val="-5"/>
          <w:w w:val="110"/>
        </w:rPr>
        <w:t xml:space="preserve"> </w:t>
      </w:r>
      <w:r w:rsidRPr="00FD40B8">
        <w:rPr>
          <w:color w:val="131727" w:themeColor="text1"/>
          <w:w w:val="110"/>
        </w:rPr>
        <w:t>Torres Strait Islander housing and related housing and community infrastructure.</w:t>
      </w:r>
    </w:p>
    <w:p w14:paraId="592D8BF9" w14:textId="77777777" w:rsidR="00811887" w:rsidRPr="00FD40B8" w:rsidRDefault="00811887" w:rsidP="00811887">
      <w:pPr>
        <w:pStyle w:val="BodyText"/>
        <w:spacing w:before="123" w:line="268" w:lineRule="auto"/>
        <w:ind w:left="508"/>
        <w:rPr>
          <w:color w:val="131727" w:themeColor="text1"/>
        </w:rPr>
      </w:pPr>
      <w:r w:rsidRPr="00FD40B8">
        <w:rPr>
          <w:color w:val="131727" w:themeColor="text1"/>
          <w:w w:val="105"/>
        </w:rPr>
        <w:t>While</w:t>
      </w:r>
      <w:r w:rsidRPr="00FD40B8">
        <w:rPr>
          <w:color w:val="131727" w:themeColor="text1"/>
          <w:spacing w:val="22"/>
          <w:w w:val="105"/>
        </w:rPr>
        <w:t xml:space="preserve"> </w:t>
      </w:r>
      <w:r w:rsidRPr="00FD40B8">
        <w:rPr>
          <w:color w:val="131727" w:themeColor="text1"/>
          <w:w w:val="105"/>
        </w:rPr>
        <w:t>necessary,</w:t>
      </w:r>
      <w:r w:rsidRPr="00FD40B8">
        <w:rPr>
          <w:color w:val="131727" w:themeColor="text1"/>
          <w:spacing w:val="22"/>
          <w:w w:val="105"/>
        </w:rPr>
        <w:t xml:space="preserve"> </w:t>
      </w:r>
      <w:r w:rsidRPr="00FD40B8">
        <w:rPr>
          <w:color w:val="131727" w:themeColor="text1"/>
          <w:w w:val="105"/>
        </w:rPr>
        <w:t>it</w:t>
      </w:r>
      <w:r w:rsidRPr="00FD40B8">
        <w:rPr>
          <w:color w:val="131727" w:themeColor="text1"/>
          <w:spacing w:val="24"/>
          <w:w w:val="105"/>
        </w:rPr>
        <w:t xml:space="preserve"> </w:t>
      </w:r>
      <w:r w:rsidRPr="00FD40B8">
        <w:rPr>
          <w:color w:val="131727" w:themeColor="text1"/>
          <w:w w:val="105"/>
        </w:rPr>
        <w:t>would not be sufficient, for</w:t>
      </w:r>
      <w:r w:rsidRPr="00FD40B8">
        <w:rPr>
          <w:color w:val="131727" w:themeColor="text1"/>
          <w:spacing w:val="19"/>
          <w:w w:val="105"/>
        </w:rPr>
        <w:t xml:space="preserve"> </w:t>
      </w:r>
      <w:r w:rsidRPr="00FD40B8">
        <w:rPr>
          <w:color w:val="131727" w:themeColor="text1"/>
          <w:w w:val="105"/>
        </w:rPr>
        <w:t>the</w:t>
      </w:r>
      <w:r w:rsidRPr="00FD40B8">
        <w:rPr>
          <w:color w:val="131727" w:themeColor="text1"/>
          <w:spacing w:val="23"/>
          <w:w w:val="105"/>
        </w:rPr>
        <w:t xml:space="preserve"> </w:t>
      </w:r>
      <w:r w:rsidRPr="00FD40B8">
        <w:rPr>
          <w:color w:val="131727" w:themeColor="text1"/>
          <w:w w:val="105"/>
        </w:rPr>
        <w:t>Register</w:t>
      </w:r>
      <w:r w:rsidRPr="00FD40B8">
        <w:rPr>
          <w:color w:val="131727" w:themeColor="text1"/>
          <w:spacing w:val="20"/>
          <w:w w:val="105"/>
        </w:rPr>
        <w:t xml:space="preserve"> </w:t>
      </w:r>
      <w:r w:rsidRPr="00FD40B8">
        <w:rPr>
          <w:color w:val="131727" w:themeColor="text1"/>
          <w:w w:val="105"/>
        </w:rPr>
        <w:t>to bring</w:t>
      </w:r>
      <w:r w:rsidRPr="00FD40B8">
        <w:rPr>
          <w:color w:val="131727" w:themeColor="text1"/>
          <w:spacing w:val="22"/>
          <w:w w:val="105"/>
        </w:rPr>
        <w:t xml:space="preserve"> </w:t>
      </w:r>
      <w:r w:rsidRPr="00FD40B8">
        <w:rPr>
          <w:color w:val="131727" w:themeColor="text1"/>
          <w:w w:val="105"/>
        </w:rPr>
        <w:t>together</w:t>
      </w:r>
      <w:r w:rsidRPr="00FD40B8">
        <w:rPr>
          <w:color w:val="131727" w:themeColor="text1"/>
          <w:spacing w:val="19"/>
          <w:w w:val="105"/>
        </w:rPr>
        <w:t xml:space="preserve"> </w:t>
      </w:r>
      <w:r w:rsidRPr="00FD40B8">
        <w:rPr>
          <w:color w:val="131727" w:themeColor="text1"/>
          <w:w w:val="105"/>
        </w:rPr>
        <w:t>existing</w:t>
      </w:r>
      <w:r w:rsidRPr="00FD40B8">
        <w:rPr>
          <w:color w:val="131727" w:themeColor="text1"/>
          <w:spacing w:val="19"/>
          <w:w w:val="105"/>
        </w:rPr>
        <w:t xml:space="preserve"> </w:t>
      </w:r>
      <w:r w:rsidRPr="00FD40B8">
        <w:rPr>
          <w:color w:val="131727" w:themeColor="text1"/>
          <w:w w:val="105"/>
        </w:rPr>
        <w:t>ABS</w:t>
      </w:r>
      <w:r w:rsidRPr="00FD40B8">
        <w:rPr>
          <w:color w:val="131727" w:themeColor="text1"/>
          <w:spacing w:val="23"/>
          <w:w w:val="105"/>
        </w:rPr>
        <w:t xml:space="preserve"> </w:t>
      </w:r>
      <w:r w:rsidRPr="00FD40B8">
        <w:rPr>
          <w:color w:val="131727" w:themeColor="text1"/>
          <w:w w:val="105"/>
        </w:rPr>
        <w:t>and AIHW</w:t>
      </w:r>
      <w:r w:rsidRPr="00FD40B8">
        <w:rPr>
          <w:color w:val="131727" w:themeColor="text1"/>
          <w:spacing w:val="19"/>
          <w:w w:val="105"/>
        </w:rPr>
        <w:t xml:space="preserve"> </w:t>
      </w:r>
      <w:r w:rsidRPr="00FD40B8">
        <w:rPr>
          <w:color w:val="131727" w:themeColor="text1"/>
          <w:w w:val="105"/>
        </w:rPr>
        <w:t>held information</w:t>
      </w:r>
      <w:r w:rsidRPr="00FD40B8">
        <w:rPr>
          <w:color w:val="131727" w:themeColor="text1"/>
          <w:spacing w:val="40"/>
          <w:w w:val="105"/>
        </w:rPr>
        <w:t xml:space="preserve"> </w:t>
      </w:r>
      <w:r w:rsidRPr="00FD40B8">
        <w:rPr>
          <w:color w:val="131727" w:themeColor="text1"/>
          <w:w w:val="105"/>
        </w:rPr>
        <w:t>and</w:t>
      </w:r>
      <w:r w:rsidRPr="00FD40B8">
        <w:rPr>
          <w:color w:val="131727" w:themeColor="text1"/>
          <w:spacing w:val="40"/>
          <w:w w:val="105"/>
        </w:rPr>
        <w:t xml:space="preserve"> </w:t>
      </w:r>
      <w:r w:rsidRPr="00FD40B8">
        <w:rPr>
          <w:color w:val="131727" w:themeColor="text1"/>
          <w:w w:val="105"/>
        </w:rPr>
        <w:t>collections.</w:t>
      </w:r>
      <w:r w:rsidRPr="00FD40B8">
        <w:rPr>
          <w:color w:val="131727" w:themeColor="text1"/>
          <w:spacing w:val="40"/>
          <w:w w:val="105"/>
        </w:rPr>
        <w:t xml:space="preserve"> </w:t>
      </w:r>
      <w:r w:rsidRPr="00FD40B8">
        <w:rPr>
          <w:color w:val="131727" w:themeColor="text1"/>
          <w:w w:val="105"/>
        </w:rPr>
        <w:t>The</w:t>
      </w:r>
      <w:r w:rsidRPr="00FD40B8">
        <w:rPr>
          <w:color w:val="131727" w:themeColor="text1"/>
          <w:spacing w:val="40"/>
          <w:w w:val="105"/>
        </w:rPr>
        <w:t xml:space="preserve"> </w:t>
      </w:r>
      <w:r w:rsidRPr="00FD40B8">
        <w:rPr>
          <w:color w:val="131727" w:themeColor="text1"/>
          <w:w w:val="105"/>
        </w:rPr>
        <w:t>Register</w:t>
      </w:r>
      <w:r w:rsidRPr="00FD40B8">
        <w:rPr>
          <w:color w:val="131727" w:themeColor="text1"/>
          <w:spacing w:val="40"/>
          <w:w w:val="105"/>
        </w:rPr>
        <w:t xml:space="preserve"> </w:t>
      </w:r>
      <w:r w:rsidRPr="00FD40B8">
        <w:rPr>
          <w:color w:val="131727" w:themeColor="text1"/>
          <w:w w:val="105"/>
        </w:rPr>
        <w:t>should</w:t>
      </w:r>
      <w:r w:rsidRPr="00FD40B8">
        <w:rPr>
          <w:color w:val="131727" w:themeColor="text1"/>
          <w:spacing w:val="40"/>
          <w:w w:val="105"/>
        </w:rPr>
        <w:t xml:space="preserve"> </w:t>
      </w:r>
      <w:r w:rsidRPr="00FD40B8">
        <w:rPr>
          <w:color w:val="131727" w:themeColor="text1"/>
          <w:w w:val="105"/>
        </w:rPr>
        <w:t>also</w:t>
      </w:r>
      <w:r w:rsidRPr="00FD40B8">
        <w:rPr>
          <w:color w:val="131727" w:themeColor="text1"/>
          <w:spacing w:val="40"/>
          <w:w w:val="105"/>
        </w:rPr>
        <w:t xml:space="preserve"> </w:t>
      </w:r>
      <w:r w:rsidRPr="00FD40B8">
        <w:rPr>
          <w:color w:val="131727" w:themeColor="text1"/>
          <w:w w:val="105"/>
        </w:rPr>
        <w:t>be</w:t>
      </w:r>
      <w:r w:rsidRPr="00FD40B8">
        <w:rPr>
          <w:color w:val="131727" w:themeColor="text1"/>
          <w:spacing w:val="40"/>
          <w:w w:val="105"/>
        </w:rPr>
        <w:t xml:space="preserve"> </w:t>
      </w:r>
      <w:r w:rsidRPr="00FD40B8">
        <w:rPr>
          <w:color w:val="131727" w:themeColor="text1"/>
          <w:w w:val="105"/>
        </w:rPr>
        <w:t>informed</w:t>
      </w:r>
      <w:r w:rsidRPr="00FD40B8">
        <w:rPr>
          <w:color w:val="131727" w:themeColor="text1"/>
          <w:spacing w:val="40"/>
          <w:w w:val="105"/>
        </w:rPr>
        <w:t xml:space="preserve"> </w:t>
      </w:r>
      <w:r w:rsidRPr="00FD40B8">
        <w:rPr>
          <w:color w:val="131727" w:themeColor="text1"/>
          <w:w w:val="105"/>
        </w:rPr>
        <w:t>by:</w:t>
      </w:r>
    </w:p>
    <w:p w14:paraId="435FB85B" w14:textId="77777777" w:rsidR="00811887" w:rsidRPr="00FD40B8" w:rsidRDefault="00811887" w:rsidP="00811887">
      <w:pPr>
        <w:pStyle w:val="ListParagraph"/>
        <w:widowControl w:val="0"/>
        <w:numPr>
          <w:ilvl w:val="0"/>
          <w:numId w:val="63"/>
        </w:numPr>
        <w:tabs>
          <w:tab w:val="left" w:pos="1228"/>
        </w:tabs>
        <w:autoSpaceDE w:val="0"/>
        <w:autoSpaceDN w:val="0"/>
        <w:spacing w:before="106" w:after="0" w:line="268" w:lineRule="auto"/>
        <w:ind w:right="663"/>
        <w:contextualSpacing w:val="0"/>
        <w:rPr>
          <w:color w:val="131727" w:themeColor="text1"/>
          <w:sz w:val="20"/>
        </w:rPr>
      </w:pPr>
      <w:r w:rsidRPr="00FD40B8">
        <w:rPr>
          <w:color w:val="131727" w:themeColor="text1"/>
          <w:w w:val="110"/>
          <w:sz w:val="20"/>
        </w:rPr>
        <w:t>improved performance reporting and</w:t>
      </w:r>
      <w:r w:rsidRPr="00FD40B8">
        <w:rPr>
          <w:color w:val="131727" w:themeColor="text1"/>
          <w:spacing w:val="-3"/>
          <w:w w:val="110"/>
          <w:sz w:val="20"/>
        </w:rPr>
        <w:t xml:space="preserve"> </w:t>
      </w:r>
      <w:r w:rsidRPr="00FD40B8">
        <w:rPr>
          <w:color w:val="131727" w:themeColor="text1"/>
          <w:w w:val="110"/>
          <w:sz w:val="20"/>
        </w:rPr>
        <w:t>State and Territory Government</w:t>
      </w:r>
      <w:r w:rsidRPr="00FD40B8">
        <w:rPr>
          <w:color w:val="131727" w:themeColor="text1"/>
          <w:spacing w:val="-3"/>
          <w:w w:val="110"/>
          <w:sz w:val="20"/>
        </w:rPr>
        <w:t xml:space="preserve"> </w:t>
      </w:r>
      <w:r w:rsidRPr="00FD40B8">
        <w:rPr>
          <w:color w:val="131727" w:themeColor="text1"/>
          <w:w w:val="110"/>
          <w:sz w:val="20"/>
        </w:rPr>
        <w:t>held</w:t>
      </w:r>
      <w:r w:rsidRPr="00FD40B8">
        <w:rPr>
          <w:color w:val="131727" w:themeColor="text1"/>
          <w:spacing w:val="-3"/>
          <w:w w:val="110"/>
          <w:sz w:val="20"/>
        </w:rPr>
        <w:t xml:space="preserve"> </w:t>
      </w:r>
      <w:r w:rsidRPr="00FD40B8">
        <w:rPr>
          <w:color w:val="131727" w:themeColor="text1"/>
          <w:w w:val="110"/>
          <w:sz w:val="20"/>
        </w:rPr>
        <w:t>data</w:t>
      </w:r>
      <w:r w:rsidRPr="00FD40B8">
        <w:rPr>
          <w:color w:val="131727" w:themeColor="text1"/>
          <w:spacing w:val="-4"/>
          <w:w w:val="110"/>
          <w:sz w:val="20"/>
        </w:rPr>
        <w:t xml:space="preserve"> </w:t>
      </w:r>
      <w:r w:rsidRPr="00FD40B8">
        <w:rPr>
          <w:color w:val="131727" w:themeColor="text1"/>
          <w:w w:val="110"/>
          <w:sz w:val="20"/>
        </w:rPr>
        <w:t>sharing as part of the NHHA and a new remote housing Northern Territory Agreement</w:t>
      </w:r>
    </w:p>
    <w:p w14:paraId="4A306049" w14:textId="77777777" w:rsidR="00811887" w:rsidRPr="00FD40B8" w:rsidRDefault="00811887" w:rsidP="00811887">
      <w:pPr>
        <w:pStyle w:val="ListParagraph"/>
        <w:widowControl w:val="0"/>
        <w:numPr>
          <w:ilvl w:val="0"/>
          <w:numId w:val="63"/>
        </w:numPr>
        <w:tabs>
          <w:tab w:val="left" w:pos="1228"/>
        </w:tabs>
        <w:autoSpaceDE w:val="0"/>
        <w:autoSpaceDN w:val="0"/>
        <w:spacing w:before="230" w:after="0" w:line="268" w:lineRule="auto"/>
        <w:ind w:right="546"/>
        <w:contextualSpacing w:val="0"/>
        <w:rPr>
          <w:color w:val="131727" w:themeColor="text1"/>
          <w:sz w:val="20"/>
        </w:rPr>
      </w:pPr>
      <w:r w:rsidRPr="00FD40B8">
        <w:rPr>
          <w:color w:val="131727" w:themeColor="text1"/>
          <w:w w:val="110"/>
          <w:sz w:val="20"/>
        </w:rPr>
        <w:t>a redesigned Community Housing</w:t>
      </w:r>
      <w:r w:rsidRPr="00FD40B8">
        <w:rPr>
          <w:color w:val="131727" w:themeColor="text1"/>
          <w:spacing w:val="-2"/>
          <w:w w:val="110"/>
          <w:sz w:val="20"/>
        </w:rPr>
        <w:t xml:space="preserve"> </w:t>
      </w:r>
      <w:r w:rsidRPr="00FD40B8">
        <w:rPr>
          <w:color w:val="131727" w:themeColor="text1"/>
          <w:w w:val="110"/>
          <w:sz w:val="20"/>
        </w:rPr>
        <w:t>Infrastructure Needs (CHINS)</w:t>
      </w:r>
      <w:r w:rsidRPr="00FD40B8">
        <w:rPr>
          <w:color w:val="131727" w:themeColor="text1"/>
          <w:spacing w:val="-3"/>
          <w:w w:val="110"/>
          <w:sz w:val="20"/>
        </w:rPr>
        <w:t xml:space="preserve"> </w:t>
      </w:r>
      <w:r w:rsidRPr="00FD40B8">
        <w:rPr>
          <w:color w:val="131727" w:themeColor="text1"/>
          <w:w w:val="110"/>
          <w:sz w:val="20"/>
        </w:rPr>
        <w:t>survey, which takes into account the</w:t>
      </w:r>
      <w:r w:rsidRPr="00FD40B8">
        <w:rPr>
          <w:color w:val="131727" w:themeColor="text1"/>
          <w:spacing w:val="-1"/>
          <w:w w:val="110"/>
          <w:sz w:val="20"/>
        </w:rPr>
        <w:t xml:space="preserve"> </w:t>
      </w:r>
      <w:r w:rsidRPr="00FD40B8">
        <w:rPr>
          <w:color w:val="131727" w:themeColor="text1"/>
          <w:w w:val="110"/>
          <w:sz w:val="20"/>
        </w:rPr>
        <w:t>limitations</w:t>
      </w:r>
      <w:r w:rsidRPr="00FD40B8">
        <w:rPr>
          <w:color w:val="131727" w:themeColor="text1"/>
          <w:spacing w:val="-4"/>
          <w:w w:val="110"/>
          <w:sz w:val="20"/>
        </w:rPr>
        <w:t xml:space="preserve"> </w:t>
      </w:r>
      <w:r w:rsidRPr="00FD40B8">
        <w:rPr>
          <w:color w:val="131727" w:themeColor="text1"/>
          <w:w w:val="110"/>
          <w:sz w:val="20"/>
        </w:rPr>
        <w:t>of the</w:t>
      </w:r>
      <w:r w:rsidRPr="00FD40B8">
        <w:rPr>
          <w:color w:val="131727" w:themeColor="text1"/>
          <w:spacing w:val="-1"/>
          <w:w w:val="110"/>
          <w:sz w:val="20"/>
        </w:rPr>
        <w:t xml:space="preserve"> </w:t>
      </w:r>
      <w:r w:rsidRPr="00FD40B8">
        <w:rPr>
          <w:color w:val="131727" w:themeColor="text1"/>
          <w:w w:val="110"/>
          <w:sz w:val="20"/>
        </w:rPr>
        <w:t>earlier</w:t>
      </w:r>
      <w:r w:rsidRPr="00FD40B8">
        <w:rPr>
          <w:color w:val="131727" w:themeColor="text1"/>
          <w:spacing w:val="-7"/>
          <w:w w:val="110"/>
          <w:sz w:val="20"/>
        </w:rPr>
        <w:t xml:space="preserve"> </w:t>
      </w:r>
      <w:r w:rsidRPr="00FD40B8">
        <w:rPr>
          <w:color w:val="131727" w:themeColor="text1"/>
          <w:w w:val="110"/>
          <w:sz w:val="20"/>
        </w:rPr>
        <w:t>iterations</w:t>
      </w:r>
      <w:r w:rsidRPr="00FD40B8">
        <w:rPr>
          <w:color w:val="131727" w:themeColor="text1"/>
          <w:spacing w:val="-4"/>
          <w:w w:val="110"/>
          <w:sz w:val="20"/>
        </w:rPr>
        <w:t xml:space="preserve"> </w:t>
      </w:r>
      <w:r w:rsidRPr="00FD40B8">
        <w:rPr>
          <w:color w:val="131727" w:themeColor="text1"/>
          <w:w w:val="110"/>
          <w:sz w:val="20"/>
        </w:rPr>
        <w:t>of</w:t>
      </w:r>
      <w:r w:rsidRPr="00FD40B8">
        <w:rPr>
          <w:color w:val="131727" w:themeColor="text1"/>
          <w:spacing w:val="-4"/>
          <w:w w:val="110"/>
          <w:sz w:val="20"/>
        </w:rPr>
        <w:t xml:space="preserve"> </w:t>
      </w:r>
      <w:r w:rsidRPr="00FD40B8">
        <w:rPr>
          <w:color w:val="131727" w:themeColor="text1"/>
          <w:w w:val="110"/>
          <w:sz w:val="20"/>
        </w:rPr>
        <w:t>CHINS</w:t>
      </w:r>
      <w:r w:rsidRPr="00FD40B8">
        <w:rPr>
          <w:color w:val="131727" w:themeColor="text1"/>
          <w:spacing w:val="-5"/>
          <w:w w:val="110"/>
          <w:sz w:val="20"/>
        </w:rPr>
        <w:t xml:space="preserve"> </w:t>
      </w:r>
      <w:r w:rsidRPr="00FD40B8">
        <w:rPr>
          <w:color w:val="131727" w:themeColor="text1"/>
          <w:w w:val="110"/>
          <w:sz w:val="20"/>
        </w:rPr>
        <w:t>and</w:t>
      </w:r>
      <w:r w:rsidRPr="00FD40B8">
        <w:rPr>
          <w:color w:val="131727" w:themeColor="text1"/>
          <w:spacing w:val="-5"/>
          <w:w w:val="110"/>
          <w:sz w:val="20"/>
        </w:rPr>
        <w:t xml:space="preserve"> </w:t>
      </w:r>
      <w:r w:rsidRPr="00FD40B8">
        <w:rPr>
          <w:color w:val="131727" w:themeColor="text1"/>
          <w:w w:val="110"/>
          <w:sz w:val="20"/>
        </w:rPr>
        <w:t>subsequent</w:t>
      </w:r>
      <w:r w:rsidRPr="00FD40B8">
        <w:rPr>
          <w:color w:val="131727" w:themeColor="text1"/>
          <w:spacing w:val="-1"/>
          <w:w w:val="110"/>
          <w:sz w:val="20"/>
        </w:rPr>
        <w:t xml:space="preserve"> </w:t>
      </w:r>
      <w:r w:rsidRPr="00FD40B8">
        <w:rPr>
          <w:color w:val="131727" w:themeColor="text1"/>
          <w:w w:val="110"/>
          <w:sz w:val="20"/>
        </w:rPr>
        <w:t>advancements</w:t>
      </w:r>
      <w:r w:rsidRPr="00FD40B8">
        <w:rPr>
          <w:color w:val="131727" w:themeColor="text1"/>
          <w:spacing w:val="-4"/>
          <w:w w:val="110"/>
          <w:sz w:val="20"/>
        </w:rPr>
        <w:t xml:space="preserve"> </w:t>
      </w:r>
      <w:r w:rsidRPr="00FD40B8">
        <w:rPr>
          <w:color w:val="131727" w:themeColor="text1"/>
          <w:w w:val="110"/>
          <w:sz w:val="20"/>
        </w:rPr>
        <w:t>in data</w:t>
      </w:r>
      <w:r w:rsidRPr="00FD40B8">
        <w:rPr>
          <w:color w:val="131727" w:themeColor="text1"/>
          <w:spacing w:val="-3"/>
          <w:w w:val="110"/>
          <w:sz w:val="20"/>
        </w:rPr>
        <w:t xml:space="preserve"> </w:t>
      </w:r>
      <w:r w:rsidRPr="00FD40B8">
        <w:rPr>
          <w:color w:val="131727" w:themeColor="text1"/>
          <w:w w:val="110"/>
          <w:sz w:val="20"/>
        </w:rPr>
        <w:t>collection</w:t>
      </w:r>
    </w:p>
    <w:p w14:paraId="3CEAB992" w14:textId="77777777" w:rsidR="00811887" w:rsidRPr="00FD40B8" w:rsidRDefault="00811887" w:rsidP="00811887">
      <w:pPr>
        <w:pStyle w:val="ListParagraph"/>
        <w:widowControl w:val="0"/>
        <w:numPr>
          <w:ilvl w:val="0"/>
          <w:numId w:val="63"/>
        </w:numPr>
        <w:tabs>
          <w:tab w:val="left" w:pos="1228"/>
        </w:tabs>
        <w:autoSpaceDE w:val="0"/>
        <w:autoSpaceDN w:val="0"/>
        <w:spacing w:before="225" w:after="0" w:line="268" w:lineRule="auto"/>
        <w:ind w:right="997"/>
        <w:contextualSpacing w:val="0"/>
        <w:rPr>
          <w:color w:val="131727" w:themeColor="text1"/>
          <w:sz w:val="20"/>
        </w:rPr>
      </w:pPr>
      <w:r w:rsidRPr="00FD40B8">
        <w:rPr>
          <w:color w:val="131727" w:themeColor="text1"/>
          <w:w w:val="110"/>
          <w:sz w:val="20"/>
        </w:rPr>
        <w:t>rapid assessments of homelessness and overcrowding for remote hotspot areas to support targeted investments by government</w:t>
      </w:r>
    </w:p>
    <w:p w14:paraId="13DDE2D8" w14:textId="77777777" w:rsidR="00811887" w:rsidRPr="00FD40B8" w:rsidRDefault="00811887" w:rsidP="00811887">
      <w:pPr>
        <w:pStyle w:val="ListParagraph"/>
        <w:widowControl w:val="0"/>
        <w:numPr>
          <w:ilvl w:val="0"/>
          <w:numId w:val="63"/>
        </w:numPr>
        <w:tabs>
          <w:tab w:val="left" w:pos="1228"/>
        </w:tabs>
        <w:autoSpaceDE w:val="0"/>
        <w:autoSpaceDN w:val="0"/>
        <w:spacing w:before="229" w:after="0"/>
        <w:ind w:hanging="360"/>
        <w:contextualSpacing w:val="0"/>
        <w:rPr>
          <w:color w:val="131727" w:themeColor="text1"/>
          <w:sz w:val="20"/>
        </w:rPr>
      </w:pPr>
      <w:r w:rsidRPr="00FD40B8">
        <w:rPr>
          <w:color w:val="131727" w:themeColor="text1"/>
          <w:w w:val="110"/>
          <w:sz w:val="20"/>
        </w:rPr>
        <w:t>community</w:t>
      </w:r>
      <w:r w:rsidRPr="00FD40B8">
        <w:rPr>
          <w:color w:val="131727" w:themeColor="text1"/>
          <w:spacing w:val="-5"/>
          <w:w w:val="110"/>
          <w:sz w:val="20"/>
        </w:rPr>
        <w:t xml:space="preserve"> </w:t>
      </w:r>
      <w:r w:rsidRPr="00FD40B8">
        <w:rPr>
          <w:color w:val="131727" w:themeColor="text1"/>
          <w:w w:val="110"/>
          <w:sz w:val="20"/>
        </w:rPr>
        <w:t>held</w:t>
      </w:r>
      <w:r w:rsidRPr="00FD40B8">
        <w:rPr>
          <w:color w:val="131727" w:themeColor="text1"/>
          <w:spacing w:val="-8"/>
          <w:w w:val="110"/>
          <w:sz w:val="20"/>
        </w:rPr>
        <w:t xml:space="preserve"> </w:t>
      </w:r>
      <w:r w:rsidRPr="00FD40B8">
        <w:rPr>
          <w:color w:val="131727" w:themeColor="text1"/>
          <w:w w:val="110"/>
          <w:sz w:val="20"/>
        </w:rPr>
        <w:t>data</w:t>
      </w:r>
      <w:r w:rsidRPr="00FD40B8">
        <w:rPr>
          <w:color w:val="131727" w:themeColor="text1"/>
          <w:spacing w:val="-4"/>
          <w:w w:val="110"/>
          <w:sz w:val="20"/>
        </w:rPr>
        <w:t xml:space="preserve"> </w:t>
      </w:r>
      <w:r w:rsidRPr="00FD40B8">
        <w:rPr>
          <w:color w:val="131727" w:themeColor="text1"/>
          <w:w w:val="110"/>
          <w:sz w:val="20"/>
        </w:rPr>
        <w:t>as</w:t>
      </w:r>
      <w:r w:rsidRPr="00FD40B8">
        <w:rPr>
          <w:color w:val="131727" w:themeColor="text1"/>
          <w:spacing w:val="-1"/>
          <w:w w:val="110"/>
          <w:sz w:val="20"/>
        </w:rPr>
        <w:t xml:space="preserve"> </w:t>
      </w:r>
      <w:r w:rsidRPr="00FD40B8">
        <w:rPr>
          <w:color w:val="131727" w:themeColor="text1"/>
          <w:w w:val="110"/>
          <w:sz w:val="20"/>
        </w:rPr>
        <w:t>agreed</w:t>
      </w:r>
      <w:r w:rsidRPr="00FD40B8">
        <w:rPr>
          <w:color w:val="131727" w:themeColor="text1"/>
          <w:spacing w:val="-3"/>
          <w:w w:val="110"/>
          <w:sz w:val="20"/>
        </w:rPr>
        <w:t xml:space="preserve"> </w:t>
      </w:r>
      <w:r w:rsidRPr="00FD40B8">
        <w:rPr>
          <w:color w:val="131727" w:themeColor="text1"/>
          <w:w w:val="110"/>
          <w:sz w:val="20"/>
        </w:rPr>
        <w:t>by</w:t>
      </w:r>
      <w:r w:rsidRPr="00FD40B8">
        <w:rPr>
          <w:color w:val="131727" w:themeColor="text1"/>
          <w:spacing w:val="-4"/>
          <w:w w:val="110"/>
          <w:sz w:val="20"/>
        </w:rPr>
        <w:t xml:space="preserve"> </w:t>
      </w:r>
      <w:r w:rsidRPr="00FD40B8">
        <w:rPr>
          <w:color w:val="131727" w:themeColor="text1"/>
          <w:w w:val="110"/>
          <w:sz w:val="20"/>
        </w:rPr>
        <w:t>communities</w:t>
      </w:r>
      <w:r w:rsidRPr="00FD40B8">
        <w:rPr>
          <w:color w:val="131727" w:themeColor="text1"/>
          <w:spacing w:val="-2"/>
          <w:w w:val="110"/>
          <w:sz w:val="20"/>
        </w:rPr>
        <w:t xml:space="preserve"> </w:t>
      </w:r>
      <w:r w:rsidRPr="00FD40B8">
        <w:rPr>
          <w:color w:val="131727" w:themeColor="text1"/>
          <w:w w:val="110"/>
          <w:sz w:val="20"/>
        </w:rPr>
        <w:t>and</w:t>
      </w:r>
      <w:r w:rsidRPr="00FD40B8">
        <w:rPr>
          <w:color w:val="131727" w:themeColor="text1"/>
          <w:spacing w:val="-3"/>
          <w:w w:val="110"/>
          <w:sz w:val="20"/>
        </w:rPr>
        <w:t xml:space="preserve"> </w:t>
      </w:r>
      <w:r w:rsidRPr="00FD40B8">
        <w:rPr>
          <w:color w:val="131727" w:themeColor="text1"/>
          <w:w w:val="110"/>
          <w:sz w:val="20"/>
        </w:rPr>
        <w:t>community-controlled</w:t>
      </w:r>
      <w:r w:rsidRPr="00FD40B8">
        <w:rPr>
          <w:color w:val="131727" w:themeColor="text1"/>
          <w:spacing w:val="-7"/>
          <w:w w:val="110"/>
          <w:sz w:val="20"/>
        </w:rPr>
        <w:t xml:space="preserve"> </w:t>
      </w:r>
      <w:r w:rsidRPr="00FD40B8">
        <w:rPr>
          <w:color w:val="131727" w:themeColor="text1"/>
          <w:spacing w:val="-2"/>
          <w:w w:val="110"/>
          <w:sz w:val="20"/>
        </w:rPr>
        <w:t>organisations.</w:t>
      </w:r>
    </w:p>
    <w:p w14:paraId="425432EA" w14:textId="77777777" w:rsidR="00811887" w:rsidRPr="00FD40B8" w:rsidRDefault="00811887" w:rsidP="00811887">
      <w:pPr>
        <w:pStyle w:val="BodyText"/>
        <w:spacing w:before="26"/>
        <w:rPr>
          <w:color w:val="131727" w:themeColor="text1"/>
        </w:rPr>
      </w:pPr>
    </w:p>
    <w:p w14:paraId="3332088F" w14:textId="77777777" w:rsidR="00811887" w:rsidRPr="00FD40B8" w:rsidRDefault="00811887" w:rsidP="00811887">
      <w:pPr>
        <w:pStyle w:val="BodyText"/>
        <w:spacing w:line="266" w:lineRule="auto"/>
        <w:ind w:left="508" w:right="534"/>
        <w:rPr>
          <w:color w:val="131727" w:themeColor="text1"/>
        </w:rPr>
      </w:pPr>
      <w:r w:rsidRPr="00FD40B8">
        <w:rPr>
          <w:color w:val="131727" w:themeColor="text1"/>
          <w:w w:val="110"/>
        </w:rPr>
        <w:t>These</w:t>
      </w:r>
      <w:r w:rsidRPr="00FD40B8">
        <w:rPr>
          <w:color w:val="131727" w:themeColor="text1"/>
          <w:spacing w:val="-4"/>
          <w:w w:val="110"/>
        </w:rPr>
        <w:t xml:space="preserve"> </w:t>
      </w:r>
      <w:r w:rsidRPr="00FD40B8">
        <w:rPr>
          <w:color w:val="131727" w:themeColor="text1"/>
          <w:w w:val="110"/>
        </w:rPr>
        <w:t>contributions are</w:t>
      </w:r>
      <w:r w:rsidRPr="00FD40B8">
        <w:rPr>
          <w:color w:val="131727" w:themeColor="text1"/>
          <w:spacing w:val="-4"/>
          <w:w w:val="110"/>
        </w:rPr>
        <w:t xml:space="preserve"> </w:t>
      </w:r>
      <w:r w:rsidRPr="00FD40B8">
        <w:rPr>
          <w:color w:val="131727" w:themeColor="text1"/>
          <w:w w:val="110"/>
        </w:rPr>
        <w:t>further discussed</w:t>
      </w:r>
      <w:r w:rsidRPr="00FD40B8">
        <w:rPr>
          <w:color w:val="131727" w:themeColor="text1"/>
          <w:spacing w:val="-3"/>
          <w:w w:val="110"/>
        </w:rPr>
        <w:t xml:space="preserve"> </w:t>
      </w:r>
      <w:r w:rsidRPr="00FD40B8">
        <w:rPr>
          <w:color w:val="131727" w:themeColor="text1"/>
          <w:w w:val="110"/>
        </w:rPr>
        <w:t>below. The</w:t>
      </w:r>
      <w:r w:rsidRPr="00FD40B8">
        <w:rPr>
          <w:color w:val="131727" w:themeColor="text1"/>
          <w:spacing w:val="-4"/>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data mapping exercise (stocktake)</w:t>
      </w:r>
      <w:r w:rsidRPr="00FD40B8">
        <w:rPr>
          <w:color w:val="131727" w:themeColor="text1"/>
          <w:spacing w:val="-1"/>
          <w:w w:val="110"/>
        </w:rPr>
        <w:t xml:space="preserve"> </w:t>
      </w:r>
      <w:r w:rsidRPr="00FD40B8">
        <w:rPr>
          <w:color w:val="131727" w:themeColor="text1"/>
          <w:w w:val="110"/>
        </w:rPr>
        <w:t>that has already been commissioned under the Housing Policy Partnership could also</w:t>
      </w:r>
      <w:r w:rsidRPr="00FD40B8">
        <w:rPr>
          <w:color w:val="131727" w:themeColor="text1"/>
          <w:spacing w:val="25"/>
          <w:w w:val="110"/>
        </w:rPr>
        <w:t xml:space="preserve"> </w:t>
      </w:r>
      <w:r w:rsidRPr="00FD40B8">
        <w:rPr>
          <w:color w:val="131727" w:themeColor="text1"/>
          <w:w w:val="110"/>
        </w:rPr>
        <w:t>inform and contribute to</w:t>
      </w:r>
      <w:r w:rsidRPr="00FD40B8">
        <w:rPr>
          <w:color w:val="131727" w:themeColor="text1"/>
          <w:spacing w:val="40"/>
          <w:w w:val="110"/>
        </w:rPr>
        <w:t xml:space="preserve"> </w:t>
      </w:r>
      <w:r w:rsidRPr="00FD40B8">
        <w:rPr>
          <w:color w:val="131727" w:themeColor="text1"/>
          <w:w w:val="110"/>
        </w:rPr>
        <w:t>the shape of the Register.</w:t>
      </w:r>
    </w:p>
    <w:p w14:paraId="217F2FB7" w14:textId="77777777" w:rsidR="00811887" w:rsidRPr="00FD40B8" w:rsidRDefault="00811887" w:rsidP="00811887">
      <w:pPr>
        <w:spacing w:line="266" w:lineRule="auto"/>
        <w:rPr>
          <w:color w:val="131727" w:themeColor="text1"/>
        </w:rPr>
        <w:sectPr w:rsidR="00811887" w:rsidRPr="00FD40B8" w:rsidSect="00811887">
          <w:pgSz w:w="11910" w:h="16840"/>
          <w:pgMar w:top="1400" w:right="720" w:bottom="1080" w:left="740" w:header="0" w:footer="805" w:gutter="0"/>
          <w:cols w:space="720"/>
        </w:sectPr>
      </w:pPr>
    </w:p>
    <w:p w14:paraId="27564A30" w14:textId="77777777" w:rsidR="00811887" w:rsidRPr="00FD40B8" w:rsidRDefault="00811887" w:rsidP="00811887">
      <w:pPr>
        <w:pStyle w:val="BodyText"/>
        <w:spacing w:before="103" w:line="268" w:lineRule="auto"/>
        <w:ind w:left="508" w:right="598"/>
        <w:rPr>
          <w:color w:val="131727" w:themeColor="text1"/>
        </w:rPr>
      </w:pPr>
      <w:r w:rsidRPr="00FD40B8">
        <w:rPr>
          <w:color w:val="131727" w:themeColor="text1"/>
          <w:w w:val="110"/>
        </w:rPr>
        <w:lastRenderedPageBreak/>
        <w:t>The Register</w:t>
      </w:r>
      <w:r w:rsidRPr="00FD40B8">
        <w:rPr>
          <w:color w:val="131727" w:themeColor="text1"/>
          <w:spacing w:val="-1"/>
          <w:w w:val="110"/>
        </w:rPr>
        <w:t xml:space="preserve"> </w:t>
      </w:r>
      <w:r w:rsidRPr="00FD40B8">
        <w:rPr>
          <w:color w:val="131727" w:themeColor="text1"/>
          <w:w w:val="110"/>
        </w:rPr>
        <w:t>would inform community</w:t>
      </w:r>
      <w:r w:rsidRPr="00FD40B8">
        <w:rPr>
          <w:color w:val="131727" w:themeColor="text1"/>
          <w:spacing w:val="-1"/>
          <w:w w:val="110"/>
        </w:rPr>
        <w:t xml:space="preserve"> </w:t>
      </w:r>
      <w:r w:rsidRPr="00FD40B8">
        <w:rPr>
          <w:color w:val="131727" w:themeColor="text1"/>
          <w:w w:val="110"/>
        </w:rPr>
        <w:t>planning and</w:t>
      </w:r>
      <w:r w:rsidRPr="00FD40B8">
        <w:rPr>
          <w:color w:val="131727" w:themeColor="text1"/>
          <w:spacing w:val="-4"/>
          <w:w w:val="110"/>
        </w:rPr>
        <w:t xml:space="preserve"> </w:t>
      </w:r>
      <w:r w:rsidRPr="00FD40B8">
        <w:rPr>
          <w:color w:val="131727" w:themeColor="text1"/>
          <w:w w:val="110"/>
        </w:rPr>
        <w:t>investment</w:t>
      </w:r>
      <w:r w:rsidRPr="00FD40B8">
        <w:rPr>
          <w:color w:val="131727" w:themeColor="text1"/>
          <w:spacing w:val="-4"/>
          <w:w w:val="110"/>
        </w:rPr>
        <w:t xml:space="preserve"> </w:t>
      </w:r>
      <w:r w:rsidRPr="00FD40B8">
        <w:rPr>
          <w:color w:val="131727" w:themeColor="text1"/>
          <w:w w:val="110"/>
        </w:rPr>
        <w:t>decisions to</w:t>
      </w:r>
      <w:r w:rsidRPr="00FD40B8">
        <w:rPr>
          <w:color w:val="131727" w:themeColor="text1"/>
          <w:spacing w:val="-3"/>
          <w:w w:val="110"/>
        </w:rPr>
        <w:t xml:space="preserve"> </w:t>
      </w:r>
      <w:r w:rsidRPr="00FD40B8">
        <w:rPr>
          <w:color w:val="131727" w:themeColor="text1"/>
          <w:w w:val="110"/>
        </w:rPr>
        <w:t>respond to</w:t>
      </w:r>
      <w:r w:rsidRPr="00FD40B8">
        <w:rPr>
          <w:color w:val="131727" w:themeColor="text1"/>
          <w:spacing w:val="-2"/>
          <w:w w:val="110"/>
        </w:rPr>
        <w:t xml:space="preserve"> </w:t>
      </w:r>
      <w:r w:rsidRPr="00FD40B8">
        <w:rPr>
          <w:color w:val="131727" w:themeColor="text1"/>
          <w:w w:val="110"/>
        </w:rPr>
        <w:t>need</w:t>
      </w:r>
      <w:r w:rsidRPr="00FD40B8">
        <w:rPr>
          <w:color w:val="131727" w:themeColor="text1"/>
          <w:spacing w:val="-3"/>
          <w:w w:val="110"/>
        </w:rPr>
        <w:t xml:space="preserve"> </w:t>
      </w:r>
      <w:r w:rsidRPr="00FD40B8">
        <w:rPr>
          <w:color w:val="131727" w:themeColor="text1"/>
          <w:w w:val="110"/>
        </w:rPr>
        <w:t>as well</w:t>
      </w:r>
      <w:r w:rsidRPr="00FD40B8">
        <w:rPr>
          <w:color w:val="131727" w:themeColor="text1"/>
          <w:spacing w:val="-2"/>
          <w:w w:val="110"/>
        </w:rPr>
        <w:t xml:space="preserve"> </w:t>
      </w:r>
      <w:r w:rsidRPr="00FD40B8">
        <w:rPr>
          <w:color w:val="131727" w:themeColor="text1"/>
          <w:w w:val="110"/>
        </w:rPr>
        <w:t>as research priorities.</w:t>
      </w:r>
      <w:r w:rsidRPr="00FD40B8">
        <w:rPr>
          <w:color w:val="131727" w:themeColor="text1"/>
          <w:spacing w:val="-2"/>
          <w:w w:val="110"/>
        </w:rPr>
        <w:t xml:space="preserve"> </w:t>
      </w:r>
      <w:r w:rsidRPr="00FD40B8">
        <w:rPr>
          <w:color w:val="131727" w:themeColor="text1"/>
          <w:w w:val="110"/>
        </w:rPr>
        <w:t>Its information should</w:t>
      </w:r>
      <w:r w:rsidRPr="00FD40B8">
        <w:rPr>
          <w:color w:val="131727" w:themeColor="text1"/>
          <w:spacing w:val="-2"/>
          <w:w w:val="110"/>
        </w:rPr>
        <w:t xml:space="preserve"> </w:t>
      </w:r>
      <w:r w:rsidRPr="00FD40B8">
        <w:rPr>
          <w:color w:val="131727" w:themeColor="text1"/>
          <w:w w:val="110"/>
        </w:rPr>
        <w:t xml:space="preserve">be made accessible to communities and support place-based planning and partnerships. Reporting from the Register could be considered at regular intervals by the Housing Policy Partnership and the Joint Council on Closing the Gap to enable these bodies to make recommendations on current and future investment requirements to governments, through National </w:t>
      </w:r>
      <w:r w:rsidRPr="00FD40B8">
        <w:rPr>
          <w:color w:val="131727" w:themeColor="text1"/>
          <w:spacing w:val="-2"/>
          <w:w w:val="110"/>
        </w:rPr>
        <w:t>Cabinet.</w:t>
      </w:r>
    </w:p>
    <w:p w14:paraId="3468CA96" w14:textId="77777777" w:rsidR="00811887" w:rsidRPr="00FD40B8" w:rsidRDefault="00811887" w:rsidP="00811887">
      <w:pPr>
        <w:pStyle w:val="BodyText"/>
        <w:spacing w:before="117" w:line="266" w:lineRule="auto"/>
        <w:ind w:left="508" w:right="532"/>
        <w:rPr>
          <w:color w:val="131727" w:themeColor="text1"/>
        </w:rPr>
      </w:pP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Register</w:t>
      </w:r>
      <w:r w:rsidRPr="00FD40B8">
        <w:rPr>
          <w:color w:val="131727" w:themeColor="text1"/>
          <w:spacing w:val="-6"/>
          <w:w w:val="110"/>
        </w:rPr>
        <w:t xml:space="preserve"> </w:t>
      </w:r>
      <w:r w:rsidRPr="00FD40B8">
        <w:rPr>
          <w:color w:val="131727" w:themeColor="text1"/>
          <w:w w:val="110"/>
        </w:rPr>
        <w:t>should</w:t>
      </w:r>
      <w:r w:rsidRPr="00FD40B8">
        <w:rPr>
          <w:color w:val="131727" w:themeColor="text1"/>
          <w:spacing w:val="-4"/>
          <w:w w:val="110"/>
        </w:rPr>
        <w:t xml:space="preserve"> </w:t>
      </w:r>
      <w:r w:rsidRPr="00FD40B8">
        <w:rPr>
          <w:color w:val="131727" w:themeColor="text1"/>
          <w:w w:val="110"/>
        </w:rPr>
        <w:t>be</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responsibility</w:t>
      </w:r>
      <w:r w:rsidRPr="00FD40B8">
        <w:rPr>
          <w:color w:val="131727" w:themeColor="text1"/>
          <w:spacing w:val="-9"/>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Commonwealth</w:t>
      </w:r>
      <w:r w:rsidRPr="00FD40B8">
        <w:rPr>
          <w:color w:val="131727" w:themeColor="text1"/>
          <w:spacing w:val="-4"/>
          <w:w w:val="110"/>
        </w:rPr>
        <w:t xml:space="preserve"> </w:t>
      </w:r>
      <w:r w:rsidRPr="00FD40B8">
        <w:rPr>
          <w:color w:val="131727" w:themeColor="text1"/>
          <w:w w:val="110"/>
        </w:rPr>
        <w:t>Minister</w:t>
      </w:r>
      <w:r w:rsidRPr="00FD40B8">
        <w:rPr>
          <w:color w:val="131727" w:themeColor="text1"/>
          <w:spacing w:val="-6"/>
          <w:w w:val="110"/>
        </w:rPr>
        <w:t xml:space="preserve"> </w:t>
      </w:r>
      <w:r w:rsidRPr="00FD40B8">
        <w:rPr>
          <w:color w:val="131727" w:themeColor="text1"/>
          <w:w w:val="110"/>
        </w:rPr>
        <w:t>for</w:t>
      </w:r>
      <w:r w:rsidRPr="00FD40B8">
        <w:rPr>
          <w:color w:val="131727" w:themeColor="text1"/>
          <w:spacing w:val="-6"/>
          <w:w w:val="110"/>
        </w:rPr>
        <w:t xml:space="preserve"> </w:t>
      </w:r>
      <w:r w:rsidRPr="00FD40B8">
        <w:rPr>
          <w:color w:val="131727" w:themeColor="text1"/>
          <w:w w:val="110"/>
        </w:rPr>
        <w:t>Housing,</w:t>
      </w:r>
      <w:r w:rsidRPr="00FD40B8">
        <w:rPr>
          <w:color w:val="131727" w:themeColor="text1"/>
          <w:spacing w:val="-4"/>
          <w:w w:val="110"/>
        </w:rPr>
        <w:t xml:space="preserve"> </w:t>
      </w:r>
      <w:r w:rsidRPr="00FD40B8">
        <w:rPr>
          <w:color w:val="131727" w:themeColor="text1"/>
          <w:w w:val="110"/>
        </w:rPr>
        <w:t>be</w:t>
      </w:r>
      <w:r w:rsidRPr="00FD40B8">
        <w:rPr>
          <w:color w:val="131727" w:themeColor="text1"/>
          <w:spacing w:val="-8"/>
          <w:w w:val="110"/>
        </w:rPr>
        <w:t xml:space="preserve"> </w:t>
      </w:r>
      <w:r w:rsidRPr="00FD40B8">
        <w:rPr>
          <w:color w:val="131727" w:themeColor="text1"/>
          <w:w w:val="110"/>
        </w:rPr>
        <w:t>jointly</w:t>
      </w:r>
      <w:r w:rsidRPr="00FD40B8">
        <w:rPr>
          <w:color w:val="131727" w:themeColor="text1"/>
          <w:spacing w:val="-6"/>
          <w:w w:val="110"/>
        </w:rPr>
        <w:t xml:space="preserve"> </w:t>
      </w:r>
      <w:r w:rsidRPr="00FD40B8">
        <w:rPr>
          <w:color w:val="131727" w:themeColor="text1"/>
          <w:w w:val="110"/>
        </w:rPr>
        <w:t>governed between governments and the Coalition of Peaks, and the ABS should have a lead role in ensuring the integrity and analysis of the data in the Register, enabling coordination with existing collections and reduce role confusion in the collection and collation of data.</w:t>
      </w:r>
    </w:p>
    <w:p w14:paraId="3330AA58" w14:textId="77777777" w:rsidR="00811887" w:rsidRPr="00FD40B8" w:rsidRDefault="00811887" w:rsidP="00811887">
      <w:pPr>
        <w:pStyle w:val="BodyText"/>
        <w:spacing w:before="126" w:line="266" w:lineRule="auto"/>
        <w:ind w:left="508" w:right="598"/>
        <w:rPr>
          <w:color w:val="131727" w:themeColor="text1"/>
        </w:rPr>
      </w:pPr>
      <w:r w:rsidRPr="00FD40B8">
        <w:rPr>
          <w:color w:val="131727" w:themeColor="text1"/>
          <w:w w:val="110"/>
        </w:rPr>
        <w:t>The Register could be</w:t>
      </w:r>
      <w:r w:rsidRPr="00FD40B8">
        <w:rPr>
          <w:color w:val="131727" w:themeColor="text1"/>
          <w:spacing w:val="-2"/>
          <w:w w:val="110"/>
        </w:rPr>
        <w:t xml:space="preserve"> </w:t>
      </w:r>
      <w:r w:rsidRPr="00FD40B8">
        <w:rPr>
          <w:color w:val="131727" w:themeColor="text1"/>
          <w:w w:val="110"/>
        </w:rPr>
        <w:t>negotiated and agreed as part</w:t>
      </w:r>
      <w:r w:rsidRPr="00FD40B8">
        <w:rPr>
          <w:color w:val="131727" w:themeColor="text1"/>
          <w:spacing w:val="-2"/>
          <w:w w:val="110"/>
        </w:rPr>
        <w:t xml:space="preserve"> </w:t>
      </w:r>
      <w:r w:rsidRPr="00FD40B8">
        <w:rPr>
          <w:color w:val="131727" w:themeColor="text1"/>
          <w:w w:val="110"/>
        </w:rPr>
        <w:t>of the</w:t>
      </w:r>
      <w:r w:rsidRPr="00FD40B8">
        <w:rPr>
          <w:color w:val="131727" w:themeColor="text1"/>
          <w:spacing w:val="-2"/>
          <w:w w:val="110"/>
        </w:rPr>
        <w:t xml:space="preserve"> </w:t>
      </w:r>
      <w:r w:rsidRPr="00FD40B8">
        <w:rPr>
          <w:color w:val="131727" w:themeColor="text1"/>
          <w:w w:val="110"/>
        </w:rPr>
        <w:t>new Housing and Homelessness Agreement (NHHA), with state and territory governments contributing to its establishment and ongoing data provision. The NHHA</w:t>
      </w:r>
      <w:r w:rsidRPr="00FD40B8">
        <w:rPr>
          <w:color w:val="131727" w:themeColor="text1"/>
          <w:spacing w:val="-3"/>
          <w:w w:val="110"/>
        </w:rPr>
        <w:t xml:space="preserve"> </w:t>
      </w:r>
      <w:r w:rsidRPr="00FD40B8">
        <w:rPr>
          <w:color w:val="131727" w:themeColor="text1"/>
          <w:w w:val="110"/>
        </w:rPr>
        <w:t>provides the</w:t>
      </w:r>
      <w:r w:rsidRPr="00FD40B8">
        <w:rPr>
          <w:color w:val="131727" w:themeColor="text1"/>
          <w:spacing w:val="-2"/>
          <w:w w:val="110"/>
        </w:rPr>
        <w:t xml:space="preserve"> </w:t>
      </w:r>
      <w:r w:rsidRPr="00FD40B8">
        <w:rPr>
          <w:color w:val="131727" w:themeColor="text1"/>
          <w:w w:val="110"/>
        </w:rPr>
        <w:t>best, if imperfect, vehicle</w:t>
      </w:r>
      <w:r w:rsidRPr="00FD40B8">
        <w:rPr>
          <w:color w:val="131727" w:themeColor="text1"/>
          <w:spacing w:val="-2"/>
          <w:w w:val="110"/>
        </w:rPr>
        <w:t xml:space="preserve"> </w:t>
      </w:r>
      <w:r w:rsidRPr="00FD40B8">
        <w:rPr>
          <w:color w:val="131727" w:themeColor="text1"/>
          <w:w w:val="110"/>
        </w:rPr>
        <w:t>for achieving the</w:t>
      </w:r>
      <w:r w:rsidRPr="00FD40B8">
        <w:rPr>
          <w:color w:val="131727" w:themeColor="text1"/>
          <w:spacing w:val="-2"/>
          <w:w w:val="110"/>
        </w:rPr>
        <w:t xml:space="preserve"> </w:t>
      </w:r>
      <w:r w:rsidRPr="00FD40B8">
        <w:rPr>
          <w:color w:val="131727" w:themeColor="text1"/>
          <w:w w:val="110"/>
        </w:rPr>
        <w:t>effective involvement</w:t>
      </w:r>
      <w:r w:rsidRPr="00FD40B8">
        <w:rPr>
          <w:color w:val="131727" w:themeColor="text1"/>
          <w:spacing w:val="-2"/>
          <w:w w:val="110"/>
        </w:rPr>
        <w:t xml:space="preserve"> </w:t>
      </w:r>
      <w:r w:rsidRPr="00FD40B8">
        <w:rPr>
          <w:color w:val="131727" w:themeColor="text1"/>
          <w:w w:val="110"/>
        </w:rPr>
        <w:t>of state and territory governments including through funding incentives.</w:t>
      </w:r>
    </w:p>
    <w:p w14:paraId="6D03C13E" w14:textId="77777777" w:rsidR="00811887" w:rsidRPr="00FD40B8" w:rsidRDefault="00811887" w:rsidP="00811887">
      <w:pPr>
        <w:pStyle w:val="BodyText"/>
        <w:spacing w:before="126" w:line="268" w:lineRule="auto"/>
        <w:ind w:left="508" w:right="598"/>
        <w:rPr>
          <w:color w:val="131727" w:themeColor="text1"/>
        </w:rPr>
      </w:pPr>
      <w:r w:rsidRPr="00FD40B8">
        <w:rPr>
          <w:color w:val="131727" w:themeColor="text1"/>
          <w:w w:val="110"/>
        </w:rPr>
        <w:t>Equity Economics notes that there are likely to be significant establishment costs to the Register, including developing new data contributions.</w:t>
      </w:r>
      <w:r w:rsidRPr="00FD40B8">
        <w:rPr>
          <w:color w:val="131727" w:themeColor="text1"/>
          <w:spacing w:val="-1"/>
          <w:w w:val="110"/>
        </w:rPr>
        <w:t xml:space="preserve"> </w:t>
      </w:r>
      <w:r w:rsidRPr="00FD40B8">
        <w:rPr>
          <w:color w:val="131727" w:themeColor="text1"/>
          <w:w w:val="110"/>
        </w:rPr>
        <w:t>We note,</w:t>
      </w:r>
      <w:r w:rsidRPr="00FD40B8">
        <w:rPr>
          <w:color w:val="131727" w:themeColor="text1"/>
          <w:spacing w:val="-1"/>
          <w:w w:val="110"/>
        </w:rPr>
        <w:t xml:space="preserve"> </w:t>
      </w:r>
      <w:r w:rsidRPr="00FD40B8">
        <w:rPr>
          <w:color w:val="131727" w:themeColor="text1"/>
          <w:w w:val="110"/>
        </w:rPr>
        <w:t>however, that in other policy areas, the Commonwealth Government has recognised the need</w:t>
      </w:r>
      <w:r w:rsidRPr="00FD40B8">
        <w:rPr>
          <w:color w:val="131727" w:themeColor="text1"/>
          <w:spacing w:val="-5"/>
          <w:w w:val="110"/>
        </w:rPr>
        <w:t xml:space="preserve"> </w:t>
      </w:r>
      <w:r w:rsidRPr="00FD40B8">
        <w:rPr>
          <w:color w:val="131727" w:themeColor="text1"/>
          <w:w w:val="110"/>
        </w:rPr>
        <w:t>for</w:t>
      </w:r>
      <w:r w:rsidRPr="00FD40B8">
        <w:rPr>
          <w:color w:val="131727" w:themeColor="text1"/>
          <w:spacing w:val="-5"/>
          <w:w w:val="110"/>
        </w:rPr>
        <w:t xml:space="preserve"> </w:t>
      </w:r>
      <w:r w:rsidRPr="00FD40B8">
        <w:rPr>
          <w:color w:val="131727" w:themeColor="text1"/>
          <w:w w:val="110"/>
        </w:rPr>
        <w:t>upfront</w:t>
      </w:r>
      <w:r w:rsidRPr="00FD40B8">
        <w:rPr>
          <w:color w:val="131727" w:themeColor="text1"/>
          <w:spacing w:val="-4"/>
          <w:w w:val="110"/>
        </w:rPr>
        <w:t xml:space="preserve"> </w:t>
      </w:r>
      <w:r w:rsidRPr="00FD40B8">
        <w:rPr>
          <w:color w:val="131727" w:themeColor="text1"/>
          <w:w w:val="110"/>
        </w:rPr>
        <w:t>investment</w:t>
      </w:r>
      <w:r w:rsidRPr="00FD40B8">
        <w:rPr>
          <w:color w:val="131727" w:themeColor="text1"/>
          <w:spacing w:val="-4"/>
          <w:w w:val="110"/>
        </w:rPr>
        <w:t xml:space="preserve"> </w:t>
      </w:r>
      <w:r w:rsidRPr="00FD40B8">
        <w:rPr>
          <w:color w:val="131727" w:themeColor="text1"/>
          <w:w w:val="110"/>
        </w:rPr>
        <w:t>in data</w:t>
      </w:r>
      <w:r w:rsidRPr="00FD40B8">
        <w:rPr>
          <w:color w:val="131727" w:themeColor="text1"/>
          <w:spacing w:val="-6"/>
          <w:w w:val="110"/>
        </w:rPr>
        <w:t xml:space="preserve"> </w:t>
      </w:r>
      <w:r w:rsidRPr="00FD40B8">
        <w:rPr>
          <w:color w:val="131727" w:themeColor="text1"/>
          <w:w w:val="110"/>
        </w:rPr>
        <w:t>to</w:t>
      </w:r>
      <w:r w:rsidRPr="00FD40B8">
        <w:rPr>
          <w:color w:val="131727" w:themeColor="text1"/>
          <w:spacing w:val="-3"/>
          <w:w w:val="110"/>
        </w:rPr>
        <w:t xml:space="preserve"> </w:t>
      </w:r>
      <w:r w:rsidRPr="00FD40B8">
        <w:rPr>
          <w:color w:val="131727" w:themeColor="text1"/>
          <w:w w:val="110"/>
        </w:rPr>
        <w:t>support</w:t>
      </w:r>
      <w:r w:rsidRPr="00FD40B8">
        <w:rPr>
          <w:color w:val="131727" w:themeColor="text1"/>
          <w:spacing w:val="-4"/>
          <w:w w:val="110"/>
        </w:rPr>
        <w:t xml:space="preserve"> </w:t>
      </w:r>
      <w:r w:rsidRPr="00FD40B8">
        <w:rPr>
          <w:color w:val="131727" w:themeColor="text1"/>
          <w:w w:val="110"/>
        </w:rPr>
        <w:t>policy development and improve service delivery. For example, the Commonwealth Government has committed $68.3 million to the establishment of the National Disability Data Asset and its underlying infrastructure. The asset</w:t>
      </w:r>
      <w:r w:rsidRPr="00FD40B8">
        <w:rPr>
          <w:color w:val="131727" w:themeColor="text1"/>
          <w:spacing w:val="-2"/>
          <w:w w:val="110"/>
        </w:rPr>
        <w:t xml:space="preserve"> </w:t>
      </w:r>
      <w:r w:rsidRPr="00FD40B8">
        <w:rPr>
          <w:color w:val="131727" w:themeColor="text1"/>
          <w:w w:val="110"/>
        </w:rPr>
        <w:t>contains linked and de-identified Commonwealth,</w:t>
      </w:r>
      <w:r w:rsidRPr="00FD40B8">
        <w:rPr>
          <w:color w:val="131727" w:themeColor="text1"/>
          <w:spacing w:val="-2"/>
          <w:w w:val="110"/>
        </w:rPr>
        <w:t xml:space="preserve"> </w:t>
      </w:r>
      <w:r w:rsidRPr="00FD40B8">
        <w:rPr>
          <w:color w:val="131727" w:themeColor="text1"/>
          <w:w w:val="110"/>
        </w:rPr>
        <w:t>state and territory data</w:t>
      </w:r>
      <w:r w:rsidRPr="00FD40B8">
        <w:rPr>
          <w:color w:val="131727" w:themeColor="text1"/>
          <w:spacing w:val="-3"/>
          <w:w w:val="110"/>
        </w:rPr>
        <w:t xml:space="preserve"> </w:t>
      </w:r>
      <w:r w:rsidRPr="00FD40B8">
        <w:rPr>
          <w:color w:val="131727" w:themeColor="text1"/>
          <w:w w:val="110"/>
        </w:rPr>
        <w:t>on Australians with disability</w:t>
      </w:r>
      <w:r w:rsidRPr="00FD40B8">
        <w:rPr>
          <w:color w:val="131727" w:themeColor="text1"/>
          <w:spacing w:val="-3"/>
          <w:w w:val="110"/>
        </w:rPr>
        <w:t xml:space="preserve"> </w:t>
      </w:r>
      <w:r w:rsidRPr="00FD40B8">
        <w:rPr>
          <w:color w:val="131727" w:themeColor="text1"/>
          <w:w w:val="110"/>
        </w:rPr>
        <w:t>and is designed to inform research and disability</w:t>
      </w:r>
      <w:r w:rsidRPr="00FD40B8">
        <w:rPr>
          <w:color w:val="131727" w:themeColor="text1"/>
          <w:spacing w:val="-1"/>
          <w:w w:val="110"/>
        </w:rPr>
        <w:t xml:space="preserve"> </w:t>
      </w:r>
      <w:r w:rsidRPr="00FD40B8">
        <w:rPr>
          <w:color w:val="131727" w:themeColor="text1"/>
          <w:w w:val="110"/>
        </w:rPr>
        <w:t>policy and help to improve service delivery.</w:t>
      </w:r>
    </w:p>
    <w:p w14:paraId="4419481B" w14:textId="77777777" w:rsidR="00811887" w:rsidRPr="00FD40B8" w:rsidRDefault="00811887" w:rsidP="00811887">
      <w:pPr>
        <w:spacing w:line="268" w:lineRule="auto"/>
        <w:rPr>
          <w:color w:val="131727" w:themeColor="text1"/>
        </w:rPr>
        <w:sectPr w:rsidR="00811887" w:rsidRPr="00FD40B8" w:rsidSect="00811887">
          <w:pgSz w:w="11910" w:h="16840"/>
          <w:pgMar w:top="1320" w:right="720" w:bottom="1080" w:left="740" w:header="0" w:footer="805" w:gutter="0"/>
          <w:cols w:space="720"/>
        </w:sectPr>
      </w:pPr>
    </w:p>
    <w:p w14:paraId="18F012E5" w14:textId="77777777" w:rsidR="00811887" w:rsidRPr="00FD40B8" w:rsidRDefault="00811887" w:rsidP="00811887">
      <w:pPr>
        <w:pStyle w:val="Heading9"/>
        <w:spacing w:before="66"/>
        <w:rPr>
          <w:color w:val="131727" w:themeColor="text1"/>
        </w:rPr>
      </w:pPr>
      <w:bookmarkStart w:id="208" w:name="_bookmark97"/>
      <w:bookmarkEnd w:id="208"/>
      <w:r w:rsidRPr="00FD40B8">
        <w:rPr>
          <w:color w:val="131727" w:themeColor="text1"/>
          <w:spacing w:val="18"/>
          <w:w w:val="85"/>
        </w:rPr>
        <w:lastRenderedPageBreak/>
        <w:t>NEW</w:t>
      </w:r>
      <w:r w:rsidRPr="00FD40B8">
        <w:rPr>
          <w:color w:val="131727" w:themeColor="text1"/>
          <w:spacing w:val="46"/>
        </w:rPr>
        <w:t xml:space="preserve"> </w:t>
      </w:r>
      <w:r w:rsidRPr="00FD40B8">
        <w:rPr>
          <w:color w:val="131727" w:themeColor="text1"/>
          <w:w w:val="85"/>
        </w:rPr>
        <w:t>C</w:t>
      </w:r>
      <w:r w:rsidRPr="00FD40B8">
        <w:rPr>
          <w:color w:val="131727" w:themeColor="text1"/>
          <w:spacing w:val="-32"/>
          <w:w w:val="85"/>
        </w:rPr>
        <w:t xml:space="preserve"> </w:t>
      </w:r>
      <w:r w:rsidRPr="00FD40B8">
        <w:rPr>
          <w:color w:val="131727" w:themeColor="text1"/>
          <w:spacing w:val="13"/>
          <w:w w:val="85"/>
        </w:rPr>
        <w:t>ON</w:t>
      </w:r>
      <w:r w:rsidRPr="00FD40B8">
        <w:rPr>
          <w:color w:val="131727" w:themeColor="text1"/>
          <w:spacing w:val="-34"/>
          <w:w w:val="85"/>
        </w:rPr>
        <w:t xml:space="preserve"> </w:t>
      </w:r>
      <w:r w:rsidRPr="00FD40B8">
        <w:rPr>
          <w:color w:val="131727" w:themeColor="text1"/>
          <w:spacing w:val="13"/>
          <w:w w:val="85"/>
        </w:rPr>
        <w:t>TR</w:t>
      </w:r>
      <w:r w:rsidRPr="00FD40B8">
        <w:rPr>
          <w:color w:val="131727" w:themeColor="text1"/>
          <w:spacing w:val="-33"/>
          <w:w w:val="85"/>
        </w:rPr>
        <w:t xml:space="preserve"> </w:t>
      </w:r>
      <w:r w:rsidRPr="00FD40B8">
        <w:rPr>
          <w:color w:val="131727" w:themeColor="text1"/>
          <w:spacing w:val="18"/>
          <w:w w:val="85"/>
        </w:rPr>
        <w:t>IBU</w:t>
      </w:r>
      <w:r w:rsidRPr="00FD40B8">
        <w:rPr>
          <w:color w:val="131727" w:themeColor="text1"/>
          <w:spacing w:val="-33"/>
          <w:w w:val="85"/>
        </w:rPr>
        <w:t xml:space="preserve"> </w:t>
      </w:r>
      <w:r w:rsidRPr="00FD40B8">
        <w:rPr>
          <w:color w:val="131727" w:themeColor="text1"/>
          <w:spacing w:val="13"/>
          <w:w w:val="85"/>
        </w:rPr>
        <w:t>TI</w:t>
      </w:r>
      <w:r w:rsidRPr="00FD40B8">
        <w:rPr>
          <w:color w:val="131727" w:themeColor="text1"/>
          <w:spacing w:val="-34"/>
          <w:w w:val="85"/>
        </w:rPr>
        <w:t xml:space="preserve"> </w:t>
      </w:r>
      <w:r w:rsidRPr="00FD40B8">
        <w:rPr>
          <w:color w:val="131727" w:themeColor="text1"/>
          <w:spacing w:val="13"/>
          <w:w w:val="85"/>
        </w:rPr>
        <w:t>NG</w:t>
      </w:r>
      <w:r w:rsidRPr="00FD40B8">
        <w:rPr>
          <w:color w:val="131727" w:themeColor="text1"/>
          <w:spacing w:val="46"/>
        </w:rPr>
        <w:t xml:space="preserve"> </w:t>
      </w:r>
      <w:r w:rsidRPr="00FD40B8">
        <w:rPr>
          <w:color w:val="131727" w:themeColor="text1"/>
          <w:w w:val="85"/>
        </w:rPr>
        <w:t>D</w:t>
      </w:r>
      <w:r w:rsidRPr="00FD40B8">
        <w:rPr>
          <w:color w:val="131727" w:themeColor="text1"/>
          <w:spacing w:val="-32"/>
          <w:w w:val="85"/>
        </w:rPr>
        <w:t xml:space="preserve"> </w:t>
      </w:r>
      <w:r w:rsidRPr="00FD40B8">
        <w:rPr>
          <w:color w:val="131727" w:themeColor="text1"/>
          <w:spacing w:val="18"/>
          <w:w w:val="85"/>
        </w:rPr>
        <w:t>ATA</w:t>
      </w:r>
      <w:r w:rsidRPr="00FD40B8">
        <w:rPr>
          <w:color w:val="131727" w:themeColor="text1"/>
          <w:spacing w:val="52"/>
        </w:rPr>
        <w:t xml:space="preserve"> </w:t>
      </w:r>
      <w:r w:rsidRPr="00FD40B8">
        <w:rPr>
          <w:color w:val="131727" w:themeColor="text1"/>
          <w:w w:val="85"/>
        </w:rPr>
        <w:t>S</w:t>
      </w:r>
      <w:r w:rsidRPr="00FD40B8">
        <w:rPr>
          <w:color w:val="131727" w:themeColor="text1"/>
          <w:spacing w:val="-36"/>
          <w:w w:val="85"/>
        </w:rPr>
        <w:t xml:space="preserve"> </w:t>
      </w:r>
      <w:r w:rsidRPr="00FD40B8">
        <w:rPr>
          <w:color w:val="131727" w:themeColor="text1"/>
          <w:spacing w:val="13"/>
          <w:w w:val="85"/>
        </w:rPr>
        <w:t>OU</w:t>
      </w:r>
      <w:r w:rsidRPr="00FD40B8">
        <w:rPr>
          <w:color w:val="131727" w:themeColor="text1"/>
          <w:spacing w:val="-34"/>
          <w:w w:val="85"/>
        </w:rPr>
        <w:t xml:space="preserve"> </w:t>
      </w:r>
      <w:r w:rsidRPr="00FD40B8">
        <w:rPr>
          <w:color w:val="131727" w:themeColor="text1"/>
          <w:spacing w:val="14"/>
          <w:w w:val="85"/>
        </w:rPr>
        <w:t>RC</w:t>
      </w:r>
      <w:r w:rsidRPr="00FD40B8">
        <w:rPr>
          <w:color w:val="131727" w:themeColor="text1"/>
          <w:spacing w:val="-36"/>
          <w:w w:val="85"/>
        </w:rPr>
        <w:t xml:space="preserve"> </w:t>
      </w:r>
      <w:r w:rsidRPr="00FD40B8">
        <w:rPr>
          <w:color w:val="131727" w:themeColor="text1"/>
          <w:spacing w:val="9"/>
          <w:w w:val="85"/>
        </w:rPr>
        <w:t>ES</w:t>
      </w:r>
    </w:p>
    <w:p w14:paraId="4D11A1EC" w14:textId="77777777" w:rsidR="00811887" w:rsidRPr="00FD40B8" w:rsidRDefault="00811887" w:rsidP="00811887">
      <w:pPr>
        <w:pStyle w:val="BodyText"/>
        <w:spacing w:before="61" w:line="268" w:lineRule="auto"/>
        <w:ind w:left="508" w:right="532"/>
        <w:rPr>
          <w:color w:val="131727" w:themeColor="text1"/>
        </w:rPr>
      </w:pPr>
      <w:r w:rsidRPr="00FD40B8">
        <w:rPr>
          <w:color w:val="131727" w:themeColor="text1"/>
          <w:w w:val="110"/>
        </w:rPr>
        <w:t>The following sets out proposed new data collection opportunities that could contribute to the Register. These options can also be considered as standalone options, with each option making a step towards improved data</w:t>
      </w:r>
      <w:r w:rsidRPr="00FD40B8">
        <w:rPr>
          <w:color w:val="131727" w:themeColor="text1"/>
          <w:spacing w:val="-2"/>
          <w:w w:val="110"/>
        </w:rPr>
        <w:t xml:space="preserve"> </w:t>
      </w:r>
      <w:r w:rsidRPr="00FD40B8">
        <w:rPr>
          <w:color w:val="131727" w:themeColor="text1"/>
          <w:w w:val="110"/>
        </w:rPr>
        <w:t>and information</w:t>
      </w:r>
      <w:r w:rsidRPr="00FD40B8">
        <w:rPr>
          <w:color w:val="131727" w:themeColor="text1"/>
          <w:spacing w:val="-4"/>
          <w:w w:val="110"/>
        </w:rPr>
        <w:t xml:space="preserve"> </w:t>
      </w:r>
      <w:r w:rsidRPr="00FD40B8">
        <w:rPr>
          <w:color w:val="131727" w:themeColor="text1"/>
          <w:w w:val="110"/>
        </w:rPr>
        <w:t>on Aboriginal and</w:t>
      </w:r>
      <w:r w:rsidRPr="00FD40B8">
        <w:rPr>
          <w:color w:val="131727" w:themeColor="text1"/>
          <w:spacing w:val="-5"/>
          <w:w w:val="110"/>
        </w:rPr>
        <w:t xml:space="preserve"> </w:t>
      </w:r>
      <w:r w:rsidRPr="00FD40B8">
        <w:rPr>
          <w:color w:val="131727" w:themeColor="text1"/>
          <w:w w:val="110"/>
        </w:rPr>
        <w:t>Torres Strait Islander</w:t>
      </w:r>
      <w:r w:rsidRPr="00FD40B8">
        <w:rPr>
          <w:color w:val="131727" w:themeColor="text1"/>
          <w:spacing w:val="-7"/>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needs. We also</w:t>
      </w:r>
      <w:r w:rsidRPr="00FD40B8">
        <w:rPr>
          <w:color w:val="131727" w:themeColor="text1"/>
          <w:spacing w:val="-3"/>
          <w:w w:val="110"/>
        </w:rPr>
        <w:t xml:space="preserve"> </w:t>
      </w:r>
      <w:r w:rsidRPr="00FD40B8">
        <w:rPr>
          <w:color w:val="131727" w:themeColor="text1"/>
          <w:w w:val="110"/>
        </w:rPr>
        <w:t>note that the Register could take some time to establish, and the below options can also be undertaken now so there are progressive improvements.</w:t>
      </w:r>
    </w:p>
    <w:p w14:paraId="387DC68F" w14:textId="77777777" w:rsidR="00811887" w:rsidRPr="00FD40B8" w:rsidRDefault="00811887" w:rsidP="00811887">
      <w:pPr>
        <w:spacing w:before="212" w:line="208" w:lineRule="auto"/>
        <w:ind w:left="508" w:right="598"/>
        <w:rPr>
          <w:rFonts w:ascii="Book Antiqua"/>
          <w:b/>
          <w:color w:val="131727" w:themeColor="text1"/>
          <w:sz w:val="21"/>
        </w:rPr>
      </w:pPr>
      <w:r w:rsidRPr="00FD40B8">
        <w:rPr>
          <w:rFonts w:ascii="Book Antiqua"/>
          <w:b/>
          <w:color w:val="131727" w:themeColor="text1"/>
          <w:sz w:val="21"/>
        </w:rPr>
        <w:t>Table 1. Proposals for</w:t>
      </w:r>
      <w:r w:rsidRPr="00FD40B8">
        <w:rPr>
          <w:rFonts w:ascii="Book Antiqua"/>
          <w:b/>
          <w:color w:val="131727" w:themeColor="text1"/>
          <w:spacing w:val="-6"/>
          <w:sz w:val="21"/>
        </w:rPr>
        <w:t xml:space="preserve"> </w:t>
      </w:r>
      <w:r w:rsidRPr="00FD40B8">
        <w:rPr>
          <w:rFonts w:ascii="Book Antiqua"/>
          <w:b/>
          <w:color w:val="131727" w:themeColor="text1"/>
          <w:sz w:val="21"/>
        </w:rPr>
        <w:t>improvements</w:t>
      </w:r>
      <w:r w:rsidRPr="00FD40B8">
        <w:rPr>
          <w:rFonts w:ascii="Book Antiqua"/>
          <w:b/>
          <w:color w:val="131727" w:themeColor="text1"/>
          <w:spacing w:val="-3"/>
          <w:sz w:val="21"/>
        </w:rPr>
        <w:t xml:space="preserve"> </w:t>
      </w:r>
      <w:r w:rsidRPr="00FD40B8">
        <w:rPr>
          <w:rFonts w:ascii="Book Antiqua"/>
          <w:b/>
          <w:color w:val="131727" w:themeColor="text1"/>
          <w:sz w:val="21"/>
        </w:rPr>
        <w:t>to</w:t>
      </w:r>
      <w:r w:rsidRPr="00FD40B8">
        <w:rPr>
          <w:rFonts w:ascii="Book Antiqua"/>
          <w:b/>
          <w:color w:val="131727" w:themeColor="text1"/>
          <w:spacing w:val="-3"/>
          <w:sz w:val="21"/>
        </w:rPr>
        <w:t xml:space="preserve"> </w:t>
      </w:r>
      <w:r w:rsidRPr="00FD40B8">
        <w:rPr>
          <w:rFonts w:ascii="Book Antiqua"/>
          <w:b/>
          <w:color w:val="131727" w:themeColor="text1"/>
          <w:sz w:val="21"/>
        </w:rPr>
        <w:t>Indigenous</w:t>
      </w:r>
      <w:r w:rsidRPr="00FD40B8">
        <w:rPr>
          <w:rFonts w:ascii="Book Antiqua"/>
          <w:b/>
          <w:color w:val="131727" w:themeColor="text1"/>
          <w:spacing w:val="-2"/>
          <w:sz w:val="21"/>
        </w:rPr>
        <w:t xml:space="preserve"> </w:t>
      </w:r>
      <w:r w:rsidRPr="00FD40B8">
        <w:rPr>
          <w:rFonts w:ascii="Book Antiqua"/>
          <w:b/>
          <w:color w:val="131727" w:themeColor="text1"/>
          <w:sz w:val="21"/>
        </w:rPr>
        <w:t>housing</w:t>
      </w:r>
      <w:r w:rsidRPr="00FD40B8">
        <w:rPr>
          <w:rFonts w:ascii="Book Antiqua"/>
          <w:b/>
          <w:color w:val="131727" w:themeColor="text1"/>
          <w:spacing w:val="-2"/>
          <w:sz w:val="21"/>
        </w:rPr>
        <w:t xml:space="preserve"> </w:t>
      </w:r>
      <w:r w:rsidRPr="00FD40B8">
        <w:rPr>
          <w:rFonts w:ascii="Book Antiqua"/>
          <w:b/>
          <w:color w:val="131727" w:themeColor="text1"/>
          <w:sz w:val="21"/>
        </w:rPr>
        <w:t>data</w:t>
      </w:r>
      <w:r w:rsidRPr="00FD40B8">
        <w:rPr>
          <w:rFonts w:ascii="Book Antiqua"/>
          <w:b/>
          <w:color w:val="131727" w:themeColor="text1"/>
          <w:spacing w:val="-5"/>
          <w:sz w:val="21"/>
        </w:rPr>
        <w:t xml:space="preserve"> </w:t>
      </w:r>
      <w:r w:rsidRPr="00FD40B8">
        <w:rPr>
          <w:rFonts w:ascii="Book Antiqua"/>
          <w:b/>
          <w:color w:val="131727" w:themeColor="text1"/>
          <w:sz w:val="21"/>
        </w:rPr>
        <w:t>collection,</w:t>
      </w:r>
      <w:r w:rsidRPr="00FD40B8">
        <w:rPr>
          <w:rFonts w:ascii="Book Antiqua"/>
          <w:b/>
          <w:color w:val="131727" w:themeColor="text1"/>
          <w:spacing w:val="-5"/>
          <w:sz w:val="21"/>
        </w:rPr>
        <w:t xml:space="preserve"> </w:t>
      </w:r>
      <w:r w:rsidRPr="00FD40B8">
        <w:rPr>
          <w:rFonts w:ascii="Book Antiqua"/>
          <w:b/>
          <w:color w:val="131727" w:themeColor="text1"/>
          <w:sz w:val="21"/>
        </w:rPr>
        <w:t>that</w:t>
      </w:r>
      <w:r w:rsidRPr="00FD40B8">
        <w:rPr>
          <w:rFonts w:ascii="Book Antiqua"/>
          <w:b/>
          <w:color w:val="131727" w:themeColor="text1"/>
          <w:spacing w:val="-3"/>
          <w:sz w:val="21"/>
        </w:rPr>
        <w:t xml:space="preserve"> </w:t>
      </w:r>
      <w:r w:rsidRPr="00FD40B8">
        <w:rPr>
          <w:rFonts w:ascii="Book Antiqua"/>
          <w:b/>
          <w:color w:val="131727" w:themeColor="text1"/>
          <w:sz w:val="21"/>
        </w:rPr>
        <w:t>can</w:t>
      </w:r>
      <w:r w:rsidRPr="00FD40B8">
        <w:rPr>
          <w:rFonts w:ascii="Book Antiqua"/>
          <w:b/>
          <w:color w:val="131727" w:themeColor="text1"/>
          <w:spacing w:val="-4"/>
          <w:sz w:val="21"/>
        </w:rPr>
        <w:t xml:space="preserve"> </w:t>
      </w:r>
      <w:r w:rsidRPr="00FD40B8">
        <w:rPr>
          <w:rFonts w:ascii="Book Antiqua"/>
          <w:b/>
          <w:color w:val="131727" w:themeColor="text1"/>
          <w:sz w:val="21"/>
        </w:rPr>
        <w:t>also contribute to the Register</w:t>
      </w:r>
    </w:p>
    <w:p w14:paraId="4C371E09" w14:textId="77777777" w:rsidR="00811887" w:rsidRDefault="00811887" w:rsidP="00811887">
      <w:pPr>
        <w:pStyle w:val="BodyText"/>
        <w:spacing w:before="7"/>
        <w:rPr>
          <w:rFonts w:ascii="Book Antiqua"/>
          <w:b/>
          <w:sz w:val="9"/>
        </w:r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38"/>
        <w:gridCol w:w="2699"/>
      </w:tblGrid>
      <w:tr w:rsidR="00811887" w:rsidRPr="00D373F5" w14:paraId="7668CB22" w14:textId="77777777" w:rsidTr="00486E22">
        <w:trPr>
          <w:trHeight w:val="931"/>
        </w:trPr>
        <w:tc>
          <w:tcPr>
            <w:tcW w:w="9926" w:type="dxa"/>
            <w:gridSpan w:val="3"/>
            <w:shd w:val="clear" w:color="auto" w:fill="67837B"/>
          </w:tcPr>
          <w:p w14:paraId="7988210C" w14:textId="77777777" w:rsidR="00811887" w:rsidRPr="00D373F5" w:rsidRDefault="00811887" w:rsidP="00486E22">
            <w:pPr>
              <w:pStyle w:val="TableParagraph"/>
              <w:spacing w:line="242" w:lineRule="auto"/>
              <w:ind w:left="105" w:right="176"/>
              <w:rPr>
                <w:rFonts w:ascii="Garamond"/>
                <w:b/>
                <w:color w:val="FFFFFF" w:themeColor="background1"/>
                <w:sz w:val="24"/>
              </w:rPr>
            </w:pPr>
            <w:r w:rsidRPr="00D373F5">
              <w:rPr>
                <w:rFonts w:ascii="Garamond"/>
                <w:b/>
                <w:color w:val="FFFFFF" w:themeColor="background1"/>
                <w:sz w:val="24"/>
              </w:rPr>
              <w:t>Proposal</w:t>
            </w:r>
            <w:r w:rsidRPr="00D373F5">
              <w:rPr>
                <w:rFonts w:ascii="Garamond"/>
                <w:b/>
                <w:color w:val="FFFFFF" w:themeColor="background1"/>
                <w:spacing w:val="-1"/>
                <w:sz w:val="24"/>
              </w:rPr>
              <w:t xml:space="preserve"> </w:t>
            </w:r>
            <w:r w:rsidRPr="00D373F5">
              <w:rPr>
                <w:rFonts w:ascii="Garamond"/>
                <w:b/>
                <w:color w:val="FFFFFF" w:themeColor="background1"/>
                <w:sz w:val="24"/>
              </w:rPr>
              <w:t>one:</w:t>
            </w:r>
            <w:r w:rsidRPr="00D373F5">
              <w:rPr>
                <w:rFonts w:ascii="Garamond"/>
                <w:b/>
                <w:color w:val="FFFFFF" w:themeColor="background1"/>
                <w:spacing w:val="-7"/>
                <w:sz w:val="24"/>
              </w:rPr>
              <w:t xml:space="preserve"> </w:t>
            </w:r>
            <w:r w:rsidRPr="00D373F5">
              <w:rPr>
                <w:rFonts w:ascii="Garamond"/>
                <w:b/>
                <w:color w:val="FFFFFF" w:themeColor="background1"/>
                <w:sz w:val="24"/>
              </w:rPr>
              <w:t>Use</w:t>
            </w:r>
            <w:r w:rsidRPr="00D373F5">
              <w:rPr>
                <w:rFonts w:ascii="Garamond"/>
                <w:b/>
                <w:color w:val="FFFFFF" w:themeColor="background1"/>
                <w:spacing w:val="-5"/>
                <w:sz w:val="24"/>
              </w:rPr>
              <w:t xml:space="preserve"> </w:t>
            </w:r>
            <w:r w:rsidRPr="00D373F5">
              <w:rPr>
                <w:rFonts w:ascii="Garamond"/>
                <w:b/>
                <w:color w:val="FFFFFF" w:themeColor="background1"/>
                <w:sz w:val="24"/>
              </w:rPr>
              <w:t>the</w:t>
            </w:r>
            <w:r w:rsidRPr="00D373F5">
              <w:rPr>
                <w:rFonts w:ascii="Garamond"/>
                <w:b/>
                <w:color w:val="FFFFFF" w:themeColor="background1"/>
                <w:spacing w:val="-5"/>
                <w:sz w:val="24"/>
              </w:rPr>
              <w:t xml:space="preserve"> </w:t>
            </w:r>
            <w:r w:rsidRPr="00D373F5">
              <w:rPr>
                <w:rFonts w:ascii="Garamond"/>
                <w:b/>
                <w:color w:val="FFFFFF" w:themeColor="background1"/>
                <w:sz w:val="24"/>
              </w:rPr>
              <w:t>renegotiation</w:t>
            </w:r>
            <w:r w:rsidRPr="00D373F5">
              <w:rPr>
                <w:rFonts w:ascii="Garamond"/>
                <w:b/>
                <w:color w:val="FFFFFF" w:themeColor="background1"/>
                <w:spacing w:val="-2"/>
                <w:sz w:val="24"/>
              </w:rPr>
              <w:t xml:space="preserve"> </w:t>
            </w:r>
            <w:r w:rsidRPr="00D373F5">
              <w:rPr>
                <w:rFonts w:ascii="Garamond"/>
                <w:b/>
                <w:color w:val="FFFFFF" w:themeColor="background1"/>
                <w:sz w:val="24"/>
              </w:rPr>
              <w:t>of</w:t>
            </w:r>
            <w:r w:rsidRPr="00D373F5">
              <w:rPr>
                <w:rFonts w:ascii="Garamond"/>
                <w:b/>
                <w:color w:val="FFFFFF" w:themeColor="background1"/>
                <w:spacing w:val="-8"/>
                <w:sz w:val="24"/>
              </w:rPr>
              <w:t xml:space="preserve"> </w:t>
            </w:r>
            <w:r w:rsidRPr="00D373F5">
              <w:rPr>
                <w:rFonts w:ascii="Garamond"/>
                <w:b/>
                <w:color w:val="FFFFFF" w:themeColor="background1"/>
                <w:sz w:val="24"/>
              </w:rPr>
              <w:t>the</w:t>
            </w:r>
            <w:r w:rsidRPr="00D373F5">
              <w:rPr>
                <w:rFonts w:ascii="Garamond"/>
                <w:b/>
                <w:color w:val="FFFFFF" w:themeColor="background1"/>
                <w:spacing w:val="-9"/>
                <w:sz w:val="24"/>
              </w:rPr>
              <w:t xml:space="preserve"> </w:t>
            </w:r>
            <w:r w:rsidRPr="00D373F5">
              <w:rPr>
                <w:rFonts w:ascii="Garamond"/>
                <w:b/>
                <w:color w:val="FFFFFF" w:themeColor="background1"/>
                <w:sz w:val="24"/>
              </w:rPr>
              <w:t>National</w:t>
            </w:r>
            <w:r w:rsidRPr="00D373F5">
              <w:rPr>
                <w:rFonts w:ascii="Garamond"/>
                <w:b/>
                <w:color w:val="FFFFFF" w:themeColor="background1"/>
                <w:spacing w:val="-3"/>
                <w:sz w:val="24"/>
              </w:rPr>
              <w:t xml:space="preserve"> </w:t>
            </w:r>
            <w:r w:rsidRPr="00D373F5">
              <w:rPr>
                <w:rFonts w:ascii="Garamond"/>
                <w:b/>
                <w:color w:val="FFFFFF" w:themeColor="background1"/>
                <w:sz w:val="24"/>
              </w:rPr>
              <w:t>Housing</w:t>
            </w:r>
            <w:r w:rsidRPr="00D373F5">
              <w:rPr>
                <w:rFonts w:ascii="Garamond"/>
                <w:b/>
                <w:color w:val="FFFFFF" w:themeColor="background1"/>
                <w:spacing w:val="-4"/>
                <w:sz w:val="24"/>
              </w:rPr>
              <w:t xml:space="preserve"> </w:t>
            </w:r>
            <w:r w:rsidRPr="00D373F5">
              <w:rPr>
                <w:rFonts w:ascii="Garamond"/>
                <w:b/>
                <w:color w:val="FFFFFF" w:themeColor="background1"/>
                <w:sz w:val="24"/>
              </w:rPr>
              <w:t>and</w:t>
            </w:r>
            <w:r w:rsidRPr="00D373F5">
              <w:rPr>
                <w:rFonts w:ascii="Garamond"/>
                <w:b/>
                <w:color w:val="FFFFFF" w:themeColor="background1"/>
                <w:spacing w:val="-2"/>
                <w:sz w:val="24"/>
              </w:rPr>
              <w:t xml:space="preserve"> </w:t>
            </w:r>
            <w:r w:rsidRPr="00D373F5">
              <w:rPr>
                <w:rFonts w:ascii="Garamond"/>
                <w:b/>
                <w:color w:val="FFFFFF" w:themeColor="background1"/>
                <w:sz w:val="24"/>
              </w:rPr>
              <w:t>Homelessness</w:t>
            </w:r>
            <w:r w:rsidRPr="00D373F5">
              <w:rPr>
                <w:rFonts w:ascii="Garamond"/>
                <w:b/>
                <w:color w:val="FFFFFF" w:themeColor="background1"/>
                <w:spacing w:val="-2"/>
                <w:sz w:val="24"/>
              </w:rPr>
              <w:t xml:space="preserve"> </w:t>
            </w:r>
            <w:r w:rsidRPr="00D373F5">
              <w:rPr>
                <w:rFonts w:ascii="Garamond"/>
                <w:b/>
                <w:color w:val="FFFFFF" w:themeColor="background1"/>
                <w:sz w:val="24"/>
              </w:rPr>
              <w:t>Agreement and the National Partnership for Remote Housing Northern Territory to incentivise data sharing and improvements</w:t>
            </w:r>
          </w:p>
        </w:tc>
      </w:tr>
      <w:tr w:rsidR="00811887" w:rsidRPr="00D373F5" w14:paraId="6871E1E6" w14:textId="77777777" w:rsidTr="00486E22">
        <w:trPr>
          <w:trHeight w:val="388"/>
        </w:trPr>
        <w:tc>
          <w:tcPr>
            <w:tcW w:w="2689" w:type="dxa"/>
            <w:shd w:val="clear" w:color="auto" w:fill="67837B"/>
          </w:tcPr>
          <w:p w14:paraId="2D45C845"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Proposal</w:t>
            </w:r>
          </w:p>
        </w:tc>
        <w:tc>
          <w:tcPr>
            <w:tcW w:w="4538" w:type="dxa"/>
            <w:shd w:val="clear" w:color="auto" w:fill="67837B"/>
          </w:tcPr>
          <w:p w14:paraId="6920CEB7"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Opportunity</w:t>
            </w:r>
          </w:p>
        </w:tc>
        <w:tc>
          <w:tcPr>
            <w:tcW w:w="2699" w:type="dxa"/>
            <w:shd w:val="clear" w:color="auto" w:fill="67837B"/>
          </w:tcPr>
          <w:p w14:paraId="2AA71F8B"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Limitations</w:t>
            </w:r>
          </w:p>
        </w:tc>
      </w:tr>
      <w:tr w:rsidR="00811887" w14:paraId="3871F342" w14:textId="77777777" w:rsidTr="00486E22">
        <w:trPr>
          <w:trHeight w:val="10168"/>
        </w:trPr>
        <w:tc>
          <w:tcPr>
            <w:tcW w:w="2689" w:type="dxa"/>
          </w:tcPr>
          <w:p w14:paraId="73F41C8D" w14:textId="77777777" w:rsidR="00811887" w:rsidRDefault="00811887" w:rsidP="00811887">
            <w:pPr>
              <w:pStyle w:val="TableParagraph"/>
              <w:numPr>
                <w:ilvl w:val="0"/>
                <w:numId w:val="62"/>
              </w:numPr>
              <w:tabs>
                <w:tab w:val="left" w:pos="465"/>
              </w:tabs>
              <w:spacing w:before="14" w:line="268" w:lineRule="auto"/>
              <w:ind w:right="101"/>
              <w:rPr>
                <w:sz w:val="20"/>
              </w:rPr>
            </w:pPr>
            <w:r>
              <w:rPr>
                <w:w w:val="110"/>
                <w:sz w:val="20"/>
              </w:rPr>
              <w:t>Incentivise</w:t>
            </w:r>
            <w:r>
              <w:rPr>
                <w:spacing w:val="-13"/>
                <w:w w:val="110"/>
                <w:sz w:val="20"/>
              </w:rPr>
              <w:t xml:space="preserve"> </w:t>
            </w:r>
            <w:r>
              <w:rPr>
                <w:w w:val="110"/>
                <w:sz w:val="20"/>
              </w:rPr>
              <w:t>data</w:t>
            </w:r>
            <w:r>
              <w:rPr>
                <w:spacing w:val="-12"/>
                <w:w w:val="110"/>
                <w:sz w:val="20"/>
              </w:rPr>
              <w:t xml:space="preserve"> </w:t>
            </w:r>
            <w:r>
              <w:rPr>
                <w:w w:val="110"/>
                <w:sz w:val="20"/>
              </w:rPr>
              <w:t>sharing from</w:t>
            </w:r>
            <w:r>
              <w:rPr>
                <w:spacing w:val="-13"/>
                <w:w w:val="110"/>
                <w:sz w:val="20"/>
              </w:rPr>
              <w:t xml:space="preserve"> </w:t>
            </w:r>
            <w:r>
              <w:rPr>
                <w:w w:val="110"/>
                <w:sz w:val="20"/>
              </w:rPr>
              <w:t>state</w:t>
            </w:r>
            <w:r>
              <w:rPr>
                <w:spacing w:val="-12"/>
                <w:w w:val="110"/>
                <w:sz w:val="20"/>
              </w:rPr>
              <w:t xml:space="preserve"> </w:t>
            </w:r>
            <w:r>
              <w:rPr>
                <w:w w:val="110"/>
                <w:sz w:val="20"/>
              </w:rPr>
              <w:t>and</w:t>
            </w:r>
            <w:r>
              <w:rPr>
                <w:spacing w:val="-13"/>
                <w:w w:val="110"/>
                <w:sz w:val="20"/>
              </w:rPr>
              <w:t xml:space="preserve"> </w:t>
            </w:r>
            <w:r>
              <w:rPr>
                <w:w w:val="110"/>
                <w:sz w:val="20"/>
              </w:rPr>
              <w:t>territory governments through tying Commonwealth funding for social housing and homelessness services to improved reporting and</w:t>
            </w:r>
            <w:r>
              <w:rPr>
                <w:spacing w:val="-4"/>
                <w:w w:val="110"/>
                <w:sz w:val="20"/>
              </w:rPr>
              <w:t xml:space="preserve"> </w:t>
            </w:r>
            <w:r>
              <w:rPr>
                <w:w w:val="110"/>
                <w:sz w:val="20"/>
              </w:rPr>
              <w:t>data</w:t>
            </w:r>
            <w:r>
              <w:rPr>
                <w:spacing w:val="-9"/>
                <w:w w:val="110"/>
                <w:sz w:val="20"/>
              </w:rPr>
              <w:t xml:space="preserve"> </w:t>
            </w:r>
            <w:r>
              <w:rPr>
                <w:w w:val="110"/>
                <w:sz w:val="20"/>
              </w:rPr>
              <w:t>sharing</w:t>
            </w:r>
            <w:r>
              <w:rPr>
                <w:spacing w:val="-4"/>
                <w:w w:val="110"/>
                <w:sz w:val="20"/>
              </w:rPr>
              <w:t xml:space="preserve"> </w:t>
            </w:r>
            <w:r>
              <w:rPr>
                <w:w w:val="110"/>
                <w:sz w:val="20"/>
              </w:rPr>
              <w:t>with</w:t>
            </w:r>
            <w:r>
              <w:rPr>
                <w:spacing w:val="-4"/>
                <w:w w:val="110"/>
                <w:sz w:val="20"/>
              </w:rPr>
              <w:t xml:space="preserve"> </w:t>
            </w:r>
            <w:r>
              <w:rPr>
                <w:w w:val="110"/>
                <w:sz w:val="20"/>
              </w:rPr>
              <w:t>a focus on regional level annual reporting of:</w:t>
            </w:r>
          </w:p>
          <w:p w14:paraId="76F851EB" w14:textId="77777777" w:rsidR="00811887" w:rsidRDefault="00811887" w:rsidP="00811887">
            <w:pPr>
              <w:pStyle w:val="TableParagraph"/>
              <w:numPr>
                <w:ilvl w:val="0"/>
                <w:numId w:val="62"/>
              </w:numPr>
              <w:tabs>
                <w:tab w:val="left" w:pos="465"/>
              </w:tabs>
              <w:spacing w:before="98" w:line="268" w:lineRule="auto"/>
              <w:ind w:right="136"/>
              <w:rPr>
                <w:sz w:val="20"/>
              </w:rPr>
            </w:pPr>
            <w:r>
              <w:rPr>
                <w:w w:val="110"/>
                <w:sz w:val="20"/>
              </w:rPr>
              <w:t>number</w:t>
            </w:r>
            <w:r>
              <w:rPr>
                <w:spacing w:val="-6"/>
                <w:w w:val="110"/>
                <w:sz w:val="20"/>
              </w:rPr>
              <w:t xml:space="preserve"> </w:t>
            </w:r>
            <w:r>
              <w:rPr>
                <w:w w:val="110"/>
                <w:sz w:val="20"/>
              </w:rPr>
              <w:t>of</w:t>
            </w:r>
            <w:r>
              <w:rPr>
                <w:spacing w:val="-3"/>
                <w:w w:val="110"/>
                <w:sz w:val="20"/>
              </w:rPr>
              <w:t xml:space="preserve"> </w:t>
            </w:r>
            <w:r>
              <w:rPr>
                <w:w w:val="110"/>
                <w:sz w:val="20"/>
              </w:rPr>
              <w:t>new</w:t>
            </w:r>
            <w:r>
              <w:rPr>
                <w:spacing w:val="-7"/>
                <w:w w:val="110"/>
                <w:sz w:val="20"/>
              </w:rPr>
              <w:t xml:space="preserve"> </w:t>
            </w:r>
            <w:r>
              <w:rPr>
                <w:w w:val="110"/>
                <w:sz w:val="20"/>
              </w:rPr>
              <w:t xml:space="preserve">houses and bedrooms built where Aboriginal and Torres Strait Islander people have benefited from Commonwealth </w:t>
            </w:r>
            <w:r>
              <w:rPr>
                <w:spacing w:val="-2"/>
                <w:w w:val="110"/>
                <w:sz w:val="20"/>
              </w:rPr>
              <w:t>government investments.</w:t>
            </w:r>
          </w:p>
          <w:p w14:paraId="2F6B9896" w14:textId="77777777" w:rsidR="00811887" w:rsidRDefault="00811887" w:rsidP="00811887">
            <w:pPr>
              <w:pStyle w:val="TableParagraph"/>
              <w:numPr>
                <w:ilvl w:val="0"/>
                <w:numId w:val="62"/>
              </w:numPr>
              <w:tabs>
                <w:tab w:val="left" w:pos="465"/>
              </w:tabs>
              <w:spacing w:line="236" w:lineRule="exact"/>
              <w:rPr>
                <w:sz w:val="20"/>
              </w:rPr>
            </w:pPr>
            <w:r>
              <w:rPr>
                <w:w w:val="110"/>
                <w:sz w:val="20"/>
              </w:rPr>
              <w:t>number</w:t>
            </w:r>
            <w:r>
              <w:rPr>
                <w:spacing w:val="-4"/>
                <w:w w:val="110"/>
                <w:sz w:val="20"/>
              </w:rPr>
              <w:t xml:space="preserve"> </w:t>
            </w:r>
            <w:r>
              <w:rPr>
                <w:w w:val="110"/>
                <w:sz w:val="20"/>
              </w:rPr>
              <w:t>of new</w:t>
            </w:r>
            <w:r>
              <w:rPr>
                <w:spacing w:val="-4"/>
                <w:w w:val="110"/>
                <w:sz w:val="20"/>
              </w:rPr>
              <w:t xml:space="preserve"> </w:t>
            </w:r>
            <w:r>
              <w:rPr>
                <w:spacing w:val="-2"/>
                <w:w w:val="110"/>
                <w:sz w:val="20"/>
              </w:rPr>
              <w:t>houses</w:t>
            </w:r>
          </w:p>
          <w:p w14:paraId="4DC981D7" w14:textId="77777777" w:rsidR="00811887" w:rsidRDefault="00811887" w:rsidP="00486E22">
            <w:pPr>
              <w:pStyle w:val="TableParagraph"/>
              <w:spacing w:before="30" w:line="268" w:lineRule="auto"/>
              <w:ind w:left="465"/>
              <w:rPr>
                <w:sz w:val="20"/>
              </w:rPr>
            </w:pPr>
            <w:r>
              <w:rPr>
                <w:w w:val="110"/>
                <w:sz w:val="20"/>
              </w:rPr>
              <w:t>and bedrooms built where Aboriginal and Torres Strait Islander people have benefited from</w:t>
            </w:r>
            <w:r>
              <w:rPr>
                <w:spacing w:val="-13"/>
                <w:w w:val="110"/>
                <w:sz w:val="20"/>
              </w:rPr>
              <w:t xml:space="preserve"> </w:t>
            </w:r>
            <w:r>
              <w:rPr>
                <w:w w:val="110"/>
                <w:sz w:val="20"/>
              </w:rPr>
              <w:t>state</w:t>
            </w:r>
            <w:r>
              <w:rPr>
                <w:spacing w:val="-12"/>
                <w:w w:val="110"/>
                <w:sz w:val="20"/>
              </w:rPr>
              <w:t xml:space="preserve"> </w:t>
            </w:r>
            <w:r>
              <w:rPr>
                <w:w w:val="110"/>
                <w:sz w:val="20"/>
              </w:rPr>
              <w:t>and</w:t>
            </w:r>
            <w:r>
              <w:rPr>
                <w:spacing w:val="-13"/>
                <w:w w:val="110"/>
                <w:sz w:val="20"/>
              </w:rPr>
              <w:t xml:space="preserve"> </w:t>
            </w:r>
            <w:r>
              <w:rPr>
                <w:w w:val="110"/>
                <w:sz w:val="20"/>
              </w:rPr>
              <w:t xml:space="preserve">territory government own </w:t>
            </w:r>
            <w:r>
              <w:rPr>
                <w:spacing w:val="-2"/>
                <w:w w:val="110"/>
                <w:sz w:val="20"/>
              </w:rPr>
              <w:t>funding.</w:t>
            </w:r>
          </w:p>
          <w:p w14:paraId="4686FCA8" w14:textId="77777777" w:rsidR="00811887" w:rsidRDefault="00811887" w:rsidP="00811887">
            <w:pPr>
              <w:pStyle w:val="TableParagraph"/>
              <w:numPr>
                <w:ilvl w:val="0"/>
                <w:numId w:val="62"/>
              </w:numPr>
              <w:tabs>
                <w:tab w:val="left" w:pos="465"/>
              </w:tabs>
              <w:spacing w:line="236" w:lineRule="exact"/>
              <w:rPr>
                <w:sz w:val="20"/>
              </w:rPr>
            </w:pPr>
            <w:r>
              <w:rPr>
                <w:w w:val="110"/>
                <w:sz w:val="20"/>
              </w:rPr>
              <w:t>proportion</w:t>
            </w:r>
            <w:r>
              <w:rPr>
                <w:spacing w:val="-5"/>
                <w:w w:val="110"/>
                <w:sz w:val="20"/>
              </w:rPr>
              <w:t xml:space="preserve"> </w:t>
            </w:r>
            <w:r>
              <w:rPr>
                <w:w w:val="110"/>
                <w:sz w:val="20"/>
              </w:rPr>
              <w:t>of</w:t>
            </w:r>
            <w:r>
              <w:rPr>
                <w:spacing w:val="-3"/>
                <w:w w:val="110"/>
                <w:sz w:val="20"/>
              </w:rPr>
              <w:t xml:space="preserve"> </w:t>
            </w:r>
            <w:r>
              <w:rPr>
                <w:spacing w:val="-2"/>
                <w:w w:val="110"/>
                <w:sz w:val="20"/>
              </w:rPr>
              <w:t>funding</w:t>
            </w:r>
          </w:p>
          <w:p w14:paraId="439793EB" w14:textId="77777777" w:rsidR="00811887" w:rsidRDefault="00811887" w:rsidP="00486E22">
            <w:pPr>
              <w:pStyle w:val="TableParagraph"/>
              <w:spacing w:before="30" w:line="268" w:lineRule="auto"/>
              <w:ind w:left="465" w:right="166"/>
              <w:rPr>
                <w:sz w:val="20"/>
              </w:rPr>
            </w:pPr>
            <w:r>
              <w:rPr>
                <w:w w:val="110"/>
                <w:sz w:val="20"/>
              </w:rPr>
              <w:t>that</w:t>
            </w:r>
            <w:r>
              <w:rPr>
                <w:spacing w:val="-13"/>
                <w:w w:val="110"/>
                <w:sz w:val="20"/>
              </w:rPr>
              <w:t xml:space="preserve"> </w:t>
            </w:r>
            <w:r>
              <w:rPr>
                <w:w w:val="110"/>
                <w:sz w:val="20"/>
              </w:rPr>
              <w:t>is</w:t>
            </w:r>
            <w:r>
              <w:rPr>
                <w:spacing w:val="-12"/>
                <w:w w:val="110"/>
                <w:sz w:val="20"/>
              </w:rPr>
              <w:t xml:space="preserve"> </w:t>
            </w:r>
            <w:r>
              <w:rPr>
                <w:w w:val="110"/>
                <w:sz w:val="20"/>
              </w:rPr>
              <w:t>being</w:t>
            </w:r>
            <w:r>
              <w:rPr>
                <w:spacing w:val="-13"/>
                <w:w w:val="110"/>
                <w:sz w:val="20"/>
              </w:rPr>
              <w:t xml:space="preserve"> </w:t>
            </w:r>
            <w:r>
              <w:rPr>
                <w:w w:val="110"/>
                <w:sz w:val="20"/>
              </w:rPr>
              <w:t>allocated to address Aboriginal and Torres Strait Islander housing and homelessness needs.</w:t>
            </w:r>
          </w:p>
          <w:p w14:paraId="291284E0" w14:textId="77777777" w:rsidR="00811887" w:rsidRDefault="00811887" w:rsidP="00811887">
            <w:pPr>
              <w:pStyle w:val="TableParagraph"/>
              <w:numPr>
                <w:ilvl w:val="0"/>
                <w:numId w:val="62"/>
              </w:numPr>
              <w:tabs>
                <w:tab w:val="left" w:pos="465"/>
              </w:tabs>
              <w:spacing w:line="241" w:lineRule="exact"/>
              <w:rPr>
                <w:sz w:val="20"/>
              </w:rPr>
            </w:pPr>
            <w:r>
              <w:rPr>
                <w:w w:val="105"/>
                <w:sz w:val="20"/>
              </w:rPr>
              <w:t>quality</w:t>
            </w:r>
            <w:r>
              <w:rPr>
                <w:spacing w:val="7"/>
                <w:w w:val="105"/>
                <w:sz w:val="20"/>
              </w:rPr>
              <w:t xml:space="preserve"> </w:t>
            </w:r>
            <w:r>
              <w:rPr>
                <w:w w:val="105"/>
                <w:sz w:val="20"/>
              </w:rPr>
              <w:t>of</w:t>
            </w:r>
            <w:r>
              <w:rPr>
                <w:spacing w:val="5"/>
                <w:w w:val="105"/>
                <w:sz w:val="20"/>
              </w:rPr>
              <w:t xml:space="preserve"> </w:t>
            </w:r>
            <w:r>
              <w:rPr>
                <w:spacing w:val="-2"/>
                <w:w w:val="105"/>
                <w:sz w:val="20"/>
              </w:rPr>
              <w:t>social</w:t>
            </w:r>
          </w:p>
          <w:p w14:paraId="46804B6F" w14:textId="77777777" w:rsidR="00811887" w:rsidRDefault="00811887" w:rsidP="00486E22">
            <w:pPr>
              <w:pStyle w:val="TableParagraph"/>
              <w:spacing w:before="29" w:line="264" w:lineRule="auto"/>
              <w:ind w:left="465"/>
              <w:rPr>
                <w:sz w:val="20"/>
              </w:rPr>
            </w:pPr>
            <w:r>
              <w:rPr>
                <w:w w:val="110"/>
                <w:sz w:val="20"/>
              </w:rPr>
              <w:t>housing stock for Aboriginal</w:t>
            </w:r>
            <w:r>
              <w:rPr>
                <w:spacing w:val="-13"/>
                <w:w w:val="110"/>
                <w:sz w:val="20"/>
              </w:rPr>
              <w:t xml:space="preserve"> </w:t>
            </w:r>
            <w:r>
              <w:rPr>
                <w:w w:val="110"/>
                <w:sz w:val="20"/>
              </w:rPr>
              <w:t>and</w:t>
            </w:r>
            <w:r>
              <w:rPr>
                <w:spacing w:val="-12"/>
                <w:w w:val="110"/>
                <w:sz w:val="20"/>
              </w:rPr>
              <w:t xml:space="preserve"> </w:t>
            </w:r>
            <w:r>
              <w:rPr>
                <w:w w:val="110"/>
                <w:sz w:val="20"/>
              </w:rPr>
              <w:t>Torres</w:t>
            </w:r>
          </w:p>
        </w:tc>
        <w:tc>
          <w:tcPr>
            <w:tcW w:w="4538" w:type="dxa"/>
          </w:tcPr>
          <w:p w14:paraId="42DAB4CB" w14:textId="77777777" w:rsidR="00811887" w:rsidRDefault="00811887" w:rsidP="00486E22">
            <w:pPr>
              <w:pStyle w:val="TableParagraph"/>
              <w:spacing w:before="25" w:line="268" w:lineRule="auto"/>
              <w:ind w:left="105" w:right="166"/>
              <w:rPr>
                <w:sz w:val="20"/>
              </w:rPr>
            </w:pPr>
            <w:r>
              <w:rPr>
                <w:w w:val="110"/>
                <w:sz w:val="20"/>
              </w:rPr>
              <w:t>The</w:t>
            </w:r>
            <w:r>
              <w:rPr>
                <w:spacing w:val="-4"/>
                <w:w w:val="110"/>
                <w:sz w:val="20"/>
              </w:rPr>
              <w:t xml:space="preserve"> </w:t>
            </w:r>
            <w:r>
              <w:rPr>
                <w:w w:val="110"/>
                <w:sz w:val="20"/>
              </w:rPr>
              <w:t>renegotiation</w:t>
            </w:r>
            <w:r>
              <w:rPr>
                <w:spacing w:val="-8"/>
                <w:w w:val="110"/>
                <w:sz w:val="20"/>
              </w:rPr>
              <w:t xml:space="preserve"> </w:t>
            </w:r>
            <w:r>
              <w:rPr>
                <w:w w:val="110"/>
                <w:sz w:val="20"/>
              </w:rPr>
              <w:t>of</w:t>
            </w:r>
            <w:r>
              <w:rPr>
                <w:spacing w:val="-3"/>
                <w:w w:val="110"/>
                <w:sz w:val="20"/>
              </w:rPr>
              <w:t xml:space="preserve"> </w:t>
            </w:r>
            <w:r>
              <w:rPr>
                <w:w w:val="110"/>
                <w:sz w:val="20"/>
              </w:rPr>
              <w:t>the</w:t>
            </w:r>
            <w:r>
              <w:rPr>
                <w:spacing w:val="-9"/>
                <w:w w:val="110"/>
                <w:sz w:val="20"/>
              </w:rPr>
              <w:t xml:space="preserve"> </w:t>
            </w:r>
            <w:r>
              <w:rPr>
                <w:w w:val="110"/>
                <w:sz w:val="20"/>
              </w:rPr>
              <w:t>National</w:t>
            </w:r>
            <w:r>
              <w:rPr>
                <w:spacing w:val="-7"/>
                <w:w w:val="110"/>
                <w:sz w:val="20"/>
              </w:rPr>
              <w:t xml:space="preserve"> </w:t>
            </w:r>
            <w:r>
              <w:rPr>
                <w:w w:val="110"/>
                <w:sz w:val="20"/>
              </w:rPr>
              <w:t>Housing</w:t>
            </w:r>
            <w:r>
              <w:rPr>
                <w:spacing w:val="-4"/>
                <w:w w:val="110"/>
                <w:sz w:val="20"/>
              </w:rPr>
              <w:t xml:space="preserve"> </w:t>
            </w:r>
            <w:r>
              <w:rPr>
                <w:w w:val="110"/>
                <w:sz w:val="20"/>
              </w:rPr>
              <w:t>and Homelessness Agreement (NHHA) and the National Partnership for Remote Housing Northern Territory (NTRHNT) provide an opportunity to agree new data arrangements on how funding is reaching Aboriginal and Torres Strait Islander people and households and incentivise sharing of existing state and territory held data on housing stock quality.</w:t>
            </w:r>
          </w:p>
          <w:p w14:paraId="5B56B6EC" w14:textId="77777777" w:rsidR="00811887" w:rsidRDefault="00811887" w:rsidP="00486E22">
            <w:pPr>
              <w:pStyle w:val="TableParagraph"/>
              <w:spacing w:before="113" w:line="268" w:lineRule="auto"/>
              <w:ind w:left="105" w:right="166"/>
              <w:rPr>
                <w:sz w:val="20"/>
              </w:rPr>
            </w:pPr>
            <w:r>
              <w:rPr>
                <w:w w:val="110"/>
                <w:sz w:val="20"/>
              </w:rPr>
              <w:t>This would also give effect to the National Agreement on Closing the Gap, where governments have committed to mobilise all available resources to the task of Closing the Gap</w:t>
            </w:r>
            <w:r>
              <w:rPr>
                <w:spacing w:val="-3"/>
                <w:w w:val="110"/>
                <w:sz w:val="20"/>
              </w:rPr>
              <w:t xml:space="preserve"> </w:t>
            </w:r>
            <w:r>
              <w:rPr>
                <w:w w:val="110"/>
                <w:sz w:val="20"/>
              </w:rPr>
              <w:t>(clause</w:t>
            </w:r>
            <w:r>
              <w:rPr>
                <w:spacing w:val="-3"/>
                <w:w w:val="110"/>
                <w:sz w:val="20"/>
              </w:rPr>
              <w:t xml:space="preserve"> </w:t>
            </w:r>
            <w:r>
              <w:rPr>
                <w:w w:val="110"/>
                <w:sz w:val="20"/>
              </w:rPr>
              <w:t>16)</w:t>
            </w:r>
            <w:r>
              <w:rPr>
                <w:spacing w:val="-5"/>
                <w:w w:val="110"/>
                <w:sz w:val="20"/>
              </w:rPr>
              <w:t xml:space="preserve"> </w:t>
            </w:r>
            <w:r>
              <w:rPr>
                <w:w w:val="110"/>
                <w:sz w:val="20"/>
              </w:rPr>
              <w:t>and</w:t>
            </w:r>
            <w:r>
              <w:rPr>
                <w:spacing w:val="-3"/>
                <w:w w:val="110"/>
                <w:sz w:val="20"/>
              </w:rPr>
              <w:t xml:space="preserve"> </w:t>
            </w:r>
            <w:r>
              <w:rPr>
                <w:w w:val="110"/>
                <w:sz w:val="20"/>
              </w:rPr>
              <w:t>where</w:t>
            </w:r>
            <w:r>
              <w:rPr>
                <w:spacing w:val="-7"/>
                <w:w w:val="110"/>
                <w:sz w:val="20"/>
              </w:rPr>
              <w:t xml:space="preserve"> </w:t>
            </w:r>
            <w:r>
              <w:rPr>
                <w:w w:val="110"/>
                <w:sz w:val="20"/>
              </w:rPr>
              <w:t>mainstream</w:t>
            </w:r>
            <w:r>
              <w:rPr>
                <w:spacing w:val="-7"/>
                <w:w w:val="110"/>
                <w:sz w:val="20"/>
              </w:rPr>
              <w:t xml:space="preserve"> </w:t>
            </w:r>
            <w:r>
              <w:rPr>
                <w:w w:val="110"/>
                <w:sz w:val="20"/>
              </w:rPr>
              <w:t>funding arrangements and efforts must make a bigger contribution to improving the life outcomes of Aboriginal and Torres Strait Islander people (Priority Reform Three).</w:t>
            </w:r>
          </w:p>
          <w:p w14:paraId="28B45A25" w14:textId="77777777" w:rsidR="00811887" w:rsidRDefault="00811887" w:rsidP="00486E22">
            <w:pPr>
              <w:pStyle w:val="TableParagraph"/>
              <w:spacing w:before="112" w:line="266" w:lineRule="auto"/>
              <w:ind w:left="105" w:right="175"/>
              <w:rPr>
                <w:sz w:val="20"/>
              </w:rPr>
            </w:pPr>
            <w:r>
              <w:rPr>
                <w:w w:val="110"/>
                <w:sz w:val="20"/>
              </w:rPr>
              <w:t>The required</w:t>
            </w:r>
            <w:r>
              <w:rPr>
                <w:spacing w:val="-2"/>
                <w:w w:val="110"/>
                <w:sz w:val="20"/>
              </w:rPr>
              <w:t xml:space="preserve"> </w:t>
            </w:r>
            <w:r>
              <w:rPr>
                <w:w w:val="110"/>
                <w:sz w:val="20"/>
              </w:rPr>
              <w:t>data to be</w:t>
            </w:r>
            <w:r>
              <w:rPr>
                <w:spacing w:val="-2"/>
                <w:w w:val="110"/>
                <w:sz w:val="20"/>
              </w:rPr>
              <w:t xml:space="preserve"> </w:t>
            </w:r>
            <w:r>
              <w:rPr>
                <w:w w:val="110"/>
                <w:sz w:val="20"/>
              </w:rPr>
              <w:t>shared</w:t>
            </w:r>
            <w:r>
              <w:rPr>
                <w:spacing w:val="-3"/>
                <w:w w:val="110"/>
                <w:sz w:val="20"/>
              </w:rPr>
              <w:t xml:space="preserve"> </w:t>
            </w:r>
            <w:r>
              <w:rPr>
                <w:w w:val="110"/>
                <w:sz w:val="20"/>
              </w:rPr>
              <w:t>from</w:t>
            </w:r>
            <w:r>
              <w:rPr>
                <w:spacing w:val="-2"/>
                <w:w w:val="110"/>
                <w:sz w:val="20"/>
              </w:rPr>
              <w:t xml:space="preserve"> </w:t>
            </w:r>
            <w:r>
              <w:rPr>
                <w:w w:val="110"/>
                <w:sz w:val="20"/>
              </w:rPr>
              <w:t>state and territory governments should be negotiated and agreed between the Commonwealth and the Coalition of Peaks.</w:t>
            </w:r>
          </w:p>
          <w:p w14:paraId="29F31230" w14:textId="77777777" w:rsidR="00811887" w:rsidRDefault="00811887" w:rsidP="00486E22">
            <w:pPr>
              <w:pStyle w:val="TableParagraph"/>
              <w:spacing w:before="126" w:line="266" w:lineRule="auto"/>
              <w:ind w:left="105" w:right="166"/>
              <w:rPr>
                <w:sz w:val="20"/>
              </w:rPr>
            </w:pPr>
            <w:r>
              <w:rPr>
                <w:w w:val="110"/>
                <w:sz w:val="20"/>
              </w:rPr>
              <w:t>The Housing Policy Partnership should review the annual reporting and make recommendations to government</w:t>
            </w:r>
            <w:r>
              <w:rPr>
                <w:spacing w:val="-4"/>
                <w:w w:val="110"/>
                <w:sz w:val="20"/>
              </w:rPr>
              <w:t xml:space="preserve"> </w:t>
            </w:r>
            <w:r>
              <w:rPr>
                <w:w w:val="110"/>
                <w:sz w:val="20"/>
              </w:rPr>
              <w:t>on</w:t>
            </w:r>
            <w:r>
              <w:rPr>
                <w:spacing w:val="-3"/>
                <w:w w:val="110"/>
                <w:sz w:val="20"/>
              </w:rPr>
              <w:t xml:space="preserve"> </w:t>
            </w:r>
            <w:r>
              <w:rPr>
                <w:w w:val="110"/>
                <w:sz w:val="20"/>
              </w:rPr>
              <w:t>progress of investments and any changes needed.</w:t>
            </w:r>
          </w:p>
        </w:tc>
        <w:tc>
          <w:tcPr>
            <w:tcW w:w="2699" w:type="dxa"/>
          </w:tcPr>
          <w:p w14:paraId="6D0D7F9F" w14:textId="77777777" w:rsidR="00811887" w:rsidRDefault="00811887" w:rsidP="00486E22">
            <w:pPr>
              <w:pStyle w:val="TableParagraph"/>
              <w:spacing w:before="25" w:line="268" w:lineRule="auto"/>
              <w:ind w:left="105" w:right="114"/>
              <w:rPr>
                <w:sz w:val="20"/>
              </w:rPr>
            </w:pPr>
            <w:r>
              <w:rPr>
                <w:w w:val="110"/>
                <w:sz w:val="20"/>
              </w:rPr>
              <w:t>Reaching consensus on</w:t>
            </w:r>
            <w:r>
              <w:rPr>
                <w:spacing w:val="40"/>
                <w:w w:val="110"/>
                <w:sz w:val="20"/>
              </w:rPr>
              <w:t xml:space="preserve"> </w:t>
            </w:r>
            <w:r>
              <w:rPr>
                <w:w w:val="110"/>
                <w:sz w:val="20"/>
              </w:rPr>
              <w:t>new data (including performance indicators) is likely to be difficult and it will</w:t>
            </w:r>
            <w:r>
              <w:rPr>
                <w:spacing w:val="-13"/>
                <w:w w:val="110"/>
                <w:sz w:val="20"/>
              </w:rPr>
              <w:t xml:space="preserve"> </w:t>
            </w:r>
            <w:r>
              <w:rPr>
                <w:w w:val="110"/>
                <w:sz w:val="20"/>
              </w:rPr>
              <w:t>be</w:t>
            </w:r>
            <w:r>
              <w:rPr>
                <w:spacing w:val="-12"/>
                <w:w w:val="110"/>
                <w:sz w:val="20"/>
              </w:rPr>
              <w:t xml:space="preserve"> </w:t>
            </w:r>
            <w:r>
              <w:rPr>
                <w:w w:val="110"/>
                <w:sz w:val="20"/>
              </w:rPr>
              <w:t>important</w:t>
            </w:r>
            <w:r>
              <w:rPr>
                <w:spacing w:val="-13"/>
                <w:w w:val="110"/>
                <w:sz w:val="20"/>
              </w:rPr>
              <w:t xml:space="preserve"> </w:t>
            </w:r>
            <w:r>
              <w:rPr>
                <w:w w:val="110"/>
                <w:sz w:val="20"/>
              </w:rPr>
              <w:t>to</w:t>
            </w:r>
            <w:r>
              <w:rPr>
                <w:spacing w:val="-12"/>
                <w:w w:val="110"/>
                <w:sz w:val="20"/>
              </w:rPr>
              <w:t xml:space="preserve"> </w:t>
            </w:r>
            <w:r>
              <w:rPr>
                <w:w w:val="110"/>
                <w:sz w:val="20"/>
              </w:rPr>
              <w:t>select</w:t>
            </w:r>
            <w:r>
              <w:rPr>
                <w:spacing w:val="-13"/>
                <w:w w:val="110"/>
                <w:sz w:val="20"/>
              </w:rPr>
              <w:t xml:space="preserve"> </w:t>
            </w:r>
            <w:r>
              <w:rPr>
                <w:w w:val="110"/>
                <w:sz w:val="20"/>
              </w:rPr>
              <w:t>a small number that will provide the most valuable information to support monitoring of investment and future planning.</w:t>
            </w:r>
          </w:p>
          <w:p w14:paraId="39E5DBD7" w14:textId="77777777" w:rsidR="00811887" w:rsidRDefault="00811887" w:rsidP="00486E22">
            <w:pPr>
              <w:pStyle w:val="TableParagraph"/>
              <w:spacing w:before="113" w:line="268" w:lineRule="auto"/>
              <w:ind w:left="105" w:right="122"/>
              <w:rPr>
                <w:sz w:val="20"/>
              </w:rPr>
            </w:pPr>
            <w:r>
              <w:rPr>
                <w:w w:val="110"/>
                <w:sz w:val="20"/>
              </w:rPr>
              <w:t>Any data shared is unlikely to be comparable across jurisdictions. There are no minimum national data standards on management of social housing and stock and</w:t>
            </w:r>
            <w:r>
              <w:rPr>
                <w:spacing w:val="-2"/>
                <w:w w:val="110"/>
                <w:sz w:val="20"/>
              </w:rPr>
              <w:t xml:space="preserve"> </w:t>
            </w:r>
            <w:r>
              <w:rPr>
                <w:w w:val="110"/>
                <w:sz w:val="20"/>
              </w:rPr>
              <w:t>any</w:t>
            </w:r>
            <w:r>
              <w:rPr>
                <w:spacing w:val="-4"/>
                <w:w w:val="110"/>
                <w:sz w:val="20"/>
              </w:rPr>
              <w:t xml:space="preserve"> </w:t>
            </w:r>
            <w:r>
              <w:rPr>
                <w:w w:val="110"/>
                <w:sz w:val="20"/>
              </w:rPr>
              <w:t>data</w:t>
            </w:r>
            <w:r>
              <w:rPr>
                <w:spacing w:val="-4"/>
                <w:w w:val="110"/>
                <w:sz w:val="20"/>
              </w:rPr>
              <w:t xml:space="preserve"> </w:t>
            </w:r>
            <w:r>
              <w:rPr>
                <w:w w:val="110"/>
                <w:sz w:val="20"/>
              </w:rPr>
              <w:t>that</w:t>
            </w:r>
            <w:r>
              <w:rPr>
                <w:spacing w:val="-2"/>
                <w:w w:val="110"/>
                <w:sz w:val="20"/>
              </w:rPr>
              <w:t xml:space="preserve"> </w:t>
            </w:r>
            <w:r>
              <w:rPr>
                <w:w w:val="110"/>
                <w:sz w:val="20"/>
              </w:rPr>
              <w:t>is</w:t>
            </w:r>
            <w:r>
              <w:rPr>
                <w:spacing w:val="-5"/>
                <w:w w:val="110"/>
                <w:sz w:val="20"/>
              </w:rPr>
              <w:t xml:space="preserve"> </w:t>
            </w:r>
            <w:r>
              <w:rPr>
                <w:w w:val="110"/>
                <w:sz w:val="20"/>
              </w:rPr>
              <w:t xml:space="preserve">shared by state and territory governments is unlikely to be comparable. State and territory governments are also likely to raise privacy concerns over the release of data, particularly with respect to small communities like </w:t>
            </w:r>
            <w:r>
              <w:rPr>
                <w:spacing w:val="-2"/>
                <w:w w:val="110"/>
                <w:sz w:val="20"/>
              </w:rPr>
              <w:t>homelands.</w:t>
            </w:r>
          </w:p>
          <w:p w14:paraId="422FA24B" w14:textId="77777777" w:rsidR="00811887" w:rsidRDefault="00811887" w:rsidP="00486E22">
            <w:pPr>
              <w:pStyle w:val="TableParagraph"/>
              <w:spacing w:before="100" w:line="268" w:lineRule="auto"/>
              <w:ind w:left="105" w:right="122"/>
              <w:rPr>
                <w:sz w:val="20"/>
              </w:rPr>
            </w:pPr>
            <w:r>
              <w:rPr>
                <w:w w:val="110"/>
                <w:sz w:val="20"/>
              </w:rPr>
              <w:t>Any efforts to develop and agree minimum national data standards on management of social housing</w:t>
            </w:r>
            <w:r>
              <w:rPr>
                <w:spacing w:val="-11"/>
                <w:w w:val="110"/>
                <w:sz w:val="20"/>
              </w:rPr>
              <w:t xml:space="preserve"> </w:t>
            </w:r>
            <w:r>
              <w:rPr>
                <w:w w:val="110"/>
                <w:sz w:val="20"/>
              </w:rPr>
              <w:t>stock</w:t>
            </w:r>
            <w:r>
              <w:rPr>
                <w:spacing w:val="-9"/>
                <w:w w:val="110"/>
                <w:sz w:val="20"/>
              </w:rPr>
              <w:t xml:space="preserve"> </w:t>
            </w:r>
            <w:r>
              <w:rPr>
                <w:w w:val="110"/>
                <w:sz w:val="20"/>
              </w:rPr>
              <w:t>is</w:t>
            </w:r>
            <w:r>
              <w:rPr>
                <w:spacing w:val="-6"/>
                <w:w w:val="110"/>
                <w:sz w:val="20"/>
              </w:rPr>
              <w:t xml:space="preserve"> </w:t>
            </w:r>
            <w:r>
              <w:rPr>
                <w:w w:val="110"/>
                <w:sz w:val="20"/>
              </w:rPr>
              <w:t>likely</w:t>
            </w:r>
            <w:r>
              <w:rPr>
                <w:spacing w:val="-9"/>
                <w:w w:val="110"/>
                <w:sz w:val="20"/>
              </w:rPr>
              <w:t xml:space="preserve"> </w:t>
            </w:r>
            <w:r>
              <w:rPr>
                <w:w w:val="110"/>
                <w:sz w:val="20"/>
              </w:rPr>
              <w:t>to</w:t>
            </w:r>
            <w:r>
              <w:rPr>
                <w:spacing w:val="-6"/>
                <w:w w:val="110"/>
                <w:sz w:val="20"/>
              </w:rPr>
              <w:t xml:space="preserve"> </w:t>
            </w:r>
            <w:r>
              <w:rPr>
                <w:w w:val="110"/>
                <w:sz w:val="20"/>
              </w:rPr>
              <w:t>be very</w:t>
            </w:r>
            <w:r>
              <w:rPr>
                <w:spacing w:val="-9"/>
                <w:w w:val="110"/>
                <w:sz w:val="20"/>
              </w:rPr>
              <w:t xml:space="preserve"> </w:t>
            </w:r>
            <w:r>
              <w:rPr>
                <w:w w:val="110"/>
                <w:sz w:val="20"/>
              </w:rPr>
              <w:t>protracted,</w:t>
            </w:r>
            <w:r>
              <w:rPr>
                <w:spacing w:val="-7"/>
                <w:w w:val="110"/>
                <w:sz w:val="20"/>
              </w:rPr>
              <w:t xml:space="preserve"> </w:t>
            </w:r>
            <w:r>
              <w:rPr>
                <w:w w:val="110"/>
                <w:sz w:val="20"/>
              </w:rPr>
              <w:t>noting</w:t>
            </w:r>
            <w:r>
              <w:rPr>
                <w:spacing w:val="-11"/>
                <w:w w:val="110"/>
                <w:sz w:val="20"/>
              </w:rPr>
              <w:t xml:space="preserve"> </w:t>
            </w:r>
            <w:r>
              <w:rPr>
                <w:w w:val="110"/>
                <w:sz w:val="20"/>
              </w:rPr>
              <w:t xml:space="preserve">the delays across the board in progressing existing data </w:t>
            </w:r>
            <w:r>
              <w:rPr>
                <w:spacing w:val="-2"/>
                <w:w w:val="110"/>
                <w:sz w:val="20"/>
              </w:rPr>
              <w:t>commitments.</w:t>
            </w:r>
          </w:p>
        </w:tc>
      </w:tr>
    </w:tbl>
    <w:p w14:paraId="068E06EB" w14:textId="77777777" w:rsidR="00811887" w:rsidRDefault="00811887" w:rsidP="00811887">
      <w:pPr>
        <w:spacing w:line="268" w:lineRule="auto"/>
        <w:rPr>
          <w:sz w:val="20"/>
        </w:rPr>
        <w:sectPr w:rsidR="00811887" w:rsidSect="00811887">
          <w:pgSz w:w="11910" w:h="16840"/>
          <w:pgMar w:top="1260" w:right="720" w:bottom="1080" w:left="740" w:header="0" w:footer="805" w:gutter="0"/>
          <w:cols w:space="720"/>
        </w:sect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38"/>
        <w:gridCol w:w="2699"/>
      </w:tblGrid>
      <w:tr w:rsidR="00811887" w14:paraId="63CDF9DB" w14:textId="77777777" w:rsidTr="00486E22">
        <w:trPr>
          <w:trHeight w:val="5996"/>
        </w:trPr>
        <w:tc>
          <w:tcPr>
            <w:tcW w:w="2689" w:type="dxa"/>
          </w:tcPr>
          <w:p w14:paraId="11AC13FB" w14:textId="77777777" w:rsidR="00811887" w:rsidRDefault="00811887" w:rsidP="00486E22">
            <w:pPr>
              <w:pStyle w:val="TableParagraph"/>
              <w:spacing w:before="25" w:line="268" w:lineRule="auto"/>
              <w:ind w:left="465" w:right="166"/>
              <w:rPr>
                <w:sz w:val="20"/>
              </w:rPr>
            </w:pPr>
            <w:r>
              <w:rPr>
                <w:w w:val="110"/>
                <w:sz w:val="20"/>
              </w:rPr>
              <w:lastRenderedPageBreak/>
              <w:t>Strait</w:t>
            </w:r>
            <w:r>
              <w:rPr>
                <w:spacing w:val="-13"/>
                <w:w w:val="110"/>
                <w:sz w:val="20"/>
              </w:rPr>
              <w:t xml:space="preserve"> </w:t>
            </w:r>
            <w:r>
              <w:rPr>
                <w:w w:val="110"/>
                <w:sz w:val="20"/>
              </w:rPr>
              <w:t>Islander</w:t>
            </w:r>
            <w:r>
              <w:rPr>
                <w:spacing w:val="-12"/>
                <w:w w:val="110"/>
                <w:sz w:val="20"/>
              </w:rPr>
              <w:t xml:space="preserve"> </w:t>
            </w:r>
            <w:r>
              <w:rPr>
                <w:w w:val="110"/>
                <w:sz w:val="20"/>
              </w:rPr>
              <w:t>people’s households, including number of houses requiring repairs and maintenance</w:t>
            </w:r>
            <w:r>
              <w:rPr>
                <w:spacing w:val="-4"/>
                <w:w w:val="110"/>
                <w:sz w:val="20"/>
              </w:rPr>
              <w:t xml:space="preserve"> </w:t>
            </w:r>
            <w:r>
              <w:rPr>
                <w:w w:val="110"/>
                <w:sz w:val="20"/>
              </w:rPr>
              <w:t xml:space="preserve">and with working health </w:t>
            </w:r>
            <w:r>
              <w:rPr>
                <w:spacing w:val="-2"/>
                <w:w w:val="110"/>
                <w:sz w:val="20"/>
              </w:rPr>
              <w:t>hardware.</w:t>
            </w:r>
          </w:p>
          <w:p w14:paraId="118736EA" w14:textId="77777777" w:rsidR="00811887" w:rsidRDefault="00811887" w:rsidP="00811887">
            <w:pPr>
              <w:pStyle w:val="TableParagraph"/>
              <w:numPr>
                <w:ilvl w:val="0"/>
                <w:numId w:val="61"/>
              </w:numPr>
              <w:tabs>
                <w:tab w:val="left" w:pos="465"/>
              </w:tabs>
              <w:spacing w:line="236" w:lineRule="exact"/>
              <w:rPr>
                <w:sz w:val="20"/>
              </w:rPr>
            </w:pPr>
            <w:r>
              <w:rPr>
                <w:w w:val="105"/>
                <w:sz w:val="20"/>
              </w:rPr>
              <w:t>quality</w:t>
            </w:r>
            <w:r>
              <w:rPr>
                <w:spacing w:val="13"/>
                <w:w w:val="105"/>
                <w:sz w:val="20"/>
              </w:rPr>
              <w:t xml:space="preserve"> </w:t>
            </w:r>
            <w:r>
              <w:rPr>
                <w:w w:val="105"/>
                <w:sz w:val="20"/>
              </w:rPr>
              <w:t>and</w:t>
            </w:r>
            <w:r>
              <w:rPr>
                <w:spacing w:val="15"/>
                <w:w w:val="105"/>
                <w:sz w:val="20"/>
              </w:rPr>
              <w:t xml:space="preserve"> </w:t>
            </w:r>
            <w:r>
              <w:rPr>
                <w:w w:val="105"/>
                <w:sz w:val="20"/>
              </w:rPr>
              <w:t>type</w:t>
            </w:r>
            <w:r>
              <w:rPr>
                <w:spacing w:val="10"/>
                <w:w w:val="105"/>
                <w:sz w:val="20"/>
              </w:rPr>
              <w:t xml:space="preserve"> </w:t>
            </w:r>
            <w:r>
              <w:rPr>
                <w:spacing w:val="-5"/>
                <w:w w:val="105"/>
                <w:sz w:val="20"/>
              </w:rPr>
              <w:t>of</w:t>
            </w:r>
          </w:p>
          <w:p w14:paraId="0B52615D" w14:textId="77777777" w:rsidR="00811887" w:rsidRDefault="00811887" w:rsidP="00486E22">
            <w:pPr>
              <w:pStyle w:val="TableParagraph"/>
              <w:spacing w:before="30" w:line="268" w:lineRule="auto"/>
              <w:ind w:left="465" w:right="151"/>
              <w:rPr>
                <w:sz w:val="20"/>
              </w:rPr>
            </w:pPr>
            <w:r>
              <w:rPr>
                <w:w w:val="110"/>
                <w:sz w:val="20"/>
              </w:rPr>
              <w:t>community and housing related infrastructure</w:t>
            </w:r>
            <w:r>
              <w:rPr>
                <w:spacing w:val="-13"/>
                <w:w w:val="110"/>
                <w:sz w:val="20"/>
              </w:rPr>
              <w:t xml:space="preserve"> </w:t>
            </w:r>
            <w:r>
              <w:rPr>
                <w:w w:val="110"/>
                <w:sz w:val="20"/>
              </w:rPr>
              <w:t>(housing amenities, power, water, sewage)</w:t>
            </w:r>
          </w:p>
          <w:p w14:paraId="726DE2A8" w14:textId="77777777" w:rsidR="00811887" w:rsidRDefault="00811887" w:rsidP="00811887">
            <w:pPr>
              <w:pStyle w:val="TableParagraph"/>
              <w:numPr>
                <w:ilvl w:val="0"/>
                <w:numId w:val="61"/>
              </w:numPr>
              <w:tabs>
                <w:tab w:val="left" w:pos="465"/>
              </w:tabs>
              <w:spacing w:line="241" w:lineRule="exact"/>
              <w:rPr>
                <w:sz w:val="20"/>
              </w:rPr>
            </w:pPr>
            <w:r>
              <w:rPr>
                <w:w w:val="110"/>
                <w:sz w:val="20"/>
              </w:rPr>
              <w:t>number</w:t>
            </w:r>
            <w:r>
              <w:rPr>
                <w:spacing w:val="1"/>
                <w:w w:val="110"/>
                <w:sz w:val="20"/>
              </w:rPr>
              <w:t xml:space="preserve"> </w:t>
            </w:r>
            <w:r>
              <w:rPr>
                <w:w w:val="110"/>
                <w:sz w:val="20"/>
              </w:rPr>
              <w:t>of</w:t>
            </w:r>
            <w:r>
              <w:rPr>
                <w:spacing w:val="5"/>
                <w:w w:val="110"/>
                <w:sz w:val="20"/>
              </w:rPr>
              <w:t xml:space="preserve"> </w:t>
            </w:r>
            <w:r>
              <w:rPr>
                <w:spacing w:val="-2"/>
                <w:w w:val="110"/>
                <w:sz w:val="20"/>
              </w:rPr>
              <w:t>transfers</w:t>
            </w:r>
          </w:p>
          <w:p w14:paraId="7C9D37DF" w14:textId="77777777" w:rsidR="00811887" w:rsidRDefault="00811887" w:rsidP="00486E22">
            <w:pPr>
              <w:pStyle w:val="TableParagraph"/>
              <w:spacing w:before="29" w:line="266" w:lineRule="auto"/>
              <w:ind w:left="465" w:right="166"/>
              <w:rPr>
                <w:sz w:val="20"/>
              </w:rPr>
            </w:pPr>
            <w:r>
              <w:rPr>
                <w:w w:val="110"/>
                <w:sz w:val="20"/>
              </w:rPr>
              <w:t>from</w:t>
            </w:r>
            <w:r>
              <w:rPr>
                <w:spacing w:val="-6"/>
                <w:w w:val="110"/>
                <w:sz w:val="20"/>
              </w:rPr>
              <w:t xml:space="preserve"> </w:t>
            </w:r>
            <w:r>
              <w:rPr>
                <w:w w:val="110"/>
                <w:sz w:val="20"/>
              </w:rPr>
              <w:t>homelessness</w:t>
            </w:r>
            <w:r>
              <w:rPr>
                <w:spacing w:val="-5"/>
                <w:w w:val="110"/>
                <w:sz w:val="20"/>
              </w:rPr>
              <w:t xml:space="preserve"> </w:t>
            </w:r>
            <w:r>
              <w:rPr>
                <w:w w:val="110"/>
                <w:sz w:val="20"/>
              </w:rPr>
              <w:t>to social housing to private rental / homeownership for Aboriginal and Torres Strait Islander people and households.</w:t>
            </w:r>
          </w:p>
        </w:tc>
        <w:tc>
          <w:tcPr>
            <w:tcW w:w="4538" w:type="dxa"/>
          </w:tcPr>
          <w:p w14:paraId="36755522" w14:textId="77777777" w:rsidR="00811887" w:rsidRDefault="00811887" w:rsidP="00486E22">
            <w:pPr>
              <w:pStyle w:val="TableParagraph"/>
              <w:spacing w:line="240" w:lineRule="auto"/>
              <w:rPr>
                <w:rFonts w:ascii="Times New Roman"/>
                <w:sz w:val="20"/>
              </w:rPr>
            </w:pPr>
          </w:p>
        </w:tc>
        <w:tc>
          <w:tcPr>
            <w:tcW w:w="2699" w:type="dxa"/>
          </w:tcPr>
          <w:p w14:paraId="4E4FBB37" w14:textId="77777777" w:rsidR="00811887" w:rsidRDefault="00811887" w:rsidP="00486E22">
            <w:pPr>
              <w:pStyle w:val="TableParagraph"/>
              <w:spacing w:before="25" w:line="268" w:lineRule="auto"/>
              <w:ind w:left="105"/>
              <w:rPr>
                <w:sz w:val="20"/>
              </w:rPr>
            </w:pPr>
            <w:r>
              <w:rPr>
                <w:w w:val="110"/>
                <w:sz w:val="20"/>
              </w:rPr>
              <w:t>The Commonwealth would need to be</w:t>
            </w:r>
            <w:r>
              <w:rPr>
                <w:spacing w:val="-4"/>
                <w:w w:val="110"/>
                <w:sz w:val="20"/>
              </w:rPr>
              <w:t xml:space="preserve"> </w:t>
            </w:r>
            <w:r>
              <w:rPr>
                <w:w w:val="110"/>
                <w:sz w:val="20"/>
              </w:rPr>
              <w:t>prepared to not release funds to state and territory governments who have</w:t>
            </w:r>
            <w:r>
              <w:rPr>
                <w:spacing w:val="-9"/>
                <w:w w:val="110"/>
                <w:sz w:val="20"/>
              </w:rPr>
              <w:t xml:space="preserve"> </w:t>
            </w:r>
            <w:r>
              <w:rPr>
                <w:w w:val="110"/>
                <w:sz w:val="20"/>
              </w:rPr>
              <w:t>not</w:t>
            </w:r>
            <w:r>
              <w:rPr>
                <w:spacing w:val="-9"/>
                <w:w w:val="110"/>
                <w:sz w:val="20"/>
              </w:rPr>
              <w:t xml:space="preserve"> </w:t>
            </w:r>
            <w:r>
              <w:rPr>
                <w:w w:val="110"/>
                <w:sz w:val="20"/>
              </w:rPr>
              <w:t>met</w:t>
            </w:r>
            <w:r>
              <w:rPr>
                <w:spacing w:val="-9"/>
                <w:w w:val="110"/>
                <w:sz w:val="20"/>
              </w:rPr>
              <w:t xml:space="preserve"> </w:t>
            </w:r>
            <w:r>
              <w:rPr>
                <w:w w:val="110"/>
                <w:sz w:val="20"/>
              </w:rPr>
              <w:t>reporting</w:t>
            </w:r>
            <w:r>
              <w:rPr>
                <w:spacing w:val="-9"/>
                <w:w w:val="110"/>
                <w:sz w:val="20"/>
              </w:rPr>
              <w:t xml:space="preserve"> </w:t>
            </w:r>
            <w:r>
              <w:rPr>
                <w:w w:val="110"/>
                <w:sz w:val="20"/>
              </w:rPr>
              <w:t>and data requirements.</w:t>
            </w:r>
          </w:p>
        </w:tc>
      </w:tr>
      <w:tr w:rsidR="00811887" w14:paraId="78B962AB" w14:textId="77777777" w:rsidTr="00486E22">
        <w:trPr>
          <w:trHeight w:val="657"/>
        </w:trPr>
        <w:tc>
          <w:tcPr>
            <w:tcW w:w="9926" w:type="dxa"/>
            <w:gridSpan w:val="3"/>
            <w:shd w:val="clear" w:color="auto" w:fill="67837B"/>
          </w:tcPr>
          <w:p w14:paraId="6FF72E55" w14:textId="77777777" w:rsidR="00811887" w:rsidRPr="00D373F5" w:rsidRDefault="00811887" w:rsidP="00486E22">
            <w:pPr>
              <w:pStyle w:val="TableParagraph"/>
              <w:spacing w:line="240" w:lineRule="auto"/>
              <w:ind w:left="105"/>
              <w:rPr>
                <w:rFonts w:ascii="Garamond"/>
                <w:b/>
                <w:color w:val="FFFFFF" w:themeColor="background1"/>
                <w:sz w:val="24"/>
              </w:rPr>
            </w:pPr>
            <w:r w:rsidRPr="00D373F5">
              <w:rPr>
                <w:rFonts w:ascii="Garamond"/>
                <w:b/>
                <w:color w:val="FFFFFF" w:themeColor="background1"/>
                <w:sz w:val="24"/>
              </w:rPr>
              <w:t>Proposal Two:</w:t>
            </w:r>
            <w:r w:rsidRPr="00D373F5">
              <w:rPr>
                <w:rFonts w:ascii="Garamond"/>
                <w:b/>
                <w:color w:val="FFFFFF" w:themeColor="background1"/>
                <w:spacing w:val="-2"/>
                <w:sz w:val="24"/>
              </w:rPr>
              <w:t xml:space="preserve"> </w:t>
            </w:r>
            <w:r w:rsidRPr="00D373F5">
              <w:rPr>
                <w:rFonts w:ascii="Garamond"/>
                <w:b/>
                <w:color w:val="FFFFFF" w:themeColor="background1"/>
                <w:sz w:val="24"/>
              </w:rPr>
              <w:t>Undertake</w:t>
            </w:r>
            <w:r w:rsidRPr="00D373F5">
              <w:rPr>
                <w:rFonts w:ascii="Garamond"/>
                <w:b/>
                <w:color w:val="FFFFFF" w:themeColor="background1"/>
                <w:spacing w:val="-4"/>
                <w:sz w:val="24"/>
              </w:rPr>
              <w:t xml:space="preserve"> </w:t>
            </w:r>
            <w:r w:rsidRPr="00D373F5">
              <w:rPr>
                <w:rFonts w:ascii="Garamond"/>
                <w:b/>
                <w:color w:val="FFFFFF" w:themeColor="background1"/>
                <w:sz w:val="24"/>
              </w:rPr>
              <w:t>rapid</w:t>
            </w:r>
            <w:r w:rsidRPr="00D373F5">
              <w:rPr>
                <w:rFonts w:ascii="Garamond"/>
                <w:b/>
                <w:color w:val="FFFFFF" w:themeColor="background1"/>
                <w:spacing w:val="-6"/>
                <w:sz w:val="24"/>
              </w:rPr>
              <w:t xml:space="preserve"> </w:t>
            </w:r>
            <w:r w:rsidRPr="00D373F5">
              <w:rPr>
                <w:rFonts w:ascii="Garamond"/>
                <w:b/>
                <w:color w:val="FFFFFF" w:themeColor="background1"/>
                <w:sz w:val="24"/>
              </w:rPr>
              <w:t>needs</w:t>
            </w:r>
            <w:r w:rsidRPr="00D373F5">
              <w:rPr>
                <w:rFonts w:ascii="Garamond"/>
                <w:b/>
                <w:color w:val="FFFFFF" w:themeColor="background1"/>
                <w:spacing w:val="-6"/>
                <w:sz w:val="24"/>
              </w:rPr>
              <w:t xml:space="preserve"> </w:t>
            </w:r>
            <w:r w:rsidRPr="00D373F5">
              <w:rPr>
                <w:rFonts w:ascii="Garamond"/>
                <w:b/>
                <w:color w:val="FFFFFF" w:themeColor="background1"/>
                <w:sz w:val="24"/>
              </w:rPr>
              <w:t>assessments</w:t>
            </w:r>
            <w:r w:rsidRPr="00D373F5">
              <w:rPr>
                <w:rFonts w:ascii="Garamond"/>
                <w:b/>
                <w:color w:val="FFFFFF" w:themeColor="background1"/>
                <w:spacing w:val="-1"/>
                <w:sz w:val="24"/>
              </w:rPr>
              <w:t xml:space="preserve"> </w:t>
            </w:r>
            <w:r w:rsidRPr="00D373F5">
              <w:rPr>
                <w:rFonts w:ascii="Garamond"/>
                <w:b/>
                <w:color w:val="FFFFFF" w:themeColor="background1"/>
                <w:sz w:val="24"/>
              </w:rPr>
              <w:t>in</w:t>
            </w:r>
            <w:r w:rsidRPr="00D373F5">
              <w:rPr>
                <w:rFonts w:ascii="Garamond"/>
                <w:b/>
                <w:color w:val="FFFFFF" w:themeColor="background1"/>
                <w:spacing w:val="-5"/>
                <w:sz w:val="24"/>
              </w:rPr>
              <w:t xml:space="preserve"> </w:t>
            </w:r>
            <w:r w:rsidRPr="00D373F5">
              <w:rPr>
                <w:rFonts w:ascii="Garamond"/>
                <w:b/>
                <w:color w:val="FFFFFF" w:themeColor="background1"/>
                <w:sz w:val="24"/>
              </w:rPr>
              <w:t>targeted</w:t>
            </w:r>
            <w:r w:rsidRPr="00D373F5">
              <w:rPr>
                <w:rFonts w:ascii="Garamond"/>
                <w:b/>
                <w:color w:val="FFFFFF" w:themeColor="background1"/>
                <w:spacing w:val="-1"/>
                <w:sz w:val="24"/>
              </w:rPr>
              <w:t xml:space="preserve"> </w:t>
            </w:r>
            <w:r w:rsidRPr="00D373F5">
              <w:rPr>
                <w:rFonts w:ascii="Garamond"/>
                <w:b/>
                <w:color w:val="FFFFFF" w:themeColor="background1"/>
                <w:sz w:val="24"/>
              </w:rPr>
              <w:t>areas</w:t>
            </w:r>
            <w:r w:rsidRPr="00D373F5">
              <w:rPr>
                <w:rFonts w:ascii="Garamond"/>
                <w:b/>
                <w:color w:val="FFFFFF" w:themeColor="background1"/>
                <w:spacing w:val="-1"/>
                <w:sz w:val="24"/>
              </w:rPr>
              <w:t xml:space="preserve"> </w:t>
            </w:r>
            <w:r w:rsidRPr="00D373F5">
              <w:rPr>
                <w:rFonts w:ascii="Garamond"/>
                <w:b/>
                <w:color w:val="FFFFFF" w:themeColor="background1"/>
                <w:sz w:val="24"/>
              </w:rPr>
              <w:t>building</w:t>
            </w:r>
            <w:r w:rsidRPr="00D373F5">
              <w:rPr>
                <w:rFonts w:ascii="Garamond"/>
                <w:b/>
                <w:color w:val="FFFFFF" w:themeColor="background1"/>
                <w:spacing w:val="-7"/>
                <w:sz w:val="24"/>
              </w:rPr>
              <w:t xml:space="preserve"> </w:t>
            </w:r>
            <w:r w:rsidRPr="00D373F5">
              <w:rPr>
                <w:rFonts w:ascii="Garamond"/>
                <w:b/>
                <w:color w:val="FFFFFF" w:themeColor="background1"/>
                <w:sz w:val="24"/>
              </w:rPr>
              <w:t>upon</w:t>
            </w:r>
            <w:r w:rsidRPr="00D373F5">
              <w:rPr>
                <w:rFonts w:ascii="Garamond"/>
                <w:b/>
                <w:color w:val="FFFFFF" w:themeColor="background1"/>
                <w:spacing w:val="-6"/>
                <w:sz w:val="24"/>
              </w:rPr>
              <w:t xml:space="preserve"> </w:t>
            </w:r>
            <w:r w:rsidRPr="00D373F5">
              <w:rPr>
                <w:rFonts w:ascii="Garamond"/>
                <w:b/>
                <w:color w:val="FFFFFF" w:themeColor="background1"/>
                <w:sz w:val="24"/>
              </w:rPr>
              <w:t>Census</w:t>
            </w:r>
            <w:r w:rsidRPr="00D373F5">
              <w:rPr>
                <w:rFonts w:ascii="Garamond"/>
                <w:b/>
                <w:color w:val="FFFFFF" w:themeColor="background1"/>
                <w:spacing w:val="-6"/>
                <w:sz w:val="24"/>
              </w:rPr>
              <w:t xml:space="preserve"> </w:t>
            </w:r>
            <w:r w:rsidRPr="00D373F5">
              <w:rPr>
                <w:rFonts w:ascii="Garamond"/>
                <w:b/>
                <w:color w:val="FFFFFF" w:themeColor="background1"/>
                <w:sz w:val="24"/>
              </w:rPr>
              <w:t xml:space="preserve">data </w:t>
            </w:r>
            <w:r w:rsidRPr="00D373F5">
              <w:rPr>
                <w:rFonts w:ascii="Garamond"/>
                <w:b/>
                <w:color w:val="FFFFFF" w:themeColor="background1"/>
                <w:spacing w:val="-2"/>
                <w:sz w:val="24"/>
              </w:rPr>
              <w:t>indications</w:t>
            </w:r>
          </w:p>
        </w:tc>
      </w:tr>
      <w:tr w:rsidR="00811887" w14:paraId="74D9C1DE" w14:textId="77777777" w:rsidTr="00486E22">
        <w:trPr>
          <w:trHeight w:val="393"/>
        </w:trPr>
        <w:tc>
          <w:tcPr>
            <w:tcW w:w="2689" w:type="dxa"/>
            <w:shd w:val="clear" w:color="auto" w:fill="67837B"/>
          </w:tcPr>
          <w:p w14:paraId="7B0B3A9F"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Proposal</w:t>
            </w:r>
          </w:p>
        </w:tc>
        <w:tc>
          <w:tcPr>
            <w:tcW w:w="4538" w:type="dxa"/>
            <w:shd w:val="clear" w:color="auto" w:fill="67837B"/>
          </w:tcPr>
          <w:p w14:paraId="78D4D361"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Opportunity</w:t>
            </w:r>
          </w:p>
        </w:tc>
        <w:tc>
          <w:tcPr>
            <w:tcW w:w="2699" w:type="dxa"/>
            <w:shd w:val="clear" w:color="auto" w:fill="67837B"/>
          </w:tcPr>
          <w:p w14:paraId="17BE268E"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Limitations</w:t>
            </w:r>
          </w:p>
        </w:tc>
      </w:tr>
      <w:tr w:rsidR="00811887" w14:paraId="1B2FA050" w14:textId="77777777" w:rsidTr="00486E22">
        <w:trPr>
          <w:trHeight w:val="6899"/>
        </w:trPr>
        <w:tc>
          <w:tcPr>
            <w:tcW w:w="2689" w:type="dxa"/>
          </w:tcPr>
          <w:p w14:paraId="60EF48E6" w14:textId="77777777" w:rsidR="00811887" w:rsidRDefault="00811887" w:rsidP="00486E22">
            <w:pPr>
              <w:pStyle w:val="TableParagraph"/>
              <w:spacing w:before="25" w:line="268" w:lineRule="auto"/>
              <w:ind w:left="105" w:right="202"/>
              <w:rPr>
                <w:sz w:val="20"/>
              </w:rPr>
            </w:pPr>
            <w:r>
              <w:rPr>
                <w:w w:val="110"/>
                <w:sz w:val="20"/>
              </w:rPr>
              <w:t>Use existing Census data to identify regional hotspots</w:t>
            </w:r>
            <w:r>
              <w:rPr>
                <w:spacing w:val="-11"/>
                <w:w w:val="110"/>
                <w:sz w:val="20"/>
              </w:rPr>
              <w:t xml:space="preserve"> </w:t>
            </w:r>
            <w:r>
              <w:rPr>
                <w:w w:val="110"/>
                <w:sz w:val="20"/>
              </w:rPr>
              <w:t>of</w:t>
            </w:r>
            <w:r>
              <w:rPr>
                <w:spacing w:val="-11"/>
                <w:w w:val="110"/>
                <w:sz w:val="20"/>
              </w:rPr>
              <w:t xml:space="preserve"> </w:t>
            </w:r>
            <w:r>
              <w:rPr>
                <w:w w:val="110"/>
                <w:sz w:val="20"/>
              </w:rPr>
              <w:t>Aboriginal</w:t>
            </w:r>
            <w:r>
              <w:rPr>
                <w:spacing w:val="-11"/>
                <w:w w:val="110"/>
                <w:sz w:val="20"/>
              </w:rPr>
              <w:t xml:space="preserve"> </w:t>
            </w:r>
            <w:r>
              <w:rPr>
                <w:w w:val="110"/>
                <w:sz w:val="20"/>
              </w:rPr>
              <w:t>and Torres Strait Islander homelessness and overcrowding for rapid assessments to support new</w:t>
            </w:r>
            <w:r>
              <w:rPr>
                <w:spacing w:val="-12"/>
                <w:w w:val="110"/>
                <w:sz w:val="20"/>
              </w:rPr>
              <w:t xml:space="preserve"> </w:t>
            </w:r>
            <w:r>
              <w:rPr>
                <w:w w:val="110"/>
                <w:sz w:val="20"/>
              </w:rPr>
              <w:t>and</w:t>
            </w:r>
            <w:r>
              <w:rPr>
                <w:spacing w:val="-10"/>
                <w:w w:val="110"/>
                <w:sz w:val="20"/>
              </w:rPr>
              <w:t xml:space="preserve"> </w:t>
            </w:r>
            <w:r>
              <w:rPr>
                <w:w w:val="110"/>
                <w:sz w:val="20"/>
              </w:rPr>
              <w:t>targeted</w:t>
            </w:r>
            <w:r>
              <w:rPr>
                <w:spacing w:val="-10"/>
                <w:w w:val="110"/>
                <w:sz w:val="20"/>
              </w:rPr>
              <w:t xml:space="preserve"> </w:t>
            </w:r>
            <w:r>
              <w:rPr>
                <w:w w:val="110"/>
                <w:sz w:val="20"/>
              </w:rPr>
              <w:t>regional investment shared by the Commonwealth and relevant</w:t>
            </w:r>
            <w:r>
              <w:rPr>
                <w:spacing w:val="-13"/>
                <w:w w:val="110"/>
                <w:sz w:val="20"/>
              </w:rPr>
              <w:t xml:space="preserve"> </w:t>
            </w:r>
            <w:r>
              <w:rPr>
                <w:w w:val="110"/>
                <w:sz w:val="20"/>
              </w:rPr>
              <w:t>State</w:t>
            </w:r>
            <w:r>
              <w:rPr>
                <w:spacing w:val="-12"/>
                <w:w w:val="110"/>
                <w:sz w:val="20"/>
              </w:rPr>
              <w:t xml:space="preserve"> </w:t>
            </w:r>
            <w:r>
              <w:rPr>
                <w:w w:val="110"/>
                <w:sz w:val="20"/>
              </w:rPr>
              <w:t>or</w:t>
            </w:r>
            <w:r>
              <w:rPr>
                <w:spacing w:val="-13"/>
                <w:w w:val="110"/>
                <w:sz w:val="20"/>
              </w:rPr>
              <w:t xml:space="preserve"> </w:t>
            </w:r>
            <w:r>
              <w:rPr>
                <w:w w:val="110"/>
                <w:sz w:val="20"/>
              </w:rPr>
              <w:t>Territory.</w:t>
            </w:r>
          </w:p>
        </w:tc>
        <w:tc>
          <w:tcPr>
            <w:tcW w:w="4538" w:type="dxa"/>
          </w:tcPr>
          <w:p w14:paraId="56CC8515" w14:textId="77777777" w:rsidR="00811887" w:rsidRDefault="00811887" w:rsidP="00486E22">
            <w:pPr>
              <w:pStyle w:val="TableParagraph"/>
              <w:spacing w:before="25" w:line="268" w:lineRule="auto"/>
              <w:ind w:left="105" w:right="132"/>
              <w:rPr>
                <w:sz w:val="20"/>
              </w:rPr>
            </w:pPr>
            <w:r>
              <w:rPr>
                <w:w w:val="110"/>
                <w:sz w:val="20"/>
              </w:rPr>
              <w:t>To</w:t>
            </w:r>
            <w:r>
              <w:rPr>
                <w:spacing w:val="-7"/>
                <w:w w:val="110"/>
                <w:sz w:val="20"/>
              </w:rPr>
              <w:t xml:space="preserve"> </w:t>
            </w:r>
            <w:r>
              <w:rPr>
                <w:w w:val="110"/>
                <w:sz w:val="20"/>
              </w:rPr>
              <w:t>help</w:t>
            </w:r>
            <w:r>
              <w:rPr>
                <w:spacing w:val="-8"/>
                <w:w w:val="110"/>
                <w:sz w:val="20"/>
              </w:rPr>
              <w:t xml:space="preserve"> </w:t>
            </w:r>
            <w:r>
              <w:rPr>
                <w:w w:val="110"/>
                <w:sz w:val="20"/>
              </w:rPr>
              <w:t>inform</w:t>
            </w:r>
            <w:r>
              <w:rPr>
                <w:spacing w:val="-8"/>
                <w:w w:val="110"/>
                <w:sz w:val="20"/>
              </w:rPr>
              <w:t xml:space="preserve"> </w:t>
            </w:r>
            <w:r>
              <w:rPr>
                <w:w w:val="110"/>
                <w:sz w:val="20"/>
              </w:rPr>
              <w:t>immediate</w:t>
            </w:r>
            <w:r>
              <w:rPr>
                <w:spacing w:val="-9"/>
                <w:w w:val="110"/>
                <w:sz w:val="20"/>
              </w:rPr>
              <w:t xml:space="preserve"> </w:t>
            </w:r>
            <w:r>
              <w:rPr>
                <w:w w:val="110"/>
                <w:sz w:val="20"/>
              </w:rPr>
              <w:t>government</w:t>
            </w:r>
            <w:r>
              <w:rPr>
                <w:spacing w:val="-8"/>
                <w:w w:val="110"/>
                <w:sz w:val="20"/>
              </w:rPr>
              <w:t xml:space="preserve"> </w:t>
            </w:r>
            <w:r>
              <w:rPr>
                <w:w w:val="110"/>
                <w:sz w:val="20"/>
              </w:rPr>
              <w:t>new</w:t>
            </w:r>
            <w:r>
              <w:rPr>
                <w:spacing w:val="-10"/>
                <w:w w:val="110"/>
                <w:sz w:val="20"/>
              </w:rPr>
              <w:t xml:space="preserve"> </w:t>
            </w:r>
            <w:r>
              <w:rPr>
                <w:w w:val="110"/>
                <w:sz w:val="20"/>
              </w:rPr>
              <w:t>and existing investment decisions, available ABS data by SA2, overlayed with areas of high population of Aboriginal and Torres Strait Islander</w:t>
            </w:r>
            <w:r>
              <w:rPr>
                <w:spacing w:val="-3"/>
                <w:w w:val="110"/>
                <w:sz w:val="20"/>
              </w:rPr>
              <w:t xml:space="preserve"> </w:t>
            </w:r>
            <w:r>
              <w:rPr>
                <w:w w:val="110"/>
                <w:sz w:val="20"/>
              </w:rPr>
              <w:t>people,</w:t>
            </w:r>
            <w:r>
              <w:rPr>
                <w:spacing w:val="-1"/>
                <w:w w:val="110"/>
                <w:sz w:val="20"/>
              </w:rPr>
              <w:t xml:space="preserve"> </w:t>
            </w:r>
            <w:r>
              <w:rPr>
                <w:w w:val="110"/>
                <w:sz w:val="20"/>
              </w:rPr>
              <w:t>can be</w:t>
            </w:r>
            <w:r>
              <w:rPr>
                <w:spacing w:val="-1"/>
                <w:w w:val="110"/>
                <w:sz w:val="20"/>
              </w:rPr>
              <w:t xml:space="preserve"> </w:t>
            </w:r>
            <w:r>
              <w:rPr>
                <w:w w:val="110"/>
                <w:sz w:val="20"/>
              </w:rPr>
              <w:t>used to identify regions where overcrowding and homelessness are worse. These areas should be agreed by governments and the Coalition of Peaks.</w:t>
            </w:r>
          </w:p>
          <w:p w14:paraId="7F1A552F" w14:textId="77777777" w:rsidR="00811887" w:rsidRDefault="00811887" w:rsidP="00486E22">
            <w:pPr>
              <w:pStyle w:val="TableParagraph"/>
              <w:spacing w:before="113" w:line="268" w:lineRule="auto"/>
              <w:ind w:left="105" w:right="166"/>
              <w:rPr>
                <w:sz w:val="20"/>
              </w:rPr>
            </w:pPr>
            <w:r>
              <w:rPr>
                <w:w w:val="110"/>
                <w:sz w:val="20"/>
              </w:rPr>
              <w:t>For the identified areas, dedicated teams – consisting of ABS officers from the Centre of Aboriginal and Torres Strait Islander Statistics, NACCHO and NATSIHA staff and NIAA and relevant</w:t>
            </w:r>
            <w:r>
              <w:rPr>
                <w:spacing w:val="-13"/>
                <w:w w:val="110"/>
                <w:sz w:val="20"/>
              </w:rPr>
              <w:t xml:space="preserve"> </w:t>
            </w:r>
            <w:r>
              <w:rPr>
                <w:w w:val="110"/>
                <w:sz w:val="20"/>
              </w:rPr>
              <w:t>state</w:t>
            </w:r>
            <w:r>
              <w:rPr>
                <w:spacing w:val="-12"/>
                <w:w w:val="110"/>
                <w:sz w:val="20"/>
              </w:rPr>
              <w:t xml:space="preserve"> </w:t>
            </w:r>
            <w:r>
              <w:rPr>
                <w:w w:val="110"/>
                <w:sz w:val="20"/>
              </w:rPr>
              <w:t>or</w:t>
            </w:r>
            <w:r>
              <w:rPr>
                <w:spacing w:val="-13"/>
                <w:w w:val="110"/>
                <w:sz w:val="20"/>
              </w:rPr>
              <w:t xml:space="preserve"> </w:t>
            </w:r>
            <w:r>
              <w:rPr>
                <w:w w:val="110"/>
                <w:sz w:val="20"/>
              </w:rPr>
              <w:t>territory</w:t>
            </w:r>
            <w:r>
              <w:rPr>
                <w:spacing w:val="-12"/>
                <w:w w:val="110"/>
                <w:sz w:val="20"/>
              </w:rPr>
              <w:t xml:space="preserve"> </w:t>
            </w:r>
            <w:r>
              <w:rPr>
                <w:w w:val="110"/>
                <w:sz w:val="20"/>
              </w:rPr>
              <w:t>governments</w:t>
            </w:r>
            <w:r>
              <w:rPr>
                <w:spacing w:val="-13"/>
                <w:w w:val="110"/>
                <w:sz w:val="20"/>
              </w:rPr>
              <w:t xml:space="preserve"> </w:t>
            </w:r>
            <w:r>
              <w:rPr>
                <w:w w:val="110"/>
                <w:sz w:val="20"/>
              </w:rPr>
              <w:t>officers – could undertake rapid surveys to inform a comprehensive picture of need. The previous data points and outputs from CHINS could be used as a starting basis.</w:t>
            </w:r>
          </w:p>
          <w:p w14:paraId="3042F51F" w14:textId="77777777" w:rsidR="00811887" w:rsidRDefault="00811887" w:rsidP="00486E22">
            <w:pPr>
              <w:pStyle w:val="TableParagraph"/>
              <w:spacing w:before="107" w:line="268" w:lineRule="auto"/>
              <w:ind w:left="105"/>
              <w:rPr>
                <w:sz w:val="20"/>
              </w:rPr>
            </w:pPr>
            <w:r>
              <w:rPr>
                <w:w w:val="110"/>
                <w:sz w:val="20"/>
              </w:rPr>
              <w:t>The</w:t>
            </w:r>
            <w:r>
              <w:rPr>
                <w:spacing w:val="-7"/>
                <w:w w:val="110"/>
                <w:sz w:val="20"/>
              </w:rPr>
              <w:t xml:space="preserve"> </w:t>
            </w:r>
            <w:r>
              <w:rPr>
                <w:w w:val="110"/>
                <w:sz w:val="20"/>
              </w:rPr>
              <w:t>ABS</w:t>
            </w:r>
            <w:r>
              <w:rPr>
                <w:spacing w:val="-7"/>
                <w:w w:val="110"/>
                <w:sz w:val="20"/>
              </w:rPr>
              <w:t xml:space="preserve"> </w:t>
            </w:r>
            <w:r>
              <w:rPr>
                <w:w w:val="110"/>
                <w:sz w:val="20"/>
              </w:rPr>
              <w:t>would</w:t>
            </w:r>
            <w:r>
              <w:rPr>
                <w:spacing w:val="-12"/>
                <w:w w:val="110"/>
                <w:sz w:val="20"/>
              </w:rPr>
              <w:t xml:space="preserve"> </w:t>
            </w:r>
            <w:r>
              <w:rPr>
                <w:w w:val="110"/>
                <w:sz w:val="20"/>
              </w:rPr>
              <w:t>have</w:t>
            </w:r>
            <w:r>
              <w:rPr>
                <w:spacing w:val="-7"/>
                <w:w w:val="110"/>
                <w:sz w:val="20"/>
              </w:rPr>
              <w:t xml:space="preserve"> </w:t>
            </w:r>
            <w:r>
              <w:rPr>
                <w:w w:val="110"/>
                <w:sz w:val="20"/>
              </w:rPr>
              <w:t>lead</w:t>
            </w:r>
            <w:r>
              <w:rPr>
                <w:spacing w:val="-7"/>
                <w:w w:val="110"/>
                <w:sz w:val="20"/>
              </w:rPr>
              <w:t xml:space="preserve"> </w:t>
            </w:r>
            <w:r>
              <w:rPr>
                <w:w w:val="110"/>
                <w:sz w:val="20"/>
              </w:rPr>
              <w:t>responsibility</w:t>
            </w:r>
            <w:r>
              <w:rPr>
                <w:spacing w:val="-9"/>
                <w:w w:val="110"/>
                <w:sz w:val="20"/>
              </w:rPr>
              <w:t xml:space="preserve"> </w:t>
            </w:r>
            <w:r>
              <w:rPr>
                <w:w w:val="110"/>
                <w:sz w:val="20"/>
              </w:rPr>
              <w:t>for synthesising the data collected.</w:t>
            </w:r>
          </w:p>
          <w:p w14:paraId="13C26248" w14:textId="77777777" w:rsidR="00811887" w:rsidRDefault="00811887" w:rsidP="00486E22">
            <w:pPr>
              <w:pStyle w:val="TableParagraph"/>
              <w:spacing w:before="121" w:line="266" w:lineRule="auto"/>
              <w:ind w:left="105" w:right="166"/>
              <w:rPr>
                <w:sz w:val="20"/>
              </w:rPr>
            </w:pPr>
            <w:r>
              <w:rPr>
                <w:w w:val="110"/>
                <w:sz w:val="20"/>
              </w:rPr>
              <w:t>This approach</w:t>
            </w:r>
            <w:r>
              <w:rPr>
                <w:spacing w:val="-4"/>
                <w:w w:val="110"/>
                <w:sz w:val="20"/>
              </w:rPr>
              <w:t xml:space="preserve"> </w:t>
            </w:r>
            <w:r>
              <w:rPr>
                <w:w w:val="110"/>
                <w:sz w:val="20"/>
              </w:rPr>
              <w:t>could help inform</w:t>
            </w:r>
            <w:r>
              <w:rPr>
                <w:spacing w:val="-5"/>
                <w:w w:val="110"/>
                <w:sz w:val="20"/>
              </w:rPr>
              <w:t xml:space="preserve"> </w:t>
            </w:r>
            <w:r>
              <w:rPr>
                <w:w w:val="110"/>
                <w:sz w:val="20"/>
              </w:rPr>
              <w:t>how</w:t>
            </w:r>
            <w:r>
              <w:rPr>
                <w:spacing w:val="-6"/>
                <w:w w:val="110"/>
                <w:sz w:val="20"/>
              </w:rPr>
              <w:t xml:space="preserve"> </w:t>
            </w:r>
            <w:r>
              <w:rPr>
                <w:w w:val="110"/>
                <w:sz w:val="20"/>
              </w:rPr>
              <w:t>the $200 million</w:t>
            </w:r>
            <w:r>
              <w:rPr>
                <w:spacing w:val="-6"/>
                <w:w w:val="110"/>
                <w:sz w:val="20"/>
              </w:rPr>
              <w:t xml:space="preserve"> </w:t>
            </w:r>
            <w:r>
              <w:rPr>
                <w:w w:val="110"/>
                <w:sz w:val="20"/>
              </w:rPr>
              <w:t>from</w:t>
            </w:r>
            <w:r>
              <w:rPr>
                <w:spacing w:val="-7"/>
                <w:w w:val="110"/>
                <w:sz w:val="20"/>
              </w:rPr>
              <w:t xml:space="preserve"> </w:t>
            </w:r>
            <w:r>
              <w:rPr>
                <w:w w:val="110"/>
                <w:sz w:val="20"/>
              </w:rPr>
              <w:t>the</w:t>
            </w:r>
            <w:r>
              <w:rPr>
                <w:spacing w:val="-7"/>
                <w:w w:val="110"/>
                <w:sz w:val="20"/>
              </w:rPr>
              <w:t xml:space="preserve"> </w:t>
            </w:r>
            <w:r>
              <w:rPr>
                <w:w w:val="110"/>
                <w:sz w:val="20"/>
              </w:rPr>
              <w:t>Housing</w:t>
            </w:r>
            <w:r>
              <w:rPr>
                <w:spacing w:val="-7"/>
                <w:w w:val="110"/>
                <w:sz w:val="20"/>
              </w:rPr>
              <w:t xml:space="preserve"> </w:t>
            </w:r>
            <w:r>
              <w:rPr>
                <w:w w:val="110"/>
                <w:sz w:val="20"/>
              </w:rPr>
              <w:t>Australia</w:t>
            </w:r>
            <w:r>
              <w:rPr>
                <w:spacing w:val="-8"/>
                <w:w w:val="110"/>
                <w:sz w:val="20"/>
              </w:rPr>
              <w:t xml:space="preserve"> </w:t>
            </w:r>
            <w:r>
              <w:rPr>
                <w:w w:val="110"/>
                <w:sz w:val="20"/>
              </w:rPr>
              <w:t>Future</w:t>
            </w:r>
            <w:r>
              <w:rPr>
                <w:spacing w:val="-7"/>
                <w:w w:val="110"/>
                <w:sz w:val="20"/>
              </w:rPr>
              <w:t xml:space="preserve"> </w:t>
            </w:r>
            <w:r>
              <w:rPr>
                <w:w w:val="110"/>
                <w:sz w:val="20"/>
              </w:rPr>
              <w:t>Fund for repairs and maintenance to Indigenous housing should be spent and facilitate an</w:t>
            </w:r>
          </w:p>
          <w:p w14:paraId="23412A97" w14:textId="77777777" w:rsidR="00811887" w:rsidRDefault="00811887" w:rsidP="00486E22">
            <w:pPr>
              <w:pStyle w:val="TableParagraph"/>
              <w:spacing w:before="6" w:line="228" w:lineRule="exact"/>
              <w:ind w:left="105"/>
              <w:rPr>
                <w:sz w:val="20"/>
              </w:rPr>
            </w:pPr>
            <w:r>
              <w:rPr>
                <w:w w:val="110"/>
                <w:sz w:val="20"/>
              </w:rPr>
              <w:t>equitable share,</w:t>
            </w:r>
            <w:r>
              <w:rPr>
                <w:spacing w:val="-4"/>
                <w:w w:val="110"/>
                <w:sz w:val="20"/>
              </w:rPr>
              <w:t xml:space="preserve"> </w:t>
            </w:r>
            <w:r>
              <w:rPr>
                <w:w w:val="110"/>
                <w:sz w:val="20"/>
              </w:rPr>
              <w:t>based</w:t>
            </w:r>
            <w:r>
              <w:rPr>
                <w:spacing w:val="1"/>
                <w:w w:val="110"/>
                <w:sz w:val="20"/>
              </w:rPr>
              <w:t xml:space="preserve"> </w:t>
            </w:r>
            <w:r>
              <w:rPr>
                <w:w w:val="110"/>
                <w:sz w:val="20"/>
              </w:rPr>
              <w:t>on</w:t>
            </w:r>
            <w:r>
              <w:rPr>
                <w:spacing w:val="2"/>
                <w:w w:val="110"/>
                <w:sz w:val="20"/>
              </w:rPr>
              <w:t xml:space="preserve"> </w:t>
            </w:r>
            <w:r>
              <w:rPr>
                <w:w w:val="110"/>
                <w:sz w:val="20"/>
              </w:rPr>
              <w:t>need,</w:t>
            </w:r>
            <w:r>
              <w:rPr>
                <w:spacing w:val="-4"/>
                <w:w w:val="110"/>
                <w:sz w:val="20"/>
              </w:rPr>
              <w:t xml:space="preserve"> </w:t>
            </w:r>
            <w:r>
              <w:rPr>
                <w:w w:val="110"/>
                <w:sz w:val="20"/>
              </w:rPr>
              <w:t>of</w:t>
            </w:r>
            <w:r>
              <w:rPr>
                <w:spacing w:val="-2"/>
                <w:w w:val="110"/>
                <w:sz w:val="20"/>
              </w:rPr>
              <w:t xml:space="preserve"> </w:t>
            </w:r>
            <w:r>
              <w:rPr>
                <w:spacing w:val="-4"/>
                <w:w w:val="110"/>
                <w:sz w:val="20"/>
              </w:rPr>
              <w:t>other</w:t>
            </w:r>
          </w:p>
        </w:tc>
        <w:tc>
          <w:tcPr>
            <w:tcW w:w="2699" w:type="dxa"/>
          </w:tcPr>
          <w:p w14:paraId="160BB2CF" w14:textId="77777777" w:rsidR="00811887" w:rsidRDefault="00811887" w:rsidP="00486E22">
            <w:pPr>
              <w:pStyle w:val="TableParagraph"/>
              <w:spacing w:before="25" w:line="268" w:lineRule="auto"/>
              <w:ind w:left="105" w:right="152"/>
              <w:rPr>
                <w:sz w:val="20"/>
              </w:rPr>
            </w:pPr>
            <w:r>
              <w:rPr>
                <w:w w:val="110"/>
                <w:sz w:val="20"/>
              </w:rPr>
              <w:t>Based</w:t>
            </w:r>
            <w:r>
              <w:rPr>
                <w:spacing w:val="-4"/>
                <w:w w:val="110"/>
                <w:sz w:val="20"/>
              </w:rPr>
              <w:t xml:space="preserve"> </w:t>
            </w:r>
            <w:r>
              <w:rPr>
                <w:w w:val="110"/>
                <w:sz w:val="20"/>
              </w:rPr>
              <w:t>on Census</w:t>
            </w:r>
            <w:r>
              <w:rPr>
                <w:spacing w:val="-2"/>
                <w:w w:val="110"/>
                <w:sz w:val="20"/>
              </w:rPr>
              <w:t xml:space="preserve"> </w:t>
            </w:r>
            <w:r>
              <w:rPr>
                <w:w w:val="110"/>
                <w:sz w:val="20"/>
              </w:rPr>
              <w:t>data, this approach does not take account of regions that may have a lower level of homelessness and overcrowding, but a significant</w:t>
            </w:r>
            <w:r>
              <w:rPr>
                <w:spacing w:val="-13"/>
                <w:w w:val="110"/>
                <w:sz w:val="20"/>
              </w:rPr>
              <w:t xml:space="preserve"> </w:t>
            </w:r>
            <w:r>
              <w:rPr>
                <w:w w:val="110"/>
                <w:sz w:val="20"/>
              </w:rPr>
              <w:t>level</w:t>
            </w:r>
            <w:r>
              <w:rPr>
                <w:spacing w:val="-12"/>
                <w:w w:val="110"/>
                <w:sz w:val="20"/>
              </w:rPr>
              <w:t xml:space="preserve"> </w:t>
            </w:r>
            <w:r>
              <w:rPr>
                <w:w w:val="110"/>
                <w:sz w:val="20"/>
              </w:rPr>
              <w:t>of</w:t>
            </w:r>
            <w:r>
              <w:rPr>
                <w:spacing w:val="-13"/>
                <w:w w:val="110"/>
                <w:sz w:val="20"/>
              </w:rPr>
              <w:t xml:space="preserve"> </w:t>
            </w:r>
            <w:r>
              <w:rPr>
                <w:w w:val="110"/>
                <w:sz w:val="20"/>
              </w:rPr>
              <w:t>required repairs and maintenance and high needs of community and housing related infrastructure.</w:t>
            </w:r>
          </w:p>
          <w:p w14:paraId="59D75B68" w14:textId="77777777" w:rsidR="00811887" w:rsidRDefault="00811887" w:rsidP="00486E22">
            <w:pPr>
              <w:pStyle w:val="TableParagraph"/>
              <w:spacing w:before="108" w:line="266" w:lineRule="auto"/>
              <w:ind w:left="105" w:right="122"/>
              <w:rPr>
                <w:sz w:val="20"/>
              </w:rPr>
            </w:pPr>
            <w:r>
              <w:rPr>
                <w:w w:val="110"/>
                <w:sz w:val="20"/>
              </w:rPr>
              <w:t>While this approach will likely yield detailed data and</w:t>
            </w:r>
            <w:r>
              <w:rPr>
                <w:spacing w:val="-8"/>
                <w:w w:val="110"/>
                <w:sz w:val="20"/>
              </w:rPr>
              <w:t xml:space="preserve"> </w:t>
            </w:r>
            <w:r>
              <w:rPr>
                <w:w w:val="110"/>
                <w:sz w:val="20"/>
              </w:rPr>
              <w:t>information</w:t>
            </w:r>
            <w:r>
              <w:rPr>
                <w:spacing w:val="-12"/>
                <w:w w:val="110"/>
                <w:sz w:val="20"/>
              </w:rPr>
              <w:t xml:space="preserve"> </w:t>
            </w:r>
            <w:r>
              <w:rPr>
                <w:w w:val="110"/>
                <w:sz w:val="20"/>
              </w:rPr>
              <w:t>on</w:t>
            </w:r>
            <w:r>
              <w:rPr>
                <w:spacing w:val="-8"/>
                <w:w w:val="110"/>
                <w:sz w:val="20"/>
              </w:rPr>
              <w:t xml:space="preserve"> </w:t>
            </w:r>
            <w:r>
              <w:rPr>
                <w:w w:val="110"/>
                <w:sz w:val="20"/>
              </w:rPr>
              <w:t>regions with the highest level of overcrowding and homelessness, it does not provide</w:t>
            </w:r>
            <w:r>
              <w:rPr>
                <w:spacing w:val="-8"/>
                <w:w w:val="110"/>
                <w:sz w:val="20"/>
              </w:rPr>
              <w:t xml:space="preserve"> </w:t>
            </w:r>
            <w:r>
              <w:rPr>
                <w:w w:val="110"/>
                <w:sz w:val="20"/>
              </w:rPr>
              <w:t>a</w:t>
            </w:r>
            <w:r>
              <w:rPr>
                <w:spacing w:val="-8"/>
                <w:w w:val="110"/>
                <w:sz w:val="20"/>
              </w:rPr>
              <w:t xml:space="preserve"> </w:t>
            </w:r>
            <w:r>
              <w:rPr>
                <w:w w:val="110"/>
                <w:sz w:val="20"/>
              </w:rPr>
              <w:t>national</w:t>
            </w:r>
            <w:r>
              <w:rPr>
                <w:spacing w:val="-10"/>
                <w:w w:val="110"/>
                <w:sz w:val="20"/>
              </w:rPr>
              <w:t xml:space="preserve"> </w:t>
            </w:r>
            <w:r>
              <w:rPr>
                <w:w w:val="110"/>
                <w:sz w:val="20"/>
              </w:rPr>
              <w:t>data</w:t>
            </w:r>
            <w:r>
              <w:rPr>
                <w:spacing w:val="-9"/>
                <w:w w:val="110"/>
                <w:sz w:val="20"/>
              </w:rPr>
              <w:t xml:space="preserve"> </w:t>
            </w:r>
            <w:r>
              <w:rPr>
                <w:w w:val="110"/>
                <w:sz w:val="20"/>
              </w:rPr>
              <w:t>set.</w:t>
            </w:r>
          </w:p>
          <w:p w14:paraId="35DA8511" w14:textId="77777777" w:rsidR="00811887" w:rsidRDefault="00811887" w:rsidP="00486E22">
            <w:pPr>
              <w:pStyle w:val="TableParagraph"/>
              <w:spacing w:before="129" w:line="268" w:lineRule="auto"/>
              <w:ind w:left="105" w:right="122"/>
              <w:rPr>
                <w:sz w:val="20"/>
              </w:rPr>
            </w:pPr>
            <w:r>
              <w:rPr>
                <w:w w:val="110"/>
                <w:sz w:val="20"/>
              </w:rPr>
              <w:t>Consideration</w:t>
            </w:r>
            <w:r>
              <w:rPr>
                <w:spacing w:val="-13"/>
                <w:w w:val="110"/>
                <w:sz w:val="20"/>
              </w:rPr>
              <w:t xml:space="preserve"> </w:t>
            </w:r>
            <w:r>
              <w:rPr>
                <w:w w:val="110"/>
                <w:sz w:val="20"/>
              </w:rPr>
              <w:t>will</w:t>
            </w:r>
            <w:r>
              <w:rPr>
                <w:spacing w:val="-12"/>
                <w:w w:val="110"/>
                <w:sz w:val="20"/>
              </w:rPr>
              <w:t xml:space="preserve"> </w:t>
            </w:r>
            <w:r>
              <w:rPr>
                <w:w w:val="110"/>
                <w:sz w:val="20"/>
              </w:rPr>
              <w:t>need</w:t>
            </w:r>
            <w:r>
              <w:rPr>
                <w:spacing w:val="-13"/>
                <w:w w:val="110"/>
                <w:sz w:val="20"/>
              </w:rPr>
              <w:t xml:space="preserve"> </w:t>
            </w:r>
            <w:r>
              <w:rPr>
                <w:w w:val="110"/>
                <w:sz w:val="20"/>
              </w:rPr>
              <w:t>to be given to how regularly this approach should be undertaken</w:t>
            </w:r>
            <w:r>
              <w:rPr>
                <w:spacing w:val="-2"/>
                <w:w w:val="110"/>
                <w:sz w:val="20"/>
              </w:rPr>
              <w:t xml:space="preserve"> </w:t>
            </w:r>
            <w:r>
              <w:rPr>
                <w:w w:val="110"/>
                <w:sz w:val="20"/>
              </w:rPr>
              <w:t>and</w:t>
            </w:r>
            <w:r>
              <w:rPr>
                <w:spacing w:val="-3"/>
                <w:w w:val="110"/>
                <w:sz w:val="20"/>
              </w:rPr>
              <w:t xml:space="preserve"> </w:t>
            </w:r>
            <w:r>
              <w:rPr>
                <w:w w:val="110"/>
                <w:sz w:val="20"/>
              </w:rPr>
              <w:t>following any targeted investment. Given its targeted</w:t>
            </w:r>
          </w:p>
        </w:tc>
      </w:tr>
    </w:tbl>
    <w:p w14:paraId="0D25ED50" w14:textId="77777777" w:rsidR="00811887" w:rsidRDefault="00811887" w:rsidP="00811887">
      <w:pPr>
        <w:spacing w:line="268" w:lineRule="auto"/>
        <w:rPr>
          <w:sz w:val="20"/>
        </w:rPr>
        <w:sectPr w:rsidR="00811887" w:rsidSect="00811887">
          <w:type w:val="continuous"/>
          <w:pgSz w:w="11910" w:h="16840"/>
          <w:pgMar w:top="1380" w:right="720" w:bottom="1000" w:left="740" w:header="0" w:footer="805" w:gutter="0"/>
          <w:cols w:space="720"/>
        </w:sect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38"/>
        <w:gridCol w:w="2699"/>
      </w:tblGrid>
      <w:tr w:rsidR="00811887" w14:paraId="5B3D7D35" w14:textId="77777777" w:rsidTr="00486E22">
        <w:trPr>
          <w:trHeight w:val="4719"/>
        </w:trPr>
        <w:tc>
          <w:tcPr>
            <w:tcW w:w="2689" w:type="dxa"/>
          </w:tcPr>
          <w:p w14:paraId="030DDE26" w14:textId="77777777" w:rsidR="00811887" w:rsidRDefault="00811887" w:rsidP="00486E22">
            <w:pPr>
              <w:pStyle w:val="TableParagraph"/>
              <w:spacing w:line="240" w:lineRule="auto"/>
              <w:rPr>
                <w:rFonts w:ascii="Times New Roman"/>
                <w:sz w:val="20"/>
              </w:rPr>
            </w:pPr>
          </w:p>
        </w:tc>
        <w:tc>
          <w:tcPr>
            <w:tcW w:w="4538" w:type="dxa"/>
          </w:tcPr>
          <w:p w14:paraId="4610013D" w14:textId="77777777" w:rsidR="00811887" w:rsidRDefault="00811887" w:rsidP="00486E22">
            <w:pPr>
              <w:pStyle w:val="TableParagraph"/>
              <w:spacing w:before="25" w:line="268" w:lineRule="auto"/>
              <w:ind w:left="105"/>
              <w:rPr>
                <w:sz w:val="20"/>
              </w:rPr>
            </w:pPr>
            <w:r>
              <w:rPr>
                <w:w w:val="110"/>
                <w:sz w:val="20"/>
              </w:rPr>
              <w:t>Commonwealth</w:t>
            </w:r>
            <w:r>
              <w:rPr>
                <w:spacing w:val="-6"/>
                <w:w w:val="110"/>
                <w:sz w:val="20"/>
              </w:rPr>
              <w:t xml:space="preserve"> </w:t>
            </w:r>
            <w:r>
              <w:rPr>
                <w:w w:val="110"/>
                <w:sz w:val="20"/>
              </w:rPr>
              <w:t>and</w:t>
            </w:r>
            <w:r>
              <w:rPr>
                <w:spacing w:val="-6"/>
                <w:w w:val="110"/>
                <w:sz w:val="20"/>
              </w:rPr>
              <w:t xml:space="preserve"> </w:t>
            </w:r>
            <w:r>
              <w:rPr>
                <w:w w:val="110"/>
                <w:sz w:val="20"/>
              </w:rPr>
              <w:t>State</w:t>
            </w:r>
            <w:r>
              <w:rPr>
                <w:spacing w:val="-6"/>
                <w:w w:val="110"/>
                <w:sz w:val="20"/>
              </w:rPr>
              <w:t xml:space="preserve"> </w:t>
            </w:r>
            <w:r>
              <w:rPr>
                <w:w w:val="110"/>
                <w:sz w:val="20"/>
              </w:rPr>
              <w:t>and</w:t>
            </w:r>
            <w:r>
              <w:rPr>
                <w:spacing w:val="-10"/>
                <w:w w:val="110"/>
                <w:sz w:val="20"/>
              </w:rPr>
              <w:t xml:space="preserve"> </w:t>
            </w:r>
            <w:r>
              <w:rPr>
                <w:w w:val="110"/>
                <w:sz w:val="20"/>
              </w:rPr>
              <w:t>Territory</w:t>
            </w:r>
            <w:r>
              <w:rPr>
                <w:spacing w:val="-8"/>
                <w:w w:val="110"/>
                <w:sz w:val="20"/>
              </w:rPr>
              <w:t xml:space="preserve"> </w:t>
            </w:r>
            <w:r>
              <w:rPr>
                <w:w w:val="110"/>
                <w:sz w:val="20"/>
              </w:rPr>
              <w:t xml:space="preserve">housing </w:t>
            </w:r>
            <w:r>
              <w:rPr>
                <w:spacing w:val="-2"/>
                <w:w w:val="110"/>
                <w:sz w:val="20"/>
              </w:rPr>
              <w:t>investments.</w:t>
            </w:r>
          </w:p>
          <w:p w14:paraId="6F0C6C28" w14:textId="77777777" w:rsidR="00811887" w:rsidRDefault="00811887" w:rsidP="00486E22">
            <w:pPr>
              <w:pStyle w:val="TableParagraph"/>
              <w:spacing w:before="120" w:line="266" w:lineRule="auto"/>
              <w:ind w:left="105" w:right="166"/>
              <w:rPr>
                <w:sz w:val="20"/>
              </w:rPr>
            </w:pPr>
            <w:r>
              <w:rPr>
                <w:w w:val="110"/>
                <w:sz w:val="20"/>
              </w:rPr>
              <w:t>The Housing</w:t>
            </w:r>
            <w:r>
              <w:rPr>
                <w:spacing w:val="-2"/>
                <w:w w:val="110"/>
                <w:sz w:val="20"/>
              </w:rPr>
              <w:t xml:space="preserve"> </w:t>
            </w:r>
            <w:r>
              <w:rPr>
                <w:w w:val="110"/>
                <w:sz w:val="20"/>
              </w:rPr>
              <w:t>Policy Partnership</w:t>
            </w:r>
            <w:r>
              <w:rPr>
                <w:spacing w:val="-2"/>
                <w:w w:val="110"/>
                <w:sz w:val="20"/>
              </w:rPr>
              <w:t xml:space="preserve"> </w:t>
            </w:r>
            <w:r>
              <w:rPr>
                <w:w w:val="110"/>
                <w:sz w:val="20"/>
              </w:rPr>
              <w:t xml:space="preserve">could consider the outcomes of the rapid assessments and make recommendations to governments on investment planning. The Joint Council on Closing the Gap should also consider the recommendations of the Housing Policy </w:t>
            </w:r>
            <w:r>
              <w:rPr>
                <w:spacing w:val="-2"/>
                <w:w w:val="110"/>
                <w:sz w:val="20"/>
              </w:rPr>
              <w:t>Partnership.</w:t>
            </w:r>
          </w:p>
        </w:tc>
        <w:tc>
          <w:tcPr>
            <w:tcW w:w="2699" w:type="dxa"/>
          </w:tcPr>
          <w:p w14:paraId="4A9E3A0F" w14:textId="77777777" w:rsidR="00811887" w:rsidRDefault="00811887" w:rsidP="00486E22">
            <w:pPr>
              <w:pStyle w:val="TableParagraph"/>
              <w:spacing w:before="25" w:line="268" w:lineRule="auto"/>
              <w:ind w:left="105"/>
              <w:rPr>
                <w:sz w:val="20"/>
              </w:rPr>
            </w:pPr>
            <w:r>
              <w:rPr>
                <w:w w:val="110"/>
                <w:sz w:val="20"/>
              </w:rPr>
              <w:t>approach,</w:t>
            </w:r>
            <w:r>
              <w:rPr>
                <w:spacing w:val="-8"/>
                <w:w w:val="110"/>
                <w:sz w:val="20"/>
              </w:rPr>
              <w:t xml:space="preserve"> </w:t>
            </w:r>
            <w:r>
              <w:rPr>
                <w:w w:val="110"/>
                <w:sz w:val="20"/>
              </w:rPr>
              <w:t>it</w:t>
            </w:r>
            <w:r>
              <w:rPr>
                <w:spacing w:val="-4"/>
                <w:w w:val="110"/>
                <w:sz w:val="20"/>
              </w:rPr>
              <w:t xml:space="preserve"> </w:t>
            </w:r>
            <w:r>
              <w:rPr>
                <w:w w:val="110"/>
                <w:sz w:val="20"/>
              </w:rPr>
              <w:t>could</w:t>
            </w:r>
            <w:r>
              <w:rPr>
                <w:spacing w:val="-4"/>
                <w:w w:val="110"/>
                <w:sz w:val="20"/>
              </w:rPr>
              <w:t xml:space="preserve"> </w:t>
            </w:r>
            <w:r>
              <w:rPr>
                <w:w w:val="110"/>
                <w:sz w:val="20"/>
              </w:rPr>
              <w:t>be</w:t>
            </w:r>
            <w:r>
              <w:rPr>
                <w:spacing w:val="-4"/>
                <w:w w:val="110"/>
                <w:sz w:val="20"/>
              </w:rPr>
              <w:t xml:space="preserve"> </w:t>
            </w:r>
            <w:r>
              <w:rPr>
                <w:w w:val="110"/>
                <w:sz w:val="20"/>
              </w:rPr>
              <w:t>done more regularly than the Census and the previous CHINS and could be done every two years.</w:t>
            </w:r>
          </w:p>
          <w:p w14:paraId="33263149" w14:textId="77777777" w:rsidR="00811887" w:rsidRDefault="00811887" w:rsidP="00486E22">
            <w:pPr>
              <w:pStyle w:val="TableParagraph"/>
              <w:spacing w:before="117" w:line="268" w:lineRule="auto"/>
              <w:ind w:left="105" w:right="122"/>
              <w:rPr>
                <w:sz w:val="20"/>
              </w:rPr>
            </w:pPr>
            <w:r>
              <w:rPr>
                <w:w w:val="110"/>
                <w:sz w:val="20"/>
              </w:rPr>
              <w:t>This approach is likely to produce data with less rigour than the Census. However, it would be sufficient to inform investment decisions on housing and monitor outcomes including after natural disasters such as the</w:t>
            </w:r>
            <w:r>
              <w:rPr>
                <w:spacing w:val="-13"/>
                <w:w w:val="110"/>
                <w:sz w:val="20"/>
              </w:rPr>
              <w:t xml:space="preserve"> </w:t>
            </w:r>
            <w:r>
              <w:rPr>
                <w:w w:val="110"/>
                <w:sz w:val="20"/>
              </w:rPr>
              <w:t>floods</w:t>
            </w:r>
            <w:r>
              <w:rPr>
                <w:spacing w:val="-12"/>
                <w:w w:val="110"/>
                <w:sz w:val="20"/>
              </w:rPr>
              <w:t xml:space="preserve"> </w:t>
            </w:r>
            <w:r>
              <w:rPr>
                <w:w w:val="110"/>
                <w:sz w:val="20"/>
              </w:rPr>
              <w:t>in</w:t>
            </w:r>
            <w:r>
              <w:rPr>
                <w:spacing w:val="-13"/>
                <w:w w:val="110"/>
                <w:sz w:val="20"/>
              </w:rPr>
              <w:t xml:space="preserve"> </w:t>
            </w:r>
            <w:r>
              <w:rPr>
                <w:w w:val="110"/>
                <w:sz w:val="20"/>
              </w:rPr>
              <w:t>the</w:t>
            </w:r>
            <w:r>
              <w:rPr>
                <w:spacing w:val="-12"/>
                <w:w w:val="110"/>
                <w:sz w:val="20"/>
              </w:rPr>
              <w:t xml:space="preserve"> </w:t>
            </w:r>
            <w:r>
              <w:rPr>
                <w:w w:val="110"/>
                <w:sz w:val="20"/>
              </w:rPr>
              <w:t>Kimberley.</w:t>
            </w:r>
          </w:p>
        </w:tc>
      </w:tr>
      <w:tr w:rsidR="00811887" w14:paraId="5594F444" w14:textId="77777777" w:rsidTr="00486E22">
        <w:trPr>
          <w:trHeight w:val="393"/>
        </w:trPr>
        <w:tc>
          <w:tcPr>
            <w:tcW w:w="9926" w:type="dxa"/>
            <w:gridSpan w:val="3"/>
            <w:shd w:val="clear" w:color="auto" w:fill="67837B"/>
          </w:tcPr>
          <w:p w14:paraId="60F9433A"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z w:val="24"/>
              </w:rPr>
              <w:t>Proposal Three:</w:t>
            </w:r>
            <w:r w:rsidRPr="00D373F5">
              <w:rPr>
                <w:rFonts w:ascii="Garamond"/>
                <w:b/>
                <w:color w:val="FFFFFF" w:themeColor="background1"/>
                <w:spacing w:val="-1"/>
                <w:sz w:val="24"/>
              </w:rPr>
              <w:t xml:space="preserve"> </w:t>
            </w:r>
            <w:r w:rsidRPr="00D373F5">
              <w:rPr>
                <w:rFonts w:ascii="Garamond"/>
                <w:b/>
                <w:color w:val="FFFFFF" w:themeColor="background1"/>
                <w:sz w:val="24"/>
              </w:rPr>
              <w:t>Redesign and roll</w:t>
            </w:r>
            <w:r w:rsidRPr="00D373F5">
              <w:rPr>
                <w:rFonts w:ascii="Garamond"/>
                <w:b/>
                <w:color w:val="FFFFFF" w:themeColor="background1"/>
                <w:spacing w:val="-6"/>
                <w:sz w:val="24"/>
              </w:rPr>
              <w:t xml:space="preserve"> </w:t>
            </w:r>
            <w:r w:rsidRPr="00D373F5">
              <w:rPr>
                <w:rFonts w:ascii="Garamond"/>
                <w:b/>
                <w:color w:val="FFFFFF" w:themeColor="background1"/>
                <w:sz w:val="24"/>
              </w:rPr>
              <w:t>out</w:t>
            </w:r>
            <w:r w:rsidRPr="00D373F5">
              <w:rPr>
                <w:rFonts w:ascii="Garamond"/>
                <w:b/>
                <w:color w:val="FFFFFF" w:themeColor="background1"/>
                <w:spacing w:val="-4"/>
                <w:sz w:val="24"/>
              </w:rPr>
              <w:t xml:space="preserve"> </w:t>
            </w:r>
            <w:r w:rsidRPr="00D373F5">
              <w:rPr>
                <w:rFonts w:ascii="Garamond"/>
                <w:b/>
                <w:color w:val="FFFFFF" w:themeColor="background1"/>
                <w:sz w:val="24"/>
              </w:rPr>
              <w:t>a</w:t>
            </w:r>
            <w:r w:rsidRPr="00D373F5">
              <w:rPr>
                <w:rFonts w:ascii="Garamond"/>
                <w:b/>
                <w:color w:val="FFFFFF" w:themeColor="background1"/>
                <w:spacing w:val="-6"/>
                <w:sz w:val="24"/>
              </w:rPr>
              <w:t xml:space="preserve"> </w:t>
            </w:r>
            <w:r w:rsidRPr="00D373F5">
              <w:rPr>
                <w:rFonts w:ascii="Garamond"/>
                <w:b/>
                <w:color w:val="FFFFFF" w:themeColor="background1"/>
                <w:sz w:val="24"/>
              </w:rPr>
              <w:t>new</w:t>
            </w:r>
            <w:r w:rsidRPr="00D373F5">
              <w:rPr>
                <w:rFonts w:ascii="Garamond"/>
                <w:b/>
                <w:color w:val="FFFFFF" w:themeColor="background1"/>
                <w:spacing w:val="-3"/>
                <w:sz w:val="24"/>
              </w:rPr>
              <w:t xml:space="preserve"> </w:t>
            </w:r>
            <w:r w:rsidRPr="00D373F5">
              <w:rPr>
                <w:rFonts w:ascii="Garamond"/>
                <w:b/>
                <w:color w:val="FFFFFF" w:themeColor="background1"/>
                <w:sz w:val="24"/>
              </w:rPr>
              <w:t>CHINS-style</w:t>
            </w:r>
            <w:r w:rsidRPr="00D373F5">
              <w:rPr>
                <w:rFonts w:ascii="Garamond"/>
                <w:b/>
                <w:color w:val="FFFFFF" w:themeColor="background1"/>
                <w:spacing w:val="-2"/>
                <w:sz w:val="24"/>
              </w:rPr>
              <w:t xml:space="preserve"> survey</w:t>
            </w:r>
          </w:p>
        </w:tc>
      </w:tr>
      <w:tr w:rsidR="00811887" w14:paraId="47539A53" w14:textId="77777777" w:rsidTr="00486E22">
        <w:trPr>
          <w:trHeight w:val="388"/>
        </w:trPr>
        <w:tc>
          <w:tcPr>
            <w:tcW w:w="2689" w:type="dxa"/>
            <w:shd w:val="clear" w:color="auto" w:fill="67837B"/>
          </w:tcPr>
          <w:p w14:paraId="4E6BB9A2"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Proposal</w:t>
            </w:r>
          </w:p>
        </w:tc>
        <w:tc>
          <w:tcPr>
            <w:tcW w:w="4538" w:type="dxa"/>
            <w:shd w:val="clear" w:color="auto" w:fill="67837B"/>
          </w:tcPr>
          <w:p w14:paraId="15BD4908"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Opportunity</w:t>
            </w:r>
          </w:p>
        </w:tc>
        <w:tc>
          <w:tcPr>
            <w:tcW w:w="2699" w:type="dxa"/>
            <w:shd w:val="clear" w:color="auto" w:fill="67837B"/>
          </w:tcPr>
          <w:p w14:paraId="19A76ED5" w14:textId="77777777" w:rsidR="00811887" w:rsidRPr="00D373F5" w:rsidRDefault="00811887" w:rsidP="00486E22">
            <w:pPr>
              <w:pStyle w:val="TableParagraph"/>
              <w:spacing w:line="269" w:lineRule="exact"/>
              <w:ind w:left="105"/>
              <w:rPr>
                <w:rFonts w:ascii="Garamond"/>
                <w:b/>
                <w:color w:val="FFFFFF" w:themeColor="background1"/>
                <w:sz w:val="24"/>
              </w:rPr>
            </w:pPr>
            <w:r w:rsidRPr="00D373F5">
              <w:rPr>
                <w:rFonts w:ascii="Garamond"/>
                <w:b/>
                <w:color w:val="FFFFFF" w:themeColor="background1"/>
                <w:spacing w:val="-2"/>
                <w:sz w:val="24"/>
              </w:rPr>
              <w:t>Limitations</w:t>
            </w:r>
          </w:p>
        </w:tc>
      </w:tr>
      <w:tr w:rsidR="00811887" w14:paraId="3E705223" w14:textId="77777777" w:rsidTr="00486E22">
        <w:trPr>
          <w:trHeight w:val="8262"/>
        </w:trPr>
        <w:tc>
          <w:tcPr>
            <w:tcW w:w="2689" w:type="dxa"/>
          </w:tcPr>
          <w:p w14:paraId="6D543DCA" w14:textId="77777777" w:rsidR="00811887" w:rsidRDefault="00811887" w:rsidP="00486E22">
            <w:pPr>
              <w:pStyle w:val="TableParagraph"/>
              <w:spacing w:before="25" w:line="268" w:lineRule="auto"/>
              <w:ind w:left="105"/>
              <w:rPr>
                <w:sz w:val="20"/>
              </w:rPr>
            </w:pPr>
            <w:r>
              <w:rPr>
                <w:w w:val="110"/>
                <w:sz w:val="20"/>
              </w:rPr>
              <w:t>Redesign and undertake a new CHINS, with the methodology built around the Priority Reforms of the Closing</w:t>
            </w:r>
            <w:r>
              <w:rPr>
                <w:spacing w:val="-7"/>
                <w:w w:val="110"/>
                <w:sz w:val="20"/>
              </w:rPr>
              <w:t xml:space="preserve"> </w:t>
            </w:r>
            <w:r>
              <w:rPr>
                <w:w w:val="110"/>
                <w:sz w:val="20"/>
              </w:rPr>
              <w:t>the</w:t>
            </w:r>
            <w:r>
              <w:rPr>
                <w:spacing w:val="-7"/>
                <w:w w:val="110"/>
                <w:sz w:val="20"/>
              </w:rPr>
              <w:t xml:space="preserve"> </w:t>
            </w:r>
            <w:r>
              <w:rPr>
                <w:w w:val="110"/>
                <w:sz w:val="20"/>
              </w:rPr>
              <w:t>Gap</w:t>
            </w:r>
            <w:r>
              <w:rPr>
                <w:spacing w:val="-7"/>
                <w:w w:val="110"/>
                <w:sz w:val="20"/>
              </w:rPr>
              <w:t xml:space="preserve"> </w:t>
            </w:r>
            <w:r>
              <w:rPr>
                <w:w w:val="110"/>
                <w:sz w:val="20"/>
              </w:rPr>
              <w:t>Agreement including additional data points</w:t>
            </w:r>
            <w:r>
              <w:rPr>
                <w:spacing w:val="-8"/>
                <w:w w:val="110"/>
                <w:sz w:val="20"/>
              </w:rPr>
              <w:t xml:space="preserve"> </w:t>
            </w:r>
            <w:r>
              <w:rPr>
                <w:w w:val="110"/>
                <w:sz w:val="20"/>
              </w:rPr>
              <w:t>on</w:t>
            </w:r>
            <w:r>
              <w:rPr>
                <w:spacing w:val="-5"/>
                <w:w w:val="110"/>
                <w:sz w:val="20"/>
              </w:rPr>
              <w:t xml:space="preserve"> </w:t>
            </w:r>
            <w:r>
              <w:rPr>
                <w:w w:val="110"/>
                <w:sz w:val="20"/>
              </w:rPr>
              <w:t>climate</w:t>
            </w:r>
            <w:r>
              <w:rPr>
                <w:spacing w:val="-7"/>
                <w:w w:val="110"/>
                <w:sz w:val="20"/>
              </w:rPr>
              <w:t xml:space="preserve"> </w:t>
            </w:r>
            <w:r>
              <w:rPr>
                <w:w w:val="110"/>
                <w:sz w:val="20"/>
              </w:rPr>
              <w:t>resilience and other community planning metrics.</w:t>
            </w:r>
          </w:p>
        </w:tc>
        <w:tc>
          <w:tcPr>
            <w:tcW w:w="4538" w:type="dxa"/>
          </w:tcPr>
          <w:p w14:paraId="53D34DD7" w14:textId="77777777" w:rsidR="00811887" w:rsidRDefault="00811887" w:rsidP="00486E22">
            <w:pPr>
              <w:pStyle w:val="TableParagraph"/>
              <w:spacing w:before="25" w:line="268" w:lineRule="auto"/>
              <w:ind w:left="105" w:right="87"/>
              <w:rPr>
                <w:sz w:val="20"/>
              </w:rPr>
            </w:pPr>
            <w:r>
              <w:rPr>
                <w:w w:val="110"/>
                <w:sz w:val="20"/>
              </w:rPr>
              <w:t>A redesigned CHINS, led by the ABS, should be undertaken</w:t>
            </w:r>
            <w:r>
              <w:rPr>
                <w:spacing w:val="-4"/>
                <w:w w:val="110"/>
                <w:sz w:val="20"/>
              </w:rPr>
              <w:t xml:space="preserve"> </w:t>
            </w:r>
            <w:r>
              <w:rPr>
                <w:w w:val="110"/>
                <w:sz w:val="20"/>
              </w:rPr>
              <w:t>in two</w:t>
            </w:r>
            <w:r>
              <w:rPr>
                <w:spacing w:val="-3"/>
                <w:w w:val="110"/>
                <w:sz w:val="20"/>
              </w:rPr>
              <w:t xml:space="preserve"> </w:t>
            </w:r>
            <w:r>
              <w:rPr>
                <w:w w:val="110"/>
                <w:sz w:val="20"/>
              </w:rPr>
              <w:t>phases.</w:t>
            </w:r>
            <w:r>
              <w:rPr>
                <w:spacing w:val="-5"/>
                <w:w w:val="110"/>
                <w:sz w:val="20"/>
              </w:rPr>
              <w:t xml:space="preserve"> </w:t>
            </w:r>
            <w:r>
              <w:rPr>
                <w:w w:val="110"/>
                <w:sz w:val="20"/>
              </w:rPr>
              <w:t>The</w:t>
            </w:r>
            <w:r>
              <w:rPr>
                <w:spacing w:val="-5"/>
                <w:w w:val="110"/>
                <w:sz w:val="20"/>
              </w:rPr>
              <w:t xml:space="preserve"> </w:t>
            </w:r>
            <w:r>
              <w:rPr>
                <w:w w:val="110"/>
                <w:sz w:val="20"/>
              </w:rPr>
              <w:t>first would be</w:t>
            </w:r>
            <w:r>
              <w:rPr>
                <w:spacing w:val="-5"/>
                <w:w w:val="110"/>
                <w:sz w:val="20"/>
              </w:rPr>
              <w:t xml:space="preserve"> </w:t>
            </w:r>
            <w:r>
              <w:rPr>
                <w:w w:val="110"/>
                <w:sz w:val="20"/>
              </w:rPr>
              <w:t>to undertake a new survey based on a methodology similar to that of previous CHINS, supported</w:t>
            </w:r>
            <w:r>
              <w:rPr>
                <w:spacing w:val="-9"/>
                <w:w w:val="110"/>
                <w:sz w:val="20"/>
              </w:rPr>
              <w:t xml:space="preserve"> </w:t>
            </w:r>
            <w:r>
              <w:rPr>
                <w:w w:val="110"/>
                <w:sz w:val="20"/>
              </w:rPr>
              <w:t>by</w:t>
            </w:r>
            <w:r>
              <w:rPr>
                <w:spacing w:val="-5"/>
                <w:w w:val="110"/>
                <w:sz w:val="20"/>
              </w:rPr>
              <w:t xml:space="preserve"> </w:t>
            </w:r>
            <w:r>
              <w:rPr>
                <w:w w:val="110"/>
                <w:sz w:val="20"/>
              </w:rPr>
              <w:t>a</w:t>
            </w:r>
            <w:r>
              <w:rPr>
                <w:spacing w:val="-5"/>
                <w:w w:val="110"/>
                <w:sz w:val="20"/>
              </w:rPr>
              <w:t xml:space="preserve"> </w:t>
            </w:r>
            <w:r>
              <w:rPr>
                <w:w w:val="110"/>
                <w:sz w:val="20"/>
              </w:rPr>
              <w:t>new</w:t>
            </w:r>
            <w:r>
              <w:rPr>
                <w:spacing w:val="-6"/>
                <w:w w:val="110"/>
                <w:sz w:val="20"/>
              </w:rPr>
              <w:t xml:space="preserve"> </w:t>
            </w:r>
            <w:r>
              <w:rPr>
                <w:w w:val="110"/>
                <w:sz w:val="20"/>
              </w:rPr>
              <w:t>advisory</w:t>
            </w:r>
            <w:r>
              <w:rPr>
                <w:spacing w:val="-6"/>
                <w:w w:val="110"/>
                <w:sz w:val="20"/>
              </w:rPr>
              <w:t xml:space="preserve"> </w:t>
            </w:r>
            <w:r>
              <w:rPr>
                <w:w w:val="110"/>
                <w:sz w:val="20"/>
              </w:rPr>
              <w:t>body</w:t>
            </w:r>
            <w:r>
              <w:rPr>
                <w:spacing w:val="-3"/>
                <w:w w:val="110"/>
                <w:sz w:val="20"/>
              </w:rPr>
              <w:t xml:space="preserve"> </w:t>
            </w:r>
            <w:r>
              <w:rPr>
                <w:w w:val="110"/>
                <w:sz w:val="20"/>
              </w:rPr>
              <w:t>/</w:t>
            </w:r>
            <w:r>
              <w:rPr>
                <w:spacing w:val="-6"/>
                <w:w w:val="110"/>
                <w:sz w:val="20"/>
              </w:rPr>
              <w:t xml:space="preserve"> </w:t>
            </w:r>
            <w:r>
              <w:rPr>
                <w:w w:val="110"/>
                <w:sz w:val="20"/>
              </w:rPr>
              <w:t>governance arrangement that includes NACCHO, NATSIHA and the Coalition of Peaks.</w:t>
            </w:r>
          </w:p>
          <w:p w14:paraId="6C5E1AD4" w14:textId="77777777" w:rsidR="00811887" w:rsidRDefault="00811887" w:rsidP="00486E22">
            <w:pPr>
              <w:pStyle w:val="TableParagraph"/>
              <w:spacing w:before="112" w:line="268" w:lineRule="auto"/>
              <w:ind w:left="105" w:right="166"/>
              <w:rPr>
                <w:sz w:val="20"/>
              </w:rPr>
            </w:pPr>
            <w:r>
              <w:rPr>
                <w:w w:val="110"/>
                <w:sz w:val="20"/>
              </w:rPr>
              <w:t>Whilst</w:t>
            </w:r>
            <w:r>
              <w:rPr>
                <w:spacing w:val="-6"/>
                <w:w w:val="110"/>
                <w:sz w:val="20"/>
              </w:rPr>
              <w:t xml:space="preserve"> </w:t>
            </w:r>
            <w:r>
              <w:rPr>
                <w:w w:val="110"/>
                <w:sz w:val="20"/>
              </w:rPr>
              <w:t>including</w:t>
            </w:r>
            <w:r>
              <w:rPr>
                <w:spacing w:val="-10"/>
                <w:w w:val="110"/>
                <w:sz w:val="20"/>
              </w:rPr>
              <w:t xml:space="preserve"> </w:t>
            </w:r>
            <w:r>
              <w:rPr>
                <w:w w:val="110"/>
                <w:sz w:val="20"/>
              </w:rPr>
              <w:t>some</w:t>
            </w:r>
            <w:r>
              <w:rPr>
                <w:spacing w:val="-6"/>
                <w:w w:val="110"/>
                <w:sz w:val="20"/>
              </w:rPr>
              <w:t xml:space="preserve"> </w:t>
            </w:r>
            <w:r>
              <w:rPr>
                <w:w w:val="110"/>
                <w:sz w:val="20"/>
              </w:rPr>
              <w:t>additional</w:t>
            </w:r>
            <w:r>
              <w:rPr>
                <w:spacing w:val="-9"/>
                <w:w w:val="110"/>
                <w:sz w:val="20"/>
              </w:rPr>
              <w:t xml:space="preserve"> </w:t>
            </w:r>
            <w:r>
              <w:rPr>
                <w:w w:val="110"/>
                <w:sz w:val="20"/>
              </w:rPr>
              <w:t>data</w:t>
            </w:r>
            <w:r>
              <w:rPr>
                <w:spacing w:val="-11"/>
                <w:w w:val="110"/>
                <w:sz w:val="20"/>
              </w:rPr>
              <w:t xml:space="preserve"> </w:t>
            </w:r>
            <w:r>
              <w:rPr>
                <w:w w:val="110"/>
                <w:sz w:val="20"/>
              </w:rPr>
              <w:t>points</w:t>
            </w:r>
            <w:r>
              <w:rPr>
                <w:spacing w:val="-9"/>
                <w:w w:val="110"/>
                <w:sz w:val="20"/>
              </w:rPr>
              <w:t xml:space="preserve"> </w:t>
            </w:r>
            <w:r>
              <w:rPr>
                <w:w w:val="110"/>
                <w:sz w:val="20"/>
              </w:rPr>
              <w:t>on climate resilience and other community planning metrics as outlined above, it could be comparable in scope to the</w:t>
            </w:r>
            <w:r>
              <w:rPr>
                <w:spacing w:val="-1"/>
                <w:w w:val="110"/>
                <w:sz w:val="20"/>
              </w:rPr>
              <w:t xml:space="preserve"> </w:t>
            </w:r>
            <w:r>
              <w:rPr>
                <w:w w:val="110"/>
                <w:sz w:val="20"/>
              </w:rPr>
              <w:t>last CHINS in 2006.</w:t>
            </w:r>
          </w:p>
          <w:p w14:paraId="71381C2B" w14:textId="77777777" w:rsidR="00811887" w:rsidRDefault="00811887" w:rsidP="00486E22">
            <w:pPr>
              <w:pStyle w:val="TableParagraph"/>
              <w:spacing w:before="116" w:line="268" w:lineRule="auto"/>
              <w:ind w:left="105" w:right="132"/>
              <w:rPr>
                <w:sz w:val="20"/>
              </w:rPr>
            </w:pPr>
            <w:r>
              <w:rPr>
                <w:w w:val="110"/>
                <w:sz w:val="20"/>
              </w:rPr>
              <w:t>Whilst the first new CHINS is underway, a new approach for a second and subsequent CHINS should be developed in partnership with NACCHO, NATSIHA and the Coalition of Peaks. This new approach should be designed to give effect to the Closing the Gap Agreement and consider a locally based, community-controlled survey led approach and where data and information collected is accessible to communities</w:t>
            </w:r>
            <w:r>
              <w:rPr>
                <w:spacing w:val="-4"/>
                <w:w w:val="110"/>
                <w:sz w:val="20"/>
              </w:rPr>
              <w:t xml:space="preserve"> </w:t>
            </w:r>
            <w:r>
              <w:rPr>
                <w:w w:val="110"/>
                <w:sz w:val="20"/>
              </w:rPr>
              <w:t>to</w:t>
            </w:r>
            <w:r>
              <w:rPr>
                <w:spacing w:val="-7"/>
                <w:w w:val="110"/>
                <w:sz w:val="20"/>
              </w:rPr>
              <w:t xml:space="preserve"> </w:t>
            </w:r>
            <w:r>
              <w:rPr>
                <w:w w:val="110"/>
                <w:sz w:val="20"/>
              </w:rPr>
              <w:t>support</w:t>
            </w:r>
            <w:r>
              <w:rPr>
                <w:spacing w:val="-5"/>
                <w:w w:val="110"/>
                <w:sz w:val="20"/>
              </w:rPr>
              <w:t xml:space="preserve"> </w:t>
            </w:r>
            <w:r>
              <w:rPr>
                <w:w w:val="110"/>
                <w:sz w:val="20"/>
              </w:rPr>
              <w:t>their</w:t>
            </w:r>
            <w:r>
              <w:rPr>
                <w:spacing w:val="-6"/>
                <w:w w:val="110"/>
                <w:sz w:val="20"/>
              </w:rPr>
              <w:t xml:space="preserve"> </w:t>
            </w:r>
            <w:r>
              <w:rPr>
                <w:w w:val="110"/>
                <w:sz w:val="20"/>
              </w:rPr>
              <w:t>own</w:t>
            </w:r>
            <w:r>
              <w:rPr>
                <w:spacing w:val="-4"/>
                <w:w w:val="110"/>
                <w:sz w:val="20"/>
              </w:rPr>
              <w:t xml:space="preserve"> </w:t>
            </w:r>
            <w:r>
              <w:rPr>
                <w:w w:val="110"/>
                <w:sz w:val="20"/>
              </w:rPr>
              <w:t>planning</w:t>
            </w:r>
            <w:r>
              <w:rPr>
                <w:spacing w:val="-5"/>
                <w:w w:val="110"/>
                <w:sz w:val="20"/>
              </w:rPr>
              <w:t xml:space="preserve"> </w:t>
            </w:r>
            <w:r>
              <w:rPr>
                <w:w w:val="110"/>
                <w:sz w:val="20"/>
              </w:rPr>
              <w:t>and development decisions, including partnerships with governments. The ABS would still have a central role in ensuring data quality and providing overarching data analysis.</w:t>
            </w:r>
          </w:p>
          <w:p w14:paraId="109D7FDB" w14:textId="77777777" w:rsidR="00811887" w:rsidRDefault="00811887" w:rsidP="00486E22">
            <w:pPr>
              <w:pStyle w:val="TableParagraph"/>
              <w:spacing w:before="105" w:line="268" w:lineRule="auto"/>
              <w:ind w:left="105" w:right="132"/>
              <w:rPr>
                <w:sz w:val="20"/>
              </w:rPr>
            </w:pPr>
            <w:r>
              <w:rPr>
                <w:w w:val="110"/>
                <w:sz w:val="20"/>
              </w:rPr>
              <w:t>The CHINS should be undertaken more frequently</w:t>
            </w:r>
            <w:r>
              <w:rPr>
                <w:spacing w:val="-6"/>
                <w:w w:val="110"/>
                <w:sz w:val="20"/>
              </w:rPr>
              <w:t xml:space="preserve"> </w:t>
            </w:r>
            <w:r>
              <w:rPr>
                <w:w w:val="110"/>
                <w:sz w:val="20"/>
              </w:rPr>
              <w:t>than</w:t>
            </w:r>
            <w:r>
              <w:rPr>
                <w:spacing w:val="-5"/>
                <w:w w:val="110"/>
                <w:sz w:val="20"/>
              </w:rPr>
              <w:t xml:space="preserve"> </w:t>
            </w:r>
            <w:r>
              <w:rPr>
                <w:w w:val="110"/>
                <w:sz w:val="20"/>
              </w:rPr>
              <w:t>the</w:t>
            </w:r>
            <w:r>
              <w:rPr>
                <w:spacing w:val="-6"/>
                <w:w w:val="110"/>
                <w:sz w:val="20"/>
              </w:rPr>
              <w:t xml:space="preserve"> </w:t>
            </w:r>
            <w:r>
              <w:rPr>
                <w:w w:val="110"/>
                <w:sz w:val="20"/>
              </w:rPr>
              <w:t>past</w:t>
            </w:r>
            <w:r>
              <w:rPr>
                <w:spacing w:val="-5"/>
                <w:w w:val="110"/>
                <w:sz w:val="20"/>
              </w:rPr>
              <w:t xml:space="preserve"> </w:t>
            </w:r>
            <w:r>
              <w:rPr>
                <w:w w:val="110"/>
                <w:sz w:val="20"/>
              </w:rPr>
              <w:t>—</w:t>
            </w:r>
            <w:r>
              <w:rPr>
                <w:spacing w:val="-10"/>
                <w:w w:val="110"/>
                <w:sz w:val="20"/>
              </w:rPr>
              <w:t xml:space="preserve"> </w:t>
            </w:r>
            <w:r>
              <w:rPr>
                <w:w w:val="110"/>
                <w:sz w:val="20"/>
              </w:rPr>
              <w:t>every</w:t>
            </w:r>
            <w:r>
              <w:rPr>
                <w:spacing w:val="-8"/>
                <w:w w:val="110"/>
                <w:sz w:val="20"/>
              </w:rPr>
              <w:t xml:space="preserve"> </w:t>
            </w:r>
            <w:r>
              <w:rPr>
                <w:w w:val="110"/>
                <w:sz w:val="20"/>
              </w:rPr>
              <w:t>three</w:t>
            </w:r>
            <w:r>
              <w:rPr>
                <w:spacing w:val="-6"/>
                <w:w w:val="110"/>
                <w:sz w:val="20"/>
              </w:rPr>
              <w:t xml:space="preserve"> </w:t>
            </w:r>
            <w:r>
              <w:rPr>
                <w:w w:val="110"/>
                <w:sz w:val="20"/>
              </w:rPr>
              <w:t>years</w:t>
            </w:r>
            <w:r>
              <w:rPr>
                <w:spacing w:val="-2"/>
                <w:w w:val="110"/>
                <w:sz w:val="20"/>
              </w:rPr>
              <w:t xml:space="preserve"> </w:t>
            </w:r>
            <w:r>
              <w:rPr>
                <w:w w:val="110"/>
                <w:sz w:val="20"/>
              </w:rPr>
              <w:t>— to ensure the data is reliable and current.</w:t>
            </w:r>
          </w:p>
          <w:p w14:paraId="053EAD22" w14:textId="77777777" w:rsidR="00811887" w:rsidRDefault="00811887" w:rsidP="00486E22">
            <w:pPr>
              <w:pStyle w:val="TableParagraph"/>
              <w:spacing w:line="228" w:lineRule="exact"/>
              <w:ind w:left="105"/>
              <w:rPr>
                <w:sz w:val="20"/>
              </w:rPr>
            </w:pPr>
            <w:r>
              <w:rPr>
                <w:spacing w:val="-2"/>
                <w:w w:val="110"/>
                <w:sz w:val="20"/>
              </w:rPr>
              <w:t>However,</w:t>
            </w:r>
            <w:r>
              <w:rPr>
                <w:w w:val="110"/>
                <w:sz w:val="20"/>
              </w:rPr>
              <w:t xml:space="preserve"> </w:t>
            </w:r>
            <w:r>
              <w:rPr>
                <w:spacing w:val="-2"/>
                <w:w w:val="110"/>
                <w:sz w:val="20"/>
              </w:rPr>
              <w:t>a</w:t>
            </w:r>
            <w:r>
              <w:rPr>
                <w:w w:val="110"/>
                <w:sz w:val="20"/>
              </w:rPr>
              <w:t xml:space="preserve"> </w:t>
            </w:r>
            <w:r>
              <w:rPr>
                <w:spacing w:val="-2"/>
                <w:w w:val="110"/>
                <w:sz w:val="20"/>
              </w:rPr>
              <w:t>community-controlled</w:t>
            </w:r>
            <w:r>
              <w:rPr>
                <w:w w:val="110"/>
                <w:sz w:val="20"/>
              </w:rPr>
              <w:t xml:space="preserve"> </w:t>
            </w:r>
            <w:r>
              <w:rPr>
                <w:spacing w:val="-2"/>
                <w:w w:val="110"/>
                <w:sz w:val="20"/>
              </w:rPr>
              <w:t>approach</w:t>
            </w:r>
          </w:p>
        </w:tc>
        <w:tc>
          <w:tcPr>
            <w:tcW w:w="2699" w:type="dxa"/>
          </w:tcPr>
          <w:p w14:paraId="5084AA26" w14:textId="77777777" w:rsidR="00811887" w:rsidRDefault="00811887" w:rsidP="00486E22">
            <w:pPr>
              <w:pStyle w:val="TableParagraph"/>
              <w:spacing w:before="25" w:line="268" w:lineRule="auto"/>
              <w:ind w:left="105" w:right="170"/>
              <w:rPr>
                <w:sz w:val="20"/>
              </w:rPr>
            </w:pPr>
            <w:r>
              <w:rPr>
                <w:w w:val="110"/>
                <w:sz w:val="20"/>
              </w:rPr>
              <w:t>It</w:t>
            </w:r>
            <w:r>
              <w:rPr>
                <w:spacing w:val="-3"/>
                <w:w w:val="110"/>
                <w:sz w:val="20"/>
              </w:rPr>
              <w:t xml:space="preserve"> </w:t>
            </w:r>
            <w:r>
              <w:rPr>
                <w:w w:val="110"/>
                <w:sz w:val="20"/>
              </w:rPr>
              <w:t>will</w:t>
            </w:r>
            <w:r>
              <w:rPr>
                <w:spacing w:val="-6"/>
                <w:w w:val="110"/>
                <w:sz w:val="20"/>
              </w:rPr>
              <w:t xml:space="preserve"> </w:t>
            </w:r>
            <w:r>
              <w:rPr>
                <w:w w:val="110"/>
                <w:sz w:val="20"/>
              </w:rPr>
              <w:t>take</w:t>
            </w:r>
            <w:r>
              <w:rPr>
                <w:spacing w:val="-3"/>
                <w:w w:val="110"/>
                <w:sz w:val="20"/>
              </w:rPr>
              <w:t xml:space="preserve"> </w:t>
            </w:r>
            <w:r>
              <w:rPr>
                <w:w w:val="110"/>
                <w:sz w:val="20"/>
              </w:rPr>
              <w:t>some</w:t>
            </w:r>
            <w:r>
              <w:rPr>
                <w:spacing w:val="-4"/>
                <w:w w:val="110"/>
                <w:sz w:val="20"/>
              </w:rPr>
              <w:t xml:space="preserve"> </w:t>
            </w:r>
            <w:r>
              <w:rPr>
                <w:w w:val="110"/>
                <w:sz w:val="20"/>
              </w:rPr>
              <w:t>time</w:t>
            </w:r>
            <w:r>
              <w:rPr>
                <w:spacing w:val="-9"/>
                <w:w w:val="110"/>
                <w:sz w:val="20"/>
              </w:rPr>
              <w:t xml:space="preserve"> </w:t>
            </w:r>
            <w:r>
              <w:rPr>
                <w:w w:val="110"/>
                <w:sz w:val="20"/>
              </w:rPr>
              <w:t>to design and undertake a new CHINS, including a more</w:t>
            </w:r>
            <w:r>
              <w:rPr>
                <w:spacing w:val="-12"/>
                <w:w w:val="110"/>
                <w:sz w:val="20"/>
              </w:rPr>
              <w:t xml:space="preserve"> </w:t>
            </w:r>
            <w:r>
              <w:rPr>
                <w:w w:val="110"/>
                <w:sz w:val="20"/>
              </w:rPr>
              <w:t>sustainable</w:t>
            </w:r>
            <w:r>
              <w:rPr>
                <w:spacing w:val="-8"/>
                <w:w w:val="110"/>
                <w:sz w:val="20"/>
              </w:rPr>
              <w:t xml:space="preserve"> </w:t>
            </w:r>
            <w:r>
              <w:rPr>
                <w:w w:val="110"/>
                <w:sz w:val="20"/>
              </w:rPr>
              <w:t xml:space="preserve">model that gives effect to the Closing the Gap </w:t>
            </w:r>
            <w:r>
              <w:rPr>
                <w:spacing w:val="-2"/>
                <w:w w:val="110"/>
                <w:sz w:val="20"/>
              </w:rPr>
              <w:t>Agreement.</w:t>
            </w:r>
          </w:p>
          <w:p w14:paraId="0C804182" w14:textId="77777777" w:rsidR="00811887" w:rsidRDefault="00811887" w:rsidP="00486E22">
            <w:pPr>
              <w:pStyle w:val="TableParagraph"/>
              <w:spacing w:before="112" w:line="240" w:lineRule="auto"/>
              <w:ind w:left="105"/>
              <w:rPr>
                <w:sz w:val="20"/>
              </w:rPr>
            </w:pPr>
            <w:r>
              <w:rPr>
                <w:w w:val="110"/>
                <w:sz w:val="20"/>
              </w:rPr>
              <w:t>An</w:t>
            </w:r>
            <w:r>
              <w:rPr>
                <w:spacing w:val="-5"/>
                <w:w w:val="110"/>
                <w:sz w:val="20"/>
              </w:rPr>
              <w:t xml:space="preserve"> </w:t>
            </w:r>
            <w:r>
              <w:rPr>
                <w:w w:val="110"/>
                <w:sz w:val="20"/>
              </w:rPr>
              <w:t>estimate</w:t>
            </w:r>
            <w:r>
              <w:rPr>
                <w:spacing w:val="-9"/>
                <w:w w:val="110"/>
                <w:sz w:val="20"/>
              </w:rPr>
              <w:t xml:space="preserve"> </w:t>
            </w:r>
            <w:r>
              <w:rPr>
                <w:w w:val="110"/>
                <w:sz w:val="20"/>
              </w:rPr>
              <w:t>of</w:t>
            </w:r>
            <w:r>
              <w:rPr>
                <w:spacing w:val="-3"/>
                <w:w w:val="110"/>
                <w:sz w:val="20"/>
              </w:rPr>
              <w:t xml:space="preserve"> </w:t>
            </w:r>
            <w:r>
              <w:rPr>
                <w:spacing w:val="-2"/>
                <w:w w:val="110"/>
                <w:sz w:val="20"/>
              </w:rPr>
              <w:t>between</w:t>
            </w:r>
          </w:p>
          <w:p w14:paraId="2F5DD991" w14:textId="77777777" w:rsidR="00811887" w:rsidRDefault="00811887" w:rsidP="00486E22">
            <w:pPr>
              <w:pStyle w:val="TableParagraph"/>
              <w:spacing w:before="30" w:line="268" w:lineRule="auto"/>
              <w:ind w:left="105" w:right="152"/>
              <w:rPr>
                <w:sz w:val="20"/>
              </w:rPr>
            </w:pPr>
            <w:r>
              <w:rPr>
                <w:w w:val="110"/>
                <w:sz w:val="20"/>
              </w:rPr>
              <w:t>$15 million to $20 million was</w:t>
            </w:r>
            <w:r>
              <w:rPr>
                <w:spacing w:val="-13"/>
                <w:w w:val="110"/>
                <w:sz w:val="20"/>
              </w:rPr>
              <w:t xml:space="preserve"> </w:t>
            </w:r>
            <w:r>
              <w:rPr>
                <w:w w:val="110"/>
                <w:sz w:val="20"/>
              </w:rPr>
              <w:t>provided</w:t>
            </w:r>
            <w:r>
              <w:rPr>
                <w:spacing w:val="-12"/>
                <w:w w:val="110"/>
                <w:sz w:val="20"/>
              </w:rPr>
              <w:t xml:space="preserve"> </w:t>
            </w:r>
            <w:r>
              <w:rPr>
                <w:w w:val="110"/>
                <w:sz w:val="20"/>
              </w:rPr>
              <w:t>to</w:t>
            </w:r>
            <w:r>
              <w:rPr>
                <w:spacing w:val="-13"/>
                <w:w w:val="110"/>
                <w:sz w:val="20"/>
              </w:rPr>
              <w:t xml:space="preserve"> </w:t>
            </w:r>
            <w:r>
              <w:rPr>
                <w:w w:val="110"/>
                <w:sz w:val="20"/>
              </w:rPr>
              <w:t>undertake a similar CHINS.</w:t>
            </w:r>
          </w:p>
        </w:tc>
      </w:tr>
    </w:tbl>
    <w:p w14:paraId="760BE6F9" w14:textId="77777777" w:rsidR="00811887" w:rsidRDefault="00811887" w:rsidP="00811887">
      <w:pPr>
        <w:spacing w:line="268" w:lineRule="auto"/>
        <w:rPr>
          <w:sz w:val="20"/>
        </w:rPr>
        <w:sectPr w:rsidR="00811887" w:rsidSect="00811887">
          <w:type w:val="continuous"/>
          <w:pgSz w:w="11910" w:h="16840"/>
          <w:pgMar w:top="1380" w:right="720" w:bottom="1000" w:left="740" w:header="0" w:footer="805" w:gutter="0"/>
          <w:cols w:space="720"/>
        </w:sectPr>
      </w:pP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38"/>
        <w:gridCol w:w="2699"/>
      </w:tblGrid>
      <w:tr w:rsidR="00811887" w14:paraId="1E1EB627" w14:textId="77777777" w:rsidTr="00486E22">
        <w:trPr>
          <w:trHeight w:val="2692"/>
        </w:trPr>
        <w:tc>
          <w:tcPr>
            <w:tcW w:w="2689" w:type="dxa"/>
          </w:tcPr>
          <w:p w14:paraId="41A8CBA1" w14:textId="77777777" w:rsidR="00811887" w:rsidRDefault="00811887" w:rsidP="00486E22">
            <w:pPr>
              <w:pStyle w:val="TableParagraph"/>
              <w:spacing w:line="240" w:lineRule="auto"/>
              <w:rPr>
                <w:rFonts w:ascii="Times New Roman"/>
                <w:sz w:val="18"/>
              </w:rPr>
            </w:pPr>
          </w:p>
        </w:tc>
        <w:tc>
          <w:tcPr>
            <w:tcW w:w="4538" w:type="dxa"/>
          </w:tcPr>
          <w:p w14:paraId="0398ABFE" w14:textId="77777777" w:rsidR="00811887" w:rsidRDefault="00811887" w:rsidP="00486E22">
            <w:pPr>
              <w:pStyle w:val="TableParagraph"/>
              <w:spacing w:before="25" w:line="268" w:lineRule="auto"/>
              <w:ind w:left="105"/>
              <w:rPr>
                <w:sz w:val="20"/>
              </w:rPr>
            </w:pPr>
            <w:r>
              <w:rPr>
                <w:w w:val="110"/>
                <w:sz w:val="20"/>
              </w:rPr>
              <w:t>may</w:t>
            </w:r>
            <w:r>
              <w:rPr>
                <w:spacing w:val="-13"/>
                <w:w w:val="110"/>
                <w:sz w:val="20"/>
              </w:rPr>
              <w:t xml:space="preserve"> </w:t>
            </w:r>
            <w:r>
              <w:rPr>
                <w:w w:val="110"/>
                <w:sz w:val="20"/>
              </w:rPr>
              <w:t>provide</w:t>
            </w:r>
            <w:r>
              <w:rPr>
                <w:spacing w:val="-12"/>
                <w:w w:val="110"/>
                <w:sz w:val="20"/>
              </w:rPr>
              <w:t xml:space="preserve"> </w:t>
            </w:r>
            <w:r>
              <w:rPr>
                <w:w w:val="110"/>
                <w:sz w:val="20"/>
              </w:rPr>
              <w:t>an</w:t>
            </w:r>
            <w:r>
              <w:rPr>
                <w:spacing w:val="-13"/>
                <w:w w:val="110"/>
                <w:sz w:val="20"/>
              </w:rPr>
              <w:t xml:space="preserve"> </w:t>
            </w:r>
            <w:r>
              <w:rPr>
                <w:w w:val="110"/>
                <w:sz w:val="20"/>
              </w:rPr>
              <w:t>opportunity</w:t>
            </w:r>
            <w:r>
              <w:rPr>
                <w:spacing w:val="-12"/>
                <w:w w:val="110"/>
                <w:sz w:val="20"/>
              </w:rPr>
              <w:t xml:space="preserve"> </w:t>
            </w:r>
            <w:r>
              <w:rPr>
                <w:w w:val="110"/>
                <w:sz w:val="20"/>
              </w:rPr>
              <w:t>for</w:t>
            </w:r>
            <w:r>
              <w:rPr>
                <w:spacing w:val="-13"/>
                <w:w w:val="110"/>
                <w:sz w:val="20"/>
              </w:rPr>
              <w:t xml:space="preserve"> </w:t>
            </w:r>
            <w:r>
              <w:rPr>
                <w:w w:val="110"/>
                <w:sz w:val="20"/>
              </w:rPr>
              <w:t>more</w:t>
            </w:r>
            <w:r>
              <w:rPr>
                <w:spacing w:val="-12"/>
                <w:w w:val="110"/>
                <w:sz w:val="20"/>
              </w:rPr>
              <w:t xml:space="preserve"> </w:t>
            </w:r>
            <w:r>
              <w:rPr>
                <w:w w:val="110"/>
                <w:sz w:val="20"/>
              </w:rPr>
              <w:t>‘real</w:t>
            </w:r>
            <w:r>
              <w:rPr>
                <w:spacing w:val="-13"/>
                <w:w w:val="110"/>
                <w:sz w:val="20"/>
              </w:rPr>
              <w:t xml:space="preserve"> </w:t>
            </w:r>
            <w:r>
              <w:rPr>
                <w:w w:val="110"/>
                <w:sz w:val="20"/>
              </w:rPr>
              <w:t xml:space="preserve">time’ updates, especially if supported by the option </w:t>
            </w:r>
            <w:r>
              <w:rPr>
                <w:spacing w:val="-2"/>
                <w:w w:val="110"/>
                <w:sz w:val="20"/>
              </w:rPr>
              <w:t>below.</w:t>
            </w:r>
          </w:p>
          <w:p w14:paraId="130AF436" w14:textId="77777777" w:rsidR="00811887" w:rsidRDefault="00811887" w:rsidP="00486E22">
            <w:pPr>
              <w:pStyle w:val="TableParagraph"/>
              <w:spacing w:before="116" w:line="268" w:lineRule="auto"/>
              <w:ind w:left="105" w:right="166"/>
              <w:rPr>
                <w:sz w:val="20"/>
              </w:rPr>
            </w:pPr>
            <w:r>
              <w:rPr>
                <w:w w:val="110"/>
                <w:sz w:val="20"/>
              </w:rPr>
              <w:t>The outcomes of the survey could be considered by the Housing Policy Partnership and the Joint Council on Closing the Gap and recommendations made to governments on current</w:t>
            </w:r>
            <w:r>
              <w:rPr>
                <w:spacing w:val="-8"/>
                <w:w w:val="110"/>
                <w:sz w:val="20"/>
              </w:rPr>
              <w:t xml:space="preserve"> </w:t>
            </w:r>
            <w:r>
              <w:rPr>
                <w:w w:val="110"/>
                <w:sz w:val="20"/>
              </w:rPr>
              <w:t>and</w:t>
            </w:r>
            <w:r>
              <w:rPr>
                <w:spacing w:val="-8"/>
                <w:w w:val="110"/>
                <w:sz w:val="20"/>
              </w:rPr>
              <w:t xml:space="preserve"> </w:t>
            </w:r>
            <w:r>
              <w:rPr>
                <w:w w:val="110"/>
                <w:sz w:val="20"/>
              </w:rPr>
              <w:t>future</w:t>
            </w:r>
            <w:r>
              <w:rPr>
                <w:spacing w:val="-8"/>
                <w:w w:val="110"/>
                <w:sz w:val="20"/>
              </w:rPr>
              <w:t xml:space="preserve"> </w:t>
            </w:r>
            <w:r>
              <w:rPr>
                <w:w w:val="110"/>
                <w:sz w:val="20"/>
              </w:rPr>
              <w:t>investment</w:t>
            </w:r>
            <w:r>
              <w:rPr>
                <w:spacing w:val="-8"/>
                <w:w w:val="110"/>
                <w:sz w:val="20"/>
              </w:rPr>
              <w:t xml:space="preserve"> </w:t>
            </w:r>
            <w:r>
              <w:rPr>
                <w:w w:val="110"/>
                <w:sz w:val="20"/>
              </w:rPr>
              <w:t>and</w:t>
            </w:r>
            <w:r>
              <w:rPr>
                <w:spacing w:val="-12"/>
                <w:w w:val="110"/>
                <w:sz w:val="20"/>
              </w:rPr>
              <w:t xml:space="preserve"> </w:t>
            </w:r>
            <w:r>
              <w:rPr>
                <w:w w:val="110"/>
                <w:sz w:val="20"/>
              </w:rPr>
              <w:t xml:space="preserve">community </w:t>
            </w:r>
            <w:r>
              <w:rPr>
                <w:spacing w:val="-2"/>
                <w:w w:val="110"/>
                <w:sz w:val="20"/>
              </w:rPr>
              <w:t>planning.</w:t>
            </w:r>
          </w:p>
        </w:tc>
        <w:tc>
          <w:tcPr>
            <w:tcW w:w="2699" w:type="dxa"/>
          </w:tcPr>
          <w:p w14:paraId="2647734A" w14:textId="77777777" w:rsidR="00811887" w:rsidRDefault="00811887" w:rsidP="00486E22">
            <w:pPr>
              <w:pStyle w:val="TableParagraph"/>
              <w:spacing w:line="240" w:lineRule="auto"/>
              <w:rPr>
                <w:rFonts w:ascii="Times New Roman"/>
                <w:sz w:val="18"/>
              </w:rPr>
            </w:pPr>
          </w:p>
        </w:tc>
      </w:tr>
    </w:tbl>
    <w:p w14:paraId="1B3EA899" w14:textId="77777777" w:rsidR="00811887" w:rsidRDefault="00811887" w:rsidP="00811887">
      <w:pPr>
        <w:pStyle w:val="BodyText"/>
        <w:spacing w:before="233"/>
        <w:rPr>
          <w:rFonts w:ascii="Book Antiqua"/>
          <w:b/>
          <w:sz w:val="24"/>
        </w:rPr>
      </w:pPr>
    </w:p>
    <w:p w14:paraId="4DD6B26C" w14:textId="77777777" w:rsidR="00811887" w:rsidRPr="00FD40B8" w:rsidRDefault="00811887" w:rsidP="00811887">
      <w:pPr>
        <w:pStyle w:val="Heading9"/>
        <w:rPr>
          <w:color w:val="131727" w:themeColor="text1"/>
        </w:rPr>
      </w:pPr>
      <w:bookmarkStart w:id="209" w:name="_bookmark98"/>
      <w:bookmarkEnd w:id="209"/>
      <w:r w:rsidRPr="00FD40B8">
        <w:rPr>
          <w:color w:val="131727" w:themeColor="text1"/>
          <w:w w:val="85"/>
        </w:rPr>
        <w:t>D</w:t>
      </w:r>
      <w:r w:rsidRPr="00FD40B8">
        <w:rPr>
          <w:color w:val="131727" w:themeColor="text1"/>
          <w:spacing w:val="-38"/>
          <w:w w:val="85"/>
        </w:rPr>
        <w:t xml:space="preserve"> </w:t>
      </w:r>
      <w:r w:rsidRPr="00FD40B8">
        <w:rPr>
          <w:color w:val="131727" w:themeColor="text1"/>
          <w:spacing w:val="21"/>
          <w:w w:val="85"/>
        </w:rPr>
        <w:t>EVEL</w:t>
      </w:r>
      <w:r w:rsidRPr="00FD40B8">
        <w:rPr>
          <w:color w:val="131727" w:themeColor="text1"/>
          <w:spacing w:val="-34"/>
          <w:w w:val="85"/>
        </w:rPr>
        <w:t xml:space="preserve"> </w:t>
      </w:r>
      <w:r w:rsidRPr="00FD40B8">
        <w:rPr>
          <w:color w:val="131727" w:themeColor="text1"/>
          <w:spacing w:val="20"/>
          <w:w w:val="85"/>
        </w:rPr>
        <w:t>OPIN</w:t>
      </w:r>
      <w:r w:rsidRPr="00FD40B8">
        <w:rPr>
          <w:color w:val="131727" w:themeColor="text1"/>
          <w:spacing w:val="-34"/>
          <w:w w:val="85"/>
        </w:rPr>
        <w:t xml:space="preserve"> </w:t>
      </w:r>
      <w:r w:rsidRPr="00FD40B8">
        <w:rPr>
          <w:color w:val="131727" w:themeColor="text1"/>
          <w:w w:val="85"/>
        </w:rPr>
        <w:t>G</w:t>
      </w:r>
      <w:r w:rsidRPr="00FD40B8">
        <w:rPr>
          <w:color w:val="131727" w:themeColor="text1"/>
          <w:spacing w:val="50"/>
        </w:rPr>
        <w:t xml:space="preserve"> </w:t>
      </w:r>
      <w:r w:rsidRPr="00FD40B8">
        <w:rPr>
          <w:color w:val="131727" w:themeColor="text1"/>
          <w:spacing w:val="18"/>
          <w:w w:val="85"/>
        </w:rPr>
        <w:t>NEW</w:t>
      </w:r>
      <w:r w:rsidRPr="00FD40B8">
        <w:rPr>
          <w:color w:val="131727" w:themeColor="text1"/>
          <w:spacing w:val="49"/>
        </w:rPr>
        <w:t xml:space="preserve"> </w:t>
      </w:r>
      <w:r w:rsidRPr="00FD40B8">
        <w:rPr>
          <w:color w:val="131727" w:themeColor="text1"/>
          <w:spacing w:val="18"/>
          <w:w w:val="85"/>
        </w:rPr>
        <w:t>POL</w:t>
      </w:r>
      <w:r w:rsidRPr="00FD40B8">
        <w:rPr>
          <w:color w:val="131727" w:themeColor="text1"/>
          <w:spacing w:val="-34"/>
          <w:w w:val="85"/>
        </w:rPr>
        <w:t xml:space="preserve"> </w:t>
      </w:r>
      <w:r w:rsidRPr="00FD40B8">
        <w:rPr>
          <w:color w:val="131727" w:themeColor="text1"/>
          <w:spacing w:val="13"/>
          <w:w w:val="85"/>
        </w:rPr>
        <w:t>IC</w:t>
      </w:r>
      <w:r w:rsidRPr="00FD40B8">
        <w:rPr>
          <w:color w:val="131727" w:themeColor="text1"/>
          <w:spacing w:val="-36"/>
          <w:w w:val="85"/>
        </w:rPr>
        <w:t xml:space="preserve"> </w:t>
      </w:r>
      <w:r w:rsidRPr="00FD40B8">
        <w:rPr>
          <w:color w:val="131727" w:themeColor="text1"/>
          <w:w w:val="85"/>
        </w:rPr>
        <w:t>Y</w:t>
      </w:r>
      <w:r w:rsidRPr="00FD40B8">
        <w:rPr>
          <w:color w:val="131727" w:themeColor="text1"/>
          <w:spacing w:val="49"/>
        </w:rPr>
        <w:t xml:space="preserve"> </w:t>
      </w:r>
      <w:r w:rsidRPr="00FD40B8">
        <w:rPr>
          <w:color w:val="131727" w:themeColor="text1"/>
          <w:spacing w:val="14"/>
          <w:w w:val="85"/>
        </w:rPr>
        <w:t>PR</w:t>
      </w:r>
      <w:r w:rsidRPr="00FD40B8">
        <w:rPr>
          <w:color w:val="131727" w:themeColor="text1"/>
          <w:spacing w:val="-33"/>
          <w:w w:val="85"/>
        </w:rPr>
        <w:t xml:space="preserve"> </w:t>
      </w:r>
      <w:r w:rsidRPr="00FD40B8">
        <w:rPr>
          <w:color w:val="131727" w:themeColor="text1"/>
          <w:spacing w:val="20"/>
          <w:w w:val="85"/>
        </w:rPr>
        <w:t>OPOS</w:t>
      </w:r>
      <w:r w:rsidRPr="00FD40B8">
        <w:rPr>
          <w:color w:val="131727" w:themeColor="text1"/>
          <w:spacing w:val="-31"/>
          <w:w w:val="85"/>
        </w:rPr>
        <w:t xml:space="preserve"> </w:t>
      </w:r>
      <w:r w:rsidRPr="00FD40B8">
        <w:rPr>
          <w:color w:val="131727" w:themeColor="text1"/>
          <w:spacing w:val="13"/>
          <w:w w:val="85"/>
        </w:rPr>
        <w:t>ALS</w:t>
      </w:r>
    </w:p>
    <w:p w14:paraId="4087C5F5" w14:textId="77777777" w:rsidR="00811887" w:rsidRPr="00FD40B8" w:rsidRDefault="00811887" w:rsidP="00811887">
      <w:pPr>
        <w:pStyle w:val="BodyText"/>
        <w:spacing w:before="62" w:line="266" w:lineRule="auto"/>
        <w:ind w:left="508"/>
        <w:rPr>
          <w:color w:val="131727" w:themeColor="text1"/>
        </w:rPr>
      </w:pPr>
      <w:r w:rsidRPr="00FD40B8">
        <w:rPr>
          <w:color w:val="131727" w:themeColor="text1"/>
          <w:w w:val="110"/>
        </w:rPr>
        <w:t>There is some urgency to capitalise on current opportunities: negotiations on the new NHHA and the partnership</w:t>
      </w:r>
      <w:r w:rsidRPr="00FD40B8">
        <w:rPr>
          <w:color w:val="131727" w:themeColor="text1"/>
          <w:spacing w:val="-1"/>
          <w:w w:val="110"/>
        </w:rPr>
        <w:t xml:space="preserve"> </w:t>
      </w:r>
      <w:r w:rsidRPr="00FD40B8">
        <w:rPr>
          <w:color w:val="131727" w:themeColor="text1"/>
          <w:w w:val="110"/>
        </w:rPr>
        <w:t>agreement</w:t>
      </w:r>
      <w:r w:rsidRPr="00FD40B8">
        <w:rPr>
          <w:color w:val="131727" w:themeColor="text1"/>
          <w:spacing w:val="-5"/>
          <w:w w:val="110"/>
        </w:rPr>
        <w:t xml:space="preserve"> </w:t>
      </w:r>
      <w:r w:rsidRPr="00FD40B8">
        <w:rPr>
          <w:color w:val="131727" w:themeColor="text1"/>
          <w:w w:val="110"/>
        </w:rPr>
        <w:t>to</w:t>
      </w:r>
      <w:r w:rsidRPr="00FD40B8">
        <w:rPr>
          <w:color w:val="131727" w:themeColor="text1"/>
          <w:spacing w:val="-3"/>
          <w:w w:val="110"/>
        </w:rPr>
        <w:t xml:space="preserve"> </w:t>
      </w:r>
      <w:r w:rsidRPr="00FD40B8">
        <w:rPr>
          <w:color w:val="131727" w:themeColor="text1"/>
          <w:w w:val="110"/>
        </w:rPr>
        <w:t>support</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new</w:t>
      </w:r>
      <w:r w:rsidRPr="00FD40B8">
        <w:rPr>
          <w:color w:val="131727" w:themeColor="text1"/>
          <w:spacing w:val="-2"/>
          <w:w w:val="110"/>
        </w:rPr>
        <w:t xml:space="preserve"> </w:t>
      </w:r>
      <w:r w:rsidRPr="00FD40B8">
        <w:rPr>
          <w:color w:val="131727" w:themeColor="text1"/>
          <w:w w:val="110"/>
        </w:rPr>
        <w:t>investment</w:t>
      </w:r>
      <w:r w:rsidRPr="00FD40B8">
        <w:rPr>
          <w:color w:val="131727" w:themeColor="text1"/>
          <w:spacing w:val="-5"/>
          <w:w w:val="110"/>
        </w:rPr>
        <w:t xml:space="preserve"> </w:t>
      </w:r>
      <w:r w:rsidRPr="00FD40B8">
        <w:rPr>
          <w:color w:val="131727" w:themeColor="text1"/>
          <w:w w:val="110"/>
        </w:rPr>
        <w:t>in remote</w:t>
      </w:r>
      <w:r w:rsidRPr="00FD40B8">
        <w:rPr>
          <w:color w:val="131727" w:themeColor="text1"/>
          <w:spacing w:val="-5"/>
          <w:w w:val="110"/>
        </w:rPr>
        <w:t xml:space="preserve"> </w:t>
      </w:r>
      <w:r w:rsidRPr="00FD40B8">
        <w:rPr>
          <w:color w:val="131727" w:themeColor="text1"/>
          <w:w w:val="110"/>
        </w:rPr>
        <w:t>housing</w:t>
      </w:r>
      <w:r w:rsidRPr="00FD40B8">
        <w:rPr>
          <w:color w:val="131727" w:themeColor="text1"/>
          <w:spacing w:val="-1"/>
          <w:w w:val="110"/>
        </w:rPr>
        <w:t xml:space="preserve"> </w:t>
      </w:r>
      <w:r w:rsidRPr="00FD40B8">
        <w:rPr>
          <w:color w:val="131727" w:themeColor="text1"/>
          <w:w w:val="110"/>
        </w:rPr>
        <w:t>in the</w:t>
      </w:r>
      <w:r w:rsidRPr="00FD40B8">
        <w:rPr>
          <w:color w:val="131727" w:themeColor="text1"/>
          <w:spacing w:val="-1"/>
          <w:w w:val="110"/>
        </w:rPr>
        <w:t xml:space="preserve"> </w:t>
      </w:r>
      <w:r w:rsidRPr="00FD40B8">
        <w:rPr>
          <w:color w:val="131727" w:themeColor="text1"/>
          <w:w w:val="110"/>
        </w:rPr>
        <w:t>Northern Territory</w:t>
      </w:r>
      <w:r w:rsidRPr="00FD40B8">
        <w:rPr>
          <w:color w:val="131727" w:themeColor="text1"/>
          <w:spacing w:val="-2"/>
          <w:w w:val="110"/>
        </w:rPr>
        <w:t xml:space="preserve"> </w:t>
      </w:r>
      <w:r w:rsidRPr="00FD40B8">
        <w:rPr>
          <w:color w:val="131727" w:themeColor="text1"/>
          <w:w w:val="110"/>
        </w:rPr>
        <w:t>are underway now.</w:t>
      </w:r>
    </w:p>
    <w:p w14:paraId="33C210FC" w14:textId="77777777" w:rsidR="00811887" w:rsidRPr="00FD40B8" w:rsidRDefault="00811887" w:rsidP="00811887">
      <w:pPr>
        <w:pStyle w:val="BodyText"/>
        <w:spacing w:before="124" w:line="268" w:lineRule="auto"/>
        <w:ind w:left="508" w:right="547"/>
        <w:rPr>
          <w:color w:val="131727" w:themeColor="text1"/>
        </w:rPr>
      </w:pPr>
      <w:r w:rsidRPr="00FD40B8">
        <w:rPr>
          <w:color w:val="131727" w:themeColor="text1"/>
          <w:w w:val="110"/>
        </w:rPr>
        <w:t>In line with the commitment in the Closing the Gap Agreement, the Register, and any</w:t>
      </w:r>
      <w:r w:rsidRPr="00FD40B8">
        <w:rPr>
          <w:color w:val="131727" w:themeColor="text1"/>
          <w:spacing w:val="-1"/>
          <w:w w:val="110"/>
        </w:rPr>
        <w:t xml:space="preserve"> </w:t>
      </w:r>
      <w:r w:rsidRPr="00FD40B8">
        <w:rPr>
          <w:color w:val="131727" w:themeColor="text1"/>
          <w:w w:val="110"/>
        </w:rPr>
        <w:t>new data collections to inform the Register, should be developed in partnership between the Commonwealth Government and the Coalition of Peaks. The Housing Policy Partnership provides an existing forum to advance policy development with respect to housing</w:t>
      </w:r>
      <w:r w:rsidRPr="00FD40B8">
        <w:rPr>
          <w:color w:val="131727" w:themeColor="text1"/>
          <w:spacing w:val="-4"/>
          <w:w w:val="110"/>
        </w:rPr>
        <w:t xml:space="preserve"> </w:t>
      </w:r>
      <w:r w:rsidRPr="00FD40B8">
        <w:rPr>
          <w:color w:val="131727" w:themeColor="text1"/>
          <w:w w:val="110"/>
        </w:rPr>
        <w:t>for</w:t>
      </w:r>
      <w:r w:rsidRPr="00FD40B8">
        <w:rPr>
          <w:color w:val="131727" w:themeColor="text1"/>
          <w:spacing w:val="-1"/>
          <w:w w:val="110"/>
        </w:rPr>
        <w:t xml:space="preserve"> </w:t>
      </w:r>
      <w:r w:rsidRPr="00FD40B8">
        <w:rPr>
          <w:color w:val="131727" w:themeColor="text1"/>
          <w:w w:val="110"/>
        </w:rPr>
        <w:t>Aboriginal</w:t>
      </w:r>
      <w:r w:rsidRPr="00FD40B8">
        <w:rPr>
          <w:color w:val="131727" w:themeColor="text1"/>
          <w:spacing w:val="-2"/>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Torres</w:t>
      </w:r>
      <w:r w:rsidRPr="00FD40B8">
        <w:rPr>
          <w:color w:val="131727" w:themeColor="text1"/>
          <w:spacing w:val="-2"/>
          <w:w w:val="110"/>
        </w:rPr>
        <w:t xml:space="preserve"> </w:t>
      </w:r>
      <w:r w:rsidRPr="00FD40B8">
        <w:rPr>
          <w:color w:val="131727" w:themeColor="text1"/>
          <w:w w:val="110"/>
        </w:rPr>
        <w:t>Strait</w:t>
      </w:r>
      <w:r w:rsidRPr="00FD40B8">
        <w:rPr>
          <w:color w:val="131727" w:themeColor="text1"/>
          <w:spacing w:val="-4"/>
          <w:w w:val="110"/>
        </w:rPr>
        <w:t xml:space="preserve"> </w:t>
      </w:r>
      <w:r w:rsidRPr="00FD40B8">
        <w:rPr>
          <w:color w:val="131727" w:themeColor="text1"/>
          <w:w w:val="110"/>
        </w:rPr>
        <w:t>Islander</w:t>
      </w:r>
      <w:r w:rsidRPr="00FD40B8">
        <w:rPr>
          <w:color w:val="131727" w:themeColor="text1"/>
          <w:spacing w:val="-1"/>
          <w:w w:val="110"/>
        </w:rPr>
        <w:t xml:space="preserve"> </w:t>
      </w:r>
      <w:r w:rsidRPr="00FD40B8">
        <w:rPr>
          <w:color w:val="131727" w:themeColor="text1"/>
          <w:w w:val="110"/>
        </w:rPr>
        <w:t>people. But to</w:t>
      </w:r>
      <w:r w:rsidRPr="00FD40B8">
        <w:rPr>
          <w:color w:val="131727" w:themeColor="text1"/>
          <w:spacing w:val="-1"/>
          <w:w w:val="110"/>
        </w:rPr>
        <w:t xml:space="preserve"> </w:t>
      </w:r>
      <w:r w:rsidRPr="00FD40B8">
        <w:rPr>
          <w:color w:val="131727" w:themeColor="text1"/>
          <w:w w:val="110"/>
        </w:rPr>
        <w:t>secure</w:t>
      </w:r>
      <w:r w:rsidRPr="00FD40B8">
        <w:rPr>
          <w:color w:val="131727" w:themeColor="text1"/>
          <w:spacing w:val="-1"/>
          <w:w w:val="110"/>
        </w:rPr>
        <w:t xml:space="preserve"> </w:t>
      </w:r>
      <w:r w:rsidRPr="00FD40B8">
        <w:rPr>
          <w:color w:val="131727" w:themeColor="text1"/>
          <w:w w:val="110"/>
        </w:rPr>
        <w:t>political agreement</w:t>
      </w:r>
      <w:r w:rsidRPr="00FD40B8">
        <w:rPr>
          <w:color w:val="131727" w:themeColor="text1"/>
          <w:spacing w:val="-1"/>
          <w:w w:val="110"/>
        </w:rPr>
        <w:t xml:space="preserve"> </w:t>
      </w:r>
      <w:r w:rsidRPr="00FD40B8">
        <w:rPr>
          <w:color w:val="131727" w:themeColor="text1"/>
          <w:w w:val="110"/>
        </w:rPr>
        <w:t>and</w:t>
      </w:r>
      <w:r w:rsidRPr="00FD40B8">
        <w:rPr>
          <w:color w:val="131727" w:themeColor="text1"/>
          <w:spacing w:val="-1"/>
          <w:w w:val="110"/>
        </w:rPr>
        <w:t xml:space="preserve"> </w:t>
      </w:r>
      <w:r w:rsidRPr="00FD40B8">
        <w:rPr>
          <w:color w:val="131727" w:themeColor="text1"/>
          <w:w w:val="110"/>
        </w:rPr>
        <w:t>reinforce</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6"/>
          <w:w w:val="110"/>
        </w:rPr>
        <w:t xml:space="preserve"> </w:t>
      </w:r>
      <w:r w:rsidRPr="00FD40B8">
        <w:rPr>
          <w:color w:val="131727" w:themeColor="text1"/>
          <w:w w:val="110"/>
        </w:rPr>
        <w:t>sense</w:t>
      </w:r>
      <w:r w:rsidRPr="00FD40B8">
        <w:rPr>
          <w:color w:val="131727" w:themeColor="text1"/>
          <w:spacing w:val="-6"/>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urgency,</w:t>
      </w:r>
      <w:r w:rsidRPr="00FD40B8">
        <w:rPr>
          <w:color w:val="131727" w:themeColor="text1"/>
          <w:spacing w:val="-1"/>
          <w:w w:val="110"/>
        </w:rPr>
        <w:t xml:space="preserve"> </w:t>
      </w:r>
      <w:r w:rsidRPr="00FD40B8">
        <w:rPr>
          <w:color w:val="131727" w:themeColor="text1"/>
          <w:w w:val="110"/>
        </w:rPr>
        <w:t>National</w:t>
      </w:r>
      <w:r w:rsidRPr="00FD40B8">
        <w:rPr>
          <w:color w:val="131727" w:themeColor="text1"/>
          <w:spacing w:val="-4"/>
          <w:w w:val="110"/>
        </w:rPr>
        <w:t xml:space="preserve"> </w:t>
      </w:r>
      <w:r w:rsidRPr="00FD40B8">
        <w:rPr>
          <w:color w:val="131727" w:themeColor="text1"/>
          <w:w w:val="110"/>
        </w:rPr>
        <w:t>Cabinet</w:t>
      </w:r>
      <w:r w:rsidRPr="00FD40B8">
        <w:rPr>
          <w:color w:val="131727" w:themeColor="text1"/>
          <w:spacing w:val="-2"/>
          <w:w w:val="110"/>
        </w:rPr>
        <w:t xml:space="preserve"> </w:t>
      </w:r>
      <w:r w:rsidRPr="00FD40B8">
        <w:rPr>
          <w:color w:val="131727" w:themeColor="text1"/>
          <w:w w:val="110"/>
        </w:rPr>
        <w:t>engagement</w:t>
      </w:r>
      <w:r w:rsidRPr="00FD40B8">
        <w:rPr>
          <w:color w:val="131727" w:themeColor="text1"/>
          <w:spacing w:val="-1"/>
          <w:w w:val="110"/>
        </w:rPr>
        <w:t xml:space="preserve"> </w:t>
      </w:r>
      <w:r w:rsidRPr="00FD40B8">
        <w:rPr>
          <w:color w:val="131727" w:themeColor="text1"/>
          <w:w w:val="110"/>
        </w:rPr>
        <w:t>will also</w:t>
      </w:r>
      <w:r w:rsidRPr="00FD40B8">
        <w:rPr>
          <w:color w:val="131727" w:themeColor="text1"/>
          <w:spacing w:val="-1"/>
          <w:w w:val="110"/>
        </w:rPr>
        <w:t xml:space="preserve"> </w:t>
      </w:r>
      <w:r w:rsidRPr="00FD40B8">
        <w:rPr>
          <w:color w:val="131727" w:themeColor="text1"/>
          <w:w w:val="110"/>
        </w:rPr>
        <w:t>be required. Equity Economics understands that the Coalition of the Peaks is due to meet with National Cabinet</w:t>
      </w:r>
      <w:r w:rsidRPr="00FD40B8">
        <w:rPr>
          <w:color w:val="131727" w:themeColor="text1"/>
          <w:spacing w:val="-3"/>
          <w:w w:val="110"/>
        </w:rPr>
        <w:t xml:space="preserve"> </w:t>
      </w:r>
      <w:r w:rsidRPr="00FD40B8">
        <w:rPr>
          <w:color w:val="131727" w:themeColor="text1"/>
          <w:w w:val="110"/>
        </w:rPr>
        <w:t>in the</w:t>
      </w:r>
      <w:r w:rsidRPr="00FD40B8">
        <w:rPr>
          <w:color w:val="131727" w:themeColor="text1"/>
          <w:spacing w:val="-2"/>
          <w:w w:val="110"/>
        </w:rPr>
        <w:t xml:space="preserve"> </w:t>
      </w:r>
      <w:r w:rsidRPr="00FD40B8">
        <w:rPr>
          <w:color w:val="131727" w:themeColor="text1"/>
          <w:w w:val="110"/>
        </w:rPr>
        <w:t>first quarter of this year and</w:t>
      </w:r>
      <w:r w:rsidRPr="00FD40B8">
        <w:rPr>
          <w:color w:val="131727" w:themeColor="text1"/>
          <w:spacing w:val="-2"/>
          <w:w w:val="110"/>
        </w:rPr>
        <w:t xml:space="preserve"> </w:t>
      </w:r>
      <w:r w:rsidRPr="00FD40B8">
        <w:rPr>
          <w:color w:val="131727" w:themeColor="text1"/>
          <w:w w:val="110"/>
        </w:rPr>
        <w:t>this could</w:t>
      </w:r>
      <w:r w:rsidRPr="00FD40B8">
        <w:rPr>
          <w:color w:val="131727" w:themeColor="text1"/>
          <w:spacing w:val="-2"/>
          <w:w w:val="110"/>
        </w:rPr>
        <w:t xml:space="preserve"> </w:t>
      </w:r>
      <w:r w:rsidRPr="00FD40B8">
        <w:rPr>
          <w:color w:val="131727" w:themeColor="text1"/>
          <w:w w:val="110"/>
        </w:rPr>
        <w:t>provide a</w:t>
      </w:r>
      <w:r w:rsidRPr="00FD40B8">
        <w:rPr>
          <w:color w:val="131727" w:themeColor="text1"/>
          <w:spacing w:val="-3"/>
          <w:w w:val="110"/>
        </w:rPr>
        <w:t xml:space="preserve"> </w:t>
      </w:r>
      <w:r w:rsidRPr="00FD40B8">
        <w:rPr>
          <w:color w:val="131727" w:themeColor="text1"/>
          <w:w w:val="110"/>
        </w:rPr>
        <w:t>useful opportunity to seek agreement</w:t>
      </w:r>
      <w:r w:rsidRPr="00FD40B8">
        <w:rPr>
          <w:color w:val="131727" w:themeColor="text1"/>
          <w:spacing w:val="-2"/>
          <w:w w:val="110"/>
        </w:rPr>
        <w:t xml:space="preserve"> </w:t>
      </w:r>
      <w:r w:rsidRPr="00FD40B8">
        <w:rPr>
          <w:color w:val="131727" w:themeColor="text1"/>
          <w:w w:val="110"/>
        </w:rPr>
        <w:t>on a way forward.</w:t>
      </w:r>
    </w:p>
    <w:p w14:paraId="37126A3D" w14:textId="77777777" w:rsidR="00811887" w:rsidRPr="00FD40B8" w:rsidRDefault="00811887" w:rsidP="00811887">
      <w:pPr>
        <w:pStyle w:val="BodyText"/>
        <w:spacing w:before="112" w:line="266" w:lineRule="auto"/>
        <w:ind w:left="508" w:right="800"/>
        <w:jc w:val="both"/>
        <w:rPr>
          <w:color w:val="131727" w:themeColor="text1"/>
        </w:rPr>
      </w:pPr>
      <w:r w:rsidRPr="00FD40B8">
        <w:rPr>
          <w:color w:val="131727" w:themeColor="text1"/>
          <w:w w:val="110"/>
        </w:rPr>
        <w:t>Budget proposals for a redesigned CHINS and rapid assessments could be developed for the 2024-25 Federal</w:t>
      </w:r>
      <w:r w:rsidRPr="00FD40B8">
        <w:rPr>
          <w:color w:val="131727" w:themeColor="text1"/>
          <w:spacing w:val="-1"/>
          <w:w w:val="110"/>
        </w:rPr>
        <w:t xml:space="preserve"> </w:t>
      </w:r>
      <w:r w:rsidRPr="00FD40B8">
        <w:rPr>
          <w:color w:val="131727" w:themeColor="text1"/>
          <w:w w:val="110"/>
        </w:rPr>
        <w:t>Budget</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3"/>
          <w:w w:val="110"/>
        </w:rPr>
        <w:t xml:space="preserve"> </w:t>
      </w:r>
      <w:r w:rsidRPr="00FD40B8">
        <w:rPr>
          <w:color w:val="131727" w:themeColor="text1"/>
          <w:w w:val="110"/>
        </w:rPr>
        <w:t>development</w:t>
      </w:r>
      <w:r w:rsidRPr="00FD40B8">
        <w:rPr>
          <w:color w:val="131727" w:themeColor="text1"/>
          <w:spacing w:val="-7"/>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Register</w:t>
      </w:r>
      <w:r w:rsidRPr="00FD40B8">
        <w:rPr>
          <w:color w:val="131727" w:themeColor="text1"/>
          <w:spacing w:val="-4"/>
          <w:w w:val="110"/>
        </w:rPr>
        <w:t xml:space="preserve"> </w:t>
      </w:r>
      <w:r w:rsidRPr="00FD40B8">
        <w:rPr>
          <w:color w:val="131727" w:themeColor="text1"/>
          <w:w w:val="110"/>
        </w:rPr>
        <w:t>could</w:t>
      </w:r>
      <w:r w:rsidRPr="00FD40B8">
        <w:rPr>
          <w:color w:val="131727" w:themeColor="text1"/>
          <w:spacing w:val="-7"/>
          <w:w w:val="110"/>
        </w:rPr>
        <w:t xml:space="preserve"> </w:t>
      </w:r>
      <w:r w:rsidRPr="00FD40B8">
        <w:rPr>
          <w:color w:val="131727" w:themeColor="text1"/>
          <w:w w:val="110"/>
        </w:rPr>
        <w:t>be</w:t>
      </w:r>
      <w:r w:rsidRPr="00FD40B8">
        <w:rPr>
          <w:color w:val="131727" w:themeColor="text1"/>
          <w:spacing w:val="-3"/>
          <w:w w:val="110"/>
        </w:rPr>
        <w:t xml:space="preserve"> </w:t>
      </w:r>
      <w:r w:rsidRPr="00FD40B8">
        <w:rPr>
          <w:color w:val="131727" w:themeColor="text1"/>
          <w:w w:val="110"/>
        </w:rPr>
        <w:t>considered</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3"/>
          <w:w w:val="110"/>
        </w:rPr>
        <w:t xml:space="preserve"> </w:t>
      </w:r>
      <w:r w:rsidRPr="00FD40B8">
        <w:rPr>
          <w:color w:val="131727" w:themeColor="text1"/>
          <w:w w:val="110"/>
        </w:rPr>
        <w:t>following</w:t>
      </w:r>
      <w:r w:rsidRPr="00FD40B8">
        <w:rPr>
          <w:color w:val="131727" w:themeColor="text1"/>
          <w:spacing w:val="-3"/>
          <w:w w:val="110"/>
        </w:rPr>
        <w:t xml:space="preserve"> </w:t>
      </w:r>
      <w:r w:rsidRPr="00FD40B8">
        <w:rPr>
          <w:color w:val="131727" w:themeColor="text1"/>
          <w:w w:val="110"/>
        </w:rPr>
        <w:t>budget,</w:t>
      </w:r>
      <w:r w:rsidRPr="00FD40B8">
        <w:rPr>
          <w:color w:val="131727" w:themeColor="text1"/>
          <w:spacing w:val="-3"/>
          <w:w w:val="110"/>
        </w:rPr>
        <w:t xml:space="preserve"> </w:t>
      </w:r>
      <w:r w:rsidRPr="00FD40B8">
        <w:rPr>
          <w:color w:val="131727" w:themeColor="text1"/>
          <w:w w:val="110"/>
        </w:rPr>
        <w:t>to</w:t>
      </w:r>
      <w:r w:rsidRPr="00FD40B8">
        <w:rPr>
          <w:color w:val="131727" w:themeColor="text1"/>
          <w:spacing w:val="-2"/>
          <w:w w:val="110"/>
        </w:rPr>
        <w:t xml:space="preserve"> </w:t>
      </w:r>
      <w:r w:rsidRPr="00FD40B8">
        <w:rPr>
          <w:color w:val="131727" w:themeColor="text1"/>
          <w:w w:val="110"/>
        </w:rPr>
        <w:t>allow time for negotiations with key parties.</w:t>
      </w:r>
    </w:p>
    <w:p w14:paraId="58828611" w14:textId="77777777" w:rsidR="00811887" w:rsidRPr="00FD40B8" w:rsidRDefault="00811887" w:rsidP="00811887">
      <w:pPr>
        <w:spacing w:line="266" w:lineRule="auto"/>
        <w:jc w:val="both"/>
        <w:rPr>
          <w:color w:val="131727" w:themeColor="text1"/>
        </w:rPr>
        <w:sectPr w:rsidR="00811887" w:rsidRPr="00FD40B8" w:rsidSect="00811887">
          <w:type w:val="continuous"/>
          <w:pgSz w:w="11910" w:h="16840"/>
          <w:pgMar w:top="1380" w:right="720" w:bottom="1000" w:left="740" w:header="0" w:footer="805" w:gutter="0"/>
          <w:cols w:space="720"/>
        </w:sectPr>
      </w:pPr>
    </w:p>
    <w:p w14:paraId="225E2733" w14:textId="77777777" w:rsidR="00811887" w:rsidRPr="00FD40B8" w:rsidRDefault="00811887" w:rsidP="00811887">
      <w:pPr>
        <w:pStyle w:val="BodyText"/>
        <w:spacing w:line="20" w:lineRule="exact"/>
        <w:ind w:left="479"/>
        <w:rPr>
          <w:color w:val="131727" w:themeColor="text1"/>
          <w:sz w:val="2"/>
        </w:rPr>
      </w:pPr>
      <w:r w:rsidRPr="00FD40B8">
        <w:rPr>
          <w:noProof/>
          <w:color w:val="131727" w:themeColor="text1"/>
          <w:sz w:val="2"/>
        </w:rPr>
        <w:lastRenderedPageBreak/>
        <mc:AlternateContent>
          <mc:Choice Requires="wpg">
            <w:drawing>
              <wp:inline distT="0" distB="0" distL="0" distR="0" wp14:anchorId="4ADD538A" wp14:editId="27DAA994">
                <wp:extent cx="6016625" cy="6350"/>
                <wp:effectExtent l="0" t="0" r="0" b="0"/>
                <wp:docPr id="194"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6350"/>
                          <a:chOff x="0" y="0"/>
                          <a:chExt cx="6016625" cy="6350"/>
                        </a:xfrm>
                      </wpg:grpSpPr>
                      <wps:wsp>
                        <wps:cNvPr id="195" name="Graphic 195"/>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wpg:wgp>
                  </a:graphicData>
                </a:graphic>
              </wp:inline>
            </w:drawing>
          </mc:Choice>
          <mc:Fallback>
            <w:pict>
              <v:group w14:anchorId="0202CE90" id="Group 194" o:spid="_x0000_s1026" alt="&quot;&quot;" style="width:473.75pt;height:.5pt;mso-position-horizontal-relative:char;mso-position-vertical-relative:line" coordsize="601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">
                <v:shape id="Graphic 195" o:spid="_x0000_s1027" style="position:absolute;width:60166;height:63;visibility:visible;mso-wrap-style:square;v-text-anchor:top" coordsize="60166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" path="m6016117,l,,,6096r6016117,l6016117,xe" fillcolor="#4d665b" stroked="f">
                  <v:path arrowok="t"/>
                </v:shape>
                <w10:anchorlock/>
              </v:group>
            </w:pict>
          </mc:Fallback>
        </mc:AlternateContent>
      </w:r>
    </w:p>
    <w:p w14:paraId="11128E05" w14:textId="77777777" w:rsidR="00811887" w:rsidRPr="00FD40B8" w:rsidRDefault="00811887" w:rsidP="00811887">
      <w:pPr>
        <w:pStyle w:val="Heading1"/>
        <w:rPr>
          <w:color w:val="131727" w:themeColor="text1"/>
        </w:rPr>
      </w:pPr>
      <w:bookmarkStart w:id="210" w:name="_bookmark99"/>
      <w:bookmarkEnd w:id="210"/>
      <w:r w:rsidRPr="00FD40B8">
        <w:rPr>
          <w:color w:val="131727" w:themeColor="text1"/>
          <w:spacing w:val="-2"/>
        </w:rPr>
        <w:t>Appendices</w:t>
      </w:r>
    </w:p>
    <w:p w14:paraId="0FDF1C07" w14:textId="77777777" w:rsidR="00811887" w:rsidRPr="00FD40B8" w:rsidRDefault="00811887" w:rsidP="00811887">
      <w:pPr>
        <w:pStyle w:val="BodyText"/>
        <w:spacing w:before="92"/>
        <w:rPr>
          <w:rFonts w:ascii="Book Antiqua"/>
          <w:color w:val="131727" w:themeColor="text1"/>
        </w:rPr>
      </w:pPr>
      <w:r w:rsidRPr="00FD40B8">
        <w:rPr>
          <w:noProof/>
          <w:color w:val="131727" w:themeColor="text1"/>
        </w:rPr>
        <mc:AlternateContent>
          <mc:Choice Requires="wps">
            <w:drawing>
              <wp:anchor distT="0" distB="0" distL="0" distR="0" simplePos="0" relativeHeight="251761664" behindDoc="1" locked="0" layoutInCell="1" allowOverlap="1" wp14:anchorId="0AA86172" wp14:editId="78AEFB3F">
                <wp:simplePos x="0" y="0"/>
                <wp:positionH relativeFrom="page">
                  <wp:posOffset>774496</wp:posOffset>
                </wp:positionH>
                <wp:positionV relativeFrom="paragraph">
                  <wp:posOffset>231728</wp:posOffset>
                </wp:positionV>
                <wp:extent cx="6016625" cy="6350"/>
                <wp:effectExtent l="0" t="0" r="0" b="0"/>
                <wp:wrapTopAndBottom/>
                <wp:docPr id="196" name="Graphic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433F4AC6" id="Graphic 196" o:spid="_x0000_s1026" alt="&quot;&quot;" style="position:absolute;margin-left:61pt;margin-top:18.25pt;width:473.75pt;height:.5pt;z-index:-251554816;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" path="m6016117,l,,,6096r6016117,l6016117,xe" fillcolor="#4d665b" stroked="f">
                <v:path arrowok="t"/>
                <w10:wrap type="topAndBottom" anchorx="page"/>
              </v:shape>
            </w:pict>
          </mc:Fallback>
        </mc:AlternateContent>
      </w:r>
    </w:p>
    <w:p w14:paraId="7D42F395" w14:textId="77777777" w:rsidR="00811887" w:rsidRPr="00FD40B8" w:rsidRDefault="00811887" w:rsidP="00811887">
      <w:pPr>
        <w:pStyle w:val="BodyText"/>
        <w:spacing w:before="84"/>
        <w:rPr>
          <w:rFonts w:ascii="Book Antiqua"/>
          <w:color w:val="131727" w:themeColor="text1"/>
          <w:sz w:val="22"/>
        </w:rPr>
      </w:pPr>
    </w:p>
    <w:p w14:paraId="0C87A06E" w14:textId="77777777" w:rsidR="00811887" w:rsidRPr="00FD40B8" w:rsidRDefault="00811887" w:rsidP="00811887">
      <w:pPr>
        <w:ind w:left="508"/>
        <w:rPr>
          <w:rFonts w:ascii="Book Antiqua"/>
          <w:b/>
          <w:i/>
          <w:color w:val="131727" w:themeColor="text1"/>
        </w:rPr>
      </w:pPr>
      <w:r w:rsidRPr="00FD40B8">
        <w:rPr>
          <w:rFonts w:ascii="Book Antiqua"/>
          <w:b/>
          <w:i/>
          <w:color w:val="131727" w:themeColor="text1"/>
        </w:rPr>
        <w:t>Appendix</w:t>
      </w:r>
      <w:r w:rsidRPr="00FD40B8">
        <w:rPr>
          <w:rFonts w:ascii="Book Antiqua"/>
          <w:b/>
          <w:i/>
          <w:color w:val="131727" w:themeColor="text1"/>
          <w:spacing w:val="-4"/>
        </w:rPr>
        <w:t xml:space="preserve"> </w:t>
      </w:r>
      <w:r w:rsidRPr="00FD40B8">
        <w:rPr>
          <w:rFonts w:ascii="Book Antiqua"/>
          <w:b/>
          <w:i/>
          <w:color w:val="131727" w:themeColor="text1"/>
          <w:spacing w:val="-5"/>
        </w:rPr>
        <w:t>A.</w:t>
      </w:r>
    </w:p>
    <w:p w14:paraId="4A2254D5" w14:textId="77777777" w:rsidR="00811887" w:rsidRPr="00FD40B8" w:rsidRDefault="00811887" w:rsidP="00811887">
      <w:pPr>
        <w:pStyle w:val="BodyText"/>
        <w:spacing w:before="3"/>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62688" behindDoc="1" locked="0" layoutInCell="1" allowOverlap="1" wp14:anchorId="6BE99FDD" wp14:editId="7CA6C469">
                <wp:simplePos x="0" y="0"/>
                <wp:positionH relativeFrom="page">
                  <wp:posOffset>774496</wp:posOffset>
                </wp:positionH>
                <wp:positionV relativeFrom="paragraph">
                  <wp:posOffset>70984</wp:posOffset>
                </wp:positionV>
                <wp:extent cx="6016625" cy="6350"/>
                <wp:effectExtent l="0" t="0" r="0" b="0"/>
                <wp:wrapTopAndBottom/>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1F76CFD4" id="Graphic 197" o:spid="_x0000_s1026" alt="&quot;&quot;" style="position:absolute;margin-left:61pt;margin-top:5.6pt;width:473.75pt;height:.5pt;z-index:-251553792;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" path="m6016117,l,,,6096r6016117,l6016117,xe" fillcolor="#4d665b" stroked="f">
                <v:path arrowok="t"/>
                <w10:wrap type="topAndBottom" anchorx="page"/>
              </v:shape>
            </w:pict>
          </mc:Fallback>
        </mc:AlternateContent>
      </w:r>
    </w:p>
    <w:p w14:paraId="221D440D" w14:textId="77777777" w:rsidR="00811887" w:rsidRPr="00FD40B8" w:rsidRDefault="00811887" w:rsidP="00811887">
      <w:pPr>
        <w:pStyle w:val="BodyText"/>
        <w:spacing w:before="37"/>
        <w:rPr>
          <w:rFonts w:ascii="Book Antiqua"/>
          <w:b/>
          <w:i/>
          <w:color w:val="131727" w:themeColor="text1"/>
          <w:sz w:val="22"/>
        </w:rPr>
      </w:pPr>
    </w:p>
    <w:p w14:paraId="57C863F0" w14:textId="77777777" w:rsidR="00811887" w:rsidRPr="00FD40B8" w:rsidRDefault="00811887" w:rsidP="00811887">
      <w:pPr>
        <w:pStyle w:val="Heading2"/>
        <w:rPr>
          <w:color w:val="131727" w:themeColor="text1"/>
        </w:rPr>
      </w:pPr>
      <w:bookmarkStart w:id="211" w:name="_bookmark100"/>
      <w:bookmarkEnd w:id="211"/>
      <w:r w:rsidRPr="00FD40B8">
        <w:rPr>
          <w:color w:val="131727" w:themeColor="text1"/>
        </w:rPr>
        <w:t>List</w:t>
      </w:r>
      <w:r w:rsidRPr="00FD40B8">
        <w:rPr>
          <w:color w:val="131727" w:themeColor="text1"/>
          <w:spacing w:val="65"/>
        </w:rPr>
        <w:t xml:space="preserve"> </w:t>
      </w:r>
      <w:r w:rsidRPr="00FD40B8">
        <w:rPr>
          <w:color w:val="131727" w:themeColor="text1"/>
        </w:rPr>
        <w:t>of</w:t>
      </w:r>
      <w:r w:rsidRPr="00FD40B8">
        <w:rPr>
          <w:color w:val="131727" w:themeColor="text1"/>
          <w:spacing w:val="63"/>
        </w:rPr>
        <w:t xml:space="preserve"> </w:t>
      </w:r>
      <w:r w:rsidRPr="00FD40B8">
        <w:rPr>
          <w:color w:val="131727" w:themeColor="text1"/>
        </w:rPr>
        <w:t>agencies</w:t>
      </w:r>
      <w:r w:rsidRPr="00FD40B8">
        <w:rPr>
          <w:color w:val="131727" w:themeColor="text1"/>
          <w:spacing w:val="64"/>
        </w:rPr>
        <w:t xml:space="preserve"> </w:t>
      </w:r>
      <w:r w:rsidRPr="00FD40B8">
        <w:rPr>
          <w:color w:val="131727" w:themeColor="text1"/>
        </w:rPr>
        <w:t>and</w:t>
      </w:r>
      <w:r w:rsidRPr="00FD40B8">
        <w:rPr>
          <w:color w:val="131727" w:themeColor="text1"/>
          <w:spacing w:val="65"/>
        </w:rPr>
        <w:t xml:space="preserve"> </w:t>
      </w:r>
      <w:r w:rsidRPr="00FD40B8">
        <w:rPr>
          <w:color w:val="131727" w:themeColor="text1"/>
        </w:rPr>
        <w:t>organisations</w:t>
      </w:r>
      <w:r w:rsidRPr="00FD40B8">
        <w:rPr>
          <w:color w:val="131727" w:themeColor="text1"/>
          <w:spacing w:val="65"/>
        </w:rPr>
        <w:t xml:space="preserve"> </w:t>
      </w:r>
      <w:r w:rsidRPr="00FD40B8">
        <w:rPr>
          <w:color w:val="131727" w:themeColor="text1"/>
          <w:spacing w:val="-2"/>
        </w:rPr>
        <w:t>consulted</w:t>
      </w:r>
    </w:p>
    <w:p w14:paraId="3DAED763" w14:textId="77777777" w:rsidR="00811887" w:rsidRPr="00FD40B8" w:rsidRDefault="00811887" w:rsidP="00811887">
      <w:pPr>
        <w:pStyle w:val="BodyText"/>
        <w:spacing w:before="135"/>
        <w:rPr>
          <w:rFonts w:ascii="Book Antiqua"/>
          <w:color w:val="131727" w:themeColor="text1"/>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977"/>
        <w:gridCol w:w="3942"/>
        <w:gridCol w:w="1926"/>
      </w:tblGrid>
      <w:tr w:rsidR="00811887" w:rsidRPr="00FD40B8" w14:paraId="65458F08" w14:textId="77777777" w:rsidTr="00486E22">
        <w:trPr>
          <w:trHeight w:val="239"/>
        </w:trPr>
        <w:tc>
          <w:tcPr>
            <w:tcW w:w="562" w:type="dxa"/>
            <w:shd w:val="clear" w:color="auto" w:fill="4D665B"/>
          </w:tcPr>
          <w:p w14:paraId="7789CBB3" w14:textId="77777777" w:rsidR="00811887" w:rsidRPr="00881BEC" w:rsidRDefault="00811887" w:rsidP="00486E22">
            <w:pPr>
              <w:pStyle w:val="TableParagraph"/>
              <w:spacing w:line="240" w:lineRule="auto"/>
              <w:rPr>
                <w:rFonts w:ascii="Times New Roman"/>
                <w:color w:val="FFFFFF" w:themeColor="background1"/>
                <w:sz w:val="16"/>
              </w:rPr>
            </w:pPr>
          </w:p>
        </w:tc>
        <w:tc>
          <w:tcPr>
            <w:tcW w:w="2977" w:type="dxa"/>
            <w:shd w:val="clear" w:color="auto" w:fill="4D665B"/>
          </w:tcPr>
          <w:p w14:paraId="7C5890F4" w14:textId="77777777" w:rsidR="00811887" w:rsidRPr="00881BEC" w:rsidRDefault="00811887" w:rsidP="00486E22">
            <w:pPr>
              <w:pStyle w:val="TableParagraph"/>
              <w:spacing w:line="240" w:lineRule="auto"/>
              <w:jc w:val="center"/>
              <w:rPr>
                <w:color w:val="FFFFFF" w:themeColor="background1"/>
                <w:w w:val="110"/>
                <w:sz w:val="21"/>
              </w:rPr>
            </w:pPr>
            <w:r w:rsidRPr="00881BEC">
              <w:rPr>
                <w:color w:val="FFFFFF" w:themeColor="background1"/>
                <w:w w:val="110"/>
                <w:sz w:val="21"/>
              </w:rPr>
              <w:t>Agency or Organisation</w:t>
            </w:r>
          </w:p>
        </w:tc>
        <w:tc>
          <w:tcPr>
            <w:tcW w:w="3942" w:type="dxa"/>
            <w:shd w:val="clear" w:color="auto" w:fill="4D665B"/>
          </w:tcPr>
          <w:p w14:paraId="6CBDD574" w14:textId="77777777" w:rsidR="00811887" w:rsidRPr="00881BEC" w:rsidRDefault="00811887" w:rsidP="00486E22">
            <w:pPr>
              <w:pStyle w:val="TableParagraph"/>
              <w:spacing w:line="240" w:lineRule="auto"/>
              <w:jc w:val="center"/>
              <w:rPr>
                <w:color w:val="FFFFFF" w:themeColor="background1"/>
                <w:w w:val="110"/>
                <w:sz w:val="21"/>
              </w:rPr>
            </w:pPr>
            <w:r w:rsidRPr="00881BEC">
              <w:rPr>
                <w:color w:val="FFFFFF" w:themeColor="background1"/>
                <w:w w:val="110"/>
                <w:sz w:val="21"/>
              </w:rPr>
              <w:t>Area</w:t>
            </w:r>
          </w:p>
        </w:tc>
        <w:tc>
          <w:tcPr>
            <w:tcW w:w="1926" w:type="dxa"/>
            <w:shd w:val="clear" w:color="auto" w:fill="4D665B"/>
          </w:tcPr>
          <w:p w14:paraId="49B2A3DF" w14:textId="77777777" w:rsidR="00811887" w:rsidRPr="00881BEC" w:rsidRDefault="00811887" w:rsidP="00486E22">
            <w:pPr>
              <w:pStyle w:val="TableParagraph"/>
              <w:spacing w:line="240" w:lineRule="auto"/>
              <w:jc w:val="center"/>
              <w:rPr>
                <w:color w:val="FFFFFF" w:themeColor="background1"/>
                <w:w w:val="110"/>
                <w:sz w:val="21"/>
              </w:rPr>
            </w:pPr>
            <w:r w:rsidRPr="00881BEC">
              <w:rPr>
                <w:color w:val="FFFFFF" w:themeColor="background1"/>
                <w:w w:val="110"/>
                <w:sz w:val="21"/>
              </w:rPr>
              <w:t>Consultation Date</w:t>
            </w:r>
          </w:p>
        </w:tc>
      </w:tr>
      <w:tr w:rsidR="00811887" w:rsidRPr="00FD40B8" w14:paraId="293F6814" w14:textId="77777777" w:rsidTr="00486E22">
        <w:trPr>
          <w:trHeight w:val="720"/>
        </w:trPr>
        <w:tc>
          <w:tcPr>
            <w:tcW w:w="562" w:type="dxa"/>
            <w:shd w:val="clear" w:color="auto" w:fill="EEF1F4"/>
          </w:tcPr>
          <w:p w14:paraId="388D0AC3"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1</w:t>
            </w:r>
          </w:p>
        </w:tc>
        <w:tc>
          <w:tcPr>
            <w:tcW w:w="2977" w:type="dxa"/>
            <w:shd w:val="clear" w:color="auto" w:fill="EEF1F4"/>
          </w:tcPr>
          <w:p w14:paraId="15E2A10D" w14:textId="77777777" w:rsidR="00811887" w:rsidRPr="00FD40B8" w:rsidRDefault="00811887" w:rsidP="00486E22">
            <w:pPr>
              <w:pStyle w:val="TableParagraph"/>
              <w:spacing w:before="4" w:line="225" w:lineRule="auto"/>
              <w:ind w:left="105" w:right="152"/>
              <w:rPr>
                <w:color w:val="131727" w:themeColor="text1"/>
                <w:sz w:val="21"/>
              </w:rPr>
            </w:pPr>
            <w:r w:rsidRPr="00FD40B8">
              <w:rPr>
                <w:color w:val="131727" w:themeColor="text1"/>
                <w:w w:val="110"/>
                <w:sz w:val="21"/>
              </w:rPr>
              <w:t>Australian</w:t>
            </w:r>
            <w:r w:rsidRPr="00FD40B8">
              <w:rPr>
                <w:color w:val="131727" w:themeColor="text1"/>
                <w:spacing w:val="-14"/>
                <w:w w:val="110"/>
                <w:sz w:val="21"/>
              </w:rPr>
              <w:t xml:space="preserve"> </w:t>
            </w:r>
            <w:r w:rsidRPr="00FD40B8">
              <w:rPr>
                <w:color w:val="131727" w:themeColor="text1"/>
                <w:w w:val="110"/>
                <w:sz w:val="21"/>
              </w:rPr>
              <w:t>Bureau</w:t>
            </w:r>
            <w:r w:rsidRPr="00FD40B8">
              <w:rPr>
                <w:color w:val="131727" w:themeColor="text1"/>
                <w:spacing w:val="-13"/>
                <w:w w:val="110"/>
                <w:sz w:val="21"/>
              </w:rPr>
              <w:t xml:space="preserve"> </w:t>
            </w:r>
            <w:r w:rsidRPr="00FD40B8">
              <w:rPr>
                <w:color w:val="131727" w:themeColor="text1"/>
                <w:w w:val="110"/>
                <w:sz w:val="21"/>
              </w:rPr>
              <w:t>of Statistics (ABS)</w:t>
            </w:r>
          </w:p>
        </w:tc>
        <w:tc>
          <w:tcPr>
            <w:tcW w:w="3942" w:type="dxa"/>
            <w:shd w:val="clear" w:color="auto" w:fill="EEF1F4"/>
          </w:tcPr>
          <w:p w14:paraId="32492AC4" w14:textId="77777777" w:rsidR="00811887" w:rsidRPr="00FD40B8" w:rsidRDefault="00811887" w:rsidP="00486E22">
            <w:pPr>
              <w:pStyle w:val="TableParagraph"/>
              <w:spacing w:before="4" w:line="225" w:lineRule="auto"/>
              <w:ind w:left="110"/>
              <w:rPr>
                <w:color w:val="131727" w:themeColor="text1"/>
                <w:sz w:val="21"/>
              </w:rPr>
            </w:pPr>
            <w:r w:rsidRPr="00FD40B8">
              <w:rPr>
                <w:color w:val="131727" w:themeColor="text1"/>
                <w:w w:val="110"/>
                <w:sz w:val="21"/>
              </w:rPr>
              <w:t>Health</w:t>
            </w:r>
            <w:r w:rsidRPr="00FD40B8">
              <w:rPr>
                <w:color w:val="131727" w:themeColor="text1"/>
                <w:spacing w:val="-6"/>
                <w:w w:val="110"/>
                <w:sz w:val="21"/>
              </w:rPr>
              <w:t xml:space="preserve"> </w:t>
            </w:r>
            <w:r w:rsidRPr="00FD40B8">
              <w:rPr>
                <w:color w:val="131727" w:themeColor="text1"/>
                <w:w w:val="110"/>
                <w:sz w:val="21"/>
              </w:rPr>
              <w:t>and</w:t>
            </w:r>
            <w:r w:rsidRPr="00FD40B8">
              <w:rPr>
                <w:color w:val="131727" w:themeColor="text1"/>
                <w:spacing w:val="-7"/>
                <w:w w:val="110"/>
                <w:sz w:val="21"/>
              </w:rPr>
              <w:t xml:space="preserve"> </w:t>
            </w:r>
            <w:r w:rsidRPr="00FD40B8">
              <w:rPr>
                <w:color w:val="131727" w:themeColor="text1"/>
                <w:w w:val="110"/>
                <w:sz w:val="21"/>
              </w:rPr>
              <w:t>Aboriginal</w:t>
            </w:r>
            <w:r w:rsidRPr="00FD40B8">
              <w:rPr>
                <w:color w:val="131727" w:themeColor="text1"/>
                <w:spacing w:val="-6"/>
                <w:w w:val="110"/>
                <w:sz w:val="21"/>
              </w:rPr>
              <w:t xml:space="preserve"> </w:t>
            </w:r>
            <w:r w:rsidRPr="00FD40B8">
              <w:rPr>
                <w:color w:val="131727" w:themeColor="text1"/>
                <w:w w:val="110"/>
                <w:sz w:val="21"/>
              </w:rPr>
              <w:t>and</w:t>
            </w:r>
            <w:r w:rsidRPr="00FD40B8">
              <w:rPr>
                <w:color w:val="131727" w:themeColor="text1"/>
                <w:spacing w:val="-7"/>
                <w:w w:val="110"/>
                <w:sz w:val="21"/>
              </w:rPr>
              <w:t xml:space="preserve"> </w:t>
            </w:r>
            <w:r w:rsidRPr="00FD40B8">
              <w:rPr>
                <w:color w:val="131727" w:themeColor="text1"/>
                <w:w w:val="110"/>
                <w:sz w:val="21"/>
              </w:rPr>
              <w:t>Torres</w:t>
            </w:r>
            <w:r w:rsidRPr="00FD40B8">
              <w:rPr>
                <w:color w:val="131727" w:themeColor="text1"/>
                <w:spacing w:val="-5"/>
                <w:w w:val="110"/>
                <w:sz w:val="21"/>
              </w:rPr>
              <w:t xml:space="preserve"> </w:t>
            </w:r>
            <w:r w:rsidRPr="00FD40B8">
              <w:rPr>
                <w:color w:val="131727" w:themeColor="text1"/>
                <w:w w:val="110"/>
                <w:sz w:val="21"/>
              </w:rPr>
              <w:t>Strait Islander Statistics, People and Place</w:t>
            </w:r>
          </w:p>
          <w:p w14:paraId="3BFA8023" w14:textId="77777777" w:rsidR="00811887" w:rsidRPr="00FD40B8" w:rsidRDefault="00811887" w:rsidP="00486E22">
            <w:pPr>
              <w:pStyle w:val="TableParagraph"/>
              <w:spacing w:line="214" w:lineRule="exact"/>
              <w:ind w:left="110"/>
              <w:rPr>
                <w:color w:val="131727" w:themeColor="text1"/>
                <w:sz w:val="21"/>
              </w:rPr>
            </w:pPr>
            <w:r w:rsidRPr="00FD40B8">
              <w:rPr>
                <w:color w:val="131727" w:themeColor="text1"/>
                <w:spacing w:val="-2"/>
                <w:w w:val="110"/>
                <w:sz w:val="21"/>
              </w:rPr>
              <w:t>Division</w:t>
            </w:r>
          </w:p>
        </w:tc>
        <w:tc>
          <w:tcPr>
            <w:tcW w:w="1926" w:type="dxa"/>
            <w:shd w:val="clear" w:color="auto" w:fill="EEF1F4"/>
          </w:tcPr>
          <w:p w14:paraId="14129DE0"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21</w:t>
            </w:r>
            <w:r w:rsidRPr="00FD40B8">
              <w:rPr>
                <w:color w:val="131727" w:themeColor="text1"/>
                <w:spacing w:val="1"/>
                <w:w w:val="110"/>
                <w:sz w:val="21"/>
              </w:rPr>
              <w:t xml:space="preserve"> </w:t>
            </w:r>
            <w:r w:rsidRPr="00FD40B8">
              <w:rPr>
                <w:color w:val="131727" w:themeColor="text1"/>
                <w:w w:val="110"/>
                <w:sz w:val="21"/>
              </w:rPr>
              <w:t xml:space="preserve">February </w:t>
            </w:r>
            <w:r w:rsidRPr="00FD40B8">
              <w:rPr>
                <w:color w:val="131727" w:themeColor="text1"/>
                <w:spacing w:val="-4"/>
                <w:w w:val="110"/>
                <w:sz w:val="21"/>
              </w:rPr>
              <w:t>2024</w:t>
            </w:r>
          </w:p>
        </w:tc>
      </w:tr>
      <w:tr w:rsidR="00811887" w:rsidRPr="00FD40B8" w14:paraId="4BD7D557" w14:textId="77777777" w:rsidTr="00486E22">
        <w:trPr>
          <w:trHeight w:val="479"/>
        </w:trPr>
        <w:tc>
          <w:tcPr>
            <w:tcW w:w="562" w:type="dxa"/>
            <w:shd w:val="clear" w:color="auto" w:fill="EEF1F4"/>
          </w:tcPr>
          <w:p w14:paraId="0088889B"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2</w:t>
            </w:r>
          </w:p>
        </w:tc>
        <w:tc>
          <w:tcPr>
            <w:tcW w:w="2977" w:type="dxa"/>
            <w:shd w:val="clear" w:color="auto" w:fill="EEF1F4"/>
          </w:tcPr>
          <w:p w14:paraId="10ED64C6" w14:textId="77777777" w:rsidR="00811887" w:rsidRPr="00FD40B8" w:rsidRDefault="00811887" w:rsidP="00486E22">
            <w:pPr>
              <w:pStyle w:val="TableParagraph"/>
              <w:spacing w:line="240" w:lineRule="exact"/>
              <w:ind w:left="105" w:right="152"/>
              <w:rPr>
                <w:color w:val="131727" w:themeColor="text1"/>
                <w:sz w:val="21"/>
              </w:rPr>
            </w:pPr>
            <w:r w:rsidRPr="00FD40B8">
              <w:rPr>
                <w:color w:val="131727" w:themeColor="text1"/>
                <w:w w:val="105"/>
                <w:sz w:val="21"/>
              </w:rPr>
              <w:t>Australian Institute of Health and Welfare (AIHW)</w:t>
            </w:r>
          </w:p>
        </w:tc>
        <w:tc>
          <w:tcPr>
            <w:tcW w:w="3942" w:type="dxa"/>
            <w:shd w:val="clear" w:color="auto" w:fill="EEF1F4"/>
          </w:tcPr>
          <w:p w14:paraId="7E3FB7D3" w14:textId="77777777" w:rsidR="00811887" w:rsidRPr="00FD40B8" w:rsidRDefault="00811887" w:rsidP="00486E22">
            <w:pPr>
              <w:pStyle w:val="TableParagraph"/>
              <w:spacing w:line="248" w:lineRule="exact"/>
              <w:ind w:left="110"/>
              <w:rPr>
                <w:color w:val="131727" w:themeColor="text1"/>
                <w:sz w:val="21"/>
              </w:rPr>
            </w:pPr>
            <w:r w:rsidRPr="00FD40B8">
              <w:rPr>
                <w:color w:val="131727" w:themeColor="text1"/>
                <w:w w:val="110"/>
                <w:sz w:val="21"/>
              </w:rPr>
              <w:t>Deputy</w:t>
            </w:r>
            <w:r w:rsidRPr="00FD40B8">
              <w:rPr>
                <w:color w:val="131727" w:themeColor="text1"/>
                <w:spacing w:val="4"/>
                <w:w w:val="110"/>
                <w:sz w:val="21"/>
              </w:rPr>
              <w:t xml:space="preserve"> </w:t>
            </w:r>
            <w:r w:rsidRPr="00FD40B8">
              <w:rPr>
                <w:color w:val="131727" w:themeColor="text1"/>
                <w:w w:val="110"/>
                <w:sz w:val="21"/>
              </w:rPr>
              <w:t>CEO</w:t>
            </w:r>
            <w:r w:rsidRPr="00FD40B8">
              <w:rPr>
                <w:color w:val="131727" w:themeColor="text1"/>
                <w:spacing w:val="7"/>
                <w:w w:val="110"/>
                <w:sz w:val="21"/>
              </w:rPr>
              <w:t xml:space="preserve"> </w:t>
            </w:r>
            <w:r w:rsidRPr="00FD40B8">
              <w:rPr>
                <w:color w:val="131727" w:themeColor="text1"/>
                <w:spacing w:val="-4"/>
                <w:w w:val="110"/>
                <w:sz w:val="21"/>
              </w:rPr>
              <w:t>Group</w:t>
            </w:r>
          </w:p>
        </w:tc>
        <w:tc>
          <w:tcPr>
            <w:tcW w:w="1926" w:type="dxa"/>
            <w:shd w:val="clear" w:color="auto" w:fill="EEF1F4"/>
          </w:tcPr>
          <w:p w14:paraId="6D7C1252"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23</w:t>
            </w:r>
            <w:r w:rsidRPr="00FD40B8">
              <w:rPr>
                <w:color w:val="131727" w:themeColor="text1"/>
                <w:spacing w:val="1"/>
                <w:w w:val="110"/>
                <w:sz w:val="21"/>
              </w:rPr>
              <w:t xml:space="preserve"> </w:t>
            </w:r>
            <w:r w:rsidRPr="00FD40B8">
              <w:rPr>
                <w:color w:val="131727" w:themeColor="text1"/>
                <w:w w:val="110"/>
                <w:sz w:val="21"/>
              </w:rPr>
              <w:t xml:space="preserve">February </w:t>
            </w:r>
            <w:r w:rsidRPr="00FD40B8">
              <w:rPr>
                <w:color w:val="131727" w:themeColor="text1"/>
                <w:spacing w:val="-4"/>
                <w:w w:val="110"/>
                <w:sz w:val="21"/>
              </w:rPr>
              <w:t>2024</w:t>
            </w:r>
          </w:p>
        </w:tc>
      </w:tr>
      <w:tr w:rsidR="00811887" w:rsidRPr="00FD40B8" w14:paraId="1C3EDC04" w14:textId="77777777" w:rsidTr="00486E22">
        <w:trPr>
          <w:trHeight w:val="479"/>
        </w:trPr>
        <w:tc>
          <w:tcPr>
            <w:tcW w:w="562" w:type="dxa"/>
            <w:shd w:val="clear" w:color="auto" w:fill="EEF1F4"/>
          </w:tcPr>
          <w:p w14:paraId="322046B2"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3</w:t>
            </w:r>
          </w:p>
        </w:tc>
        <w:tc>
          <w:tcPr>
            <w:tcW w:w="2977" w:type="dxa"/>
            <w:shd w:val="clear" w:color="auto" w:fill="EEF1F4"/>
          </w:tcPr>
          <w:p w14:paraId="1B44D735" w14:textId="77777777" w:rsidR="00811887" w:rsidRPr="00FD40B8" w:rsidRDefault="00811887" w:rsidP="00486E22">
            <w:pPr>
              <w:pStyle w:val="TableParagraph"/>
              <w:spacing w:line="240" w:lineRule="exact"/>
              <w:ind w:left="105"/>
              <w:rPr>
                <w:color w:val="131727" w:themeColor="text1"/>
                <w:sz w:val="21"/>
              </w:rPr>
            </w:pPr>
            <w:r w:rsidRPr="00FD40B8">
              <w:rPr>
                <w:color w:val="131727" w:themeColor="text1"/>
                <w:w w:val="110"/>
                <w:sz w:val="21"/>
              </w:rPr>
              <w:t>Department</w:t>
            </w:r>
            <w:r w:rsidRPr="00FD40B8">
              <w:rPr>
                <w:color w:val="131727" w:themeColor="text1"/>
                <w:spacing w:val="-4"/>
                <w:w w:val="110"/>
                <w:sz w:val="21"/>
              </w:rPr>
              <w:t xml:space="preserve"> </w:t>
            </w:r>
            <w:r w:rsidRPr="00FD40B8">
              <w:rPr>
                <w:color w:val="131727" w:themeColor="text1"/>
                <w:w w:val="110"/>
                <w:sz w:val="21"/>
              </w:rPr>
              <w:t>of</w:t>
            </w:r>
            <w:r w:rsidRPr="00FD40B8">
              <w:rPr>
                <w:color w:val="131727" w:themeColor="text1"/>
                <w:spacing w:val="-5"/>
                <w:w w:val="110"/>
                <w:sz w:val="21"/>
              </w:rPr>
              <w:t xml:space="preserve"> </w:t>
            </w:r>
            <w:r w:rsidRPr="00FD40B8">
              <w:rPr>
                <w:color w:val="131727" w:themeColor="text1"/>
                <w:spacing w:val="-2"/>
                <w:w w:val="110"/>
                <w:sz w:val="21"/>
              </w:rPr>
              <w:t>Social</w:t>
            </w:r>
          </w:p>
          <w:p w14:paraId="3B00DD1A" w14:textId="77777777" w:rsidR="00811887" w:rsidRPr="00FD40B8" w:rsidRDefault="00811887" w:rsidP="00486E22">
            <w:pPr>
              <w:pStyle w:val="TableParagraph"/>
              <w:spacing w:line="220" w:lineRule="exact"/>
              <w:ind w:left="105"/>
              <w:rPr>
                <w:color w:val="131727" w:themeColor="text1"/>
                <w:sz w:val="21"/>
              </w:rPr>
            </w:pPr>
            <w:r w:rsidRPr="00FD40B8">
              <w:rPr>
                <w:color w:val="131727" w:themeColor="text1"/>
                <w:w w:val="110"/>
                <w:sz w:val="21"/>
              </w:rPr>
              <w:t>Services</w:t>
            </w:r>
            <w:r w:rsidRPr="00FD40B8">
              <w:rPr>
                <w:color w:val="131727" w:themeColor="text1"/>
                <w:spacing w:val="3"/>
                <w:w w:val="110"/>
                <w:sz w:val="21"/>
              </w:rPr>
              <w:t xml:space="preserve"> </w:t>
            </w:r>
            <w:r w:rsidRPr="00FD40B8">
              <w:rPr>
                <w:color w:val="131727" w:themeColor="text1"/>
                <w:spacing w:val="-2"/>
                <w:w w:val="110"/>
                <w:sz w:val="21"/>
              </w:rPr>
              <w:t>(DSS)</w:t>
            </w:r>
          </w:p>
        </w:tc>
        <w:tc>
          <w:tcPr>
            <w:tcW w:w="3942" w:type="dxa"/>
            <w:shd w:val="clear" w:color="auto" w:fill="EEF1F4"/>
          </w:tcPr>
          <w:p w14:paraId="2B2F07E9" w14:textId="77777777" w:rsidR="00811887" w:rsidRPr="00FD40B8" w:rsidRDefault="00811887" w:rsidP="00486E22">
            <w:pPr>
              <w:pStyle w:val="TableParagraph"/>
              <w:spacing w:line="240" w:lineRule="exact"/>
              <w:ind w:left="110"/>
              <w:rPr>
                <w:color w:val="131727" w:themeColor="text1"/>
                <w:sz w:val="21"/>
              </w:rPr>
            </w:pPr>
            <w:r w:rsidRPr="00FD40B8">
              <w:rPr>
                <w:color w:val="131727" w:themeColor="text1"/>
                <w:w w:val="110"/>
                <w:sz w:val="21"/>
              </w:rPr>
              <w:t>Participation</w:t>
            </w:r>
            <w:r w:rsidRPr="00FD40B8">
              <w:rPr>
                <w:color w:val="131727" w:themeColor="text1"/>
                <w:spacing w:val="-13"/>
                <w:w w:val="110"/>
                <w:sz w:val="21"/>
              </w:rPr>
              <w:t xml:space="preserve"> </w:t>
            </w:r>
            <w:r w:rsidRPr="00FD40B8">
              <w:rPr>
                <w:color w:val="131727" w:themeColor="text1"/>
                <w:w w:val="110"/>
                <w:sz w:val="21"/>
              </w:rPr>
              <w:t>and</w:t>
            </w:r>
            <w:r w:rsidRPr="00FD40B8">
              <w:rPr>
                <w:color w:val="131727" w:themeColor="text1"/>
                <w:spacing w:val="-13"/>
                <w:w w:val="110"/>
                <w:sz w:val="21"/>
              </w:rPr>
              <w:t xml:space="preserve"> </w:t>
            </w:r>
            <w:r w:rsidRPr="00FD40B8">
              <w:rPr>
                <w:color w:val="131727" w:themeColor="text1"/>
                <w:w w:val="110"/>
                <w:sz w:val="21"/>
              </w:rPr>
              <w:t>Family</w:t>
            </w:r>
            <w:r w:rsidRPr="00FD40B8">
              <w:rPr>
                <w:color w:val="131727" w:themeColor="text1"/>
                <w:spacing w:val="-13"/>
                <w:w w:val="110"/>
                <w:sz w:val="21"/>
              </w:rPr>
              <w:t xml:space="preserve"> </w:t>
            </w:r>
            <w:r w:rsidRPr="00FD40B8">
              <w:rPr>
                <w:color w:val="131727" w:themeColor="text1"/>
                <w:spacing w:val="-2"/>
                <w:w w:val="110"/>
                <w:sz w:val="21"/>
              </w:rPr>
              <w:t>Payments</w:t>
            </w:r>
          </w:p>
          <w:p w14:paraId="464F4AD7" w14:textId="77777777" w:rsidR="00811887" w:rsidRPr="00FD40B8" w:rsidRDefault="00811887" w:rsidP="00486E22">
            <w:pPr>
              <w:pStyle w:val="TableParagraph"/>
              <w:spacing w:line="220" w:lineRule="exact"/>
              <w:ind w:left="110"/>
              <w:rPr>
                <w:color w:val="131727" w:themeColor="text1"/>
                <w:sz w:val="21"/>
              </w:rPr>
            </w:pPr>
            <w:r w:rsidRPr="00FD40B8">
              <w:rPr>
                <w:color w:val="131727" w:themeColor="text1"/>
                <w:spacing w:val="-2"/>
                <w:w w:val="110"/>
                <w:sz w:val="21"/>
              </w:rPr>
              <w:t>Division</w:t>
            </w:r>
          </w:p>
        </w:tc>
        <w:tc>
          <w:tcPr>
            <w:tcW w:w="1926" w:type="dxa"/>
            <w:shd w:val="clear" w:color="auto" w:fill="EEF1F4"/>
          </w:tcPr>
          <w:p w14:paraId="6AF6E1BC"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12</w:t>
            </w:r>
            <w:r w:rsidRPr="00FD40B8">
              <w:rPr>
                <w:color w:val="131727" w:themeColor="text1"/>
                <w:spacing w:val="1"/>
                <w:w w:val="110"/>
                <w:sz w:val="21"/>
              </w:rPr>
              <w:t xml:space="preserve"> </w:t>
            </w:r>
            <w:r w:rsidRPr="00FD40B8">
              <w:rPr>
                <w:color w:val="131727" w:themeColor="text1"/>
                <w:w w:val="110"/>
                <w:sz w:val="21"/>
              </w:rPr>
              <w:t xml:space="preserve">February </w:t>
            </w:r>
            <w:r w:rsidRPr="00FD40B8">
              <w:rPr>
                <w:color w:val="131727" w:themeColor="text1"/>
                <w:spacing w:val="-4"/>
                <w:w w:val="110"/>
                <w:sz w:val="21"/>
              </w:rPr>
              <w:t>2024</w:t>
            </w:r>
          </w:p>
        </w:tc>
      </w:tr>
      <w:tr w:rsidR="00811887" w:rsidRPr="00FD40B8" w14:paraId="18FEFCDA" w14:textId="77777777" w:rsidTr="00486E22">
        <w:trPr>
          <w:trHeight w:val="479"/>
        </w:trPr>
        <w:tc>
          <w:tcPr>
            <w:tcW w:w="562" w:type="dxa"/>
            <w:shd w:val="clear" w:color="auto" w:fill="EEF1F4"/>
          </w:tcPr>
          <w:p w14:paraId="328B3C87"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4</w:t>
            </w:r>
          </w:p>
        </w:tc>
        <w:tc>
          <w:tcPr>
            <w:tcW w:w="2977" w:type="dxa"/>
            <w:shd w:val="clear" w:color="auto" w:fill="EEF1F4"/>
          </w:tcPr>
          <w:p w14:paraId="229DCDED"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5"/>
                <w:w w:val="115"/>
                <w:sz w:val="21"/>
              </w:rPr>
              <w:t>DSS</w:t>
            </w:r>
          </w:p>
        </w:tc>
        <w:tc>
          <w:tcPr>
            <w:tcW w:w="3942" w:type="dxa"/>
            <w:shd w:val="clear" w:color="auto" w:fill="EEF1F4"/>
          </w:tcPr>
          <w:p w14:paraId="1AF1D07F" w14:textId="77777777" w:rsidR="00811887" w:rsidRPr="00FD40B8" w:rsidRDefault="00811887" w:rsidP="00486E22">
            <w:pPr>
              <w:pStyle w:val="TableParagraph"/>
              <w:spacing w:line="240" w:lineRule="exact"/>
              <w:ind w:left="110"/>
              <w:rPr>
                <w:color w:val="131727" w:themeColor="text1"/>
                <w:sz w:val="21"/>
              </w:rPr>
            </w:pPr>
            <w:r w:rsidRPr="00FD40B8">
              <w:rPr>
                <w:color w:val="131727" w:themeColor="text1"/>
                <w:w w:val="110"/>
                <w:sz w:val="21"/>
              </w:rPr>
              <w:t>Housing</w:t>
            </w:r>
            <w:r w:rsidRPr="00FD40B8">
              <w:rPr>
                <w:color w:val="131727" w:themeColor="text1"/>
                <w:spacing w:val="16"/>
                <w:w w:val="110"/>
                <w:sz w:val="21"/>
              </w:rPr>
              <w:t xml:space="preserve"> </w:t>
            </w:r>
            <w:r w:rsidRPr="00FD40B8">
              <w:rPr>
                <w:color w:val="131727" w:themeColor="text1"/>
                <w:w w:val="110"/>
                <w:sz w:val="21"/>
              </w:rPr>
              <w:t>and</w:t>
            </w:r>
            <w:r w:rsidRPr="00FD40B8">
              <w:rPr>
                <w:color w:val="131727" w:themeColor="text1"/>
                <w:spacing w:val="15"/>
                <w:w w:val="110"/>
                <w:sz w:val="21"/>
              </w:rPr>
              <w:t xml:space="preserve"> </w:t>
            </w:r>
            <w:r w:rsidRPr="00FD40B8">
              <w:rPr>
                <w:color w:val="131727" w:themeColor="text1"/>
                <w:w w:val="110"/>
                <w:sz w:val="21"/>
              </w:rPr>
              <w:t>Homelessness</w:t>
            </w:r>
            <w:r w:rsidRPr="00FD40B8">
              <w:rPr>
                <w:color w:val="131727" w:themeColor="text1"/>
                <w:spacing w:val="12"/>
                <w:w w:val="110"/>
                <w:sz w:val="21"/>
              </w:rPr>
              <w:t xml:space="preserve"> </w:t>
            </w:r>
            <w:r w:rsidRPr="00FD40B8">
              <w:rPr>
                <w:color w:val="131727" w:themeColor="text1"/>
                <w:spacing w:val="-2"/>
                <w:w w:val="110"/>
                <w:sz w:val="21"/>
              </w:rPr>
              <w:t>Policy</w:t>
            </w:r>
          </w:p>
          <w:p w14:paraId="49D851FB" w14:textId="77777777" w:rsidR="00811887" w:rsidRPr="00FD40B8" w:rsidRDefault="00811887" w:rsidP="00486E22">
            <w:pPr>
              <w:pStyle w:val="TableParagraph"/>
              <w:spacing w:line="220" w:lineRule="exact"/>
              <w:ind w:left="110"/>
              <w:rPr>
                <w:color w:val="131727" w:themeColor="text1"/>
                <w:sz w:val="21"/>
              </w:rPr>
            </w:pPr>
            <w:r w:rsidRPr="00FD40B8">
              <w:rPr>
                <w:color w:val="131727" w:themeColor="text1"/>
                <w:spacing w:val="-2"/>
                <w:w w:val="110"/>
                <w:sz w:val="21"/>
              </w:rPr>
              <w:t>Branch</w:t>
            </w:r>
          </w:p>
        </w:tc>
        <w:tc>
          <w:tcPr>
            <w:tcW w:w="1926" w:type="dxa"/>
            <w:shd w:val="clear" w:color="auto" w:fill="EEF1F4"/>
          </w:tcPr>
          <w:p w14:paraId="0ACDECB8"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19</w:t>
            </w:r>
            <w:r w:rsidRPr="00FD40B8">
              <w:rPr>
                <w:color w:val="131727" w:themeColor="text1"/>
                <w:spacing w:val="1"/>
                <w:w w:val="110"/>
                <w:sz w:val="21"/>
              </w:rPr>
              <w:t xml:space="preserve"> </w:t>
            </w:r>
            <w:r w:rsidRPr="00FD40B8">
              <w:rPr>
                <w:color w:val="131727" w:themeColor="text1"/>
                <w:w w:val="110"/>
                <w:sz w:val="21"/>
              </w:rPr>
              <w:t xml:space="preserve">February </w:t>
            </w:r>
            <w:r w:rsidRPr="00FD40B8">
              <w:rPr>
                <w:color w:val="131727" w:themeColor="text1"/>
                <w:spacing w:val="-4"/>
                <w:w w:val="110"/>
                <w:sz w:val="21"/>
              </w:rPr>
              <w:t>2024</w:t>
            </w:r>
          </w:p>
        </w:tc>
      </w:tr>
      <w:tr w:rsidR="00811887" w:rsidRPr="00FD40B8" w14:paraId="07B83EC1" w14:textId="77777777" w:rsidTr="00486E22">
        <w:trPr>
          <w:trHeight w:val="960"/>
        </w:trPr>
        <w:tc>
          <w:tcPr>
            <w:tcW w:w="562" w:type="dxa"/>
            <w:shd w:val="clear" w:color="auto" w:fill="EEF1F4"/>
          </w:tcPr>
          <w:p w14:paraId="0936FEE8" w14:textId="77777777" w:rsidR="00811887" w:rsidRPr="00FD40B8" w:rsidRDefault="00811887" w:rsidP="00486E22">
            <w:pPr>
              <w:pStyle w:val="TableParagraph"/>
              <w:spacing w:line="249" w:lineRule="exact"/>
              <w:ind w:left="105"/>
              <w:rPr>
                <w:color w:val="131727" w:themeColor="text1"/>
                <w:sz w:val="21"/>
              </w:rPr>
            </w:pPr>
            <w:r w:rsidRPr="00FD40B8">
              <w:rPr>
                <w:color w:val="131727" w:themeColor="text1"/>
                <w:spacing w:val="-10"/>
                <w:w w:val="115"/>
                <w:sz w:val="21"/>
              </w:rPr>
              <w:t>5</w:t>
            </w:r>
          </w:p>
        </w:tc>
        <w:tc>
          <w:tcPr>
            <w:tcW w:w="2977" w:type="dxa"/>
            <w:shd w:val="clear" w:color="auto" w:fill="EEF1F4"/>
          </w:tcPr>
          <w:p w14:paraId="1DDDB73E" w14:textId="77777777" w:rsidR="00811887" w:rsidRPr="00FD40B8" w:rsidRDefault="00811887" w:rsidP="00486E22">
            <w:pPr>
              <w:pStyle w:val="TableParagraph"/>
              <w:spacing w:line="249" w:lineRule="exact"/>
              <w:ind w:left="105"/>
              <w:rPr>
                <w:color w:val="131727" w:themeColor="text1"/>
                <w:sz w:val="21"/>
              </w:rPr>
            </w:pPr>
            <w:r w:rsidRPr="00FD40B8">
              <w:rPr>
                <w:color w:val="131727" w:themeColor="text1"/>
                <w:spacing w:val="2"/>
                <w:sz w:val="21"/>
              </w:rPr>
              <w:t>Productivity</w:t>
            </w:r>
            <w:r w:rsidRPr="00FD40B8">
              <w:rPr>
                <w:color w:val="131727" w:themeColor="text1"/>
                <w:spacing w:val="54"/>
                <w:sz w:val="21"/>
              </w:rPr>
              <w:t xml:space="preserve"> </w:t>
            </w:r>
            <w:r w:rsidRPr="00FD40B8">
              <w:rPr>
                <w:color w:val="131727" w:themeColor="text1"/>
                <w:spacing w:val="-2"/>
                <w:sz w:val="21"/>
              </w:rPr>
              <w:t>Commission</w:t>
            </w:r>
          </w:p>
        </w:tc>
        <w:tc>
          <w:tcPr>
            <w:tcW w:w="3942" w:type="dxa"/>
            <w:shd w:val="clear" w:color="auto" w:fill="EEF1F4"/>
          </w:tcPr>
          <w:p w14:paraId="5DCB7866" w14:textId="77777777" w:rsidR="00811887" w:rsidRPr="00FD40B8" w:rsidRDefault="00811887" w:rsidP="00486E22">
            <w:pPr>
              <w:pStyle w:val="TableParagraph"/>
              <w:spacing w:line="240" w:lineRule="exact"/>
              <w:ind w:left="110"/>
              <w:rPr>
                <w:color w:val="131727" w:themeColor="text1"/>
                <w:sz w:val="21"/>
              </w:rPr>
            </w:pPr>
            <w:r w:rsidRPr="00FD40B8">
              <w:rPr>
                <w:color w:val="131727" w:themeColor="text1"/>
                <w:w w:val="110"/>
                <w:sz w:val="21"/>
              </w:rPr>
              <w:t>Strategic Communications and Engagement Group (involved with Closing the</w:t>
            </w:r>
            <w:r w:rsidRPr="00FD40B8">
              <w:rPr>
                <w:color w:val="131727" w:themeColor="text1"/>
                <w:spacing w:val="-1"/>
                <w:w w:val="110"/>
                <w:sz w:val="21"/>
              </w:rPr>
              <w:t xml:space="preserve"> </w:t>
            </w:r>
            <w:r w:rsidRPr="00FD40B8">
              <w:rPr>
                <w:color w:val="131727" w:themeColor="text1"/>
                <w:w w:val="110"/>
                <w:sz w:val="21"/>
              </w:rPr>
              <w:t>Gap</w:t>
            </w:r>
            <w:r w:rsidRPr="00FD40B8">
              <w:rPr>
                <w:color w:val="131727" w:themeColor="text1"/>
                <w:spacing w:val="-1"/>
                <w:w w:val="110"/>
                <w:sz w:val="21"/>
              </w:rPr>
              <w:t xml:space="preserve"> </w:t>
            </w:r>
            <w:r w:rsidRPr="00FD40B8">
              <w:rPr>
                <w:color w:val="131727" w:themeColor="text1"/>
                <w:w w:val="110"/>
                <w:sz w:val="21"/>
              </w:rPr>
              <w:t>Review and</w:t>
            </w:r>
            <w:r w:rsidRPr="00FD40B8">
              <w:rPr>
                <w:color w:val="131727" w:themeColor="text1"/>
                <w:spacing w:val="-1"/>
                <w:w w:val="110"/>
                <w:sz w:val="21"/>
              </w:rPr>
              <w:t xml:space="preserve"> </w:t>
            </w:r>
            <w:r w:rsidRPr="00FD40B8">
              <w:rPr>
                <w:color w:val="131727" w:themeColor="text1"/>
                <w:w w:val="110"/>
                <w:sz w:val="21"/>
              </w:rPr>
              <w:t>Dashboard and NHHA Reviews)</w:t>
            </w:r>
          </w:p>
        </w:tc>
        <w:tc>
          <w:tcPr>
            <w:tcW w:w="1926" w:type="dxa"/>
            <w:shd w:val="clear" w:color="auto" w:fill="EEF1F4"/>
          </w:tcPr>
          <w:p w14:paraId="61D6C7B4" w14:textId="77777777" w:rsidR="00811887" w:rsidRPr="00FD40B8" w:rsidRDefault="00811887" w:rsidP="00486E22">
            <w:pPr>
              <w:pStyle w:val="TableParagraph"/>
              <w:spacing w:line="249" w:lineRule="exact"/>
              <w:ind w:left="106"/>
              <w:rPr>
                <w:color w:val="131727" w:themeColor="text1"/>
                <w:sz w:val="21"/>
              </w:rPr>
            </w:pPr>
            <w:r w:rsidRPr="00FD40B8">
              <w:rPr>
                <w:color w:val="131727" w:themeColor="text1"/>
                <w:w w:val="110"/>
                <w:sz w:val="21"/>
              </w:rPr>
              <w:t>22</w:t>
            </w:r>
            <w:r w:rsidRPr="00FD40B8">
              <w:rPr>
                <w:color w:val="131727" w:themeColor="text1"/>
                <w:spacing w:val="1"/>
                <w:w w:val="110"/>
                <w:sz w:val="21"/>
              </w:rPr>
              <w:t xml:space="preserve"> </w:t>
            </w:r>
            <w:r w:rsidRPr="00FD40B8">
              <w:rPr>
                <w:color w:val="131727" w:themeColor="text1"/>
                <w:w w:val="110"/>
                <w:sz w:val="21"/>
              </w:rPr>
              <w:t xml:space="preserve">February </w:t>
            </w:r>
            <w:r w:rsidRPr="00FD40B8">
              <w:rPr>
                <w:color w:val="131727" w:themeColor="text1"/>
                <w:spacing w:val="-4"/>
                <w:w w:val="110"/>
                <w:sz w:val="21"/>
              </w:rPr>
              <w:t>2024</w:t>
            </w:r>
          </w:p>
        </w:tc>
      </w:tr>
      <w:tr w:rsidR="00811887" w:rsidRPr="00FD40B8" w14:paraId="7D8072C2" w14:textId="77777777" w:rsidTr="00486E22">
        <w:trPr>
          <w:trHeight w:val="719"/>
        </w:trPr>
        <w:tc>
          <w:tcPr>
            <w:tcW w:w="562" w:type="dxa"/>
            <w:shd w:val="clear" w:color="auto" w:fill="EEF1F4"/>
          </w:tcPr>
          <w:p w14:paraId="424C16FA"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6</w:t>
            </w:r>
          </w:p>
        </w:tc>
        <w:tc>
          <w:tcPr>
            <w:tcW w:w="2977" w:type="dxa"/>
            <w:shd w:val="clear" w:color="auto" w:fill="EEF1F4"/>
          </w:tcPr>
          <w:p w14:paraId="7C1A5CBE"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w w:val="110"/>
                <w:sz w:val="21"/>
              </w:rPr>
              <w:t>Coalition</w:t>
            </w:r>
            <w:r w:rsidRPr="00FD40B8">
              <w:rPr>
                <w:color w:val="131727" w:themeColor="text1"/>
                <w:spacing w:val="-10"/>
                <w:w w:val="110"/>
                <w:sz w:val="21"/>
              </w:rPr>
              <w:t xml:space="preserve"> </w:t>
            </w:r>
            <w:r w:rsidRPr="00FD40B8">
              <w:rPr>
                <w:color w:val="131727" w:themeColor="text1"/>
                <w:w w:val="110"/>
                <w:sz w:val="21"/>
              </w:rPr>
              <w:t>of</w:t>
            </w:r>
            <w:r w:rsidRPr="00FD40B8">
              <w:rPr>
                <w:color w:val="131727" w:themeColor="text1"/>
                <w:spacing w:val="-11"/>
                <w:w w:val="110"/>
                <w:sz w:val="21"/>
              </w:rPr>
              <w:t xml:space="preserve"> </w:t>
            </w:r>
            <w:r w:rsidRPr="00FD40B8">
              <w:rPr>
                <w:color w:val="131727" w:themeColor="text1"/>
                <w:spacing w:val="-4"/>
                <w:w w:val="110"/>
                <w:sz w:val="21"/>
              </w:rPr>
              <w:t>Peaks</w:t>
            </w:r>
          </w:p>
        </w:tc>
        <w:tc>
          <w:tcPr>
            <w:tcW w:w="3942" w:type="dxa"/>
            <w:shd w:val="clear" w:color="auto" w:fill="EEF1F4"/>
          </w:tcPr>
          <w:p w14:paraId="1A64E2C1" w14:textId="77777777" w:rsidR="00811887" w:rsidRPr="00FD40B8" w:rsidRDefault="00811887" w:rsidP="00486E22">
            <w:pPr>
              <w:pStyle w:val="TableParagraph"/>
              <w:spacing w:line="240" w:lineRule="exact"/>
              <w:ind w:left="110" w:right="79"/>
              <w:rPr>
                <w:color w:val="131727" w:themeColor="text1"/>
                <w:sz w:val="21"/>
              </w:rPr>
            </w:pPr>
            <w:r w:rsidRPr="00FD40B8">
              <w:rPr>
                <w:color w:val="131727" w:themeColor="text1"/>
                <w:w w:val="110"/>
                <w:sz w:val="21"/>
              </w:rPr>
              <w:t>Including</w:t>
            </w:r>
            <w:r w:rsidRPr="00FD40B8">
              <w:rPr>
                <w:color w:val="131727" w:themeColor="text1"/>
                <w:spacing w:val="-8"/>
                <w:w w:val="110"/>
                <w:sz w:val="21"/>
              </w:rPr>
              <w:t xml:space="preserve"> </w:t>
            </w:r>
            <w:r w:rsidRPr="00FD40B8">
              <w:rPr>
                <w:color w:val="131727" w:themeColor="text1"/>
                <w:w w:val="110"/>
                <w:sz w:val="21"/>
              </w:rPr>
              <w:t>Aboriginal</w:t>
            </w:r>
            <w:r w:rsidRPr="00FD40B8">
              <w:rPr>
                <w:color w:val="131727" w:themeColor="text1"/>
                <w:spacing w:val="-8"/>
                <w:w w:val="110"/>
                <w:sz w:val="21"/>
              </w:rPr>
              <w:t xml:space="preserve"> </w:t>
            </w:r>
            <w:r w:rsidRPr="00FD40B8">
              <w:rPr>
                <w:color w:val="131727" w:themeColor="text1"/>
                <w:w w:val="110"/>
                <w:sz w:val="21"/>
              </w:rPr>
              <w:t>Housing</w:t>
            </w:r>
            <w:r w:rsidRPr="00FD40B8">
              <w:rPr>
                <w:color w:val="131727" w:themeColor="text1"/>
                <w:spacing w:val="-8"/>
                <w:w w:val="110"/>
                <w:sz w:val="21"/>
              </w:rPr>
              <w:t xml:space="preserve"> </w:t>
            </w:r>
            <w:r w:rsidRPr="00FD40B8">
              <w:rPr>
                <w:color w:val="131727" w:themeColor="text1"/>
                <w:w w:val="110"/>
                <w:sz w:val="21"/>
              </w:rPr>
              <w:t xml:space="preserve">Northern Territory and Aboriginal Housing </w:t>
            </w:r>
            <w:r w:rsidRPr="00FD40B8">
              <w:rPr>
                <w:color w:val="131727" w:themeColor="text1"/>
                <w:spacing w:val="-2"/>
                <w:w w:val="110"/>
                <w:sz w:val="21"/>
              </w:rPr>
              <w:t>Victoria</w:t>
            </w:r>
          </w:p>
        </w:tc>
        <w:tc>
          <w:tcPr>
            <w:tcW w:w="1926" w:type="dxa"/>
            <w:shd w:val="clear" w:color="auto" w:fill="EEF1F4"/>
          </w:tcPr>
          <w:p w14:paraId="2B5BD829"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5</w:t>
            </w:r>
            <w:r w:rsidRPr="00FD40B8">
              <w:rPr>
                <w:color w:val="131727" w:themeColor="text1"/>
                <w:spacing w:val="-6"/>
                <w:w w:val="110"/>
                <w:sz w:val="21"/>
              </w:rPr>
              <w:t xml:space="preserve"> </w:t>
            </w:r>
            <w:r w:rsidRPr="00FD40B8">
              <w:rPr>
                <w:color w:val="131727" w:themeColor="text1"/>
                <w:w w:val="110"/>
                <w:sz w:val="21"/>
              </w:rPr>
              <w:t>March</w:t>
            </w:r>
            <w:r w:rsidRPr="00FD40B8">
              <w:rPr>
                <w:color w:val="131727" w:themeColor="text1"/>
                <w:spacing w:val="-5"/>
                <w:w w:val="110"/>
                <w:sz w:val="21"/>
              </w:rPr>
              <w:t xml:space="preserve"> </w:t>
            </w:r>
            <w:r w:rsidRPr="00FD40B8">
              <w:rPr>
                <w:color w:val="131727" w:themeColor="text1"/>
                <w:spacing w:val="-4"/>
                <w:w w:val="110"/>
                <w:sz w:val="21"/>
              </w:rPr>
              <w:t>2024</w:t>
            </w:r>
          </w:p>
        </w:tc>
      </w:tr>
      <w:tr w:rsidR="00811887" w:rsidRPr="00FD40B8" w14:paraId="5A646736" w14:textId="77777777" w:rsidTr="00486E22">
        <w:trPr>
          <w:trHeight w:val="959"/>
        </w:trPr>
        <w:tc>
          <w:tcPr>
            <w:tcW w:w="562" w:type="dxa"/>
            <w:shd w:val="clear" w:color="auto" w:fill="EEF1F4"/>
          </w:tcPr>
          <w:p w14:paraId="43BF82D3"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10"/>
                <w:w w:val="115"/>
                <w:sz w:val="21"/>
              </w:rPr>
              <w:t>7</w:t>
            </w:r>
          </w:p>
        </w:tc>
        <w:tc>
          <w:tcPr>
            <w:tcW w:w="2977" w:type="dxa"/>
            <w:shd w:val="clear" w:color="auto" w:fill="EEF1F4"/>
          </w:tcPr>
          <w:p w14:paraId="250AA65B" w14:textId="77777777" w:rsidR="00811887" w:rsidRPr="00FD40B8" w:rsidRDefault="00811887" w:rsidP="00486E22">
            <w:pPr>
              <w:pStyle w:val="TableParagraph"/>
              <w:spacing w:line="240" w:lineRule="exact"/>
              <w:ind w:left="105" w:right="79"/>
              <w:rPr>
                <w:color w:val="131727" w:themeColor="text1"/>
                <w:sz w:val="20"/>
              </w:rPr>
            </w:pPr>
            <w:r w:rsidRPr="00FD40B8">
              <w:rPr>
                <w:color w:val="131727" w:themeColor="text1"/>
                <w:w w:val="110"/>
                <w:sz w:val="21"/>
              </w:rPr>
              <w:t>D</w:t>
            </w:r>
            <w:r w:rsidRPr="00FD40B8">
              <w:rPr>
                <w:color w:val="131727" w:themeColor="text1"/>
                <w:w w:val="110"/>
                <w:sz w:val="20"/>
              </w:rPr>
              <w:t>epartment</w:t>
            </w:r>
            <w:r w:rsidRPr="00FD40B8">
              <w:rPr>
                <w:color w:val="131727" w:themeColor="text1"/>
                <w:spacing w:val="-1"/>
                <w:w w:val="110"/>
                <w:sz w:val="20"/>
              </w:rPr>
              <w:t xml:space="preserve"> </w:t>
            </w:r>
            <w:r w:rsidRPr="00FD40B8">
              <w:rPr>
                <w:color w:val="131727" w:themeColor="text1"/>
                <w:w w:val="110"/>
                <w:sz w:val="20"/>
              </w:rPr>
              <w:t xml:space="preserve">of Infrastructure, Transport, Regional </w:t>
            </w:r>
            <w:r w:rsidRPr="00FD40B8">
              <w:rPr>
                <w:color w:val="131727" w:themeColor="text1"/>
                <w:spacing w:val="-2"/>
                <w:w w:val="110"/>
                <w:sz w:val="20"/>
              </w:rPr>
              <w:t xml:space="preserve">Development, </w:t>
            </w:r>
            <w:r w:rsidRPr="00FD40B8">
              <w:rPr>
                <w:color w:val="131727" w:themeColor="text1"/>
                <w:w w:val="110"/>
                <w:sz w:val="20"/>
              </w:rPr>
              <w:t>Communications,</w:t>
            </w:r>
            <w:r w:rsidRPr="00FD40B8">
              <w:rPr>
                <w:color w:val="131727" w:themeColor="text1"/>
                <w:spacing w:val="-11"/>
                <w:w w:val="110"/>
                <w:sz w:val="20"/>
              </w:rPr>
              <w:t xml:space="preserve"> </w:t>
            </w:r>
            <w:r w:rsidRPr="00FD40B8">
              <w:rPr>
                <w:color w:val="131727" w:themeColor="text1"/>
                <w:w w:val="110"/>
                <w:sz w:val="20"/>
              </w:rPr>
              <w:t>and</w:t>
            </w:r>
            <w:r w:rsidRPr="00FD40B8">
              <w:rPr>
                <w:color w:val="131727" w:themeColor="text1"/>
                <w:spacing w:val="-12"/>
                <w:w w:val="110"/>
                <w:sz w:val="20"/>
              </w:rPr>
              <w:t xml:space="preserve"> </w:t>
            </w:r>
            <w:r w:rsidRPr="00FD40B8">
              <w:rPr>
                <w:color w:val="131727" w:themeColor="text1"/>
                <w:w w:val="110"/>
                <w:sz w:val="20"/>
              </w:rPr>
              <w:t>the</w:t>
            </w:r>
            <w:r w:rsidRPr="00FD40B8">
              <w:rPr>
                <w:color w:val="131727" w:themeColor="text1"/>
                <w:spacing w:val="-11"/>
                <w:w w:val="110"/>
                <w:sz w:val="20"/>
              </w:rPr>
              <w:t xml:space="preserve"> </w:t>
            </w:r>
            <w:r w:rsidRPr="00FD40B8">
              <w:rPr>
                <w:color w:val="131727" w:themeColor="text1"/>
                <w:w w:val="110"/>
                <w:sz w:val="20"/>
              </w:rPr>
              <w:t>Arts</w:t>
            </w:r>
          </w:p>
        </w:tc>
        <w:tc>
          <w:tcPr>
            <w:tcW w:w="3942" w:type="dxa"/>
            <w:shd w:val="clear" w:color="auto" w:fill="EEF1F4"/>
          </w:tcPr>
          <w:p w14:paraId="249CB266" w14:textId="77777777" w:rsidR="00811887" w:rsidRPr="00FD40B8" w:rsidRDefault="00811887" w:rsidP="00486E22">
            <w:pPr>
              <w:pStyle w:val="TableParagraph"/>
              <w:spacing w:line="248" w:lineRule="exact"/>
              <w:ind w:left="110"/>
              <w:rPr>
                <w:color w:val="131727" w:themeColor="text1"/>
                <w:sz w:val="21"/>
              </w:rPr>
            </w:pPr>
            <w:r w:rsidRPr="00FD40B8">
              <w:rPr>
                <w:color w:val="131727" w:themeColor="text1"/>
                <w:w w:val="110"/>
                <w:sz w:val="21"/>
              </w:rPr>
              <w:t>First</w:t>
            </w:r>
            <w:r w:rsidRPr="00FD40B8">
              <w:rPr>
                <w:color w:val="131727" w:themeColor="text1"/>
                <w:spacing w:val="-6"/>
                <w:w w:val="110"/>
                <w:sz w:val="21"/>
              </w:rPr>
              <w:t xml:space="preserve"> </w:t>
            </w:r>
            <w:r w:rsidRPr="00FD40B8">
              <w:rPr>
                <w:color w:val="131727" w:themeColor="text1"/>
                <w:w w:val="110"/>
                <w:sz w:val="21"/>
              </w:rPr>
              <w:t>Nations</w:t>
            </w:r>
            <w:r w:rsidRPr="00FD40B8">
              <w:rPr>
                <w:color w:val="131727" w:themeColor="text1"/>
                <w:spacing w:val="-4"/>
                <w:w w:val="110"/>
                <w:sz w:val="21"/>
              </w:rPr>
              <w:t xml:space="preserve"> </w:t>
            </w:r>
            <w:r w:rsidRPr="00FD40B8">
              <w:rPr>
                <w:color w:val="131727" w:themeColor="text1"/>
                <w:spacing w:val="-2"/>
                <w:w w:val="110"/>
                <w:sz w:val="21"/>
              </w:rPr>
              <w:t>Partnerships</w:t>
            </w:r>
          </w:p>
        </w:tc>
        <w:tc>
          <w:tcPr>
            <w:tcW w:w="1926" w:type="dxa"/>
            <w:shd w:val="clear" w:color="auto" w:fill="EEF1F4"/>
          </w:tcPr>
          <w:p w14:paraId="2A74B585" w14:textId="77777777" w:rsidR="00811887" w:rsidRPr="00FD40B8" w:rsidRDefault="00811887" w:rsidP="00486E22">
            <w:pPr>
              <w:pStyle w:val="TableParagraph"/>
              <w:spacing w:line="248" w:lineRule="exact"/>
              <w:ind w:left="106"/>
              <w:rPr>
                <w:color w:val="131727" w:themeColor="text1"/>
                <w:sz w:val="21"/>
              </w:rPr>
            </w:pPr>
            <w:r w:rsidRPr="00FD40B8">
              <w:rPr>
                <w:color w:val="131727" w:themeColor="text1"/>
                <w:w w:val="110"/>
                <w:sz w:val="21"/>
              </w:rPr>
              <w:t>20</w:t>
            </w:r>
            <w:r w:rsidRPr="00FD40B8">
              <w:rPr>
                <w:color w:val="131727" w:themeColor="text1"/>
                <w:spacing w:val="-5"/>
                <w:w w:val="110"/>
                <w:sz w:val="21"/>
              </w:rPr>
              <w:t xml:space="preserve"> </w:t>
            </w:r>
            <w:r w:rsidRPr="00FD40B8">
              <w:rPr>
                <w:color w:val="131727" w:themeColor="text1"/>
                <w:w w:val="110"/>
                <w:sz w:val="21"/>
              </w:rPr>
              <w:t>March</w:t>
            </w:r>
            <w:r w:rsidRPr="00FD40B8">
              <w:rPr>
                <w:color w:val="131727" w:themeColor="text1"/>
                <w:spacing w:val="-3"/>
                <w:w w:val="110"/>
                <w:sz w:val="21"/>
              </w:rPr>
              <w:t xml:space="preserve"> </w:t>
            </w:r>
            <w:r w:rsidRPr="00FD40B8">
              <w:rPr>
                <w:color w:val="131727" w:themeColor="text1"/>
                <w:spacing w:val="-4"/>
                <w:w w:val="110"/>
                <w:sz w:val="21"/>
              </w:rPr>
              <w:t>2024</w:t>
            </w:r>
          </w:p>
        </w:tc>
      </w:tr>
    </w:tbl>
    <w:p w14:paraId="58D86FC9" w14:textId="77777777" w:rsidR="00811887" w:rsidRPr="00FD40B8" w:rsidRDefault="00811887" w:rsidP="00811887">
      <w:pPr>
        <w:spacing w:line="248" w:lineRule="exact"/>
        <w:rPr>
          <w:color w:val="131727" w:themeColor="text1"/>
          <w:sz w:val="21"/>
        </w:rPr>
        <w:sectPr w:rsidR="00811887" w:rsidRPr="00FD40B8" w:rsidSect="00811887">
          <w:pgSz w:w="11910" w:h="16840"/>
          <w:pgMar w:top="1400" w:right="720" w:bottom="1080" w:left="740" w:header="0" w:footer="805" w:gutter="0"/>
          <w:cols w:space="720"/>
        </w:sectPr>
      </w:pPr>
    </w:p>
    <w:p w14:paraId="024564D0" w14:textId="77777777" w:rsidR="00811887" w:rsidRPr="00FD40B8" w:rsidRDefault="00811887" w:rsidP="00811887">
      <w:pPr>
        <w:spacing w:before="76"/>
        <w:ind w:left="508"/>
        <w:rPr>
          <w:rFonts w:ascii="Book Antiqua"/>
          <w:b/>
          <w:i/>
          <w:color w:val="131727" w:themeColor="text1"/>
        </w:rPr>
      </w:pPr>
      <w:r w:rsidRPr="00FD40B8">
        <w:rPr>
          <w:rFonts w:ascii="Book Antiqua"/>
          <w:b/>
          <w:i/>
          <w:color w:val="131727" w:themeColor="text1"/>
        </w:rPr>
        <w:lastRenderedPageBreak/>
        <w:t>Appendix</w:t>
      </w:r>
      <w:r w:rsidRPr="00FD40B8">
        <w:rPr>
          <w:rFonts w:ascii="Book Antiqua"/>
          <w:b/>
          <w:i/>
          <w:color w:val="131727" w:themeColor="text1"/>
          <w:spacing w:val="-2"/>
        </w:rPr>
        <w:t xml:space="preserve"> </w:t>
      </w:r>
      <w:r w:rsidRPr="00FD40B8">
        <w:rPr>
          <w:rFonts w:ascii="Book Antiqua"/>
          <w:b/>
          <w:i/>
          <w:color w:val="131727" w:themeColor="text1"/>
          <w:spacing w:val="-5"/>
        </w:rPr>
        <w:t>B.</w:t>
      </w:r>
    </w:p>
    <w:p w14:paraId="3B393D87" w14:textId="77777777" w:rsidR="00811887" w:rsidRPr="00FD40B8" w:rsidRDefault="00811887" w:rsidP="00811887">
      <w:pPr>
        <w:pStyle w:val="BodyText"/>
        <w:spacing w:before="2"/>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63712" behindDoc="1" locked="0" layoutInCell="1" allowOverlap="1" wp14:anchorId="24C9FC56" wp14:editId="73E24362">
                <wp:simplePos x="0" y="0"/>
                <wp:positionH relativeFrom="page">
                  <wp:posOffset>774496</wp:posOffset>
                </wp:positionH>
                <wp:positionV relativeFrom="paragraph">
                  <wp:posOffset>70596</wp:posOffset>
                </wp:positionV>
                <wp:extent cx="6016625" cy="6350"/>
                <wp:effectExtent l="0" t="0" r="0" b="0"/>
                <wp:wrapTopAndBottom/>
                <wp:docPr id="198" name="Graphic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5E671FBA" id="Graphic 198" o:spid="_x0000_s1026" alt="&quot;&quot;" style="position:absolute;margin-left:61pt;margin-top:5.55pt;width:473.75pt;height:.5pt;z-index:-251552768;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" path="m6016117,l,,,6096r6016117,l6016117,xe" fillcolor="#4d665b" stroked="f">
                <v:path arrowok="t"/>
                <w10:wrap type="topAndBottom" anchorx="page"/>
              </v:shape>
            </w:pict>
          </mc:Fallback>
        </mc:AlternateContent>
      </w:r>
    </w:p>
    <w:p w14:paraId="1DFA4634" w14:textId="77777777" w:rsidR="00811887" w:rsidRPr="00FD40B8" w:rsidRDefault="00811887" w:rsidP="00811887">
      <w:pPr>
        <w:pStyle w:val="BodyText"/>
        <w:spacing w:before="37"/>
        <w:rPr>
          <w:rFonts w:ascii="Book Antiqua"/>
          <w:b/>
          <w:i/>
          <w:color w:val="131727" w:themeColor="text1"/>
          <w:sz w:val="22"/>
        </w:rPr>
      </w:pPr>
    </w:p>
    <w:p w14:paraId="2564016C" w14:textId="77777777" w:rsidR="00811887" w:rsidRPr="00FD40B8" w:rsidRDefault="00811887" w:rsidP="00811887">
      <w:pPr>
        <w:pStyle w:val="Heading2"/>
        <w:rPr>
          <w:color w:val="131727" w:themeColor="text1"/>
        </w:rPr>
      </w:pPr>
      <w:bookmarkStart w:id="212" w:name="_bookmark101"/>
      <w:bookmarkEnd w:id="212"/>
      <w:r w:rsidRPr="00FD40B8">
        <w:rPr>
          <w:color w:val="131727" w:themeColor="text1"/>
        </w:rPr>
        <w:t>Housing</w:t>
      </w:r>
      <w:r w:rsidRPr="00FD40B8">
        <w:rPr>
          <w:color w:val="131727" w:themeColor="text1"/>
          <w:spacing w:val="56"/>
        </w:rPr>
        <w:t xml:space="preserve"> </w:t>
      </w:r>
      <w:r w:rsidRPr="00FD40B8">
        <w:rPr>
          <w:color w:val="131727" w:themeColor="text1"/>
        </w:rPr>
        <w:t>need</w:t>
      </w:r>
      <w:r w:rsidRPr="00FD40B8">
        <w:rPr>
          <w:color w:val="131727" w:themeColor="text1"/>
          <w:spacing w:val="56"/>
        </w:rPr>
        <w:t xml:space="preserve"> </w:t>
      </w:r>
      <w:r w:rsidRPr="00FD40B8">
        <w:rPr>
          <w:color w:val="131727" w:themeColor="text1"/>
        </w:rPr>
        <w:t>analysis</w:t>
      </w:r>
      <w:r w:rsidRPr="00FD40B8">
        <w:rPr>
          <w:color w:val="131727" w:themeColor="text1"/>
          <w:spacing w:val="64"/>
        </w:rPr>
        <w:t xml:space="preserve"> </w:t>
      </w:r>
      <w:r w:rsidRPr="00FD40B8">
        <w:rPr>
          <w:color w:val="131727" w:themeColor="text1"/>
        </w:rPr>
        <w:t>–</w:t>
      </w:r>
      <w:r w:rsidRPr="00FD40B8">
        <w:rPr>
          <w:color w:val="131727" w:themeColor="text1"/>
          <w:spacing w:val="61"/>
        </w:rPr>
        <w:t xml:space="preserve"> </w:t>
      </w:r>
      <w:r w:rsidRPr="00FD40B8">
        <w:rPr>
          <w:color w:val="131727" w:themeColor="text1"/>
          <w:spacing w:val="-2"/>
        </w:rPr>
        <w:t>Methodology</w:t>
      </w:r>
    </w:p>
    <w:p w14:paraId="08975F7C" w14:textId="77777777" w:rsidR="00811887" w:rsidRPr="00FD40B8" w:rsidRDefault="00811887" w:rsidP="00811887">
      <w:pPr>
        <w:pStyle w:val="BodyText"/>
        <w:spacing w:before="145"/>
        <w:ind w:left="508"/>
        <w:rPr>
          <w:color w:val="131727" w:themeColor="text1"/>
        </w:rPr>
      </w:pP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assessing</w:t>
      </w:r>
      <w:r w:rsidRPr="00FD40B8">
        <w:rPr>
          <w:color w:val="131727" w:themeColor="text1"/>
          <w:spacing w:val="1"/>
          <w:w w:val="110"/>
        </w:rPr>
        <w:t xml:space="preserve"> </w:t>
      </w:r>
      <w:r w:rsidRPr="00FD40B8">
        <w:rPr>
          <w:color w:val="131727" w:themeColor="text1"/>
          <w:w w:val="110"/>
        </w:rPr>
        <w:t>the need</w:t>
      </w:r>
      <w:r w:rsidRPr="00FD40B8">
        <w:rPr>
          <w:color w:val="131727" w:themeColor="text1"/>
          <w:spacing w:val="1"/>
          <w:w w:val="110"/>
        </w:rPr>
        <w:t xml:space="preserve"> </w:t>
      </w:r>
      <w:r w:rsidRPr="00FD40B8">
        <w:rPr>
          <w:color w:val="131727" w:themeColor="text1"/>
          <w:w w:val="110"/>
        </w:rPr>
        <w:t>for</w:t>
      </w:r>
      <w:r w:rsidRPr="00FD40B8">
        <w:rPr>
          <w:color w:val="131727" w:themeColor="text1"/>
          <w:spacing w:val="-2"/>
          <w:w w:val="110"/>
        </w:rPr>
        <w:t xml:space="preserve"> </w:t>
      </w:r>
      <w:r w:rsidRPr="00FD40B8">
        <w:rPr>
          <w:color w:val="131727" w:themeColor="text1"/>
          <w:w w:val="110"/>
        </w:rPr>
        <w:t>housing,</w:t>
      </w:r>
      <w:r w:rsidRPr="00FD40B8">
        <w:rPr>
          <w:color w:val="131727" w:themeColor="text1"/>
          <w:spacing w:val="1"/>
          <w:w w:val="110"/>
        </w:rPr>
        <w:t xml:space="preserve"> </w:t>
      </w:r>
      <w:r w:rsidRPr="00FD40B8">
        <w:rPr>
          <w:color w:val="131727" w:themeColor="text1"/>
          <w:w w:val="110"/>
        </w:rPr>
        <w:t>we</w:t>
      </w:r>
      <w:r w:rsidRPr="00FD40B8">
        <w:rPr>
          <w:color w:val="131727" w:themeColor="text1"/>
          <w:spacing w:val="-4"/>
          <w:w w:val="110"/>
        </w:rPr>
        <w:t xml:space="preserve"> </w:t>
      </w:r>
      <w:r w:rsidRPr="00FD40B8">
        <w:rPr>
          <w:color w:val="131727" w:themeColor="text1"/>
          <w:w w:val="110"/>
        </w:rPr>
        <w:t>consider</w:t>
      </w:r>
      <w:r w:rsidRPr="00FD40B8">
        <w:rPr>
          <w:color w:val="131727" w:themeColor="text1"/>
          <w:spacing w:val="-2"/>
          <w:w w:val="110"/>
        </w:rPr>
        <w:t xml:space="preserve"> </w:t>
      </w:r>
      <w:r w:rsidRPr="00FD40B8">
        <w:rPr>
          <w:color w:val="131727" w:themeColor="text1"/>
          <w:w w:val="110"/>
        </w:rPr>
        <w:t>Aboriginal</w:t>
      </w:r>
      <w:r w:rsidRPr="00FD40B8">
        <w:rPr>
          <w:color w:val="131727" w:themeColor="text1"/>
          <w:spacing w:val="3"/>
          <w:w w:val="110"/>
        </w:rPr>
        <w:t xml:space="preserve"> </w:t>
      </w:r>
      <w:r w:rsidRPr="00FD40B8">
        <w:rPr>
          <w:color w:val="131727" w:themeColor="text1"/>
          <w:w w:val="110"/>
        </w:rPr>
        <w:t>and Torres</w:t>
      </w:r>
      <w:r w:rsidRPr="00FD40B8">
        <w:rPr>
          <w:color w:val="131727" w:themeColor="text1"/>
          <w:spacing w:val="2"/>
          <w:w w:val="110"/>
        </w:rPr>
        <w:t xml:space="preserve"> </w:t>
      </w:r>
      <w:r w:rsidRPr="00FD40B8">
        <w:rPr>
          <w:color w:val="131727" w:themeColor="text1"/>
          <w:w w:val="110"/>
        </w:rPr>
        <w:t>Strait Islander</w:t>
      </w:r>
      <w:r w:rsidRPr="00FD40B8">
        <w:rPr>
          <w:color w:val="131727" w:themeColor="text1"/>
          <w:spacing w:val="-6"/>
          <w:w w:val="110"/>
        </w:rPr>
        <w:t xml:space="preserve"> </w:t>
      </w:r>
      <w:r w:rsidRPr="00FD40B8">
        <w:rPr>
          <w:color w:val="131727" w:themeColor="text1"/>
          <w:w w:val="110"/>
        </w:rPr>
        <w:t>peoples</w:t>
      </w:r>
      <w:r w:rsidRPr="00FD40B8">
        <w:rPr>
          <w:color w:val="131727" w:themeColor="text1"/>
          <w:spacing w:val="3"/>
          <w:w w:val="110"/>
        </w:rPr>
        <w:t xml:space="preserve"> </w:t>
      </w:r>
      <w:r w:rsidRPr="00FD40B8">
        <w:rPr>
          <w:color w:val="131727" w:themeColor="text1"/>
          <w:spacing w:val="-4"/>
          <w:w w:val="110"/>
        </w:rPr>
        <w:t>who:</w:t>
      </w:r>
    </w:p>
    <w:p w14:paraId="3236C3F5" w14:textId="77777777" w:rsidR="00811887" w:rsidRPr="00FD40B8" w:rsidRDefault="00811887" w:rsidP="00811887">
      <w:pPr>
        <w:pStyle w:val="ListParagraph"/>
        <w:widowControl w:val="0"/>
        <w:numPr>
          <w:ilvl w:val="0"/>
          <w:numId w:val="60"/>
        </w:numPr>
        <w:tabs>
          <w:tab w:val="left" w:pos="1228"/>
        </w:tabs>
        <w:autoSpaceDE w:val="0"/>
        <w:autoSpaceDN w:val="0"/>
        <w:spacing w:before="24" w:after="0"/>
        <w:ind w:hanging="360"/>
        <w:contextualSpacing w:val="0"/>
        <w:rPr>
          <w:color w:val="131727" w:themeColor="text1"/>
          <w:sz w:val="20"/>
        </w:rPr>
      </w:pPr>
      <w:r w:rsidRPr="00FD40B8">
        <w:rPr>
          <w:color w:val="131727" w:themeColor="text1"/>
          <w:w w:val="110"/>
          <w:sz w:val="20"/>
        </w:rPr>
        <w:t>are</w:t>
      </w:r>
      <w:r w:rsidRPr="00FD40B8">
        <w:rPr>
          <w:color w:val="131727" w:themeColor="text1"/>
          <w:spacing w:val="1"/>
          <w:w w:val="110"/>
          <w:sz w:val="20"/>
        </w:rPr>
        <w:t xml:space="preserve"> </w:t>
      </w:r>
      <w:r w:rsidRPr="00FD40B8">
        <w:rPr>
          <w:color w:val="131727" w:themeColor="text1"/>
          <w:spacing w:val="-2"/>
          <w:w w:val="110"/>
          <w:sz w:val="20"/>
        </w:rPr>
        <w:t>homeless;</w:t>
      </w:r>
    </w:p>
    <w:p w14:paraId="7A085269" w14:textId="77777777" w:rsidR="00811887" w:rsidRPr="00FD40B8" w:rsidRDefault="00811887" w:rsidP="00811887">
      <w:pPr>
        <w:pStyle w:val="ListParagraph"/>
        <w:widowControl w:val="0"/>
        <w:numPr>
          <w:ilvl w:val="0"/>
          <w:numId w:val="60"/>
        </w:numPr>
        <w:tabs>
          <w:tab w:val="left" w:pos="1228"/>
        </w:tabs>
        <w:autoSpaceDE w:val="0"/>
        <w:autoSpaceDN w:val="0"/>
        <w:spacing w:before="23" w:after="0"/>
        <w:ind w:hanging="360"/>
        <w:contextualSpacing w:val="0"/>
        <w:rPr>
          <w:color w:val="131727" w:themeColor="text1"/>
          <w:sz w:val="20"/>
        </w:rPr>
      </w:pPr>
      <w:r w:rsidRPr="00FD40B8">
        <w:rPr>
          <w:color w:val="131727" w:themeColor="text1"/>
          <w:w w:val="110"/>
          <w:sz w:val="20"/>
        </w:rPr>
        <w:t>live</w:t>
      </w:r>
      <w:r w:rsidRPr="00FD40B8">
        <w:rPr>
          <w:color w:val="131727" w:themeColor="text1"/>
          <w:spacing w:val="-10"/>
          <w:w w:val="110"/>
          <w:sz w:val="20"/>
        </w:rPr>
        <w:t xml:space="preserve"> </w:t>
      </w:r>
      <w:r w:rsidRPr="00FD40B8">
        <w:rPr>
          <w:color w:val="131727" w:themeColor="text1"/>
          <w:w w:val="110"/>
          <w:sz w:val="20"/>
        </w:rPr>
        <w:t>in</w:t>
      </w:r>
      <w:r w:rsidRPr="00FD40B8">
        <w:rPr>
          <w:color w:val="131727" w:themeColor="text1"/>
          <w:spacing w:val="-9"/>
          <w:w w:val="110"/>
          <w:sz w:val="20"/>
        </w:rPr>
        <w:t xml:space="preserve"> </w:t>
      </w:r>
      <w:r w:rsidRPr="00FD40B8">
        <w:rPr>
          <w:color w:val="131727" w:themeColor="text1"/>
          <w:w w:val="110"/>
          <w:sz w:val="20"/>
        </w:rPr>
        <w:t>overcrowded</w:t>
      </w:r>
      <w:r w:rsidRPr="00FD40B8">
        <w:rPr>
          <w:color w:val="131727" w:themeColor="text1"/>
          <w:spacing w:val="-10"/>
          <w:w w:val="110"/>
          <w:sz w:val="20"/>
        </w:rPr>
        <w:t xml:space="preserve"> </w:t>
      </w:r>
      <w:r w:rsidRPr="00FD40B8">
        <w:rPr>
          <w:color w:val="131727" w:themeColor="text1"/>
          <w:w w:val="110"/>
          <w:sz w:val="20"/>
        </w:rPr>
        <w:t>homes;</w:t>
      </w:r>
      <w:r w:rsidRPr="00FD40B8">
        <w:rPr>
          <w:color w:val="131727" w:themeColor="text1"/>
          <w:spacing w:val="-10"/>
          <w:w w:val="110"/>
          <w:sz w:val="20"/>
        </w:rPr>
        <w:t xml:space="preserve"> </w:t>
      </w:r>
      <w:r w:rsidRPr="00FD40B8">
        <w:rPr>
          <w:color w:val="131727" w:themeColor="text1"/>
          <w:spacing w:val="-5"/>
          <w:w w:val="110"/>
          <w:sz w:val="20"/>
        </w:rPr>
        <w:t>or</w:t>
      </w:r>
    </w:p>
    <w:p w14:paraId="2C4E8021" w14:textId="77777777" w:rsidR="00811887" w:rsidRPr="00FD40B8" w:rsidRDefault="00811887" w:rsidP="00811887">
      <w:pPr>
        <w:pStyle w:val="ListParagraph"/>
        <w:widowControl w:val="0"/>
        <w:numPr>
          <w:ilvl w:val="0"/>
          <w:numId w:val="60"/>
        </w:numPr>
        <w:tabs>
          <w:tab w:val="left" w:pos="1228"/>
        </w:tabs>
        <w:autoSpaceDE w:val="0"/>
        <w:autoSpaceDN w:val="0"/>
        <w:spacing w:before="29" w:after="0"/>
        <w:ind w:hanging="360"/>
        <w:contextualSpacing w:val="0"/>
        <w:rPr>
          <w:color w:val="131727" w:themeColor="text1"/>
          <w:sz w:val="20"/>
        </w:rPr>
      </w:pPr>
      <w:r w:rsidRPr="00FD40B8">
        <w:rPr>
          <w:color w:val="131727" w:themeColor="text1"/>
          <w:w w:val="110"/>
          <w:sz w:val="20"/>
        </w:rPr>
        <w:t>live</w:t>
      </w:r>
      <w:r w:rsidRPr="00FD40B8">
        <w:rPr>
          <w:color w:val="131727" w:themeColor="text1"/>
          <w:spacing w:val="-3"/>
          <w:w w:val="110"/>
          <w:sz w:val="20"/>
        </w:rPr>
        <w:t xml:space="preserve"> </w:t>
      </w:r>
      <w:r w:rsidRPr="00FD40B8">
        <w:rPr>
          <w:color w:val="131727" w:themeColor="text1"/>
          <w:w w:val="110"/>
          <w:sz w:val="20"/>
        </w:rPr>
        <w:t>in</w:t>
      </w:r>
      <w:r w:rsidRPr="00FD40B8">
        <w:rPr>
          <w:color w:val="131727" w:themeColor="text1"/>
          <w:spacing w:val="-2"/>
          <w:w w:val="110"/>
          <w:sz w:val="20"/>
        </w:rPr>
        <w:t xml:space="preserve"> </w:t>
      </w:r>
      <w:r w:rsidRPr="00FD40B8">
        <w:rPr>
          <w:color w:val="131727" w:themeColor="text1"/>
          <w:w w:val="110"/>
          <w:sz w:val="20"/>
        </w:rPr>
        <w:t>houses</w:t>
      </w:r>
      <w:r w:rsidRPr="00FD40B8">
        <w:rPr>
          <w:color w:val="131727" w:themeColor="text1"/>
          <w:spacing w:val="-1"/>
          <w:w w:val="110"/>
          <w:sz w:val="20"/>
        </w:rPr>
        <w:t xml:space="preserve"> </w:t>
      </w:r>
      <w:r w:rsidRPr="00FD40B8">
        <w:rPr>
          <w:color w:val="131727" w:themeColor="text1"/>
          <w:w w:val="110"/>
          <w:sz w:val="20"/>
        </w:rPr>
        <w:t>of</w:t>
      </w:r>
      <w:r w:rsidRPr="00FD40B8">
        <w:rPr>
          <w:color w:val="131727" w:themeColor="text1"/>
          <w:spacing w:val="5"/>
          <w:w w:val="110"/>
          <w:sz w:val="20"/>
        </w:rPr>
        <w:t xml:space="preserve"> </w:t>
      </w:r>
      <w:r w:rsidRPr="00FD40B8">
        <w:rPr>
          <w:color w:val="131727" w:themeColor="text1"/>
          <w:w w:val="110"/>
          <w:sz w:val="20"/>
        </w:rPr>
        <w:t>an</w:t>
      </w:r>
      <w:r w:rsidRPr="00FD40B8">
        <w:rPr>
          <w:color w:val="131727" w:themeColor="text1"/>
          <w:spacing w:val="-2"/>
          <w:w w:val="110"/>
          <w:sz w:val="20"/>
        </w:rPr>
        <w:t xml:space="preserve"> </w:t>
      </w:r>
      <w:r w:rsidRPr="00FD40B8">
        <w:rPr>
          <w:color w:val="131727" w:themeColor="text1"/>
          <w:w w:val="110"/>
          <w:sz w:val="20"/>
        </w:rPr>
        <w:t>unacceptable</w:t>
      </w:r>
      <w:r w:rsidRPr="00FD40B8">
        <w:rPr>
          <w:color w:val="131727" w:themeColor="text1"/>
          <w:spacing w:val="-3"/>
          <w:w w:val="110"/>
          <w:sz w:val="20"/>
        </w:rPr>
        <w:t xml:space="preserve"> </w:t>
      </w:r>
      <w:r w:rsidRPr="00FD40B8">
        <w:rPr>
          <w:color w:val="131727" w:themeColor="text1"/>
          <w:spacing w:val="-2"/>
          <w:w w:val="110"/>
          <w:sz w:val="20"/>
        </w:rPr>
        <w:t>standard.</w:t>
      </w:r>
    </w:p>
    <w:p w14:paraId="5A9640BD" w14:textId="77777777" w:rsidR="00811887" w:rsidRPr="00FD40B8" w:rsidRDefault="00811887" w:rsidP="00811887">
      <w:pPr>
        <w:pStyle w:val="BodyText"/>
        <w:spacing w:before="68"/>
        <w:rPr>
          <w:color w:val="131727" w:themeColor="text1"/>
        </w:rPr>
      </w:pPr>
    </w:p>
    <w:p w14:paraId="513E68D4" w14:textId="77777777" w:rsidR="00811887" w:rsidRPr="00FD40B8" w:rsidRDefault="00811887" w:rsidP="00811887">
      <w:pPr>
        <w:pStyle w:val="BodyText"/>
        <w:spacing w:before="1"/>
        <w:ind w:left="508"/>
        <w:rPr>
          <w:color w:val="131727" w:themeColor="text1"/>
        </w:rPr>
      </w:pPr>
      <w:r w:rsidRPr="00FD40B8">
        <w:rPr>
          <w:color w:val="131727" w:themeColor="text1"/>
          <w:w w:val="110"/>
        </w:rPr>
        <w:t>To</w:t>
      </w:r>
      <w:r w:rsidRPr="00FD40B8">
        <w:rPr>
          <w:color w:val="131727" w:themeColor="text1"/>
          <w:spacing w:val="5"/>
          <w:w w:val="110"/>
        </w:rPr>
        <w:t xml:space="preserve"> </w:t>
      </w:r>
      <w:r w:rsidRPr="00FD40B8">
        <w:rPr>
          <w:color w:val="131727" w:themeColor="text1"/>
          <w:w w:val="110"/>
        </w:rPr>
        <w:t>calculate</w:t>
      </w:r>
      <w:r w:rsidRPr="00FD40B8">
        <w:rPr>
          <w:color w:val="131727" w:themeColor="text1"/>
          <w:spacing w:val="3"/>
          <w:w w:val="110"/>
        </w:rPr>
        <w:t xml:space="preserve"> </w:t>
      </w:r>
      <w:r w:rsidRPr="00FD40B8">
        <w:rPr>
          <w:color w:val="131727" w:themeColor="text1"/>
          <w:w w:val="110"/>
        </w:rPr>
        <w:t>the</w:t>
      </w:r>
      <w:r w:rsidRPr="00FD40B8">
        <w:rPr>
          <w:color w:val="131727" w:themeColor="text1"/>
          <w:spacing w:val="4"/>
          <w:w w:val="110"/>
        </w:rPr>
        <w:t xml:space="preserve"> </w:t>
      </w:r>
      <w:r w:rsidRPr="00FD40B8">
        <w:rPr>
          <w:color w:val="131727" w:themeColor="text1"/>
          <w:w w:val="110"/>
        </w:rPr>
        <w:t>number</w:t>
      </w:r>
      <w:r w:rsidRPr="00FD40B8">
        <w:rPr>
          <w:color w:val="131727" w:themeColor="text1"/>
          <w:spacing w:val="-3"/>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houses</w:t>
      </w:r>
      <w:r w:rsidRPr="00FD40B8">
        <w:rPr>
          <w:color w:val="131727" w:themeColor="text1"/>
          <w:spacing w:val="1"/>
          <w:w w:val="110"/>
        </w:rPr>
        <w:t xml:space="preserve"> </w:t>
      </w:r>
      <w:r w:rsidRPr="00FD40B8">
        <w:rPr>
          <w:color w:val="131727" w:themeColor="text1"/>
          <w:w w:val="110"/>
        </w:rPr>
        <w:t>needed</w:t>
      </w:r>
      <w:r w:rsidRPr="00FD40B8">
        <w:rPr>
          <w:color w:val="131727" w:themeColor="text1"/>
          <w:spacing w:val="4"/>
          <w:w w:val="110"/>
        </w:rPr>
        <w:t xml:space="preserve"> </w:t>
      </w:r>
      <w:r w:rsidRPr="00FD40B8">
        <w:rPr>
          <w:color w:val="131727" w:themeColor="text1"/>
          <w:spacing w:val="-5"/>
          <w:w w:val="110"/>
        </w:rPr>
        <w:t>we:</w:t>
      </w:r>
    </w:p>
    <w:p w14:paraId="62486282" w14:textId="77777777" w:rsidR="00811887" w:rsidRPr="00FD40B8" w:rsidRDefault="00811887" w:rsidP="00811887">
      <w:pPr>
        <w:pStyle w:val="ListParagraph"/>
        <w:widowControl w:val="0"/>
        <w:numPr>
          <w:ilvl w:val="0"/>
          <w:numId w:val="59"/>
        </w:numPr>
        <w:tabs>
          <w:tab w:val="left" w:pos="1073"/>
          <w:tab w:val="left" w:pos="1075"/>
        </w:tabs>
        <w:autoSpaceDE w:val="0"/>
        <w:autoSpaceDN w:val="0"/>
        <w:spacing w:before="39" w:after="0" w:line="273" w:lineRule="auto"/>
        <w:ind w:right="817"/>
        <w:contextualSpacing w:val="0"/>
        <w:rPr>
          <w:color w:val="131727" w:themeColor="text1"/>
          <w:sz w:val="20"/>
        </w:rPr>
      </w:pPr>
      <w:r w:rsidRPr="00FD40B8">
        <w:rPr>
          <w:color w:val="131727" w:themeColor="text1"/>
          <w:w w:val="110"/>
          <w:sz w:val="20"/>
        </w:rPr>
        <w:t>Aggregated the total number of additional bedrooms</w:t>
      </w:r>
      <w:r w:rsidRPr="00FD40B8">
        <w:rPr>
          <w:color w:val="131727" w:themeColor="text1"/>
          <w:spacing w:val="-4"/>
          <w:w w:val="110"/>
          <w:sz w:val="20"/>
        </w:rPr>
        <w:t xml:space="preserve"> </w:t>
      </w:r>
      <w:r w:rsidRPr="00FD40B8">
        <w:rPr>
          <w:color w:val="131727" w:themeColor="text1"/>
          <w:w w:val="110"/>
          <w:sz w:val="20"/>
        </w:rPr>
        <w:t>needed (based</w:t>
      </w:r>
      <w:r w:rsidRPr="00FD40B8">
        <w:rPr>
          <w:color w:val="131727" w:themeColor="text1"/>
          <w:spacing w:val="-1"/>
          <w:w w:val="110"/>
          <w:sz w:val="20"/>
        </w:rPr>
        <w:t xml:space="preserve"> </w:t>
      </w:r>
      <w:r w:rsidRPr="00FD40B8">
        <w:rPr>
          <w:color w:val="131727" w:themeColor="text1"/>
          <w:w w:val="110"/>
          <w:sz w:val="20"/>
        </w:rPr>
        <w:t>on ABS homelessness and overcrowding data)</w:t>
      </w:r>
    </w:p>
    <w:p w14:paraId="0DF7F8BC" w14:textId="77777777" w:rsidR="00811887" w:rsidRPr="00FD40B8" w:rsidRDefault="00811887" w:rsidP="00811887">
      <w:pPr>
        <w:pStyle w:val="ListParagraph"/>
        <w:widowControl w:val="0"/>
        <w:numPr>
          <w:ilvl w:val="0"/>
          <w:numId w:val="59"/>
        </w:numPr>
        <w:tabs>
          <w:tab w:val="left" w:pos="1073"/>
        </w:tabs>
        <w:autoSpaceDE w:val="0"/>
        <w:autoSpaceDN w:val="0"/>
        <w:spacing w:after="0"/>
        <w:ind w:left="1073" w:hanging="282"/>
        <w:contextualSpacing w:val="0"/>
        <w:rPr>
          <w:color w:val="131727" w:themeColor="text1"/>
          <w:sz w:val="20"/>
        </w:rPr>
      </w:pPr>
      <w:r w:rsidRPr="00FD40B8">
        <w:rPr>
          <w:color w:val="131727" w:themeColor="text1"/>
          <w:w w:val="110"/>
          <w:sz w:val="20"/>
        </w:rPr>
        <w:t>Translated</w:t>
      </w:r>
      <w:r w:rsidRPr="00FD40B8">
        <w:rPr>
          <w:color w:val="131727" w:themeColor="text1"/>
          <w:spacing w:val="-1"/>
          <w:w w:val="110"/>
          <w:sz w:val="20"/>
        </w:rPr>
        <w:t xml:space="preserve"> </w:t>
      </w:r>
      <w:r w:rsidRPr="00FD40B8">
        <w:rPr>
          <w:color w:val="131727" w:themeColor="text1"/>
          <w:w w:val="110"/>
          <w:sz w:val="20"/>
        </w:rPr>
        <w:t>this</w:t>
      </w:r>
      <w:r w:rsidRPr="00FD40B8">
        <w:rPr>
          <w:color w:val="131727" w:themeColor="text1"/>
          <w:spacing w:val="2"/>
          <w:w w:val="110"/>
          <w:sz w:val="20"/>
        </w:rPr>
        <w:t xml:space="preserve"> </w:t>
      </w:r>
      <w:r w:rsidRPr="00FD40B8">
        <w:rPr>
          <w:color w:val="131727" w:themeColor="text1"/>
          <w:w w:val="110"/>
          <w:sz w:val="20"/>
        </w:rPr>
        <w:t>to</w:t>
      </w:r>
      <w:r w:rsidRPr="00FD40B8">
        <w:rPr>
          <w:color w:val="131727" w:themeColor="text1"/>
          <w:spacing w:val="-4"/>
          <w:w w:val="110"/>
          <w:sz w:val="20"/>
        </w:rPr>
        <w:t xml:space="preserve"> </w:t>
      </w:r>
      <w:r w:rsidRPr="00FD40B8">
        <w:rPr>
          <w:color w:val="131727" w:themeColor="text1"/>
          <w:w w:val="110"/>
          <w:sz w:val="20"/>
        </w:rPr>
        <w:t>number</w:t>
      </w:r>
      <w:r w:rsidRPr="00FD40B8">
        <w:rPr>
          <w:color w:val="131727" w:themeColor="text1"/>
          <w:spacing w:val="-6"/>
          <w:w w:val="110"/>
          <w:sz w:val="20"/>
        </w:rPr>
        <w:t xml:space="preserve"> </w:t>
      </w:r>
      <w:r w:rsidRPr="00FD40B8">
        <w:rPr>
          <w:color w:val="131727" w:themeColor="text1"/>
          <w:w w:val="110"/>
          <w:sz w:val="20"/>
        </w:rPr>
        <w:t>of</w:t>
      </w:r>
      <w:r w:rsidRPr="00FD40B8">
        <w:rPr>
          <w:color w:val="131727" w:themeColor="text1"/>
          <w:spacing w:val="2"/>
          <w:w w:val="110"/>
          <w:sz w:val="20"/>
        </w:rPr>
        <w:t xml:space="preserve"> </w:t>
      </w:r>
      <w:r w:rsidRPr="00FD40B8">
        <w:rPr>
          <w:color w:val="131727" w:themeColor="text1"/>
          <w:w w:val="110"/>
          <w:sz w:val="20"/>
        </w:rPr>
        <w:t>additional</w:t>
      </w:r>
      <w:r w:rsidRPr="00FD40B8">
        <w:rPr>
          <w:color w:val="131727" w:themeColor="text1"/>
          <w:spacing w:val="-4"/>
          <w:w w:val="110"/>
          <w:sz w:val="20"/>
        </w:rPr>
        <w:t xml:space="preserve"> </w:t>
      </w:r>
      <w:r w:rsidRPr="00FD40B8">
        <w:rPr>
          <w:color w:val="131727" w:themeColor="text1"/>
          <w:w w:val="110"/>
          <w:sz w:val="20"/>
        </w:rPr>
        <w:t>houses</w:t>
      </w:r>
      <w:r w:rsidRPr="00FD40B8">
        <w:rPr>
          <w:color w:val="131727" w:themeColor="text1"/>
          <w:spacing w:val="-3"/>
          <w:w w:val="110"/>
          <w:sz w:val="20"/>
        </w:rPr>
        <w:t xml:space="preserve"> </w:t>
      </w:r>
      <w:r w:rsidRPr="00FD40B8">
        <w:rPr>
          <w:color w:val="131727" w:themeColor="text1"/>
          <w:w w:val="110"/>
          <w:sz w:val="20"/>
        </w:rPr>
        <w:t xml:space="preserve">needed, both </w:t>
      </w:r>
      <w:r w:rsidRPr="00FD40B8">
        <w:rPr>
          <w:color w:val="131727" w:themeColor="text1"/>
          <w:spacing w:val="-5"/>
          <w:w w:val="110"/>
          <w:sz w:val="20"/>
        </w:rPr>
        <w:t>by</w:t>
      </w:r>
    </w:p>
    <w:p w14:paraId="7D0E0029" w14:textId="77777777" w:rsidR="00811887" w:rsidRPr="00FD40B8" w:rsidRDefault="00811887" w:rsidP="00811887">
      <w:pPr>
        <w:pStyle w:val="BodyText"/>
        <w:tabs>
          <w:tab w:val="left" w:pos="1948"/>
        </w:tabs>
        <w:spacing w:before="39"/>
        <w:ind w:left="1589"/>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rPr>
        <w:t>Assuming</w:t>
      </w:r>
      <w:r w:rsidRPr="00FD40B8">
        <w:rPr>
          <w:color w:val="131727" w:themeColor="text1"/>
          <w:spacing w:val="6"/>
          <w:w w:val="110"/>
        </w:rPr>
        <w:t xml:space="preserve"> </w:t>
      </w:r>
      <w:r w:rsidRPr="00FD40B8">
        <w:rPr>
          <w:color w:val="131727" w:themeColor="text1"/>
          <w:w w:val="110"/>
        </w:rPr>
        <w:t>a</w:t>
      </w:r>
      <w:r w:rsidRPr="00FD40B8">
        <w:rPr>
          <w:color w:val="131727" w:themeColor="text1"/>
          <w:spacing w:val="1"/>
          <w:w w:val="110"/>
        </w:rPr>
        <w:t xml:space="preserve"> </w:t>
      </w:r>
      <w:r w:rsidRPr="00FD40B8">
        <w:rPr>
          <w:color w:val="131727" w:themeColor="text1"/>
          <w:w w:val="110"/>
        </w:rPr>
        <w:t>standard</w:t>
      </w:r>
      <w:r w:rsidRPr="00FD40B8">
        <w:rPr>
          <w:color w:val="131727" w:themeColor="text1"/>
          <w:spacing w:val="6"/>
          <w:w w:val="110"/>
        </w:rPr>
        <w:t xml:space="preserve"> </w:t>
      </w:r>
      <w:r w:rsidRPr="00FD40B8">
        <w:rPr>
          <w:color w:val="131727" w:themeColor="text1"/>
          <w:w w:val="110"/>
        </w:rPr>
        <w:t>3-bedroom</w:t>
      </w:r>
      <w:r w:rsidRPr="00FD40B8">
        <w:rPr>
          <w:color w:val="131727" w:themeColor="text1"/>
          <w:spacing w:val="1"/>
          <w:w w:val="110"/>
        </w:rPr>
        <w:t xml:space="preserve"> </w:t>
      </w:r>
      <w:r w:rsidRPr="00FD40B8">
        <w:rPr>
          <w:color w:val="131727" w:themeColor="text1"/>
          <w:w w:val="110"/>
        </w:rPr>
        <w:t>house,</w:t>
      </w:r>
      <w:r w:rsidRPr="00FD40B8">
        <w:rPr>
          <w:color w:val="131727" w:themeColor="text1"/>
          <w:spacing w:val="6"/>
          <w:w w:val="110"/>
        </w:rPr>
        <w:t xml:space="preserve"> </w:t>
      </w:r>
      <w:r w:rsidRPr="00FD40B8">
        <w:rPr>
          <w:color w:val="131727" w:themeColor="text1"/>
          <w:spacing w:val="-5"/>
          <w:w w:val="110"/>
        </w:rPr>
        <w:t>and</w:t>
      </w:r>
    </w:p>
    <w:p w14:paraId="1D292A1F" w14:textId="77777777" w:rsidR="00811887" w:rsidRPr="00FD40B8" w:rsidRDefault="00811887" w:rsidP="00811887">
      <w:pPr>
        <w:pStyle w:val="BodyText"/>
        <w:tabs>
          <w:tab w:val="left" w:pos="1948"/>
        </w:tabs>
        <w:spacing w:before="34" w:line="273" w:lineRule="auto"/>
        <w:ind w:left="1948" w:right="804"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rPr>
        <w:t>Based</w:t>
      </w:r>
      <w:r w:rsidRPr="00FD40B8">
        <w:rPr>
          <w:color w:val="131727" w:themeColor="text1"/>
          <w:spacing w:val="-4"/>
          <w:w w:val="110"/>
        </w:rPr>
        <w:t xml:space="preserve"> </w:t>
      </w:r>
      <w:r w:rsidRPr="00FD40B8">
        <w:rPr>
          <w:color w:val="131727" w:themeColor="text1"/>
          <w:w w:val="110"/>
        </w:rPr>
        <w:t>on</w:t>
      </w:r>
      <w:r w:rsidRPr="00FD40B8">
        <w:rPr>
          <w:color w:val="131727" w:themeColor="text1"/>
          <w:spacing w:val="-3"/>
          <w:w w:val="110"/>
        </w:rPr>
        <w:t xml:space="preserve"> </w:t>
      </w:r>
      <w:r w:rsidRPr="00FD40B8">
        <w:rPr>
          <w:color w:val="131727" w:themeColor="text1"/>
          <w:w w:val="110"/>
        </w:rPr>
        <w:t>historical</w:t>
      </w:r>
      <w:r w:rsidRPr="00FD40B8">
        <w:rPr>
          <w:color w:val="131727" w:themeColor="text1"/>
          <w:spacing w:val="-2"/>
          <w:w w:val="110"/>
        </w:rPr>
        <w:t xml:space="preserve"> </w:t>
      </w:r>
      <w:r w:rsidRPr="00FD40B8">
        <w:rPr>
          <w:color w:val="131727" w:themeColor="text1"/>
          <w:w w:val="110"/>
        </w:rPr>
        <w:t>distribution of</w:t>
      </w:r>
      <w:r w:rsidRPr="00FD40B8">
        <w:rPr>
          <w:color w:val="131727" w:themeColor="text1"/>
          <w:spacing w:val="-2"/>
          <w:w w:val="110"/>
        </w:rPr>
        <w:t xml:space="preserve"> </w:t>
      </w:r>
      <w:r w:rsidRPr="00FD40B8">
        <w:rPr>
          <w:color w:val="131727" w:themeColor="text1"/>
          <w:w w:val="110"/>
        </w:rPr>
        <w:t>house</w:t>
      </w:r>
      <w:r w:rsidRPr="00FD40B8">
        <w:rPr>
          <w:color w:val="131727" w:themeColor="text1"/>
          <w:spacing w:val="-4"/>
          <w:w w:val="110"/>
        </w:rPr>
        <w:t xml:space="preserve"> </w:t>
      </w:r>
      <w:r w:rsidRPr="00FD40B8">
        <w:rPr>
          <w:color w:val="131727" w:themeColor="text1"/>
          <w:w w:val="110"/>
        </w:rPr>
        <w:t>size (i.e.</w:t>
      </w:r>
      <w:r w:rsidRPr="00FD40B8">
        <w:rPr>
          <w:color w:val="131727" w:themeColor="text1"/>
          <w:spacing w:val="-4"/>
          <w:w w:val="110"/>
        </w:rPr>
        <w:t xml:space="preserve"> </w:t>
      </w:r>
      <w:r w:rsidRPr="00FD40B8">
        <w:rPr>
          <w:color w:val="131727" w:themeColor="text1"/>
          <w:w w:val="110"/>
        </w:rPr>
        <w:t>number</w:t>
      </w:r>
      <w:r w:rsidRPr="00FD40B8">
        <w:rPr>
          <w:color w:val="131727" w:themeColor="text1"/>
          <w:spacing w:val="-1"/>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bedrooms)</w:t>
      </w:r>
      <w:r w:rsidRPr="00FD40B8">
        <w:rPr>
          <w:color w:val="131727" w:themeColor="text1"/>
          <w:spacing w:val="-1"/>
          <w:w w:val="110"/>
        </w:rPr>
        <w:t xml:space="preserve"> </w:t>
      </w:r>
      <w:r w:rsidRPr="00FD40B8">
        <w:rPr>
          <w:color w:val="131727" w:themeColor="text1"/>
          <w:w w:val="110"/>
        </w:rPr>
        <w:t>in SOMIH and Indigenous community housing.</w:t>
      </w:r>
    </w:p>
    <w:p w14:paraId="4F41993D" w14:textId="77777777" w:rsidR="00811887" w:rsidRPr="00FD40B8" w:rsidRDefault="00811887" w:rsidP="00811887">
      <w:pPr>
        <w:pStyle w:val="ListParagraph"/>
        <w:widowControl w:val="0"/>
        <w:numPr>
          <w:ilvl w:val="0"/>
          <w:numId w:val="59"/>
        </w:numPr>
        <w:tabs>
          <w:tab w:val="left" w:pos="1075"/>
        </w:tabs>
        <w:autoSpaceDE w:val="0"/>
        <w:autoSpaceDN w:val="0"/>
        <w:spacing w:before="6" w:after="0" w:line="273" w:lineRule="auto"/>
        <w:ind w:right="803"/>
        <w:contextualSpacing w:val="0"/>
        <w:rPr>
          <w:color w:val="131727" w:themeColor="text1"/>
          <w:sz w:val="20"/>
        </w:rPr>
      </w:pPr>
      <w:r w:rsidRPr="00FD40B8">
        <w:rPr>
          <w:color w:val="131727" w:themeColor="text1"/>
          <w:w w:val="110"/>
          <w:sz w:val="20"/>
        </w:rPr>
        <w:t>Separately</w:t>
      </w:r>
      <w:r w:rsidRPr="00FD40B8">
        <w:rPr>
          <w:color w:val="131727" w:themeColor="text1"/>
          <w:spacing w:val="-3"/>
          <w:w w:val="110"/>
          <w:sz w:val="20"/>
        </w:rPr>
        <w:t xml:space="preserve"> </w:t>
      </w:r>
      <w:r w:rsidRPr="00FD40B8">
        <w:rPr>
          <w:color w:val="131727" w:themeColor="text1"/>
          <w:w w:val="110"/>
          <w:sz w:val="20"/>
        </w:rPr>
        <w:t>estimated</w:t>
      </w:r>
      <w:r w:rsidRPr="00FD40B8">
        <w:rPr>
          <w:color w:val="131727" w:themeColor="text1"/>
          <w:spacing w:val="-1"/>
          <w:w w:val="110"/>
          <w:sz w:val="20"/>
        </w:rPr>
        <w:t xml:space="preserve"> </w:t>
      </w:r>
      <w:r w:rsidRPr="00FD40B8">
        <w:rPr>
          <w:color w:val="131727" w:themeColor="text1"/>
          <w:w w:val="110"/>
          <w:sz w:val="20"/>
        </w:rPr>
        <w:t>the</w:t>
      </w:r>
      <w:r w:rsidRPr="00FD40B8">
        <w:rPr>
          <w:color w:val="131727" w:themeColor="text1"/>
          <w:spacing w:val="-1"/>
          <w:w w:val="110"/>
          <w:sz w:val="20"/>
        </w:rPr>
        <w:t xml:space="preserve"> </w:t>
      </w:r>
      <w:r w:rsidRPr="00FD40B8">
        <w:rPr>
          <w:color w:val="131727" w:themeColor="text1"/>
          <w:w w:val="110"/>
          <w:sz w:val="20"/>
        </w:rPr>
        <w:t>number</w:t>
      </w:r>
      <w:r w:rsidRPr="00FD40B8">
        <w:rPr>
          <w:color w:val="131727" w:themeColor="text1"/>
          <w:spacing w:val="-7"/>
          <w:w w:val="110"/>
          <w:sz w:val="20"/>
        </w:rPr>
        <w:t xml:space="preserve"> </w:t>
      </w:r>
      <w:r w:rsidRPr="00FD40B8">
        <w:rPr>
          <w:color w:val="131727" w:themeColor="text1"/>
          <w:w w:val="110"/>
          <w:sz w:val="20"/>
        </w:rPr>
        <w:t>of</w:t>
      </w:r>
      <w:r w:rsidRPr="00FD40B8">
        <w:rPr>
          <w:color w:val="131727" w:themeColor="text1"/>
          <w:spacing w:val="-4"/>
          <w:w w:val="110"/>
          <w:sz w:val="20"/>
        </w:rPr>
        <w:t xml:space="preserve"> </w:t>
      </w:r>
      <w:r w:rsidRPr="00FD40B8">
        <w:rPr>
          <w:color w:val="131727" w:themeColor="text1"/>
          <w:w w:val="110"/>
          <w:sz w:val="20"/>
        </w:rPr>
        <w:t>additional houses</w:t>
      </w:r>
      <w:r w:rsidRPr="00FD40B8">
        <w:rPr>
          <w:color w:val="131727" w:themeColor="text1"/>
          <w:spacing w:val="-4"/>
          <w:w w:val="110"/>
          <w:sz w:val="20"/>
        </w:rPr>
        <w:t xml:space="preserve"> </w:t>
      </w:r>
      <w:r w:rsidRPr="00FD40B8">
        <w:rPr>
          <w:color w:val="131727" w:themeColor="text1"/>
          <w:w w:val="110"/>
          <w:sz w:val="20"/>
        </w:rPr>
        <w:t>that</w:t>
      </w:r>
      <w:r w:rsidRPr="00FD40B8">
        <w:rPr>
          <w:color w:val="131727" w:themeColor="text1"/>
          <w:spacing w:val="-1"/>
          <w:w w:val="110"/>
          <w:sz w:val="20"/>
        </w:rPr>
        <w:t xml:space="preserve"> </w:t>
      </w:r>
      <w:r w:rsidRPr="00FD40B8">
        <w:rPr>
          <w:color w:val="131727" w:themeColor="text1"/>
          <w:w w:val="110"/>
          <w:sz w:val="20"/>
        </w:rPr>
        <w:t>are</w:t>
      </w:r>
      <w:r w:rsidRPr="00FD40B8">
        <w:rPr>
          <w:color w:val="131727" w:themeColor="text1"/>
          <w:spacing w:val="-1"/>
          <w:w w:val="110"/>
          <w:sz w:val="20"/>
        </w:rPr>
        <w:t xml:space="preserve"> </w:t>
      </w:r>
      <w:r w:rsidRPr="00FD40B8">
        <w:rPr>
          <w:color w:val="131727" w:themeColor="text1"/>
          <w:w w:val="110"/>
          <w:sz w:val="20"/>
        </w:rPr>
        <w:t>likely</w:t>
      </w:r>
      <w:r w:rsidRPr="00FD40B8">
        <w:rPr>
          <w:color w:val="131727" w:themeColor="text1"/>
          <w:spacing w:val="-3"/>
          <w:w w:val="110"/>
          <w:sz w:val="20"/>
        </w:rPr>
        <w:t xml:space="preserve"> </w:t>
      </w:r>
      <w:r w:rsidRPr="00FD40B8">
        <w:rPr>
          <w:color w:val="131727" w:themeColor="text1"/>
          <w:w w:val="110"/>
          <w:sz w:val="20"/>
        </w:rPr>
        <w:t>to</w:t>
      </w:r>
      <w:r w:rsidRPr="00FD40B8">
        <w:rPr>
          <w:color w:val="131727" w:themeColor="text1"/>
          <w:spacing w:val="-4"/>
          <w:w w:val="110"/>
          <w:sz w:val="20"/>
        </w:rPr>
        <w:t xml:space="preserve"> </w:t>
      </w:r>
      <w:r w:rsidRPr="00FD40B8">
        <w:rPr>
          <w:color w:val="131727" w:themeColor="text1"/>
          <w:w w:val="110"/>
          <w:sz w:val="20"/>
        </w:rPr>
        <w:t>need</w:t>
      </w:r>
      <w:r w:rsidRPr="00FD40B8">
        <w:rPr>
          <w:color w:val="131727" w:themeColor="text1"/>
          <w:spacing w:val="-7"/>
          <w:w w:val="110"/>
          <w:sz w:val="20"/>
        </w:rPr>
        <w:t xml:space="preserve"> </w:t>
      </w:r>
      <w:r w:rsidRPr="00FD40B8">
        <w:rPr>
          <w:color w:val="131727" w:themeColor="text1"/>
          <w:w w:val="110"/>
          <w:sz w:val="20"/>
        </w:rPr>
        <w:t>repair</w:t>
      </w:r>
      <w:r w:rsidRPr="00FD40B8">
        <w:rPr>
          <w:color w:val="131727" w:themeColor="text1"/>
          <w:spacing w:val="-7"/>
          <w:w w:val="110"/>
          <w:sz w:val="20"/>
        </w:rPr>
        <w:t xml:space="preserve"> </w:t>
      </w:r>
      <w:r w:rsidRPr="00FD40B8">
        <w:rPr>
          <w:color w:val="131727" w:themeColor="text1"/>
          <w:w w:val="110"/>
          <w:sz w:val="20"/>
        </w:rPr>
        <w:t>or</w:t>
      </w:r>
      <w:r w:rsidRPr="00FD40B8">
        <w:rPr>
          <w:color w:val="131727" w:themeColor="text1"/>
          <w:spacing w:val="-3"/>
          <w:w w:val="110"/>
          <w:sz w:val="20"/>
        </w:rPr>
        <w:t xml:space="preserve"> </w:t>
      </w:r>
      <w:r w:rsidRPr="00FD40B8">
        <w:rPr>
          <w:color w:val="131727" w:themeColor="text1"/>
          <w:w w:val="110"/>
          <w:sz w:val="20"/>
        </w:rPr>
        <w:t>replacing due to structural problems or a lack of basic facilities.</w:t>
      </w:r>
    </w:p>
    <w:p w14:paraId="22A098EC" w14:textId="77777777" w:rsidR="00811887" w:rsidRPr="00FD40B8" w:rsidRDefault="00811887" w:rsidP="00811887">
      <w:pPr>
        <w:pStyle w:val="BodyText"/>
        <w:spacing w:before="39"/>
        <w:rPr>
          <w:color w:val="131727" w:themeColor="text1"/>
        </w:rPr>
      </w:pPr>
    </w:p>
    <w:p w14:paraId="06174E75" w14:textId="77777777" w:rsidR="00811887" w:rsidRPr="00FD40B8" w:rsidRDefault="00811887" w:rsidP="00811887">
      <w:pPr>
        <w:pStyle w:val="BodyText"/>
        <w:ind w:left="508"/>
        <w:rPr>
          <w:color w:val="131727" w:themeColor="text1"/>
        </w:rPr>
      </w:pPr>
      <w:r w:rsidRPr="00FD40B8">
        <w:rPr>
          <w:color w:val="131727" w:themeColor="text1"/>
          <w:w w:val="110"/>
        </w:rPr>
        <w:t>Step</w:t>
      </w:r>
      <w:r w:rsidRPr="00FD40B8">
        <w:rPr>
          <w:color w:val="131727" w:themeColor="text1"/>
          <w:spacing w:val="-3"/>
          <w:w w:val="110"/>
        </w:rPr>
        <w:t xml:space="preserve"> </w:t>
      </w:r>
      <w:r w:rsidRPr="00FD40B8">
        <w:rPr>
          <w:color w:val="131727" w:themeColor="text1"/>
          <w:w w:val="110"/>
        </w:rPr>
        <w:t>1:</w:t>
      </w:r>
      <w:r w:rsidRPr="00FD40B8">
        <w:rPr>
          <w:color w:val="131727" w:themeColor="text1"/>
          <w:spacing w:val="-2"/>
          <w:w w:val="110"/>
        </w:rPr>
        <w:t xml:space="preserve"> </w:t>
      </w:r>
      <w:r w:rsidRPr="00FD40B8">
        <w:rPr>
          <w:color w:val="131727" w:themeColor="text1"/>
          <w:w w:val="110"/>
        </w:rPr>
        <w:t>Aggregating</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7"/>
          <w:w w:val="110"/>
        </w:rPr>
        <w:t xml:space="preserve"> </w:t>
      </w:r>
      <w:r w:rsidRPr="00FD40B8">
        <w:rPr>
          <w:color w:val="131727" w:themeColor="text1"/>
          <w:w w:val="110"/>
        </w:rPr>
        <w:t>number</w:t>
      </w:r>
      <w:r w:rsidRPr="00FD40B8">
        <w:rPr>
          <w:color w:val="131727" w:themeColor="text1"/>
          <w:spacing w:val="-5"/>
          <w:w w:val="110"/>
        </w:rPr>
        <w:t xml:space="preserve"> </w:t>
      </w:r>
      <w:r w:rsidRPr="00FD40B8">
        <w:rPr>
          <w:color w:val="131727" w:themeColor="text1"/>
          <w:w w:val="110"/>
        </w:rPr>
        <w:t>of additional</w:t>
      </w:r>
      <w:r w:rsidRPr="00FD40B8">
        <w:rPr>
          <w:color w:val="131727" w:themeColor="text1"/>
          <w:spacing w:val="-1"/>
          <w:w w:val="110"/>
        </w:rPr>
        <w:t xml:space="preserve"> </w:t>
      </w:r>
      <w:r w:rsidRPr="00FD40B8">
        <w:rPr>
          <w:color w:val="131727" w:themeColor="text1"/>
          <w:w w:val="110"/>
        </w:rPr>
        <w:t xml:space="preserve">bedrooms </w:t>
      </w:r>
      <w:r w:rsidRPr="00FD40B8">
        <w:rPr>
          <w:color w:val="131727" w:themeColor="text1"/>
          <w:spacing w:val="-2"/>
          <w:w w:val="110"/>
        </w:rPr>
        <w:t>needed</w:t>
      </w:r>
    </w:p>
    <w:p w14:paraId="4729A53C" w14:textId="77777777" w:rsidR="00811887" w:rsidRPr="00FD40B8" w:rsidRDefault="00811887" w:rsidP="00811887">
      <w:pPr>
        <w:pStyle w:val="BodyText"/>
        <w:spacing w:before="34"/>
        <w:ind w:left="508"/>
        <w:rPr>
          <w:color w:val="131727" w:themeColor="text1"/>
        </w:rPr>
      </w:pP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2021</w:t>
      </w:r>
      <w:r w:rsidRPr="00FD40B8">
        <w:rPr>
          <w:color w:val="131727" w:themeColor="text1"/>
          <w:spacing w:val="5"/>
          <w:w w:val="110"/>
        </w:rPr>
        <w:t xml:space="preserve"> </w:t>
      </w:r>
      <w:r w:rsidRPr="00FD40B8">
        <w:rPr>
          <w:color w:val="131727" w:themeColor="text1"/>
          <w:w w:val="110"/>
        </w:rPr>
        <w:t>ABS</w:t>
      </w:r>
      <w:r w:rsidRPr="00FD40B8">
        <w:rPr>
          <w:color w:val="131727" w:themeColor="text1"/>
          <w:spacing w:val="7"/>
          <w:w w:val="110"/>
        </w:rPr>
        <w:t xml:space="preserve"> </w:t>
      </w:r>
      <w:r w:rsidRPr="00FD40B8">
        <w:rPr>
          <w:color w:val="131727" w:themeColor="text1"/>
          <w:w w:val="110"/>
        </w:rPr>
        <w:t>Census</w:t>
      </w:r>
      <w:r w:rsidRPr="00FD40B8">
        <w:rPr>
          <w:color w:val="131727" w:themeColor="text1"/>
          <w:spacing w:val="8"/>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provides</w:t>
      </w:r>
      <w:r w:rsidRPr="00FD40B8">
        <w:rPr>
          <w:color w:val="131727" w:themeColor="text1"/>
          <w:spacing w:val="2"/>
          <w:w w:val="110"/>
        </w:rPr>
        <w:t xml:space="preserve"> </w:t>
      </w:r>
      <w:r w:rsidRPr="00FD40B8">
        <w:rPr>
          <w:color w:val="131727" w:themeColor="text1"/>
          <w:w w:val="110"/>
        </w:rPr>
        <w:t>numbers</w:t>
      </w:r>
      <w:r w:rsidRPr="00FD40B8">
        <w:rPr>
          <w:color w:val="131727" w:themeColor="text1"/>
          <w:spacing w:val="3"/>
          <w:w w:val="110"/>
        </w:rPr>
        <w:t xml:space="preserve"> </w:t>
      </w:r>
      <w:r w:rsidRPr="00FD40B8">
        <w:rPr>
          <w:color w:val="131727" w:themeColor="text1"/>
          <w:w w:val="110"/>
        </w:rPr>
        <w:t>of</w:t>
      </w:r>
      <w:r w:rsidRPr="00FD40B8">
        <w:rPr>
          <w:color w:val="131727" w:themeColor="text1"/>
          <w:spacing w:val="7"/>
          <w:w w:val="110"/>
        </w:rPr>
        <w:t xml:space="preserve"> </w:t>
      </w:r>
      <w:r w:rsidRPr="00FD40B8">
        <w:rPr>
          <w:color w:val="131727" w:themeColor="text1"/>
          <w:w w:val="110"/>
        </w:rPr>
        <w:t>people</w:t>
      </w:r>
      <w:r w:rsidRPr="00FD40B8">
        <w:rPr>
          <w:color w:val="131727" w:themeColor="text1"/>
          <w:spacing w:val="6"/>
          <w:w w:val="110"/>
        </w:rPr>
        <w:t xml:space="preserve"> </w:t>
      </w:r>
      <w:r w:rsidRPr="00FD40B8">
        <w:rPr>
          <w:color w:val="131727" w:themeColor="text1"/>
          <w:w w:val="110"/>
        </w:rPr>
        <w:t>experiencing homelessness,</w:t>
      </w:r>
      <w:r w:rsidRPr="00FD40B8">
        <w:rPr>
          <w:color w:val="131727" w:themeColor="text1"/>
          <w:spacing w:val="5"/>
          <w:w w:val="110"/>
        </w:rPr>
        <w:t xml:space="preserve"> </w:t>
      </w:r>
      <w:r w:rsidRPr="00FD40B8">
        <w:rPr>
          <w:color w:val="131727" w:themeColor="text1"/>
          <w:w w:val="110"/>
        </w:rPr>
        <w:t>including</w:t>
      </w:r>
      <w:r w:rsidRPr="00FD40B8">
        <w:rPr>
          <w:color w:val="131727" w:themeColor="text1"/>
          <w:spacing w:val="1"/>
          <w:w w:val="110"/>
        </w:rPr>
        <w:t xml:space="preserve"> </w:t>
      </w:r>
      <w:r w:rsidRPr="00FD40B8">
        <w:rPr>
          <w:color w:val="131727" w:themeColor="text1"/>
          <w:spacing w:val="-2"/>
          <w:w w:val="110"/>
        </w:rPr>
        <w:t>people:</w:t>
      </w:r>
    </w:p>
    <w:p w14:paraId="23B4DA9F" w14:textId="77777777" w:rsidR="00811887" w:rsidRPr="00FD40B8" w:rsidRDefault="00811887" w:rsidP="00811887">
      <w:pPr>
        <w:pStyle w:val="ListParagraph"/>
        <w:widowControl w:val="0"/>
        <w:numPr>
          <w:ilvl w:val="1"/>
          <w:numId w:val="59"/>
        </w:numPr>
        <w:tabs>
          <w:tab w:val="left" w:pos="1228"/>
        </w:tabs>
        <w:autoSpaceDE w:val="0"/>
        <w:autoSpaceDN w:val="0"/>
        <w:spacing w:before="24" w:after="0"/>
        <w:ind w:hanging="360"/>
        <w:contextualSpacing w:val="0"/>
        <w:rPr>
          <w:color w:val="131727" w:themeColor="text1"/>
          <w:sz w:val="20"/>
        </w:rPr>
      </w:pPr>
      <w:r w:rsidRPr="00FD40B8">
        <w:rPr>
          <w:color w:val="131727" w:themeColor="text1"/>
          <w:w w:val="110"/>
          <w:sz w:val="20"/>
        </w:rPr>
        <w:t>living</w:t>
      </w:r>
      <w:r w:rsidRPr="00FD40B8">
        <w:rPr>
          <w:color w:val="131727" w:themeColor="text1"/>
          <w:spacing w:val="-12"/>
          <w:w w:val="110"/>
          <w:sz w:val="20"/>
        </w:rPr>
        <w:t xml:space="preserve"> </w:t>
      </w:r>
      <w:r w:rsidRPr="00FD40B8">
        <w:rPr>
          <w:color w:val="131727" w:themeColor="text1"/>
          <w:w w:val="110"/>
          <w:sz w:val="20"/>
        </w:rPr>
        <w:t>in</w:t>
      </w:r>
      <w:r w:rsidRPr="00FD40B8">
        <w:rPr>
          <w:color w:val="131727" w:themeColor="text1"/>
          <w:spacing w:val="-10"/>
          <w:w w:val="110"/>
          <w:sz w:val="20"/>
        </w:rPr>
        <w:t xml:space="preserve"> </w:t>
      </w:r>
      <w:r w:rsidRPr="00FD40B8">
        <w:rPr>
          <w:color w:val="131727" w:themeColor="text1"/>
          <w:w w:val="110"/>
          <w:sz w:val="20"/>
        </w:rPr>
        <w:t>improvised</w:t>
      </w:r>
      <w:r w:rsidRPr="00FD40B8">
        <w:rPr>
          <w:color w:val="131727" w:themeColor="text1"/>
          <w:spacing w:val="-11"/>
          <w:w w:val="110"/>
          <w:sz w:val="20"/>
        </w:rPr>
        <w:t xml:space="preserve"> </w:t>
      </w:r>
      <w:r w:rsidRPr="00FD40B8">
        <w:rPr>
          <w:color w:val="131727" w:themeColor="text1"/>
          <w:w w:val="110"/>
          <w:sz w:val="20"/>
        </w:rPr>
        <w:t>dwellings,</w:t>
      </w:r>
      <w:r w:rsidRPr="00FD40B8">
        <w:rPr>
          <w:color w:val="131727" w:themeColor="text1"/>
          <w:spacing w:val="-7"/>
          <w:w w:val="110"/>
          <w:sz w:val="20"/>
        </w:rPr>
        <w:t xml:space="preserve"> </w:t>
      </w:r>
      <w:r w:rsidRPr="00FD40B8">
        <w:rPr>
          <w:color w:val="131727" w:themeColor="text1"/>
          <w:w w:val="110"/>
          <w:sz w:val="20"/>
        </w:rPr>
        <w:t>tents</w:t>
      </w:r>
      <w:r w:rsidRPr="00FD40B8">
        <w:rPr>
          <w:color w:val="131727" w:themeColor="text1"/>
          <w:spacing w:val="-10"/>
          <w:w w:val="110"/>
          <w:sz w:val="20"/>
        </w:rPr>
        <w:t xml:space="preserve"> </w:t>
      </w:r>
      <w:r w:rsidRPr="00FD40B8">
        <w:rPr>
          <w:color w:val="131727" w:themeColor="text1"/>
          <w:w w:val="110"/>
          <w:sz w:val="20"/>
        </w:rPr>
        <w:t>or</w:t>
      </w:r>
      <w:r w:rsidRPr="00FD40B8">
        <w:rPr>
          <w:color w:val="131727" w:themeColor="text1"/>
          <w:spacing w:val="-12"/>
          <w:w w:val="110"/>
          <w:sz w:val="20"/>
        </w:rPr>
        <w:t xml:space="preserve"> </w:t>
      </w:r>
      <w:r w:rsidRPr="00FD40B8">
        <w:rPr>
          <w:color w:val="131727" w:themeColor="text1"/>
          <w:w w:val="110"/>
          <w:sz w:val="20"/>
        </w:rPr>
        <w:t>sleeping</w:t>
      </w:r>
      <w:r w:rsidRPr="00FD40B8">
        <w:rPr>
          <w:color w:val="131727" w:themeColor="text1"/>
          <w:spacing w:val="-11"/>
          <w:w w:val="110"/>
          <w:sz w:val="20"/>
        </w:rPr>
        <w:t xml:space="preserve"> </w:t>
      </w:r>
      <w:r w:rsidRPr="00FD40B8">
        <w:rPr>
          <w:color w:val="131727" w:themeColor="text1"/>
          <w:spacing w:val="-5"/>
          <w:w w:val="110"/>
          <w:sz w:val="20"/>
        </w:rPr>
        <w:t>out</w:t>
      </w:r>
    </w:p>
    <w:p w14:paraId="6C33C7D9" w14:textId="77777777" w:rsidR="00811887" w:rsidRPr="00FD40B8" w:rsidRDefault="00811887" w:rsidP="00811887">
      <w:pPr>
        <w:pStyle w:val="ListParagraph"/>
        <w:widowControl w:val="0"/>
        <w:numPr>
          <w:ilvl w:val="1"/>
          <w:numId w:val="59"/>
        </w:numPr>
        <w:tabs>
          <w:tab w:val="left" w:pos="1228"/>
        </w:tabs>
        <w:autoSpaceDE w:val="0"/>
        <w:autoSpaceDN w:val="0"/>
        <w:spacing w:before="29" w:after="0"/>
        <w:ind w:hanging="360"/>
        <w:contextualSpacing w:val="0"/>
        <w:rPr>
          <w:color w:val="131727" w:themeColor="text1"/>
          <w:sz w:val="20"/>
        </w:rPr>
      </w:pPr>
      <w:r w:rsidRPr="00FD40B8">
        <w:rPr>
          <w:color w:val="131727" w:themeColor="text1"/>
          <w:w w:val="110"/>
          <w:sz w:val="20"/>
        </w:rPr>
        <w:t>living</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6"/>
          <w:w w:val="110"/>
          <w:sz w:val="20"/>
        </w:rPr>
        <w:t xml:space="preserve"> </w:t>
      </w:r>
      <w:r w:rsidRPr="00FD40B8">
        <w:rPr>
          <w:color w:val="131727" w:themeColor="text1"/>
          <w:w w:val="110"/>
          <w:sz w:val="20"/>
        </w:rPr>
        <w:t>supported</w:t>
      </w:r>
      <w:r w:rsidRPr="00FD40B8">
        <w:rPr>
          <w:color w:val="131727" w:themeColor="text1"/>
          <w:spacing w:val="-3"/>
          <w:w w:val="110"/>
          <w:sz w:val="20"/>
        </w:rPr>
        <w:t xml:space="preserve"> </w:t>
      </w:r>
      <w:r w:rsidRPr="00FD40B8">
        <w:rPr>
          <w:color w:val="131727" w:themeColor="text1"/>
          <w:w w:val="110"/>
          <w:sz w:val="20"/>
        </w:rPr>
        <w:t>accommodation</w:t>
      </w:r>
      <w:r w:rsidRPr="00FD40B8">
        <w:rPr>
          <w:color w:val="131727" w:themeColor="text1"/>
          <w:spacing w:val="-1"/>
          <w:w w:val="110"/>
          <w:sz w:val="20"/>
        </w:rPr>
        <w:t xml:space="preserve"> </w:t>
      </w:r>
      <w:r w:rsidRPr="00FD40B8">
        <w:rPr>
          <w:color w:val="131727" w:themeColor="text1"/>
          <w:w w:val="110"/>
          <w:sz w:val="20"/>
        </w:rPr>
        <w:t>for</w:t>
      </w:r>
      <w:r w:rsidRPr="00FD40B8">
        <w:rPr>
          <w:color w:val="131727" w:themeColor="text1"/>
          <w:spacing w:val="-5"/>
          <w:w w:val="110"/>
          <w:sz w:val="20"/>
        </w:rPr>
        <w:t xml:space="preserve"> </w:t>
      </w:r>
      <w:r w:rsidRPr="00FD40B8">
        <w:rPr>
          <w:color w:val="131727" w:themeColor="text1"/>
          <w:w w:val="110"/>
          <w:sz w:val="20"/>
        </w:rPr>
        <w:t>the</w:t>
      </w:r>
      <w:r w:rsidRPr="00FD40B8">
        <w:rPr>
          <w:color w:val="131727" w:themeColor="text1"/>
          <w:spacing w:val="-2"/>
          <w:w w:val="110"/>
          <w:sz w:val="20"/>
        </w:rPr>
        <w:t xml:space="preserve"> homeless</w:t>
      </w:r>
    </w:p>
    <w:p w14:paraId="1986B19E" w14:textId="77777777" w:rsidR="00811887" w:rsidRPr="00FD40B8" w:rsidRDefault="00811887" w:rsidP="00811887">
      <w:pPr>
        <w:pStyle w:val="ListParagraph"/>
        <w:widowControl w:val="0"/>
        <w:numPr>
          <w:ilvl w:val="1"/>
          <w:numId w:val="59"/>
        </w:numPr>
        <w:tabs>
          <w:tab w:val="left" w:pos="1228"/>
        </w:tabs>
        <w:autoSpaceDE w:val="0"/>
        <w:autoSpaceDN w:val="0"/>
        <w:spacing w:before="23" w:after="0"/>
        <w:ind w:hanging="360"/>
        <w:contextualSpacing w:val="0"/>
        <w:rPr>
          <w:color w:val="131727" w:themeColor="text1"/>
          <w:sz w:val="20"/>
        </w:rPr>
      </w:pPr>
      <w:r w:rsidRPr="00FD40B8">
        <w:rPr>
          <w:color w:val="131727" w:themeColor="text1"/>
          <w:spacing w:val="-2"/>
          <w:w w:val="110"/>
          <w:sz w:val="20"/>
        </w:rPr>
        <w:t>staying temporarily with</w:t>
      </w:r>
      <w:r w:rsidRPr="00FD40B8">
        <w:rPr>
          <w:color w:val="131727" w:themeColor="text1"/>
          <w:spacing w:val="-1"/>
          <w:w w:val="110"/>
          <w:sz w:val="20"/>
        </w:rPr>
        <w:t xml:space="preserve"> </w:t>
      </w:r>
      <w:r w:rsidRPr="00FD40B8">
        <w:rPr>
          <w:color w:val="131727" w:themeColor="text1"/>
          <w:spacing w:val="-2"/>
          <w:w w:val="110"/>
          <w:sz w:val="20"/>
        </w:rPr>
        <w:t>other households</w:t>
      </w:r>
    </w:p>
    <w:p w14:paraId="5F58AF85" w14:textId="77777777" w:rsidR="00811887" w:rsidRPr="00FD40B8" w:rsidRDefault="00811887" w:rsidP="00811887">
      <w:pPr>
        <w:pStyle w:val="ListParagraph"/>
        <w:widowControl w:val="0"/>
        <w:numPr>
          <w:ilvl w:val="1"/>
          <w:numId w:val="59"/>
        </w:numPr>
        <w:tabs>
          <w:tab w:val="left" w:pos="1228"/>
        </w:tabs>
        <w:autoSpaceDE w:val="0"/>
        <w:autoSpaceDN w:val="0"/>
        <w:spacing w:before="24" w:after="0"/>
        <w:ind w:hanging="360"/>
        <w:contextualSpacing w:val="0"/>
        <w:rPr>
          <w:color w:val="131727" w:themeColor="text1"/>
          <w:sz w:val="20"/>
        </w:rPr>
      </w:pPr>
      <w:r w:rsidRPr="00FD40B8">
        <w:rPr>
          <w:color w:val="131727" w:themeColor="text1"/>
          <w:w w:val="110"/>
          <w:sz w:val="20"/>
        </w:rPr>
        <w:t>living</w:t>
      </w:r>
      <w:r w:rsidRPr="00FD40B8">
        <w:rPr>
          <w:color w:val="131727" w:themeColor="text1"/>
          <w:spacing w:val="-8"/>
          <w:w w:val="110"/>
          <w:sz w:val="20"/>
        </w:rPr>
        <w:t xml:space="preserve"> </w:t>
      </w:r>
      <w:r w:rsidRPr="00FD40B8">
        <w:rPr>
          <w:color w:val="131727" w:themeColor="text1"/>
          <w:w w:val="110"/>
          <w:sz w:val="20"/>
        </w:rPr>
        <w:t>in</w:t>
      </w:r>
      <w:r w:rsidRPr="00FD40B8">
        <w:rPr>
          <w:color w:val="131727" w:themeColor="text1"/>
          <w:spacing w:val="-7"/>
          <w:w w:val="110"/>
          <w:sz w:val="20"/>
        </w:rPr>
        <w:t xml:space="preserve"> </w:t>
      </w:r>
      <w:r w:rsidRPr="00FD40B8">
        <w:rPr>
          <w:color w:val="131727" w:themeColor="text1"/>
          <w:w w:val="110"/>
          <w:sz w:val="20"/>
        </w:rPr>
        <w:t>boarding</w:t>
      </w:r>
      <w:r w:rsidRPr="00FD40B8">
        <w:rPr>
          <w:color w:val="131727" w:themeColor="text1"/>
          <w:spacing w:val="-3"/>
          <w:w w:val="110"/>
          <w:sz w:val="20"/>
        </w:rPr>
        <w:t xml:space="preserve"> </w:t>
      </w:r>
      <w:r w:rsidRPr="00FD40B8">
        <w:rPr>
          <w:color w:val="131727" w:themeColor="text1"/>
          <w:spacing w:val="-2"/>
          <w:w w:val="110"/>
          <w:sz w:val="20"/>
        </w:rPr>
        <w:t>houses</w:t>
      </w:r>
    </w:p>
    <w:p w14:paraId="68527933" w14:textId="77777777" w:rsidR="00811887" w:rsidRPr="00FD40B8" w:rsidRDefault="00811887" w:rsidP="00811887">
      <w:pPr>
        <w:pStyle w:val="ListParagraph"/>
        <w:widowControl w:val="0"/>
        <w:numPr>
          <w:ilvl w:val="1"/>
          <w:numId w:val="59"/>
        </w:numPr>
        <w:tabs>
          <w:tab w:val="left" w:pos="1228"/>
        </w:tabs>
        <w:autoSpaceDE w:val="0"/>
        <w:autoSpaceDN w:val="0"/>
        <w:spacing w:before="28" w:after="0"/>
        <w:ind w:hanging="360"/>
        <w:contextualSpacing w:val="0"/>
        <w:rPr>
          <w:color w:val="131727" w:themeColor="text1"/>
          <w:sz w:val="20"/>
        </w:rPr>
      </w:pPr>
      <w:r w:rsidRPr="00FD40B8">
        <w:rPr>
          <w:color w:val="131727" w:themeColor="text1"/>
          <w:w w:val="110"/>
          <w:sz w:val="20"/>
        </w:rPr>
        <w:t>in</w:t>
      </w:r>
      <w:r w:rsidRPr="00FD40B8">
        <w:rPr>
          <w:color w:val="131727" w:themeColor="text1"/>
          <w:spacing w:val="-7"/>
          <w:w w:val="110"/>
          <w:sz w:val="20"/>
        </w:rPr>
        <w:t xml:space="preserve"> </w:t>
      </w:r>
      <w:r w:rsidRPr="00FD40B8">
        <w:rPr>
          <w:color w:val="131727" w:themeColor="text1"/>
          <w:w w:val="110"/>
          <w:sz w:val="20"/>
        </w:rPr>
        <w:t>other</w:t>
      </w:r>
      <w:r w:rsidRPr="00FD40B8">
        <w:rPr>
          <w:color w:val="131727" w:themeColor="text1"/>
          <w:spacing w:val="-6"/>
          <w:w w:val="110"/>
          <w:sz w:val="20"/>
        </w:rPr>
        <w:t xml:space="preserve"> </w:t>
      </w:r>
      <w:r w:rsidRPr="00FD40B8">
        <w:rPr>
          <w:color w:val="131727" w:themeColor="text1"/>
          <w:w w:val="110"/>
          <w:sz w:val="20"/>
        </w:rPr>
        <w:t>temporary</w:t>
      </w:r>
      <w:r w:rsidRPr="00FD40B8">
        <w:rPr>
          <w:color w:val="131727" w:themeColor="text1"/>
          <w:spacing w:val="-5"/>
          <w:w w:val="110"/>
          <w:sz w:val="20"/>
        </w:rPr>
        <w:t xml:space="preserve"> </w:t>
      </w:r>
      <w:r w:rsidRPr="00FD40B8">
        <w:rPr>
          <w:color w:val="131727" w:themeColor="text1"/>
          <w:spacing w:val="-2"/>
          <w:w w:val="110"/>
          <w:sz w:val="20"/>
        </w:rPr>
        <w:t>lodgings</w:t>
      </w:r>
    </w:p>
    <w:p w14:paraId="3F008B58" w14:textId="77777777" w:rsidR="00811887" w:rsidRPr="00FD40B8" w:rsidRDefault="00811887" w:rsidP="00811887">
      <w:pPr>
        <w:pStyle w:val="ListParagraph"/>
        <w:widowControl w:val="0"/>
        <w:numPr>
          <w:ilvl w:val="1"/>
          <w:numId w:val="59"/>
        </w:numPr>
        <w:tabs>
          <w:tab w:val="left" w:pos="1228"/>
        </w:tabs>
        <w:autoSpaceDE w:val="0"/>
        <w:autoSpaceDN w:val="0"/>
        <w:spacing w:before="24" w:after="0"/>
        <w:ind w:hanging="360"/>
        <w:contextualSpacing w:val="0"/>
        <w:rPr>
          <w:color w:val="131727" w:themeColor="text1"/>
          <w:sz w:val="20"/>
        </w:rPr>
      </w:pPr>
      <w:r w:rsidRPr="00FD40B8">
        <w:rPr>
          <w:color w:val="131727" w:themeColor="text1"/>
          <w:w w:val="105"/>
          <w:sz w:val="20"/>
        </w:rPr>
        <w:t>living</w:t>
      </w:r>
      <w:r w:rsidRPr="00FD40B8">
        <w:rPr>
          <w:color w:val="131727" w:themeColor="text1"/>
          <w:spacing w:val="1"/>
          <w:w w:val="105"/>
          <w:sz w:val="20"/>
        </w:rPr>
        <w:t xml:space="preserve"> </w:t>
      </w:r>
      <w:r w:rsidRPr="00FD40B8">
        <w:rPr>
          <w:color w:val="131727" w:themeColor="text1"/>
          <w:w w:val="105"/>
          <w:sz w:val="20"/>
        </w:rPr>
        <w:t>in</w:t>
      </w:r>
      <w:r w:rsidRPr="00FD40B8">
        <w:rPr>
          <w:color w:val="131727" w:themeColor="text1"/>
          <w:spacing w:val="2"/>
          <w:w w:val="105"/>
          <w:sz w:val="20"/>
        </w:rPr>
        <w:t xml:space="preserve"> </w:t>
      </w:r>
      <w:r w:rsidRPr="00FD40B8">
        <w:rPr>
          <w:color w:val="131727" w:themeColor="text1"/>
          <w:w w:val="105"/>
          <w:sz w:val="20"/>
        </w:rPr>
        <w:t>‘severely’</w:t>
      </w:r>
      <w:r w:rsidRPr="00FD40B8">
        <w:rPr>
          <w:color w:val="131727" w:themeColor="text1"/>
          <w:spacing w:val="6"/>
          <w:w w:val="105"/>
          <w:sz w:val="20"/>
        </w:rPr>
        <w:t xml:space="preserve"> </w:t>
      </w:r>
      <w:r w:rsidRPr="00FD40B8">
        <w:rPr>
          <w:color w:val="131727" w:themeColor="text1"/>
          <w:w w:val="105"/>
          <w:sz w:val="20"/>
        </w:rPr>
        <w:t>crowded</w:t>
      </w:r>
      <w:r w:rsidRPr="00FD40B8">
        <w:rPr>
          <w:color w:val="131727" w:themeColor="text1"/>
          <w:spacing w:val="7"/>
          <w:w w:val="105"/>
          <w:sz w:val="20"/>
        </w:rPr>
        <w:t xml:space="preserve"> </w:t>
      </w:r>
      <w:r w:rsidRPr="00FD40B8">
        <w:rPr>
          <w:color w:val="131727" w:themeColor="text1"/>
          <w:spacing w:val="-2"/>
          <w:w w:val="105"/>
          <w:sz w:val="20"/>
        </w:rPr>
        <w:t>dwellings.</w:t>
      </w:r>
    </w:p>
    <w:p w14:paraId="12EE8570" w14:textId="77777777" w:rsidR="00811887" w:rsidRPr="00FD40B8" w:rsidRDefault="00811887" w:rsidP="00811887">
      <w:pPr>
        <w:pStyle w:val="BodyText"/>
        <w:spacing w:before="40"/>
        <w:rPr>
          <w:color w:val="131727" w:themeColor="text1"/>
        </w:rPr>
      </w:pPr>
    </w:p>
    <w:p w14:paraId="6381E4B0" w14:textId="77777777" w:rsidR="00811887" w:rsidRPr="00FD40B8" w:rsidRDefault="00811887" w:rsidP="00811887">
      <w:pPr>
        <w:pStyle w:val="BodyText"/>
        <w:spacing w:line="273" w:lineRule="auto"/>
        <w:ind w:left="508" w:right="589"/>
        <w:rPr>
          <w:color w:val="131727" w:themeColor="text1"/>
        </w:rPr>
      </w:pPr>
      <w:r w:rsidRPr="00FD40B8">
        <w:rPr>
          <w:color w:val="131727" w:themeColor="text1"/>
          <w:w w:val="110"/>
        </w:rPr>
        <w:t>The ABS also provides an estimate of overcrowding in terms of the number of dwellings requiring extra bedrooms (by number of additional bedrooms needed)</w:t>
      </w:r>
      <w:hyperlink w:anchor="_bookmark102" w:history="1">
        <w:r w:rsidRPr="00FD40B8">
          <w:rPr>
            <w:color w:val="131727" w:themeColor="text1"/>
            <w:w w:val="110"/>
          </w:rPr>
          <w:t>.</w:t>
        </w:r>
        <w:r w:rsidRPr="00FD40B8">
          <w:rPr>
            <w:color w:val="131727" w:themeColor="text1"/>
            <w:w w:val="110"/>
            <w:position w:val="8"/>
            <w:sz w:val="13"/>
          </w:rPr>
          <w:t>83</w:t>
        </w:r>
      </w:hyperlink>
      <w:r w:rsidRPr="00FD40B8">
        <w:rPr>
          <w:color w:val="131727" w:themeColor="text1"/>
          <w:spacing w:val="80"/>
          <w:w w:val="110"/>
          <w:position w:val="8"/>
          <w:sz w:val="13"/>
        </w:rPr>
        <w:t xml:space="preserve"> </w:t>
      </w:r>
      <w:r w:rsidRPr="00FD40B8">
        <w:rPr>
          <w:color w:val="131727" w:themeColor="text1"/>
          <w:w w:val="110"/>
        </w:rPr>
        <w:t>These data are provided at a range of different geographic levels, such as by state or territory, Indigenous region or Indigenous area, remoteness.</w:t>
      </w:r>
      <w:r w:rsidRPr="00FD40B8">
        <w:rPr>
          <w:color w:val="131727" w:themeColor="text1"/>
          <w:spacing w:val="40"/>
          <w:w w:val="110"/>
        </w:rPr>
        <w:t xml:space="preserve"> </w:t>
      </w:r>
      <w:r w:rsidRPr="00FD40B8">
        <w:rPr>
          <w:color w:val="131727" w:themeColor="text1"/>
          <w:w w:val="110"/>
        </w:rPr>
        <w:t>For</w:t>
      </w:r>
      <w:r w:rsidRPr="00FD40B8">
        <w:rPr>
          <w:color w:val="131727" w:themeColor="text1"/>
          <w:spacing w:val="-3"/>
          <w:w w:val="110"/>
        </w:rPr>
        <w:t xml:space="preserve"> </w:t>
      </w:r>
      <w:r w:rsidRPr="00FD40B8">
        <w:rPr>
          <w:color w:val="131727" w:themeColor="text1"/>
          <w:w w:val="110"/>
        </w:rPr>
        <w:t>simplicity,</w:t>
      </w:r>
      <w:r w:rsidRPr="00FD40B8">
        <w:rPr>
          <w:color w:val="131727" w:themeColor="text1"/>
          <w:spacing w:val="-1"/>
          <w:w w:val="110"/>
        </w:rPr>
        <w:t xml:space="preserve"> </w:t>
      </w:r>
      <w:r w:rsidRPr="00FD40B8">
        <w:rPr>
          <w:color w:val="131727" w:themeColor="text1"/>
          <w:w w:val="110"/>
        </w:rPr>
        <w:t>we</w:t>
      </w:r>
      <w:r w:rsidRPr="00FD40B8">
        <w:rPr>
          <w:color w:val="131727" w:themeColor="text1"/>
          <w:spacing w:val="-6"/>
          <w:w w:val="110"/>
        </w:rPr>
        <w:t xml:space="preserve"> </w:t>
      </w:r>
      <w:r w:rsidRPr="00FD40B8">
        <w:rPr>
          <w:color w:val="131727" w:themeColor="text1"/>
          <w:w w:val="110"/>
        </w:rPr>
        <w:t>have</w:t>
      </w:r>
      <w:r w:rsidRPr="00FD40B8">
        <w:rPr>
          <w:color w:val="131727" w:themeColor="text1"/>
          <w:spacing w:val="-1"/>
          <w:w w:val="110"/>
        </w:rPr>
        <w:t xml:space="preserve"> </w:t>
      </w:r>
      <w:r w:rsidRPr="00FD40B8">
        <w:rPr>
          <w:color w:val="131727" w:themeColor="text1"/>
          <w:w w:val="110"/>
        </w:rPr>
        <w:t>presented</w:t>
      </w:r>
      <w:r w:rsidRPr="00FD40B8">
        <w:rPr>
          <w:color w:val="131727" w:themeColor="text1"/>
          <w:spacing w:val="-1"/>
          <w:w w:val="110"/>
        </w:rPr>
        <w:t xml:space="preserve"> </w:t>
      </w:r>
      <w:r w:rsidRPr="00FD40B8">
        <w:rPr>
          <w:color w:val="131727" w:themeColor="text1"/>
          <w:w w:val="110"/>
        </w:rPr>
        <w:t>most</w:t>
      </w:r>
      <w:r w:rsidRPr="00FD40B8">
        <w:rPr>
          <w:color w:val="131727" w:themeColor="text1"/>
          <w:spacing w:val="-6"/>
          <w:w w:val="110"/>
        </w:rPr>
        <w:t xml:space="preserve"> </w:t>
      </w:r>
      <w:r w:rsidRPr="00FD40B8">
        <w:rPr>
          <w:color w:val="131727" w:themeColor="text1"/>
          <w:w w:val="110"/>
        </w:rPr>
        <w:t>data</w:t>
      </w:r>
      <w:r w:rsidRPr="00FD40B8">
        <w:rPr>
          <w:color w:val="131727" w:themeColor="text1"/>
          <w:spacing w:val="-3"/>
          <w:w w:val="110"/>
        </w:rPr>
        <w:t xml:space="preserve"> </w:t>
      </w:r>
      <w:r w:rsidRPr="00FD40B8">
        <w:rPr>
          <w:color w:val="131727" w:themeColor="text1"/>
          <w:w w:val="110"/>
        </w:rPr>
        <w:t>by</w:t>
      </w:r>
      <w:r w:rsidRPr="00FD40B8">
        <w:rPr>
          <w:color w:val="131727" w:themeColor="text1"/>
          <w:spacing w:val="-2"/>
          <w:w w:val="110"/>
        </w:rPr>
        <w:t xml:space="preserve"> </w:t>
      </w:r>
      <w:r w:rsidRPr="00FD40B8">
        <w:rPr>
          <w:color w:val="131727" w:themeColor="text1"/>
          <w:w w:val="110"/>
        </w:rPr>
        <w:t>state,</w:t>
      </w:r>
      <w:r w:rsidRPr="00FD40B8">
        <w:rPr>
          <w:color w:val="131727" w:themeColor="text1"/>
          <w:spacing w:val="-1"/>
          <w:w w:val="110"/>
        </w:rPr>
        <w:t xml:space="preserve"> </w:t>
      </w:r>
      <w:r w:rsidRPr="00FD40B8">
        <w:rPr>
          <w:color w:val="131727" w:themeColor="text1"/>
          <w:w w:val="110"/>
        </w:rPr>
        <w:t>remoteness and</w:t>
      </w:r>
      <w:r w:rsidRPr="00FD40B8">
        <w:rPr>
          <w:color w:val="131727" w:themeColor="text1"/>
          <w:spacing w:val="-1"/>
          <w:w w:val="110"/>
        </w:rPr>
        <w:t xml:space="preserve"> </w:t>
      </w:r>
      <w:r w:rsidRPr="00FD40B8">
        <w:rPr>
          <w:color w:val="131727" w:themeColor="text1"/>
          <w:w w:val="110"/>
        </w:rPr>
        <w:t>Indigenous region</w:t>
      </w:r>
      <w:r w:rsidRPr="00FD40B8">
        <w:rPr>
          <w:color w:val="131727" w:themeColor="text1"/>
          <w:spacing w:val="-5"/>
          <w:w w:val="110"/>
        </w:rPr>
        <w:t xml:space="preserve"> </w:t>
      </w:r>
      <w:r w:rsidRPr="00FD40B8">
        <w:rPr>
          <w:color w:val="131727" w:themeColor="text1"/>
          <w:w w:val="110"/>
        </w:rPr>
        <w:t>in this report.</w:t>
      </w:r>
    </w:p>
    <w:p w14:paraId="092F2D53" w14:textId="77777777" w:rsidR="00811887" w:rsidRPr="00FD40B8" w:rsidRDefault="00811887" w:rsidP="00811887">
      <w:pPr>
        <w:pStyle w:val="BodyText"/>
        <w:spacing w:before="31"/>
        <w:rPr>
          <w:color w:val="131727" w:themeColor="text1"/>
        </w:rPr>
      </w:pPr>
    </w:p>
    <w:p w14:paraId="71EA8684" w14:textId="77777777" w:rsidR="00811887" w:rsidRPr="00FD40B8" w:rsidRDefault="00811887" w:rsidP="00811887">
      <w:pPr>
        <w:spacing w:before="1"/>
        <w:ind w:left="508"/>
        <w:rPr>
          <w:i/>
          <w:color w:val="131727" w:themeColor="text1"/>
          <w:sz w:val="20"/>
        </w:rPr>
      </w:pPr>
      <w:r w:rsidRPr="00FD40B8">
        <w:rPr>
          <w:i/>
          <w:color w:val="131727" w:themeColor="text1"/>
          <w:w w:val="105"/>
          <w:sz w:val="20"/>
        </w:rPr>
        <w:t>Our</w:t>
      </w:r>
      <w:r w:rsidRPr="00FD40B8">
        <w:rPr>
          <w:i/>
          <w:color w:val="131727" w:themeColor="text1"/>
          <w:spacing w:val="9"/>
          <w:w w:val="105"/>
          <w:sz w:val="20"/>
        </w:rPr>
        <w:t xml:space="preserve"> </w:t>
      </w:r>
      <w:r w:rsidRPr="00FD40B8">
        <w:rPr>
          <w:i/>
          <w:color w:val="131727" w:themeColor="text1"/>
          <w:spacing w:val="-2"/>
          <w:w w:val="105"/>
          <w:sz w:val="20"/>
        </w:rPr>
        <w:t>Approach</w:t>
      </w:r>
    </w:p>
    <w:p w14:paraId="4D376D17" w14:textId="77777777" w:rsidR="00811887" w:rsidRPr="00FD40B8" w:rsidRDefault="00811887" w:rsidP="00811887">
      <w:pPr>
        <w:pStyle w:val="BodyText"/>
        <w:spacing w:before="39" w:line="273" w:lineRule="auto"/>
        <w:ind w:left="508" w:right="598"/>
        <w:rPr>
          <w:color w:val="131727" w:themeColor="text1"/>
        </w:rPr>
      </w:pPr>
      <w:r w:rsidRPr="00FD40B8">
        <w:rPr>
          <w:color w:val="131727" w:themeColor="text1"/>
          <w:w w:val="110"/>
        </w:rPr>
        <w:t>Assuming</w:t>
      </w:r>
      <w:r w:rsidRPr="00FD40B8">
        <w:rPr>
          <w:color w:val="131727" w:themeColor="text1"/>
          <w:spacing w:val="-5"/>
          <w:w w:val="110"/>
        </w:rPr>
        <w:t xml:space="preserve"> </w:t>
      </w:r>
      <w:r w:rsidRPr="00FD40B8">
        <w:rPr>
          <w:color w:val="131727" w:themeColor="text1"/>
          <w:w w:val="110"/>
        </w:rPr>
        <w:t>one</w:t>
      </w:r>
      <w:r w:rsidRPr="00FD40B8">
        <w:rPr>
          <w:color w:val="131727" w:themeColor="text1"/>
          <w:spacing w:val="-5"/>
          <w:w w:val="110"/>
        </w:rPr>
        <w:t xml:space="preserve"> </w:t>
      </w:r>
      <w:r w:rsidRPr="00FD40B8">
        <w:rPr>
          <w:color w:val="131727" w:themeColor="text1"/>
          <w:w w:val="110"/>
        </w:rPr>
        <w:t>homeless person to a</w:t>
      </w:r>
      <w:r w:rsidRPr="00FD40B8">
        <w:rPr>
          <w:color w:val="131727" w:themeColor="text1"/>
          <w:spacing w:val="-1"/>
          <w:w w:val="110"/>
        </w:rPr>
        <w:t xml:space="preserve"> </w:t>
      </w:r>
      <w:r w:rsidRPr="00FD40B8">
        <w:rPr>
          <w:color w:val="131727" w:themeColor="text1"/>
          <w:w w:val="110"/>
        </w:rPr>
        <w:t>bedroom, we use</w:t>
      </w:r>
      <w:r w:rsidRPr="00FD40B8">
        <w:rPr>
          <w:color w:val="131727" w:themeColor="text1"/>
          <w:spacing w:val="-5"/>
          <w:w w:val="110"/>
        </w:rPr>
        <w:t xml:space="preserve"> </w:t>
      </w:r>
      <w:r w:rsidRPr="00FD40B8">
        <w:rPr>
          <w:color w:val="131727" w:themeColor="text1"/>
          <w:w w:val="110"/>
        </w:rPr>
        <w:t>the two</w:t>
      </w:r>
      <w:r w:rsidRPr="00FD40B8">
        <w:rPr>
          <w:color w:val="131727" w:themeColor="text1"/>
          <w:spacing w:val="-3"/>
          <w:w w:val="110"/>
        </w:rPr>
        <w:t xml:space="preserve"> </w:t>
      </w:r>
      <w:r w:rsidRPr="00FD40B8">
        <w:rPr>
          <w:color w:val="131727" w:themeColor="text1"/>
          <w:w w:val="110"/>
        </w:rPr>
        <w:t>datasets to estimate</w:t>
      </w:r>
      <w:r w:rsidRPr="00FD40B8">
        <w:rPr>
          <w:color w:val="131727" w:themeColor="text1"/>
          <w:spacing w:val="-1"/>
          <w:w w:val="110"/>
        </w:rPr>
        <w:t xml:space="preserve"> </w:t>
      </w:r>
      <w:r w:rsidRPr="00FD40B8">
        <w:rPr>
          <w:color w:val="131727" w:themeColor="text1"/>
          <w:w w:val="110"/>
        </w:rPr>
        <w:t>the total</w:t>
      </w:r>
      <w:r w:rsidRPr="00FD40B8">
        <w:rPr>
          <w:color w:val="131727" w:themeColor="text1"/>
          <w:spacing w:val="-3"/>
          <w:w w:val="110"/>
        </w:rPr>
        <w:t xml:space="preserve"> </w:t>
      </w:r>
      <w:r w:rsidRPr="00FD40B8">
        <w:rPr>
          <w:color w:val="131727" w:themeColor="text1"/>
          <w:w w:val="110"/>
        </w:rPr>
        <w:t>number</w:t>
      </w:r>
      <w:r w:rsidRPr="00FD40B8">
        <w:rPr>
          <w:color w:val="131727" w:themeColor="text1"/>
          <w:spacing w:val="-2"/>
          <w:w w:val="110"/>
        </w:rPr>
        <w:t xml:space="preserve"> </w:t>
      </w:r>
      <w:r w:rsidRPr="00FD40B8">
        <w:rPr>
          <w:color w:val="131727" w:themeColor="text1"/>
          <w:w w:val="110"/>
        </w:rPr>
        <w:t>of bedrooms needed nationally.</w:t>
      </w:r>
      <w:r w:rsidRPr="00FD40B8">
        <w:rPr>
          <w:color w:val="131727" w:themeColor="text1"/>
          <w:spacing w:val="40"/>
          <w:w w:val="110"/>
        </w:rPr>
        <w:t xml:space="preserve"> </w:t>
      </w:r>
      <w:r w:rsidRPr="00FD40B8">
        <w:rPr>
          <w:color w:val="131727" w:themeColor="text1"/>
          <w:w w:val="110"/>
        </w:rPr>
        <w:t>To estimate additional houses needed as a result of overcrowding, we chose to use the housing suitability (overcrowding) dataset rather than the overcrowding categories of the homelessness dataset as: 1) it provides data at the dwelling level which minimises double counting and 2) it</w:t>
      </w:r>
      <w:r w:rsidRPr="00FD40B8">
        <w:rPr>
          <w:color w:val="131727" w:themeColor="text1"/>
          <w:spacing w:val="-2"/>
          <w:w w:val="110"/>
        </w:rPr>
        <w:t xml:space="preserve"> </w:t>
      </w:r>
      <w:r w:rsidRPr="00FD40B8">
        <w:rPr>
          <w:color w:val="131727" w:themeColor="text1"/>
          <w:w w:val="110"/>
        </w:rPr>
        <w:t>allows us to incorporate all levels of overcrowding</w:t>
      </w:r>
      <w:r w:rsidRPr="00FD40B8">
        <w:rPr>
          <w:color w:val="131727" w:themeColor="text1"/>
          <w:spacing w:val="-2"/>
          <w:w w:val="110"/>
        </w:rPr>
        <w:t xml:space="preserve"> </w:t>
      </w:r>
      <w:r w:rsidRPr="00FD40B8">
        <w:rPr>
          <w:color w:val="131727" w:themeColor="text1"/>
          <w:w w:val="110"/>
        </w:rPr>
        <w:t>(i.e. all dwellings that</w:t>
      </w:r>
      <w:r w:rsidRPr="00FD40B8">
        <w:rPr>
          <w:color w:val="131727" w:themeColor="text1"/>
          <w:spacing w:val="-2"/>
          <w:w w:val="110"/>
        </w:rPr>
        <w:t xml:space="preserve"> </w:t>
      </w:r>
      <w:r w:rsidRPr="00FD40B8">
        <w:rPr>
          <w:color w:val="131727" w:themeColor="text1"/>
          <w:w w:val="110"/>
        </w:rPr>
        <w:t>needs 1+ extra bedroom(s)). Consequently, to ensure we are</w:t>
      </w:r>
      <w:r w:rsidRPr="00FD40B8">
        <w:rPr>
          <w:color w:val="131727" w:themeColor="text1"/>
          <w:spacing w:val="-3"/>
          <w:w w:val="110"/>
        </w:rPr>
        <w:t xml:space="preserve"> </w:t>
      </w:r>
      <w:r w:rsidRPr="00FD40B8">
        <w:rPr>
          <w:color w:val="131727" w:themeColor="text1"/>
          <w:w w:val="110"/>
        </w:rPr>
        <w:t>not</w:t>
      </w:r>
      <w:r w:rsidRPr="00FD40B8">
        <w:rPr>
          <w:color w:val="131727" w:themeColor="text1"/>
          <w:spacing w:val="-3"/>
          <w:w w:val="110"/>
        </w:rPr>
        <w:t xml:space="preserve"> </w:t>
      </w:r>
      <w:r w:rsidRPr="00FD40B8">
        <w:rPr>
          <w:color w:val="131727" w:themeColor="text1"/>
          <w:w w:val="110"/>
        </w:rPr>
        <w:t>double counting those</w:t>
      </w:r>
      <w:r w:rsidRPr="00FD40B8">
        <w:rPr>
          <w:color w:val="131727" w:themeColor="text1"/>
          <w:spacing w:val="-3"/>
          <w:w w:val="110"/>
        </w:rPr>
        <w:t xml:space="preserve"> </w:t>
      </w:r>
      <w:r w:rsidRPr="00FD40B8">
        <w:rPr>
          <w:color w:val="131727" w:themeColor="text1"/>
          <w:w w:val="110"/>
        </w:rPr>
        <w:t>living</w:t>
      </w:r>
      <w:r w:rsidRPr="00FD40B8">
        <w:rPr>
          <w:color w:val="131727" w:themeColor="text1"/>
          <w:spacing w:val="-3"/>
          <w:w w:val="110"/>
        </w:rPr>
        <w:t xml:space="preserve"> </w:t>
      </w:r>
      <w:r w:rsidRPr="00FD40B8">
        <w:rPr>
          <w:color w:val="131727" w:themeColor="text1"/>
          <w:w w:val="110"/>
        </w:rPr>
        <w:t>in</w:t>
      </w:r>
      <w:r w:rsidRPr="00FD40B8">
        <w:rPr>
          <w:color w:val="131727" w:themeColor="text1"/>
          <w:spacing w:val="-2"/>
          <w:w w:val="110"/>
        </w:rPr>
        <w:t xml:space="preserve"> </w:t>
      </w:r>
      <w:r w:rsidRPr="00FD40B8">
        <w:rPr>
          <w:color w:val="131727" w:themeColor="text1"/>
          <w:w w:val="110"/>
        </w:rPr>
        <w:t>severely overcrowded dwellings</w:t>
      </w:r>
      <w:hyperlink w:anchor="_bookmark103" w:history="1">
        <w:r w:rsidRPr="00FD40B8">
          <w:rPr>
            <w:color w:val="131727" w:themeColor="text1"/>
            <w:w w:val="110"/>
            <w:position w:val="8"/>
            <w:sz w:val="13"/>
          </w:rPr>
          <w:t>84</w:t>
        </w:r>
      </w:hyperlink>
      <w:r w:rsidRPr="00FD40B8">
        <w:rPr>
          <w:color w:val="131727" w:themeColor="text1"/>
          <w:spacing w:val="32"/>
          <w:w w:val="110"/>
          <w:position w:val="8"/>
          <w:sz w:val="13"/>
        </w:rPr>
        <w:t xml:space="preserve"> </w:t>
      </w:r>
      <w:r w:rsidRPr="00FD40B8">
        <w:rPr>
          <w:color w:val="131727" w:themeColor="text1"/>
          <w:w w:val="110"/>
        </w:rPr>
        <w:t>we exclude those people from the count of people experiencing homelessness.</w:t>
      </w:r>
    </w:p>
    <w:p w14:paraId="6260DE00" w14:textId="77777777" w:rsidR="00811887" w:rsidRPr="00FD40B8" w:rsidRDefault="00811887" w:rsidP="00811887">
      <w:pPr>
        <w:pStyle w:val="BodyText"/>
        <w:rPr>
          <w:color w:val="131727" w:themeColor="text1"/>
        </w:rPr>
      </w:pPr>
    </w:p>
    <w:p w14:paraId="39318D40" w14:textId="77777777" w:rsidR="00811887" w:rsidRPr="00FD40B8" w:rsidRDefault="00811887" w:rsidP="00811887">
      <w:pPr>
        <w:pStyle w:val="BodyText"/>
        <w:rPr>
          <w:color w:val="131727" w:themeColor="text1"/>
        </w:rPr>
      </w:pPr>
    </w:p>
    <w:p w14:paraId="3D04B5A1" w14:textId="77777777" w:rsidR="00811887" w:rsidRPr="00FD40B8" w:rsidRDefault="00811887" w:rsidP="00811887">
      <w:pPr>
        <w:pStyle w:val="BodyText"/>
        <w:spacing w:before="151"/>
        <w:rPr>
          <w:color w:val="131727" w:themeColor="text1"/>
        </w:rPr>
      </w:pPr>
      <w:r w:rsidRPr="00FD40B8">
        <w:rPr>
          <w:noProof/>
          <w:color w:val="131727" w:themeColor="text1"/>
        </w:rPr>
        <mc:AlternateContent>
          <mc:Choice Requires="wps">
            <w:drawing>
              <wp:anchor distT="0" distB="0" distL="0" distR="0" simplePos="0" relativeHeight="251764736" behindDoc="1" locked="0" layoutInCell="1" allowOverlap="1" wp14:anchorId="4A400621" wp14:editId="1537FFD3">
                <wp:simplePos x="0" y="0"/>
                <wp:positionH relativeFrom="page">
                  <wp:posOffset>792784</wp:posOffset>
                </wp:positionH>
                <wp:positionV relativeFrom="paragraph">
                  <wp:posOffset>266606</wp:posOffset>
                </wp:positionV>
                <wp:extent cx="1830070" cy="6350"/>
                <wp:effectExtent l="0" t="0" r="0" b="0"/>
                <wp:wrapTopAndBottom/>
                <wp:docPr id="199" name="Graphic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7F11A" id="Graphic 199" o:spid="_x0000_s1026" alt="&quot;&quot;" style="position:absolute;margin-left:62.4pt;margin-top:21pt;width:144.1pt;height:.5pt;z-index:-25155174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" path="m1829689,l,,,6095r1829689,l1829689,xe" fillcolor="black" stroked="f">
                <v:path arrowok="t"/>
                <w10:wrap type="topAndBottom" anchorx="page"/>
              </v:shape>
            </w:pict>
          </mc:Fallback>
        </mc:AlternateContent>
      </w:r>
    </w:p>
    <w:p w14:paraId="78B8B21C" w14:textId="77777777" w:rsidR="00811887" w:rsidRPr="00FD40B8" w:rsidRDefault="00811887" w:rsidP="00811887">
      <w:pPr>
        <w:spacing w:before="123" w:line="266" w:lineRule="auto"/>
        <w:ind w:left="508" w:right="1006"/>
        <w:jc w:val="both"/>
        <w:rPr>
          <w:color w:val="131727" w:themeColor="text1"/>
          <w:sz w:val="16"/>
        </w:rPr>
      </w:pPr>
      <w:bookmarkStart w:id="213" w:name="_bookmark102"/>
      <w:bookmarkEnd w:id="213"/>
      <w:r w:rsidRPr="00FD40B8">
        <w:rPr>
          <w:color w:val="131727" w:themeColor="text1"/>
          <w:w w:val="105"/>
          <w:position w:val="6"/>
          <w:sz w:val="10"/>
        </w:rPr>
        <w:t>83</w:t>
      </w:r>
      <w:r w:rsidRPr="00FD40B8">
        <w:rPr>
          <w:color w:val="131727" w:themeColor="text1"/>
          <w:spacing w:val="34"/>
          <w:w w:val="105"/>
          <w:position w:val="6"/>
          <w:sz w:val="10"/>
        </w:rPr>
        <w:t xml:space="preserve"> </w:t>
      </w:r>
      <w:r w:rsidRPr="00FD40B8">
        <w:rPr>
          <w:color w:val="131727" w:themeColor="text1"/>
          <w:w w:val="105"/>
          <w:sz w:val="16"/>
        </w:rPr>
        <w:t>We note that there are challenges associated with current measures of overcrowding, and translating this to housing need,</w:t>
      </w:r>
      <w:r w:rsidRPr="00FD40B8">
        <w:rPr>
          <w:color w:val="131727" w:themeColor="text1"/>
          <w:spacing w:val="40"/>
          <w:w w:val="105"/>
          <w:sz w:val="16"/>
        </w:rPr>
        <w:t xml:space="preserve"> </w:t>
      </w:r>
      <w:r w:rsidRPr="00FD40B8">
        <w:rPr>
          <w:color w:val="131727" w:themeColor="text1"/>
          <w:w w:val="105"/>
          <w:sz w:val="16"/>
        </w:rPr>
        <w:t>particularly in terms of personal and family relationships and dynamics.</w:t>
      </w:r>
      <w:r w:rsidRPr="00FD40B8">
        <w:rPr>
          <w:color w:val="131727" w:themeColor="text1"/>
          <w:spacing w:val="36"/>
          <w:w w:val="105"/>
          <w:sz w:val="16"/>
        </w:rPr>
        <w:t xml:space="preserve"> </w:t>
      </w:r>
      <w:r w:rsidRPr="00FD40B8">
        <w:rPr>
          <w:color w:val="131727" w:themeColor="text1"/>
          <w:w w:val="105"/>
          <w:sz w:val="16"/>
        </w:rPr>
        <w:t>Though addressing these is beyond the scope of this</w:t>
      </w:r>
      <w:r w:rsidRPr="00FD40B8">
        <w:rPr>
          <w:color w:val="131727" w:themeColor="text1"/>
          <w:spacing w:val="40"/>
          <w:w w:val="105"/>
          <w:sz w:val="16"/>
        </w:rPr>
        <w:t xml:space="preserve"> </w:t>
      </w:r>
      <w:r w:rsidRPr="00FD40B8">
        <w:rPr>
          <w:color w:val="131727" w:themeColor="text1"/>
          <w:spacing w:val="-2"/>
          <w:w w:val="105"/>
          <w:sz w:val="16"/>
        </w:rPr>
        <w:t>paper.</w:t>
      </w:r>
    </w:p>
    <w:p w14:paraId="6095C718" w14:textId="77777777" w:rsidR="00811887" w:rsidRPr="00FD40B8" w:rsidRDefault="00811887" w:rsidP="00811887">
      <w:pPr>
        <w:spacing w:line="266" w:lineRule="auto"/>
        <w:ind w:left="508" w:right="882"/>
        <w:jc w:val="both"/>
        <w:rPr>
          <w:color w:val="131727" w:themeColor="text1"/>
          <w:sz w:val="16"/>
        </w:rPr>
      </w:pPr>
      <w:bookmarkStart w:id="214" w:name="_bookmark103"/>
      <w:bookmarkEnd w:id="214"/>
      <w:r w:rsidRPr="00FD40B8">
        <w:rPr>
          <w:color w:val="131727" w:themeColor="text1"/>
          <w:w w:val="110"/>
          <w:position w:val="6"/>
          <w:sz w:val="10"/>
        </w:rPr>
        <w:t>84</w:t>
      </w:r>
      <w:r w:rsidRPr="00FD40B8">
        <w:rPr>
          <w:color w:val="131727" w:themeColor="text1"/>
          <w:spacing w:val="14"/>
          <w:w w:val="110"/>
          <w:position w:val="6"/>
          <w:sz w:val="10"/>
        </w:rPr>
        <w:t xml:space="preserve"> </w:t>
      </w:r>
      <w:r w:rsidRPr="00FD40B8">
        <w:rPr>
          <w:color w:val="131727" w:themeColor="text1"/>
          <w:w w:val="110"/>
          <w:sz w:val="16"/>
        </w:rPr>
        <w:t>The</w:t>
      </w:r>
      <w:r w:rsidRPr="00FD40B8">
        <w:rPr>
          <w:color w:val="131727" w:themeColor="text1"/>
          <w:spacing w:val="-1"/>
          <w:w w:val="110"/>
          <w:sz w:val="16"/>
        </w:rPr>
        <w:t xml:space="preserve"> </w:t>
      </w:r>
      <w:r w:rsidRPr="00FD40B8">
        <w:rPr>
          <w:color w:val="131727" w:themeColor="text1"/>
          <w:w w:val="110"/>
          <w:sz w:val="16"/>
        </w:rPr>
        <w:t>ABS</w:t>
      </w:r>
      <w:r w:rsidRPr="00FD40B8">
        <w:rPr>
          <w:color w:val="131727" w:themeColor="text1"/>
          <w:spacing w:val="-1"/>
          <w:w w:val="110"/>
          <w:sz w:val="16"/>
        </w:rPr>
        <w:t xml:space="preserve"> </w:t>
      </w:r>
      <w:r w:rsidRPr="00FD40B8">
        <w:rPr>
          <w:color w:val="131727" w:themeColor="text1"/>
          <w:w w:val="110"/>
          <w:sz w:val="16"/>
        </w:rPr>
        <w:t>measure of homelessness</w:t>
      </w:r>
      <w:r w:rsidRPr="00FD40B8">
        <w:rPr>
          <w:color w:val="131727" w:themeColor="text1"/>
          <w:spacing w:val="-2"/>
          <w:w w:val="110"/>
          <w:sz w:val="16"/>
        </w:rPr>
        <w:t xml:space="preserve"> </w:t>
      </w:r>
      <w:r w:rsidRPr="00FD40B8">
        <w:rPr>
          <w:color w:val="131727" w:themeColor="text1"/>
          <w:w w:val="110"/>
          <w:sz w:val="16"/>
        </w:rPr>
        <w:t>includes individuals</w:t>
      </w:r>
      <w:r w:rsidRPr="00FD40B8">
        <w:rPr>
          <w:color w:val="131727" w:themeColor="text1"/>
          <w:spacing w:val="-2"/>
          <w:w w:val="110"/>
          <w:sz w:val="16"/>
        </w:rPr>
        <w:t xml:space="preserve"> </w:t>
      </w:r>
      <w:r w:rsidRPr="00FD40B8">
        <w:rPr>
          <w:color w:val="131727" w:themeColor="text1"/>
          <w:w w:val="110"/>
          <w:sz w:val="16"/>
        </w:rPr>
        <w:t>living in overcrowded dwellings</w:t>
      </w:r>
      <w:r w:rsidRPr="00FD40B8">
        <w:rPr>
          <w:color w:val="131727" w:themeColor="text1"/>
          <w:spacing w:val="-2"/>
          <w:w w:val="110"/>
          <w:sz w:val="16"/>
        </w:rPr>
        <w:t xml:space="preserve"> </w:t>
      </w:r>
      <w:r w:rsidRPr="00FD40B8">
        <w:rPr>
          <w:color w:val="131727" w:themeColor="text1"/>
          <w:w w:val="110"/>
          <w:sz w:val="16"/>
        </w:rPr>
        <w:t>where</w:t>
      </w:r>
      <w:r w:rsidRPr="00FD40B8">
        <w:rPr>
          <w:color w:val="131727" w:themeColor="text1"/>
          <w:spacing w:val="-1"/>
          <w:w w:val="110"/>
          <w:sz w:val="16"/>
        </w:rPr>
        <w:t xml:space="preserve"> </w:t>
      </w:r>
      <w:r w:rsidRPr="00FD40B8">
        <w:rPr>
          <w:color w:val="131727" w:themeColor="text1"/>
          <w:w w:val="110"/>
          <w:sz w:val="16"/>
        </w:rPr>
        <w:t>the</w:t>
      </w:r>
      <w:r w:rsidRPr="00FD40B8">
        <w:rPr>
          <w:color w:val="131727" w:themeColor="text1"/>
          <w:spacing w:val="-1"/>
          <w:w w:val="110"/>
          <w:sz w:val="16"/>
        </w:rPr>
        <w:t xml:space="preserve"> </w:t>
      </w:r>
      <w:r w:rsidRPr="00FD40B8">
        <w:rPr>
          <w:color w:val="131727" w:themeColor="text1"/>
          <w:w w:val="110"/>
          <w:sz w:val="16"/>
        </w:rPr>
        <w:t>number of usual</w:t>
      </w:r>
      <w:r w:rsidRPr="00FD40B8">
        <w:rPr>
          <w:color w:val="131727" w:themeColor="text1"/>
          <w:spacing w:val="-3"/>
          <w:w w:val="110"/>
          <w:sz w:val="16"/>
        </w:rPr>
        <w:t xml:space="preserve"> </w:t>
      </w:r>
      <w:r w:rsidRPr="00FD40B8">
        <w:rPr>
          <w:color w:val="131727" w:themeColor="text1"/>
          <w:w w:val="110"/>
          <w:sz w:val="16"/>
        </w:rPr>
        <w:t>residents</w:t>
      </w:r>
      <w:r w:rsidRPr="00FD40B8">
        <w:rPr>
          <w:color w:val="131727" w:themeColor="text1"/>
          <w:spacing w:val="40"/>
          <w:w w:val="110"/>
          <w:sz w:val="16"/>
        </w:rPr>
        <w:t xml:space="preserve"> </w:t>
      </w:r>
      <w:r w:rsidRPr="00FD40B8">
        <w:rPr>
          <w:color w:val="131727" w:themeColor="text1"/>
          <w:w w:val="110"/>
          <w:sz w:val="16"/>
        </w:rPr>
        <w:t>requires at least 4 additional bedrooms to meet standard occupancy levels.</w:t>
      </w:r>
    </w:p>
    <w:p w14:paraId="6D03C559" w14:textId="77777777" w:rsidR="00811887" w:rsidRPr="00FD40B8" w:rsidRDefault="00811887" w:rsidP="00811887">
      <w:pPr>
        <w:spacing w:line="266" w:lineRule="auto"/>
        <w:jc w:val="both"/>
        <w:rPr>
          <w:color w:val="131727" w:themeColor="text1"/>
          <w:sz w:val="16"/>
        </w:rPr>
        <w:sectPr w:rsidR="00811887" w:rsidRPr="00FD40B8" w:rsidSect="00811887">
          <w:pgSz w:w="11910" w:h="16840"/>
          <w:pgMar w:top="1320" w:right="720" w:bottom="1080" w:left="740" w:header="0" w:footer="805" w:gutter="0"/>
          <w:cols w:space="720"/>
        </w:sectPr>
      </w:pPr>
    </w:p>
    <w:p w14:paraId="44B6DB2C" w14:textId="77777777" w:rsidR="00811887" w:rsidRPr="00FD40B8" w:rsidRDefault="00811887" w:rsidP="00811887">
      <w:pPr>
        <w:spacing w:before="113" w:line="276" w:lineRule="auto"/>
        <w:ind w:left="508" w:right="532"/>
        <w:rPr>
          <w:i/>
          <w:color w:val="131727" w:themeColor="text1"/>
          <w:sz w:val="20"/>
        </w:rPr>
      </w:pPr>
      <w:r w:rsidRPr="00FD40B8">
        <w:rPr>
          <w:color w:val="131727" w:themeColor="text1"/>
          <w:w w:val="105"/>
          <w:sz w:val="20"/>
        </w:rPr>
        <w:lastRenderedPageBreak/>
        <w:t>Such</w:t>
      </w:r>
      <w:r w:rsidRPr="00FD40B8">
        <w:rPr>
          <w:color w:val="131727" w:themeColor="text1"/>
          <w:spacing w:val="21"/>
          <w:w w:val="105"/>
          <w:sz w:val="20"/>
        </w:rPr>
        <w:t xml:space="preserve"> </w:t>
      </w:r>
      <w:r w:rsidRPr="00FD40B8">
        <w:rPr>
          <w:color w:val="131727" w:themeColor="text1"/>
          <w:w w:val="105"/>
          <w:sz w:val="20"/>
        </w:rPr>
        <w:t>that:</w:t>
      </w:r>
      <w:r w:rsidRPr="00FD40B8">
        <w:rPr>
          <w:color w:val="131727" w:themeColor="text1"/>
          <w:spacing w:val="21"/>
          <w:w w:val="105"/>
          <w:sz w:val="20"/>
        </w:rPr>
        <w:t xml:space="preserve"> </w:t>
      </w:r>
      <w:r w:rsidRPr="00FD40B8">
        <w:rPr>
          <w:color w:val="131727" w:themeColor="text1"/>
          <w:w w:val="105"/>
          <w:sz w:val="20"/>
        </w:rPr>
        <w:t>It</w:t>
      </w:r>
      <w:r w:rsidRPr="00FD40B8">
        <w:rPr>
          <w:color w:val="131727" w:themeColor="text1"/>
          <w:spacing w:val="20"/>
          <w:w w:val="105"/>
          <w:sz w:val="20"/>
        </w:rPr>
        <w:t xml:space="preserve"> </w:t>
      </w:r>
      <w:r w:rsidRPr="00FD40B8">
        <w:rPr>
          <w:color w:val="131727" w:themeColor="text1"/>
          <w:w w:val="105"/>
          <w:sz w:val="20"/>
        </w:rPr>
        <w:t>is</w:t>
      </w:r>
      <w:r w:rsidRPr="00FD40B8">
        <w:rPr>
          <w:color w:val="131727" w:themeColor="text1"/>
          <w:spacing w:val="23"/>
          <w:w w:val="105"/>
          <w:sz w:val="20"/>
        </w:rPr>
        <w:t xml:space="preserve"> </w:t>
      </w:r>
      <w:r w:rsidRPr="00FD40B8">
        <w:rPr>
          <w:color w:val="131727" w:themeColor="text1"/>
          <w:w w:val="105"/>
          <w:sz w:val="20"/>
        </w:rPr>
        <w:t>important</w:t>
      </w:r>
      <w:r w:rsidRPr="00FD40B8">
        <w:rPr>
          <w:color w:val="131727" w:themeColor="text1"/>
          <w:spacing w:val="27"/>
          <w:w w:val="105"/>
          <w:sz w:val="20"/>
        </w:rPr>
        <w:t xml:space="preserve"> </w:t>
      </w:r>
      <w:r w:rsidRPr="00FD40B8">
        <w:rPr>
          <w:color w:val="131727" w:themeColor="text1"/>
          <w:w w:val="105"/>
          <w:sz w:val="20"/>
        </w:rPr>
        <w:t>to</w:t>
      </w:r>
      <w:r w:rsidRPr="00FD40B8">
        <w:rPr>
          <w:color w:val="131727" w:themeColor="text1"/>
          <w:spacing w:val="23"/>
          <w:w w:val="105"/>
          <w:sz w:val="20"/>
        </w:rPr>
        <w:t xml:space="preserve"> </w:t>
      </w:r>
      <w:r w:rsidRPr="00FD40B8">
        <w:rPr>
          <w:color w:val="131727" w:themeColor="text1"/>
          <w:w w:val="105"/>
          <w:sz w:val="20"/>
        </w:rPr>
        <w:t>note</w:t>
      </w:r>
      <w:r w:rsidRPr="00FD40B8">
        <w:rPr>
          <w:color w:val="131727" w:themeColor="text1"/>
          <w:spacing w:val="19"/>
          <w:w w:val="105"/>
          <w:sz w:val="20"/>
        </w:rPr>
        <w:t xml:space="preserve"> </w:t>
      </w:r>
      <w:r w:rsidRPr="00FD40B8">
        <w:rPr>
          <w:color w:val="131727" w:themeColor="text1"/>
          <w:w w:val="105"/>
          <w:sz w:val="20"/>
        </w:rPr>
        <w:t>that</w:t>
      </w:r>
      <w:r w:rsidRPr="00FD40B8">
        <w:rPr>
          <w:color w:val="131727" w:themeColor="text1"/>
          <w:spacing w:val="27"/>
          <w:w w:val="105"/>
          <w:sz w:val="20"/>
        </w:rPr>
        <w:t xml:space="preserve"> </w:t>
      </w:r>
      <w:r w:rsidRPr="00FD40B8">
        <w:rPr>
          <w:color w:val="131727" w:themeColor="text1"/>
          <w:w w:val="105"/>
          <w:sz w:val="20"/>
        </w:rPr>
        <w:t>these</w:t>
      </w:r>
      <w:r w:rsidRPr="00FD40B8">
        <w:rPr>
          <w:color w:val="131727" w:themeColor="text1"/>
          <w:spacing w:val="20"/>
          <w:w w:val="105"/>
          <w:sz w:val="20"/>
        </w:rPr>
        <w:t xml:space="preserve"> </w:t>
      </w:r>
      <w:r w:rsidRPr="00FD40B8">
        <w:rPr>
          <w:color w:val="131727" w:themeColor="text1"/>
          <w:w w:val="105"/>
          <w:sz w:val="20"/>
        </w:rPr>
        <w:t>figures</w:t>
      </w:r>
      <w:r w:rsidRPr="00FD40B8">
        <w:rPr>
          <w:color w:val="131727" w:themeColor="text1"/>
          <w:spacing w:val="23"/>
          <w:w w:val="105"/>
          <w:sz w:val="20"/>
        </w:rPr>
        <w:t xml:space="preserve"> </w:t>
      </w:r>
      <w:r w:rsidRPr="00FD40B8">
        <w:rPr>
          <w:color w:val="131727" w:themeColor="text1"/>
          <w:w w:val="105"/>
          <w:sz w:val="20"/>
        </w:rPr>
        <w:t>likely</w:t>
      </w:r>
      <w:r w:rsidRPr="00FD40B8">
        <w:rPr>
          <w:color w:val="131727" w:themeColor="text1"/>
          <w:spacing w:val="24"/>
          <w:w w:val="105"/>
          <w:sz w:val="20"/>
        </w:rPr>
        <w:t xml:space="preserve"> </w:t>
      </w:r>
      <w:r w:rsidRPr="00FD40B8">
        <w:rPr>
          <w:color w:val="131727" w:themeColor="text1"/>
          <w:w w:val="105"/>
          <w:sz w:val="20"/>
        </w:rPr>
        <w:t>provide</w:t>
      </w:r>
      <w:r w:rsidRPr="00FD40B8">
        <w:rPr>
          <w:color w:val="131727" w:themeColor="text1"/>
          <w:spacing w:val="27"/>
          <w:w w:val="105"/>
          <w:sz w:val="20"/>
        </w:rPr>
        <w:t xml:space="preserve"> </w:t>
      </w:r>
      <w:r w:rsidRPr="00FD40B8">
        <w:rPr>
          <w:color w:val="131727" w:themeColor="text1"/>
          <w:w w:val="105"/>
          <w:sz w:val="20"/>
        </w:rPr>
        <w:t>an</w:t>
      </w:r>
      <w:r w:rsidRPr="00FD40B8">
        <w:rPr>
          <w:color w:val="131727" w:themeColor="text1"/>
          <w:spacing w:val="29"/>
          <w:w w:val="105"/>
          <w:sz w:val="20"/>
        </w:rPr>
        <w:t xml:space="preserve"> </w:t>
      </w:r>
      <w:r w:rsidRPr="00FD40B8">
        <w:rPr>
          <w:color w:val="131727" w:themeColor="text1"/>
          <w:w w:val="105"/>
          <w:sz w:val="20"/>
        </w:rPr>
        <w:t>underestimate</w:t>
      </w:r>
      <w:r w:rsidRPr="00FD40B8">
        <w:rPr>
          <w:color w:val="131727" w:themeColor="text1"/>
          <w:spacing w:val="19"/>
          <w:w w:val="105"/>
          <w:sz w:val="20"/>
        </w:rPr>
        <w:t xml:space="preserve"> </w:t>
      </w:r>
      <w:r w:rsidRPr="00FD40B8">
        <w:rPr>
          <w:color w:val="131727" w:themeColor="text1"/>
          <w:w w:val="105"/>
          <w:sz w:val="20"/>
        </w:rPr>
        <w:t>of</w:t>
      </w:r>
      <w:r w:rsidRPr="00FD40B8">
        <w:rPr>
          <w:color w:val="131727" w:themeColor="text1"/>
          <w:spacing w:val="30"/>
          <w:w w:val="105"/>
          <w:sz w:val="20"/>
        </w:rPr>
        <w:t xml:space="preserve"> </w:t>
      </w:r>
      <w:r w:rsidRPr="00FD40B8">
        <w:rPr>
          <w:color w:val="131727" w:themeColor="text1"/>
          <w:w w:val="105"/>
          <w:sz w:val="20"/>
        </w:rPr>
        <w:t>housing</w:t>
      </w:r>
      <w:r w:rsidRPr="00FD40B8">
        <w:rPr>
          <w:color w:val="131727" w:themeColor="text1"/>
          <w:spacing w:val="20"/>
          <w:w w:val="105"/>
          <w:sz w:val="20"/>
        </w:rPr>
        <w:t xml:space="preserve"> </w:t>
      </w:r>
      <w:r w:rsidRPr="00FD40B8">
        <w:rPr>
          <w:color w:val="131727" w:themeColor="text1"/>
          <w:w w:val="105"/>
          <w:sz w:val="20"/>
        </w:rPr>
        <w:t>need,</w:t>
      </w:r>
      <w:r w:rsidRPr="00FD40B8">
        <w:rPr>
          <w:color w:val="131727" w:themeColor="text1"/>
          <w:spacing w:val="20"/>
          <w:w w:val="105"/>
          <w:sz w:val="20"/>
        </w:rPr>
        <w:t xml:space="preserve"> </w:t>
      </w:r>
      <w:r w:rsidRPr="00FD40B8">
        <w:rPr>
          <w:color w:val="131727" w:themeColor="text1"/>
          <w:w w:val="105"/>
          <w:sz w:val="20"/>
        </w:rPr>
        <w:t>due to</w:t>
      </w:r>
      <w:r w:rsidRPr="00FD40B8">
        <w:rPr>
          <w:color w:val="131727" w:themeColor="text1"/>
          <w:spacing w:val="40"/>
          <w:w w:val="105"/>
          <w:sz w:val="20"/>
        </w:rPr>
        <w:t xml:space="preserve"> </w:t>
      </w:r>
      <w:r w:rsidRPr="00FD40B8">
        <w:rPr>
          <w:color w:val="131727" w:themeColor="text1"/>
          <w:w w:val="105"/>
          <w:sz w:val="20"/>
        </w:rPr>
        <w:t>how</w:t>
      </w:r>
      <w:r w:rsidRPr="00FD40B8">
        <w:rPr>
          <w:color w:val="131727" w:themeColor="text1"/>
          <w:spacing w:val="36"/>
          <w:w w:val="105"/>
          <w:sz w:val="20"/>
        </w:rPr>
        <w:t xml:space="preserve"> </w:t>
      </w:r>
      <w:r w:rsidRPr="00FD40B8">
        <w:rPr>
          <w:color w:val="131727" w:themeColor="text1"/>
          <w:w w:val="105"/>
          <w:sz w:val="20"/>
        </w:rPr>
        <w:t>data</w:t>
      </w:r>
      <w:r w:rsidRPr="00FD40B8">
        <w:rPr>
          <w:color w:val="131727" w:themeColor="text1"/>
          <w:spacing w:val="29"/>
          <w:w w:val="105"/>
          <w:sz w:val="20"/>
        </w:rPr>
        <w:t xml:space="preserve"> </w:t>
      </w:r>
      <w:r w:rsidRPr="00FD40B8">
        <w:rPr>
          <w:color w:val="131727" w:themeColor="text1"/>
          <w:w w:val="105"/>
          <w:sz w:val="20"/>
        </w:rPr>
        <w:t>on</w:t>
      </w:r>
      <w:r w:rsidRPr="00FD40B8">
        <w:rPr>
          <w:color w:val="131727" w:themeColor="text1"/>
          <w:spacing w:val="32"/>
          <w:w w:val="105"/>
          <w:sz w:val="20"/>
        </w:rPr>
        <w:t xml:space="preserve"> </w:t>
      </w:r>
      <w:r w:rsidRPr="00FD40B8">
        <w:rPr>
          <w:color w:val="131727" w:themeColor="text1"/>
          <w:w w:val="105"/>
          <w:sz w:val="20"/>
        </w:rPr>
        <w:t>Indigenous</w:t>
      </w:r>
      <w:r w:rsidRPr="00FD40B8">
        <w:rPr>
          <w:color w:val="131727" w:themeColor="text1"/>
          <w:spacing w:val="34"/>
          <w:w w:val="105"/>
          <w:sz w:val="20"/>
        </w:rPr>
        <w:t xml:space="preserve"> </w:t>
      </w:r>
      <w:r w:rsidRPr="00FD40B8">
        <w:rPr>
          <w:color w:val="131727" w:themeColor="text1"/>
          <w:w w:val="105"/>
          <w:sz w:val="20"/>
        </w:rPr>
        <w:t>and</w:t>
      </w:r>
      <w:r w:rsidRPr="00FD40B8">
        <w:rPr>
          <w:color w:val="131727" w:themeColor="text1"/>
          <w:spacing w:val="31"/>
          <w:w w:val="105"/>
          <w:sz w:val="20"/>
        </w:rPr>
        <w:t xml:space="preserve"> </w:t>
      </w:r>
      <w:r w:rsidRPr="00FD40B8">
        <w:rPr>
          <w:color w:val="131727" w:themeColor="text1"/>
          <w:w w:val="105"/>
          <w:sz w:val="20"/>
        </w:rPr>
        <w:t>Torres</w:t>
      </w:r>
      <w:r w:rsidRPr="00FD40B8">
        <w:rPr>
          <w:color w:val="131727" w:themeColor="text1"/>
          <w:spacing w:val="34"/>
          <w:w w:val="105"/>
          <w:sz w:val="20"/>
        </w:rPr>
        <w:t xml:space="preserve"> </w:t>
      </w:r>
      <w:r w:rsidRPr="00FD40B8">
        <w:rPr>
          <w:color w:val="131727" w:themeColor="text1"/>
          <w:w w:val="105"/>
          <w:sz w:val="20"/>
        </w:rPr>
        <w:t>Strait</w:t>
      </w:r>
      <w:r w:rsidRPr="00FD40B8">
        <w:rPr>
          <w:color w:val="131727" w:themeColor="text1"/>
          <w:spacing w:val="31"/>
          <w:w w:val="105"/>
          <w:sz w:val="20"/>
        </w:rPr>
        <w:t xml:space="preserve"> </w:t>
      </w:r>
      <w:r w:rsidRPr="00FD40B8">
        <w:rPr>
          <w:color w:val="131727" w:themeColor="text1"/>
          <w:w w:val="105"/>
          <w:sz w:val="20"/>
        </w:rPr>
        <w:t>Islanders</w:t>
      </w:r>
      <w:r w:rsidRPr="00FD40B8">
        <w:rPr>
          <w:color w:val="131727" w:themeColor="text1"/>
          <w:spacing w:val="34"/>
          <w:w w:val="105"/>
          <w:sz w:val="20"/>
        </w:rPr>
        <w:t xml:space="preserve"> </w:t>
      </w:r>
      <w:r w:rsidRPr="00FD40B8">
        <w:rPr>
          <w:color w:val="131727" w:themeColor="text1"/>
          <w:w w:val="105"/>
          <w:sz w:val="20"/>
        </w:rPr>
        <w:t>is</w:t>
      </w:r>
      <w:r w:rsidRPr="00FD40B8">
        <w:rPr>
          <w:color w:val="131727" w:themeColor="text1"/>
          <w:spacing w:val="40"/>
          <w:w w:val="105"/>
          <w:sz w:val="20"/>
        </w:rPr>
        <w:t xml:space="preserve"> </w:t>
      </w:r>
      <w:r w:rsidRPr="00FD40B8">
        <w:rPr>
          <w:color w:val="131727" w:themeColor="text1"/>
          <w:w w:val="105"/>
          <w:sz w:val="20"/>
        </w:rPr>
        <w:t>collected</w:t>
      </w:r>
      <w:r w:rsidRPr="00FD40B8">
        <w:rPr>
          <w:color w:val="131727" w:themeColor="text1"/>
          <w:spacing w:val="31"/>
          <w:w w:val="105"/>
          <w:sz w:val="20"/>
        </w:rPr>
        <w:t xml:space="preserve"> </w:t>
      </w:r>
      <w:r w:rsidRPr="00FD40B8">
        <w:rPr>
          <w:color w:val="131727" w:themeColor="text1"/>
          <w:w w:val="105"/>
          <w:sz w:val="20"/>
        </w:rPr>
        <w:t>in</w:t>
      </w:r>
      <w:r w:rsidRPr="00FD40B8">
        <w:rPr>
          <w:color w:val="131727" w:themeColor="text1"/>
          <w:spacing w:val="40"/>
          <w:w w:val="105"/>
          <w:sz w:val="20"/>
        </w:rPr>
        <w:t xml:space="preserve"> </w:t>
      </w:r>
      <w:r w:rsidRPr="00FD40B8">
        <w:rPr>
          <w:color w:val="131727" w:themeColor="text1"/>
          <w:w w:val="105"/>
          <w:sz w:val="20"/>
        </w:rPr>
        <w:t>the</w:t>
      </w:r>
      <w:r w:rsidRPr="00FD40B8">
        <w:rPr>
          <w:color w:val="131727" w:themeColor="text1"/>
          <w:spacing w:val="31"/>
          <w:w w:val="105"/>
          <w:sz w:val="20"/>
        </w:rPr>
        <w:t xml:space="preserve"> </w:t>
      </w:r>
      <w:r w:rsidRPr="00FD40B8">
        <w:rPr>
          <w:color w:val="131727" w:themeColor="text1"/>
          <w:w w:val="105"/>
          <w:sz w:val="20"/>
        </w:rPr>
        <w:t>Census.</w:t>
      </w:r>
      <w:r w:rsidRPr="00FD40B8">
        <w:rPr>
          <w:color w:val="131727" w:themeColor="text1"/>
          <w:spacing w:val="39"/>
          <w:w w:val="105"/>
          <w:sz w:val="20"/>
        </w:rPr>
        <w:t xml:space="preserve"> </w:t>
      </w:r>
      <w:r w:rsidRPr="00FD40B8">
        <w:rPr>
          <w:color w:val="131727" w:themeColor="text1"/>
          <w:w w:val="105"/>
          <w:sz w:val="20"/>
        </w:rPr>
        <w:t>The</w:t>
      </w:r>
      <w:r w:rsidRPr="00FD40B8">
        <w:rPr>
          <w:color w:val="131727" w:themeColor="text1"/>
          <w:spacing w:val="39"/>
          <w:w w:val="105"/>
          <w:sz w:val="20"/>
        </w:rPr>
        <w:t xml:space="preserve"> </w:t>
      </w:r>
      <w:r w:rsidRPr="00FD40B8">
        <w:rPr>
          <w:color w:val="131727" w:themeColor="text1"/>
          <w:w w:val="105"/>
          <w:sz w:val="20"/>
        </w:rPr>
        <w:t>ABS</w:t>
      </w:r>
      <w:r w:rsidRPr="00FD40B8">
        <w:rPr>
          <w:color w:val="131727" w:themeColor="text1"/>
          <w:spacing w:val="32"/>
          <w:w w:val="105"/>
          <w:sz w:val="20"/>
        </w:rPr>
        <w:t xml:space="preserve"> </w:t>
      </w:r>
      <w:r w:rsidRPr="00FD40B8">
        <w:rPr>
          <w:color w:val="131727" w:themeColor="text1"/>
          <w:w w:val="105"/>
          <w:sz w:val="20"/>
        </w:rPr>
        <w:t xml:space="preserve">states: </w:t>
      </w:r>
      <w:r w:rsidRPr="00FD40B8">
        <w:rPr>
          <w:i/>
          <w:color w:val="131727" w:themeColor="text1"/>
          <w:w w:val="105"/>
          <w:sz w:val="20"/>
        </w:rPr>
        <w:t>“Aboriginal and</w:t>
      </w:r>
      <w:r w:rsidRPr="00FD40B8">
        <w:rPr>
          <w:i/>
          <w:color w:val="131727" w:themeColor="text1"/>
          <w:spacing w:val="-1"/>
          <w:w w:val="105"/>
          <w:sz w:val="20"/>
        </w:rPr>
        <w:t xml:space="preserve"> </w:t>
      </w:r>
      <w:r w:rsidRPr="00FD40B8">
        <w:rPr>
          <w:i/>
          <w:color w:val="131727" w:themeColor="text1"/>
          <w:w w:val="105"/>
          <w:sz w:val="20"/>
        </w:rPr>
        <w:t>Torres</w:t>
      </w:r>
      <w:r w:rsidRPr="00FD40B8">
        <w:rPr>
          <w:i/>
          <w:color w:val="131727" w:themeColor="text1"/>
          <w:spacing w:val="-1"/>
          <w:w w:val="105"/>
          <w:sz w:val="20"/>
        </w:rPr>
        <w:t xml:space="preserve"> </w:t>
      </w:r>
      <w:r w:rsidRPr="00FD40B8">
        <w:rPr>
          <w:i/>
          <w:color w:val="131727" w:themeColor="text1"/>
          <w:w w:val="105"/>
          <w:sz w:val="20"/>
        </w:rPr>
        <w:t>Strait Islander</w:t>
      </w:r>
      <w:r w:rsidRPr="00FD40B8">
        <w:rPr>
          <w:i/>
          <w:color w:val="131727" w:themeColor="text1"/>
          <w:spacing w:val="-2"/>
          <w:w w:val="105"/>
          <w:sz w:val="20"/>
        </w:rPr>
        <w:t xml:space="preserve"> </w:t>
      </w:r>
      <w:r w:rsidRPr="00FD40B8">
        <w:rPr>
          <w:i/>
          <w:color w:val="131727" w:themeColor="text1"/>
          <w:w w:val="105"/>
          <w:sz w:val="20"/>
        </w:rPr>
        <w:t>Australians</w:t>
      </w:r>
      <w:r w:rsidRPr="00FD40B8">
        <w:rPr>
          <w:i/>
          <w:color w:val="131727" w:themeColor="text1"/>
          <w:spacing w:val="-1"/>
          <w:w w:val="105"/>
          <w:sz w:val="20"/>
        </w:rPr>
        <w:t xml:space="preserve"> </w:t>
      </w:r>
      <w:r w:rsidRPr="00FD40B8">
        <w:rPr>
          <w:i/>
          <w:color w:val="131727" w:themeColor="text1"/>
          <w:w w:val="105"/>
          <w:sz w:val="20"/>
        </w:rPr>
        <w:t>have</w:t>
      </w:r>
      <w:r w:rsidRPr="00FD40B8">
        <w:rPr>
          <w:i/>
          <w:color w:val="131727" w:themeColor="text1"/>
          <w:spacing w:val="-5"/>
          <w:w w:val="105"/>
          <w:sz w:val="20"/>
        </w:rPr>
        <w:t xml:space="preserve"> </w:t>
      </w:r>
      <w:r w:rsidRPr="00FD40B8">
        <w:rPr>
          <w:i/>
          <w:color w:val="131727" w:themeColor="text1"/>
          <w:w w:val="105"/>
          <w:sz w:val="20"/>
        </w:rPr>
        <w:t>been</w:t>
      </w:r>
      <w:r w:rsidRPr="00FD40B8">
        <w:rPr>
          <w:i/>
          <w:color w:val="131727" w:themeColor="text1"/>
          <w:spacing w:val="-2"/>
          <w:w w:val="105"/>
          <w:sz w:val="20"/>
        </w:rPr>
        <w:t xml:space="preserve"> </w:t>
      </w:r>
      <w:r w:rsidRPr="00FD40B8">
        <w:rPr>
          <w:i/>
          <w:color w:val="131727" w:themeColor="text1"/>
          <w:w w:val="105"/>
          <w:sz w:val="20"/>
        </w:rPr>
        <w:t>under</w:t>
      </w:r>
      <w:r w:rsidRPr="00FD40B8">
        <w:rPr>
          <w:i/>
          <w:color w:val="131727" w:themeColor="text1"/>
          <w:spacing w:val="-2"/>
          <w:w w:val="105"/>
          <w:sz w:val="20"/>
        </w:rPr>
        <w:t xml:space="preserve"> </w:t>
      </w:r>
      <w:r w:rsidRPr="00FD40B8">
        <w:rPr>
          <w:i/>
          <w:color w:val="131727" w:themeColor="text1"/>
          <w:w w:val="105"/>
          <w:sz w:val="20"/>
        </w:rPr>
        <w:t>enumerated</w:t>
      </w:r>
      <w:r w:rsidRPr="00FD40B8">
        <w:rPr>
          <w:i/>
          <w:color w:val="131727" w:themeColor="text1"/>
          <w:spacing w:val="-2"/>
          <w:w w:val="105"/>
          <w:sz w:val="20"/>
        </w:rPr>
        <w:t xml:space="preserve"> </w:t>
      </w:r>
      <w:r w:rsidRPr="00FD40B8">
        <w:rPr>
          <w:i/>
          <w:color w:val="131727" w:themeColor="text1"/>
          <w:w w:val="105"/>
          <w:sz w:val="20"/>
        </w:rPr>
        <w:t>in</w:t>
      </w:r>
      <w:r w:rsidRPr="00FD40B8">
        <w:rPr>
          <w:i/>
          <w:color w:val="131727" w:themeColor="text1"/>
          <w:spacing w:val="-2"/>
          <w:w w:val="105"/>
          <w:sz w:val="20"/>
        </w:rPr>
        <w:t xml:space="preserve"> </w:t>
      </w:r>
      <w:r w:rsidRPr="00FD40B8">
        <w:rPr>
          <w:i/>
          <w:color w:val="131727" w:themeColor="text1"/>
          <w:w w:val="105"/>
          <w:sz w:val="20"/>
        </w:rPr>
        <w:t>the</w:t>
      </w:r>
      <w:r w:rsidRPr="00FD40B8">
        <w:rPr>
          <w:i/>
          <w:color w:val="131727" w:themeColor="text1"/>
          <w:spacing w:val="-1"/>
          <w:w w:val="105"/>
          <w:sz w:val="20"/>
        </w:rPr>
        <w:t xml:space="preserve"> </w:t>
      </w:r>
      <w:r w:rsidRPr="00FD40B8">
        <w:rPr>
          <w:i/>
          <w:color w:val="131727" w:themeColor="text1"/>
          <w:w w:val="105"/>
          <w:sz w:val="20"/>
        </w:rPr>
        <w:t>Census</w:t>
      </w:r>
      <w:r w:rsidRPr="00FD40B8">
        <w:rPr>
          <w:i/>
          <w:color w:val="131727" w:themeColor="text1"/>
          <w:spacing w:val="-1"/>
          <w:w w:val="105"/>
          <w:sz w:val="20"/>
        </w:rPr>
        <w:t xml:space="preserve"> </w:t>
      </w:r>
      <w:r w:rsidRPr="00FD40B8">
        <w:rPr>
          <w:i/>
          <w:color w:val="131727" w:themeColor="text1"/>
          <w:w w:val="105"/>
          <w:sz w:val="20"/>
        </w:rPr>
        <w:t>and</w:t>
      </w:r>
      <w:r w:rsidRPr="00FD40B8">
        <w:rPr>
          <w:i/>
          <w:color w:val="131727" w:themeColor="text1"/>
          <w:spacing w:val="-1"/>
          <w:w w:val="105"/>
          <w:sz w:val="20"/>
        </w:rPr>
        <w:t xml:space="preserve"> </w:t>
      </w:r>
      <w:r w:rsidRPr="00FD40B8">
        <w:rPr>
          <w:i/>
          <w:color w:val="131727" w:themeColor="text1"/>
          <w:w w:val="105"/>
          <w:sz w:val="20"/>
        </w:rPr>
        <w:t>estimates</w:t>
      </w:r>
      <w:r w:rsidRPr="00FD40B8">
        <w:rPr>
          <w:i/>
          <w:color w:val="131727" w:themeColor="text1"/>
          <w:spacing w:val="-1"/>
          <w:w w:val="105"/>
          <w:sz w:val="20"/>
        </w:rPr>
        <w:t xml:space="preserve"> </w:t>
      </w:r>
      <w:r w:rsidRPr="00FD40B8">
        <w:rPr>
          <w:i/>
          <w:color w:val="131727" w:themeColor="text1"/>
          <w:w w:val="105"/>
          <w:sz w:val="20"/>
        </w:rPr>
        <w:t>of homelessness based on Census data will be an underestimation. In the 2021 Census, the net undercount for Aboriginal</w:t>
      </w:r>
      <w:r w:rsidRPr="00FD40B8">
        <w:rPr>
          <w:i/>
          <w:color w:val="131727" w:themeColor="text1"/>
          <w:spacing w:val="-9"/>
          <w:w w:val="105"/>
          <w:sz w:val="20"/>
        </w:rPr>
        <w:t xml:space="preserve"> </w:t>
      </w:r>
      <w:r w:rsidRPr="00FD40B8">
        <w:rPr>
          <w:i/>
          <w:color w:val="131727" w:themeColor="text1"/>
          <w:w w:val="105"/>
          <w:sz w:val="20"/>
        </w:rPr>
        <w:t>and</w:t>
      </w:r>
      <w:r w:rsidRPr="00FD40B8">
        <w:rPr>
          <w:i/>
          <w:color w:val="131727" w:themeColor="text1"/>
          <w:spacing w:val="-7"/>
          <w:w w:val="105"/>
          <w:sz w:val="20"/>
        </w:rPr>
        <w:t xml:space="preserve"> </w:t>
      </w:r>
      <w:r w:rsidRPr="00FD40B8">
        <w:rPr>
          <w:i/>
          <w:color w:val="131727" w:themeColor="text1"/>
          <w:w w:val="105"/>
          <w:sz w:val="20"/>
        </w:rPr>
        <w:t>Torres</w:t>
      </w:r>
      <w:r w:rsidRPr="00FD40B8">
        <w:rPr>
          <w:i/>
          <w:color w:val="131727" w:themeColor="text1"/>
          <w:spacing w:val="-6"/>
          <w:w w:val="105"/>
          <w:sz w:val="20"/>
        </w:rPr>
        <w:t xml:space="preserve"> </w:t>
      </w:r>
      <w:r w:rsidRPr="00FD40B8">
        <w:rPr>
          <w:i/>
          <w:color w:val="131727" w:themeColor="text1"/>
          <w:w w:val="105"/>
          <w:sz w:val="20"/>
        </w:rPr>
        <w:t>Strait</w:t>
      </w:r>
      <w:r w:rsidRPr="00FD40B8">
        <w:rPr>
          <w:i/>
          <w:color w:val="131727" w:themeColor="text1"/>
          <w:spacing w:val="-5"/>
          <w:w w:val="105"/>
          <w:sz w:val="20"/>
        </w:rPr>
        <w:t xml:space="preserve"> </w:t>
      </w:r>
      <w:r w:rsidRPr="00FD40B8">
        <w:rPr>
          <w:i/>
          <w:color w:val="131727" w:themeColor="text1"/>
          <w:w w:val="105"/>
          <w:sz w:val="20"/>
        </w:rPr>
        <w:t>Islander</w:t>
      </w:r>
      <w:r w:rsidRPr="00FD40B8">
        <w:rPr>
          <w:i/>
          <w:color w:val="131727" w:themeColor="text1"/>
          <w:spacing w:val="-8"/>
          <w:w w:val="105"/>
          <w:sz w:val="20"/>
        </w:rPr>
        <w:t xml:space="preserve"> </w:t>
      </w:r>
      <w:r w:rsidRPr="00FD40B8">
        <w:rPr>
          <w:i/>
          <w:color w:val="131727" w:themeColor="text1"/>
          <w:w w:val="105"/>
          <w:sz w:val="20"/>
        </w:rPr>
        <w:t>peoples</w:t>
      </w:r>
      <w:r w:rsidRPr="00FD40B8">
        <w:rPr>
          <w:i/>
          <w:color w:val="131727" w:themeColor="text1"/>
          <w:spacing w:val="-10"/>
          <w:w w:val="105"/>
          <w:sz w:val="20"/>
        </w:rPr>
        <w:t xml:space="preserve"> </w:t>
      </w:r>
      <w:r w:rsidRPr="00FD40B8">
        <w:rPr>
          <w:i/>
          <w:color w:val="131727" w:themeColor="text1"/>
          <w:w w:val="105"/>
          <w:sz w:val="20"/>
        </w:rPr>
        <w:t>was</w:t>
      </w:r>
      <w:r w:rsidRPr="00FD40B8">
        <w:rPr>
          <w:i/>
          <w:color w:val="131727" w:themeColor="text1"/>
          <w:spacing w:val="-6"/>
          <w:w w:val="105"/>
          <w:sz w:val="20"/>
        </w:rPr>
        <w:t xml:space="preserve"> </w:t>
      </w:r>
      <w:r w:rsidRPr="00FD40B8">
        <w:rPr>
          <w:i/>
          <w:color w:val="131727" w:themeColor="text1"/>
          <w:w w:val="105"/>
          <w:sz w:val="20"/>
        </w:rPr>
        <w:t>17.4%.</w:t>
      </w:r>
      <w:r w:rsidRPr="00FD40B8">
        <w:rPr>
          <w:i/>
          <w:color w:val="131727" w:themeColor="text1"/>
          <w:spacing w:val="-6"/>
          <w:w w:val="105"/>
          <w:sz w:val="20"/>
        </w:rPr>
        <w:t xml:space="preserve"> </w:t>
      </w:r>
      <w:r w:rsidRPr="00FD40B8">
        <w:rPr>
          <w:i/>
          <w:color w:val="131727" w:themeColor="text1"/>
          <w:w w:val="105"/>
          <w:sz w:val="20"/>
        </w:rPr>
        <w:t>Some</w:t>
      </w:r>
      <w:r w:rsidRPr="00FD40B8">
        <w:rPr>
          <w:i/>
          <w:color w:val="131727" w:themeColor="text1"/>
          <w:spacing w:val="-6"/>
          <w:w w:val="105"/>
          <w:sz w:val="20"/>
        </w:rPr>
        <w:t xml:space="preserve"> </w:t>
      </w:r>
      <w:r w:rsidRPr="00FD40B8">
        <w:rPr>
          <w:i/>
          <w:color w:val="131727" w:themeColor="text1"/>
          <w:w w:val="105"/>
          <w:sz w:val="20"/>
        </w:rPr>
        <w:t>of</w:t>
      </w:r>
      <w:r w:rsidRPr="00FD40B8">
        <w:rPr>
          <w:i/>
          <w:color w:val="131727" w:themeColor="text1"/>
          <w:spacing w:val="-9"/>
          <w:w w:val="105"/>
          <w:sz w:val="20"/>
        </w:rPr>
        <w:t xml:space="preserve"> </w:t>
      </w:r>
      <w:r w:rsidRPr="00FD40B8">
        <w:rPr>
          <w:i/>
          <w:color w:val="131727" w:themeColor="text1"/>
          <w:w w:val="105"/>
          <w:sz w:val="20"/>
        </w:rPr>
        <w:t>those</w:t>
      </w:r>
      <w:r w:rsidRPr="00FD40B8">
        <w:rPr>
          <w:i/>
          <w:color w:val="131727" w:themeColor="text1"/>
          <w:spacing w:val="-10"/>
          <w:w w:val="105"/>
          <w:sz w:val="20"/>
        </w:rPr>
        <w:t xml:space="preserve"> </w:t>
      </w:r>
      <w:r w:rsidRPr="00FD40B8">
        <w:rPr>
          <w:i/>
          <w:color w:val="131727" w:themeColor="text1"/>
          <w:w w:val="105"/>
          <w:sz w:val="20"/>
        </w:rPr>
        <w:t>who</w:t>
      </w:r>
      <w:r w:rsidRPr="00FD40B8">
        <w:rPr>
          <w:i/>
          <w:color w:val="131727" w:themeColor="text1"/>
          <w:spacing w:val="-10"/>
          <w:w w:val="105"/>
          <w:sz w:val="20"/>
        </w:rPr>
        <w:t xml:space="preserve"> </w:t>
      </w:r>
      <w:r w:rsidRPr="00FD40B8">
        <w:rPr>
          <w:i/>
          <w:color w:val="131727" w:themeColor="text1"/>
          <w:w w:val="105"/>
          <w:sz w:val="20"/>
        </w:rPr>
        <w:t>were</w:t>
      </w:r>
      <w:r w:rsidRPr="00FD40B8">
        <w:rPr>
          <w:i/>
          <w:color w:val="131727" w:themeColor="text1"/>
          <w:spacing w:val="-6"/>
          <w:w w:val="105"/>
          <w:sz w:val="20"/>
        </w:rPr>
        <w:t xml:space="preserve"> </w:t>
      </w:r>
      <w:r w:rsidRPr="00FD40B8">
        <w:rPr>
          <w:i/>
          <w:color w:val="131727" w:themeColor="text1"/>
          <w:w w:val="105"/>
          <w:sz w:val="20"/>
        </w:rPr>
        <w:t>under-enumerated</w:t>
      </w:r>
      <w:r w:rsidRPr="00FD40B8">
        <w:rPr>
          <w:i/>
          <w:color w:val="131727" w:themeColor="text1"/>
          <w:spacing w:val="-8"/>
          <w:w w:val="105"/>
          <w:sz w:val="20"/>
        </w:rPr>
        <w:t xml:space="preserve"> </w:t>
      </w:r>
      <w:r w:rsidRPr="00FD40B8">
        <w:rPr>
          <w:i/>
          <w:color w:val="131727" w:themeColor="text1"/>
          <w:w w:val="105"/>
          <w:sz w:val="20"/>
        </w:rPr>
        <w:t>may</w:t>
      </w:r>
      <w:r w:rsidRPr="00FD40B8">
        <w:rPr>
          <w:i/>
          <w:color w:val="131727" w:themeColor="text1"/>
          <w:spacing w:val="-9"/>
          <w:w w:val="105"/>
          <w:sz w:val="20"/>
        </w:rPr>
        <w:t xml:space="preserve"> </w:t>
      </w:r>
      <w:r w:rsidRPr="00FD40B8">
        <w:rPr>
          <w:i/>
          <w:color w:val="131727" w:themeColor="text1"/>
          <w:w w:val="105"/>
          <w:sz w:val="20"/>
        </w:rPr>
        <w:t>have been</w:t>
      </w:r>
      <w:r w:rsidRPr="00FD40B8">
        <w:rPr>
          <w:i/>
          <w:color w:val="131727" w:themeColor="text1"/>
          <w:spacing w:val="-1"/>
          <w:w w:val="105"/>
          <w:sz w:val="20"/>
        </w:rPr>
        <w:t xml:space="preserve"> </w:t>
      </w:r>
      <w:r w:rsidRPr="00FD40B8">
        <w:rPr>
          <w:i/>
          <w:color w:val="131727" w:themeColor="text1"/>
          <w:w w:val="105"/>
          <w:sz w:val="20"/>
        </w:rPr>
        <w:t>experiencing homelessness at</w:t>
      </w:r>
      <w:r w:rsidRPr="00FD40B8">
        <w:rPr>
          <w:i/>
          <w:color w:val="131727" w:themeColor="text1"/>
          <w:spacing w:val="-1"/>
          <w:w w:val="105"/>
          <w:sz w:val="20"/>
        </w:rPr>
        <w:t xml:space="preserve"> </w:t>
      </w:r>
      <w:r w:rsidRPr="00FD40B8">
        <w:rPr>
          <w:i/>
          <w:color w:val="131727" w:themeColor="text1"/>
          <w:w w:val="105"/>
          <w:sz w:val="20"/>
        </w:rPr>
        <w:t>the time of</w:t>
      </w:r>
      <w:r w:rsidRPr="00FD40B8">
        <w:rPr>
          <w:i/>
          <w:color w:val="131727" w:themeColor="text1"/>
          <w:spacing w:val="-2"/>
          <w:w w:val="105"/>
          <w:sz w:val="20"/>
        </w:rPr>
        <w:t xml:space="preserve"> </w:t>
      </w:r>
      <w:r w:rsidRPr="00FD40B8">
        <w:rPr>
          <w:i/>
          <w:color w:val="131727" w:themeColor="text1"/>
          <w:w w:val="105"/>
          <w:sz w:val="20"/>
        </w:rPr>
        <w:t>the Census.”</w:t>
      </w:r>
    </w:p>
    <w:p w14:paraId="3602F9EE" w14:textId="77777777" w:rsidR="00811887" w:rsidRPr="00FD40B8" w:rsidRDefault="00811887" w:rsidP="00811887">
      <w:pPr>
        <w:pStyle w:val="BodyText"/>
        <w:spacing w:before="35"/>
        <w:rPr>
          <w:i/>
          <w:color w:val="131727" w:themeColor="text1"/>
        </w:rPr>
      </w:pPr>
    </w:p>
    <w:p w14:paraId="2B3AFC39" w14:textId="77777777" w:rsidR="00811887" w:rsidRPr="00FD40B8" w:rsidRDefault="00811887" w:rsidP="00811887">
      <w:pPr>
        <w:spacing w:line="266" w:lineRule="auto"/>
        <w:ind w:left="508" w:right="598"/>
        <w:rPr>
          <w:i/>
          <w:color w:val="131727" w:themeColor="text1"/>
          <w:sz w:val="13"/>
        </w:rPr>
      </w:pPr>
      <w:r w:rsidRPr="00FD40B8">
        <w:rPr>
          <w:color w:val="131727" w:themeColor="text1"/>
          <w:w w:val="105"/>
          <w:sz w:val="20"/>
        </w:rPr>
        <w:t>The</w:t>
      </w:r>
      <w:r w:rsidRPr="00FD40B8">
        <w:rPr>
          <w:color w:val="131727" w:themeColor="text1"/>
          <w:spacing w:val="-3"/>
          <w:w w:val="105"/>
          <w:sz w:val="20"/>
        </w:rPr>
        <w:t xml:space="preserve"> </w:t>
      </w:r>
      <w:r w:rsidRPr="00FD40B8">
        <w:rPr>
          <w:color w:val="131727" w:themeColor="text1"/>
          <w:w w:val="105"/>
          <w:sz w:val="20"/>
        </w:rPr>
        <w:t>AIHW</w:t>
      </w:r>
      <w:r w:rsidRPr="00FD40B8">
        <w:rPr>
          <w:color w:val="131727" w:themeColor="text1"/>
          <w:spacing w:val="-1"/>
          <w:w w:val="105"/>
          <w:sz w:val="20"/>
        </w:rPr>
        <w:t xml:space="preserve"> </w:t>
      </w:r>
      <w:r w:rsidRPr="00FD40B8">
        <w:rPr>
          <w:color w:val="131727" w:themeColor="text1"/>
          <w:w w:val="105"/>
          <w:sz w:val="20"/>
        </w:rPr>
        <w:t>also</w:t>
      </w:r>
      <w:r w:rsidRPr="00FD40B8">
        <w:rPr>
          <w:color w:val="131727" w:themeColor="text1"/>
          <w:spacing w:val="-5"/>
          <w:w w:val="105"/>
          <w:sz w:val="20"/>
        </w:rPr>
        <w:t xml:space="preserve"> </w:t>
      </w:r>
      <w:r w:rsidRPr="00FD40B8">
        <w:rPr>
          <w:color w:val="131727" w:themeColor="text1"/>
          <w:w w:val="105"/>
          <w:sz w:val="20"/>
        </w:rPr>
        <w:t>states</w:t>
      </w:r>
      <w:r w:rsidRPr="00FD40B8">
        <w:rPr>
          <w:color w:val="131727" w:themeColor="text1"/>
          <w:spacing w:val="-1"/>
          <w:w w:val="105"/>
          <w:sz w:val="20"/>
        </w:rPr>
        <w:t xml:space="preserve"> </w:t>
      </w:r>
      <w:r w:rsidRPr="00FD40B8">
        <w:rPr>
          <w:color w:val="131727" w:themeColor="text1"/>
          <w:w w:val="105"/>
          <w:sz w:val="20"/>
        </w:rPr>
        <w:t>that</w:t>
      </w:r>
      <w:r w:rsidRPr="00FD40B8">
        <w:rPr>
          <w:color w:val="131727" w:themeColor="text1"/>
          <w:spacing w:val="-4"/>
          <w:w w:val="105"/>
          <w:sz w:val="20"/>
        </w:rPr>
        <w:t xml:space="preserve"> </w:t>
      </w:r>
      <w:r w:rsidRPr="00FD40B8">
        <w:rPr>
          <w:i/>
          <w:color w:val="131727" w:themeColor="text1"/>
          <w:w w:val="105"/>
          <w:sz w:val="20"/>
        </w:rPr>
        <w:t>“The</w:t>
      </w:r>
      <w:r w:rsidRPr="00FD40B8">
        <w:rPr>
          <w:i/>
          <w:color w:val="131727" w:themeColor="text1"/>
          <w:spacing w:val="-3"/>
          <w:w w:val="105"/>
          <w:sz w:val="20"/>
        </w:rPr>
        <w:t xml:space="preserve"> </w:t>
      </w:r>
      <w:r w:rsidRPr="00FD40B8">
        <w:rPr>
          <w:i/>
          <w:color w:val="131727" w:themeColor="text1"/>
          <w:w w:val="105"/>
          <w:sz w:val="20"/>
        </w:rPr>
        <w:t>ABS</w:t>
      </w:r>
      <w:r w:rsidRPr="00FD40B8">
        <w:rPr>
          <w:i/>
          <w:color w:val="131727" w:themeColor="text1"/>
          <w:spacing w:val="-3"/>
          <w:w w:val="105"/>
          <w:sz w:val="20"/>
        </w:rPr>
        <w:t xml:space="preserve"> </w:t>
      </w:r>
      <w:r w:rsidRPr="00FD40B8">
        <w:rPr>
          <w:i/>
          <w:color w:val="131727" w:themeColor="text1"/>
          <w:w w:val="105"/>
          <w:sz w:val="20"/>
        </w:rPr>
        <w:t>definition</w:t>
      </w:r>
      <w:r w:rsidRPr="00FD40B8">
        <w:rPr>
          <w:i/>
          <w:color w:val="131727" w:themeColor="text1"/>
          <w:spacing w:val="-5"/>
          <w:w w:val="105"/>
          <w:sz w:val="20"/>
        </w:rPr>
        <w:t xml:space="preserve"> </w:t>
      </w:r>
      <w:r w:rsidRPr="00FD40B8">
        <w:rPr>
          <w:i/>
          <w:color w:val="131727" w:themeColor="text1"/>
          <w:w w:val="105"/>
          <w:sz w:val="20"/>
        </w:rPr>
        <w:t>of</w:t>
      </w:r>
      <w:r w:rsidRPr="00FD40B8">
        <w:rPr>
          <w:i/>
          <w:color w:val="131727" w:themeColor="text1"/>
          <w:spacing w:val="-3"/>
          <w:w w:val="105"/>
          <w:sz w:val="20"/>
        </w:rPr>
        <w:t xml:space="preserve"> </w:t>
      </w:r>
      <w:r w:rsidRPr="00FD40B8">
        <w:rPr>
          <w:i/>
          <w:color w:val="131727" w:themeColor="text1"/>
          <w:w w:val="105"/>
          <w:sz w:val="20"/>
        </w:rPr>
        <w:t>homelessness</w:t>
      </w:r>
      <w:r w:rsidRPr="00FD40B8">
        <w:rPr>
          <w:i/>
          <w:color w:val="131727" w:themeColor="text1"/>
          <w:spacing w:val="-3"/>
          <w:w w:val="105"/>
          <w:sz w:val="20"/>
        </w:rPr>
        <w:t xml:space="preserve"> </w:t>
      </w:r>
      <w:r w:rsidRPr="00FD40B8">
        <w:rPr>
          <w:i/>
          <w:color w:val="131727" w:themeColor="text1"/>
          <w:w w:val="105"/>
          <w:sz w:val="20"/>
        </w:rPr>
        <w:t>was</w:t>
      </w:r>
      <w:r w:rsidRPr="00FD40B8">
        <w:rPr>
          <w:i/>
          <w:color w:val="131727" w:themeColor="text1"/>
          <w:spacing w:val="-7"/>
          <w:w w:val="105"/>
          <w:sz w:val="20"/>
        </w:rPr>
        <w:t xml:space="preserve"> </w:t>
      </w:r>
      <w:r w:rsidRPr="00FD40B8">
        <w:rPr>
          <w:i/>
          <w:color w:val="131727" w:themeColor="text1"/>
          <w:w w:val="105"/>
          <w:sz w:val="20"/>
        </w:rPr>
        <w:t>developed</w:t>
      </w:r>
      <w:r w:rsidRPr="00FD40B8">
        <w:rPr>
          <w:i/>
          <w:color w:val="131727" w:themeColor="text1"/>
          <w:spacing w:val="-4"/>
          <w:w w:val="105"/>
          <w:sz w:val="20"/>
        </w:rPr>
        <w:t xml:space="preserve"> </w:t>
      </w:r>
      <w:r w:rsidRPr="00FD40B8">
        <w:rPr>
          <w:i/>
          <w:color w:val="131727" w:themeColor="text1"/>
          <w:w w:val="105"/>
          <w:sz w:val="20"/>
        </w:rPr>
        <w:t>for</w:t>
      </w:r>
      <w:r w:rsidRPr="00FD40B8">
        <w:rPr>
          <w:i/>
          <w:color w:val="131727" w:themeColor="text1"/>
          <w:spacing w:val="-9"/>
          <w:w w:val="105"/>
          <w:sz w:val="20"/>
        </w:rPr>
        <w:t xml:space="preserve"> </w:t>
      </w:r>
      <w:r w:rsidRPr="00FD40B8">
        <w:rPr>
          <w:i/>
          <w:color w:val="131727" w:themeColor="text1"/>
          <w:w w:val="105"/>
          <w:sz w:val="20"/>
        </w:rPr>
        <w:t>the</w:t>
      </w:r>
      <w:r w:rsidRPr="00FD40B8">
        <w:rPr>
          <w:i/>
          <w:color w:val="131727" w:themeColor="text1"/>
          <w:spacing w:val="-3"/>
          <w:w w:val="105"/>
          <w:sz w:val="20"/>
        </w:rPr>
        <w:t xml:space="preserve"> </w:t>
      </w:r>
      <w:r w:rsidRPr="00FD40B8">
        <w:rPr>
          <w:i/>
          <w:color w:val="131727" w:themeColor="text1"/>
          <w:w w:val="105"/>
          <w:sz w:val="20"/>
        </w:rPr>
        <w:t>general</w:t>
      </w:r>
      <w:r w:rsidRPr="00FD40B8">
        <w:rPr>
          <w:i/>
          <w:color w:val="131727" w:themeColor="text1"/>
          <w:spacing w:val="-2"/>
          <w:w w:val="105"/>
          <w:sz w:val="20"/>
        </w:rPr>
        <w:t xml:space="preserve"> </w:t>
      </w:r>
      <w:r w:rsidRPr="00FD40B8">
        <w:rPr>
          <w:i/>
          <w:color w:val="131727" w:themeColor="text1"/>
          <w:w w:val="105"/>
          <w:sz w:val="20"/>
        </w:rPr>
        <w:t>population</w:t>
      </w:r>
      <w:r w:rsidRPr="00FD40B8">
        <w:rPr>
          <w:i/>
          <w:color w:val="131727" w:themeColor="text1"/>
          <w:spacing w:val="-5"/>
          <w:w w:val="105"/>
          <w:sz w:val="20"/>
        </w:rPr>
        <w:t xml:space="preserve"> </w:t>
      </w:r>
      <w:r w:rsidRPr="00FD40B8">
        <w:rPr>
          <w:i/>
          <w:color w:val="131727" w:themeColor="text1"/>
          <w:w w:val="105"/>
          <w:sz w:val="20"/>
        </w:rPr>
        <w:t>in Australia.</w:t>
      </w:r>
      <w:r w:rsidRPr="00FD40B8">
        <w:rPr>
          <w:i/>
          <w:color w:val="131727" w:themeColor="text1"/>
          <w:spacing w:val="-5"/>
          <w:w w:val="105"/>
          <w:sz w:val="20"/>
        </w:rPr>
        <w:t xml:space="preserve"> </w:t>
      </w:r>
      <w:r w:rsidRPr="00FD40B8">
        <w:rPr>
          <w:i/>
          <w:color w:val="131727" w:themeColor="text1"/>
          <w:w w:val="105"/>
          <w:sz w:val="20"/>
        </w:rPr>
        <w:t>There</w:t>
      </w:r>
      <w:r w:rsidRPr="00FD40B8">
        <w:rPr>
          <w:i/>
          <w:color w:val="131727" w:themeColor="text1"/>
          <w:spacing w:val="-5"/>
          <w:w w:val="105"/>
          <w:sz w:val="20"/>
        </w:rPr>
        <w:t xml:space="preserve"> </w:t>
      </w:r>
      <w:r w:rsidRPr="00FD40B8">
        <w:rPr>
          <w:i/>
          <w:color w:val="131727" w:themeColor="text1"/>
          <w:w w:val="105"/>
          <w:sz w:val="20"/>
        </w:rPr>
        <w:t>are</w:t>
      </w:r>
      <w:r w:rsidRPr="00FD40B8">
        <w:rPr>
          <w:i/>
          <w:color w:val="131727" w:themeColor="text1"/>
          <w:spacing w:val="-9"/>
          <w:w w:val="105"/>
          <w:sz w:val="20"/>
        </w:rPr>
        <w:t xml:space="preserve"> </w:t>
      </w:r>
      <w:r w:rsidRPr="00FD40B8">
        <w:rPr>
          <w:i/>
          <w:color w:val="131727" w:themeColor="text1"/>
          <w:w w:val="105"/>
          <w:sz w:val="20"/>
        </w:rPr>
        <w:t>likely</w:t>
      </w:r>
      <w:r w:rsidRPr="00FD40B8">
        <w:rPr>
          <w:i/>
          <w:color w:val="131727" w:themeColor="text1"/>
          <w:spacing w:val="-8"/>
          <w:w w:val="105"/>
          <w:sz w:val="20"/>
        </w:rPr>
        <w:t xml:space="preserve"> </w:t>
      </w:r>
      <w:r w:rsidRPr="00FD40B8">
        <w:rPr>
          <w:i/>
          <w:color w:val="131727" w:themeColor="text1"/>
          <w:w w:val="105"/>
          <w:sz w:val="20"/>
        </w:rPr>
        <w:t>to</w:t>
      </w:r>
      <w:r w:rsidRPr="00FD40B8">
        <w:rPr>
          <w:i/>
          <w:color w:val="131727" w:themeColor="text1"/>
          <w:spacing w:val="-9"/>
          <w:w w:val="105"/>
          <w:sz w:val="20"/>
        </w:rPr>
        <w:t xml:space="preserve"> </w:t>
      </w:r>
      <w:r w:rsidRPr="00FD40B8">
        <w:rPr>
          <w:i/>
          <w:color w:val="131727" w:themeColor="text1"/>
          <w:w w:val="105"/>
          <w:sz w:val="20"/>
        </w:rPr>
        <w:t>be</w:t>
      </w:r>
      <w:r w:rsidRPr="00FD40B8">
        <w:rPr>
          <w:i/>
          <w:color w:val="131727" w:themeColor="text1"/>
          <w:spacing w:val="-5"/>
          <w:w w:val="105"/>
          <w:sz w:val="20"/>
        </w:rPr>
        <w:t xml:space="preserve"> </w:t>
      </w:r>
      <w:r w:rsidRPr="00FD40B8">
        <w:rPr>
          <w:i/>
          <w:color w:val="131727" w:themeColor="text1"/>
          <w:w w:val="105"/>
          <w:sz w:val="20"/>
        </w:rPr>
        <w:t>additional</w:t>
      </w:r>
      <w:r w:rsidRPr="00FD40B8">
        <w:rPr>
          <w:i/>
          <w:color w:val="131727" w:themeColor="text1"/>
          <w:spacing w:val="-8"/>
          <w:w w:val="105"/>
          <w:sz w:val="20"/>
        </w:rPr>
        <w:t xml:space="preserve"> </w:t>
      </w:r>
      <w:r w:rsidRPr="00FD40B8">
        <w:rPr>
          <w:i/>
          <w:color w:val="131727" w:themeColor="text1"/>
          <w:w w:val="105"/>
          <w:sz w:val="20"/>
        </w:rPr>
        <w:t>aspects</w:t>
      </w:r>
      <w:r w:rsidRPr="00FD40B8">
        <w:rPr>
          <w:i/>
          <w:color w:val="131727" w:themeColor="text1"/>
          <w:spacing w:val="-5"/>
          <w:w w:val="105"/>
          <w:sz w:val="20"/>
        </w:rPr>
        <w:t xml:space="preserve"> </w:t>
      </w:r>
      <w:r w:rsidRPr="00FD40B8">
        <w:rPr>
          <w:i/>
          <w:color w:val="131727" w:themeColor="text1"/>
          <w:w w:val="105"/>
          <w:sz w:val="20"/>
        </w:rPr>
        <w:t>of</w:t>
      </w:r>
      <w:r w:rsidRPr="00FD40B8">
        <w:rPr>
          <w:i/>
          <w:color w:val="131727" w:themeColor="text1"/>
          <w:spacing w:val="-5"/>
          <w:w w:val="105"/>
          <w:sz w:val="20"/>
        </w:rPr>
        <w:t xml:space="preserve"> </w:t>
      </w:r>
      <w:r w:rsidRPr="00FD40B8">
        <w:rPr>
          <w:i/>
          <w:color w:val="131727" w:themeColor="text1"/>
          <w:w w:val="105"/>
          <w:sz w:val="20"/>
        </w:rPr>
        <w:t>homelessness</w:t>
      </w:r>
      <w:r w:rsidRPr="00FD40B8">
        <w:rPr>
          <w:i/>
          <w:color w:val="131727" w:themeColor="text1"/>
          <w:spacing w:val="-8"/>
          <w:w w:val="105"/>
          <w:sz w:val="20"/>
        </w:rPr>
        <w:t xml:space="preserve"> </w:t>
      </w:r>
      <w:r w:rsidRPr="00FD40B8">
        <w:rPr>
          <w:i/>
          <w:color w:val="131727" w:themeColor="text1"/>
          <w:w w:val="105"/>
          <w:sz w:val="20"/>
        </w:rPr>
        <w:t>from</w:t>
      </w:r>
      <w:r w:rsidRPr="00FD40B8">
        <w:rPr>
          <w:i/>
          <w:color w:val="131727" w:themeColor="text1"/>
          <w:spacing w:val="-5"/>
          <w:w w:val="105"/>
          <w:sz w:val="20"/>
        </w:rPr>
        <w:t xml:space="preserve"> </w:t>
      </w:r>
      <w:r w:rsidRPr="00FD40B8">
        <w:rPr>
          <w:i/>
          <w:color w:val="131727" w:themeColor="text1"/>
          <w:w w:val="105"/>
          <w:sz w:val="20"/>
        </w:rPr>
        <w:t>an</w:t>
      </w:r>
      <w:r w:rsidRPr="00FD40B8">
        <w:rPr>
          <w:i/>
          <w:color w:val="131727" w:themeColor="text1"/>
          <w:spacing w:val="-7"/>
          <w:w w:val="105"/>
          <w:sz w:val="20"/>
        </w:rPr>
        <w:t xml:space="preserve"> </w:t>
      </w:r>
      <w:r w:rsidRPr="00FD40B8">
        <w:rPr>
          <w:i/>
          <w:color w:val="131727" w:themeColor="text1"/>
          <w:w w:val="105"/>
          <w:sz w:val="20"/>
        </w:rPr>
        <w:t>Indigenous</w:t>
      </w:r>
      <w:r w:rsidRPr="00FD40B8">
        <w:rPr>
          <w:i/>
          <w:color w:val="131727" w:themeColor="text1"/>
          <w:spacing w:val="-5"/>
          <w:w w:val="105"/>
          <w:sz w:val="20"/>
        </w:rPr>
        <w:t xml:space="preserve"> </w:t>
      </w:r>
      <w:r w:rsidRPr="00FD40B8">
        <w:rPr>
          <w:i/>
          <w:color w:val="131727" w:themeColor="text1"/>
          <w:w w:val="105"/>
          <w:sz w:val="20"/>
        </w:rPr>
        <w:t>perspective</w:t>
      </w:r>
      <w:r w:rsidRPr="00FD40B8">
        <w:rPr>
          <w:i/>
          <w:color w:val="131727" w:themeColor="text1"/>
          <w:spacing w:val="-5"/>
          <w:w w:val="105"/>
          <w:sz w:val="20"/>
        </w:rPr>
        <w:t xml:space="preserve"> </w:t>
      </w:r>
      <w:r w:rsidRPr="00FD40B8">
        <w:rPr>
          <w:i/>
          <w:color w:val="131727" w:themeColor="text1"/>
          <w:w w:val="105"/>
          <w:sz w:val="20"/>
        </w:rPr>
        <w:t>that</w:t>
      </w:r>
      <w:r w:rsidRPr="00FD40B8">
        <w:rPr>
          <w:i/>
          <w:color w:val="131727" w:themeColor="text1"/>
          <w:spacing w:val="-7"/>
          <w:w w:val="105"/>
          <w:sz w:val="20"/>
        </w:rPr>
        <w:t xml:space="preserve"> </w:t>
      </w:r>
      <w:r w:rsidRPr="00FD40B8">
        <w:rPr>
          <w:i/>
          <w:color w:val="131727" w:themeColor="text1"/>
          <w:w w:val="105"/>
          <w:sz w:val="20"/>
        </w:rPr>
        <w:t>this definition does not adequately capture”.</w:t>
      </w:r>
      <w:hyperlink w:anchor="_bookmark104" w:history="1">
        <w:r w:rsidRPr="00FD40B8">
          <w:rPr>
            <w:i/>
            <w:color w:val="131727" w:themeColor="text1"/>
            <w:w w:val="105"/>
            <w:position w:val="8"/>
            <w:sz w:val="13"/>
          </w:rPr>
          <w:t>85</w:t>
        </w:r>
      </w:hyperlink>
    </w:p>
    <w:p w14:paraId="10EAEB9B" w14:textId="77777777" w:rsidR="00811887" w:rsidRPr="00FD40B8" w:rsidRDefault="00811887" w:rsidP="00811887">
      <w:pPr>
        <w:pStyle w:val="BodyText"/>
        <w:spacing w:before="48"/>
        <w:rPr>
          <w:i/>
          <w:color w:val="131727" w:themeColor="text1"/>
        </w:rPr>
      </w:pPr>
    </w:p>
    <w:p w14:paraId="1F5D4512" w14:textId="77777777" w:rsidR="00811887" w:rsidRPr="00FD40B8" w:rsidRDefault="00811887" w:rsidP="00811887">
      <w:pPr>
        <w:pStyle w:val="BodyText"/>
        <w:ind w:left="508"/>
        <w:rPr>
          <w:color w:val="131727" w:themeColor="text1"/>
        </w:rPr>
      </w:pPr>
      <w:r w:rsidRPr="00FD40B8">
        <w:rPr>
          <w:color w:val="131727" w:themeColor="text1"/>
          <w:w w:val="110"/>
        </w:rPr>
        <w:t>Step</w:t>
      </w:r>
      <w:r w:rsidRPr="00FD40B8">
        <w:rPr>
          <w:color w:val="131727" w:themeColor="text1"/>
          <w:spacing w:val="-1"/>
          <w:w w:val="110"/>
        </w:rPr>
        <w:t xml:space="preserve"> </w:t>
      </w:r>
      <w:r w:rsidRPr="00FD40B8">
        <w:rPr>
          <w:color w:val="131727" w:themeColor="text1"/>
          <w:w w:val="110"/>
        </w:rPr>
        <w:t>2:</w:t>
      </w:r>
      <w:r w:rsidRPr="00FD40B8">
        <w:rPr>
          <w:color w:val="131727" w:themeColor="text1"/>
          <w:spacing w:val="-1"/>
          <w:w w:val="110"/>
        </w:rPr>
        <w:t xml:space="preserve"> </w:t>
      </w:r>
      <w:r w:rsidRPr="00FD40B8">
        <w:rPr>
          <w:color w:val="131727" w:themeColor="text1"/>
          <w:w w:val="110"/>
        </w:rPr>
        <w:t>Estimating</w:t>
      </w:r>
      <w:r w:rsidRPr="00FD40B8">
        <w:rPr>
          <w:color w:val="131727" w:themeColor="text1"/>
          <w:spacing w:val="-1"/>
          <w:w w:val="110"/>
        </w:rPr>
        <w:t xml:space="preserve"> </w:t>
      </w:r>
      <w:r w:rsidRPr="00FD40B8">
        <w:rPr>
          <w:color w:val="131727" w:themeColor="text1"/>
          <w:w w:val="110"/>
        </w:rPr>
        <w:t>the</w:t>
      </w:r>
      <w:r w:rsidRPr="00FD40B8">
        <w:rPr>
          <w:color w:val="131727" w:themeColor="text1"/>
          <w:spacing w:val="-6"/>
          <w:w w:val="110"/>
        </w:rPr>
        <w:t xml:space="preserve"> </w:t>
      </w:r>
      <w:r w:rsidRPr="00FD40B8">
        <w:rPr>
          <w:color w:val="131727" w:themeColor="text1"/>
          <w:w w:val="110"/>
        </w:rPr>
        <w:t>number</w:t>
      </w:r>
      <w:r w:rsidRPr="00FD40B8">
        <w:rPr>
          <w:color w:val="131727" w:themeColor="text1"/>
          <w:spacing w:val="-3"/>
          <w:w w:val="110"/>
        </w:rPr>
        <w:t xml:space="preserve"> </w:t>
      </w:r>
      <w:r w:rsidRPr="00FD40B8">
        <w:rPr>
          <w:color w:val="131727" w:themeColor="text1"/>
          <w:w w:val="110"/>
        </w:rPr>
        <w:t>of</w:t>
      </w:r>
      <w:r w:rsidRPr="00FD40B8">
        <w:rPr>
          <w:color w:val="131727" w:themeColor="text1"/>
          <w:spacing w:val="1"/>
          <w:w w:val="110"/>
        </w:rPr>
        <w:t xml:space="preserve"> </w:t>
      </w:r>
      <w:r w:rsidRPr="00FD40B8">
        <w:rPr>
          <w:color w:val="131727" w:themeColor="text1"/>
          <w:w w:val="110"/>
        </w:rPr>
        <w:t>additional</w:t>
      </w:r>
      <w:r w:rsidRPr="00FD40B8">
        <w:rPr>
          <w:color w:val="131727" w:themeColor="text1"/>
          <w:spacing w:val="1"/>
          <w:w w:val="110"/>
        </w:rPr>
        <w:t xml:space="preserve"> </w:t>
      </w:r>
      <w:r w:rsidRPr="00FD40B8">
        <w:rPr>
          <w:color w:val="131727" w:themeColor="text1"/>
          <w:w w:val="110"/>
        </w:rPr>
        <w:t>houses</w:t>
      </w:r>
      <w:r w:rsidRPr="00FD40B8">
        <w:rPr>
          <w:color w:val="131727" w:themeColor="text1"/>
          <w:spacing w:val="1"/>
          <w:w w:val="110"/>
        </w:rPr>
        <w:t xml:space="preserve"> </w:t>
      </w:r>
      <w:r w:rsidRPr="00FD40B8">
        <w:rPr>
          <w:color w:val="131727" w:themeColor="text1"/>
          <w:spacing w:val="-2"/>
          <w:w w:val="110"/>
        </w:rPr>
        <w:t>needed</w:t>
      </w:r>
    </w:p>
    <w:p w14:paraId="582F7A03" w14:textId="77777777" w:rsidR="00811887" w:rsidRPr="00FD40B8" w:rsidRDefault="00811887" w:rsidP="00811887">
      <w:pPr>
        <w:pStyle w:val="BodyText"/>
        <w:spacing w:before="35" w:line="276" w:lineRule="auto"/>
        <w:ind w:left="508" w:right="598"/>
        <w:rPr>
          <w:color w:val="131727" w:themeColor="text1"/>
        </w:rPr>
      </w:pPr>
      <w:r w:rsidRPr="00FD40B8">
        <w:rPr>
          <w:color w:val="131727" w:themeColor="text1"/>
          <w:w w:val="110"/>
        </w:rPr>
        <w:t>We</w:t>
      </w:r>
      <w:r w:rsidRPr="00FD40B8">
        <w:rPr>
          <w:color w:val="131727" w:themeColor="text1"/>
          <w:spacing w:val="-3"/>
          <w:w w:val="110"/>
        </w:rPr>
        <w:t xml:space="preserve"> </w:t>
      </w:r>
      <w:r w:rsidRPr="00FD40B8">
        <w:rPr>
          <w:color w:val="131727" w:themeColor="text1"/>
          <w:w w:val="110"/>
        </w:rPr>
        <w:t>first provide an estimate of total</w:t>
      </w:r>
      <w:r w:rsidRPr="00FD40B8">
        <w:rPr>
          <w:color w:val="131727" w:themeColor="text1"/>
          <w:spacing w:val="-1"/>
          <w:w w:val="110"/>
        </w:rPr>
        <w:t xml:space="preserve"> </w:t>
      </w:r>
      <w:r w:rsidRPr="00FD40B8">
        <w:rPr>
          <w:color w:val="131727" w:themeColor="text1"/>
          <w:w w:val="110"/>
        </w:rPr>
        <w:t>number of</w:t>
      </w:r>
      <w:r w:rsidRPr="00FD40B8">
        <w:rPr>
          <w:color w:val="131727" w:themeColor="text1"/>
          <w:spacing w:val="-1"/>
          <w:w w:val="110"/>
        </w:rPr>
        <w:t xml:space="preserve"> </w:t>
      </w:r>
      <w:r w:rsidRPr="00FD40B8">
        <w:rPr>
          <w:color w:val="131727" w:themeColor="text1"/>
          <w:w w:val="110"/>
        </w:rPr>
        <w:t>houses</w:t>
      </w:r>
      <w:r w:rsidRPr="00FD40B8">
        <w:rPr>
          <w:color w:val="131727" w:themeColor="text1"/>
          <w:spacing w:val="-1"/>
          <w:w w:val="110"/>
        </w:rPr>
        <w:t xml:space="preserve"> </w:t>
      </w:r>
      <w:r w:rsidRPr="00FD40B8">
        <w:rPr>
          <w:color w:val="131727" w:themeColor="text1"/>
          <w:w w:val="110"/>
        </w:rPr>
        <w:t>needed</w:t>
      </w:r>
      <w:r w:rsidRPr="00FD40B8">
        <w:rPr>
          <w:color w:val="131727" w:themeColor="text1"/>
          <w:spacing w:val="-3"/>
          <w:w w:val="110"/>
        </w:rPr>
        <w:t xml:space="preserve"> </w:t>
      </w:r>
      <w:r w:rsidRPr="00FD40B8">
        <w:rPr>
          <w:color w:val="131727" w:themeColor="text1"/>
          <w:w w:val="110"/>
        </w:rPr>
        <w:t>by assuming a</w:t>
      </w:r>
      <w:r w:rsidRPr="00FD40B8">
        <w:rPr>
          <w:color w:val="131727" w:themeColor="text1"/>
          <w:spacing w:val="-3"/>
          <w:w w:val="110"/>
        </w:rPr>
        <w:t xml:space="preserve"> </w:t>
      </w:r>
      <w:r w:rsidRPr="00FD40B8">
        <w:rPr>
          <w:color w:val="131727" w:themeColor="text1"/>
          <w:w w:val="110"/>
        </w:rPr>
        <w:t>standard three-bedroom house (total number of bedrooms needed/3). We also provide an estimate of the number</w:t>
      </w:r>
      <w:r w:rsidRPr="00FD40B8">
        <w:rPr>
          <w:color w:val="131727" w:themeColor="text1"/>
          <w:spacing w:val="-1"/>
          <w:w w:val="110"/>
        </w:rPr>
        <w:t xml:space="preserve"> </w:t>
      </w:r>
      <w:r w:rsidRPr="00FD40B8">
        <w:rPr>
          <w:color w:val="131727" w:themeColor="text1"/>
          <w:w w:val="110"/>
        </w:rPr>
        <w:t>of 1-,2-,3-,4- and 5-bedroom houses respectively based on the average distribution of house types for</w:t>
      </w:r>
      <w:r w:rsidRPr="00FD40B8">
        <w:rPr>
          <w:color w:val="131727" w:themeColor="text1"/>
          <w:spacing w:val="-1"/>
          <w:w w:val="110"/>
        </w:rPr>
        <w:t xml:space="preserve"> </w:t>
      </w:r>
      <w:r w:rsidRPr="00FD40B8">
        <w:rPr>
          <w:color w:val="131727" w:themeColor="text1"/>
          <w:w w:val="110"/>
        </w:rPr>
        <w:t>existing State Owned and Managed Indigenous Housing (SOMIH) and Indigenous Community Housing,</w:t>
      </w:r>
      <w:r w:rsidRPr="00FD40B8">
        <w:rPr>
          <w:color w:val="131727" w:themeColor="text1"/>
          <w:spacing w:val="-1"/>
          <w:w w:val="110"/>
        </w:rPr>
        <w:t xml:space="preserve"> </w:t>
      </w:r>
      <w:r w:rsidRPr="00FD40B8">
        <w:rPr>
          <w:color w:val="131727" w:themeColor="text1"/>
          <w:w w:val="110"/>
        </w:rPr>
        <w:t>based on data from the AIHW.</w:t>
      </w:r>
      <w:r w:rsidRPr="00FD40B8">
        <w:rPr>
          <w:color w:val="131727" w:themeColor="text1"/>
          <w:spacing w:val="-2"/>
          <w:w w:val="110"/>
        </w:rPr>
        <w:t xml:space="preserve"> </w:t>
      </w:r>
      <w:r w:rsidRPr="00FD40B8">
        <w:rPr>
          <w:color w:val="131727" w:themeColor="text1"/>
          <w:w w:val="110"/>
        </w:rPr>
        <w:t>We aggregate</w:t>
      </w:r>
      <w:r w:rsidRPr="00FD40B8">
        <w:rPr>
          <w:color w:val="131727" w:themeColor="text1"/>
          <w:spacing w:val="-3"/>
          <w:w w:val="110"/>
        </w:rPr>
        <w:t xml:space="preserve"> </w:t>
      </w:r>
      <w:r w:rsidRPr="00FD40B8">
        <w:rPr>
          <w:color w:val="131727" w:themeColor="text1"/>
          <w:w w:val="110"/>
        </w:rPr>
        <w:t>the total of each category of house type to get</w:t>
      </w:r>
      <w:r w:rsidRPr="00FD40B8">
        <w:rPr>
          <w:color w:val="131727" w:themeColor="text1"/>
          <w:spacing w:val="-2"/>
          <w:w w:val="110"/>
        </w:rPr>
        <w:t xml:space="preserve"> </w:t>
      </w:r>
      <w:r w:rsidRPr="00FD40B8">
        <w:rPr>
          <w:color w:val="131727" w:themeColor="text1"/>
          <w:w w:val="110"/>
        </w:rPr>
        <w:t>a total number</w:t>
      </w:r>
      <w:r w:rsidRPr="00FD40B8">
        <w:rPr>
          <w:color w:val="131727" w:themeColor="text1"/>
          <w:spacing w:val="-3"/>
          <w:w w:val="110"/>
        </w:rPr>
        <w:t xml:space="preserve"> </w:t>
      </w:r>
      <w:r w:rsidRPr="00FD40B8">
        <w:rPr>
          <w:color w:val="131727" w:themeColor="text1"/>
          <w:w w:val="110"/>
        </w:rPr>
        <w:t>of houses needed (which we use as our total throughout the report).</w:t>
      </w:r>
    </w:p>
    <w:p w14:paraId="3068A0F4" w14:textId="77777777" w:rsidR="00811887" w:rsidRPr="00FD40B8" w:rsidRDefault="00811887" w:rsidP="00811887">
      <w:pPr>
        <w:pStyle w:val="BodyText"/>
        <w:spacing w:before="34"/>
        <w:rPr>
          <w:color w:val="131727" w:themeColor="text1"/>
        </w:rPr>
      </w:pPr>
    </w:p>
    <w:p w14:paraId="38F37EA4" w14:textId="77777777" w:rsidR="00811887" w:rsidRPr="00FD40B8" w:rsidRDefault="00811887" w:rsidP="00811887">
      <w:pPr>
        <w:pStyle w:val="BodyText"/>
        <w:spacing w:before="1" w:line="273" w:lineRule="auto"/>
        <w:ind w:left="508" w:right="598"/>
        <w:rPr>
          <w:color w:val="131727" w:themeColor="text1"/>
        </w:rPr>
      </w:pPr>
      <w:r w:rsidRPr="00FD40B8">
        <w:rPr>
          <w:color w:val="131727" w:themeColor="text1"/>
          <w:w w:val="110"/>
        </w:rPr>
        <w:t>We</w:t>
      </w:r>
      <w:r w:rsidRPr="00FD40B8">
        <w:rPr>
          <w:color w:val="131727" w:themeColor="text1"/>
          <w:spacing w:val="-1"/>
          <w:w w:val="110"/>
        </w:rPr>
        <w:t xml:space="preserve"> </w:t>
      </w:r>
      <w:r w:rsidRPr="00FD40B8">
        <w:rPr>
          <w:color w:val="131727" w:themeColor="text1"/>
          <w:w w:val="110"/>
        </w:rPr>
        <w:t>calculate</w:t>
      </w:r>
      <w:r w:rsidRPr="00FD40B8">
        <w:rPr>
          <w:color w:val="131727" w:themeColor="text1"/>
          <w:spacing w:val="-2"/>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number</w:t>
      </w:r>
      <w:r w:rsidRPr="00FD40B8">
        <w:rPr>
          <w:color w:val="131727" w:themeColor="text1"/>
          <w:spacing w:val="-2"/>
          <w:w w:val="110"/>
        </w:rPr>
        <w:t xml:space="preserve"> </w:t>
      </w:r>
      <w:r w:rsidRPr="00FD40B8">
        <w:rPr>
          <w:color w:val="131727" w:themeColor="text1"/>
          <w:w w:val="110"/>
        </w:rPr>
        <w:t>of houses needed</w:t>
      </w:r>
      <w:r w:rsidRPr="00FD40B8">
        <w:rPr>
          <w:color w:val="131727" w:themeColor="text1"/>
          <w:spacing w:val="-1"/>
          <w:w w:val="110"/>
        </w:rPr>
        <w:t xml:space="preserve"> </w:t>
      </w:r>
      <w:r w:rsidRPr="00FD40B8">
        <w:rPr>
          <w:color w:val="131727" w:themeColor="text1"/>
          <w:w w:val="110"/>
        </w:rPr>
        <w:t>at</w:t>
      </w:r>
      <w:r w:rsidRPr="00FD40B8">
        <w:rPr>
          <w:color w:val="131727" w:themeColor="text1"/>
          <w:spacing w:val="-1"/>
          <w:w w:val="110"/>
        </w:rPr>
        <w:t xml:space="preserve"> </w:t>
      </w:r>
      <w:r w:rsidRPr="00FD40B8">
        <w:rPr>
          <w:color w:val="131727" w:themeColor="text1"/>
          <w:w w:val="110"/>
        </w:rPr>
        <w:t>various</w:t>
      </w:r>
      <w:r w:rsidRPr="00FD40B8">
        <w:rPr>
          <w:color w:val="131727" w:themeColor="text1"/>
          <w:spacing w:val="-3"/>
          <w:w w:val="110"/>
        </w:rPr>
        <w:t xml:space="preserve"> </w:t>
      </w:r>
      <w:r w:rsidRPr="00FD40B8">
        <w:rPr>
          <w:color w:val="131727" w:themeColor="text1"/>
          <w:w w:val="110"/>
        </w:rPr>
        <w:t>geographic</w:t>
      </w:r>
      <w:r w:rsidRPr="00FD40B8">
        <w:rPr>
          <w:color w:val="131727" w:themeColor="text1"/>
          <w:spacing w:val="-5"/>
          <w:w w:val="110"/>
        </w:rPr>
        <w:t xml:space="preserve"> </w:t>
      </w:r>
      <w:r w:rsidRPr="00FD40B8">
        <w:rPr>
          <w:color w:val="131727" w:themeColor="text1"/>
          <w:w w:val="110"/>
        </w:rPr>
        <w:t>levels,</w:t>
      </w:r>
      <w:r w:rsidRPr="00FD40B8">
        <w:rPr>
          <w:color w:val="131727" w:themeColor="text1"/>
          <w:spacing w:val="-5"/>
          <w:w w:val="110"/>
        </w:rPr>
        <w:t xml:space="preserve"> </w:t>
      </w:r>
      <w:r w:rsidRPr="00FD40B8">
        <w:rPr>
          <w:color w:val="131727" w:themeColor="text1"/>
          <w:w w:val="110"/>
        </w:rPr>
        <w:t>including</w:t>
      </w:r>
      <w:r w:rsidRPr="00FD40B8">
        <w:rPr>
          <w:color w:val="131727" w:themeColor="text1"/>
          <w:spacing w:val="-5"/>
          <w:w w:val="110"/>
        </w:rPr>
        <w:t xml:space="preserve"> </w:t>
      </w:r>
      <w:r w:rsidRPr="00FD40B8">
        <w:rPr>
          <w:color w:val="131727" w:themeColor="text1"/>
          <w:w w:val="110"/>
        </w:rPr>
        <w:t>by</w:t>
      </w:r>
      <w:r w:rsidRPr="00FD40B8">
        <w:rPr>
          <w:color w:val="131727" w:themeColor="text1"/>
          <w:spacing w:val="-2"/>
          <w:w w:val="110"/>
        </w:rPr>
        <w:t xml:space="preserve"> </w:t>
      </w:r>
      <w:r w:rsidRPr="00FD40B8">
        <w:rPr>
          <w:color w:val="131727" w:themeColor="text1"/>
          <w:w w:val="110"/>
        </w:rPr>
        <w:t>remoteness, Indigenous Region, and Indigenous Area.</w:t>
      </w:r>
    </w:p>
    <w:p w14:paraId="704E36C9" w14:textId="77777777" w:rsidR="00811887" w:rsidRPr="00FD40B8" w:rsidRDefault="00811887" w:rsidP="00811887">
      <w:pPr>
        <w:pStyle w:val="BodyText"/>
        <w:spacing w:before="39"/>
        <w:rPr>
          <w:color w:val="131727" w:themeColor="text1"/>
        </w:rPr>
      </w:pPr>
    </w:p>
    <w:p w14:paraId="0398BBBA" w14:textId="77777777" w:rsidR="00811887" w:rsidRPr="00FD40B8" w:rsidRDefault="00811887" w:rsidP="00811887">
      <w:pPr>
        <w:pStyle w:val="BodyText"/>
        <w:spacing w:line="273" w:lineRule="auto"/>
        <w:ind w:left="508" w:right="589"/>
        <w:rPr>
          <w:color w:val="131727" w:themeColor="text1"/>
        </w:rPr>
      </w:pPr>
      <w:r w:rsidRPr="00FD40B8">
        <w:rPr>
          <w:color w:val="131727" w:themeColor="text1"/>
          <w:w w:val="110"/>
        </w:rPr>
        <w:t>While</w:t>
      </w:r>
      <w:r w:rsidRPr="00FD40B8">
        <w:rPr>
          <w:color w:val="131727" w:themeColor="text1"/>
          <w:spacing w:val="-1"/>
          <w:w w:val="110"/>
        </w:rPr>
        <w:t xml:space="preserve"> </w:t>
      </w:r>
      <w:r w:rsidRPr="00FD40B8">
        <w:rPr>
          <w:color w:val="131727" w:themeColor="text1"/>
          <w:w w:val="110"/>
        </w:rPr>
        <w:t>this</w:t>
      </w:r>
      <w:r w:rsidRPr="00FD40B8">
        <w:rPr>
          <w:color w:val="131727" w:themeColor="text1"/>
          <w:spacing w:val="-4"/>
          <w:w w:val="110"/>
        </w:rPr>
        <w:t xml:space="preserve"> </w:t>
      </w:r>
      <w:r w:rsidRPr="00FD40B8">
        <w:rPr>
          <w:color w:val="131727" w:themeColor="text1"/>
          <w:w w:val="110"/>
        </w:rPr>
        <w:t>report</w:t>
      </w:r>
      <w:r w:rsidRPr="00FD40B8">
        <w:rPr>
          <w:color w:val="131727" w:themeColor="text1"/>
          <w:spacing w:val="-1"/>
          <w:w w:val="110"/>
        </w:rPr>
        <w:t xml:space="preserve"> </w:t>
      </w:r>
      <w:r w:rsidRPr="00FD40B8">
        <w:rPr>
          <w:color w:val="131727" w:themeColor="text1"/>
          <w:w w:val="110"/>
        </w:rPr>
        <w:t>estimates need</w:t>
      </w:r>
      <w:r w:rsidRPr="00FD40B8">
        <w:rPr>
          <w:color w:val="131727" w:themeColor="text1"/>
          <w:spacing w:val="-1"/>
          <w:w w:val="110"/>
        </w:rPr>
        <w:t xml:space="preserve"> </w:t>
      </w:r>
      <w:r w:rsidRPr="00FD40B8">
        <w:rPr>
          <w:color w:val="131727" w:themeColor="text1"/>
          <w:w w:val="110"/>
        </w:rPr>
        <w:t>for</w:t>
      </w:r>
      <w:r w:rsidRPr="00FD40B8">
        <w:rPr>
          <w:color w:val="131727" w:themeColor="text1"/>
          <w:spacing w:val="-3"/>
          <w:w w:val="110"/>
        </w:rPr>
        <w:t xml:space="preserve"> </w:t>
      </w:r>
      <w:r w:rsidRPr="00FD40B8">
        <w:rPr>
          <w:color w:val="131727" w:themeColor="text1"/>
          <w:w w:val="110"/>
        </w:rPr>
        <w:t>housing</w:t>
      </w:r>
      <w:r w:rsidRPr="00FD40B8">
        <w:rPr>
          <w:color w:val="131727" w:themeColor="text1"/>
          <w:spacing w:val="-5"/>
          <w:w w:val="110"/>
        </w:rPr>
        <w:t xml:space="preserve"> </w:t>
      </w:r>
      <w:r w:rsidRPr="00FD40B8">
        <w:rPr>
          <w:color w:val="131727" w:themeColor="text1"/>
          <w:w w:val="110"/>
        </w:rPr>
        <w:t>for</w:t>
      </w:r>
      <w:r w:rsidRPr="00FD40B8">
        <w:rPr>
          <w:color w:val="131727" w:themeColor="text1"/>
          <w:spacing w:val="-3"/>
          <w:w w:val="110"/>
        </w:rPr>
        <w:t xml:space="preserve"> </w:t>
      </w:r>
      <w:r w:rsidRPr="00FD40B8">
        <w:rPr>
          <w:color w:val="131727" w:themeColor="text1"/>
          <w:w w:val="110"/>
        </w:rPr>
        <w:t>Aboriginal and</w:t>
      </w:r>
      <w:r w:rsidRPr="00FD40B8">
        <w:rPr>
          <w:color w:val="131727" w:themeColor="text1"/>
          <w:spacing w:val="-5"/>
          <w:w w:val="110"/>
        </w:rPr>
        <w:t xml:space="preserve"> </w:t>
      </w:r>
      <w:r w:rsidRPr="00FD40B8">
        <w:rPr>
          <w:color w:val="131727" w:themeColor="text1"/>
          <w:w w:val="110"/>
        </w:rPr>
        <w:t>Torres Strait</w:t>
      </w:r>
      <w:r w:rsidRPr="00FD40B8">
        <w:rPr>
          <w:color w:val="131727" w:themeColor="text1"/>
          <w:spacing w:val="-1"/>
          <w:w w:val="110"/>
        </w:rPr>
        <w:t xml:space="preserve"> </w:t>
      </w:r>
      <w:r w:rsidRPr="00FD40B8">
        <w:rPr>
          <w:color w:val="131727" w:themeColor="text1"/>
          <w:w w:val="110"/>
        </w:rPr>
        <w:t>Islander</w:t>
      </w:r>
      <w:r w:rsidRPr="00FD40B8">
        <w:rPr>
          <w:color w:val="131727" w:themeColor="text1"/>
          <w:spacing w:val="-3"/>
          <w:w w:val="110"/>
        </w:rPr>
        <w:t xml:space="preserve"> </w:t>
      </w:r>
      <w:r w:rsidRPr="00FD40B8">
        <w:rPr>
          <w:color w:val="131727" w:themeColor="text1"/>
          <w:w w:val="110"/>
        </w:rPr>
        <w:t>peoples as at</w:t>
      </w:r>
      <w:r w:rsidRPr="00FD40B8">
        <w:rPr>
          <w:color w:val="131727" w:themeColor="text1"/>
          <w:spacing w:val="-5"/>
          <w:w w:val="110"/>
        </w:rPr>
        <w:t xml:space="preserve"> </w:t>
      </w:r>
      <w:r w:rsidRPr="00FD40B8">
        <w:rPr>
          <w:color w:val="131727" w:themeColor="text1"/>
          <w:w w:val="110"/>
        </w:rPr>
        <w:t>2021, it does not attempt to project future need due to significant challenges encountered with current data on the Indigenous population. These include:</w:t>
      </w:r>
    </w:p>
    <w:p w14:paraId="1566880B" w14:textId="77777777" w:rsidR="00811887" w:rsidRPr="00FD40B8" w:rsidRDefault="00811887" w:rsidP="00811887">
      <w:pPr>
        <w:pStyle w:val="BodyText"/>
        <w:rPr>
          <w:color w:val="131727" w:themeColor="text1"/>
        </w:rPr>
      </w:pPr>
    </w:p>
    <w:p w14:paraId="197DCDB0" w14:textId="77777777" w:rsidR="00811887" w:rsidRPr="00FD40B8" w:rsidRDefault="00811887" w:rsidP="00811887">
      <w:pPr>
        <w:pStyle w:val="ListParagraph"/>
        <w:widowControl w:val="0"/>
        <w:numPr>
          <w:ilvl w:val="1"/>
          <w:numId w:val="59"/>
        </w:numPr>
        <w:tabs>
          <w:tab w:val="left" w:pos="1228"/>
        </w:tabs>
        <w:autoSpaceDE w:val="0"/>
        <w:autoSpaceDN w:val="0"/>
        <w:spacing w:after="0" w:line="273" w:lineRule="auto"/>
        <w:ind w:right="663"/>
        <w:contextualSpacing w:val="0"/>
        <w:rPr>
          <w:color w:val="131727" w:themeColor="text1"/>
          <w:sz w:val="20"/>
        </w:rPr>
      </w:pPr>
      <w:r w:rsidRPr="00FD40B8">
        <w:rPr>
          <w:color w:val="131727" w:themeColor="text1"/>
          <w:w w:val="110"/>
          <w:sz w:val="20"/>
        </w:rPr>
        <w:t>Outdated population projections. The latest ABS release was in July 2019. These estimates do not</w:t>
      </w:r>
      <w:r w:rsidRPr="00FD40B8">
        <w:rPr>
          <w:color w:val="131727" w:themeColor="text1"/>
          <w:spacing w:val="-3"/>
          <w:w w:val="110"/>
          <w:sz w:val="20"/>
        </w:rPr>
        <w:t xml:space="preserve"> </w:t>
      </w:r>
      <w:r w:rsidRPr="00FD40B8">
        <w:rPr>
          <w:color w:val="131727" w:themeColor="text1"/>
          <w:w w:val="110"/>
          <w:sz w:val="20"/>
        </w:rPr>
        <w:t>align</w:t>
      </w:r>
      <w:r w:rsidRPr="00FD40B8">
        <w:rPr>
          <w:color w:val="131727" w:themeColor="text1"/>
          <w:spacing w:val="-2"/>
          <w:w w:val="110"/>
          <w:sz w:val="20"/>
        </w:rPr>
        <w:t xml:space="preserve"> </w:t>
      </w:r>
      <w:r w:rsidRPr="00FD40B8">
        <w:rPr>
          <w:color w:val="131727" w:themeColor="text1"/>
          <w:w w:val="110"/>
          <w:sz w:val="20"/>
        </w:rPr>
        <w:t>with</w:t>
      </w:r>
      <w:r w:rsidRPr="00FD40B8">
        <w:rPr>
          <w:color w:val="131727" w:themeColor="text1"/>
          <w:spacing w:val="-3"/>
          <w:w w:val="110"/>
          <w:sz w:val="20"/>
        </w:rPr>
        <w:t xml:space="preserve"> </w:t>
      </w:r>
      <w:r w:rsidRPr="00FD40B8">
        <w:rPr>
          <w:color w:val="131727" w:themeColor="text1"/>
          <w:w w:val="110"/>
          <w:sz w:val="20"/>
        </w:rPr>
        <w:t>Census</w:t>
      </w:r>
      <w:r w:rsidRPr="00FD40B8">
        <w:rPr>
          <w:color w:val="131727" w:themeColor="text1"/>
          <w:spacing w:val="-1"/>
          <w:w w:val="110"/>
          <w:sz w:val="20"/>
        </w:rPr>
        <w:t xml:space="preserve"> </w:t>
      </w:r>
      <w:r w:rsidRPr="00FD40B8">
        <w:rPr>
          <w:color w:val="131727" w:themeColor="text1"/>
          <w:w w:val="110"/>
          <w:sz w:val="20"/>
        </w:rPr>
        <w:t>data</w:t>
      </w:r>
      <w:r w:rsidRPr="00FD40B8">
        <w:rPr>
          <w:color w:val="131727" w:themeColor="text1"/>
          <w:spacing w:val="-4"/>
          <w:w w:val="110"/>
          <w:sz w:val="20"/>
        </w:rPr>
        <w:t xml:space="preserve"> </w:t>
      </w:r>
      <w:r w:rsidRPr="00FD40B8">
        <w:rPr>
          <w:color w:val="131727" w:themeColor="text1"/>
          <w:w w:val="110"/>
          <w:sz w:val="20"/>
        </w:rPr>
        <w:t>as</w:t>
      </w:r>
      <w:r w:rsidRPr="00FD40B8">
        <w:rPr>
          <w:color w:val="131727" w:themeColor="text1"/>
          <w:spacing w:val="-1"/>
          <w:w w:val="110"/>
          <w:sz w:val="20"/>
        </w:rPr>
        <w:t xml:space="preserve"> </w:t>
      </w:r>
      <w:r w:rsidRPr="00FD40B8">
        <w:rPr>
          <w:color w:val="131727" w:themeColor="text1"/>
          <w:w w:val="110"/>
          <w:sz w:val="20"/>
        </w:rPr>
        <w:t>collected</w:t>
      </w:r>
      <w:r w:rsidRPr="00FD40B8">
        <w:rPr>
          <w:color w:val="131727" w:themeColor="text1"/>
          <w:spacing w:val="-7"/>
          <w:w w:val="110"/>
          <w:sz w:val="20"/>
        </w:rPr>
        <w:t xml:space="preserve"> </w:t>
      </w:r>
      <w:r w:rsidRPr="00FD40B8">
        <w:rPr>
          <w:color w:val="131727" w:themeColor="text1"/>
          <w:w w:val="110"/>
          <w:sz w:val="20"/>
        </w:rPr>
        <w:t>in</w:t>
      </w:r>
      <w:r w:rsidRPr="00FD40B8">
        <w:rPr>
          <w:color w:val="131727" w:themeColor="text1"/>
          <w:spacing w:val="-2"/>
          <w:w w:val="110"/>
          <w:sz w:val="20"/>
        </w:rPr>
        <w:t xml:space="preserve"> </w:t>
      </w:r>
      <w:r w:rsidRPr="00FD40B8">
        <w:rPr>
          <w:color w:val="131727" w:themeColor="text1"/>
          <w:w w:val="110"/>
          <w:sz w:val="20"/>
        </w:rPr>
        <w:t>2021.</w:t>
      </w:r>
      <w:r w:rsidRPr="00FD40B8">
        <w:rPr>
          <w:color w:val="131727" w:themeColor="text1"/>
          <w:spacing w:val="-3"/>
          <w:w w:val="110"/>
          <w:sz w:val="20"/>
        </w:rPr>
        <w:t xml:space="preserve"> </w:t>
      </w:r>
      <w:r w:rsidRPr="00FD40B8">
        <w:rPr>
          <w:color w:val="131727" w:themeColor="text1"/>
          <w:w w:val="110"/>
          <w:sz w:val="20"/>
        </w:rPr>
        <w:t>New</w:t>
      </w:r>
      <w:r w:rsidRPr="00FD40B8">
        <w:rPr>
          <w:color w:val="131727" w:themeColor="text1"/>
          <w:spacing w:val="-4"/>
          <w:w w:val="110"/>
          <w:sz w:val="20"/>
        </w:rPr>
        <w:t xml:space="preserve"> </w:t>
      </w:r>
      <w:r w:rsidRPr="00FD40B8">
        <w:rPr>
          <w:color w:val="131727" w:themeColor="text1"/>
          <w:w w:val="110"/>
          <w:sz w:val="20"/>
        </w:rPr>
        <w:t>projections</w:t>
      </w:r>
      <w:r w:rsidRPr="00FD40B8">
        <w:rPr>
          <w:color w:val="131727" w:themeColor="text1"/>
          <w:spacing w:val="-1"/>
          <w:w w:val="110"/>
          <w:sz w:val="20"/>
        </w:rPr>
        <w:t xml:space="preserve"> </w:t>
      </w:r>
      <w:r w:rsidRPr="00FD40B8">
        <w:rPr>
          <w:color w:val="131727" w:themeColor="text1"/>
          <w:w w:val="110"/>
          <w:sz w:val="20"/>
        </w:rPr>
        <w:t>are</w:t>
      </w:r>
      <w:r w:rsidRPr="00FD40B8">
        <w:rPr>
          <w:color w:val="131727" w:themeColor="text1"/>
          <w:spacing w:val="-3"/>
          <w:w w:val="110"/>
          <w:sz w:val="20"/>
        </w:rPr>
        <w:t xml:space="preserve"> </w:t>
      </w:r>
      <w:r w:rsidRPr="00FD40B8">
        <w:rPr>
          <w:color w:val="131727" w:themeColor="text1"/>
          <w:w w:val="110"/>
          <w:sz w:val="20"/>
        </w:rPr>
        <w:t>expected</w:t>
      </w:r>
      <w:r w:rsidRPr="00FD40B8">
        <w:rPr>
          <w:color w:val="131727" w:themeColor="text1"/>
          <w:spacing w:val="-7"/>
          <w:w w:val="110"/>
          <w:sz w:val="20"/>
        </w:rPr>
        <w:t xml:space="preserve"> </w:t>
      </w:r>
      <w:r w:rsidRPr="00FD40B8">
        <w:rPr>
          <w:color w:val="131727" w:themeColor="text1"/>
          <w:w w:val="110"/>
          <w:sz w:val="20"/>
        </w:rPr>
        <w:t>for</w:t>
      </w:r>
      <w:r w:rsidRPr="00FD40B8">
        <w:rPr>
          <w:color w:val="131727" w:themeColor="text1"/>
          <w:spacing w:val="-4"/>
          <w:w w:val="110"/>
          <w:sz w:val="20"/>
        </w:rPr>
        <w:t xml:space="preserve"> </w:t>
      </w:r>
      <w:r w:rsidRPr="00FD40B8">
        <w:rPr>
          <w:color w:val="131727" w:themeColor="text1"/>
          <w:w w:val="110"/>
          <w:sz w:val="20"/>
        </w:rPr>
        <w:t>release</w:t>
      </w:r>
      <w:r w:rsidRPr="00FD40B8">
        <w:rPr>
          <w:color w:val="131727" w:themeColor="text1"/>
          <w:spacing w:val="-3"/>
          <w:w w:val="110"/>
          <w:sz w:val="20"/>
        </w:rPr>
        <w:t xml:space="preserve"> </w:t>
      </w:r>
      <w:r w:rsidRPr="00FD40B8">
        <w:rPr>
          <w:color w:val="131727" w:themeColor="text1"/>
          <w:w w:val="110"/>
          <w:sz w:val="20"/>
        </w:rPr>
        <w:t>in</w:t>
      </w:r>
      <w:r w:rsidRPr="00FD40B8">
        <w:rPr>
          <w:color w:val="131727" w:themeColor="text1"/>
          <w:spacing w:val="-2"/>
          <w:w w:val="110"/>
          <w:sz w:val="20"/>
        </w:rPr>
        <w:t xml:space="preserve"> </w:t>
      </w:r>
      <w:r w:rsidRPr="00FD40B8">
        <w:rPr>
          <w:color w:val="131727" w:themeColor="text1"/>
          <w:w w:val="110"/>
          <w:sz w:val="20"/>
        </w:rPr>
        <w:t>July this year.</w:t>
      </w:r>
    </w:p>
    <w:p w14:paraId="0A489B8D" w14:textId="77777777" w:rsidR="00811887" w:rsidRPr="00FD40B8" w:rsidRDefault="00811887" w:rsidP="00811887">
      <w:pPr>
        <w:pStyle w:val="ListParagraph"/>
        <w:widowControl w:val="0"/>
        <w:numPr>
          <w:ilvl w:val="1"/>
          <w:numId w:val="59"/>
        </w:numPr>
        <w:tabs>
          <w:tab w:val="left" w:pos="1228"/>
        </w:tabs>
        <w:autoSpaceDE w:val="0"/>
        <w:autoSpaceDN w:val="0"/>
        <w:spacing w:after="0" w:line="273" w:lineRule="auto"/>
        <w:ind w:right="549"/>
        <w:contextualSpacing w:val="0"/>
        <w:rPr>
          <w:color w:val="131727" w:themeColor="text1"/>
          <w:sz w:val="20"/>
        </w:rPr>
      </w:pPr>
      <w:r w:rsidRPr="00FD40B8">
        <w:rPr>
          <w:color w:val="131727" w:themeColor="text1"/>
          <w:w w:val="110"/>
          <w:sz w:val="20"/>
        </w:rPr>
        <w:t>The 2021 Census data counted a substantial rise in people identifying as Indigenous. While part of this</w:t>
      </w:r>
      <w:r w:rsidRPr="00FD40B8">
        <w:rPr>
          <w:color w:val="131727" w:themeColor="text1"/>
          <w:spacing w:val="-4"/>
          <w:w w:val="110"/>
          <w:sz w:val="20"/>
        </w:rPr>
        <w:t xml:space="preserve"> </w:t>
      </w:r>
      <w:r w:rsidRPr="00FD40B8">
        <w:rPr>
          <w:color w:val="131727" w:themeColor="text1"/>
          <w:w w:val="110"/>
          <w:sz w:val="20"/>
        </w:rPr>
        <w:t>is</w:t>
      </w:r>
      <w:r w:rsidRPr="00FD40B8">
        <w:rPr>
          <w:color w:val="131727" w:themeColor="text1"/>
          <w:spacing w:val="-4"/>
          <w:w w:val="110"/>
          <w:sz w:val="20"/>
        </w:rPr>
        <w:t xml:space="preserve"> </w:t>
      </w:r>
      <w:r w:rsidRPr="00FD40B8">
        <w:rPr>
          <w:color w:val="131727" w:themeColor="text1"/>
          <w:w w:val="110"/>
          <w:sz w:val="20"/>
        </w:rPr>
        <w:t>due</w:t>
      </w:r>
      <w:r w:rsidRPr="00FD40B8">
        <w:rPr>
          <w:color w:val="131727" w:themeColor="text1"/>
          <w:spacing w:val="-1"/>
          <w:w w:val="110"/>
          <w:sz w:val="20"/>
        </w:rPr>
        <w:t xml:space="preserve"> </w:t>
      </w:r>
      <w:r w:rsidRPr="00FD40B8">
        <w:rPr>
          <w:color w:val="131727" w:themeColor="text1"/>
          <w:w w:val="110"/>
          <w:sz w:val="20"/>
        </w:rPr>
        <w:t>to</w:t>
      </w:r>
      <w:r w:rsidRPr="00FD40B8">
        <w:rPr>
          <w:color w:val="131727" w:themeColor="text1"/>
          <w:spacing w:val="-1"/>
          <w:w w:val="110"/>
          <w:sz w:val="20"/>
        </w:rPr>
        <w:t xml:space="preserve"> </w:t>
      </w:r>
      <w:r w:rsidRPr="00FD40B8">
        <w:rPr>
          <w:color w:val="131727" w:themeColor="text1"/>
          <w:w w:val="110"/>
          <w:sz w:val="20"/>
        </w:rPr>
        <w:t>population</w:t>
      </w:r>
      <w:r w:rsidRPr="00FD40B8">
        <w:rPr>
          <w:color w:val="131727" w:themeColor="text1"/>
          <w:spacing w:val="-1"/>
          <w:w w:val="110"/>
          <w:sz w:val="20"/>
        </w:rPr>
        <w:t xml:space="preserve"> </w:t>
      </w:r>
      <w:r w:rsidRPr="00FD40B8">
        <w:rPr>
          <w:color w:val="131727" w:themeColor="text1"/>
          <w:w w:val="110"/>
          <w:sz w:val="20"/>
        </w:rPr>
        <w:t>growth,</w:t>
      </w:r>
      <w:r w:rsidRPr="00FD40B8">
        <w:rPr>
          <w:color w:val="131727" w:themeColor="text1"/>
          <w:spacing w:val="-6"/>
          <w:w w:val="110"/>
          <w:sz w:val="20"/>
        </w:rPr>
        <w:t xml:space="preserve"> </w:t>
      </w:r>
      <w:r w:rsidRPr="00FD40B8">
        <w:rPr>
          <w:color w:val="131727" w:themeColor="text1"/>
          <w:w w:val="110"/>
          <w:sz w:val="20"/>
        </w:rPr>
        <w:t>it</w:t>
      </w:r>
      <w:r w:rsidRPr="00FD40B8">
        <w:rPr>
          <w:color w:val="131727" w:themeColor="text1"/>
          <w:spacing w:val="-6"/>
          <w:w w:val="110"/>
          <w:sz w:val="20"/>
        </w:rPr>
        <w:t xml:space="preserve"> </w:t>
      </w:r>
      <w:r w:rsidRPr="00FD40B8">
        <w:rPr>
          <w:color w:val="131727" w:themeColor="text1"/>
          <w:w w:val="110"/>
          <w:sz w:val="20"/>
        </w:rPr>
        <w:t>is also</w:t>
      </w:r>
      <w:r w:rsidRPr="00FD40B8">
        <w:rPr>
          <w:color w:val="131727" w:themeColor="text1"/>
          <w:spacing w:val="-1"/>
          <w:w w:val="110"/>
          <w:sz w:val="20"/>
        </w:rPr>
        <w:t xml:space="preserve"> </w:t>
      </w:r>
      <w:r w:rsidRPr="00FD40B8">
        <w:rPr>
          <w:color w:val="131727" w:themeColor="text1"/>
          <w:w w:val="110"/>
          <w:sz w:val="20"/>
        </w:rPr>
        <w:t>due</w:t>
      </w:r>
      <w:r w:rsidRPr="00FD40B8">
        <w:rPr>
          <w:color w:val="131727" w:themeColor="text1"/>
          <w:spacing w:val="-1"/>
          <w:w w:val="110"/>
          <w:sz w:val="20"/>
        </w:rPr>
        <w:t xml:space="preserve"> </w:t>
      </w:r>
      <w:r w:rsidRPr="00FD40B8">
        <w:rPr>
          <w:color w:val="131727" w:themeColor="text1"/>
          <w:w w:val="110"/>
          <w:sz w:val="20"/>
        </w:rPr>
        <w:t>to</w:t>
      </w:r>
      <w:r w:rsidRPr="00FD40B8">
        <w:rPr>
          <w:color w:val="131727" w:themeColor="text1"/>
          <w:spacing w:val="-1"/>
          <w:w w:val="110"/>
          <w:sz w:val="20"/>
        </w:rPr>
        <w:t xml:space="preserve"> </w:t>
      </w:r>
      <w:r w:rsidRPr="00FD40B8">
        <w:rPr>
          <w:color w:val="131727" w:themeColor="text1"/>
          <w:w w:val="110"/>
          <w:sz w:val="20"/>
        </w:rPr>
        <w:t>an</w:t>
      </w:r>
      <w:r w:rsidRPr="00FD40B8">
        <w:rPr>
          <w:color w:val="131727" w:themeColor="text1"/>
          <w:spacing w:val="-5"/>
          <w:w w:val="110"/>
          <w:sz w:val="20"/>
        </w:rPr>
        <w:t xml:space="preserve"> </w:t>
      </w:r>
      <w:r w:rsidRPr="00FD40B8">
        <w:rPr>
          <w:color w:val="131727" w:themeColor="text1"/>
          <w:w w:val="110"/>
          <w:sz w:val="20"/>
        </w:rPr>
        <w:t>increasing</w:t>
      </w:r>
      <w:r w:rsidRPr="00FD40B8">
        <w:rPr>
          <w:color w:val="131727" w:themeColor="text1"/>
          <w:spacing w:val="-6"/>
          <w:w w:val="110"/>
          <w:sz w:val="20"/>
        </w:rPr>
        <w:t xml:space="preserve"> </w:t>
      </w:r>
      <w:r w:rsidRPr="00FD40B8">
        <w:rPr>
          <w:color w:val="131727" w:themeColor="text1"/>
          <w:w w:val="110"/>
          <w:sz w:val="20"/>
        </w:rPr>
        <w:t>number</w:t>
      </w:r>
      <w:r w:rsidRPr="00FD40B8">
        <w:rPr>
          <w:color w:val="131727" w:themeColor="text1"/>
          <w:spacing w:val="-3"/>
          <w:w w:val="110"/>
          <w:sz w:val="20"/>
        </w:rPr>
        <w:t xml:space="preserve"> </w:t>
      </w:r>
      <w:r w:rsidRPr="00FD40B8">
        <w:rPr>
          <w:color w:val="131727" w:themeColor="text1"/>
          <w:w w:val="110"/>
          <w:sz w:val="20"/>
        </w:rPr>
        <w:t>of people</w:t>
      </w:r>
      <w:r w:rsidRPr="00FD40B8">
        <w:rPr>
          <w:color w:val="131727" w:themeColor="text1"/>
          <w:spacing w:val="-6"/>
          <w:w w:val="110"/>
          <w:sz w:val="20"/>
        </w:rPr>
        <w:t xml:space="preserve"> </w:t>
      </w:r>
      <w:r w:rsidRPr="00FD40B8">
        <w:rPr>
          <w:color w:val="131727" w:themeColor="text1"/>
          <w:w w:val="110"/>
          <w:sz w:val="20"/>
        </w:rPr>
        <w:t>identifying</w:t>
      </w:r>
      <w:r w:rsidRPr="00FD40B8">
        <w:rPr>
          <w:color w:val="131727" w:themeColor="text1"/>
          <w:spacing w:val="-1"/>
          <w:w w:val="110"/>
          <w:sz w:val="20"/>
        </w:rPr>
        <w:t xml:space="preserve"> </w:t>
      </w:r>
      <w:r w:rsidRPr="00FD40B8">
        <w:rPr>
          <w:color w:val="131727" w:themeColor="text1"/>
          <w:w w:val="110"/>
          <w:sz w:val="20"/>
        </w:rPr>
        <w:t>as Indigenous. This presents methodological challenges in interpreting the data due to potential demographic differences between the newly identified population and the previously reported population. Consequently, it is difficult to compare the old projections with the current 2021 Census data.</w:t>
      </w:r>
    </w:p>
    <w:p w14:paraId="1E84360F" w14:textId="77777777" w:rsidR="00811887" w:rsidRPr="00FD40B8" w:rsidRDefault="00811887" w:rsidP="00811887">
      <w:pPr>
        <w:pStyle w:val="ListParagraph"/>
        <w:widowControl w:val="0"/>
        <w:numPr>
          <w:ilvl w:val="1"/>
          <w:numId w:val="59"/>
        </w:numPr>
        <w:tabs>
          <w:tab w:val="left" w:pos="1228"/>
        </w:tabs>
        <w:autoSpaceDE w:val="0"/>
        <w:autoSpaceDN w:val="0"/>
        <w:spacing w:after="0" w:line="273" w:lineRule="auto"/>
        <w:ind w:right="535"/>
        <w:contextualSpacing w:val="0"/>
        <w:rPr>
          <w:color w:val="131727" w:themeColor="text1"/>
          <w:sz w:val="20"/>
        </w:rPr>
      </w:pPr>
      <w:r w:rsidRPr="00FD40B8">
        <w:rPr>
          <w:color w:val="131727" w:themeColor="text1"/>
          <w:w w:val="110"/>
          <w:sz w:val="20"/>
        </w:rPr>
        <w:t>Changes</w:t>
      </w:r>
      <w:r w:rsidRPr="00FD40B8">
        <w:rPr>
          <w:color w:val="131727" w:themeColor="text1"/>
          <w:spacing w:val="-2"/>
          <w:w w:val="110"/>
          <w:sz w:val="20"/>
        </w:rPr>
        <w:t xml:space="preserve"> </w:t>
      </w:r>
      <w:r w:rsidRPr="00FD40B8">
        <w:rPr>
          <w:color w:val="131727" w:themeColor="text1"/>
          <w:w w:val="110"/>
          <w:sz w:val="20"/>
        </w:rPr>
        <w:t>in</w:t>
      </w:r>
      <w:r w:rsidRPr="00FD40B8">
        <w:rPr>
          <w:color w:val="131727" w:themeColor="text1"/>
          <w:spacing w:val="-3"/>
          <w:w w:val="110"/>
          <w:sz w:val="20"/>
        </w:rPr>
        <w:t xml:space="preserve"> </w:t>
      </w:r>
      <w:r w:rsidRPr="00FD40B8">
        <w:rPr>
          <w:color w:val="131727" w:themeColor="text1"/>
          <w:w w:val="110"/>
          <w:sz w:val="20"/>
        </w:rPr>
        <w:t>how</w:t>
      </w:r>
      <w:r w:rsidRPr="00FD40B8">
        <w:rPr>
          <w:color w:val="131727" w:themeColor="text1"/>
          <w:spacing w:val="-1"/>
          <w:w w:val="110"/>
          <w:sz w:val="20"/>
        </w:rPr>
        <w:t xml:space="preserve"> </w:t>
      </w:r>
      <w:r w:rsidRPr="00FD40B8">
        <w:rPr>
          <w:color w:val="131727" w:themeColor="text1"/>
          <w:w w:val="110"/>
          <w:sz w:val="20"/>
        </w:rPr>
        <w:t>people</w:t>
      </w:r>
      <w:r w:rsidRPr="00FD40B8">
        <w:rPr>
          <w:color w:val="131727" w:themeColor="text1"/>
          <w:spacing w:val="-4"/>
          <w:w w:val="110"/>
          <w:sz w:val="20"/>
        </w:rPr>
        <w:t xml:space="preserve"> </w:t>
      </w:r>
      <w:r w:rsidRPr="00FD40B8">
        <w:rPr>
          <w:color w:val="131727" w:themeColor="text1"/>
          <w:w w:val="110"/>
          <w:sz w:val="20"/>
        </w:rPr>
        <w:t>identify</w:t>
      </w:r>
      <w:r w:rsidRPr="00FD40B8">
        <w:rPr>
          <w:color w:val="131727" w:themeColor="text1"/>
          <w:spacing w:val="-1"/>
          <w:w w:val="110"/>
          <w:sz w:val="20"/>
        </w:rPr>
        <w:t xml:space="preserve"> </w:t>
      </w:r>
      <w:r w:rsidRPr="00FD40B8">
        <w:rPr>
          <w:color w:val="131727" w:themeColor="text1"/>
          <w:w w:val="110"/>
          <w:sz w:val="20"/>
        </w:rPr>
        <w:t>as</w:t>
      </w:r>
      <w:r w:rsidRPr="00FD40B8">
        <w:rPr>
          <w:color w:val="131727" w:themeColor="text1"/>
          <w:spacing w:val="-2"/>
          <w:w w:val="110"/>
          <w:sz w:val="20"/>
        </w:rPr>
        <w:t xml:space="preserve"> </w:t>
      </w:r>
      <w:r w:rsidRPr="00FD40B8">
        <w:rPr>
          <w:color w:val="131727" w:themeColor="text1"/>
          <w:w w:val="110"/>
          <w:sz w:val="20"/>
        </w:rPr>
        <w:t>Indigenous can</w:t>
      </w:r>
      <w:r w:rsidRPr="00FD40B8">
        <w:rPr>
          <w:color w:val="131727" w:themeColor="text1"/>
          <w:spacing w:val="-3"/>
          <w:w w:val="110"/>
          <w:sz w:val="20"/>
        </w:rPr>
        <w:t xml:space="preserve"> </w:t>
      </w:r>
      <w:r w:rsidRPr="00FD40B8">
        <w:rPr>
          <w:color w:val="131727" w:themeColor="text1"/>
          <w:w w:val="110"/>
          <w:sz w:val="20"/>
        </w:rPr>
        <w:t>lead</w:t>
      </w:r>
      <w:r w:rsidRPr="00FD40B8">
        <w:rPr>
          <w:color w:val="131727" w:themeColor="text1"/>
          <w:spacing w:val="-4"/>
          <w:w w:val="110"/>
          <w:sz w:val="20"/>
        </w:rPr>
        <w:t xml:space="preserve"> </w:t>
      </w:r>
      <w:r w:rsidRPr="00FD40B8">
        <w:rPr>
          <w:color w:val="131727" w:themeColor="text1"/>
          <w:w w:val="110"/>
          <w:sz w:val="20"/>
        </w:rPr>
        <w:t>to misinterpretations of</w:t>
      </w:r>
      <w:r w:rsidRPr="00FD40B8">
        <w:rPr>
          <w:color w:val="131727" w:themeColor="text1"/>
          <w:spacing w:val="-2"/>
          <w:w w:val="110"/>
          <w:sz w:val="20"/>
        </w:rPr>
        <w:t xml:space="preserve"> </w:t>
      </w:r>
      <w:r w:rsidRPr="00FD40B8">
        <w:rPr>
          <w:color w:val="131727" w:themeColor="text1"/>
          <w:w w:val="110"/>
          <w:sz w:val="20"/>
        </w:rPr>
        <w:t>housing</w:t>
      </w:r>
      <w:r w:rsidRPr="00FD40B8">
        <w:rPr>
          <w:color w:val="131727" w:themeColor="text1"/>
          <w:spacing w:val="-4"/>
          <w:w w:val="110"/>
          <w:sz w:val="20"/>
        </w:rPr>
        <w:t xml:space="preserve"> </w:t>
      </w:r>
      <w:r w:rsidRPr="00FD40B8">
        <w:rPr>
          <w:color w:val="131727" w:themeColor="text1"/>
          <w:w w:val="110"/>
          <w:sz w:val="20"/>
        </w:rPr>
        <w:t>data. For example, a decrease</w:t>
      </w:r>
      <w:r w:rsidRPr="00FD40B8">
        <w:rPr>
          <w:color w:val="131727" w:themeColor="text1"/>
          <w:spacing w:val="-3"/>
          <w:w w:val="110"/>
          <w:sz w:val="20"/>
        </w:rPr>
        <w:t xml:space="preserve"> </w:t>
      </w:r>
      <w:r w:rsidRPr="00FD40B8">
        <w:rPr>
          <w:color w:val="131727" w:themeColor="text1"/>
          <w:w w:val="110"/>
          <w:sz w:val="20"/>
        </w:rPr>
        <w:t>in the reported rate</w:t>
      </w:r>
      <w:r w:rsidRPr="00FD40B8">
        <w:rPr>
          <w:color w:val="131727" w:themeColor="text1"/>
          <w:spacing w:val="-3"/>
          <w:w w:val="110"/>
          <w:sz w:val="20"/>
        </w:rPr>
        <w:t xml:space="preserve"> </w:t>
      </w:r>
      <w:r w:rsidRPr="00FD40B8">
        <w:rPr>
          <w:color w:val="131727" w:themeColor="text1"/>
          <w:w w:val="110"/>
          <w:sz w:val="20"/>
        </w:rPr>
        <w:t>of</w:t>
      </w:r>
      <w:r w:rsidRPr="00FD40B8">
        <w:rPr>
          <w:color w:val="131727" w:themeColor="text1"/>
          <w:spacing w:val="-1"/>
          <w:w w:val="110"/>
          <w:sz w:val="20"/>
        </w:rPr>
        <w:t xml:space="preserve"> </w:t>
      </w:r>
      <w:r w:rsidRPr="00FD40B8">
        <w:rPr>
          <w:color w:val="131727" w:themeColor="text1"/>
          <w:w w:val="110"/>
          <w:sz w:val="20"/>
        </w:rPr>
        <w:t>Indigenous homelessness might</w:t>
      </w:r>
      <w:r w:rsidRPr="00FD40B8">
        <w:rPr>
          <w:color w:val="131727" w:themeColor="text1"/>
          <w:spacing w:val="-3"/>
          <w:w w:val="110"/>
          <w:sz w:val="20"/>
        </w:rPr>
        <w:t xml:space="preserve"> </w:t>
      </w:r>
      <w:r w:rsidRPr="00FD40B8">
        <w:rPr>
          <w:color w:val="131727" w:themeColor="text1"/>
          <w:w w:val="110"/>
          <w:sz w:val="20"/>
        </w:rPr>
        <w:t xml:space="preserve">not reflect an actual improvement in housing access. It could be due to a rise in higher socioeconomic individuals identifying as Indigenous, shifting the overall demographic makeup of the reported Indigenous </w:t>
      </w:r>
      <w:r w:rsidRPr="00FD40B8">
        <w:rPr>
          <w:color w:val="131727" w:themeColor="text1"/>
          <w:spacing w:val="-2"/>
          <w:w w:val="110"/>
          <w:sz w:val="20"/>
        </w:rPr>
        <w:t>population.</w:t>
      </w:r>
    </w:p>
    <w:p w14:paraId="511A9C03" w14:textId="77777777" w:rsidR="00811887" w:rsidRPr="00FD40B8" w:rsidRDefault="00811887" w:rsidP="00811887">
      <w:pPr>
        <w:spacing w:before="240" w:line="261" w:lineRule="auto"/>
        <w:ind w:left="508" w:right="718"/>
        <w:jc w:val="both"/>
        <w:rPr>
          <w:color w:val="131727" w:themeColor="text1"/>
          <w:sz w:val="13"/>
        </w:rPr>
      </w:pPr>
      <w:r w:rsidRPr="00FD40B8">
        <w:rPr>
          <w:color w:val="131727" w:themeColor="text1"/>
          <w:sz w:val="20"/>
        </w:rPr>
        <w:t>“</w:t>
      </w:r>
      <w:r w:rsidRPr="00FD40B8">
        <w:rPr>
          <w:i/>
          <w:color w:val="131727" w:themeColor="text1"/>
          <w:sz w:val="20"/>
        </w:rPr>
        <w:t>Indigenous</w:t>
      </w:r>
      <w:r w:rsidRPr="00FD40B8">
        <w:rPr>
          <w:i/>
          <w:color w:val="131727" w:themeColor="text1"/>
          <w:spacing w:val="22"/>
          <w:sz w:val="20"/>
        </w:rPr>
        <w:t xml:space="preserve"> </w:t>
      </w:r>
      <w:r w:rsidRPr="00FD40B8">
        <w:rPr>
          <w:i/>
          <w:color w:val="131727" w:themeColor="text1"/>
          <w:sz w:val="20"/>
        </w:rPr>
        <w:t>status</w:t>
      </w:r>
      <w:r w:rsidRPr="00FD40B8">
        <w:rPr>
          <w:i/>
          <w:color w:val="131727" w:themeColor="text1"/>
          <w:spacing w:val="17"/>
          <w:sz w:val="20"/>
        </w:rPr>
        <w:t xml:space="preserve"> </w:t>
      </w:r>
      <w:r w:rsidRPr="00FD40B8">
        <w:rPr>
          <w:i/>
          <w:color w:val="131727" w:themeColor="text1"/>
          <w:sz w:val="20"/>
        </w:rPr>
        <w:t>is</w:t>
      </w:r>
      <w:r w:rsidRPr="00FD40B8">
        <w:rPr>
          <w:i/>
          <w:color w:val="131727" w:themeColor="text1"/>
          <w:spacing w:val="22"/>
          <w:sz w:val="20"/>
        </w:rPr>
        <w:t xml:space="preserve"> </w:t>
      </w:r>
      <w:r w:rsidRPr="00FD40B8">
        <w:rPr>
          <w:i/>
          <w:color w:val="131727" w:themeColor="text1"/>
          <w:sz w:val="20"/>
        </w:rPr>
        <w:t>collected</w:t>
      </w:r>
      <w:r w:rsidRPr="00FD40B8">
        <w:rPr>
          <w:i/>
          <w:color w:val="131727" w:themeColor="text1"/>
          <w:spacing w:val="20"/>
          <w:sz w:val="20"/>
        </w:rPr>
        <w:t xml:space="preserve"> </w:t>
      </w:r>
      <w:r w:rsidRPr="00FD40B8">
        <w:rPr>
          <w:i/>
          <w:color w:val="131727" w:themeColor="text1"/>
          <w:sz w:val="20"/>
        </w:rPr>
        <w:t>through</w:t>
      </w:r>
      <w:r w:rsidRPr="00FD40B8">
        <w:rPr>
          <w:i/>
          <w:color w:val="131727" w:themeColor="text1"/>
          <w:spacing w:val="20"/>
          <w:sz w:val="20"/>
        </w:rPr>
        <w:t xml:space="preserve"> </w:t>
      </w:r>
      <w:r w:rsidRPr="00FD40B8">
        <w:rPr>
          <w:i/>
          <w:color w:val="131727" w:themeColor="text1"/>
          <w:sz w:val="20"/>
        </w:rPr>
        <w:t>self-identification</w:t>
      </w:r>
      <w:r w:rsidRPr="00FD40B8">
        <w:rPr>
          <w:i/>
          <w:color w:val="131727" w:themeColor="text1"/>
          <w:spacing w:val="18"/>
          <w:sz w:val="20"/>
        </w:rPr>
        <w:t xml:space="preserve"> </w:t>
      </w:r>
      <w:r w:rsidRPr="00FD40B8">
        <w:rPr>
          <w:i/>
          <w:color w:val="131727" w:themeColor="text1"/>
          <w:sz w:val="20"/>
        </w:rPr>
        <w:t>and</w:t>
      </w:r>
      <w:r w:rsidRPr="00FD40B8">
        <w:rPr>
          <w:i/>
          <w:color w:val="131727" w:themeColor="text1"/>
          <w:spacing w:val="21"/>
          <w:sz w:val="20"/>
        </w:rPr>
        <w:t xml:space="preserve"> </w:t>
      </w:r>
      <w:r w:rsidRPr="00FD40B8">
        <w:rPr>
          <w:i/>
          <w:color w:val="131727" w:themeColor="text1"/>
          <w:sz w:val="20"/>
        </w:rPr>
        <w:t>any</w:t>
      </w:r>
      <w:r w:rsidRPr="00FD40B8">
        <w:rPr>
          <w:i/>
          <w:color w:val="131727" w:themeColor="text1"/>
          <w:spacing w:val="22"/>
          <w:sz w:val="20"/>
        </w:rPr>
        <w:t xml:space="preserve"> </w:t>
      </w:r>
      <w:r w:rsidRPr="00FD40B8">
        <w:rPr>
          <w:i/>
          <w:color w:val="131727" w:themeColor="text1"/>
          <w:sz w:val="20"/>
        </w:rPr>
        <w:t>change</w:t>
      </w:r>
      <w:r w:rsidRPr="00FD40B8">
        <w:rPr>
          <w:i/>
          <w:color w:val="131727" w:themeColor="text1"/>
          <w:spacing w:val="22"/>
          <w:sz w:val="20"/>
        </w:rPr>
        <w:t xml:space="preserve"> </w:t>
      </w:r>
      <w:r w:rsidRPr="00FD40B8">
        <w:rPr>
          <w:i/>
          <w:color w:val="131727" w:themeColor="text1"/>
          <w:sz w:val="20"/>
        </w:rPr>
        <w:t>in</w:t>
      </w:r>
      <w:r w:rsidRPr="00FD40B8">
        <w:rPr>
          <w:i/>
          <w:color w:val="131727" w:themeColor="text1"/>
          <w:spacing w:val="20"/>
          <w:sz w:val="20"/>
        </w:rPr>
        <w:t xml:space="preserve"> </w:t>
      </w:r>
      <w:r w:rsidRPr="00FD40B8">
        <w:rPr>
          <w:i/>
          <w:color w:val="131727" w:themeColor="text1"/>
          <w:sz w:val="20"/>
        </w:rPr>
        <w:t>how</w:t>
      </w:r>
      <w:r w:rsidRPr="00FD40B8">
        <w:rPr>
          <w:i/>
          <w:color w:val="131727" w:themeColor="text1"/>
          <w:spacing w:val="24"/>
          <w:sz w:val="20"/>
        </w:rPr>
        <w:t xml:space="preserve"> </w:t>
      </w:r>
      <w:r w:rsidRPr="00FD40B8">
        <w:rPr>
          <w:i/>
          <w:color w:val="131727" w:themeColor="text1"/>
          <w:sz w:val="20"/>
        </w:rPr>
        <w:t>a</w:t>
      </w:r>
      <w:r w:rsidRPr="00FD40B8">
        <w:rPr>
          <w:i/>
          <w:color w:val="131727" w:themeColor="text1"/>
          <w:spacing w:val="21"/>
          <w:sz w:val="20"/>
        </w:rPr>
        <w:t xml:space="preserve"> </w:t>
      </w:r>
      <w:r w:rsidRPr="00FD40B8">
        <w:rPr>
          <w:i/>
          <w:color w:val="131727" w:themeColor="text1"/>
          <w:sz w:val="20"/>
        </w:rPr>
        <w:t>person</w:t>
      </w:r>
      <w:r w:rsidRPr="00FD40B8">
        <w:rPr>
          <w:i/>
          <w:color w:val="131727" w:themeColor="text1"/>
          <w:spacing w:val="18"/>
          <w:sz w:val="20"/>
        </w:rPr>
        <w:t xml:space="preserve"> </w:t>
      </w:r>
      <w:r w:rsidRPr="00FD40B8">
        <w:rPr>
          <w:i/>
          <w:color w:val="131727" w:themeColor="text1"/>
          <w:sz w:val="20"/>
        </w:rPr>
        <w:t>chooses</w:t>
      </w:r>
      <w:r w:rsidRPr="00FD40B8">
        <w:rPr>
          <w:i/>
          <w:color w:val="131727" w:themeColor="text1"/>
          <w:spacing w:val="17"/>
          <w:sz w:val="20"/>
        </w:rPr>
        <w:t xml:space="preserve"> </w:t>
      </w:r>
      <w:r w:rsidRPr="00FD40B8">
        <w:rPr>
          <w:i/>
          <w:color w:val="131727" w:themeColor="text1"/>
          <w:sz w:val="20"/>
        </w:rPr>
        <w:t>to</w:t>
      </w:r>
      <w:r w:rsidRPr="00FD40B8">
        <w:rPr>
          <w:i/>
          <w:color w:val="131727" w:themeColor="text1"/>
          <w:spacing w:val="22"/>
          <w:sz w:val="20"/>
        </w:rPr>
        <w:t xml:space="preserve"> </w:t>
      </w:r>
      <w:r w:rsidRPr="00FD40B8">
        <w:rPr>
          <w:i/>
          <w:color w:val="131727" w:themeColor="text1"/>
          <w:sz w:val="20"/>
        </w:rPr>
        <w:t>identify, or</w:t>
      </w:r>
      <w:r w:rsidRPr="00FD40B8">
        <w:rPr>
          <w:i/>
          <w:color w:val="131727" w:themeColor="text1"/>
          <w:spacing w:val="15"/>
          <w:sz w:val="20"/>
        </w:rPr>
        <w:t xml:space="preserve"> </w:t>
      </w:r>
      <w:r w:rsidRPr="00FD40B8">
        <w:rPr>
          <w:i/>
          <w:color w:val="131727" w:themeColor="text1"/>
          <w:sz w:val="20"/>
        </w:rPr>
        <w:t>whether</w:t>
      </w:r>
      <w:r w:rsidRPr="00FD40B8">
        <w:rPr>
          <w:i/>
          <w:color w:val="131727" w:themeColor="text1"/>
          <w:spacing w:val="16"/>
          <w:sz w:val="20"/>
        </w:rPr>
        <w:t xml:space="preserve"> </w:t>
      </w:r>
      <w:r w:rsidRPr="00FD40B8">
        <w:rPr>
          <w:i/>
          <w:color w:val="131727" w:themeColor="text1"/>
          <w:sz w:val="20"/>
        </w:rPr>
        <w:t>they</w:t>
      </w:r>
      <w:r w:rsidRPr="00FD40B8">
        <w:rPr>
          <w:i/>
          <w:color w:val="131727" w:themeColor="text1"/>
          <w:spacing w:val="13"/>
          <w:sz w:val="20"/>
        </w:rPr>
        <w:t xml:space="preserve"> </w:t>
      </w:r>
      <w:r w:rsidRPr="00FD40B8">
        <w:rPr>
          <w:i/>
          <w:color w:val="131727" w:themeColor="text1"/>
          <w:sz w:val="20"/>
        </w:rPr>
        <w:t>respond to</w:t>
      </w:r>
      <w:r w:rsidRPr="00FD40B8">
        <w:rPr>
          <w:i/>
          <w:color w:val="131727" w:themeColor="text1"/>
          <w:spacing w:val="19"/>
          <w:sz w:val="20"/>
        </w:rPr>
        <w:t xml:space="preserve"> </w:t>
      </w:r>
      <w:r w:rsidRPr="00FD40B8">
        <w:rPr>
          <w:i/>
          <w:color w:val="131727" w:themeColor="text1"/>
          <w:sz w:val="20"/>
        </w:rPr>
        <w:t>the</w:t>
      </w:r>
      <w:r w:rsidRPr="00FD40B8">
        <w:rPr>
          <w:i/>
          <w:color w:val="131727" w:themeColor="text1"/>
          <w:spacing w:val="13"/>
          <w:sz w:val="20"/>
        </w:rPr>
        <w:t xml:space="preserve"> </w:t>
      </w:r>
      <w:r w:rsidRPr="00FD40B8">
        <w:rPr>
          <w:i/>
          <w:color w:val="131727" w:themeColor="text1"/>
          <w:sz w:val="20"/>
        </w:rPr>
        <w:t>question</w:t>
      </w:r>
      <w:r w:rsidRPr="00FD40B8">
        <w:rPr>
          <w:i/>
          <w:color w:val="131727" w:themeColor="text1"/>
          <w:spacing w:val="15"/>
          <w:sz w:val="20"/>
        </w:rPr>
        <w:t xml:space="preserve"> </w:t>
      </w:r>
      <w:r w:rsidRPr="00FD40B8">
        <w:rPr>
          <w:i/>
          <w:color w:val="131727" w:themeColor="text1"/>
          <w:sz w:val="20"/>
        </w:rPr>
        <w:t>themselves</w:t>
      </w:r>
      <w:r w:rsidRPr="00FD40B8">
        <w:rPr>
          <w:i/>
          <w:color w:val="131727" w:themeColor="text1"/>
          <w:spacing w:val="13"/>
          <w:sz w:val="20"/>
        </w:rPr>
        <w:t xml:space="preserve"> </w:t>
      </w:r>
      <w:r w:rsidRPr="00FD40B8">
        <w:rPr>
          <w:i/>
          <w:color w:val="131727" w:themeColor="text1"/>
          <w:sz w:val="20"/>
        </w:rPr>
        <w:t>or</w:t>
      </w:r>
      <w:r w:rsidRPr="00FD40B8">
        <w:rPr>
          <w:i/>
          <w:color w:val="131727" w:themeColor="text1"/>
          <w:spacing w:val="16"/>
          <w:sz w:val="20"/>
        </w:rPr>
        <w:t xml:space="preserve"> </w:t>
      </w:r>
      <w:r w:rsidRPr="00FD40B8">
        <w:rPr>
          <w:i/>
          <w:color w:val="131727" w:themeColor="text1"/>
          <w:sz w:val="20"/>
        </w:rPr>
        <w:t>someone</w:t>
      </w:r>
      <w:r w:rsidRPr="00FD40B8">
        <w:rPr>
          <w:i/>
          <w:color w:val="131727" w:themeColor="text1"/>
          <w:spacing w:val="19"/>
          <w:sz w:val="20"/>
        </w:rPr>
        <w:t xml:space="preserve"> </w:t>
      </w:r>
      <w:r w:rsidRPr="00FD40B8">
        <w:rPr>
          <w:i/>
          <w:color w:val="131727" w:themeColor="text1"/>
          <w:sz w:val="20"/>
        </w:rPr>
        <w:t>responds</w:t>
      </w:r>
      <w:r w:rsidRPr="00FD40B8">
        <w:rPr>
          <w:i/>
          <w:color w:val="131727" w:themeColor="text1"/>
          <w:spacing w:val="13"/>
          <w:sz w:val="20"/>
        </w:rPr>
        <w:t xml:space="preserve"> </w:t>
      </w:r>
      <w:r w:rsidRPr="00FD40B8">
        <w:rPr>
          <w:i/>
          <w:color w:val="131727" w:themeColor="text1"/>
          <w:sz w:val="20"/>
        </w:rPr>
        <w:t>on</w:t>
      </w:r>
      <w:r w:rsidRPr="00FD40B8">
        <w:rPr>
          <w:i/>
          <w:color w:val="131727" w:themeColor="text1"/>
          <w:spacing w:val="16"/>
          <w:sz w:val="20"/>
        </w:rPr>
        <w:t xml:space="preserve"> </w:t>
      </w:r>
      <w:r w:rsidRPr="00FD40B8">
        <w:rPr>
          <w:i/>
          <w:color w:val="131727" w:themeColor="text1"/>
          <w:sz w:val="20"/>
        </w:rPr>
        <w:t>their behalf, will</w:t>
      </w:r>
      <w:r w:rsidRPr="00FD40B8">
        <w:rPr>
          <w:i/>
          <w:color w:val="131727" w:themeColor="text1"/>
          <w:spacing w:val="20"/>
          <w:sz w:val="20"/>
        </w:rPr>
        <w:t xml:space="preserve"> </w:t>
      </w:r>
      <w:r w:rsidRPr="00FD40B8">
        <w:rPr>
          <w:i/>
          <w:color w:val="131727" w:themeColor="text1"/>
          <w:sz w:val="20"/>
        </w:rPr>
        <w:t>affect</w:t>
      </w:r>
      <w:r w:rsidRPr="00FD40B8">
        <w:rPr>
          <w:i/>
          <w:color w:val="131727" w:themeColor="text1"/>
          <w:spacing w:val="15"/>
          <w:sz w:val="20"/>
        </w:rPr>
        <w:t xml:space="preserve"> </w:t>
      </w:r>
      <w:r w:rsidRPr="00FD40B8">
        <w:rPr>
          <w:i/>
          <w:color w:val="131727" w:themeColor="text1"/>
          <w:sz w:val="20"/>
        </w:rPr>
        <w:t>the</w:t>
      </w:r>
      <w:r w:rsidRPr="00FD40B8">
        <w:rPr>
          <w:i/>
          <w:color w:val="131727" w:themeColor="text1"/>
          <w:spacing w:val="19"/>
          <w:sz w:val="20"/>
        </w:rPr>
        <w:t xml:space="preserve"> </w:t>
      </w:r>
      <w:r w:rsidRPr="00FD40B8">
        <w:rPr>
          <w:i/>
          <w:color w:val="131727" w:themeColor="text1"/>
          <w:sz w:val="20"/>
        </w:rPr>
        <w:t>count of</w:t>
      </w:r>
      <w:r w:rsidRPr="00FD40B8">
        <w:rPr>
          <w:i/>
          <w:color w:val="131727" w:themeColor="text1"/>
          <w:spacing w:val="40"/>
          <w:sz w:val="20"/>
        </w:rPr>
        <w:t xml:space="preserve"> </w:t>
      </w:r>
      <w:r w:rsidRPr="00FD40B8">
        <w:rPr>
          <w:i/>
          <w:color w:val="131727" w:themeColor="text1"/>
          <w:sz w:val="20"/>
        </w:rPr>
        <w:t>Aboriginal</w:t>
      </w:r>
      <w:r w:rsidRPr="00FD40B8">
        <w:rPr>
          <w:i/>
          <w:color w:val="131727" w:themeColor="text1"/>
          <w:spacing w:val="40"/>
          <w:sz w:val="20"/>
        </w:rPr>
        <w:t xml:space="preserve"> </w:t>
      </w:r>
      <w:r w:rsidRPr="00FD40B8">
        <w:rPr>
          <w:i/>
          <w:color w:val="131727" w:themeColor="text1"/>
          <w:sz w:val="20"/>
        </w:rPr>
        <w:t>and</w:t>
      </w:r>
      <w:r w:rsidRPr="00FD40B8">
        <w:rPr>
          <w:i/>
          <w:color w:val="131727" w:themeColor="text1"/>
          <w:spacing w:val="40"/>
          <w:sz w:val="20"/>
        </w:rPr>
        <w:t xml:space="preserve"> </w:t>
      </w:r>
      <w:r w:rsidRPr="00FD40B8">
        <w:rPr>
          <w:i/>
          <w:color w:val="131727" w:themeColor="text1"/>
          <w:sz w:val="20"/>
        </w:rPr>
        <w:t>Torres</w:t>
      </w:r>
      <w:r w:rsidRPr="00FD40B8">
        <w:rPr>
          <w:i/>
          <w:color w:val="131727" w:themeColor="text1"/>
          <w:spacing w:val="40"/>
          <w:sz w:val="20"/>
        </w:rPr>
        <w:t xml:space="preserve"> </w:t>
      </w:r>
      <w:r w:rsidRPr="00FD40B8">
        <w:rPr>
          <w:i/>
          <w:color w:val="131727" w:themeColor="text1"/>
          <w:sz w:val="20"/>
        </w:rPr>
        <w:t>Strait</w:t>
      </w:r>
      <w:r w:rsidRPr="00FD40B8">
        <w:rPr>
          <w:i/>
          <w:color w:val="131727" w:themeColor="text1"/>
          <w:spacing w:val="40"/>
          <w:sz w:val="20"/>
        </w:rPr>
        <w:t xml:space="preserve"> </w:t>
      </w:r>
      <w:r w:rsidRPr="00FD40B8">
        <w:rPr>
          <w:i/>
          <w:color w:val="131727" w:themeColor="text1"/>
          <w:sz w:val="20"/>
        </w:rPr>
        <w:t>Islander</w:t>
      </w:r>
      <w:r w:rsidRPr="00FD40B8">
        <w:rPr>
          <w:i/>
          <w:color w:val="131727" w:themeColor="text1"/>
          <w:spacing w:val="39"/>
          <w:sz w:val="20"/>
        </w:rPr>
        <w:t xml:space="preserve"> </w:t>
      </w:r>
      <w:r w:rsidRPr="00FD40B8">
        <w:rPr>
          <w:i/>
          <w:color w:val="131727" w:themeColor="text1"/>
          <w:sz w:val="20"/>
        </w:rPr>
        <w:t>people</w:t>
      </w:r>
      <w:r w:rsidRPr="00FD40B8">
        <w:rPr>
          <w:i/>
          <w:color w:val="131727" w:themeColor="text1"/>
          <w:spacing w:val="34"/>
          <w:sz w:val="20"/>
        </w:rPr>
        <w:t xml:space="preserve"> </w:t>
      </w:r>
      <w:r w:rsidRPr="00FD40B8">
        <w:rPr>
          <w:i/>
          <w:color w:val="131727" w:themeColor="text1"/>
          <w:sz w:val="20"/>
        </w:rPr>
        <w:t>in</w:t>
      </w:r>
      <w:r w:rsidRPr="00FD40B8">
        <w:rPr>
          <w:i/>
          <w:color w:val="131727" w:themeColor="text1"/>
          <w:spacing w:val="39"/>
          <w:sz w:val="20"/>
        </w:rPr>
        <w:t xml:space="preserve"> </w:t>
      </w:r>
      <w:r w:rsidRPr="00FD40B8">
        <w:rPr>
          <w:i/>
          <w:color w:val="131727" w:themeColor="text1"/>
          <w:sz w:val="20"/>
        </w:rPr>
        <w:t>the</w:t>
      </w:r>
      <w:r w:rsidRPr="00FD40B8">
        <w:rPr>
          <w:i/>
          <w:color w:val="131727" w:themeColor="text1"/>
          <w:spacing w:val="40"/>
          <w:sz w:val="20"/>
        </w:rPr>
        <w:t xml:space="preserve"> </w:t>
      </w:r>
      <w:r w:rsidRPr="00FD40B8">
        <w:rPr>
          <w:i/>
          <w:color w:val="131727" w:themeColor="text1"/>
          <w:sz w:val="20"/>
        </w:rPr>
        <w:t>Census</w:t>
      </w:r>
      <w:r w:rsidRPr="00FD40B8">
        <w:rPr>
          <w:color w:val="131727" w:themeColor="text1"/>
          <w:sz w:val="20"/>
        </w:rPr>
        <w:t>”</w:t>
      </w:r>
      <w:r w:rsidRPr="00FD40B8">
        <w:rPr>
          <w:color w:val="131727" w:themeColor="text1"/>
          <w:spacing w:val="40"/>
          <w:sz w:val="20"/>
        </w:rPr>
        <w:t xml:space="preserve"> </w:t>
      </w:r>
      <w:r w:rsidRPr="00FD40B8">
        <w:rPr>
          <w:color w:val="131727" w:themeColor="text1"/>
          <w:sz w:val="20"/>
        </w:rPr>
        <w:t>–</w:t>
      </w:r>
      <w:r w:rsidRPr="00FD40B8">
        <w:rPr>
          <w:color w:val="131727" w:themeColor="text1"/>
          <w:spacing w:val="40"/>
          <w:sz w:val="20"/>
        </w:rPr>
        <w:t xml:space="preserve"> </w:t>
      </w:r>
      <w:r w:rsidRPr="00FD40B8">
        <w:rPr>
          <w:color w:val="131727" w:themeColor="text1"/>
          <w:sz w:val="20"/>
        </w:rPr>
        <w:t>Australian</w:t>
      </w:r>
      <w:r w:rsidRPr="00FD40B8">
        <w:rPr>
          <w:color w:val="131727" w:themeColor="text1"/>
          <w:spacing w:val="40"/>
          <w:sz w:val="20"/>
        </w:rPr>
        <w:t xml:space="preserve"> </w:t>
      </w:r>
      <w:r w:rsidRPr="00FD40B8">
        <w:rPr>
          <w:color w:val="131727" w:themeColor="text1"/>
          <w:sz w:val="20"/>
        </w:rPr>
        <w:t>Bureau</w:t>
      </w:r>
      <w:r w:rsidRPr="00FD40B8">
        <w:rPr>
          <w:color w:val="131727" w:themeColor="text1"/>
          <w:spacing w:val="35"/>
          <w:sz w:val="20"/>
        </w:rPr>
        <w:t xml:space="preserve"> </w:t>
      </w:r>
      <w:r w:rsidRPr="00FD40B8">
        <w:rPr>
          <w:color w:val="131727" w:themeColor="text1"/>
          <w:sz w:val="20"/>
        </w:rPr>
        <w:t>of</w:t>
      </w:r>
      <w:r w:rsidRPr="00FD40B8">
        <w:rPr>
          <w:color w:val="131727" w:themeColor="text1"/>
          <w:spacing w:val="37"/>
          <w:sz w:val="20"/>
        </w:rPr>
        <w:t xml:space="preserve"> </w:t>
      </w:r>
      <w:r w:rsidRPr="00FD40B8">
        <w:rPr>
          <w:color w:val="131727" w:themeColor="text1"/>
          <w:sz w:val="20"/>
        </w:rPr>
        <w:t>Statistics</w:t>
      </w:r>
      <w:hyperlink w:anchor="_bookmark105" w:history="1">
        <w:r w:rsidRPr="00FD40B8">
          <w:rPr>
            <w:color w:val="131727" w:themeColor="text1"/>
            <w:position w:val="8"/>
            <w:sz w:val="13"/>
          </w:rPr>
          <w:t>86</w:t>
        </w:r>
      </w:hyperlink>
    </w:p>
    <w:p w14:paraId="04E012A2" w14:textId="77777777" w:rsidR="00811887" w:rsidRPr="00FD40B8" w:rsidRDefault="00811887" w:rsidP="00811887">
      <w:pPr>
        <w:pStyle w:val="BodyText"/>
        <w:rPr>
          <w:color w:val="131727" w:themeColor="text1"/>
        </w:rPr>
      </w:pPr>
    </w:p>
    <w:p w14:paraId="233787C7" w14:textId="77777777" w:rsidR="00811887" w:rsidRPr="00FD40B8" w:rsidRDefault="00811887" w:rsidP="00811887">
      <w:pPr>
        <w:pStyle w:val="BodyText"/>
        <w:rPr>
          <w:color w:val="131727" w:themeColor="text1"/>
        </w:rPr>
      </w:pPr>
    </w:p>
    <w:p w14:paraId="2460963E" w14:textId="77777777" w:rsidR="00811887" w:rsidRPr="00FD40B8" w:rsidRDefault="00811887" w:rsidP="00811887">
      <w:pPr>
        <w:pStyle w:val="BodyText"/>
        <w:rPr>
          <w:color w:val="131727" w:themeColor="text1"/>
        </w:rPr>
      </w:pPr>
      <w:r w:rsidRPr="00FD40B8">
        <w:rPr>
          <w:noProof/>
          <w:color w:val="131727" w:themeColor="text1"/>
        </w:rPr>
        <mc:AlternateContent>
          <mc:Choice Requires="wps">
            <w:drawing>
              <wp:anchor distT="0" distB="0" distL="0" distR="0" simplePos="0" relativeHeight="251765760" behindDoc="1" locked="0" layoutInCell="1" allowOverlap="1" wp14:anchorId="205E0158" wp14:editId="51664F94">
                <wp:simplePos x="0" y="0"/>
                <wp:positionH relativeFrom="page">
                  <wp:posOffset>792784</wp:posOffset>
                </wp:positionH>
                <wp:positionV relativeFrom="paragraph">
                  <wp:posOffset>170890</wp:posOffset>
                </wp:positionV>
                <wp:extent cx="1830070" cy="6350"/>
                <wp:effectExtent l="0" t="0" r="0" b="0"/>
                <wp:wrapTopAndBottom/>
                <wp:docPr id="200" name="Graphic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1343B" id="Graphic 200" o:spid="_x0000_s1026" alt="&quot;&quot;" style="position:absolute;margin-left:62.4pt;margin-top:13.45pt;width:144.1pt;height:.5pt;z-index:-25155072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" path="m1829689,l,,,6095r1829689,l1829689,xe" fillcolor="black" stroked="f">
                <v:path arrowok="t"/>
                <w10:wrap type="topAndBottom" anchorx="page"/>
              </v:shape>
            </w:pict>
          </mc:Fallback>
        </mc:AlternateContent>
      </w:r>
    </w:p>
    <w:p w14:paraId="28707DCD" w14:textId="77777777" w:rsidR="00811887" w:rsidRPr="00FD40B8" w:rsidRDefault="00811887" w:rsidP="00811887">
      <w:pPr>
        <w:spacing w:before="123" w:line="266" w:lineRule="auto"/>
        <w:ind w:left="508" w:right="1228"/>
        <w:rPr>
          <w:color w:val="131727" w:themeColor="text1"/>
          <w:sz w:val="16"/>
        </w:rPr>
      </w:pPr>
      <w:bookmarkStart w:id="215" w:name="_bookmark104"/>
      <w:bookmarkEnd w:id="215"/>
      <w:r w:rsidRPr="00FD40B8">
        <w:rPr>
          <w:color w:val="131727" w:themeColor="text1"/>
          <w:w w:val="105"/>
          <w:position w:val="6"/>
          <w:sz w:val="10"/>
        </w:rPr>
        <w:t>85</w:t>
      </w:r>
      <w:r w:rsidRPr="00FD40B8">
        <w:rPr>
          <w:color w:val="131727" w:themeColor="text1"/>
          <w:spacing w:val="40"/>
          <w:w w:val="105"/>
          <w:position w:val="6"/>
          <w:sz w:val="10"/>
        </w:rPr>
        <w:t xml:space="preserve"> </w:t>
      </w:r>
      <w:r w:rsidRPr="00FD40B8">
        <w:rPr>
          <w:color w:val="131727" w:themeColor="text1"/>
          <w:w w:val="105"/>
          <w:sz w:val="16"/>
        </w:rPr>
        <w:t>AIHW 2014. Homelessness among Indigenous Australians. Cat. no. IHW 133.</w:t>
      </w:r>
      <w:r w:rsidRPr="00FD40B8">
        <w:rPr>
          <w:color w:val="131727" w:themeColor="text1"/>
          <w:spacing w:val="40"/>
          <w:w w:val="105"/>
          <w:sz w:val="16"/>
        </w:rPr>
        <w:t xml:space="preserve"> </w:t>
      </w:r>
      <w:r w:rsidRPr="00FD40B8">
        <w:rPr>
          <w:color w:val="131727" w:themeColor="text1"/>
          <w:w w:val="105"/>
          <w:sz w:val="16"/>
        </w:rPr>
        <w:t>Available at:</w:t>
      </w:r>
      <w:r w:rsidRPr="00FD40B8">
        <w:rPr>
          <w:color w:val="131727" w:themeColor="text1"/>
          <w:spacing w:val="40"/>
          <w:w w:val="105"/>
          <w:sz w:val="16"/>
        </w:rPr>
        <w:t xml:space="preserve"> </w:t>
      </w:r>
      <w:hyperlink r:id="rId130">
        <w:r w:rsidRPr="00FD40B8">
          <w:rPr>
            <w:color w:val="131727" w:themeColor="text1"/>
            <w:w w:val="105"/>
            <w:sz w:val="16"/>
          </w:rPr>
          <w:t>https://www.aihw.gov.au/getmedia/836e0f83-0fff-492f-8862-8ae43ceb6ab4/17595.pdf?v=20230605181202&amp;inline=true.</w:t>
        </w:r>
      </w:hyperlink>
      <w:r w:rsidRPr="00FD40B8">
        <w:rPr>
          <w:color w:val="131727" w:themeColor="text1"/>
          <w:spacing w:val="67"/>
          <w:w w:val="150"/>
          <w:sz w:val="16"/>
        </w:rPr>
        <w:t xml:space="preserve"> </w:t>
      </w:r>
      <w:r w:rsidRPr="00FD40B8">
        <w:rPr>
          <w:color w:val="131727" w:themeColor="text1"/>
          <w:w w:val="105"/>
          <w:sz w:val="16"/>
        </w:rPr>
        <w:t>.</w:t>
      </w:r>
      <w:r w:rsidRPr="00FD40B8">
        <w:rPr>
          <w:color w:val="131727" w:themeColor="text1"/>
          <w:spacing w:val="80"/>
          <w:w w:val="150"/>
          <w:sz w:val="16"/>
        </w:rPr>
        <w:t xml:space="preserve"> </w:t>
      </w:r>
      <w:bookmarkStart w:id="216" w:name="_bookmark105"/>
      <w:bookmarkEnd w:id="216"/>
      <w:r w:rsidRPr="00FD40B8">
        <w:rPr>
          <w:color w:val="131727" w:themeColor="text1"/>
          <w:w w:val="105"/>
          <w:position w:val="6"/>
          <w:sz w:val="10"/>
        </w:rPr>
        <w:t>86</w:t>
      </w:r>
      <w:r w:rsidRPr="00FD40B8">
        <w:rPr>
          <w:color w:val="131727" w:themeColor="text1"/>
          <w:spacing w:val="40"/>
          <w:w w:val="105"/>
          <w:position w:val="6"/>
          <w:sz w:val="10"/>
        </w:rPr>
        <w:t xml:space="preserve"> </w:t>
      </w:r>
      <w:r w:rsidRPr="00FD40B8">
        <w:rPr>
          <w:color w:val="131727" w:themeColor="text1"/>
          <w:w w:val="105"/>
          <w:sz w:val="16"/>
        </w:rPr>
        <w:t>ABS</w:t>
      </w:r>
      <w:r w:rsidRPr="00FD40B8">
        <w:rPr>
          <w:color w:val="131727" w:themeColor="text1"/>
          <w:spacing w:val="36"/>
          <w:w w:val="105"/>
          <w:sz w:val="16"/>
        </w:rPr>
        <w:t xml:space="preserve"> </w:t>
      </w:r>
      <w:r w:rsidRPr="00FD40B8">
        <w:rPr>
          <w:color w:val="131727" w:themeColor="text1"/>
          <w:w w:val="105"/>
          <w:sz w:val="16"/>
        </w:rPr>
        <w:t>2023.</w:t>
      </w:r>
      <w:r w:rsidRPr="00FD40B8">
        <w:rPr>
          <w:color w:val="131727" w:themeColor="text1"/>
          <w:spacing w:val="38"/>
          <w:w w:val="105"/>
          <w:sz w:val="16"/>
        </w:rPr>
        <w:t xml:space="preserve"> </w:t>
      </w:r>
      <w:r w:rsidRPr="00FD40B8">
        <w:rPr>
          <w:color w:val="131727" w:themeColor="text1"/>
          <w:w w:val="105"/>
          <w:sz w:val="16"/>
        </w:rPr>
        <w:t>Aboriginal and</w:t>
      </w:r>
      <w:r w:rsidRPr="00FD40B8">
        <w:rPr>
          <w:color w:val="131727" w:themeColor="text1"/>
          <w:spacing w:val="40"/>
          <w:w w:val="105"/>
          <w:sz w:val="16"/>
        </w:rPr>
        <w:t xml:space="preserve"> </w:t>
      </w:r>
      <w:r w:rsidRPr="00FD40B8">
        <w:rPr>
          <w:color w:val="131727" w:themeColor="text1"/>
          <w:w w:val="105"/>
          <w:sz w:val="16"/>
        </w:rPr>
        <w:t>Torres</w:t>
      </w:r>
      <w:r w:rsidRPr="00FD40B8">
        <w:rPr>
          <w:color w:val="131727" w:themeColor="text1"/>
          <w:spacing w:val="35"/>
          <w:w w:val="105"/>
          <w:sz w:val="16"/>
        </w:rPr>
        <w:t xml:space="preserve"> </w:t>
      </w:r>
      <w:r w:rsidRPr="00FD40B8">
        <w:rPr>
          <w:color w:val="131727" w:themeColor="text1"/>
          <w:w w:val="105"/>
          <w:sz w:val="16"/>
        </w:rPr>
        <w:t>Strait</w:t>
      </w:r>
      <w:r w:rsidRPr="00FD40B8">
        <w:rPr>
          <w:color w:val="131727" w:themeColor="text1"/>
          <w:spacing w:val="36"/>
          <w:w w:val="105"/>
          <w:sz w:val="16"/>
        </w:rPr>
        <w:t xml:space="preserve"> </w:t>
      </w:r>
      <w:r w:rsidRPr="00FD40B8">
        <w:rPr>
          <w:color w:val="131727" w:themeColor="text1"/>
          <w:w w:val="105"/>
          <w:sz w:val="16"/>
        </w:rPr>
        <w:t>Islander</w:t>
      </w:r>
      <w:r w:rsidRPr="00FD40B8">
        <w:rPr>
          <w:color w:val="131727" w:themeColor="text1"/>
          <w:spacing w:val="38"/>
          <w:w w:val="105"/>
          <w:sz w:val="16"/>
        </w:rPr>
        <w:t xml:space="preserve"> </w:t>
      </w:r>
      <w:r w:rsidRPr="00FD40B8">
        <w:rPr>
          <w:color w:val="131727" w:themeColor="text1"/>
          <w:w w:val="105"/>
          <w:sz w:val="16"/>
        </w:rPr>
        <w:lastRenderedPageBreak/>
        <w:t>peoples</w:t>
      </w:r>
      <w:r w:rsidRPr="00FD40B8">
        <w:rPr>
          <w:color w:val="131727" w:themeColor="text1"/>
          <w:spacing w:val="35"/>
          <w:w w:val="105"/>
          <w:sz w:val="16"/>
        </w:rPr>
        <w:t xml:space="preserve"> </w:t>
      </w:r>
      <w:r w:rsidRPr="00FD40B8">
        <w:rPr>
          <w:color w:val="131727" w:themeColor="text1"/>
          <w:w w:val="105"/>
          <w:sz w:val="16"/>
        </w:rPr>
        <w:t>experiencing</w:t>
      </w:r>
      <w:r w:rsidRPr="00FD40B8">
        <w:rPr>
          <w:color w:val="131727" w:themeColor="text1"/>
          <w:spacing w:val="35"/>
          <w:w w:val="105"/>
          <w:sz w:val="16"/>
        </w:rPr>
        <w:t xml:space="preserve"> </w:t>
      </w:r>
      <w:r w:rsidRPr="00FD40B8">
        <w:rPr>
          <w:color w:val="131727" w:themeColor="text1"/>
          <w:w w:val="105"/>
          <w:sz w:val="16"/>
        </w:rPr>
        <w:t>homelessness.</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6"/>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hyperlink r:id="rId131">
        <w:r w:rsidRPr="00FD40B8">
          <w:rPr>
            <w:color w:val="131727" w:themeColor="text1"/>
            <w:spacing w:val="-2"/>
            <w:w w:val="105"/>
            <w:sz w:val="16"/>
          </w:rPr>
          <w:t>https://www.abs.gov.au/articles/aboriginal-and-torres-strait-islander-peoples-experiencing-homelessness.</w:t>
        </w:r>
      </w:hyperlink>
    </w:p>
    <w:p w14:paraId="7E96DA91" w14:textId="77777777" w:rsidR="00811887" w:rsidRPr="00FD40B8" w:rsidRDefault="00811887" w:rsidP="00811887">
      <w:pPr>
        <w:spacing w:line="266" w:lineRule="auto"/>
        <w:rPr>
          <w:color w:val="131727" w:themeColor="text1"/>
          <w:sz w:val="16"/>
        </w:rPr>
        <w:sectPr w:rsidR="00811887" w:rsidRPr="00FD40B8" w:rsidSect="00811887">
          <w:pgSz w:w="11910" w:h="16840"/>
          <w:pgMar w:top="1320" w:right="720" w:bottom="1080" w:left="740" w:header="0" w:footer="805" w:gutter="0"/>
          <w:cols w:space="720"/>
        </w:sectPr>
      </w:pPr>
    </w:p>
    <w:p w14:paraId="7C4BD63F" w14:textId="77777777" w:rsidR="00811887" w:rsidRPr="00FD40B8" w:rsidRDefault="00811887" w:rsidP="00811887">
      <w:pPr>
        <w:pStyle w:val="BodyText"/>
        <w:spacing w:before="113"/>
        <w:ind w:left="508"/>
        <w:rPr>
          <w:color w:val="131727" w:themeColor="text1"/>
        </w:rPr>
      </w:pPr>
      <w:r w:rsidRPr="00FD40B8">
        <w:rPr>
          <w:color w:val="131727" w:themeColor="text1"/>
          <w:w w:val="110"/>
        </w:rPr>
        <w:lastRenderedPageBreak/>
        <w:t>Step</w:t>
      </w:r>
      <w:r w:rsidRPr="00FD40B8">
        <w:rPr>
          <w:color w:val="131727" w:themeColor="text1"/>
          <w:spacing w:val="-1"/>
          <w:w w:val="110"/>
        </w:rPr>
        <w:t xml:space="preserve"> </w:t>
      </w:r>
      <w:r w:rsidRPr="00FD40B8">
        <w:rPr>
          <w:color w:val="131727" w:themeColor="text1"/>
          <w:w w:val="110"/>
        </w:rPr>
        <w:t>3:</w:t>
      </w:r>
      <w:r w:rsidRPr="00FD40B8">
        <w:rPr>
          <w:color w:val="131727" w:themeColor="text1"/>
          <w:spacing w:val="-1"/>
          <w:w w:val="110"/>
        </w:rPr>
        <w:t xml:space="preserve"> </w:t>
      </w:r>
      <w:r w:rsidRPr="00FD40B8">
        <w:rPr>
          <w:color w:val="131727" w:themeColor="text1"/>
          <w:w w:val="110"/>
        </w:rPr>
        <w:t>Estimating the</w:t>
      </w:r>
      <w:r w:rsidRPr="00FD40B8">
        <w:rPr>
          <w:color w:val="131727" w:themeColor="text1"/>
          <w:spacing w:val="-5"/>
          <w:w w:val="110"/>
        </w:rPr>
        <w:t xml:space="preserve"> </w:t>
      </w:r>
      <w:r w:rsidRPr="00FD40B8">
        <w:rPr>
          <w:color w:val="131727" w:themeColor="text1"/>
          <w:w w:val="110"/>
        </w:rPr>
        <w:t>number</w:t>
      </w:r>
      <w:r w:rsidRPr="00FD40B8">
        <w:rPr>
          <w:color w:val="131727" w:themeColor="text1"/>
          <w:spacing w:val="-3"/>
          <w:w w:val="110"/>
        </w:rPr>
        <w:t xml:space="preserve"> </w:t>
      </w:r>
      <w:r w:rsidRPr="00FD40B8">
        <w:rPr>
          <w:color w:val="131727" w:themeColor="text1"/>
          <w:w w:val="110"/>
        </w:rPr>
        <w:t>of</w:t>
      </w:r>
      <w:r w:rsidRPr="00FD40B8">
        <w:rPr>
          <w:color w:val="131727" w:themeColor="text1"/>
          <w:spacing w:val="2"/>
          <w:w w:val="110"/>
        </w:rPr>
        <w:t xml:space="preserve"> </w:t>
      </w:r>
      <w:r w:rsidRPr="00FD40B8">
        <w:rPr>
          <w:color w:val="131727" w:themeColor="text1"/>
          <w:w w:val="110"/>
        </w:rPr>
        <w:t>additional</w:t>
      </w:r>
      <w:r w:rsidRPr="00FD40B8">
        <w:rPr>
          <w:color w:val="131727" w:themeColor="text1"/>
          <w:spacing w:val="1"/>
          <w:w w:val="110"/>
        </w:rPr>
        <w:t xml:space="preserve"> </w:t>
      </w:r>
      <w:r w:rsidRPr="00FD40B8">
        <w:rPr>
          <w:color w:val="131727" w:themeColor="text1"/>
          <w:w w:val="110"/>
        </w:rPr>
        <w:t>houses</w:t>
      </w:r>
      <w:r w:rsidRPr="00FD40B8">
        <w:rPr>
          <w:color w:val="131727" w:themeColor="text1"/>
          <w:spacing w:val="1"/>
          <w:w w:val="110"/>
        </w:rPr>
        <w:t xml:space="preserve"> </w:t>
      </w:r>
      <w:r w:rsidRPr="00FD40B8">
        <w:rPr>
          <w:color w:val="131727" w:themeColor="text1"/>
          <w:w w:val="110"/>
        </w:rPr>
        <w:t>that may</w:t>
      </w:r>
      <w:r w:rsidRPr="00FD40B8">
        <w:rPr>
          <w:color w:val="131727" w:themeColor="text1"/>
          <w:spacing w:val="-3"/>
          <w:w w:val="110"/>
        </w:rPr>
        <w:t xml:space="preserve"> </w:t>
      </w:r>
      <w:r w:rsidRPr="00FD40B8">
        <w:rPr>
          <w:color w:val="131727" w:themeColor="text1"/>
          <w:w w:val="110"/>
        </w:rPr>
        <w:t>need repair</w:t>
      </w:r>
      <w:r w:rsidRPr="00FD40B8">
        <w:rPr>
          <w:color w:val="131727" w:themeColor="text1"/>
          <w:spacing w:val="-3"/>
          <w:w w:val="110"/>
        </w:rPr>
        <w:t xml:space="preserve"> </w:t>
      </w:r>
      <w:r w:rsidRPr="00FD40B8">
        <w:rPr>
          <w:color w:val="131727" w:themeColor="text1"/>
          <w:w w:val="110"/>
        </w:rPr>
        <w:t>or</w:t>
      </w:r>
      <w:r w:rsidRPr="00FD40B8">
        <w:rPr>
          <w:color w:val="131727" w:themeColor="text1"/>
          <w:spacing w:val="-2"/>
          <w:w w:val="110"/>
        </w:rPr>
        <w:t xml:space="preserve"> replacement</w:t>
      </w:r>
    </w:p>
    <w:p w14:paraId="04672C8C" w14:textId="77777777" w:rsidR="00811887" w:rsidRPr="00FD40B8" w:rsidRDefault="00811887" w:rsidP="00811887">
      <w:pPr>
        <w:pStyle w:val="BodyText"/>
        <w:spacing w:before="39" w:line="273" w:lineRule="auto"/>
        <w:ind w:left="508" w:right="598"/>
        <w:rPr>
          <w:color w:val="131727" w:themeColor="text1"/>
        </w:rPr>
      </w:pPr>
      <w:r w:rsidRPr="00FD40B8">
        <w:rPr>
          <w:color w:val="131727" w:themeColor="text1"/>
          <w:w w:val="110"/>
        </w:rPr>
        <w:t>The Census data does not provide data</w:t>
      </w:r>
      <w:r w:rsidRPr="00FD40B8">
        <w:rPr>
          <w:color w:val="131727" w:themeColor="text1"/>
          <w:spacing w:val="-1"/>
          <w:w w:val="110"/>
        </w:rPr>
        <w:t xml:space="preserve"> </w:t>
      </w:r>
      <w:r w:rsidRPr="00FD40B8">
        <w:rPr>
          <w:color w:val="131727" w:themeColor="text1"/>
          <w:w w:val="110"/>
        </w:rPr>
        <w:t>on whether dwellings are of an acceptable standard. However, the 2018-19 NATSIHS dataset gives estimates of the number of dwellings that are of an acceptable standard</w:t>
      </w:r>
      <w:r w:rsidRPr="00FD40B8">
        <w:rPr>
          <w:color w:val="131727" w:themeColor="text1"/>
          <w:spacing w:val="-2"/>
          <w:w w:val="110"/>
        </w:rPr>
        <w:t xml:space="preserve"> </w:t>
      </w:r>
      <w:r w:rsidRPr="00FD40B8">
        <w:rPr>
          <w:color w:val="131727" w:themeColor="text1"/>
          <w:w w:val="110"/>
        </w:rPr>
        <w:t>at</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7"/>
          <w:w w:val="110"/>
        </w:rPr>
        <w:t xml:space="preserve"> </w:t>
      </w:r>
      <w:r w:rsidRPr="00FD40B8">
        <w:rPr>
          <w:color w:val="131727" w:themeColor="text1"/>
          <w:w w:val="110"/>
        </w:rPr>
        <w:t>state</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2"/>
          <w:w w:val="110"/>
        </w:rPr>
        <w:t xml:space="preserve"> </w:t>
      </w:r>
      <w:r w:rsidRPr="00FD40B8">
        <w:rPr>
          <w:color w:val="131727" w:themeColor="text1"/>
          <w:w w:val="110"/>
        </w:rPr>
        <w:t>territory</w:t>
      </w:r>
      <w:r w:rsidRPr="00FD40B8">
        <w:rPr>
          <w:color w:val="131727" w:themeColor="text1"/>
          <w:spacing w:val="-7"/>
          <w:w w:val="110"/>
        </w:rPr>
        <w:t xml:space="preserve"> </w:t>
      </w:r>
      <w:r w:rsidRPr="00FD40B8">
        <w:rPr>
          <w:color w:val="131727" w:themeColor="text1"/>
          <w:w w:val="110"/>
        </w:rPr>
        <w:t>or</w:t>
      </w:r>
      <w:r w:rsidRPr="00FD40B8">
        <w:rPr>
          <w:color w:val="131727" w:themeColor="text1"/>
          <w:spacing w:val="-4"/>
          <w:w w:val="110"/>
        </w:rPr>
        <w:t xml:space="preserve"> </w:t>
      </w:r>
      <w:r w:rsidRPr="00FD40B8">
        <w:rPr>
          <w:color w:val="131727" w:themeColor="text1"/>
          <w:w w:val="110"/>
        </w:rPr>
        <w:t>remoteness</w:t>
      </w:r>
      <w:r w:rsidRPr="00FD40B8">
        <w:rPr>
          <w:color w:val="131727" w:themeColor="text1"/>
          <w:spacing w:val="-4"/>
          <w:w w:val="110"/>
        </w:rPr>
        <w:t xml:space="preserve"> </w:t>
      </w:r>
      <w:r w:rsidRPr="00FD40B8">
        <w:rPr>
          <w:color w:val="131727" w:themeColor="text1"/>
          <w:w w:val="110"/>
        </w:rPr>
        <w:t>level.</w:t>
      </w:r>
      <w:r w:rsidRPr="00FD40B8">
        <w:rPr>
          <w:color w:val="131727" w:themeColor="text1"/>
          <w:spacing w:val="-6"/>
          <w:w w:val="110"/>
        </w:rPr>
        <w:t xml:space="preserve"> </w:t>
      </w:r>
      <w:r w:rsidRPr="00FD40B8">
        <w:rPr>
          <w:color w:val="131727" w:themeColor="text1"/>
          <w:w w:val="110"/>
        </w:rPr>
        <w:t>We</w:t>
      </w:r>
      <w:r w:rsidRPr="00FD40B8">
        <w:rPr>
          <w:color w:val="131727" w:themeColor="text1"/>
          <w:spacing w:val="-2"/>
          <w:w w:val="110"/>
        </w:rPr>
        <w:t xml:space="preserve"> </w:t>
      </w:r>
      <w:r w:rsidRPr="00FD40B8">
        <w:rPr>
          <w:color w:val="131727" w:themeColor="text1"/>
          <w:w w:val="110"/>
        </w:rPr>
        <w:t>provide</w:t>
      </w:r>
      <w:r w:rsidRPr="00FD40B8">
        <w:rPr>
          <w:color w:val="131727" w:themeColor="text1"/>
          <w:spacing w:val="-2"/>
          <w:w w:val="110"/>
        </w:rPr>
        <w:t xml:space="preserve"> </w:t>
      </w:r>
      <w:r w:rsidRPr="00FD40B8">
        <w:rPr>
          <w:color w:val="131727" w:themeColor="text1"/>
          <w:w w:val="110"/>
        </w:rPr>
        <w:t>a</w:t>
      </w:r>
      <w:r w:rsidRPr="00FD40B8">
        <w:rPr>
          <w:color w:val="131727" w:themeColor="text1"/>
          <w:spacing w:val="-3"/>
          <w:w w:val="110"/>
        </w:rPr>
        <w:t xml:space="preserve"> </w:t>
      </w:r>
      <w:r w:rsidRPr="00FD40B8">
        <w:rPr>
          <w:color w:val="131727" w:themeColor="text1"/>
          <w:w w:val="110"/>
        </w:rPr>
        <w:t>separate</w:t>
      </w:r>
      <w:r w:rsidRPr="00FD40B8">
        <w:rPr>
          <w:color w:val="131727" w:themeColor="text1"/>
          <w:spacing w:val="-3"/>
          <w:w w:val="110"/>
        </w:rPr>
        <w:t xml:space="preserve"> </w:t>
      </w:r>
      <w:r w:rsidRPr="00FD40B8">
        <w:rPr>
          <w:color w:val="131727" w:themeColor="text1"/>
          <w:w w:val="110"/>
        </w:rPr>
        <w:t>estimate</w:t>
      </w:r>
      <w:r w:rsidRPr="00FD40B8">
        <w:rPr>
          <w:color w:val="131727" w:themeColor="text1"/>
          <w:spacing w:val="-7"/>
          <w:w w:val="110"/>
        </w:rPr>
        <w:t xml:space="preserve"> </w:t>
      </w:r>
      <w:r w:rsidRPr="00FD40B8">
        <w:rPr>
          <w:color w:val="131727" w:themeColor="text1"/>
          <w:w w:val="110"/>
        </w:rPr>
        <w:t>for</w:t>
      </w:r>
      <w:r w:rsidRPr="00FD40B8">
        <w:rPr>
          <w:color w:val="131727" w:themeColor="text1"/>
          <w:spacing w:val="-4"/>
          <w:w w:val="110"/>
        </w:rPr>
        <w:t xml:space="preserve"> </w:t>
      </w:r>
      <w:r w:rsidRPr="00FD40B8">
        <w:rPr>
          <w:color w:val="131727" w:themeColor="text1"/>
          <w:w w:val="110"/>
        </w:rPr>
        <w:t>this</w:t>
      </w:r>
      <w:r w:rsidRPr="00FD40B8">
        <w:rPr>
          <w:color w:val="131727" w:themeColor="text1"/>
          <w:spacing w:val="-4"/>
          <w:w w:val="110"/>
        </w:rPr>
        <w:t xml:space="preserve"> </w:t>
      </w:r>
      <w:r w:rsidRPr="00FD40B8">
        <w:rPr>
          <w:color w:val="131727" w:themeColor="text1"/>
          <w:w w:val="110"/>
        </w:rPr>
        <w:t>data,</w:t>
      </w:r>
      <w:r w:rsidRPr="00FD40B8">
        <w:rPr>
          <w:color w:val="131727" w:themeColor="text1"/>
          <w:spacing w:val="-2"/>
          <w:w w:val="110"/>
        </w:rPr>
        <w:t xml:space="preserve"> </w:t>
      </w:r>
      <w:r w:rsidRPr="00FD40B8">
        <w:rPr>
          <w:color w:val="131727" w:themeColor="text1"/>
          <w:w w:val="110"/>
        </w:rPr>
        <w:t>as</w:t>
      </w:r>
      <w:r w:rsidRPr="00FD40B8">
        <w:rPr>
          <w:color w:val="131727" w:themeColor="text1"/>
          <w:spacing w:val="-4"/>
          <w:w w:val="110"/>
        </w:rPr>
        <w:t xml:space="preserve"> </w:t>
      </w:r>
      <w:r w:rsidRPr="00FD40B8">
        <w:rPr>
          <w:color w:val="131727" w:themeColor="text1"/>
          <w:w w:val="110"/>
        </w:rPr>
        <w:t>it pertains to a different timeframe and higher geographic level(s)</w:t>
      </w:r>
      <w:hyperlink w:anchor="_bookmark106" w:history="1">
        <w:r w:rsidRPr="00FD40B8">
          <w:rPr>
            <w:color w:val="131727" w:themeColor="text1"/>
            <w:w w:val="110"/>
          </w:rPr>
          <w:t>.</w:t>
        </w:r>
        <w:r w:rsidRPr="00FD40B8">
          <w:rPr>
            <w:color w:val="131727" w:themeColor="text1"/>
            <w:w w:val="110"/>
            <w:position w:val="8"/>
            <w:sz w:val="13"/>
          </w:rPr>
          <w:t>87</w:t>
        </w:r>
      </w:hyperlink>
      <w:r w:rsidRPr="00FD40B8">
        <w:rPr>
          <w:color w:val="131727" w:themeColor="text1"/>
          <w:spacing w:val="73"/>
          <w:w w:val="110"/>
          <w:position w:val="8"/>
          <w:sz w:val="13"/>
        </w:rPr>
        <w:t xml:space="preserve"> </w:t>
      </w:r>
      <w:r w:rsidRPr="00FD40B8">
        <w:rPr>
          <w:color w:val="131727" w:themeColor="text1"/>
          <w:w w:val="110"/>
        </w:rPr>
        <w:t xml:space="preserve">It is also important to note that a dwelling can be both of an unacceptable standard and overcrowded. As our estimate of additional houses needed is based on </w:t>
      </w:r>
      <w:r w:rsidRPr="00FD40B8">
        <w:rPr>
          <w:i/>
          <w:color w:val="131727" w:themeColor="text1"/>
          <w:w w:val="110"/>
        </w:rPr>
        <w:t xml:space="preserve">extra </w:t>
      </w:r>
      <w:r w:rsidRPr="00FD40B8">
        <w:rPr>
          <w:color w:val="131727" w:themeColor="text1"/>
          <w:w w:val="110"/>
        </w:rPr>
        <w:t>rooms needed in a dwelling (not the count of people living in an overcrowded dwelling), this should not pose a problem in terms of double counting.</w:t>
      </w:r>
    </w:p>
    <w:p w14:paraId="05249B81" w14:textId="77777777" w:rsidR="00811887" w:rsidRPr="00FD40B8" w:rsidRDefault="00811887" w:rsidP="00811887">
      <w:pPr>
        <w:pStyle w:val="BodyText"/>
        <w:spacing w:before="32"/>
        <w:rPr>
          <w:color w:val="131727" w:themeColor="text1"/>
        </w:rPr>
      </w:pPr>
    </w:p>
    <w:p w14:paraId="686E5085" w14:textId="77777777" w:rsidR="00811887" w:rsidRPr="00FD40B8" w:rsidRDefault="00811887" w:rsidP="00811887">
      <w:pPr>
        <w:ind w:left="508"/>
        <w:rPr>
          <w:i/>
          <w:color w:val="131727" w:themeColor="text1"/>
          <w:sz w:val="20"/>
        </w:rPr>
      </w:pPr>
      <w:r w:rsidRPr="00FD40B8">
        <w:rPr>
          <w:i/>
          <w:color w:val="131727" w:themeColor="text1"/>
          <w:w w:val="105"/>
          <w:sz w:val="20"/>
        </w:rPr>
        <w:t>A</w:t>
      </w:r>
      <w:r w:rsidRPr="00FD40B8">
        <w:rPr>
          <w:i/>
          <w:color w:val="131727" w:themeColor="text1"/>
          <w:spacing w:val="-5"/>
          <w:w w:val="105"/>
          <w:sz w:val="20"/>
        </w:rPr>
        <w:t xml:space="preserve"> </w:t>
      </w:r>
      <w:r w:rsidRPr="00FD40B8">
        <w:rPr>
          <w:i/>
          <w:color w:val="131727" w:themeColor="text1"/>
          <w:w w:val="105"/>
          <w:sz w:val="20"/>
        </w:rPr>
        <w:t>further</w:t>
      </w:r>
      <w:r w:rsidRPr="00FD40B8">
        <w:rPr>
          <w:i/>
          <w:color w:val="131727" w:themeColor="text1"/>
          <w:spacing w:val="-7"/>
          <w:w w:val="105"/>
          <w:sz w:val="20"/>
        </w:rPr>
        <w:t xml:space="preserve"> </w:t>
      </w:r>
      <w:r w:rsidRPr="00FD40B8">
        <w:rPr>
          <w:i/>
          <w:color w:val="131727" w:themeColor="text1"/>
          <w:w w:val="105"/>
          <w:sz w:val="20"/>
        </w:rPr>
        <w:t>note</w:t>
      </w:r>
      <w:r w:rsidRPr="00FD40B8">
        <w:rPr>
          <w:i/>
          <w:color w:val="131727" w:themeColor="text1"/>
          <w:spacing w:val="-5"/>
          <w:w w:val="105"/>
          <w:sz w:val="20"/>
        </w:rPr>
        <w:t xml:space="preserve"> </w:t>
      </w:r>
      <w:r w:rsidRPr="00FD40B8">
        <w:rPr>
          <w:i/>
          <w:color w:val="131727" w:themeColor="text1"/>
          <w:w w:val="105"/>
          <w:sz w:val="20"/>
        </w:rPr>
        <w:t>on</w:t>
      </w:r>
      <w:r w:rsidRPr="00FD40B8">
        <w:rPr>
          <w:i/>
          <w:color w:val="131727" w:themeColor="text1"/>
          <w:spacing w:val="-7"/>
          <w:w w:val="105"/>
          <w:sz w:val="20"/>
        </w:rPr>
        <w:t xml:space="preserve"> </w:t>
      </w:r>
      <w:r w:rsidRPr="00FD40B8">
        <w:rPr>
          <w:i/>
          <w:color w:val="131727" w:themeColor="text1"/>
          <w:w w:val="105"/>
          <w:sz w:val="20"/>
        </w:rPr>
        <w:t>our</w:t>
      </w:r>
      <w:r w:rsidRPr="00FD40B8">
        <w:rPr>
          <w:i/>
          <w:color w:val="131727" w:themeColor="text1"/>
          <w:spacing w:val="-6"/>
          <w:w w:val="105"/>
          <w:sz w:val="20"/>
        </w:rPr>
        <w:t xml:space="preserve"> </w:t>
      </w:r>
      <w:r w:rsidRPr="00FD40B8">
        <w:rPr>
          <w:i/>
          <w:color w:val="131727" w:themeColor="text1"/>
          <w:spacing w:val="-2"/>
          <w:w w:val="105"/>
          <w:sz w:val="20"/>
        </w:rPr>
        <w:t>methodology</w:t>
      </w:r>
    </w:p>
    <w:p w14:paraId="6B13E20B" w14:textId="77777777" w:rsidR="00811887" w:rsidRPr="00FD40B8" w:rsidRDefault="00811887" w:rsidP="00811887">
      <w:pPr>
        <w:pStyle w:val="BodyText"/>
        <w:spacing w:before="39" w:line="273" w:lineRule="auto"/>
        <w:ind w:left="508" w:right="598"/>
        <w:rPr>
          <w:color w:val="131727" w:themeColor="text1"/>
        </w:rPr>
      </w:pPr>
      <w:r w:rsidRPr="00FD40B8">
        <w:rPr>
          <w:color w:val="131727" w:themeColor="text1"/>
          <w:w w:val="110"/>
        </w:rPr>
        <w:t>Our analysis is primarily based on 2021 Census data (and 2018-2019 NATSIHS) and gives a good indication</w:t>
      </w:r>
      <w:r w:rsidRPr="00FD40B8">
        <w:rPr>
          <w:color w:val="131727" w:themeColor="text1"/>
          <w:spacing w:val="-5"/>
          <w:w w:val="110"/>
        </w:rPr>
        <w:t xml:space="preserve"> </w:t>
      </w:r>
      <w:r w:rsidRPr="00FD40B8">
        <w:rPr>
          <w:color w:val="131727" w:themeColor="text1"/>
          <w:w w:val="110"/>
        </w:rPr>
        <w:t>of</w:t>
      </w:r>
      <w:r w:rsidRPr="00FD40B8">
        <w:rPr>
          <w:color w:val="131727" w:themeColor="text1"/>
          <w:spacing w:val="-4"/>
          <w:w w:val="110"/>
        </w:rPr>
        <w:t xml:space="preserve"> </w:t>
      </w:r>
      <w:r w:rsidRPr="00FD40B8">
        <w:rPr>
          <w:color w:val="131727" w:themeColor="text1"/>
          <w:w w:val="110"/>
        </w:rPr>
        <w:t>the</w:t>
      </w:r>
      <w:r w:rsidRPr="00FD40B8">
        <w:rPr>
          <w:color w:val="131727" w:themeColor="text1"/>
          <w:spacing w:val="-5"/>
          <w:w w:val="110"/>
        </w:rPr>
        <w:t xml:space="preserve"> </w:t>
      </w:r>
      <w:r w:rsidRPr="00FD40B8">
        <w:rPr>
          <w:color w:val="131727" w:themeColor="text1"/>
          <w:w w:val="110"/>
        </w:rPr>
        <w:t>picture</w:t>
      </w:r>
      <w:r w:rsidRPr="00FD40B8">
        <w:rPr>
          <w:color w:val="131727" w:themeColor="text1"/>
          <w:spacing w:val="-10"/>
          <w:w w:val="110"/>
        </w:rPr>
        <w:t xml:space="preserve"> </w:t>
      </w:r>
      <w:r w:rsidRPr="00FD40B8">
        <w:rPr>
          <w:color w:val="131727" w:themeColor="text1"/>
          <w:w w:val="110"/>
        </w:rPr>
        <w:t>of</w:t>
      </w:r>
      <w:r w:rsidRPr="00FD40B8">
        <w:rPr>
          <w:color w:val="131727" w:themeColor="text1"/>
          <w:spacing w:val="-8"/>
          <w:w w:val="110"/>
        </w:rPr>
        <w:t xml:space="preserve"> </w:t>
      </w:r>
      <w:r w:rsidRPr="00FD40B8">
        <w:rPr>
          <w:color w:val="131727" w:themeColor="text1"/>
          <w:w w:val="110"/>
        </w:rPr>
        <w:t>need</w:t>
      </w:r>
      <w:r w:rsidRPr="00FD40B8">
        <w:rPr>
          <w:color w:val="131727" w:themeColor="text1"/>
          <w:spacing w:val="-5"/>
          <w:w w:val="110"/>
        </w:rPr>
        <w:t xml:space="preserve"> </w:t>
      </w:r>
      <w:r w:rsidRPr="00FD40B8">
        <w:rPr>
          <w:color w:val="131727" w:themeColor="text1"/>
          <w:w w:val="110"/>
        </w:rPr>
        <w:t>at</w:t>
      </w:r>
      <w:r w:rsidRPr="00FD40B8">
        <w:rPr>
          <w:color w:val="131727" w:themeColor="text1"/>
          <w:spacing w:val="-5"/>
          <w:w w:val="110"/>
        </w:rPr>
        <w:t xml:space="preserve"> </w:t>
      </w:r>
      <w:r w:rsidRPr="00FD40B8">
        <w:rPr>
          <w:color w:val="131727" w:themeColor="text1"/>
          <w:w w:val="110"/>
        </w:rPr>
        <w:t>that</w:t>
      </w:r>
      <w:r w:rsidRPr="00FD40B8">
        <w:rPr>
          <w:color w:val="131727" w:themeColor="text1"/>
          <w:spacing w:val="-10"/>
          <w:w w:val="110"/>
        </w:rPr>
        <w:t xml:space="preserve"> </w:t>
      </w:r>
      <w:r w:rsidRPr="00FD40B8">
        <w:rPr>
          <w:color w:val="131727" w:themeColor="text1"/>
          <w:w w:val="110"/>
        </w:rPr>
        <w:t>point</w:t>
      </w:r>
      <w:r w:rsidRPr="00FD40B8">
        <w:rPr>
          <w:color w:val="131727" w:themeColor="text1"/>
          <w:spacing w:val="-10"/>
          <w:w w:val="110"/>
        </w:rPr>
        <w:t xml:space="preserve"> </w:t>
      </w:r>
      <w:r w:rsidRPr="00FD40B8">
        <w:rPr>
          <w:color w:val="131727" w:themeColor="text1"/>
          <w:w w:val="110"/>
        </w:rPr>
        <w:t>in</w:t>
      </w:r>
      <w:r w:rsidRPr="00FD40B8">
        <w:rPr>
          <w:color w:val="131727" w:themeColor="text1"/>
          <w:spacing w:val="-5"/>
          <w:w w:val="110"/>
        </w:rPr>
        <w:t xml:space="preserve"> </w:t>
      </w:r>
      <w:r w:rsidRPr="00FD40B8">
        <w:rPr>
          <w:color w:val="131727" w:themeColor="text1"/>
          <w:w w:val="110"/>
        </w:rPr>
        <w:t>time.</w:t>
      </w:r>
      <w:r w:rsidRPr="00FD40B8">
        <w:rPr>
          <w:color w:val="131727" w:themeColor="text1"/>
          <w:spacing w:val="-10"/>
          <w:w w:val="110"/>
        </w:rPr>
        <w:t xml:space="preserve"> </w:t>
      </w:r>
      <w:r w:rsidRPr="00FD40B8">
        <w:rPr>
          <w:color w:val="131727" w:themeColor="text1"/>
          <w:w w:val="110"/>
        </w:rPr>
        <w:t>However,</w:t>
      </w:r>
      <w:r w:rsidRPr="00FD40B8">
        <w:rPr>
          <w:color w:val="131727" w:themeColor="text1"/>
          <w:spacing w:val="-5"/>
          <w:w w:val="110"/>
        </w:rPr>
        <w:t xml:space="preserve"> </w:t>
      </w:r>
      <w:r w:rsidRPr="00FD40B8">
        <w:rPr>
          <w:color w:val="131727" w:themeColor="text1"/>
          <w:w w:val="110"/>
        </w:rPr>
        <w:t>we</w:t>
      </w:r>
      <w:r w:rsidRPr="00FD40B8">
        <w:rPr>
          <w:color w:val="131727" w:themeColor="text1"/>
          <w:spacing w:val="-5"/>
          <w:w w:val="110"/>
        </w:rPr>
        <w:t xml:space="preserve"> </w:t>
      </w:r>
      <w:r w:rsidRPr="00FD40B8">
        <w:rPr>
          <w:color w:val="131727" w:themeColor="text1"/>
          <w:w w:val="110"/>
        </w:rPr>
        <w:t>note</w:t>
      </w:r>
      <w:r w:rsidRPr="00FD40B8">
        <w:rPr>
          <w:color w:val="131727" w:themeColor="text1"/>
          <w:spacing w:val="-6"/>
          <w:w w:val="110"/>
        </w:rPr>
        <w:t xml:space="preserve"> </w:t>
      </w:r>
      <w:r w:rsidRPr="00FD40B8">
        <w:rPr>
          <w:color w:val="131727" w:themeColor="text1"/>
          <w:w w:val="110"/>
        </w:rPr>
        <w:t>there</w:t>
      </w:r>
      <w:r w:rsidRPr="00FD40B8">
        <w:rPr>
          <w:color w:val="131727" w:themeColor="text1"/>
          <w:spacing w:val="-5"/>
          <w:w w:val="110"/>
        </w:rPr>
        <w:t xml:space="preserve"> </w:t>
      </w:r>
      <w:r w:rsidRPr="00FD40B8">
        <w:rPr>
          <w:color w:val="131727" w:themeColor="text1"/>
          <w:w w:val="110"/>
        </w:rPr>
        <w:t>have</w:t>
      </w:r>
      <w:r w:rsidRPr="00FD40B8">
        <w:rPr>
          <w:color w:val="131727" w:themeColor="text1"/>
          <w:spacing w:val="-10"/>
          <w:w w:val="110"/>
        </w:rPr>
        <w:t xml:space="preserve"> </w:t>
      </w:r>
      <w:r w:rsidRPr="00FD40B8">
        <w:rPr>
          <w:color w:val="131727" w:themeColor="text1"/>
          <w:w w:val="110"/>
        </w:rPr>
        <w:t>been</w:t>
      </w:r>
      <w:r w:rsidRPr="00FD40B8">
        <w:rPr>
          <w:color w:val="131727" w:themeColor="text1"/>
          <w:spacing w:val="-9"/>
          <w:w w:val="110"/>
        </w:rPr>
        <w:t xml:space="preserve"> </w:t>
      </w:r>
      <w:r w:rsidRPr="00FD40B8">
        <w:rPr>
          <w:color w:val="131727" w:themeColor="text1"/>
          <w:w w:val="110"/>
        </w:rPr>
        <w:t>events</w:t>
      </w:r>
      <w:r w:rsidRPr="00FD40B8">
        <w:rPr>
          <w:color w:val="131727" w:themeColor="text1"/>
          <w:spacing w:val="-4"/>
          <w:w w:val="110"/>
        </w:rPr>
        <w:t xml:space="preserve"> </w:t>
      </w:r>
      <w:r w:rsidRPr="00FD40B8">
        <w:rPr>
          <w:color w:val="131727" w:themeColor="text1"/>
          <w:w w:val="110"/>
        </w:rPr>
        <w:t>which are likely to influence results in particular areas (e.g.</w:t>
      </w:r>
      <w:r w:rsidRPr="00FD40B8">
        <w:rPr>
          <w:color w:val="131727" w:themeColor="text1"/>
          <w:spacing w:val="-2"/>
          <w:w w:val="110"/>
        </w:rPr>
        <w:t xml:space="preserve"> </w:t>
      </w:r>
      <w:r w:rsidRPr="00FD40B8">
        <w:rPr>
          <w:color w:val="131727" w:themeColor="text1"/>
          <w:w w:val="110"/>
        </w:rPr>
        <w:t>flooding) that will not</w:t>
      </w:r>
      <w:r w:rsidRPr="00FD40B8">
        <w:rPr>
          <w:color w:val="131727" w:themeColor="text1"/>
          <w:spacing w:val="-2"/>
          <w:w w:val="110"/>
        </w:rPr>
        <w:t xml:space="preserve"> </w:t>
      </w:r>
      <w:r w:rsidRPr="00FD40B8">
        <w:rPr>
          <w:color w:val="131727" w:themeColor="text1"/>
          <w:w w:val="110"/>
        </w:rPr>
        <w:t>be</w:t>
      </w:r>
      <w:r w:rsidRPr="00FD40B8">
        <w:rPr>
          <w:color w:val="131727" w:themeColor="text1"/>
          <w:spacing w:val="-1"/>
          <w:w w:val="110"/>
        </w:rPr>
        <w:t xml:space="preserve"> </w:t>
      </w:r>
      <w:r w:rsidRPr="00FD40B8">
        <w:rPr>
          <w:color w:val="131727" w:themeColor="text1"/>
          <w:w w:val="110"/>
        </w:rPr>
        <w:t>included</w:t>
      </w:r>
      <w:r w:rsidRPr="00FD40B8">
        <w:rPr>
          <w:color w:val="131727" w:themeColor="text1"/>
          <w:spacing w:val="-2"/>
          <w:w w:val="110"/>
        </w:rPr>
        <w:t xml:space="preserve"> </w:t>
      </w:r>
      <w:r w:rsidRPr="00FD40B8">
        <w:rPr>
          <w:color w:val="131727" w:themeColor="text1"/>
          <w:w w:val="110"/>
        </w:rPr>
        <w:t>in the data.</w:t>
      </w:r>
    </w:p>
    <w:p w14:paraId="74D3B721" w14:textId="77777777" w:rsidR="00811887" w:rsidRPr="00FD40B8" w:rsidRDefault="00811887" w:rsidP="00811887">
      <w:pPr>
        <w:pStyle w:val="BodyText"/>
        <w:spacing w:before="5" w:line="273" w:lineRule="auto"/>
        <w:ind w:left="508" w:right="532"/>
        <w:rPr>
          <w:color w:val="131727" w:themeColor="text1"/>
        </w:rPr>
      </w:pPr>
      <w:r w:rsidRPr="00FD40B8">
        <w:rPr>
          <w:color w:val="131727" w:themeColor="text1"/>
          <w:w w:val="110"/>
        </w:rPr>
        <w:t>Updating the</w:t>
      </w:r>
      <w:r w:rsidRPr="00FD40B8">
        <w:rPr>
          <w:color w:val="131727" w:themeColor="text1"/>
          <w:spacing w:val="-4"/>
          <w:w w:val="110"/>
        </w:rPr>
        <w:t xml:space="preserve"> </w:t>
      </w:r>
      <w:r w:rsidRPr="00FD40B8">
        <w:rPr>
          <w:color w:val="131727" w:themeColor="text1"/>
          <w:w w:val="110"/>
        </w:rPr>
        <w:t>figures</w:t>
      </w:r>
      <w:r w:rsidRPr="00FD40B8">
        <w:rPr>
          <w:color w:val="131727" w:themeColor="text1"/>
          <w:spacing w:val="-2"/>
          <w:w w:val="110"/>
        </w:rPr>
        <w:t xml:space="preserve"> </w:t>
      </w:r>
      <w:r w:rsidRPr="00FD40B8">
        <w:rPr>
          <w:color w:val="131727" w:themeColor="text1"/>
          <w:w w:val="110"/>
        </w:rPr>
        <w:t>included</w:t>
      </w:r>
      <w:r w:rsidRPr="00FD40B8">
        <w:rPr>
          <w:color w:val="131727" w:themeColor="text1"/>
          <w:spacing w:val="-4"/>
          <w:w w:val="110"/>
        </w:rPr>
        <w:t xml:space="preserve"> </w:t>
      </w:r>
      <w:r w:rsidRPr="00FD40B8">
        <w:rPr>
          <w:color w:val="131727" w:themeColor="text1"/>
          <w:w w:val="110"/>
        </w:rPr>
        <w:t>in this report based</w:t>
      </w:r>
      <w:r w:rsidRPr="00FD40B8">
        <w:rPr>
          <w:color w:val="131727" w:themeColor="text1"/>
          <w:spacing w:val="-4"/>
          <w:w w:val="110"/>
        </w:rPr>
        <w:t xml:space="preserve"> </w:t>
      </w:r>
      <w:r w:rsidRPr="00FD40B8">
        <w:rPr>
          <w:color w:val="131727" w:themeColor="text1"/>
          <w:w w:val="110"/>
        </w:rPr>
        <w:t>on additional</w:t>
      </w:r>
      <w:r w:rsidRPr="00FD40B8">
        <w:rPr>
          <w:color w:val="131727" w:themeColor="text1"/>
          <w:spacing w:val="-2"/>
          <w:w w:val="110"/>
        </w:rPr>
        <w:t xml:space="preserve"> </w:t>
      </w:r>
      <w:r w:rsidRPr="00FD40B8">
        <w:rPr>
          <w:color w:val="131727" w:themeColor="text1"/>
          <w:w w:val="110"/>
        </w:rPr>
        <w:t>data</w:t>
      </w:r>
      <w:r w:rsidRPr="00FD40B8">
        <w:rPr>
          <w:color w:val="131727" w:themeColor="text1"/>
          <w:spacing w:val="-1"/>
          <w:w w:val="110"/>
        </w:rPr>
        <w:t xml:space="preserve"> </w:t>
      </w:r>
      <w:r w:rsidRPr="00FD40B8">
        <w:rPr>
          <w:color w:val="131727" w:themeColor="text1"/>
          <w:w w:val="110"/>
        </w:rPr>
        <w:t>such as population growth, changes in rates of homelessness, etc. is also challenging due to changes to the number of people identifying as Aboriginal and/or Torres Strait Islander person over time.</w:t>
      </w:r>
    </w:p>
    <w:p w14:paraId="792565FF" w14:textId="77777777" w:rsidR="00811887" w:rsidRPr="00FD40B8" w:rsidRDefault="00811887" w:rsidP="00811887">
      <w:pPr>
        <w:pStyle w:val="BodyText"/>
        <w:rPr>
          <w:color w:val="131727" w:themeColor="text1"/>
        </w:rPr>
      </w:pPr>
    </w:p>
    <w:p w14:paraId="2AC6CEF7" w14:textId="77777777" w:rsidR="00811887" w:rsidRPr="00FD40B8" w:rsidRDefault="00811887" w:rsidP="00811887">
      <w:pPr>
        <w:pStyle w:val="BodyText"/>
        <w:rPr>
          <w:color w:val="131727" w:themeColor="text1"/>
        </w:rPr>
      </w:pPr>
    </w:p>
    <w:p w14:paraId="27FE9FCA" w14:textId="77777777" w:rsidR="00811887" w:rsidRPr="00FD40B8" w:rsidRDefault="00811887" w:rsidP="00811887">
      <w:pPr>
        <w:pStyle w:val="BodyText"/>
        <w:rPr>
          <w:color w:val="131727" w:themeColor="text1"/>
        </w:rPr>
      </w:pPr>
    </w:p>
    <w:p w14:paraId="6E44DBDA" w14:textId="77777777" w:rsidR="00811887" w:rsidRPr="00FD40B8" w:rsidRDefault="00811887" w:rsidP="00811887">
      <w:pPr>
        <w:pStyle w:val="BodyText"/>
        <w:rPr>
          <w:color w:val="131727" w:themeColor="text1"/>
        </w:rPr>
      </w:pPr>
    </w:p>
    <w:p w14:paraId="62B3215F" w14:textId="77777777" w:rsidR="00811887" w:rsidRPr="00FD40B8" w:rsidRDefault="00811887" w:rsidP="00811887">
      <w:pPr>
        <w:pStyle w:val="BodyText"/>
        <w:rPr>
          <w:color w:val="131727" w:themeColor="text1"/>
        </w:rPr>
      </w:pPr>
    </w:p>
    <w:p w14:paraId="0D141800" w14:textId="77777777" w:rsidR="00811887" w:rsidRPr="00FD40B8" w:rsidRDefault="00811887" w:rsidP="00811887">
      <w:pPr>
        <w:pStyle w:val="BodyText"/>
        <w:rPr>
          <w:color w:val="131727" w:themeColor="text1"/>
        </w:rPr>
      </w:pPr>
    </w:p>
    <w:p w14:paraId="56E96D59" w14:textId="77777777" w:rsidR="00811887" w:rsidRPr="00FD40B8" w:rsidRDefault="00811887" w:rsidP="00811887">
      <w:pPr>
        <w:pStyle w:val="BodyText"/>
        <w:rPr>
          <w:color w:val="131727" w:themeColor="text1"/>
        </w:rPr>
      </w:pPr>
    </w:p>
    <w:p w14:paraId="5414D5C2" w14:textId="77777777" w:rsidR="00811887" w:rsidRPr="00FD40B8" w:rsidRDefault="00811887" w:rsidP="00811887">
      <w:pPr>
        <w:pStyle w:val="BodyText"/>
        <w:rPr>
          <w:color w:val="131727" w:themeColor="text1"/>
        </w:rPr>
      </w:pPr>
    </w:p>
    <w:p w14:paraId="3E5958EE" w14:textId="77777777" w:rsidR="00811887" w:rsidRPr="00FD40B8" w:rsidRDefault="00811887" w:rsidP="00811887">
      <w:pPr>
        <w:pStyle w:val="BodyText"/>
        <w:rPr>
          <w:color w:val="131727" w:themeColor="text1"/>
        </w:rPr>
      </w:pPr>
    </w:p>
    <w:p w14:paraId="04B57A0E" w14:textId="77777777" w:rsidR="00811887" w:rsidRPr="00FD40B8" w:rsidRDefault="00811887" w:rsidP="00811887">
      <w:pPr>
        <w:pStyle w:val="BodyText"/>
        <w:rPr>
          <w:color w:val="131727" w:themeColor="text1"/>
        </w:rPr>
      </w:pPr>
    </w:p>
    <w:p w14:paraId="41182B86" w14:textId="77777777" w:rsidR="00811887" w:rsidRPr="00FD40B8" w:rsidRDefault="00811887" w:rsidP="00811887">
      <w:pPr>
        <w:pStyle w:val="BodyText"/>
        <w:rPr>
          <w:color w:val="131727" w:themeColor="text1"/>
        </w:rPr>
      </w:pPr>
    </w:p>
    <w:p w14:paraId="574A959C" w14:textId="77777777" w:rsidR="00811887" w:rsidRPr="00FD40B8" w:rsidRDefault="00811887" w:rsidP="00811887">
      <w:pPr>
        <w:pStyle w:val="BodyText"/>
        <w:rPr>
          <w:color w:val="131727" w:themeColor="text1"/>
        </w:rPr>
      </w:pPr>
    </w:p>
    <w:p w14:paraId="635A6B05" w14:textId="77777777" w:rsidR="00811887" w:rsidRPr="00FD40B8" w:rsidRDefault="00811887" w:rsidP="00811887">
      <w:pPr>
        <w:pStyle w:val="BodyText"/>
        <w:rPr>
          <w:color w:val="131727" w:themeColor="text1"/>
        </w:rPr>
      </w:pPr>
    </w:p>
    <w:p w14:paraId="1EC8877E" w14:textId="77777777" w:rsidR="00811887" w:rsidRPr="00FD40B8" w:rsidRDefault="00811887" w:rsidP="00811887">
      <w:pPr>
        <w:pStyle w:val="BodyText"/>
        <w:rPr>
          <w:color w:val="131727" w:themeColor="text1"/>
        </w:rPr>
      </w:pPr>
    </w:p>
    <w:p w14:paraId="0E02BD1A" w14:textId="77777777" w:rsidR="00811887" w:rsidRPr="00FD40B8" w:rsidRDefault="00811887" w:rsidP="00811887">
      <w:pPr>
        <w:pStyle w:val="BodyText"/>
        <w:rPr>
          <w:color w:val="131727" w:themeColor="text1"/>
        </w:rPr>
      </w:pPr>
    </w:p>
    <w:p w14:paraId="1A1D3722" w14:textId="77777777" w:rsidR="00811887" w:rsidRPr="00FD40B8" w:rsidRDefault="00811887" w:rsidP="00811887">
      <w:pPr>
        <w:pStyle w:val="BodyText"/>
        <w:rPr>
          <w:color w:val="131727" w:themeColor="text1"/>
        </w:rPr>
      </w:pPr>
    </w:p>
    <w:p w14:paraId="6DD8DF07" w14:textId="77777777" w:rsidR="00811887" w:rsidRPr="00FD40B8" w:rsidRDefault="00811887" w:rsidP="00811887">
      <w:pPr>
        <w:pStyle w:val="BodyText"/>
        <w:rPr>
          <w:color w:val="131727" w:themeColor="text1"/>
        </w:rPr>
      </w:pPr>
    </w:p>
    <w:p w14:paraId="33F0FAEB" w14:textId="77777777" w:rsidR="00811887" w:rsidRPr="00FD40B8" w:rsidRDefault="00811887" w:rsidP="00811887">
      <w:pPr>
        <w:pStyle w:val="BodyText"/>
        <w:rPr>
          <w:color w:val="131727" w:themeColor="text1"/>
        </w:rPr>
      </w:pPr>
    </w:p>
    <w:p w14:paraId="3ED6C816" w14:textId="77777777" w:rsidR="00811887" w:rsidRPr="00FD40B8" w:rsidRDefault="00811887" w:rsidP="00811887">
      <w:pPr>
        <w:pStyle w:val="BodyText"/>
        <w:rPr>
          <w:color w:val="131727" w:themeColor="text1"/>
        </w:rPr>
      </w:pPr>
    </w:p>
    <w:p w14:paraId="50C6CF1B" w14:textId="77777777" w:rsidR="00811887" w:rsidRPr="00FD40B8" w:rsidRDefault="00811887" w:rsidP="00811887">
      <w:pPr>
        <w:pStyle w:val="BodyText"/>
        <w:rPr>
          <w:color w:val="131727" w:themeColor="text1"/>
        </w:rPr>
      </w:pPr>
    </w:p>
    <w:p w14:paraId="760413D9" w14:textId="77777777" w:rsidR="00811887" w:rsidRPr="00FD40B8" w:rsidRDefault="00811887" w:rsidP="00811887">
      <w:pPr>
        <w:pStyle w:val="BodyText"/>
        <w:rPr>
          <w:color w:val="131727" w:themeColor="text1"/>
        </w:rPr>
      </w:pPr>
    </w:p>
    <w:p w14:paraId="157A7242" w14:textId="77777777" w:rsidR="00811887" w:rsidRPr="00FD40B8" w:rsidRDefault="00811887" w:rsidP="00811887">
      <w:pPr>
        <w:pStyle w:val="BodyText"/>
        <w:rPr>
          <w:color w:val="131727" w:themeColor="text1"/>
        </w:rPr>
      </w:pPr>
    </w:p>
    <w:p w14:paraId="157DFC5C" w14:textId="77777777" w:rsidR="00811887" w:rsidRPr="00FD40B8" w:rsidRDefault="00811887" w:rsidP="00811887">
      <w:pPr>
        <w:pStyle w:val="BodyText"/>
        <w:rPr>
          <w:color w:val="131727" w:themeColor="text1"/>
        </w:rPr>
      </w:pPr>
    </w:p>
    <w:p w14:paraId="1D47199C" w14:textId="77777777" w:rsidR="00811887" w:rsidRPr="00FD40B8" w:rsidRDefault="00811887" w:rsidP="00811887">
      <w:pPr>
        <w:pStyle w:val="BodyText"/>
        <w:rPr>
          <w:color w:val="131727" w:themeColor="text1"/>
        </w:rPr>
      </w:pPr>
    </w:p>
    <w:p w14:paraId="4BAE3463" w14:textId="77777777" w:rsidR="00811887" w:rsidRPr="00FD40B8" w:rsidRDefault="00811887" w:rsidP="00811887">
      <w:pPr>
        <w:pStyle w:val="BodyText"/>
        <w:rPr>
          <w:color w:val="131727" w:themeColor="text1"/>
        </w:rPr>
      </w:pPr>
    </w:p>
    <w:p w14:paraId="751C9513" w14:textId="77777777" w:rsidR="00811887" w:rsidRPr="00FD40B8" w:rsidRDefault="00811887" w:rsidP="00811887">
      <w:pPr>
        <w:pStyle w:val="BodyText"/>
        <w:rPr>
          <w:color w:val="131727" w:themeColor="text1"/>
        </w:rPr>
      </w:pPr>
    </w:p>
    <w:p w14:paraId="648FF54F" w14:textId="77777777" w:rsidR="00811887" w:rsidRPr="00FD40B8" w:rsidRDefault="00811887" w:rsidP="00811887">
      <w:pPr>
        <w:pStyle w:val="BodyText"/>
        <w:rPr>
          <w:color w:val="131727" w:themeColor="text1"/>
        </w:rPr>
      </w:pPr>
    </w:p>
    <w:p w14:paraId="01C2B7D6" w14:textId="77777777" w:rsidR="00811887" w:rsidRPr="00FD40B8" w:rsidRDefault="00811887" w:rsidP="00811887">
      <w:pPr>
        <w:pStyle w:val="BodyText"/>
        <w:rPr>
          <w:color w:val="131727" w:themeColor="text1"/>
        </w:rPr>
      </w:pPr>
    </w:p>
    <w:p w14:paraId="261341F1" w14:textId="77777777" w:rsidR="00811887" w:rsidRPr="00FD40B8" w:rsidRDefault="00811887" w:rsidP="00811887">
      <w:pPr>
        <w:pStyle w:val="BodyText"/>
        <w:rPr>
          <w:color w:val="131727" w:themeColor="text1"/>
        </w:rPr>
      </w:pPr>
    </w:p>
    <w:p w14:paraId="4BD5930B" w14:textId="77777777" w:rsidR="00811887" w:rsidRPr="00FD40B8" w:rsidRDefault="00811887" w:rsidP="00811887">
      <w:pPr>
        <w:pStyle w:val="BodyText"/>
        <w:rPr>
          <w:color w:val="131727" w:themeColor="text1"/>
        </w:rPr>
      </w:pPr>
    </w:p>
    <w:p w14:paraId="5B76EB54" w14:textId="77777777" w:rsidR="00811887" w:rsidRPr="00FD40B8" w:rsidRDefault="00811887" w:rsidP="00811887">
      <w:pPr>
        <w:pStyle w:val="BodyText"/>
        <w:rPr>
          <w:color w:val="131727" w:themeColor="text1"/>
        </w:rPr>
      </w:pPr>
    </w:p>
    <w:p w14:paraId="7C2EE9A7" w14:textId="77777777" w:rsidR="00811887" w:rsidRPr="00FD40B8" w:rsidRDefault="00811887" w:rsidP="00811887">
      <w:pPr>
        <w:pStyle w:val="BodyText"/>
        <w:rPr>
          <w:color w:val="131727" w:themeColor="text1"/>
        </w:rPr>
      </w:pPr>
    </w:p>
    <w:p w14:paraId="2EC69A57" w14:textId="77777777" w:rsidR="00811887" w:rsidRPr="00FD40B8" w:rsidRDefault="00811887" w:rsidP="00811887">
      <w:pPr>
        <w:pStyle w:val="BodyText"/>
        <w:rPr>
          <w:color w:val="131727" w:themeColor="text1"/>
        </w:rPr>
      </w:pPr>
    </w:p>
    <w:p w14:paraId="141BBA06" w14:textId="77777777" w:rsidR="00811887" w:rsidRPr="00FD40B8" w:rsidRDefault="00811887" w:rsidP="00811887">
      <w:pPr>
        <w:pStyle w:val="BodyText"/>
        <w:rPr>
          <w:color w:val="131727" w:themeColor="text1"/>
        </w:rPr>
      </w:pPr>
    </w:p>
    <w:p w14:paraId="06BC376C" w14:textId="77777777" w:rsidR="00811887" w:rsidRPr="00FD40B8" w:rsidRDefault="00811887" w:rsidP="00811887">
      <w:pPr>
        <w:pStyle w:val="BodyText"/>
        <w:spacing w:before="154"/>
        <w:rPr>
          <w:color w:val="131727" w:themeColor="text1"/>
        </w:rPr>
      </w:pPr>
      <w:r w:rsidRPr="00FD40B8">
        <w:rPr>
          <w:noProof/>
          <w:color w:val="131727" w:themeColor="text1"/>
        </w:rPr>
        <mc:AlternateContent>
          <mc:Choice Requires="wps">
            <w:drawing>
              <wp:anchor distT="0" distB="0" distL="0" distR="0" simplePos="0" relativeHeight="251766784" behindDoc="1" locked="0" layoutInCell="1" allowOverlap="1" wp14:anchorId="5D07CCF6" wp14:editId="0F4EDE4D">
                <wp:simplePos x="0" y="0"/>
                <wp:positionH relativeFrom="page">
                  <wp:posOffset>792784</wp:posOffset>
                </wp:positionH>
                <wp:positionV relativeFrom="paragraph">
                  <wp:posOffset>268530</wp:posOffset>
                </wp:positionV>
                <wp:extent cx="1830070" cy="6350"/>
                <wp:effectExtent l="0" t="0" r="0" b="0"/>
                <wp:wrapTopAndBottom/>
                <wp:docPr id="201" name="Graphic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6"/>
                              </a:lnTo>
                              <a:lnTo>
                                <a:pt x="1829689" y="6096"/>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F5A95" id="Graphic 201" o:spid="_x0000_s1026" alt="&quot;&quot;" style="position:absolute;margin-left:62.4pt;margin-top:21.15pt;width:144.1pt;height:.5pt;z-index:-25154969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" path="m1829689,l,,,6096r1829689,l1829689,xe" fillcolor="black" stroked="f">
                <v:path arrowok="t"/>
                <w10:wrap type="topAndBottom" anchorx="page"/>
              </v:shape>
            </w:pict>
          </mc:Fallback>
        </mc:AlternateContent>
      </w:r>
    </w:p>
    <w:p w14:paraId="7DA6E965" w14:textId="77777777" w:rsidR="00811887" w:rsidRPr="00FD40B8" w:rsidRDefault="00811887" w:rsidP="00811887">
      <w:pPr>
        <w:spacing w:before="118" w:line="268" w:lineRule="auto"/>
        <w:ind w:left="508" w:right="598"/>
        <w:rPr>
          <w:color w:val="131727" w:themeColor="text1"/>
          <w:sz w:val="16"/>
        </w:rPr>
      </w:pPr>
      <w:bookmarkStart w:id="217" w:name="_bookmark106"/>
      <w:bookmarkEnd w:id="217"/>
      <w:r w:rsidRPr="00FD40B8">
        <w:rPr>
          <w:color w:val="131727" w:themeColor="text1"/>
          <w:w w:val="105"/>
          <w:position w:val="6"/>
          <w:sz w:val="10"/>
        </w:rPr>
        <w:t>87</w:t>
      </w:r>
      <w:r w:rsidRPr="00FD40B8">
        <w:rPr>
          <w:color w:val="131727" w:themeColor="text1"/>
          <w:spacing w:val="40"/>
          <w:w w:val="105"/>
          <w:position w:val="6"/>
          <w:sz w:val="10"/>
        </w:rPr>
        <w:t xml:space="preserve"> </w:t>
      </w:r>
      <w:r w:rsidRPr="00FD40B8">
        <w:rPr>
          <w:color w:val="131727" w:themeColor="text1"/>
          <w:w w:val="105"/>
          <w:sz w:val="16"/>
        </w:rPr>
        <w:t>Though</w:t>
      </w:r>
      <w:r w:rsidRPr="00FD40B8">
        <w:rPr>
          <w:color w:val="131727" w:themeColor="text1"/>
          <w:spacing w:val="30"/>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ABS</w:t>
      </w:r>
      <w:r w:rsidRPr="00FD40B8">
        <w:rPr>
          <w:color w:val="131727" w:themeColor="text1"/>
          <w:spacing w:val="25"/>
          <w:w w:val="105"/>
          <w:sz w:val="16"/>
        </w:rPr>
        <w:t xml:space="preserve"> </w:t>
      </w:r>
      <w:r w:rsidRPr="00FD40B8">
        <w:rPr>
          <w:color w:val="131727" w:themeColor="text1"/>
          <w:w w:val="105"/>
          <w:sz w:val="16"/>
        </w:rPr>
        <w:t>notes</w:t>
      </w:r>
      <w:r w:rsidRPr="00FD40B8">
        <w:rPr>
          <w:color w:val="131727" w:themeColor="text1"/>
          <w:spacing w:val="24"/>
          <w:w w:val="105"/>
          <w:sz w:val="16"/>
        </w:rPr>
        <w:t xml:space="preserve"> </w:t>
      </w:r>
      <w:r w:rsidRPr="00FD40B8">
        <w:rPr>
          <w:color w:val="131727" w:themeColor="text1"/>
          <w:w w:val="105"/>
          <w:sz w:val="16"/>
        </w:rPr>
        <w:t>that</w:t>
      </w:r>
      <w:r w:rsidRPr="00FD40B8">
        <w:rPr>
          <w:color w:val="131727" w:themeColor="text1"/>
          <w:spacing w:val="25"/>
          <w:w w:val="105"/>
          <w:sz w:val="16"/>
        </w:rPr>
        <w:t xml:space="preserve"> </w:t>
      </w:r>
      <w:r w:rsidRPr="00FD40B8">
        <w:rPr>
          <w:color w:val="131727" w:themeColor="text1"/>
          <w:w w:val="105"/>
          <w:sz w:val="16"/>
        </w:rPr>
        <w:t>between</w:t>
      </w:r>
      <w:r w:rsidRPr="00FD40B8">
        <w:rPr>
          <w:color w:val="131727" w:themeColor="text1"/>
          <w:spacing w:val="30"/>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2012-13</w:t>
      </w:r>
      <w:r w:rsidRPr="00FD40B8">
        <w:rPr>
          <w:color w:val="131727" w:themeColor="text1"/>
          <w:spacing w:val="27"/>
          <w:w w:val="105"/>
          <w:sz w:val="16"/>
        </w:rPr>
        <w:t xml:space="preserve"> </w:t>
      </w:r>
      <w:r w:rsidRPr="00FD40B8">
        <w:rPr>
          <w:color w:val="131727" w:themeColor="text1"/>
          <w:w w:val="105"/>
          <w:sz w:val="16"/>
        </w:rPr>
        <w:t>and</w:t>
      </w:r>
      <w:r w:rsidRPr="00FD40B8">
        <w:rPr>
          <w:color w:val="131727" w:themeColor="text1"/>
          <w:spacing w:val="28"/>
          <w:w w:val="105"/>
          <w:sz w:val="16"/>
        </w:rPr>
        <w:t xml:space="preserve"> </w:t>
      </w:r>
      <w:r w:rsidRPr="00FD40B8">
        <w:rPr>
          <w:color w:val="131727" w:themeColor="text1"/>
          <w:w w:val="105"/>
          <w:sz w:val="16"/>
        </w:rPr>
        <w:t>the</w:t>
      </w:r>
      <w:r w:rsidRPr="00FD40B8">
        <w:rPr>
          <w:color w:val="131727" w:themeColor="text1"/>
          <w:spacing w:val="18"/>
          <w:w w:val="105"/>
          <w:sz w:val="16"/>
        </w:rPr>
        <w:t xml:space="preserve"> </w:t>
      </w:r>
      <w:r w:rsidRPr="00FD40B8">
        <w:rPr>
          <w:color w:val="131727" w:themeColor="text1"/>
          <w:w w:val="105"/>
          <w:sz w:val="16"/>
        </w:rPr>
        <w:t>2018-19</w:t>
      </w:r>
      <w:r w:rsidRPr="00FD40B8">
        <w:rPr>
          <w:color w:val="131727" w:themeColor="text1"/>
          <w:spacing w:val="19"/>
          <w:w w:val="105"/>
          <w:sz w:val="16"/>
        </w:rPr>
        <w:t xml:space="preserve"> </w:t>
      </w:r>
      <w:r w:rsidRPr="00FD40B8">
        <w:rPr>
          <w:color w:val="131727" w:themeColor="text1"/>
          <w:w w:val="105"/>
          <w:sz w:val="16"/>
        </w:rPr>
        <w:t>NATSIHS,</w:t>
      </w:r>
      <w:r w:rsidRPr="00FD40B8">
        <w:rPr>
          <w:color w:val="131727" w:themeColor="text1"/>
          <w:spacing w:val="25"/>
          <w:w w:val="105"/>
          <w:sz w:val="16"/>
        </w:rPr>
        <w:t xml:space="preserve"> </w:t>
      </w:r>
      <w:r w:rsidRPr="00FD40B8">
        <w:rPr>
          <w:color w:val="131727" w:themeColor="text1"/>
          <w:w w:val="105"/>
          <w:sz w:val="16"/>
        </w:rPr>
        <w:t>the</w:t>
      </w:r>
      <w:r w:rsidRPr="00FD40B8">
        <w:rPr>
          <w:color w:val="131727" w:themeColor="text1"/>
          <w:spacing w:val="25"/>
          <w:w w:val="105"/>
          <w:sz w:val="16"/>
        </w:rPr>
        <w:t xml:space="preserve"> </w:t>
      </w:r>
      <w:r w:rsidRPr="00FD40B8">
        <w:rPr>
          <w:color w:val="131727" w:themeColor="text1"/>
          <w:w w:val="105"/>
          <w:sz w:val="16"/>
        </w:rPr>
        <w:t>proportion</w:t>
      </w:r>
      <w:r w:rsidRPr="00FD40B8">
        <w:rPr>
          <w:color w:val="131727" w:themeColor="text1"/>
          <w:spacing w:val="30"/>
          <w:w w:val="105"/>
          <w:sz w:val="16"/>
        </w:rPr>
        <w:t xml:space="preserve"> </w:t>
      </w:r>
      <w:r w:rsidRPr="00FD40B8">
        <w:rPr>
          <w:color w:val="131727" w:themeColor="text1"/>
          <w:w w:val="105"/>
          <w:sz w:val="16"/>
        </w:rPr>
        <w:t>of</w:t>
      </w:r>
      <w:r w:rsidRPr="00FD40B8">
        <w:rPr>
          <w:color w:val="131727" w:themeColor="text1"/>
          <w:spacing w:val="27"/>
          <w:w w:val="105"/>
          <w:sz w:val="16"/>
        </w:rPr>
        <w:t xml:space="preserve"> </w:t>
      </w:r>
      <w:r w:rsidRPr="00FD40B8">
        <w:rPr>
          <w:color w:val="131727" w:themeColor="text1"/>
          <w:w w:val="105"/>
          <w:sz w:val="16"/>
        </w:rPr>
        <w:t>dwellings</w:t>
      </w:r>
      <w:r w:rsidRPr="00FD40B8">
        <w:rPr>
          <w:color w:val="131727" w:themeColor="text1"/>
          <w:spacing w:val="24"/>
          <w:w w:val="105"/>
          <w:sz w:val="16"/>
        </w:rPr>
        <w:t xml:space="preserve"> </w:t>
      </w:r>
      <w:r w:rsidRPr="00FD40B8">
        <w:rPr>
          <w:color w:val="131727" w:themeColor="text1"/>
          <w:w w:val="105"/>
          <w:sz w:val="16"/>
        </w:rPr>
        <w:t>that</w:t>
      </w:r>
      <w:r w:rsidRPr="00FD40B8">
        <w:rPr>
          <w:color w:val="131727" w:themeColor="text1"/>
          <w:spacing w:val="25"/>
          <w:w w:val="105"/>
          <w:sz w:val="16"/>
        </w:rPr>
        <w:t xml:space="preserve"> </w:t>
      </w:r>
      <w:r w:rsidRPr="00FD40B8">
        <w:rPr>
          <w:color w:val="131727" w:themeColor="text1"/>
          <w:w w:val="105"/>
          <w:sz w:val="16"/>
        </w:rPr>
        <w:t>were</w:t>
      </w:r>
      <w:r w:rsidRPr="00FD40B8">
        <w:rPr>
          <w:color w:val="131727" w:themeColor="text1"/>
          <w:spacing w:val="25"/>
          <w:w w:val="105"/>
          <w:sz w:val="16"/>
        </w:rPr>
        <w:t xml:space="preserve"> </w:t>
      </w:r>
      <w:r w:rsidRPr="00FD40B8">
        <w:rPr>
          <w:color w:val="131727" w:themeColor="text1"/>
          <w:w w:val="105"/>
          <w:sz w:val="16"/>
        </w:rPr>
        <w:t>of</w:t>
      </w:r>
      <w:r w:rsidRPr="00FD40B8">
        <w:rPr>
          <w:color w:val="131727" w:themeColor="text1"/>
          <w:spacing w:val="27"/>
          <w:w w:val="105"/>
          <w:sz w:val="16"/>
        </w:rPr>
        <w:t xml:space="preserve"> </w:t>
      </w:r>
      <w:r w:rsidRPr="00FD40B8">
        <w:rPr>
          <w:color w:val="131727" w:themeColor="text1"/>
          <w:w w:val="105"/>
          <w:sz w:val="16"/>
        </w:rPr>
        <w:t>an</w:t>
      </w:r>
      <w:r w:rsidRPr="00FD40B8">
        <w:rPr>
          <w:color w:val="131727" w:themeColor="text1"/>
          <w:spacing w:val="40"/>
          <w:w w:val="105"/>
          <w:sz w:val="16"/>
        </w:rPr>
        <w:t xml:space="preserve"> </w:t>
      </w:r>
      <w:r w:rsidRPr="00FD40B8">
        <w:rPr>
          <w:color w:val="131727" w:themeColor="text1"/>
          <w:w w:val="105"/>
          <w:sz w:val="16"/>
        </w:rPr>
        <w:t>acceptable</w:t>
      </w:r>
      <w:r w:rsidRPr="00FD40B8">
        <w:rPr>
          <w:color w:val="131727" w:themeColor="text1"/>
          <w:spacing w:val="20"/>
          <w:w w:val="105"/>
          <w:sz w:val="16"/>
        </w:rPr>
        <w:t xml:space="preserve"> </w:t>
      </w:r>
      <w:r w:rsidRPr="00FD40B8">
        <w:rPr>
          <w:color w:val="131727" w:themeColor="text1"/>
          <w:w w:val="105"/>
          <w:sz w:val="16"/>
        </w:rPr>
        <w:t>standard</w:t>
      </w:r>
      <w:r w:rsidRPr="00FD40B8">
        <w:rPr>
          <w:color w:val="131727" w:themeColor="text1"/>
          <w:spacing w:val="15"/>
          <w:w w:val="105"/>
          <w:sz w:val="16"/>
        </w:rPr>
        <w:t xml:space="preserve"> </w:t>
      </w:r>
      <w:r w:rsidRPr="00FD40B8">
        <w:rPr>
          <w:color w:val="131727" w:themeColor="text1"/>
          <w:w w:val="105"/>
          <w:sz w:val="16"/>
        </w:rPr>
        <w:t>did</w:t>
      </w:r>
      <w:r w:rsidRPr="00FD40B8">
        <w:rPr>
          <w:color w:val="131727" w:themeColor="text1"/>
          <w:spacing w:val="22"/>
          <w:w w:val="105"/>
          <w:sz w:val="16"/>
        </w:rPr>
        <w:t xml:space="preserve"> </w:t>
      </w:r>
      <w:r w:rsidRPr="00FD40B8">
        <w:rPr>
          <w:color w:val="131727" w:themeColor="text1"/>
          <w:w w:val="105"/>
          <w:sz w:val="16"/>
        </w:rPr>
        <w:t>not</w:t>
      </w:r>
      <w:r w:rsidRPr="00FD40B8">
        <w:rPr>
          <w:color w:val="131727" w:themeColor="text1"/>
          <w:spacing w:val="20"/>
          <w:w w:val="105"/>
          <w:sz w:val="16"/>
        </w:rPr>
        <w:t xml:space="preserve"> </w:t>
      </w:r>
      <w:r w:rsidRPr="00FD40B8">
        <w:rPr>
          <w:color w:val="131727" w:themeColor="text1"/>
          <w:w w:val="105"/>
          <w:sz w:val="16"/>
        </w:rPr>
        <w:t>change</w:t>
      </w:r>
      <w:r w:rsidRPr="00FD40B8">
        <w:rPr>
          <w:color w:val="131727" w:themeColor="text1"/>
          <w:spacing w:val="20"/>
          <w:w w:val="105"/>
          <w:sz w:val="16"/>
        </w:rPr>
        <w:t xml:space="preserve"> </w:t>
      </w:r>
      <w:r w:rsidRPr="00FD40B8">
        <w:rPr>
          <w:color w:val="131727" w:themeColor="text1"/>
          <w:w w:val="105"/>
          <w:sz w:val="16"/>
        </w:rPr>
        <w:t>significantly</w:t>
      </w:r>
      <w:r w:rsidRPr="00FD40B8">
        <w:rPr>
          <w:color w:val="131727" w:themeColor="text1"/>
          <w:spacing w:val="20"/>
          <w:w w:val="105"/>
          <w:sz w:val="16"/>
        </w:rPr>
        <w:t xml:space="preserve"> </w:t>
      </w:r>
      <w:r w:rsidRPr="00FD40B8">
        <w:rPr>
          <w:color w:val="131727" w:themeColor="text1"/>
          <w:w w:val="105"/>
          <w:sz w:val="16"/>
        </w:rPr>
        <w:t>(around</w:t>
      </w:r>
      <w:r w:rsidRPr="00FD40B8">
        <w:rPr>
          <w:color w:val="131727" w:themeColor="text1"/>
          <w:spacing w:val="22"/>
          <w:w w:val="105"/>
          <w:sz w:val="16"/>
        </w:rPr>
        <w:t xml:space="preserve"> </w:t>
      </w:r>
      <w:r w:rsidRPr="00FD40B8">
        <w:rPr>
          <w:color w:val="131727" w:themeColor="text1"/>
          <w:w w:val="105"/>
          <w:sz w:val="16"/>
        </w:rPr>
        <w:t>four</w:t>
      </w:r>
      <w:r w:rsidRPr="00FD40B8">
        <w:rPr>
          <w:color w:val="131727" w:themeColor="text1"/>
          <w:spacing w:val="21"/>
          <w:w w:val="105"/>
          <w:sz w:val="16"/>
        </w:rPr>
        <w:t xml:space="preserve"> </w:t>
      </w:r>
      <w:r w:rsidRPr="00FD40B8">
        <w:rPr>
          <w:color w:val="131727" w:themeColor="text1"/>
          <w:w w:val="105"/>
          <w:sz w:val="16"/>
        </w:rPr>
        <w:t>in</w:t>
      </w:r>
      <w:r w:rsidRPr="00FD40B8">
        <w:rPr>
          <w:color w:val="131727" w:themeColor="text1"/>
          <w:spacing w:val="24"/>
          <w:w w:val="105"/>
          <w:sz w:val="16"/>
        </w:rPr>
        <w:t xml:space="preserve"> </w:t>
      </w:r>
      <w:r w:rsidRPr="00FD40B8">
        <w:rPr>
          <w:color w:val="131727" w:themeColor="text1"/>
          <w:w w:val="105"/>
          <w:sz w:val="16"/>
        </w:rPr>
        <w:t>five</w:t>
      </w:r>
      <w:r w:rsidRPr="00FD40B8">
        <w:rPr>
          <w:color w:val="131727" w:themeColor="text1"/>
          <w:spacing w:val="20"/>
          <w:w w:val="105"/>
          <w:sz w:val="16"/>
        </w:rPr>
        <w:t xml:space="preserve"> </w:t>
      </w:r>
      <w:r w:rsidRPr="00FD40B8">
        <w:rPr>
          <w:color w:val="131727" w:themeColor="text1"/>
          <w:w w:val="105"/>
          <w:sz w:val="16"/>
        </w:rPr>
        <w:t>dwellings)</w:t>
      </w:r>
      <w:r w:rsidRPr="00FD40B8">
        <w:rPr>
          <w:color w:val="131727" w:themeColor="text1"/>
          <w:spacing w:val="20"/>
          <w:w w:val="105"/>
          <w:sz w:val="16"/>
        </w:rPr>
        <w:t xml:space="preserve"> </w:t>
      </w:r>
      <w:r w:rsidRPr="00FD40B8">
        <w:rPr>
          <w:color w:val="131727" w:themeColor="text1"/>
          <w:w w:val="105"/>
          <w:sz w:val="16"/>
        </w:rPr>
        <w:t>nationally</w:t>
      </w:r>
      <w:r w:rsidRPr="00FD40B8">
        <w:rPr>
          <w:color w:val="131727" w:themeColor="text1"/>
          <w:spacing w:val="20"/>
          <w:w w:val="105"/>
          <w:sz w:val="16"/>
        </w:rPr>
        <w:t xml:space="preserve"> </w:t>
      </w:r>
      <w:r w:rsidRPr="00FD40B8">
        <w:rPr>
          <w:color w:val="131727" w:themeColor="text1"/>
          <w:w w:val="105"/>
          <w:sz w:val="16"/>
        </w:rPr>
        <w:t>and</w:t>
      </w:r>
      <w:r w:rsidRPr="00FD40B8">
        <w:rPr>
          <w:color w:val="131727" w:themeColor="text1"/>
          <w:spacing w:val="22"/>
          <w:w w:val="105"/>
          <w:sz w:val="16"/>
        </w:rPr>
        <w:t xml:space="preserve"> </w:t>
      </w:r>
      <w:r w:rsidRPr="00FD40B8">
        <w:rPr>
          <w:color w:val="131727" w:themeColor="text1"/>
          <w:w w:val="105"/>
          <w:sz w:val="16"/>
        </w:rPr>
        <w:t>remained</w:t>
      </w:r>
      <w:r w:rsidRPr="00FD40B8">
        <w:rPr>
          <w:color w:val="131727" w:themeColor="text1"/>
          <w:spacing w:val="22"/>
          <w:w w:val="105"/>
          <w:sz w:val="16"/>
        </w:rPr>
        <w:t xml:space="preserve"> </w:t>
      </w:r>
      <w:r w:rsidRPr="00FD40B8">
        <w:rPr>
          <w:color w:val="131727" w:themeColor="text1"/>
          <w:w w:val="105"/>
          <w:sz w:val="16"/>
        </w:rPr>
        <w:t>stable</w:t>
      </w:r>
      <w:r w:rsidRPr="00FD40B8">
        <w:rPr>
          <w:color w:val="131727" w:themeColor="text1"/>
          <w:spacing w:val="20"/>
          <w:w w:val="105"/>
          <w:sz w:val="16"/>
        </w:rPr>
        <w:t xml:space="preserve"> </w:t>
      </w:r>
      <w:r w:rsidRPr="00FD40B8">
        <w:rPr>
          <w:color w:val="131727" w:themeColor="text1"/>
          <w:w w:val="105"/>
          <w:sz w:val="16"/>
        </w:rPr>
        <w:t>in</w:t>
      </w:r>
      <w:r w:rsidRPr="00FD40B8">
        <w:rPr>
          <w:color w:val="131727" w:themeColor="text1"/>
          <w:spacing w:val="24"/>
          <w:w w:val="105"/>
          <w:sz w:val="16"/>
        </w:rPr>
        <w:t xml:space="preserve"> </w:t>
      </w:r>
      <w:r w:rsidRPr="00FD40B8">
        <w:rPr>
          <w:color w:val="131727" w:themeColor="text1"/>
          <w:w w:val="105"/>
          <w:sz w:val="16"/>
        </w:rPr>
        <w:t>both</w:t>
      </w:r>
      <w:r w:rsidRPr="00FD40B8">
        <w:rPr>
          <w:color w:val="131727" w:themeColor="text1"/>
          <w:spacing w:val="24"/>
          <w:w w:val="105"/>
          <w:sz w:val="16"/>
        </w:rPr>
        <w:t xml:space="preserve"> </w:t>
      </w:r>
      <w:r w:rsidRPr="00FD40B8">
        <w:rPr>
          <w:color w:val="131727" w:themeColor="text1"/>
          <w:w w:val="105"/>
          <w:sz w:val="16"/>
        </w:rPr>
        <w:t>non-remote</w:t>
      </w:r>
      <w:r w:rsidRPr="00FD40B8">
        <w:rPr>
          <w:color w:val="131727" w:themeColor="text1"/>
          <w:spacing w:val="40"/>
          <w:w w:val="105"/>
          <w:sz w:val="16"/>
        </w:rPr>
        <w:t xml:space="preserve"> </w:t>
      </w:r>
      <w:r w:rsidRPr="00FD40B8">
        <w:rPr>
          <w:color w:val="131727" w:themeColor="text1"/>
          <w:w w:val="105"/>
          <w:sz w:val="16"/>
        </w:rPr>
        <w:t>and remote areas.</w:t>
      </w:r>
    </w:p>
    <w:p w14:paraId="0754CC9E" w14:textId="77777777" w:rsidR="00811887" w:rsidRPr="00FD40B8" w:rsidRDefault="00811887" w:rsidP="00811887">
      <w:pPr>
        <w:spacing w:line="268" w:lineRule="auto"/>
        <w:rPr>
          <w:color w:val="131727" w:themeColor="text1"/>
          <w:sz w:val="16"/>
        </w:rPr>
        <w:sectPr w:rsidR="00811887" w:rsidRPr="00FD40B8" w:rsidSect="00811887">
          <w:pgSz w:w="11910" w:h="16840"/>
          <w:pgMar w:top="1320" w:right="720" w:bottom="1080" w:left="740" w:header="0" w:footer="805" w:gutter="0"/>
          <w:cols w:space="720"/>
        </w:sectPr>
      </w:pPr>
    </w:p>
    <w:p w14:paraId="5B3A85DD" w14:textId="77777777" w:rsidR="00811887" w:rsidRPr="00FD40B8" w:rsidRDefault="00811887" w:rsidP="00811887">
      <w:pPr>
        <w:spacing w:before="76"/>
        <w:ind w:left="508"/>
        <w:rPr>
          <w:rFonts w:ascii="Book Antiqua"/>
          <w:b/>
          <w:i/>
          <w:color w:val="131727" w:themeColor="text1"/>
        </w:rPr>
      </w:pPr>
      <w:r w:rsidRPr="00FD40B8">
        <w:rPr>
          <w:rFonts w:ascii="Book Antiqua"/>
          <w:b/>
          <w:i/>
          <w:color w:val="131727" w:themeColor="text1"/>
        </w:rPr>
        <w:lastRenderedPageBreak/>
        <w:t>Appendix</w:t>
      </w:r>
      <w:r w:rsidRPr="00FD40B8">
        <w:rPr>
          <w:rFonts w:ascii="Book Antiqua"/>
          <w:b/>
          <w:i/>
          <w:color w:val="131727" w:themeColor="text1"/>
          <w:spacing w:val="-7"/>
        </w:rPr>
        <w:t xml:space="preserve"> </w:t>
      </w:r>
      <w:r w:rsidRPr="00FD40B8">
        <w:rPr>
          <w:rFonts w:ascii="Book Antiqua"/>
          <w:b/>
          <w:i/>
          <w:color w:val="131727" w:themeColor="text1"/>
          <w:spacing w:val="-5"/>
        </w:rPr>
        <w:t>C.</w:t>
      </w:r>
    </w:p>
    <w:p w14:paraId="6F2E5F86" w14:textId="77777777" w:rsidR="00811887" w:rsidRPr="00FD40B8" w:rsidRDefault="00811887" w:rsidP="00811887">
      <w:pPr>
        <w:pStyle w:val="BodyText"/>
        <w:spacing w:before="2"/>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67808" behindDoc="1" locked="0" layoutInCell="1" allowOverlap="1" wp14:anchorId="5FB2D6C9" wp14:editId="6AE6BA4E">
                <wp:simplePos x="0" y="0"/>
                <wp:positionH relativeFrom="page">
                  <wp:posOffset>774496</wp:posOffset>
                </wp:positionH>
                <wp:positionV relativeFrom="paragraph">
                  <wp:posOffset>70596</wp:posOffset>
                </wp:positionV>
                <wp:extent cx="6016625" cy="6350"/>
                <wp:effectExtent l="0" t="0" r="0" b="0"/>
                <wp:wrapTopAndBottom/>
                <wp:docPr id="202" name="Graphic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7580B825" id="Graphic 202" o:spid="_x0000_s1026" alt="&quot;&quot;" style="position:absolute;margin-left:61pt;margin-top:5.55pt;width:473.75pt;height:.5pt;z-index:-251548672;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" path="m6016117,l,,,6096r6016117,l6016117,xe" fillcolor="#4d665b" stroked="f">
                <v:path arrowok="t"/>
                <w10:wrap type="topAndBottom" anchorx="page"/>
              </v:shape>
            </w:pict>
          </mc:Fallback>
        </mc:AlternateContent>
      </w:r>
    </w:p>
    <w:p w14:paraId="61139BA0" w14:textId="77777777" w:rsidR="00811887" w:rsidRPr="00FD40B8" w:rsidRDefault="00811887" w:rsidP="00811887">
      <w:pPr>
        <w:pStyle w:val="BodyText"/>
        <w:spacing w:before="37"/>
        <w:rPr>
          <w:rFonts w:ascii="Book Antiqua"/>
          <w:b/>
          <w:i/>
          <w:color w:val="131727" w:themeColor="text1"/>
          <w:sz w:val="22"/>
        </w:rPr>
      </w:pPr>
    </w:p>
    <w:p w14:paraId="48464462" w14:textId="77777777" w:rsidR="00811887" w:rsidRPr="00FD40B8" w:rsidRDefault="00811887" w:rsidP="00811887">
      <w:pPr>
        <w:pStyle w:val="Heading2"/>
        <w:rPr>
          <w:color w:val="131727" w:themeColor="text1"/>
        </w:rPr>
      </w:pPr>
      <w:bookmarkStart w:id="218" w:name="_bookmark107"/>
      <w:bookmarkEnd w:id="218"/>
      <w:r w:rsidRPr="00FD40B8">
        <w:rPr>
          <w:color w:val="131727" w:themeColor="text1"/>
        </w:rPr>
        <w:t>Housing</w:t>
      </w:r>
      <w:r w:rsidRPr="00FD40B8">
        <w:rPr>
          <w:color w:val="131727" w:themeColor="text1"/>
          <w:spacing w:val="61"/>
        </w:rPr>
        <w:t xml:space="preserve"> </w:t>
      </w:r>
      <w:r w:rsidRPr="00FD40B8">
        <w:rPr>
          <w:color w:val="131727" w:themeColor="text1"/>
        </w:rPr>
        <w:t>need</w:t>
      </w:r>
      <w:r w:rsidRPr="00FD40B8">
        <w:rPr>
          <w:color w:val="131727" w:themeColor="text1"/>
          <w:spacing w:val="62"/>
        </w:rPr>
        <w:t xml:space="preserve"> </w:t>
      </w:r>
      <w:r w:rsidRPr="00FD40B8">
        <w:rPr>
          <w:color w:val="131727" w:themeColor="text1"/>
        </w:rPr>
        <w:t>by</w:t>
      </w:r>
      <w:r w:rsidRPr="00FD40B8">
        <w:rPr>
          <w:color w:val="131727" w:themeColor="text1"/>
          <w:spacing w:val="63"/>
        </w:rPr>
        <w:t xml:space="preserve"> </w:t>
      </w:r>
      <w:r w:rsidRPr="00FD40B8">
        <w:rPr>
          <w:color w:val="131727" w:themeColor="text1"/>
        </w:rPr>
        <w:t>Indigenous</w:t>
      </w:r>
      <w:r w:rsidRPr="00FD40B8">
        <w:rPr>
          <w:color w:val="131727" w:themeColor="text1"/>
          <w:spacing w:val="72"/>
        </w:rPr>
        <w:t xml:space="preserve"> </w:t>
      </w:r>
      <w:r w:rsidRPr="00FD40B8">
        <w:rPr>
          <w:color w:val="131727" w:themeColor="text1"/>
          <w:spacing w:val="-2"/>
        </w:rPr>
        <w:t>Region</w:t>
      </w:r>
    </w:p>
    <w:p w14:paraId="4ABA35B9" w14:textId="77777777" w:rsidR="00811887" w:rsidRDefault="00811887" w:rsidP="00811887">
      <w:pPr>
        <w:pStyle w:val="BodyText"/>
        <w:spacing w:before="10"/>
        <w:rPr>
          <w:rFonts w:ascii="Book Antiqua"/>
          <w:sz w:val="8"/>
        </w:rPr>
      </w:pPr>
    </w:p>
    <w:tbl>
      <w:tblPr>
        <w:tblW w:w="0" w:type="auto"/>
        <w:tblInd w:w="511" w:type="dxa"/>
        <w:tblLayout w:type="fixed"/>
        <w:tblCellMar>
          <w:left w:w="0" w:type="dxa"/>
          <w:right w:w="0" w:type="dxa"/>
        </w:tblCellMar>
        <w:tblLook w:val="01E0" w:firstRow="1" w:lastRow="1" w:firstColumn="1" w:lastColumn="1" w:noHBand="0" w:noVBand="0"/>
      </w:tblPr>
      <w:tblGrid>
        <w:gridCol w:w="4257"/>
        <w:gridCol w:w="958"/>
        <w:gridCol w:w="1013"/>
        <w:gridCol w:w="1013"/>
        <w:gridCol w:w="1073"/>
        <w:gridCol w:w="545"/>
        <w:gridCol w:w="869"/>
      </w:tblGrid>
      <w:tr w:rsidR="00811887" w14:paraId="238EE742" w14:textId="77777777" w:rsidTr="00486E22">
        <w:trPr>
          <w:trHeight w:val="586"/>
        </w:trPr>
        <w:tc>
          <w:tcPr>
            <w:tcW w:w="4257" w:type="dxa"/>
            <w:shd w:val="clear" w:color="auto" w:fill="4D665B"/>
          </w:tcPr>
          <w:p w14:paraId="64ABD70B" w14:textId="77777777" w:rsidR="00811887" w:rsidRDefault="00811887" w:rsidP="00486E22">
            <w:pPr>
              <w:pStyle w:val="TableParagraph"/>
              <w:spacing w:before="74" w:line="240" w:lineRule="auto"/>
              <w:rPr>
                <w:rFonts w:ascii="Book Antiqua"/>
                <w:sz w:val="20"/>
              </w:rPr>
            </w:pPr>
          </w:p>
          <w:p w14:paraId="2F659CDC" w14:textId="77777777" w:rsidR="00811887" w:rsidRDefault="00811887" w:rsidP="00486E22">
            <w:pPr>
              <w:pStyle w:val="TableParagraph"/>
              <w:spacing w:line="243" w:lineRule="exact"/>
              <w:ind w:left="1008"/>
              <w:rPr>
                <w:sz w:val="20"/>
              </w:rPr>
            </w:pPr>
            <w:r>
              <w:rPr>
                <w:color w:val="FFFFFF"/>
                <w:w w:val="110"/>
                <w:sz w:val="20"/>
              </w:rPr>
              <w:t>Indigenous</w:t>
            </w:r>
            <w:r>
              <w:rPr>
                <w:color w:val="FFFFFF"/>
                <w:spacing w:val="11"/>
                <w:w w:val="110"/>
                <w:sz w:val="20"/>
              </w:rPr>
              <w:t xml:space="preserve"> </w:t>
            </w:r>
            <w:r>
              <w:rPr>
                <w:color w:val="FFFFFF"/>
                <w:spacing w:val="-2"/>
                <w:w w:val="110"/>
                <w:sz w:val="20"/>
              </w:rPr>
              <w:t>region</w:t>
            </w:r>
          </w:p>
        </w:tc>
        <w:tc>
          <w:tcPr>
            <w:tcW w:w="4602" w:type="dxa"/>
            <w:gridSpan w:val="5"/>
            <w:shd w:val="clear" w:color="auto" w:fill="4D665B"/>
          </w:tcPr>
          <w:p w14:paraId="683F71EC" w14:textId="77777777" w:rsidR="00811887" w:rsidRDefault="00811887" w:rsidP="00486E22">
            <w:pPr>
              <w:pStyle w:val="TableParagraph"/>
              <w:spacing w:before="217" w:line="240" w:lineRule="auto"/>
              <w:ind w:left="664"/>
              <w:rPr>
                <w:sz w:val="20"/>
              </w:rPr>
            </w:pPr>
            <w:r>
              <w:rPr>
                <w:color w:val="FFFFFF"/>
                <w:w w:val="110"/>
                <w:sz w:val="20"/>
              </w:rPr>
              <w:t>Total</w:t>
            </w:r>
            <w:r>
              <w:rPr>
                <w:color w:val="FFFFFF"/>
                <w:spacing w:val="2"/>
                <w:w w:val="110"/>
                <w:sz w:val="20"/>
              </w:rPr>
              <w:t xml:space="preserve"> </w:t>
            </w:r>
            <w:r>
              <w:rPr>
                <w:color w:val="FFFFFF"/>
                <w:w w:val="110"/>
                <w:sz w:val="20"/>
              </w:rPr>
              <w:t>Number</w:t>
            </w:r>
            <w:r>
              <w:rPr>
                <w:color w:val="FFFFFF"/>
                <w:spacing w:val="-5"/>
                <w:w w:val="110"/>
                <w:sz w:val="20"/>
              </w:rPr>
              <w:t xml:space="preserve"> </w:t>
            </w:r>
            <w:r>
              <w:rPr>
                <w:color w:val="FFFFFF"/>
                <w:w w:val="110"/>
                <w:sz w:val="20"/>
              </w:rPr>
              <w:t>of</w:t>
            </w:r>
            <w:r>
              <w:rPr>
                <w:color w:val="FFFFFF"/>
                <w:spacing w:val="-2"/>
                <w:w w:val="110"/>
                <w:sz w:val="20"/>
              </w:rPr>
              <w:t xml:space="preserve"> </w:t>
            </w:r>
            <w:r>
              <w:rPr>
                <w:color w:val="FFFFFF"/>
                <w:w w:val="110"/>
                <w:sz w:val="20"/>
              </w:rPr>
              <w:t>houses</w:t>
            </w:r>
            <w:r>
              <w:rPr>
                <w:color w:val="FFFFFF"/>
                <w:spacing w:val="3"/>
                <w:w w:val="110"/>
                <w:sz w:val="20"/>
              </w:rPr>
              <w:t xml:space="preserve"> </w:t>
            </w:r>
            <w:r>
              <w:rPr>
                <w:color w:val="FFFFFF"/>
                <w:w w:val="110"/>
                <w:sz w:val="20"/>
              </w:rPr>
              <w:t xml:space="preserve">(by </w:t>
            </w:r>
            <w:r>
              <w:rPr>
                <w:color w:val="FFFFFF"/>
                <w:spacing w:val="-2"/>
                <w:w w:val="110"/>
                <w:sz w:val="20"/>
              </w:rPr>
              <w:t>bedrooms)</w:t>
            </w:r>
          </w:p>
        </w:tc>
        <w:tc>
          <w:tcPr>
            <w:tcW w:w="869" w:type="dxa"/>
            <w:shd w:val="clear" w:color="auto" w:fill="4D665B"/>
          </w:tcPr>
          <w:p w14:paraId="650247F1" w14:textId="77777777" w:rsidR="00811887" w:rsidRDefault="00811887" w:rsidP="00486E22">
            <w:pPr>
              <w:pStyle w:val="TableParagraph"/>
              <w:spacing w:line="240" w:lineRule="auto"/>
              <w:rPr>
                <w:rFonts w:ascii="Times New Roman"/>
                <w:sz w:val="20"/>
              </w:rPr>
            </w:pPr>
          </w:p>
        </w:tc>
      </w:tr>
      <w:tr w:rsidR="00811887" w14:paraId="422509D9" w14:textId="77777777" w:rsidTr="00486E22">
        <w:trPr>
          <w:trHeight w:val="276"/>
        </w:trPr>
        <w:tc>
          <w:tcPr>
            <w:tcW w:w="4257" w:type="dxa"/>
            <w:shd w:val="clear" w:color="auto" w:fill="4D665B"/>
          </w:tcPr>
          <w:p w14:paraId="3C4A885F" w14:textId="77777777" w:rsidR="00811887" w:rsidRDefault="00811887" w:rsidP="00486E22">
            <w:pPr>
              <w:pStyle w:val="TableParagraph"/>
              <w:spacing w:before="39" w:line="228" w:lineRule="exact"/>
              <w:ind w:right="48"/>
              <w:jc w:val="right"/>
              <w:rPr>
                <w:sz w:val="20"/>
              </w:rPr>
            </w:pPr>
            <w:r>
              <w:rPr>
                <w:color w:val="FFFFFF"/>
                <w:spacing w:val="-10"/>
                <w:w w:val="115"/>
                <w:sz w:val="20"/>
              </w:rPr>
              <w:t>1</w:t>
            </w:r>
          </w:p>
        </w:tc>
        <w:tc>
          <w:tcPr>
            <w:tcW w:w="958" w:type="dxa"/>
            <w:shd w:val="clear" w:color="auto" w:fill="4D665B"/>
          </w:tcPr>
          <w:p w14:paraId="125E8399" w14:textId="77777777" w:rsidR="00811887" w:rsidRDefault="00811887" w:rsidP="00486E22">
            <w:pPr>
              <w:pStyle w:val="TableParagraph"/>
              <w:spacing w:before="39" w:line="228" w:lineRule="exact"/>
              <w:ind w:right="-15"/>
              <w:jc w:val="right"/>
              <w:rPr>
                <w:sz w:val="20"/>
              </w:rPr>
            </w:pPr>
            <w:r>
              <w:rPr>
                <w:color w:val="FFFFFF"/>
                <w:spacing w:val="-10"/>
                <w:w w:val="115"/>
                <w:sz w:val="20"/>
              </w:rPr>
              <w:t>2</w:t>
            </w:r>
          </w:p>
        </w:tc>
        <w:tc>
          <w:tcPr>
            <w:tcW w:w="1013" w:type="dxa"/>
            <w:shd w:val="clear" w:color="auto" w:fill="4D665B"/>
          </w:tcPr>
          <w:p w14:paraId="4EEB4B50" w14:textId="77777777" w:rsidR="00811887" w:rsidRDefault="00811887" w:rsidP="00486E22">
            <w:pPr>
              <w:pStyle w:val="TableParagraph"/>
              <w:spacing w:before="39" w:line="228" w:lineRule="exact"/>
              <w:ind w:right="-15"/>
              <w:jc w:val="right"/>
              <w:rPr>
                <w:sz w:val="20"/>
              </w:rPr>
            </w:pPr>
            <w:r>
              <w:rPr>
                <w:color w:val="FFFFFF"/>
                <w:spacing w:val="-10"/>
                <w:w w:val="115"/>
                <w:sz w:val="20"/>
              </w:rPr>
              <w:t>3</w:t>
            </w:r>
          </w:p>
        </w:tc>
        <w:tc>
          <w:tcPr>
            <w:tcW w:w="1013" w:type="dxa"/>
            <w:shd w:val="clear" w:color="auto" w:fill="4D665B"/>
          </w:tcPr>
          <w:p w14:paraId="33B527E3" w14:textId="77777777" w:rsidR="00811887" w:rsidRDefault="00811887" w:rsidP="00486E22">
            <w:pPr>
              <w:pStyle w:val="TableParagraph"/>
              <w:spacing w:before="39" w:line="228" w:lineRule="exact"/>
              <w:ind w:right="-15"/>
              <w:jc w:val="right"/>
              <w:rPr>
                <w:sz w:val="20"/>
              </w:rPr>
            </w:pPr>
            <w:r>
              <w:rPr>
                <w:color w:val="FFFFFF"/>
                <w:spacing w:val="-10"/>
                <w:w w:val="115"/>
                <w:sz w:val="20"/>
              </w:rPr>
              <w:t>4</w:t>
            </w:r>
          </w:p>
        </w:tc>
        <w:tc>
          <w:tcPr>
            <w:tcW w:w="1073" w:type="dxa"/>
            <w:shd w:val="clear" w:color="auto" w:fill="4D665B"/>
          </w:tcPr>
          <w:p w14:paraId="47C7F18D" w14:textId="77777777" w:rsidR="00811887" w:rsidRDefault="00811887" w:rsidP="00486E22">
            <w:pPr>
              <w:pStyle w:val="TableParagraph"/>
              <w:spacing w:before="39" w:line="228" w:lineRule="exact"/>
              <w:ind w:right="48"/>
              <w:jc w:val="right"/>
              <w:rPr>
                <w:sz w:val="20"/>
              </w:rPr>
            </w:pPr>
            <w:r>
              <w:rPr>
                <w:color w:val="FFFFFF"/>
                <w:spacing w:val="-10"/>
                <w:w w:val="115"/>
                <w:sz w:val="20"/>
              </w:rPr>
              <w:t>5</w:t>
            </w:r>
          </w:p>
        </w:tc>
        <w:tc>
          <w:tcPr>
            <w:tcW w:w="545" w:type="dxa"/>
            <w:shd w:val="clear" w:color="auto" w:fill="4D665B"/>
          </w:tcPr>
          <w:p w14:paraId="5C8A9001" w14:textId="77777777" w:rsidR="00811887" w:rsidRDefault="00811887" w:rsidP="00486E22">
            <w:pPr>
              <w:pStyle w:val="TableParagraph"/>
              <w:spacing w:line="240" w:lineRule="auto"/>
              <w:rPr>
                <w:rFonts w:ascii="Times New Roman"/>
                <w:sz w:val="20"/>
              </w:rPr>
            </w:pPr>
          </w:p>
        </w:tc>
        <w:tc>
          <w:tcPr>
            <w:tcW w:w="869" w:type="dxa"/>
            <w:shd w:val="clear" w:color="auto" w:fill="4D665B"/>
          </w:tcPr>
          <w:p w14:paraId="4AC351C7" w14:textId="77777777" w:rsidR="00811887" w:rsidRDefault="00811887" w:rsidP="00486E22">
            <w:pPr>
              <w:pStyle w:val="TableParagraph"/>
              <w:spacing w:before="39" w:line="228" w:lineRule="exact"/>
              <w:ind w:left="96"/>
              <w:rPr>
                <w:i/>
                <w:sz w:val="20"/>
              </w:rPr>
            </w:pPr>
            <w:r>
              <w:rPr>
                <w:i/>
                <w:color w:val="FFFFFF"/>
                <w:spacing w:val="-2"/>
                <w:sz w:val="20"/>
              </w:rPr>
              <w:t>TOTAL</w:t>
            </w:r>
          </w:p>
        </w:tc>
      </w:tr>
      <w:tr w:rsidR="00811887" w14:paraId="32C500E0" w14:textId="77777777" w:rsidTr="00486E22">
        <w:trPr>
          <w:trHeight w:val="242"/>
        </w:trPr>
        <w:tc>
          <w:tcPr>
            <w:tcW w:w="9728" w:type="dxa"/>
            <w:gridSpan w:val="7"/>
            <w:tcBorders>
              <w:right w:val="single" w:sz="4" w:space="0" w:color="000000"/>
            </w:tcBorders>
            <w:shd w:val="clear" w:color="auto" w:fill="AFCAC7"/>
          </w:tcPr>
          <w:p w14:paraId="21F79968" w14:textId="77777777" w:rsidR="00811887" w:rsidRDefault="00811887" w:rsidP="00486E22">
            <w:pPr>
              <w:pStyle w:val="TableParagraph"/>
              <w:spacing w:before="1" w:line="214" w:lineRule="exact"/>
              <w:ind w:left="15" w:right="8"/>
              <w:jc w:val="center"/>
              <w:rPr>
                <w:sz w:val="20"/>
              </w:rPr>
            </w:pPr>
            <w:r w:rsidRPr="00630A63">
              <w:rPr>
                <w:w w:val="110"/>
                <w:sz w:val="20"/>
              </w:rPr>
              <w:t>New</w:t>
            </w:r>
            <w:r w:rsidRPr="00630A63">
              <w:rPr>
                <w:spacing w:val="-4"/>
                <w:w w:val="110"/>
                <w:sz w:val="20"/>
              </w:rPr>
              <w:t xml:space="preserve"> </w:t>
            </w:r>
            <w:r w:rsidRPr="00630A63">
              <w:rPr>
                <w:w w:val="110"/>
                <w:sz w:val="20"/>
              </w:rPr>
              <w:t>South</w:t>
            </w:r>
            <w:r w:rsidRPr="00630A63">
              <w:rPr>
                <w:spacing w:val="-5"/>
                <w:w w:val="110"/>
                <w:sz w:val="20"/>
              </w:rPr>
              <w:t xml:space="preserve"> </w:t>
            </w:r>
            <w:r w:rsidRPr="00630A63">
              <w:rPr>
                <w:spacing w:val="-2"/>
                <w:w w:val="110"/>
                <w:sz w:val="20"/>
              </w:rPr>
              <w:t>Wales</w:t>
            </w:r>
          </w:p>
        </w:tc>
      </w:tr>
      <w:tr w:rsidR="00811887" w14:paraId="31FDD267" w14:textId="77777777" w:rsidTr="00486E22">
        <w:trPr>
          <w:trHeight w:val="232"/>
        </w:trPr>
        <w:tc>
          <w:tcPr>
            <w:tcW w:w="4257" w:type="dxa"/>
          </w:tcPr>
          <w:p w14:paraId="4ABF5FE6" w14:textId="77777777" w:rsidR="00811887" w:rsidRDefault="00811887" w:rsidP="00486E22">
            <w:pPr>
              <w:pStyle w:val="TableParagraph"/>
              <w:spacing w:before="1" w:line="208" w:lineRule="exact"/>
              <w:ind w:left="110"/>
              <w:rPr>
                <w:sz w:val="20"/>
              </w:rPr>
            </w:pPr>
            <w:r>
              <w:rPr>
                <w:spacing w:val="-2"/>
                <w:w w:val="115"/>
                <w:sz w:val="20"/>
              </w:rPr>
              <w:t>Dubbo</w:t>
            </w:r>
          </w:p>
        </w:tc>
        <w:tc>
          <w:tcPr>
            <w:tcW w:w="958" w:type="dxa"/>
          </w:tcPr>
          <w:p w14:paraId="2ACEE22F" w14:textId="77777777" w:rsidR="00811887" w:rsidRDefault="00811887" w:rsidP="00486E22">
            <w:pPr>
              <w:pStyle w:val="TableParagraph"/>
              <w:spacing w:before="1" w:line="208" w:lineRule="exact"/>
              <w:ind w:left="175"/>
              <w:rPr>
                <w:sz w:val="20"/>
              </w:rPr>
            </w:pPr>
            <w:r>
              <w:rPr>
                <w:spacing w:val="-10"/>
                <w:w w:val="115"/>
                <w:sz w:val="20"/>
              </w:rPr>
              <w:t>6</w:t>
            </w:r>
          </w:p>
        </w:tc>
        <w:tc>
          <w:tcPr>
            <w:tcW w:w="1013" w:type="dxa"/>
          </w:tcPr>
          <w:p w14:paraId="5DC7E091" w14:textId="77777777" w:rsidR="00811887" w:rsidRDefault="00811887" w:rsidP="00486E22">
            <w:pPr>
              <w:pStyle w:val="TableParagraph"/>
              <w:spacing w:before="1" w:line="208" w:lineRule="exact"/>
              <w:ind w:left="115"/>
              <w:rPr>
                <w:sz w:val="20"/>
              </w:rPr>
            </w:pPr>
            <w:r>
              <w:rPr>
                <w:spacing w:val="-5"/>
                <w:w w:val="115"/>
                <w:sz w:val="20"/>
              </w:rPr>
              <w:t>37</w:t>
            </w:r>
          </w:p>
        </w:tc>
        <w:tc>
          <w:tcPr>
            <w:tcW w:w="1013" w:type="dxa"/>
          </w:tcPr>
          <w:p w14:paraId="57FEFD0E" w14:textId="77777777" w:rsidR="00811887" w:rsidRDefault="00811887" w:rsidP="00486E22">
            <w:pPr>
              <w:pStyle w:val="TableParagraph"/>
              <w:spacing w:before="1" w:line="208" w:lineRule="exact"/>
              <w:ind w:left="4"/>
              <w:rPr>
                <w:sz w:val="20"/>
              </w:rPr>
            </w:pPr>
            <w:r>
              <w:rPr>
                <w:spacing w:val="-5"/>
                <w:w w:val="115"/>
                <w:sz w:val="20"/>
              </w:rPr>
              <w:t>108</w:t>
            </w:r>
          </w:p>
        </w:tc>
        <w:tc>
          <w:tcPr>
            <w:tcW w:w="1073" w:type="dxa"/>
          </w:tcPr>
          <w:p w14:paraId="6C3EEEE1" w14:textId="77777777" w:rsidR="00811887" w:rsidRDefault="00811887" w:rsidP="00486E22">
            <w:pPr>
              <w:pStyle w:val="TableParagraph"/>
              <w:spacing w:before="1" w:line="208" w:lineRule="exact"/>
              <w:ind w:left="115"/>
              <w:rPr>
                <w:sz w:val="20"/>
              </w:rPr>
            </w:pPr>
            <w:r>
              <w:rPr>
                <w:spacing w:val="-5"/>
                <w:w w:val="115"/>
                <w:sz w:val="20"/>
              </w:rPr>
              <w:t>44</w:t>
            </w:r>
          </w:p>
        </w:tc>
        <w:tc>
          <w:tcPr>
            <w:tcW w:w="545" w:type="dxa"/>
          </w:tcPr>
          <w:p w14:paraId="455F240D" w14:textId="77777777" w:rsidR="00811887" w:rsidRDefault="00811887" w:rsidP="00486E22">
            <w:pPr>
              <w:pStyle w:val="TableParagraph"/>
              <w:spacing w:before="1" w:line="208" w:lineRule="exact"/>
              <w:ind w:right="252"/>
              <w:jc w:val="right"/>
              <w:rPr>
                <w:sz w:val="20"/>
              </w:rPr>
            </w:pPr>
            <w:r>
              <w:rPr>
                <w:spacing w:val="-10"/>
                <w:w w:val="115"/>
                <w:sz w:val="20"/>
              </w:rPr>
              <w:t>8</w:t>
            </w:r>
          </w:p>
        </w:tc>
        <w:tc>
          <w:tcPr>
            <w:tcW w:w="869" w:type="dxa"/>
          </w:tcPr>
          <w:p w14:paraId="6DF6D95E" w14:textId="77777777" w:rsidR="00811887" w:rsidRDefault="00811887" w:rsidP="00486E22">
            <w:pPr>
              <w:pStyle w:val="TableParagraph"/>
              <w:spacing w:before="1" w:line="208" w:lineRule="exact"/>
              <w:ind w:right="98"/>
              <w:jc w:val="right"/>
              <w:rPr>
                <w:sz w:val="20"/>
              </w:rPr>
            </w:pPr>
            <w:r>
              <w:rPr>
                <w:spacing w:val="-5"/>
                <w:w w:val="115"/>
                <w:sz w:val="20"/>
              </w:rPr>
              <w:t>202</w:t>
            </w:r>
          </w:p>
        </w:tc>
      </w:tr>
      <w:tr w:rsidR="00811887" w14:paraId="559BD494" w14:textId="77777777" w:rsidTr="00486E22">
        <w:trPr>
          <w:trHeight w:val="232"/>
        </w:trPr>
        <w:tc>
          <w:tcPr>
            <w:tcW w:w="4257" w:type="dxa"/>
          </w:tcPr>
          <w:p w14:paraId="717D7894" w14:textId="77777777" w:rsidR="00811887" w:rsidRDefault="00811887" w:rsidP="00486E22">
            <w:pPr>
              <w:pStyle w:val="TableParagraph"/>
              <w:spacing w:before="3" w:line="210" w:lineRule="exact"/>
              <w:ind w:left="110"/>
              <w:rPr>
                <w:sz w:val="20"/>
              </w:rPr>
            </w:pPr>
            <w:r>
              <w:rPr>
                <w:w w:val="110"/>
                <w:sz w:val="20"/>
              </w:rPr>
              <w:t xml:space="preserve">North-Eastern </w:t>
            </w:r>
            <w:r>
              <w:rPr>
                <w:spacing w:val="-5"/>
                <w:w w:val="110"/>
                <w:sz w:val="20"/>
              </w:rPr>
              <w:t>NSW</w:t>
            </w:r>
          </w:p>
        </w:tc>
        <w:tc>
          <w:tcPr>
            <w:tcW w:w="958" w:type="dxa"/>
          </w:tcPr>
          <w:p w14:paraId="7587CAAF" w14:textId="77777777" w:rsidR="00811887" w:rsidRDefault="00811887" w:rsidP="00486E22">
            <w:pPr>
              <w:pStyle w:val="TableParagraph"/>
              <w:spacing w:before="3" w:line="210" w:lineRule="exact"/>
              <w:ind w:left="60"/>
              <w:rPr>
                <w:sz w:val="20"/>
              </w:rPr>
            </w:pPr>
            <w:r>
              <w:rPr>
                <w:spacing w:val="-5"/>
                <w:w w:val="115"/>
                <w:sz w:val="20"/>
              </w:rPr>
              <w:t>10</w:t>
            </w:r>
          </w:p>
        </w:tc>
        <w:tc>
          <w:tcPr>
            <w:tcW w:w="1013" w:type="dxa"/>
          </w:tcPr>
          <w:p w14:paraId="7577A4C4" w14:textId="77777777" w:rsidR="00811887" w:rsidRDefault="00811887" w:rsidP="00486E22">
            <w:pPr>
              <w:pStyle w:val="TableParagraph"/>
              <w:spacing w:before="3" w:line="210" w:lineRule="exact"/>
              <w:ind w:left="115"/>
              <w:rPr>
                <w:sz w:val="20"/>
              </w:rPr>
            </w:pPr>
            <w:r>
              <w:rPr>
                <w:spacing w:val="-5"/>
                <w:w w:val="115"/>
                <w:sz w:val="20"/>
              </w:rPr>
              <w:t>62</w:t>
            </w:r>
          </w:p>
        </w:tc>
        <w:tc>
          <w:tcPr>
            <w:tcW w:w="1013" w:type="dxa"/>
          </w:tcPr>
          <w:p w14:paraId="09F8E386" w14:textId="77777777" w:rsidR="00811887" w:rsidRDefault="00811887" w:rsidP="00486E22">
            <w:pPr>
              <w:pStyle w:val="TableParagraph"/>
              <w:spacing w:before="3" w:line="210" w:lineRule="exact"/>
              <w:ind w:left="4"/>
              <w:rPr>
                <w:sz w:val="20"/>
              </w:rPr>
            </w:pPr>
            <w:r>
              <w:rPr>
                <w:spacing w:val="-5"/>
                <w:w w:val="115"/>
                <w:sz w:val="20"/>
              </w:rPr>
              <w:t>184</w:t>
            </w:r>
          </w:p>
        </w:tc>
        <w:tc>
          <w:tcPr>
            <w:tcW w:w="1073" w:type="dxa"/>
          </w:tcPr>
          <w:p w14:paraId="2C3D49F2" w14:textId="77777777" w:rsidR="00811887" w:rsidRDefault="00811887" w:rsidP="00486E22">
            <w:pPr>
              <w:pStyle w:val="TableParagraph"/>
              <w:spacing w:before="3" w:line="210" w:lineRule="exact"/>
              <w:ind w:left="115"/>
              <w:rPr>
                <w:sz w:val="20"/>
              </w:rPr>
            </w:pPr>
            <w:r>
              <w:rPr>
                <w:spacing w:val="-5"/>
                <w:w w:val="115"/>
                <w:sz w:val="20"/>
              </w:rPr>
              <w:t>75</w:t>
            </w:r>
          </w:p>
        </w:tc>
        <w:tc>
          <w:tcPr>
            <w:tcW w:w="545" w:type="dxa"/>
          </w:tcPr>
          <w:p w14:paraId="464AA095" w14:textId="77777777" w:rsidR="00811887" w:rsidRDefault="00811887" w:rsidP="00486E22">
            <w:pPr>
              <w:pStyle w:val="TableParagraph"/>
              <w:spacing w:before="3" w:line="210" w:lineRule="exact"/>
              <w:ind w:right="252"/>
              <w:jc w:val="right"/>
              <w:rPr>
                <w:sz w:val="20"/>
              </w:rPr>
            </w:pPr>
            <w:r>
              <w:rPr>
                <w:spacing w:val="-5"/>
                <w:w w:val="115"/>
                <w:sz w:val="20"/>
              </w:rPr>
              <w:t>13</w:t>
            </w:r>
          </w:p>
        </w:tc>
        <w:tc>
          <w:tcPr>
            <w:tcW w:w="869" w:type="dxa"/>
          </w:tcPr>
          <w:p w14:paraId="37FF3B89" w14:textId="77777777" w:rsidR="00811887" w:rsidRDefault="00811887" w:rsidP="00486E22">
            <w:pPr>
              <w:pStyle w:val="TableParagraph"/>
              <w:spacing w:before="3" w:line="210" w:lineRule="exact"/>
              <w:ind w:right="98"/>
              <w:jc w:val="right"/>
              <w:rPr>
                <w:sz w:val="20"/>
              </w:rPr>
            </w:pPr>
            <w:r>
              <w:rPr>
                <w:spacing w:val="-5"/>
                <w:w w:val="115"/>
                <w:sz w:val="20"/>
              </w:rPr>
              <w:t>344</w:t>
            </w:r>
          </w:p>
        </w:tc>
      </w:tr>
      <w:tr w:rsidR="00811887" w14:paraId="3289E990" w14:textId="77777777" w:rsidTr="00486E22">
        <w:trPr>
          <w:trHeight w:val="235"/>
        </w:trPr>
        <w:tc>
          <w:tcPr>
            <w:tcW w:w="4257" w:type="dxa"/>
          </w:tcPr>
          <w:p w14:paraId="56371B7D" w14:textId="77777777" w:rsidR="00811887" w:rsidRDefault="00811887" w:rsidP="00486E22">
            <w:pPr>
              <w:pStyle w:val="TableParagraph"/>
              <w:spacing w:before="5" w:line="210" w:lineRule="exact"/>
              <w:ind w:left="110"/>
              <w:rPr>
                <w:sz w:val="20"/>
              </w:rPr>
            </w:pPr>
            <w:r>
              <w:rPr>
                <w:spacing w:val="-2"/>
                <w:w w:val="110"/>
                <w:sz w:val="20"/>
              </w:rPr>
              <w:t>North-Western</w:t>
            </w:r>
            <w:r>
              <w:rPr>
                <w:spacing w:val="6"/>
                <w:w w:val="110"/>
                <w:sz w:val="20"/>
              </w:rPr>
              <w:t xml:space="preserve"> </w:t>
            </w:r>
            <w:r>
              <w:rPr>
                <w:spacing w:val="-5"/>
                <w:w w:val="110"/>
                <w:sz w:val="20"/>
              </w:rPr>
              <w:t>NSW</w:t>
            </w:r>
          </w:p>
        </w:tc>
        <w:tc>
          <w:tcPr>
            <w:tcW w:w="958" w:type="dxa"/>
          </w:tcPr>
          <w:p w14:paraId="1B266F91" w14:textId="77777777" w:rsidR="00811887" w:rsidRDefault="00811887" w:rsidP="00486E22">
            <w:pPr>
              <w:pStyle w:val="TableParagraph"/>
              <w:spacing w:before="5" w:line="210" w:lineRule="exact"/>
              <w:ind w:left="175"/>
              <w:rPr>
                <w:sz w:val="20"/>
              </w:rPr>
            </w:pPr>
            <w:r>
              <w:rPr>
                <w:spacing w:val="-10"/>
                <w:w w:val="115"/>
                <w:sz w:val="20"/>
              </w:rPr>
              <w:t>3</w:t>
            </w:r>
          </w:p>
        </w:tc>
        <w:tc>
          <w:tcPr>
            <w:tcW w:w="1013" w:type="dxa"/>
          </w:tcPr>
          <w:p w14:paraId="2C92C965" w14:textId="77777777" w:rsidR="00811887" w:rsidRDefault="00811887" w:rsidP="00486E22">
            <w:pPr>
              <w:pStyle w:val="TableParagraph"/>
              <w:spacing w:before="5" w:line="210" w:lineRule="exact"/>
              <w:ind w:left="115"/>
              <w:rPr>
                <w:sz w:val="20"/>
              </w:rPr>
            </w:pPr>
            <w:r>
              <w:rPr>
                <w:spacing w:val="-5"/>
                <w:w w:val="115"/>
                <w:sz w:val="20"/>
              </w:rPr>
              <w:t>20</w:t>
            </w:r>
          </w:p>
        </w:tc>
        <w:tc>
          <w:tcPr>
            <w:tcW w:w="1013" w:type="dxa"/>
          </w:tcPr>
          <w:p w14:paraId="1644F89E" w14:textId="77777777" w:rsidR="00811887" w:rsidRDefault="00811887" w:rsidP="00486E22">
            <w:pPr>
              <w:pStyle w:val="TableParagraph"/>
              <w:spacing w:before="5" w:line="210" w:lineRule="exact"/>
              <w:ind w:left="115"/>
              <w:rPr>
                <w:sz w:val="20"/>
              </w:rPr>
            </w:pPr>
            <w:r>
              <w:rPr>
                <w:spacing w:val="-5"/>
                <w:w w:val="115"/>
                <w:sz w:val="20"/>
              </w:rPr>
              <w:t>59</w:t>
            </w:r>
          </w:p>
        </w:tc>
        <w:tc>
          <w:tcPr>
            <w:tcW w:w="1073" w:type="dxa"/>
          </w:tcPr>
          <w:p w14:paraId="6F027F77" w14:textId="77777777" w:rsidR="00811887" w:rsidRDefault="00811887" w:rsidP="00486E22">
            <w:pPr>
              <w:pStyle w:val="TableParagraph"/>
              <w:spacing w:before="5" w:line="210" w:lineRule="exact"/>
              <w:ind w:left="115"/>
              <w:rPr>
                <w:sz w:val="20"/>
              </w:rPr>
            </w:pPr>
            <w:r>
              <w:rPr>
                <w:spacing w:val="-5"/>
                <w:w w:val="115"/>
                <w:sz w:val="20"/>
              </w:rPr>
              <w:t>24</w:t>
            </w:r>
          </w:p>
        </w:tc>
        <w:tc>
          <w:tcPr>
            <w:tcW w:w="545" w:type="dxa"/>
          </w:tcPr>
          <w:p w14:paraId="4DE0EFAA" w14:textId="77777777" w:rsidR="00811887" w:rsidRDefault="00811887" w:rsidP="00486E22">
            <w:pPr>
              <w:pStyle w:val="TableParagraph"/>
              <w:spacing w:before="5" w:line="210" w:lineRule="exact"/>
              <w:ind w:right="252"/>
              <w:jc w:val="right"/>
              <w:rPr>
                <w:sz w:val="20"/>
              </w:rPr>
            </w:pPr>
            <w:r>
              <w:rPr>
                <w:spacing w:val="-10"/>
                <w:w w:val="115"/>
                <w:sz w:val="20"/>
              </w:rPr>
              <w:t>4</w:t>
            </w:r>
          </w:p>
        </w:tc>
        <w:tc>
          <w:tcPr>
            <w:tcW w:w="869" w:type="dxa"/>
          </w:tcPr>
          <w:p w14:paraId="49573B47" w14:textId="77777777" w:rsidR="00811887" w:rsidRDefault="00811887" w:rsidP="00486E22">
            <w:pPr>
              <w:pStyle w:val="TableParagraph"/>
              <w:spacing w:before="5" w:line="210" w:lineRule="exact"/>
              <w:ind w:right="98"/>
              <w:jc w:val="right"/>
              <w:rPr>
                <w:sz w:val="20"/>
              </w:rPr>
            </w:pPr>
            <w:r>
              <w:rPr>
                <w:spacing w:val="-5"/>
                <w:w w:val="115"/>
                <w:sz w:val="20"/>
              </w:rPr>
              <w:t>110</w:t>
            </w:r>
          </w:p>
        </w:tc>
      </w:tr>
      <w:tr w:rsidR="00811887" w14:paraId="11E278AD" w14:textId="77777777" w:rsidTr="00486E22">
        <w:trPr>
          <w:trHeight w:val="235"/>
        </w:trPr>
        <w:tc>
          <w:tcPr>
            <w:tcW w:w="4257" w:type="dxa"/>
          </w:tcPr>
          <w:p w14:paraId="6FD1F9D3" w14:textId="77777777" w:rsidR="00811887" w:rsidRDefault="00811887" w:rsidP="00486E22">
            <w:pPr>
              <w:pStyle w:val="TableParagraph"/>
              <w:spacing w:before="5" w:line="210" w:lineRule="exact"/>
              <w:ind w:left="110"/>
              <w:rPr>
                <w:sz w:val="20"/>
              </w:rPr>
            </w:pPr>
            <w:r>
              <w:rPr>
                <w:w w:val="110"/>
                <w:sz w:val="20"/>
              </w:rPr>
              <w:t>NSW Central</w:t>
            </w:r>
            <w:r>
              <w:rPr>
                <w:spacing w:val="-1"/>
                <w:w w:val="110"/>
                <w:sz w:val="20"/>
              </w:rPr>
              <w:t xml:space="preserve"> </w:t>
            </w:r>
            <w:r>
              <w:rPr>
                <w:w w:val="110"/>
                <w:sz w:val="20"/>
              </w:rPr>
              <w:t>and</w:t>
            </w:r>
            <w:r>
              <w:rPr>
                <w:spacing w:val="-2"/>
                <w:w w:val="110"/>
                <w:sz w:val="20"/>
              </w:rPr>
              <w:t xml:space="preserve"> </w:t>
            </w:r>
            <w:r>
              <w:rPr>
                <w:w w:val="110"/>
                <w:sz w:val="20"/>
              </w:rPr>
              <w:t>North</w:t>
            </w:r>
            <w:r>
              <w:rPr>
                <w:spacing w:val="-2"/>
                <w:w w:val="110"/>
                <w:sz w:val="20"/>
              </w:rPr>
              <w:t xml:space="preserve"> Coast</w:t>
            </w:r>
          </w:p>
        </w:tc>
        <w:tc>
          <w:tcPr>
            <w:tcW w:w="958" w:type="dxa"/>
          </w:tcPr>
          <w:p w14:paraId="6569FC8D" w14:textId="77777777" w:rsidR="00811887" w:rsidRDefault="00811887" w:rsidP="00486E22">
            <w:pPr>
              <w:pStyle w:val="TableParagraph"/>
              <w:spacing w:before="5" w:line="210" w:lineRule="exact"/>
              <w:ind w:left="60"/>
              <w:rPr>
                <w:sz w:val="20"/>
              </w:rPr>
            </w:pPr>
            <w:r>
              <w:rPr>
                <w:spacing w:val="-5"/>
                <w:w w:val="115"/>
                <w:sz w:val="20"/>
              </w:rPr>
              <w:t>46</w:t>
            </w:r>
          </w:p>
        </w:tc>
        <w:tc>
          <w:tcPr>
            <w:tcW w:w="1013" w:type="dxa"/>
          </w:tcPr>
          <w:p w14:paraId="2E0A9274" w14:textId="77777777" w:rsidR="00811887" w:rsidRDefault="00811887" w:rsidP="00486E22">
            <w:pPr>
              <w:pStyle w:val="TableParagraph"/>
              <w:spacing w:before="5" w:line="210" w:lineRule="exact"/>
              <w:ind w:left="4"/>
              <w:rPr>
                <w:sz w:val="20"/>
              </w:rPr>
            </w:pPr>
            <w:r>
              <w:rPr>
                <w:spacing w:val="-5"/>
                <w:w w:val="115"/>
                <w:sz w:val="20"/>
              </w:rPr>
              <w:t>296</w:t>
            </w:r>
          </w:p>
        </w:tc>
        <w:tc>
          <w:tcPr>
            <w:tcW w:w="1013" w:type="dxa"/>
          </w:tcPr>
          <w:p w14:paraId="66A12ED3" w14:textId="77777777" w:rsidR="00811887" w:rsidRDefault="00811887" w:rsidP="00486E22">
            <w:pPr>
              <w:pStyle w:val="TableParagraph"/>
              <w:spacing w:before="5" w:line="210" w:lineRule="exact"/>
              <w:ind w:left="4"/>
              <w:rPr>
                <w:sz w:val="20"/>
              </w:rPr>
            </w:pPr>
            <w:r>
              <w:rPr>
                <w:spacing w:val="-5"/>
                <w:w w:val="115"/>
                <w:sz w:val="20"/>
              </w:rPr>
              <w:t>876</w:t>
            </w:r>
          </w:p>
        </w:tc>
        <w:tc>
          <w:tcPr>
            <w:tcW w:w="1073" w:type="dxa"/>
          </w:tcPr>
          <w:p w14:paraId="508E47D1" w14:textId="77777777" w:rsidR="00811887" w:rsidRDefault="00811887" w:rsidP="00486E22">
            <w:pPr>
              <w:pStyle w:val="TableParagraph"/>
              <w:spacing w:before="5" w:line="210" w:lineRule="exact"/>
              <w:ind w:left="5"/>
              <w:rPr>
                <w:sz w:val="20"/>
              </w:rPr>
            </w:pPr>
            <w:r>
              <w:rPr>
                <w:spacing w:val="-5"/>
                <w:w w:val="115"/>
                <w:sz w:val="20"/>
              </w:rPr>
              <w:t>356</w:t>
            </w:r>
          </w:p>
        </w:tc>
        <w:tc>
          <w:tcPr>
            <w:tcW w:w="545" w:type="dxa"/>
          </w:tcPr>
          <w:p w14:paraId="7D65FDBB" w14:textId="77777777" w:rsidR="00811887" w:rsidRDefault="00811887" w:rsidP="00486E22">
            <w:pPr>
              <w:pStyle w:val="TableParagraph"/>
              <w:spacing w:before="5" w:line="210" w:lineRule="exact"/>
              <w:ind w:right="252"/>
              <w:jc w:val="right"/>
              <w:rPr>
                <w:sz w:val="20"/>
              </w:rPr>
            </w:pPr>
            <w:r>
              <w:rPr>
                <w:spacing w:val="-5"/>
                <w:w w:val="115"/>
                <w:sz w:val="20"/>
              </w:rPr>
              <w:t>64</w:t>
            </w:r>
          </w:p>
        </w:tc>
        <w:tc>
          <w:tcPr>
            <w:tcW w:w="869" w:type="dxa"/>
          </w:tcPr>
          <w:p w14:paraId="4CC3E2D9" w14:textId="77777777" w:rsidR="00811887" w:rsidRDefault="00811887" w:rsidP="00486E22">
            <w:pPr>
              <w:pStyle w:val="TableParagraph"/>
              <w:spacing w:before="5" w:line="210" w:lineRule="exact"/>
              <w:ind w:right="98"/>
              <w:jc w:val="right"/>
              <w:rPr>
                <w:sz w:val="20"/>
              </w:rPr>
            </w:pPr>
            <w:r>
              <w:rPr>
                <w:spacing w:val="-2"/>
                <w:w w:val="110"/>
                <w:sz w:val="20"/>
              </w:rPr>
              <w:t>1,639</w:t>
            </w:r>
          </w:p>
        </w:tc>
      </w:tr>
      <w:tr w:rsidR="00811887" w14:paraId="0B18A878" w14:textId="77777777" w:rsidTr="00486E22">
        <w:trPr>
          <w:trHeight w:val="235"/>
        </w:trPr>
        <w:tc>
          <w:tcPr>
            <w:tcW w:w="4257" w:type="dxa"/>
          </w:tcPr>
          <w:p w14:paraId="383C3028" w14:textId="77777777" w:rsidR="00811887" w:rsidRDefault="00811887" w:rsidP="00486E22">
            <w:pPr>
              <w:pStyle w:val="TableParagraph"/>
              <w:spacing w:before="5" w:line="210" w:lineRule="exact"/>
              <w:ind w:left="110"/>
              <w:rPr>
                <w:sz w:val="20"/>
              </w:rPr>
            </w:pPr>
            <w:r>
              <w:rPr>
                <w:w w:val="110"/>
                <w:sz w:val="20"/>
              </w:rPr>
              <w:t>Riverina</w:t>
            </w:r>
            <w:r>
              <w:rPr>
                <w:spacing w:val="-9"/>
                <w:w w:val="110"/>
                <w:sz w:val="20"/>
              </w:rPr>
              <w:t xml:space="preserve"> </w:t>
            </w:r>
            <w:r>
              <w:rPr>
                <w:w w:val="110"/>
                <w:sz w:val="20"/>
              </w:rPr>
              <w:t>-</w:t>
            </w:r>
            <w:r>
              <w:rPr>
                <w:spacing w:val="-10"/>
                <w:w w:val="110"/>
                <w:sz w:val="20"/>
              </w:rPr>
              <w:t xml:space="preserve"> </w:t>
            </w:r>
            <w:r>
              <w:rPr>
                <w:spacing w:val="-2"/>
                <w:w w:val="110"/>
                <w:sz w:val="20"/>
              </w:rPr>
              <w:t>Orange</w:t>
            </w:r>
          </w:p>
        </w:tc>
        <w:tc>
          <w:tcPr>
            <w:tcW w:w="958" w:type="dxa"/>
          </w:tcPr>
          <w:p w14:paraId="781047EB" w14:textId="77777777" w:rsidR="00811887" w:rsidRDefault="00811887" w:rsidP="00486E22">
            <w:pPr>
              <w:pStyle w:val="TableParagraph"/>
              <w:spacing w:before="5" w:line="210" w:lineRule="exact"/>
              <w:ind w:left="60"/>
              <w:rPr>
                <w:sz w:val="20"/>
              </w:rPr>
            </w:pPr>
            <w:r>
              <w:rPr>
                <w:spacing w:val="-5"/>
                <w:w w:val="115"/>
                <w:sz w:val="20"/>
              </w:rPr>
              <w:t>12</w:t>
            </w:r>
          </w:p>
        </w:tc>
        <w:tc>
          <w:tcPr>
            <w:tcW w:w="1013" w:type="dxa"/>
          </w:tcPr>
          <w:p w14:paraId="23A3F6F6" w14:textId="77777777" w:rsidR="00811887" w:rsidRDefault="00811887" w:rsidP="00486E22">
            <w:pPr>
              <w:pStyle w:val="TableParagraph"/>
              <w:spacing w:before="5" w:line="210" w:lineRule="exact"/>
              <w:ind w:left="115"/>
              <w:rPr>
                <w:sz w:val="20"/>
              </w:rPr>
            </w:pPr>
            <w:r>
              <w:rPr>
                <w:spacing w:val="-5"/>
                <w:w w:val="115"/>
                <w:sz w:val="20"/>
              </w:rPr>
              <w:t>80</w:t>
            </w:r>
          </w:p>
        </w:tc>
        <w:tc>
          <w:tcPr>
            <w:tcW w:w="1013" w:type="dxa"/>
          </w:tcPr>
          <w:p w14:paraId="6446071E" w14:textId="77777777" w:rsidR="00811887" w:rsidRDefault="00811887" w:rsidP="00486E22">
            <w:pPr>
              <w:pStyle w:val="TableParagraph"/>
              <w:spacing w:before="5" w:line="210" w:lineRule="exact"/>
              <w:ind w:left="4"/>
              <w:rPr>
                <w:sz w:val="20"/>
              </w:rPr>
            </w:pPr>
            <w:r>
              <w:rPr>
                <w:spacing w:val="-5"/>
                <w:w w:val="115"/>
                <w:sz w:val="20"/>
              </w:rPr>
              <w:t>236</w:t>
            </w:r>
          </w:p>
        </w:tc>
        <w:tc>
          <w:tcPr>
            <w:tcW w:w="1073" w:type="dxa"/>
          </w:tcPr>
          <w:p w14:paraId="6D8BFC3D" w14:textId="77777777" w:rsidR="00811887" w:rsidRDefault="00811887" w:rsidP="00486E22">
            <w:pPr>
              <w:pStyle w:val="TableParagraph"/>
              <w:spacing w:before="5" w:line="210" w:lineRule="exact"/>
              <w:ind w:left="115"/>
              <w:rPr>
                <w:sz w:val="20"/>
              </w:rPr>
            </w:pPr>
            <w:r>
              <w:rPr>
                <w:spacing w:val="-5"/>
                <w:w w:val="115"/>
                <w:sz w:val="20"/>
              </w:rPr>
              <w:t>96</w:t>
            </w:r>
          </w:p>
        </w:tc>
        <w:tc>
          <w:tcPr>
            <w:tcW w:w="545" w:type="dxa"/>
          </w:tcPr>
          <w:p w14:paraId="2E58910B" w14:textId="77777777" w:rsidR="00811887" w:rsidRDefault="00811887" w:rsidP="00486E22">
            <w:pPr>
              <w:pStyle w:val="TableParagraph"/>
              <w:spacing w:before="5" w:line="210" w:lineRule="exact"/>
              <w:ind w:right="252"/>
              <w:jc w:val="right"/>
              <w:rPr>
                <w:sz w:val="20"/>
              </w:rPr>
            </w:pPr>
            <w:r>
              <w:rPr>
                <w:spacing w:val="-5"/>
                <w:w w:val="115"/>
                <w:sz w:val="20"/>
              </w:rPr>
              <w:t>17</w:t>
            </w:r>
          </w:p>
        </w:tc>
        <w:tc>
          <w:tcPr>
            <w:tcW w:w="869" w:type="dxa"/>
          </w:tcPr>
          <w:p w14:paraId="16C12798" w14:textId="77777777" w:rsidR="00811887" w:rsidRDefault="00811887" w:rsidP="00486E22">
            <w:pPr>
              <w:pStyle w:val="TableParagraph"/>
              <w:spacing w:before="5" w:line="210" w:lineRule="exact"/>
              <w:ind w:right="98"/>
              <w:jc w:val="right"/>
              <w:rPr>
                <w:sz w:val="20"/>
              </w:rPr>
            </w:pPr>
            <w:r>
              <w:rPr>
                <w:spacing w:val="-5"/>
                <w:w w:val="115"/>
                <w:sz w:val="20"/>
              </w:rPr>
              <w:t>441</w:t>
            </w:r>
          </w:p>
        </w:tc>
      </w:tr>
      <w:tr w:rsidR="00811887" w14:paraId="62A85FF6" w14:textId="77777777" w:rsidTr="00486E22">
        <w:trPr>
          <w:trHeight w:val="235"/>
        </w:trPr>
        <w:tc>
          <w:tcPr>
            <w:tcW w:w="4257" w:type="dxa"/>
          </w:tcPr>
          <w:p w14:paraId="4C03CA8D" w14:textId="77777777" w:rsidR="00811887" w:rsidRDefault="00811887" w:rsidP="00486E22">
            <w:pPr>
              <w:pStyle w:val="TableParagraph"/>
              <w:spacing w:before="5" w:line="210" w:lineRule="exact"/>
              <w:ind w:left="110"/>
              <w:rPr>
                <w:sz w:val="20"/>
              </w:rPr>
            </w:pPr>
            <w:r>
              <w:rPr>
                <w:w w:val="110"/>
                <w:sz w:val="20"/>
              </w:rPr>
              <w:t>South-Eastern</w:t>
            </w:r>
            <w:r>
              <w:rPr>
                <w:spacing w:val="11"/>
                <w:w w:val="110"/>
                <w:sz w:val="20"/>
              </w:rPr>
              <w:t xml:space="preserve"> </w:t>
            </w:r>
            <w:r>
              <w:rPr>
                <w:spacing w:val="-5"/>
                <w:w w:val="110"/>
                <w:sz w:val="20"/>
              </w:rPr>
              <w:t>NSW</w:t>
            </w:r>
          </w:p>
        </w:tc>
        <w:tc>
          <w:tcPr>
            <w:tcW w:w="958" w:type="dxa"/>
          </w:tcPr>
          <w:p w14:paraId="487E5D96" w14:textId="77777777" w:rsidR="00811887" w:rsidRDefault="00811887" w:rsidP="00486E22">
            <w:pPr>
              <w:pStyle w:val="TableParagraph"/>
              <w:spacing w:before="5" w:line="210" w:lineRule="exact"/>
              <w:ind w:left="175"/>
              <w:rPr>
                <w:sz w:val="20"/>
              </w:rPr>
            </w:pPr>
            <w:r>
              <w:rPr>
                <w:spacing w:val="-10"/>
                <w:w w:val="115"/>
                <w:sz w:val="20"/>
              </w:rPr>
              <w:t>7</w:t>
            </w:r>
          </w:p>
        </w:tc>
        <w:tc>
          <w:tcPr>
            <w:tcW w:w="1013" w:type="dxa"/>
          </w:tcPr>
          <w:p w14:paraId="32D91F95" w14:textId="77777777" w:rsidR="00811887" w:rsidRDefault="00811887" w:rsidP="00486E22">
            <w:pPr>
              <w:pStyle w:val="TableParagraph"/>
              <w:spacing w:before="5" w:line="210" w:lineRule="exact"/>
              <w:ind w:left="115"/>
              <w:rPr>
                <w:sz w:val="20"/>
              </w:rPr>
            </w:pPr>
            <w:r>
              <w:rPr>
                <w:spacing w:val="-5"/>
                <w:w w:val="115"/>
                <w:sz w:val="20"/>
              </w:rPr>
              <w:t>45</w:t>
            </w:r>
          </w:p>
        </w:tc>
        <w:tc>
          <w:tcPr>
            <w:tcW w:w="1013" w:type="dxa"/>
          </w:tcPr>
          <w:p w14:paraId="4E9D53AC" w14:textId="77777777" w:rsidR="00811887" w:rsidRDefault="00811887" w:rsidP="00486E22">
            <w:pPr>
              <w:pStyle w:val="TableParagraph"/>
              <w:spacing w:before="5" w:line="210" w:lineRule="exact"/>
              <w:ind w:left="4"/>
              <w:rPr>
                <w:sz w:val="20"/>
              </w:rPr>
            </w:pPr>
            <w:r>
              <w:rPr>
                <w:spacing w:val="-5"/>
                <w:w w:val="115"/>
                <w:sz w:val="20"/>
              </w:rPr>
              <w:t>134</w:t>
            </w:r>
          </w:p>
        </w:tc>
        <w:tc>
          <w:tcPr>
            <w:tcW w:w="1073" w:type="dxa"/>
          </w:tcPr>
          <w:p w14:paraId="049FBE56" w14:textId="77777777" w:rsidR="00811887" w:rsidRDefault="00811887" w:rsidP="00486E22">
            <w:pPr>
              <w:pStyle w:val="TableParagraph"/>
              <w:spacing w:before="5" w:line="210" w:lineRule="exact"/>
              <w:ind w:left="115"/>
              <w:rPr>
                <w:sz w:val="20"/>
              </w:rPr>
            </w:pPr>
            <w:r>
              <w:rPr>
                <w:spacing w:val="-5"/>
                <w:w w:val="115"/>
                <w:sz w:val="20"/>
              </w:rPr>
              <w:t>54</w:t>
            </w:r>
          </w:p>
        </w:tc>
        <w:tc>
          <w:tcPr>
            <w:tcW w:w="545" w:type="dxa"/>
          </w:tcPr>
          <w:p w14:paraId="7F559C57" w14:textId="77777777" w:rsidR="00811887" w:rsidRDefault="00811887" w:rsidP="00486E22">
            <w:pPr>
              <w:pStyle w:val="TableParagraph"/>
              <w:spacing w:before="5" w:line="210" w:lineRule="exact"/>
              <w:ind w:right="252"/>
              <w:jc w:val="right"/>
              <w:rPr>
                <w:sz w:val="20"/>
              </w:rPr>
            </w:pPr>
            <w:r>
              <w:rPr>
                <w:spacing w:val="-5"/>
                <w:w w:val="115"/>
                <w:sz w:val="20"/>
              </w:rPr>
              <w:t>10</w:t>
            </w:r>
          </w:p>
        </w:tc>
        <w:tc>
          <w:tcPr>
            <w:tcW w:w="869" w:type="dxa"/>
          </w:tcPr>
          <w:p w14:paraId="125BB12A" w14:textId="77777777" w:rsidR="00811887" w:rsidRDefault="00811887" w:rsidP="00486E22">
            <w:pPr>
              <w:pStyle w:val="TableParagraph"/>
              <w:spacing w:before="5" w:line="210" w:lineRule="exact"/>
              <w:ind w:right="98"/>
              <w:jc w:val="right"/>
              <w:rPr>
                <w:sz w:val="20"/>
              </w:rPr>
            </w:pPr>
            <w:r>
              <w:rPr>
                <w:spacing w:val="-5"/>
                <w:w w:val="115"/>
                <w:sz w:val="20"/>
              </w:rPr>
              <w:t>250</w:t>
            </w:r>
          </w:p>
        </w:tc>
      </w:tr>
      <w:tr w:rsidR="00811887" w14:paraId="131E4663" w14:textId="77777777" w:rsidTr="00486E22">
        <w:trPr>
          <w:trHeight w:val="235"/>
        </w:trPr>
        <w:tc>
          <w:tcPr>
            <w:tcW w:w="4257" w:type="dxa"/>
          </w:tcPr>
          <w:p w14:paraId="70765A0C" w14:textId="77777777" w:rsidR="00811887" w:rsidRDefault="00811887" w:rsidP="00486E22">
            <w:pPr>
              <w:pStyle w:val="TableParagraph"/>
              <w:spacing w:before="5" w:line="214" w:lineRule="exact"/>
              <w:ind w:left="110"/>
              <w:rPr>
                <w:sz w:val="20"/>
              </w:rPr>
            </w:pPr>
            <w:r>
              <w:rPr>
                <w:w w:val="110"/>
                <w:sz w:val="20"/>
              </w:rPr>
              <w:t>Sydney</w:t>
            </w:r>
            <w:r>
              <w:rPr>
                <w:spacing w:val="-7"/>
                <w:w w:val="110"/>
                <w:sz w:val="20"/>
              </w:rPr>
              <w:t xml:space="preserve"> </w:t>
            </w:r>
            <w:r>
              <w:rPr>
                <w:w w:val="110"/>
                <w:sz w:val="20"/>
              </w:rPr>
              <w:t>-</w:t>
            </w:r>
            <w:r>
              <w:rPr>
                <w:spacing w:val="-2"/>
                <w:w w:val="110"/>
                <w:sz w:val="20"/>
              </w:rPr>
              <w:t xml:space="preserve"> Wollongong</w:t>
            </w:r>
          </w:p>
        </w:tc>
        <w:tc>
          <w:tcPr>
            <w:tcW w:w="958" w:type="dxa"/>
          </w:tcPr>
          <w:p w14:paraId="07697DF7" w14:textId="77777777" w:rsidR="00811887" w:rsidRDefault="00811887" w:rsidP="00486E22">
            <w:pPr>
              <w:pStyle w:val="TableParagraph"/>
              <w:spacing w:before="5" w:line="214" w:lineRule="exact"/>
              <w:ind w:left="60"/>
              <w:rPr>
                <w:sz w:val="20"/>
              </w:rPr>
            </w:pPr>
            <w:r>
              <w:rPr>
                <w:spacing w:val="-5"/>
                <w:w w:val="115"/>
                <w:sz w:val="20"/>
              </w:rPr>
              <w:t>40</w:t>
            </w:r>
          </w:p>
        </w:tc>
        <w:tc>
          <w:tcPr>
            <w:tcW w:w="1013" w:type="dxa"/>
          </w:tcPr>
          <w:p w14:paraId="75122D17" w14:textId="77777777" w:rsidR="00811887" w:rsidRDefault="00811887" w:rsidP="00486E22">
            <w:pPr>
              <w:pStyle w:val="TableParagraph"/>
              <w:spacing w:before="5" w:line="214" w:lineRule="exact"/>
              <w:ind w:left="4"/>
              <w:rPr>
                <w:sz w:val="20"/>
              </w:rPr>
            </w:pPr>
            <w:r>
              <w:rPr>
                <w:spacing w:val="-5"/>
                <w:w w:val="115"/>
                <w:sz w:val="20"/>
              </w:rPr>
              <w:t>261</w:t>
            </w:r>
          </w:p>
        </w:tc>
        <w:tc>
          <w:tcPr>
            <w:tcW w:w="1013" w:type="dxa"/>
          </w:tcPr>
          <w:p w14:paraId="5558CCAE" w14:textId="77777777" w:rsidR="00811887" w:rsidRDefault="00811887" w:rsidP="00486E22">
            <w:pPr>
              <w:pStyle w:val="TableParagraph"/>
              <w:spacing w:before="5" w:line="214" w:lineRule="exact"/>
              <w:ind w:left="4"/>
              <w:rPr>
                <w:sz w:val="20"/>
              </w:rPr>
            </w:pPr>
            <w:r>
              <w:rPr>
                <w:spacing w:val="-5"/>
                <w:w w:val="115"/>
                <w:sz w:val="20"/>
              </w:rPr>
              <w:t>771</w:t>
            </w:r>
          </w:p>
        </w:tc>
        <w:tc>
          <w:tcPr>
            <w:tcW w:w="1073" w:type="dxa"/>
          </w:tcPr>
          <w:p w14:paraId="4AB11CD5" w14:textId="77777777" w:rsidR="00811887" w:rsidRDefault="00811887" w:rsidP="00486E22">
            <w:pPr>
              <w:pStyle w:val="TableParagraph"/>
              <w:spacing w:before="5" w:line="214" w:lineRule="exact"/>
              <w:ind w:left="5"/>
              <w:rPr>
                <w:sz w:val="20"/>
              </w:rPr>
            </w:pPr>
            <w:r>
              <w:rPr>
                <w:spacing w:val="-5"/>
                <w:w w:val="115"/>
                <w:sz w:val="20"/>
              </w:rPr>
              <w:t>313</w:t>
            </w:r>
          </w:p>
        </w:tc>
        <w:tc>
          <w:tcPr>
            <w:tcW w:w="545" w:type="dxa"/>
          </w:tcPr>
          <w:p w14:paraId="07ABE742" w14:textId="77777777" w:rsidR="00811887" w:rsidRDefault="00811887" w:rsidP="00486E22">
            <w:pPr>
              <w:pStyle w:val="TableParagraph"/>
              <w:spacing w:before="5" w:line="214" w:lineRule="exact"/>
              <w:ind w:right="252"/>
              <w:jc w:val="right"/>
              <w:rPr>
                <w:sz w:val="20"/>
              </w:rPr>
            </w:pPr>
            <w:r>
              <w:rPr>
                <w:spacing w:val="-5"/>
                <w:w w:val="115"/>
                <w:sz w:val="20"/>
              </w:rPr>
              <w:t>57</w:t>
            </w:r>
          </w:p>
        </w:tc>
        <w:tc>
          <w:tcPr>
            <w:tcW w:w="869" w:type="dxa"/>
          </w:tcPr>
          <w:p w14:paraId="68D37437" w14:textId="77777777" w:rsidR="00811887" w:rsidRDefault="00811887" w:rsidP="00486E22">
            <w:pPr>
              <w:pStyle w:val="TableParagraph"/>
              <w:spacing w:before="5" w:line="214" w:lineRule="exact"/>
              <w:ind w:right="98"/>
              <w:jc w:val="right"/>
              <w:rPr>
                <w:sz w:val="20"/>
              </w:rPr>
            </w:pPr>
            <w:r>
              <w:rPr>
                <w:spacing w:val="-2"/>
                <w:w w:val="110"/>
                <w:sz w:val="20"/>
              </w:rPr>
              <w:t>1,442</w:t>
            </w:r>
          </w:p>
        </w:tc>
      </w:tr>
      <w:tr w:rsidR="00811887" w14:paraId="1BB424FE" w14:textId="77777777" w:rsidTr="00486E22">
        <w:trPr>
          <w:trHeight w:val="235"/>
        </w:trPr>
        <w:tc>
          <w:tcPr>
            <w:tcW w:w="4257" w:type="dxa"/>
            <w:shd w:val="clear" w:color="auto" w:fill="AFCAC7"/>
          </w:tcPr>
          <w:p w14:paraId="0B7F06BB" w14:textId="77777777" w:rsidR="00811887" w:rsidRDefault="00811887" w:rsidP="00486E22">
            <w:pPr>
              <w:pStyle w:val="TableParagraph"/>
              <w:spacing w:line="240" w:lineRule="auto"/>
              <w:rPr>
                <w:rFonts w:ascii="Times New Roman"/>
                <w:sz w:val="16"/>
              </w:rPr>
            </w:pPr>
          </w:p>
        </w:tc>
        <w:tc>
          <w:tcPr>
            <w:tcW w:w="958" w:type="dxa"/>
            <w:shd w:val="clear" w:color="auto" w:fill="AFCAC7"/>
          </w:tcPr>
          <w:p w14:paraId="2331E158" w14:textId="77777777" w:rsidR="00811887" w:rsidRDefault="00811887" w:rsidP="00486E22">
            <w:pPr>
              <w:pStyle w:val="TableParagraph"/>
              <w:spacing w:before="1" w:line="214" w:lineRule="exact"/>
              <w:ind w:right="7"/>
              <w:jc w:val="right"/>
              <w:rPr>
                <w:sz w:val="20"/>
              </w:rPr>
            </w:pPr>
            <w:r w:rsidRPr="00630A63">
              <w:rPr>
                <w:spacing w:val="-2"/>
                <w:w w:val="105"/>
                <w:sz w:val="20"/>
              </w:rPr>
              <w:t>Victoria</w:t>
            </w:r>
          </w:p>
        </w:tc>
        <w:tc>
          <w:tcPr>
            <w:tcW w:w="1013" w:type="dxa"/>
            <w:shd w:val="clear" w:color="auto" w:fill="AFCAC7"/>
          </w:tcPr>
          <w:p w14:paraId="4B9EA34B" w14:textId="77777777" w:rsidR="00811887" w:rsidRDefault="00811887" w:rsidP="00486E22">
            <w:pPr>
              <w:pStyle w:val="TableParagraph"/>
              <w:spacing w:line="240" w:lineRule="auto"/>
              <w:rPr>
                <w:rFonts w:ascii="Times New Roman"/>
                <w:sz w:val="16"/>
              </w:rPr>
            </w:pPr>
          </w:p>
        </w:tc>
        <w:tc>
          <w:tcPr>
            <w:tcW w:w="1013" w:type="dxa"/>
            <w:shd w:val="clear" w:color="auto" w:fill="AFCAC7"/>
          </w:tcPr>
          <w:p w14:paraId="1FEB422C" w14:textId="77777777" w:rsidR="00811887" w:rsidRDefault="00811887" w:rsidP="00486E22">
            <w:pPr>
              <w:pStyle w:val="TableParagraph"/>
              <w:spacing w:line="240" w:lineRule="auto"/>
              <w:rPr>
                <w:rFonts w:ascii="Times New Roman"/>
                <w:sz w:val="16"/>
              </w:rPr>
            </w:pPr>
          </w:p>
        </w:tc>
        <w:tc>
          <w:tcPr>
            <w:tcW w:w="1073" w:type="dxa"/>
            <w:shd w:val="clear" w:color="auto" w:fill="AFCAC7"/>
          </w:tcPr>
          <w:p w14:paraId="1F56683B" w14:textId="77777777" w:rsidR="00811887" w:rsidRDefault="00811887" w:rsidP="00486E22">
            <w:pPr>
              <w:pStyle w:val="TableParagraph"/>
              <w:spacing w:line="240" w:lineRule="auto"/>
              <w:rPr>
                <w:rFonts w:ascii="Times New Roman"/>
                <w:sz w:val="16"/>
              </w:rPr>
            </w:pPr>
          </w:p>
        </w:tc>
        <w:tc>
          <w:tcPr>
            <w:tcW w:w="545" w:type="dxa"/>
            <w:shd w:val="clear" w:color="auto" w:fill="AFCAC7"/>
          </w:tcPr>
          <w:p w14:paraId="50E95588" w14:textId="77777777" w:rsidR="00811887" w:rsidRDefault="00811887" w:rsidP="00486E22">
            <w:pPr>
              <w:pStyle w:val="TableParagraph"/>
              <w:spacing w:line="240" w:lineRule="auto"/>
              <w:rPr>
                <w:rFonts w:ascii="Times New Roman"/>
                <w:sz w:val="16"/>
              </w:rPr>
            </w:pPr>
          </w:p>
        </w:tc>
        <w:tc>
          <w:tcPr>
            <w:tcW w:w="869" w:type="dxa"/>
            <w:tcBorders>
              <w:right w:val="single" w:sz="4" w:space="0" w:color="000000"/>
            </w:tcBorders>
            <w:shd w:val="clear" w:color="auto" w:fill="AFCAC7"/>
          </w:tcPr>
          <w:p w14:paraId="228321CB" w14:textId="77777777" w:rsidR="00811887" w:rsidRDefault="00811887" w:rsidP="00486E22">
            <w:pPr>
              <w:pStyle w:val="TableParagraph"/>
              <w:spacing w:line="240" w:lineRule="auto"/>
              <w:rPr>
                <w:rFonts w:ascii="Times New Roman"/>
                <w:sz w:val="16"/>
              </w:rPr>
            </w:pPr>
          </w:p>
        </w:tc>
      </w:tr>
      <w:tr w:rsidR="00811887" w14:paraId="2B66A29F" w14:textId="77777777" w:rsidTr="00486E22">
        <w:trPr>
          <w:trHeight w:val="235"/>
        </w:trPr>
        <w:tc>
          <w:tcPr>
            <w:tcW w:w="4257" w:type="dxa"/>
          </w:tcPr>
          <w:p w14:paraId="68FBD93F" w14:textId="77777777" w:rsidR="00811887" w:rsidRDefault="00811887" w:rsidP="00486E22">
            <w:pPr>
              <w:pStyle w:val="TableParagraph"/>
              <w:spacing w:before="2" w:line="210" w:lineRule="exact"/>
              <w:ind w:left="110"/>
              <w:rPr>
                <w:sz w:val="20"/>
              </w:rPr>
            </w:pPr>
            <w:r>
              <w:rPr>
                <w:spacing w:val="-2"/>
                <w:w w:val="110"/>
                <w:sz w:val="20"/>
              </w:rPr>
              <w:t>Melbourne</w:t>
            </w:r>
          </w:p>
        </w:tc>
        <w:tc>
          <w:tcPr>
            <w:tcW w:w="958" w:type="dxa"/>
          </w:tcPr>
          <w:p w14:paraId="20CA2FD6" w14:textId="77777777" w:rsidR="00811887" w:rsidRDefault="00811887" w:rsidP="00486E22">
            <w:pPr>
              <w:pStyle w:val="TableParagraph"/>
              <w:spacing w:before="2" w:line="210" w:lineRule="exact"/>
              <w:ind w:left="60"/>
              <w:rPr>
                <w:sz w:val="20"/>
              </w:rPr>
            </w:pPr>
            <w:r>
              <w:rPr>
                <w:spacing w:val="-5"/>
                <w:w w:val="115"/>
                <w:sz w:val="20"/>
              </w:rPr>
              <w:t>18</w:t>
            </w:r>
          </w:p>
        </w:tc>
        <w:tc>
          <w:tcPr>
            <w:tcW w:w="1013" w:type="dxa"/>
          </w:tcPr>
          <w:p w14:paraId="0799F871" w14:textId="77777777" w:rsidR="00811887" w:rsidRDefault="00811887" w:rsidP="00486E22">
            <w:pPr>
              <w:pStyle w:val="TableParagraph"/>
              <w:spacing w:before="2" w:line="210" w:lineRule="exact"/>
              <w:ind w:left="4"/>
              <w:rPr>
                <w:sz w:val="20"/>
              </w:rPr>
            </w:pPr>
            <w:r>
              <w:rPr>
                <w:spacing w:val="-5"/>
                <w:w w:val="115"/>
                <w:sz w:val="20"/>
              </w:rPr>
              <w:t>120</w:t>
            </w:r>
          </w:p>
        </w:tc>
        <w:tc>
          <w:tcPr>
            <w:tcW w:w="1013" w:type="dxa"/>
          </w:tcPr>
          <w:p w14:paraId="38DCB668" w14:textId="77777777" w:rsidR="00811887" w:rsidRDefault="00811887" w:rsidP="00486E22">
            <w:pPr>
              <w:pStyle w:val="TableParagraph"/>
              <w:spacing w:before="2" w:line="210" w:lineRule="exact"/>
              <w:ind w:left="4"/>
              <w:rPr>
                <w:sz w:val="20"/>
              </w:rPr>
            </w:pPr>
            <w:r>
              <w:rPr>
                <w:spacing w:val="-5"/>
                <w:w w:val="115"/>
                <w:sz w:val="20"/>
              </w:rPr>
              <w:t>354</w:t>
            </w:r>
          </w:p>
        </w:tc>
        <w:tc>
          <w:tcPr>
            <w:tcW w:w="1073" w:type="dxa"/>
          </w:tcPr>
          <w:p w14:paraId="064E85D5" w14:textId="77777777" w:rsidR="00811887" w:rsidRDefault="00811887" w:rsidP="00486E22">
            <w:pPr>
              <w:pStyle w:val="TableParagraph"/>
              <w:spacing w:before="2" w:line="210" w:lineRule="exact"/>
              <w:ind w:left="5"/>
              <w:rPr>
                <w:sz w:val="20"/>
              </w:rPr>
            </w:pPr>
            <w:r>
              <w:rPr>
                <w:spacing w:val="-5"/>
                <w:w w:val="115"/>
                <w:sz w:val="20"/>
              </w:rPr>
              <w:t>144</w:t>
            </w:r>
          </w:p>
        </w:tc>
        <w:tc>
          <w:tcPr>
            <w:tcW w:w="545" w:type="dxa"/>
          </w:tcPr>
          <w:p w14:paraId="0D70EBE3" w14:textId="77777777" w:rsidR="00811887" w:rsidRDefault="00811887" w:rsidP="00486E22">
            <w:pPr>
              <w:pStyle w:val="TableParagraph"/>
              <w:spacing w:before="2" w:line="210" w:lineRule="exact"/>
              <w:ind w:right="252"/>
              <w:jc w:val="right"/>
              <w:rPr>
                <w:sz w:val="20"/>
              </w:rPr>
            </w:pPr>
            <w:r>
              <w:rPr>
                <w:spacing w:val="-5"/>
                <w:w w:val="115"/>
                <w:sz w:val="20"/>
              </w:rPr>
              <w:t>26</w:t>
            </w:r>
          </w:p>
        </w:tc>
        <w:tc>
          <w:tcPr>
            <w:tcW w:w="869" w:type="dxa"/>
          </w:tcPr>
          <w:p w14:paraId="40161D16" w14:textId="77777777" w:rsidR="00811887" w:rsidRDefault="00811887" w:rsidP="00486E22">
            <w:pPr>
              <w:pStyle w:val="TableParagraph"/>
              <w:spacing w:before="2" w:line="210" w:lineRule="exact"/>
              <w:ind w:right="98"/>
              <w:jc w:val="right"/>
              <w:rPr>
                <w:sz w:val="20"/>
              </w:rPr>
            </w:pPr>
            <w:r>
              <w:rPr>
                <w:spacing w:val="-5"/>
                <w:w w:val="115"/>
                <w:sz w:val="20"/>
              </w:rPr>
              <w:t>663</w:t>
            </w:r>
          </w:p>
        </w:tc>
      </w:tr>
      <w:tr w:rsidR="00811887" w14:paraId="6D091F55" w14:textId="77777777" w:rsidTr="00486E22">
        <w:trPr>
          <w:trHeight w:val="235"/>
        </w:trPr>
        <w:tc>
          <w:tcPr>
            <w:tcW w:w="4257" w:type="dxa"/>
          </w:tcPr>
          <w:p w14:paraId="1B796822" w14:textId="77777777" w:rsidR="00811887" w:rsidRDefault="00811887" w:rsidP="00486E22">
            <w:pPr>
              <w:pStyle w:val="TableParagraph"/>
              <w:spacing w:before="5" w:line="214" w:lineRule="exact"/>
              <w:ind w:left="110"/>
              <w:rPr>
                <w:sz w:val="20"/>
              </w:rPr>
            </w:pPr>
            <w:r>
              <w:rPr>
                <w:spacing w:val="-2"/>
                <w:w w:val="110"/>
                <w:sz w:val="20"/>
              </w:rPr>
              <w:t>Victoria exc.</w:t>
            </w:r>
            <w:r>
              <w:rPr>
                <w:spacing w:val="-1"/>
                <w:w w:val="110"/>
                <w:sz w:val="20"/>
              </w:rPr>
              <w:t xml:space="preserve"> </w:t>
            </w:r>
            <w:r>
              <w:rPr>
                <w:spacing w:val="-2"/>
                <w:w w:val="110"/>
                <w:sz w:val="20"/>
              </w:rPr>
              <w:t>Melbourne</w:t>
            </w:r>
          </w:p>
        </w:tc>
        <w:tc>
          <w:tcPr>
            <w:tcW w:w="958" w:type="dxa"/>
          </w:tcPr>
          <w:p w14:paraId="1B9CA6F0" w14:textId="77777777" w:rsidR="00811887" w:rsidRDefault="00811887" w:rsidP="00486E22">
            <w:pPr>
              <w:pStyle w:val="TableParagraph"/>
              <w:spacing w:before="5" w:line="214" w:lineRule="exact"/>
              <w:ind w:left="60"/>
              <w:rPr>
                <w:sz w:val="20"/>
              </w:rPr>
            </w:pPr>
            <w:r>
              <w:rPr>
                <w:spacing w:val="-5"/>
                <w:w w:val="115"/>
                <w:sz w:val="20"/>
              </w:rPr>
              <w:t>19</w:t>
            </w:r>
          </w:p>
        </w:tc>
        <w:tc>
          <w:tcPr>
            <w:tcW w:w="1013" w:type="dxa"/>
          </w:tcPr>
          <w:p w14:paraId="63BCFCB5" w14:textId="77777777" w:rsidR="00811887" w:rsidRDefault="00811887" w:rsidP="00486E22">
            <w:pPr>
              <w:pStyle w:val="TableParagraph"/>
              <w:spacing w:before="5" w:line="214" w:lineRule="exact"/>
              <w:ind w:left="4"/>
              <w:rPr>
                <w:sz w:val="20"/>
              </w:rPr>
            </w:pPr>
            <w:r>
              <w:rPr>
                <w:spacing w:val="-5"/>
                <w:w w:val="115"/>
                <w:sz w:val="20"/>
              </w:rPr>
              <w:t>122</w:t>
            </w:r>
          </w:p>
        </w:tc>
        <w:tc>
          <w:tcPr>
            <w:tcW w:w="1013" w:type="dxa"/>
          </w:tcPr>
          <w:p w14:paraId="64379C72" w14:textId="77777777" w:rsidR="00811887" w:rsidRDefault="00811887" w:rsidP="00486E22">
            <w:pPr>
              <w:pStyle w:val="TableParagraph"/>
              <w:spacing w:before="5" w:line="214" w:lineRule="exact"/>
              <w:ind w:left="4"/>
              <w:rPr>
                <w:sz w:val="20"/>
              </w:rPr>
            </w:pPr>
            <w:r>
              <w:rPr>
                <w:spacing w:val="-5"/>
                <w:w w:val="115"/>
                <w:sz w:val="20"/>
              </w:rPr>
              <w:t>361</w:t>
            </w:r>
          </w:p>
        </w:tc>
        <w:tc>
          <w:tcPr>
            <w:tcW w:w="1073" w:type="dxa"/>
          </w:tcPr>
          <w:p w14:paraId="4479A272" w14:textId="77777777" w:rsidR="00811887" w:rsidRDefault="00811887" w:rsidP="00486E22">
            <w:pPr>
              <w:pStyle w:val="TableParagraph"/>
              <w:spacing w:before="5" w:line="214" w:lineRule="exact"/>
              <w:ind w:left="5"/>
              <w:rPr>
                <w:sz w:val="20"/>
              </w:rPr>
            </w:pPr>
            <w:r>
              <w:rPr>
                <w:spacing w:val="-5"/>
                <w:w w:val="115"/>
                <w:sz w:val="20"/>
              </w:rPr>
              <w:t>147</w:t>
            </w:r>
          </w:p>
        </w:tc>
        <w:tc>
          <w:tcPr>
            <w:tcW w:w="545" w:type="dxa"/>
          </w:tcPr>
          <w:p w14:paraId="0959D1E0" w14:textId="77777777" w:rsidR="00811887" w:rsidRDefault="00811887" w:rsidP="00486E22">
            <w:pPr>
              <w:pStyle w:val="TableParagraph"/>
              <w:spacing w:before="5" w:line="214" w:lineRule="exact"/>
              <w:ind w:right="252"/>
              <w:jc w:val="right"/>
              <w:rPr>
                <w:sz w:val="20"/>
              </w:rPr>
            </w:pPr>
            <w:r>
              <w:rPr>
                <w:spacing w:val="-5"/>
                <w:w w:val="115"/>
                <w:sz w:val="20"/>
              </w:rPr>
              <w:t>27</w:t>
            </w:r>
          </w:p>
        </w:tc>
        <w:tc>
          <w:tcPr>
            <w:tcW w:w="869" w:type="dxa"/>
          </w:tcPr>
          <w:p w14:paraId="55D52569" w14:textId="77777777" w:rsidR="00811887" w:rsidRDefault="00811887" w:rsidP="00486E22">
            <w:pPr>
              <w:pStyle w:val="TableParagraph"/>
              <w:spacing w:before="5" w:line="214" w:lineRule="exact"/>
              <w:ind w:right="98"/>
              <w:jc w:val="right"/>
              <w:rPr>
                <w:sz w:val="20"/>
              </w:rPr>
            </w:pPr>
            <w:r>
              <w:rPr>
                <w:spacing w:val="-5"/>
                <w:w w:val="115"/>
                <w:sz w:val="20"/>
              </w:rPr>
              <w:t>675</w:t>
            </w:r>
          </w:p>
        </w:tc>
      </w:tr>
      <w:tr w:rsidR="00811887" w14:paraId="3D7B8346" w14:textId="77777777" w:rsidTr="00486E22">
        <w:trPr>
          <w:trHeight w:val="235"/>
        </w:trPr>
        <w:tc>
          <w:tcPr>
            <w:tcW w:w="9728" w:type="dxa"/>
            <w:gridSpan w:val="7"/>
            <w:tcBorders>
              <w:right w:val="single" w:sz="4" w:space="0" w:color="000000"/>
            </w:tcBorders>
            <w:shd w:val="clear" w:color="auto" w:fill="AFCAC7"/>
          </w:tcPr>
          <w:p w14:paraId="1203F931" w14:textId="77777777" w:rsidR="00811887" w:rsidRDefault="00811887" w:rsidP="00486E22">
            <w:pPr>
              <w:pStyle w:val="TableParagraph"/>
              <w:spacing w:before="1" w:line="214" w:lineRule="exact"/>
              <w:ind w:left="15" w:right="1"/>
              <w:jc w:val="center"/>
              <w:rPr>
                <w:sz w:val="20"/>
              </w:rPr>
            </w:pPr>
            <w:r w:rsidRPr="00630A63">
              <w:rPr>
                <w:spacing w:val="-2"/>
                <w:w w:val="110"/>
                <w:sz w:val="20"/>
              </w:rPr>
              <w:t>Queensland</w:t>
            </w:r>
          </w:p>
        </w:tc>
      </w:tr>
      <w:tr w:rsidR="00811887" w14:paraId="4D255811" w14:textId="77777777" w:rsidTr="00486E22">
        <w:trPr>
          <w:trHeight w:val="235"/>
        </w:trPr>
        <w:tc>
          <w:tcPr>
            <w:tcW w:w="4257" w:type="dxa"/>
          </w:tcPr>
          <w:p w14:paraId="4667F04B" w14:textId="77777777" w:rsidR="00811887" w:rsidRDefault="00811887" w:rsidP="00486E22">
            <w:pPr>
              <w:pStyle w:val="TableParagraph"/>
              <w:spacing w:before="1" w:line="210" w:lineRule="exact"/>
              <w:ind w:left="110"/>
              <w:rPr>
                <w:sz w:val="20"/>
              </w:rPr>
            </w:pPr>
            <w:r>
              <w:rPr>
                <w:spacing w:val="-2"/>
                <w:w w:val="110"/>
                <w:sz w:val="20"/>
              </w:rPr>
              <w:t>Brisbane</w:t>
            </w:r>
          </w:p>
        </w:tc>
        <w:tc>
          <w:tcPr>
            <w:tcW w:w="958" w:type="dxa"/>
          </w:tcPr>
          <w:p w14:paraId="1C7A3B40" w14:textId="77777777" w:rsidR="00811887" w:rsidRDefault="00811887" w:rsidP="00486E22">
            <w:pPr>
              <w:pStyle w:val="TableParagraph"/>
              <w:spacing w:before="1" w:line="210" w:lineRule="exact"/>
              <w:ind w:left="60"/>
              <w:rPr>
                <w:sz w:val="20"/>
              </w:rPr>
            </w:pPr>
            <w:r>
              <w:rPr>
                <w:spacing w:val="-5"/>
                <w:w w:val="115"/>
                <w:sz w:val="20"/>
              </w:rPr>
              <w:t>51</w:t>
            </w:r>
          </w:p>
        </w:tc>
        <w:tc>
          <w:tcPr>
            <w:tcW w:w="1013" w:type="dxa"/>
          </w:tcPr>
          <w:p w14:paraId="183FBD1A" w14:textId="77777777" w:rsidR="00811887" w:rsidRDefault="00811887" w:rsidP="00486E22">
            <w:pPr>
              <w:pStyle w:val="TableParagraph"/>
              <w:spacing w:before="1" w:line="210" w:lineRule="exact"/>
              <w:ind w:left="4"/>
              <w:rPr>
                <w:sz w:val="20"/>
              </w:rPr>
            </w:pPr>
            <w:r>
              <w:rPr>
                <w:spacing w:val="-5"/>
                <w:w w:val="115"/>
                <w:sz w:val="20"/>
              </w:rPr>
              <w:t>331</w:t>
            </w:r>
          </w:p>
        </w:tc>
        <w:tc>
          <w:tcPr>
            <w:tcW w:w="1013" w:type="dxa"/>
          </w:tcPr>
          <w:p w14:paraId="6046406C" w14:textId="77777777" w:rsidR="00811887" w:rsidRDefault="00811887" w:rsidP="00486E22">
            <w:pPr>
              <w:pStyle w:val="TableParagraph"/>
              <w:spacing w:before="1" w:line="210" w:lineRule="exact"/>
              <w:ind w:left="4"/>
              <w:rPr>
                <w:sz w:val="20"/>
              </w:rPr>
            </w:pPr>
            <w:r>
              <w:rPr>
                <w:spacing w:val="-5"/>
                <w:w w:val="115"/>
                <w:sz w:val="20"/>
              </w:rPr>
              <w:t>978</w:t>
            </w:r>
          </w:p>
        </w:tc>
        <w:tc>
          <w:tcPr>
            <w:tcW w:w="1073" w:type="dxa"/>
          </w:tcPr>
          <w:p w14:paraId="02224EFF" w14:textId="77777777" w:rsidR="00811887" w:rsidRDefault="00811887" w:rsidP="00486E22">
            <w:pPr>
              <w:pStyle w:val="TableParagraph"/>
              <w:spacing w:before="1" w:line="210" w:lineRule="exact"/>
              <w:ind w:left="5"/>
              <w:rPr>
                <w:sz w:val="20"/>
              </w:rPr>
            </w:pPr>
            <w:r>
              <w:rPr>
                <w:spacing w:val="-5"/>
                <w:w w:val="115"/>
                <w:sz w:val="20"/>
              </w:rPr>
              <w:t>397</w:t>
            </w:r>
          </w:p>
        </w:tc>
        <w:tc>
          <w:tcPr>
            <w:tcW w:w="545" w:type="dxa"/>
          </w:tcPr>
          <w:p w14:paraId="793D455B" w14:textId="77777777" w:rsidR="00811887" w:rsidRDefault="00811887" w:rsidP="00486E22">
            <w:pPr>
              <w:pStyle w:val="TableParagraph"/>
              <w:spacing w:before="1" w:line="210" w:lineRule="exact"/>
              <w:ind w:right="252"/>
              <w:jc w:val="right"/>
              <w:rPr>
                <w:sz w:val="20"/>
              </w:rPr>
            </w:pPr>
            <w:r>
              <w:rPr>
                <w:spacing w:val="-5"/>
                <w:w w:val="115"/>
                <w:sz w:val="20"/>
              </w:rPr>
              <w:t>72</w:t>
            </w:r>
          </w:p>
        </w:tc>
        <w:tc>
          <w:tcPr>
            <w:tcW w:w="869" w:type="dxa"/>
          </w:tcPr>
          <w:p w14:paraId="3E9AA128" w14:textId="77777777" w:rsidR="00811887" w:rsidRDefault="00811887" w:rsidP="00486E22">
            <w:pPr>
              <w:pStyle w:val="TableParagraph"/>
              <w:spacing w:before="1" w:line="210" w:lineRule="exact"/>
              <w:ind w:right="98"/>
              <w:jc w:val="right"/>
              <w:rPr>
                <w:sz w:val="20"/>
              </w:rPr>
            </w:pPr>
            <w:r>
              <w:rPr>
                <w:spacing w:val="-2"/>
                <w:w w:val="110"/>
                <w:sz w:val="20"/>
              </w:rPr>
              <w:t>1,828</w:t>
            </w:r>
          </w:p>
        </w:tc>
      </w:tr>
      <w:tr w:rsidR="00811887" w14:paraId="0EA4EDE5" w14:textId="77777777" w:rsidTr="00486E22">
        <w:trPr>
          <w:trHeight w:val="235"/>
        </w:trPr>
        <w:tc>
          <w:tcPr>
            <w:tcW w:w="4257" w:type="dxa"/>
          </w:tcPr>
          <w:p w14:paraId="2CB06A88" w14:textId="77777777" w:rsidR="00811887" w:rsidRDefault="00811887" w:rsidP="00486E22">
            <w:pPr>
              <w:pStyle w:val="TableParagraph"/>
              <w:spacing w:before="5" w:line="210" w:lineRule="exact"/>
              <w:ind w:left="110"/>
              <w:rPr>
                <w:sz w:val="20"/>
              </w:rPr>
            </w:pPr>
            <w:r>
              <w:rPr>
                <w:w w:val="110"/>
                <w:sz w:val="20"/>
              </w:rPr>
              <w:t>Cape</w:t>
            </w:r>
            <w:r>
              <w:rPr>
                <w:spacing w:val="12"/>
                <w:w w:val="110"/>
                <w:sz w:val="20"/>
              </w:rPr>
              <w:t xml:space="preserve"> </w:t>
            </w:r>
            <w:r>
              <w:rPr>
                <w:spacing w:val="-4"/>
                <w:w w:val="110"/>
                <w:sz w:val="20"/>
              </w:rPr>
              <w:t>York</w:t>
            </w:r>
          </w:p>
        </w:tc>
        <w:tc>
          <w:tcPr>
            <w:tcW w:w="958" w:type="dxa"/>
          </w:tcPr>
          <w:p w14:paraId="06F39B88" w14:textId="77777777" w:rsidR="00811887" w:rsidRDefault="00811887" w:rsidP="00486E22">
            <w:pPr>
              <w:pStyle w:val="TableParagraph"/>
              <w:spacing w:before="5" w:line="210" w:lineRule="exact"/>
              <w:ind w:left="175"/>
              <w:rPr>
                <w:sz w:val="20"/>
              </w:rPr>
            </w:pPr>
            <w:r>
              <w:rPr>
                <w:spacing w:val="-10"/>
                <w:w w:val="115"/>
                <w:sz w:val="20"/>
              </w:rPr>
              <w:t>9</w:t>
            </w:r>
          </w:p>
        </w:tc>
        <w:tc>
          <w:tcPr>
            <w:tcW w:w="1013" w:type="dxa"/>
          </w:tcPr>
          <w:p w14:paraId="4AA265C1" w14:textId="77777777" w:rsidR="00811887" w:rsidRDefault="00811887" w:rsidP="00486E22">
            <w:pPr>
              <w:pStyle w:val="TableParagraph"/>
              <w:spacing w:before="5" w:line="210" w:lineRule="exact"/>
              <w:ind w:left="115"/>
              <w:rPr>
                <w:sz w:val="20"/>
              </w:rPr>
            </w:pPr>
            <w:r>
              <w:rPr>
                <w:spacing w:val="-5"/>
                <w:w w:val="115"/>
                <w:sz w:val="20"/>
              </w:rPr>
              <w:t>57</w:t>
            </w:r>
          </w:p>
        </w:tc>
        <w:tc>
          <w:tcPr>
            <w:tcW w:w="1013" w:type="dxa"/>
          </w:tcPr>
          <w:p w14:paraId="5326838A" w14:textId="77777777" w:rsidR="00811887" w:rsidRDefault="00811887" w:rsidP="00486E22">
            <w:pPr>
              <w:pStyle w:val="TableParagraph"/>
              <w:spacing w:before="5" w:line="210" w:lineRule="exact"/>
              <w:ind w:left="4"/>
              <w:rPr>
                <w:sz w:val="20"/>
              </w:rPr>
            </w:pPr>
            <w:r>
              <w:rPr>
                <w:spacing w:val="-5"/>
                <w:w w:val="115"/>
                <w:sz w:val="20"/>
              </w:rPr>
              <w:t>169</w:t>
            </w:r>
          </w:p>
        </w:tc>
        <w:tc>
          <w:tcPr>
            <w:tcW w:w="1073" w:type="dxa"/>
          </w:tcPr>
          <w:p w14:paraId="07912A97" w14:textId="77777777" w:rsidR="00811887" w:rsidRDefault="00811887" w:rsidP="00486E22">
            <w:pPr>
              <w:pStyle w:val="TableParagraph"/>
              <w:spacing w:before="5" w:line="210" w:lineRule="exact"/>
              <w:ind w:left="115"/>
              <w:rPr>
                <w:sz w:val="20"/>
              </w:rPr>
            </w:pPr>
            <w:r>
              <w:rPr>
                <w:spacing w:val="-5"/>
                <w:w w:val="115"/>
                <w:sz w:val="20"/>
              </w:rPr>
              <w:t>69</w:t>
            </w:r>
          </w:p>
        </w:tc>
        <w:tc>
          <w:tcPr>
            <w:tcW w:w="545" w:type="dxa"/>
          </w:tcPr>
          <w:p w14:paraId="671B9415" w14:textId="77777777" w:rsidR="00811887" w:rsidRDefault="00811887" w:rsidP="00486E22">
            <w:pPr>
              <w:pStyle w:val="TableParagraph"/>
              <w:spacing w:before="5" w:line="210" w:lineRule="exact"/>
              <w:ind w:right="252"/>
              <w:jc w:val="right"/>
              <w:rPr>
                <w:sz w:val="20"/>
              </w:rPr>
            </w:pPr>
            <w:r>
              <w:rPr>
                <w:spacing w:val="-5"/>
                <w:w w:val="115"/>
                <w:sz w:val="20"/>
              </w:rPr>
              <w:t>12</w:t>
            </w:r>
          </w:p>
        </w:tc>
        <w:tc>
          <w:tcPr>
            <w:tcW w:w="869" w:type="dxa"/>
          </w:tcPr>
          <w:p w14:paraId="280CD06F" w14:textId="77777777" w:rsidR="00811887" w:rsidRDefault="00811887" w:rsidP="00486E22">
            <w:pPr>
              <w:pStyle w:val="TableParagraph"/>
              <w:spacing w:before="5" w:line="210" w:lineRule="exact"/>
              <w:ind w:right="98"/>
              <w:jc w:val="right"/>
              <w:rPr>
                <w:sz w:val="20"/>
              </w:rPr>
            </w:pPr>
            <w:r>
              <w:rPr>
                <w:spacing w:val="-5"/>
                <w:w w:val="115"/>
                <w:sz w:val="20"/>
              </w:rPr>
              <w:t>316</w:t>
            </w:r>
          </w:p>
        </w:tc>
      </w:tr>
      <w:tr w:rsidR="00811887" w14:paraId="441A3484" w14:textId="77777777" w:rsidTr="00486E22">
        <w:trPr>
          <w:trHeight w:val="235"/>
        </w:trPr>
        <w:tc>
          <w:tcPr>
            <w:tcW w:w="4257" w:type="dxa"/>
          </w:tcPr>
          <w:p w14:paraId="68472D2D" w14:textId="77777777" w:rsidR="00811887" w:rsidRDefault="00811887" w:rsidP="00486E22">
            <w:pPr>
              <w:pStyle w:val="TableParagraph"/>
              <w:spacing w:before="5" w:line="210" w:lineRule="exact"/>
              <w:ind w:left="110"/>
              <w:rPr>
                <w:sz w:val="20"/>
              </w:rPr>
            </w:pPr>
            <w:r>
              <w:rPr>
                <w:spacing w:val="-2"/>
                <w:w w:val="110"/>
                <w:sz w:val="20"/>
              </w:rPr>
              <w:t>Mount</w:t>
            </w:r>
            <w:r>
              <w:rPr>
                <w:spacing w:val="-7"/>
                <w:w w:val="110"/>
                <w:sz w:val="20"/>
              </w:rPr>
              <w:t xml:space="preserve"> </w:t>
            </w:r>
            <w:r>
              <w:rPr>
                <w:spacing w:val="-5"/>
                <w:w w:val="110"/>
                <w:sz w:val="20"/>
              </w:rPr>
              <w:t>Isa</w:t>
            </w:r>
          </w:p>
        </w:tc>
        <w:tc>
          <w:tcPr>
            <w:tcW w:w="958" w:type="dxa"/>
          </w:tcPr>
          <w:p w14:paraId="0D9D0007" w14:textId="77777777" w:rsidR="00811887" w:rsidRDefault="00811887" w:rsidP="00486E22">
            <w:pPr>
              <w:pStyle w:val="TableParagraph"/>
              <w:spacing w:before="5" w:line="210" w:lineRule="exact"/>
              <w:ind w:left="60"/>
              <w:rPr>
                <w:sz w:val="20"/>
              </w:rPr>
            </w:pPr>
            <w:r>
              <w:rPr>
                <w:spacing w:val="-5"/>
                <w:w w:val="115"/>
                <w:sz w:val="20"/>
              </w:rPr>
              <w:t>10</w:t>
            </w:r>
          </w:p>
        </w:tc>
        <w:tc>
          <w:tcPr>
            <w:tcW w:w="1013" w:type="dxa"/>
          </w:tcPr>
          <w:p w14:paraId="5B16B680" w14:textId="77777777" w:rsidR="00811887" w:rsidRDefault="00811887" w:rsidP="00486E22">
            <w:pPr>
              <w:pStyle w:val="TableParagraph"/>
              <w:spacing w:before="5" w:line="210" w:lineRule="exact"/>
              <w:ind w:left="115"/>
              <w:rPr>
                <w:sz w:val="20"/>
              </w:rPr>
            </w:pPr>
            <w:r>
              <w:rPr>
                <w:spacing w:val="-5"/>
                <w:w w:val="115"/>
                <w:sz w:val="20"/>
              </w:rPr>
              <w:t>62</w:t>
            </w:r>
          </w:p>
        </w:tc>
        <w:tc>
          <w:tcPr>
            <w:tcW w:w="1013" w:type="dxa"/>
          </w:tcPr>
          <w:p w14:paraId="116441EA" w14:textId="77777777" w:rsidR="00811887" w:rsidRDefault="00811887" w:rsidP="00486E22">
            <w:pPr>
              <w:pStyle w:val="TableParagraph"/>
              <w:spacing w:before="5" w:line="210" w:lineRule="exact"/>
              <w:ind w:left="4"/>
              <w:rPr>
                <w:sz w:val="20"/>
              </w:rPr>
            </w:pPr>
            <w:r>
              <w:rPr>
                <w:spacing w:val="-5"/>
                <w:w w:val="115"/>
                <w:sz w:val="20"/>
              </w:rPr>
              <w:t>183</w:t>
            </w:r>
          </w:p>
        </w:tc>
        <w:tc>
          <w:tcPr>
            <w:tcW w:w="1073" w:type="dxa"/>
          </w:tcPr>
          <w:p w14:paraId="4E4179AF" w14:textId="77777777" w:rsidR="00811887" w:rsidRDefault="00811887" w:rsidP="00486E22">
            <w:pPr>
              <w:pStyle w:val="TableParagraph"/>
              <w:spacing w:before="5" w:line="210" w:lineRule="exact"/>
              <w:ind w:left="115"/>
              <w:rPr>
                <w:sz w:val="20"/>
              </w:rPr>
            </w:pPr>
            <w:r>
              <w:rPr>
                <w:spacing w:val="-5"/>
                <w:w w:val="115"/>
                <w:sz w:val="20"/>
              </w:rPr>
              <w:t>75</w:t>
            </w:r>
          </w:p>
        </w:tc>
        <w:tc>
          <w:tcPr>
            <w:tcW w:w="545" w:type="dxa"/>
          </w:tcPr>
          <w:p w14:paraId="40E619F2" w14:textId="77777777" w:rsidR="00811887" w:rsidRDefault="00811887" w:rsidP="00486E22">
            <w:pPr>
              <w:pStyle w:val="TableParagraph"/>
              <w:spacing w:before="5" w:line="210" w:lineRule="exact"/>
              <w:ind w:right="252"/>
              <w:jc w:val="right"/>
              <w:rPr>
                <w:sz w:val="20"/>
              </w:rPr>
            </w:pPr>
            <w:r>
              <w:rPr>
                <w:spacing w:val="-5"/>
                <w:w w:val="115"/>
                <w:sz w:val="20"/>
              </w:rPr>
              <w:t>13</w:t>
            </w:r>
          </w:p>
        </w:tc>
        <w:tc>
          <w:tcPr>
            <w:tcW w:w="869" w:type="dxa"/>
          </w:tcPr>
          <w:p w14:paraId="567E3DEB" w14:textId="77777777" w:rsidR="00811887" w:rsidRDefault="00811887" w:rsidP="00486E22">
            <w:pPr>
              <w:pStyle w:val="TableParagraph"/>
              <w:spacing w:before="5" w:line="210" w:lineRule="exact"/>
              <w:ind w:right="98"/>
              <w:jc w:val="right"/>
              <w:rPr>
                <w:sz w:val="20"/>
              </w:rPr>
            </w:pPr>
            <w:r>
              <w:rPr>
                <w:spacing w:val="-5"/>
                <w:w w:val="115"/>
                <w:sz w:val="20"/>
              </w:rPr>
              <w:t>343</w:t>
            </w:r>
          </w:p>
        </w:tc>
      </w:tr>
      <w:tr w:rsidR="00811887" w14:paraId="6EDB979E" w14:textId="77777777" w:rsidTr="00486E22">
        <w:trPr>
          <w:trHeight w:val="235"/>
        </w:trPr>
        <w:tc>
          <w:tcPr>
            <w:tcW w:w="4257" w:type="dxa"/>
          </w:tcPr>
          <w:p w14:paraId="3C5D851E" w14:textId="77777777" w:rsidR="00811887" w:rsidRDefault="00811887" w:rsidP="00486E22">
            <w:pPr>
              <w:pStyle w:val="TableParagraph"/>
              <w:spacing w:before="5" w:line="210" w:lineRule="exact"/>
              <w:ind w:left="110"/>
              <w:rPr>
                <w:sz w:val="20"/>
              </w:rPr>
            </w:pPr>
            <w:r>
              <w:rPr>
                <w:spacing w:val="-2"/>
                <w:w w:val="110"/>
                <w:sz w:val="20"/>
              </w:rPr>
              <w:t>Rockhampton</w:t>
            </w:r>
          </w:p>
        </w:tc>
        <w:tc>
          <w:tcPr>
            <w:tcW w:w="958" w:type="dxa"/>
          </w:tcPr>
          <w:p w14:paraId="6AC8AF94" w14:textId="77777777" w:rsidR="00811887" w:rsidRDefault="00811887" w:rsidP="00486E22">
            <w:pPr>
              <w:pStyle w:val="TableParagraph"/>
              <w:spacing w:before="5" w:line="210" w:lineRule="exact"/>
              <w:ind w:left="60"/>
              <w:rPr>
                <w:sz w:val="20"/>
              </w:rPr>
            </w:pPr>
            <w:r>
              <w:rPr>
                <w:spacing w:val="-5"/>
                <w:w w:val="115"/>
                <w:sz w:val="20"/>
              </w:rPr>
              <w:t>17</w:t>
            </w:r>
          </w:p>
        </w:tc>
        <w:tc>
          <w:tcPr>
            <w:tcW w:w="1013" w:type="dxa"/>
          </w:tcPr>
          <w:p w14:paraId="3004BF3F" w14:textId="77777777" w:rsidR="00811887" w:rsidRDefault="00811887" w:rsidP="00486E22">
            <w:pPr>
              <w:pStyle w:val="TableParagraph"/>
              <w:spacing w:before="5" w:line="210" w:lineRule="exact"/>
              <w:ind w:left="4"/>
              <w:rPr>
                <w:sz w:val="20"/>
              </w:rPr>
            </w:pPr>
            <w:r>
              <w:rPr>
                <w:spacing w:val="-5"/>
                <w:w w:val="115"/>
                <w:sz w:val="20"/>
              </w:rPr>
              <w:t>109</w:t>
            </w:r>
          </w:p>
        </w:tc>
        <w:tc>
          <w:tcPr>
            <w:tcW w:w="1013" w:type="dxa"/>
          </w:tcPr>
          <w:p w14:paraId="41299EBE" w14:textId="77777777" w:rsidR="00811887" w:rsidRDefault="00811887" w:rsidP="00486E22">
            <w:pPr>
              <w:pStyle w:val="TableParagraph"/>
              <w:spacing w:before="5" w:line="210" w:lineRule="exact"/>
              <w:ind w:left="4"/>
              <w:rPr>
                <w:sz w:val="20"/>
              </w:rPr>
            </w:pPr>
            <w:r>
              <w:rPr>
                <w:spacing w:val="-5"/>
                <w:w w:val="115"/>
                <w:sz w:val="20"/>
              </w:rPr>
              <w:t>323</w:t>
            </w:r>
          </w:p>
        </w:tc>
        <w:tc>
          <w:tcPr>
            <w:tcW w:w="1073" w:type="dxa"/>
          </w:tcPr>
          <w:p w14:paraId="74BBA41B" w14:textId="77777777" w:rsidR="00811887" w:rsidRDefault="00811887" w:rsidP="00486E22">
            <w:pPr>
              <w:pStyle w:val="TableParagraph"/>
              <w:spacing w:before="5" w:line="210" w:lineRule="exact"/>
              <w:ind w:left="5"/>
              <w:rPr>
                <w:sz w:val="20"/>
              </w:rPr>
            </w:pPr>
            <w:r>
              <w:rPr>
                <w:spacing w:val="-5"/>
                <w:w w:val="115"/>
                <w:sz w:val="20"/>
              </w:rPr>
              <w:t>131</w:t>
            </w:r>
          </w:p>
        </w:tc>
        <w:tc>
          <w:tcPr>
            <w:tcW w:w="545" w:type="dxa"/>
          </w:tcPr>
          <w:p w14:paraId="5D938BC7" w14:textId="77777777" w:rsidR="00811887" w:rsidRDefault="00811887" w:rsidP="00486E22">
            <w:pPr>
              <w:pStyle w:val="TableParagraph"/>
              <w:spacing w:before="5" w:line="210" w:lineRule="exact"/>
              <w:ind w:right="252"/>
              <w:jc w:val="right"/>
              <w:rPr>
                <w:sz w:val="20"/>
              </w:rPr>
            </w:pPr>
            <w:r>
              <w:rPr>
                <w:spacing w:val="-5"/>
                <w:w w:val="115"/>
                <w:sz w:val="20"/>
              </w:rPr>
              <w:t>24</w:t>
            </w:r>
          </w:p>
        </w:tc>
        <w:tc>
          <w:tcPr>
            <w:tcW w:w="869" w:type="dxa"/>
          </w:tcPr>
          <w:p w14:paraId="006647C2" w14:textId="77777777" w:rsidR="00811887" w:rsidRDefault="00811887" w:rsidP="00486E22">
            <w:pPr>
              <w:pStyle w:val="TableParagraph"/>
              <w:spacing w:before="5" w:line="210" w:lineRule="exact"/>
              <w:ind w:right="98"/>
              <w:jc w:val="right"/>
              <w:rPr>
                <w:sz w:val="20"/>
              </w:rPr>
            </w:pPr>
            <w:r>
              <w:rPr>
                <w:spacing w:val="-5"/>
                <w:w w:val="115"/>
                <w:sz w:val="20"/>
              </w:rPr>
              <w:t>604</w:t>
            </w:r>
          </w:p>
        </w:tc>
      </w:tr>
      <w:tr w:rsidR="00811887" w14:paraId="6499D2AD" w14:textId="77777777" w:rsidTr="00486E22">
        <w:trPr>
          <w:trHeight w:val="235"/>
        </w:trPr>
        <w:tc>
          <w:tcPr>
            <w:tcW w:w="4257" w:type="dxa"/>
          </w:tcPr>
          <w:p w14:paraId="795486CD" w14:textId="77777777" w:rsidR="00811887" w:rsidRDefault="00811887" w:rsidP="00486E22">
            <w:pPr>
              <w:pStyle w:val="TableParagraph"/>
              <w:spacing w:before="5" w:line="210" w:lineRule="exact"/>
              <w:ind w:left="110"/>
              <w:rPr>
                <w:sz w:val="20"/>
              </w:rPr>
            </w:pPr>
            <w:r>
              <w:rPr>
                <w:w w:val="110"/>
                <w:sz w:val="20"/>
              </w:rPr>
              <w:t>Toowoomba</w:t>
            </w:r>
            <w:r>
              <w:rPr>
                <w:spacing w:val="-8"/>
                <w:w w:val="110"/>
                <w:sz w:val="20"/>
              </w:rPr>
              <w:t xml:space="preserve"> </w:t>
            </w:r>
            <w:r>
              <w:rPr>
                <w:w w:val="110"/>
                <w:sz w:val="20"/>
              </w:rPr>
              <w:t>-</w:t>
            </w:r>
            <w:r>
              <w:rPr>
                <w:spacing w:val="-1"/>
                <w:w w:val="110"/>
                <w:sz w:val="20"/>
              </w:rPr>
              <w:t xml:space="preserve"> </w:t>
            </w:r>
            <w:r>
              <w:rPr>
                <w:spacing w:val="-4"/>
                <w:w w:val="110"/>
                <w:sz w:val="20"/>
              </w:rPr>
              <w:t>Roma</w:t>
            </w:r>
          </w:p>
        </w:tc>
        <w:tc>
          <w:tcPr>
            <w:tcW w:w="958" w:type="dxa"/>
          </w:tcPr>
          <w:p w14:paraId="3AC45F2F" w14:textId="77777777" w:rsidR="00811887" w:rsidRDefault="00811887" w:rsidP="00486E22">
            <w:pPr>
              <w:pStyle w:val="TableParagraph"/>
              <w:spacing w:before="5" w:line="210" w:lineRule="exact"/>
              <w:ind w:left="60"/>
              <w:rPr>
                <w:sz w:val="20"/>
              </w:rPr>
            </w:pPr>
            <w:r>
              <w:rPr>
                <w:spacing w:val="-5"/>
                <w:w w:val="115"/>
                <w:sz w:val="20"/>
              </w:rPr>
              <w:t>12</w:t>
            </w:r>
          </w:p>
        </w:tc>
        <w:tc>
          <w:tcPr>
            <w:tcW w:w="1013" w:type="dxa"/>
          </w:tcPr>
          <w:p w14:paraId="1A845988" w14:textId="77777777" w:rsidR="00811887" w:rsidRDefault="00811887" w:rsidP="00486E22">
            <w:pPr>
              <w:pStyle w:val="TableParagraph"/>
              <w:spacing w:before="5" w:line="210" w:lineRule="exact"/>
              <w:ind w:left="115"/>
              <w:rPr>
                <w:sz w:val="20"/>
              </w:rPr>
            </w:pPr>
            <w:r>
              <w:rPr>
                <w:spacing w:val="-5"/>
                <w:w w:val="115"/>
                <w:sz w:val="20"/>
              </w:rPr>
              <w:t>78</w:t>
            </w:r>
          </w:p>
        </w:tc>
        <w:tc>
          <w:tcPr>
            <w:tcW w:w="1013" w:type="dxa"/>
          </w:tcPr>
          <w:p w14:paraId="626B6682" w14:textId="77777777" w:rsidR="00811887" w:rsidRDefault="00811887" w:rsidP="00486E22">
            <w:pPr>
              <w:pStyle w:val="TableParagraph"/>
              <w:spacing w:before="5" w:line="210" w:lineRule="exact"/>
              <w:ind w:left="4"/>
              <w:rPr>
                <w:sz w:val="20"/>
              </w:rPr>
            </w:pPr>
            <w:r>
              <w:rPr>
                <w:spacing w:val="-5"/>
                <w:w w:val="115"/>
                <w:sz w:val="20"/>
              </w:rPr>
              <w:t>231</w:t>
            </w:r>
          </w:p>
        </w:tc>
        <w:tc>
          <w:tcPr>
            <w:tcW w:w="1073" w:type="dxa"/>
          </w:tcPr>
          <w:p w14:paraId="4D487A98" w14:textId="77777777" w:rsidR="00811887" w:rsidRDefault="00811887" w:rsidP="00486E22">
            <w:pPr>
              <w:pStyle w:val="TableParagraph"/>
              <w:spacing w:before="5" w:line="210" w:lineRule="exact"/>
              <w:ind w:left="115"/>
              <w:rPr>
                <w:sz w:val="20"/>
              </w:rPr>
            </w:pPr>
            <w:r>
              <w:rPr>
                <w:spacing w:val="-5"/>
                <w:w w:val="115"/>
                <w:sz w:val="20"/>
              </w:rPr>
              <w:t>94</w:t>
            </w:r>
          </w:p>
        </w:tc>
        <w:tc>
          <w:tcPr>
            <w:tcW w:w="545" w:type="dxa"/>
          </w:tcPr>
          <w:p w14:paraId="7093EC3D" w14:textId="77777777" w:rsidR="00811887" w:rsidRDefault="00811887" w:rsidP="00486E22">
            <w:pPr>
              <w:pStyle w:val="TableParagraph"/>
              <w:spacing w:before="5" w:line="210" w:lineRule="exact"/>
              <w:ind w:right="252"/>
              <w:jc w:val="right"/>
              <w:rPr>
                <w:sz w:val="20"/>
              </w:rPr>
            </w:pPr>
            <w:r>
              <w:rPr>
                <w:spacing w:val="-5"/>
                <w:w w:val="115"/>
                <w:sz w:val="20"/>
              </w:rPr>
              <w:t>17</w:t>
            </w:r>
          </w:p>
        </w:tc>
        <w:tc>
          <w:tcPr>
            <w:tcW w:w="869" w:type="dxa"/>
          </w:tcPr>
          <w:p w14:paraId="75DAC3E3" w14:textId="77777777" w:rsidR="00811887" w:rsidRDefault="00811887" w:rsidP="00486E22">
            <w:pPr>
              <w:pStyle w:val="TableParagraph"/>
              <w:spacing w:before="5" w:line="210" w:lineRule="exact"/>
              <w:ind w:right="98"/>
              <w:jc w:val="right"/>
              <w:rPr>
                <w:sz w:val="20"/>
              </w:rPr>
            </w:pPr>
            <w:r>
              <w:rPr>
                <w:spacing w:val="-5"/>
                <w:w w:val="115"/>
                <w:sz w:val="20"/>
              </w:rPr>
              <w:t>432</w:t>
            </w:r>
          </w:p>
        </w:tc>
      </w:tr>
      <w:tr w:rsidR="00811887" w14:paraId="11D6D59D" w14:textId="77777777" w:rsidTr="00486E22">
        <w:trPr>
          <w:trHeight w:val="235"/>
        </w:trPr>
        <w:tc>
          <w:tcPr>
            <w:tcW w:w="4257" w:type="dxa"/>
          </w:tcPr>
          <w:p w14:paraId="7C341062" w14:textId="77777777" w:rsidR="00811887" w:rsidRDefault="00811887" w:rsidP="00486E22">
            <w:pPr>
              <w:pStyle w:val="TableParagraph"/>
              <w:spacing w:before="5" w:line="210" w:lineRule="exact"/>
              <w:ind w:left="110"/>
              <w:rPr>
                <w:sz w:val="20"/>
              </w:rPr>
            </w:pPr>
            <w:r>
              <w:rPr>
                <w:w w:val="110"/>
                <w:sz w:val="20"/>
              </w:rPr>
              <w:t>Torres</w:t>
            </w:r>
            <w:r>
              <w:rPr>
                <w:spacing w:val="8"/>
                <w:w w:val="110"/>
                <w:sz w:val="20"/>
              </w:rPr>
              <w:t xml:space="preserve"> </w:t>
            </w:r>
            <w:r>
              <w:rPr>
                <w:spacing w:val="-2"/>
                <w:w w:val="110"/>
                <w:sz w:val="20"/>
              </w:rPr>
              <w:t>Strait</w:t>
            </w:r>
          </w:p>
        </w:tc>
        <w:tc>
          <w:tcPr>
            <w:tcW w:w="958" w:type="dxa"/>
          </w:tcPr>
          <w:p w14:paraId="74658220" w14:textId="77777777" w:rsidR="00811887" w:rsidRDefault="00811887" w:rsidP="00486E22">
            <w:pPr>
              <w:pStyle w:val="TableParagraph"/>
              <w:spacing w:before="5" w:line="210" w:lineRule="exact"/>
              <w:ind w:left="175"/>
              <w:rPr>
                <w:sz w:val="20"/>
              </w:rPr>
            </w:pPr>
            <w:r>
              <w:rPr>
                <w:spacing w:val="-10"/>
                <w:w w:val="115"/>
                <w:sz w:val="20"/>
              </w:rPr>
              <w:t>4</w:t>
            </w:r>
          </w:p>
        </w:tc>
        <w:tc>
          <w:tcPr>
            <w:tcW w:w="1013" w:type="dxa"/>
          </w:tcPr>
          <w:p w14:paraId="753DEFA5" w14:textId="77777777" w:rsidR="00811887" w:rsidRDefault="00811887" w:rsidP="00486E22">
            <w:pPr>
              <w:pStyle w:val="TableParagraph"/>
              <w:spacing w:before="5" w:line="210" w:lineRule="exact"/>
              <w:ind w:left="115"/>
              <w:rPr>
                <w:sz w:val="20"/>
              </w:rPr>
            </w:pPr>
            <w:r>
              <w:rPr>
                <w:spacing w:val="-5"/>
                <w:w w:val="115"/>
                <w:sz w:val="20"/>
              </w:rPr>
              <w:t>25</w:t>
            </w:r>
          </w:p>
        </w:tc>
        <w:tc>
          <w:tcPr>
            <w:tcW w:w="1013" w:type="dxa"/>
          </w:tcPr>
          <w:p w14:paraId="641F8E0A" w14:textId="77777777" w:rsidR="00811887" w:rsidRDefault="00811887" w:rsidP="00486E22">
            <w:pPr>
              <w:pStyle w:val="TableParagraph"/>
              <w:spacing w:before="5" w:line="210" w:lineRule="exact"/>
              <w:ind w:left="115"/>
              <w:rPr>
                <w:sz w:val="20"/>
              </w:rPr>
            </w:pPr>
            <w:r>
              <w:rPr>
                <w:spacing w:val="-5"/>
                <w:w w:val="115"/>
                <w:sz w:val="20"/>
              </w:rPr>
              <w:t>74</w:t>
            </w:r>
          </w:p>
        </w:tc>
        <w:tc>
          <w:tcPr>
            <w:tcW w:w="1073" w:type="dxa"/>
          </w:tcPr>
          <w:p w14:paraId="299914A3" w14:textId="77777777" w:rsidR="00811887" w:rsidRDefault="00811887" w:rsidP="00486E22">
            <w:pPr>
              <w:pStyle w:val="TableParagraph"/>
              <w:spacing w:before="5" w:line="210" w:lineRule="exact"/>
              <w:ind w:left="115"/>
              <w:rPr>
                <w:sz w:val="20"/>
              </w:rPr>
            </w:pPr>
            <w:r>
              <w:rPr>
                <w:spacing w:val="-5"/>
                <w:w w:val="115"/>
                <w:sz w:val="20"/>
              </w:rPr>
              <w:t>30</w:t>
            </w:r>
          </w:p>
        </w:tc>
        <w:tc>
          <w:tcPr>
            <w:tcW w:w="545" w:type="dxa"/>
          </w:tcPr>
          <w:p w14:paraId="70B9867B" w14:textId="77777777" w:rsidR="00811887" w:rsidRDefault="00811887" w:rsidP="00486E22">
            <w:pPr>
              <w:pStyle w:val="TableParagraph"/>
              <w:spacing w:before="5" w:line="210" w:lineRule="exact"/>
              <w:ind w:right="252"/>
              <w:jc w:val="right"/>
              <w:rPr>
                <w:sz w:val="20"/>
              </w:rPr>
            </w:pPr>
            <w:r>
              <w:rPr>
                <w:spacing w:val="-10"/>
                <w:w w:val="115"/>
                <w:sz w:val="20"/>
              </w:rPr>
              <w:t>5</w:t>
            </w:r>
          </w:p>
        </w:tc>
        <w:tc>
          <w:tcPr>
            <w:tcW w:w="869" w:type="dxa"/>
          </w:tcPr>
          <w:p w14:paraId="186911A6" w14:textId="77777777" w:rsidR="00811887" w:rsidRDefault="00811887" w:rsidP="00486E22">
            <w:pPr>
              <w:pStyle w:val="TableParagraph"/>
              <w:spacing w:before="5" w:line="210" w:lineRule="exact"/>
              <w:ind w:right="98"/>
              <w:jc w:val="right"/>
              <w:rPr>
                <w:sz w:val="20"/>
              </w:rPr>
            </w:pPr>
            <w:r>
              <w:rPr>
                <w:spacing w:val="-5"/>
                <w:w w:val="115"/>
                <w:sz w:val="20"/>
              </w:rPr>
              <w:t>138</w:t>
            </w:r>
          </w:p>
        </w:tc>
      </w:tr>
      <w:tr w:rsidR="00811887" w14:paraId="539290E8" w14:textId="77777777" w:rsidTr="00486E22">
        <w:trPr>
          <w:trHeight w:val="235"/>
        </w:trPr>
        <w:tc>
          <w:tcPr>
            <w:tcW w:w="4257" w:type="dxa"/>
          </w:tcPr>
          <w:p w14:paraId="79CDA65F" w14:textId="77777777" w:rsidR="00811887" w:rsidRDefault="00811887" w:rsidP="00486E22">
            <w:pPr>
              <w:pStyle w:val="TableParagraph"/>
              <w:spacing w:before="5" w:line="210" w:lineRule="exact"/>
              <w:ind w:left="110"/>
              <w:rPr>
                <w:sz w:val="20"/>
              </w:rPr>
            </w:pPr>
            <w:r>
              <w:rPr>
                <w:w w:val="110"/>
                <w:sz w:val="20"/>
              </w:rPr>
              <w:t>Cairns</w:t>
            </w:r>
            <w:r>
              <w:rPr>
                <w:spacing w:val="5"/>
                <w:w w:val="110"/>
                <w:sz w:val="20"/>
              </w:rPr>
              <w:t xml:space="preserve"> </w:t>
            </w:r>
            <w:r>
              <w:rPr>
                <w:w w:val="110"/>
                <w:sz w:val="20"/>
              </w:rPr>
              <w:t>-</w:t>
            </w:r>
            <w:r>
              <w:rPr>
                <w:spacing w:val="10"/>
                <w:w w:val="110"/>
                <w:sz w:val="20"/>
              </w:rPr>
              <w:t xml:space="preserve"> </w:t>
            </w:r>
            <w:r>
              <w:rPr>
                <w:spacing w:val="-2"/>
                <w:w w:val="110"/>
                <w:sz w:val="20"/>
              </w:rPr>
              <w:t>Atherton</w:t>
            </w:r>
          </w:p>
        </w:tc>
        <w:tc>
          <w:tcPr>
            <w:tcW w:w="958" w:type="dxa"/>
          </w:tcPr>
          <w:p w14:paraId="61748F82" w14:textId="77777777" w:rsidR="00811887" w:rsidRDefault="00811887" w:rsidP="00486E22">
            <w:pPr>
              <w:pStyle w:val="TableParagraph"/>
              <w:spacing w:before="5" w:line="210" w:lineRule="exact"/>
              <w:ind w:left="60"/>
              <w:rPr>
                <w:sz w:val="20"/>
              </w:rPr>
            </w:pPr>
            <w:r>
              <w:rPr>
                <w:spacing w:val="-5"/>
                <w:w w:val="115"/>
                <w:sz w:val="20"/>
              </w:rPr>
              <w:t>25</w:t>
            </w:r>
          </w:p>
        </w:tc>
        <w:tc>
          <w:tcPr>
            <w:tcW w:w="1013" w:type="dxa"/>
          </w:tcPr>
          <w:p w14:paraId="4FB257F3" w14:textId="77777777" w:rsidR="00811887" w:rsidRDefault="00811887" w:rsidP="00486E22">
            <w:pPr>
              <w:pStyle w:val="TableParagraph"/>
              <w:spacing w:before="5" w:line="210" w:lineRule="exact"/>
              <w:ind w:left="4"/>
              <w:rPr>
                <w:sz w:val="20"/>
              </w:rPr>
            </w:pPr>
            <w:r>
              <w:rPr>
                <w:spacing w:val="-5"/>
                <w:w w:val="115"/>
                <w:sz w:val="20"/>
              </w:rPr>
              <w:t>160</w:t>
            </w:r>
          </w:p>
        </w:tc>
        <w:tc>
          <w:tcPr>
            <w:tcW w:w="1013" w:type="dxa"/>
          </w:tcPr>
          <w:p w14:paraId="07E4EA6F" w14:textId="77777777" w:rsidR="00811887" w:rsidRDefault="00811887" w:rsidP="00486E22">
            <w:pPr>
              <w:pStyle w:val="TableParagraph"/>
              <w:spacing w:before="5" w:line="210" w:lineRule="exact"/>
              <w:ind w:left="4"/>
              <w:rPr>
                <w:sz w:val="20"/>
              </w:rPr>
            </w:pPr>
            <w:r>
              <w:rPr>
                <w:spacing w:val="-5"/>
                <w:w w:val="115"/>
                <w:sz w:val="20"/>
              </w:rPr>
              <w:t>472</w:t>
            </w:r>
          </w:p>
        </w:tc>
        <w:tc>
          <w:tcPr>
            <w:tcW w:w="1073" w:type="dxa"/>
          </w:tcPr>
          <w:p w14:paraId="7402600A" w14:textId="77777777" w:rsidR="00811887" w:rsidRDefault="00811887" w:rsidP="00486E22">
            <w:pPr>
              <w:pStyle w:val="TableParagraph"/>
              <w:spacing w:before="5" w:line="210" w:lineRule="exact"/>
              <w:ind w:left="5"/>
              <w:rPr>
                <w:sz w:val="20"/>
              </w:rPr>
            </w:pPr>
            <w:r>
              <w:rPr>
                <w:spacing w:val="-5"/>
                <w:w w:val="115"/>
                <w:sz w:val="20"/>
              </w:rPr>
              <w:t>192</w:t>
            </w:r>
          </w:p>
        </w:tc>
        <w:tc>
          <w:tcPr>
            <w:tcW w:w="545" w:type="dxa"/>
          </w:tcPr>
          <w:p w14:paraId="1A2B56EC" w14:textId="77777777" w:rsidR="00811887" w:rsidRDefault="00811887" w:rsidP="00486E22">
            <w:pPr>
              <w:pStyle w:val="TableParagraph"/>
              <w:spacing w:before="5" w:line="210" w:lineRule="exact"/>
              <w:ind w:right="252"/>
              <w:jc w:val="right"/>
              <w:rPr>
                <w:sz w:val="20"/>
              </w:rPr>
            </w:pPr>
            <w:r>
              <w:rPr>
                <w:spacing w:val="-5"/>
                <w:w w:val="115"/>
                <w:sz w:val="20"/>
              </w:rPr>
              <w:t>35</w:t>
            </w:r>
          </w:p>
        </w:tc>
        <w:tc>
          <w:tcPr>
            <w:tcW w:w="869" w:type="dxa"/>
          </w:tcPr>
          <w:p w14:paraId="0BB255CF" w14:textId="77777777" w:rsidR="00811887" w:rsidRDefault="00811887" w:rsidP="00486E22">
            <w:pPr>
              <w:pStyle w:val="TableParagraph"/>
              <w:spacing w:before="5" w:line="210" w:lineRule="exact"/>
              <w:ind w:right="98"/>
              <w:jc w:val="right"/>
              <w:rPr>
                <w:sz w:val="20"/>
              </w:rPr>
            </w:pPr>
            <w:r>
              <w:rPr>
                <w:spacing w:val="-5"/>
                <w:w w:val="115"/>
                <w:sz w:val="20"/>
              </w:rPr>
              <w:t>883</w:t>
            </w:r>
          </w:p>
        </w:tc>
      </w:tr>
      <w:tr w:rsidR="00811887" w14:paraId="6C975BE0" w14:textId="77777777" w:rsidTr="00486E22">
        <w:trPr>
          <w:trHeight w:val="235"/>
        </w:trPr>
        <w:tc>
          <w:tcPr>
            <w:tcW w:w="4257" w:type="dxa"/>
          </w:tcPr>
          <w:p w14:paraId="38CE02A7" w14:textId="77777777" w:rsidR="00811887" w:rsidRDefault="00811887" w:rsidP="00486E22">
            <w:pPr>
              <w:pStyle w:val="TableParagraph"/>
              <w:spacing w:before="5" w:line="214" w:lineRule="exact"/>
              <w:ind w:left="110"/>
              <w:rPr>
                <w:sz w:val="20"/>
              </w:rPr>
            </w:pPr>
            <w:r>
              <w:rPr>
                <w:w w:val="105"/>
                <w:sz w:val="20"/>
              </w:rPr>
              <w:t>Townsville</w:t>
            </w:r>
            <w:r>
              <w:rPr>
                <w:spacing w:val="8"/>
                <w:w w:val="105"/>
                <w:sz w:val="20"/>
              </w:rPr>
              <w:t xml:space="preserve"> </w:t>
            </w:r>
            <w:r>
              <w:rPr>
                <w:w w:val="105"/>
                <w:sz w:val="20"/>
              </w:rPr>
              <w:t>-</w:t>
            </w:r>
            <w:r>
              <w:rPr>
                <w:spacing w:val="15"/>
                <w:w w:val="105"/>
                <w:sz w:val="20"/>
              </w:rPr>
              <w:t xml:space="preserve"> </w:t>
            </w:r>
            <w:r>
              <w:rPr>
                <w:spacing w:val="-2"/>
                <w:w w:val="105"/>
                <w:sz w:val="20"/>
              </w:rPr>
              <w:t>Mackay</w:t>
            </w:r>
          </w:p>
        </w:tc>
        <w:tc>
          <w:tcPr>
            <w:tcW w:w="958" w:type="dxa"/>
          </w:tcPr>
          <w:p w14:paraId="5248897F" w14:textId="77777777" w:rsidR="00811887" w:rsidRDefault="00811887" w:rsidP="00486E22">
            <w:pPr>
              <w:pStyle w:val="TableParagraph"/>
              <w:spacing w:before="5" w:line="214" w:lineRule="exact"/>
              <w:ind w:left="60"/>
              <w:rPr>
                <w:sz w:val="20"/>
              </w:rPr>
            </w:pPr>
            <w:r>
              <w:rPr>
                <w:spacing w:val="-5"/>
                <w:w w:val="115"/>
                <w:sz w:val="20"/>
              </w:rPr>
              <w:t>18</w:t>
            </w:r>
          </w:p>
        </w:tc>
        <w:tc>
          <w:tcPr>
            <w:tcW w:w="1013" w:type="dxa"/>
          </w:tcPr>
          <w:p w14:paraId="43CFBC41" w14:textId="77777777" w:rsidR="00811887" w:rsidRDefault="00811887" w:rsidP="00486E22">
            <w:pPr>
              <w:pStyle w:val="TableParagraph"/>
              <w:spacing w:before="5" w:line="214" w:lineRule="exact"/>
              <w:ind w:left="4"/>
              <w:rPr>
                <w:sz w:val="20"/>
              </w:rPr>
            </w:pPr>
            <w:r>
              <w:rPr>
                <w:spacing w:val="-5"/>
                <w:w w:val="115"/>
                <w:sz w:val="20"/>
              </w:rPr>
              <w:t>114</w:t>
            </w:r>
          </w:p>
        </w:tc>
        <w:tc>
          <w:tcPr>
            <w:tcW w:w="1013" w:type="dxa"/>
          </w:tcPr>
          <w:p w14:paraId="1375F1C4" w14:textId="77777777" w:rsidR="00811887" w:rsidRDefault="00811887" w:rsidP="00486E22">
            <w:pPr>
              <w:pStyle w:val="TableParagraph"/>
              <w:spacing w:before="5" w:line="214" w:lineRule="exact"/>
              <w:ind w:left="4"/>
              <w:rPr>
                <w:sz w:val="20"/>
              </w:rPr>
            </w:pPr>
            <w:r>
              <w:rPr>
                <w:spacing w:val="-5"/>
                <w:w w:val="115"/>
                <w:sz w:val="20"/>
              </w:rPr>
              <w:t>336</w:t>
            </w:r>
          </w:p>
        </w:tc>
        <w:tc>
          <w:tcPr>
            <w:tcW w:w="1073" w:type="dxa"/>
          </w:tcPr>
          <w:p w14:paraId="2EC8B21D" w14:textId="77777777" w:rsidR="00811887" w:rsidRDefault="00811887" w:rsidP="00486E22">
            <w:pPr>
              <w:pStyle w:val="TableParagraph"/>
              <w:spacing w:before="5" w:line="214" w:lineRule="exact"/>
              <w:ind w:left="5"/>
              <w:rPr>
                <w:sz w:val="20"/>
              </w:rPr>
            </w:pPr>
            <w:r>
              <w:rPr>
                <w:spacing w:val="-5"/>
                <w:w w:val="115"/>
                <w:sz w:val="20"/>
              </w:rPr>
              <w:t>137</w:t>
            </w:r>
          </w:p>
        </w:tc>
        <w:tc>
          <w:tcPr>
            <w:tcW w:w="545" w:type="dxa"/>
          </w:tcPr>
          <w:p w14:paraId="6465C811" w14:textId="77777777" w:rsidR="00811887" w:rsidRDefault="00811887" w:rsidP="00486E22">
            <w:pPr>
              <w:pStyle w:val="TableParagraph"/>
              <w:spacing w:before="5" w:line="214" w:lineRule="exact"/>
              <w:ind w:right="252"/>
              <w:jc w:val="right"/>
              <w:rPr>
                <w:sz w:val="20"/>
              </w:rPr>
            </w:pPr>
            <w:r>
              <w:rPr>
                <w:spacing w:val="-5"/>
                <w:w w:val="115"/>
                <w:sz w:val="20"/>
              </w:rPr>
              <w:t>25</w:t>
            </w:r>
          </w:p>
        </w:tc>
        <w:tc>
          <w:tcPr>
            <w:tcW w:w="869" w:type="dxa"/>
          </w:tcPr>
          <w:p w14:paraId="2FB92398" w14:textId="77777777" w:rsidR="00811887" w:rsidRDefault="00811887" w:rsidP="00486E22">
            <w:pPr>
              <w:pStyle w:val="TableParagraph"/>
              <w:spacing w:before="5" w:line="214" w:lineRule="exact"/>
              <w:ind w:right="98"/>
              <w:jc w:val="right"/>
              <w:rPr>
                <w:sz w:val="20"/>
              </w:rPr>
            </w:pPr>
            <w:r>
              <w:rPr>
                <w:spacing w:val="-5"/>
                <w:w w:val="115"/>
                <w:sz w:val="20"/>
              </w:rPr>
              <w:t>629</w:t>
            </w:r>
          </w:p>
        </w:tc>
      </w:tr>
      <w:tr w:rsidR="00811887" w14:paraId="4AE3DC26" w14:textId="77777777" w:rsidTr="00486E22">
        <w:trPr>
          <w:trHeight w:val="235"/>
        </w:trPr>
        <w:tc>
          <w:tcPr>
            <w:tcW w:w="9728" w:type="dxa"/>
            <w:gridSpan w:val="7"/>
            <w:tcBorders>
              <w:right w:val="single" w:sz="4" w:space="0" w:color="000000"/>
            </w:tcBorders>
            <w:shd w:val="clear" w:color="auto" w:fill="AFCAC7"/>
          </w:tcPr>
          <w:p w14:paraId="05ACA288" w14:textId="77777777" w:rsidR="00811887" w:rsidRDefault="00811887" w:rsidP="00486E22">
            <w:pPr>
              <w:pStyle w:val="TableParagraph"/>
              <w:spacing w:before="1" w:line="214" w:lineRule="exact"/>
              <w:ind w:left="15"/>
              <w:jc w:val="center"/>
              <w:rPr>
                <w:sz w:val="20"/>
              </w:rPr>
            </w:pPr>
            <w:r w:rsidRPr="00630A63">
              <w:rPr>
                <w:w w:val="110"/>
                <w:sz w:val="20"/>
              </w:rPr>
              <w:t>South</w:t>
            </w:r>
            <w:r w:rsidRPr="00630A63">
              <w:rPr>
                <w:spacing w:val="8"/>
                <w:w w:val="110"/>
                <w:sz w:val="20"/>
              </w:rPr>
              <w:t xml:space="preserve"> </w:t>
            </w:r>
            <w:r w:rsidRPr="00630A63">
              <w:rPr>
                <w:spacing w:val="-2"/>
                <w:w w:val="110"/>
                <w:sz w:val="20"/>
              </w:rPr>
              <w:t>Australia</w:t>
            </w:r>
          </w:p>
        </w:tc>
      </w:tr>
      <w:tr w:rsidR="00811887" w14:paraId="78CC4719" w14:textId="77777777" w:rsidTr="00486E22">
        <w:trPr>
          <w:trHeight w:val="235"/>
        </w:trPr>
        <w:tc>
          <w:tcPr>
            <w:tcW w:w="4257" w:type="dxa"/>
          </w:tcPr>
          <w:p w14:paraId="2281861B" w14:textId="77777777" w:rsidR="00811887" w:rsidRDefault="00811887" w:rsidP="00486E22">
            <w:pPr>
              <w:pStyle w:val="TableParagraph"/>
              <w:spacing w:before="1" w:line="210" w:lineRule="exact"/>
              <w:ind w:left="110"/>
              <w:rPr>
                <w:sz w:val="20"/>
              </w:rPr>
            </w:pPr>
            <w:r>
              <w:rPr>
                <w:spacing w:val="-2"/>
                <w:w w:val="110"/>
                <w:sz w:val="20"/>
              </w:rPr>
              <w:t>Adelaide</w:t>
            </w:r>
          </w:p>
        </w:tc>
        <w:tc>
          <w:tcPr>
            <w:tcW w:w="958" w:type="dxa"/>
          </w:tcPr>
          <w:p w14:paraId="5E028DA7" w14:textId="77777777" w:rsidR="00811887" w:rsidRDefault="00811887" w:rsidP="00486E22">
            <w:pPr>
              <w:pStyle w:val="TableParagraph"/>
              <w:spacing w:before="1" w:line="210" w:lineRule="exact"/>
              <w:ind w:left="60"/>
              <w:rPr>
                <w:sz w:val="20"/>
              </w:rPr>
            </w:pPr>
            <w:r>
              <w:rPr>
                <w:spacing w:val="-5"/>
                <w:w w:val="115"/>
                <w:sz w:val="20"/>
              </w:rPr>
              <w:t>20</w:t>
            </w:r>
          </w:p>
        </w:tc>
        <w:tc>
          <w:tcPr>
            <w:tcW w:w="1013" w:type="dxa"/>
          </w:tcPr>
          <w:p w14:paraId="23012353" w14:textId="77777777" w:rsidR="00811887" w:rsidRDefault="00811887" w:rsidP="00486E22">
            <w:pPr>
              <w:pStyle w:val="TableParagraph"/>
              <w:spacing w:before="1" w:line="210" w:lineRule="exact"/>
              <w:ind w:left="4"/>
              <w:rPr>
                <w:sz w:val="20"/>
              </w:rPr>
            </w:pPr>
            <w:r>
              <w:rPr>
                <w:spacing w:val="-5"/>
                <w:w w:val="115"/>
                <w:sz w:val="20"/>
              </w:rPr>
              <w:t>128</w:t>
            </w:r>
          </w:p>
        </w:tc>
        <w:tc>
          <w:tcPr>
            <w:tcW w:w="1013" w:type="dxa"/>
          </w:tcPr>
          <w:p w14:paraId="7DB4F0F4" w14:textId="77777777" w:rsidR="00811887" w:rsidRDefault="00811887" w:rsidP="00486E22">
            <w:pPr>
              <w:pStyle w:val="TableParagraph"/>
              <w:spacing w:before="1" w:line="210" w:lineRule="exact"/>
              <w:ind w:left="4"/>
              <w:rPr>
                <w:sz w:val="20"/>
              </w:rPr>
            </w:pPr>
            <w:r>
              <w:rPr>
                <w:spacing w:val="-5"/>
                <w:w w:val="115"/>
                <w:sz w:val="20"/>
              </w:rPr>
              <w:t>379</w:t>
            </w:r>
          </w:p>
        </w:tc>
        <w:tc>
          <w:tcPr>
            <w:tcW w:w="1073" w:type="dxa"/>
          </w:tcPr>
          <w:p w14:paraId="218CBDA0" w14:textId="77777777" w:rsidR="00811887" w:rsidRDefault="00811887" w:rsidP="00486E22">
            <w:pPr>
              <w:pStyle w:val="TableParagraph"/>
              <w:spacing w:before="1" w:line="210" w:lineRule="exact"/>
              <w:ind w:left="5"/>
              <w:rPr>
                <w:sz w:val="20"/>
              </w:rPr>
            </w:pPr>
            <w:r>
              <w:rPr>
                <w:spacing w:val="-5"/>
                <w:w w:val="115"/>
                <w:sz w:val="20"/>
              </w:rPr>
              <w:t>154</w:t>
            </w:r>
          </w:p>
        </w:tc>
        <w:tc>
          <w:tcPr>
            <w:tcW w:w="545" w:type="dxa"/>
          </w:tcPr>
          <w:p w14:paraId="2F5355B4" w14:textId="77777777" w:rsidR="00811887" w:rsidRDefault="00811887" w:rsidP="00486E22">
            <w:pPr>
              <w:pStyle w:val="TableParagraph"/>
              <w:spacing w:before="1" w:line="210" w:lineRule="exact"/>
              <w:ind w:right="252"/>
              <w:jc w:val="right"/>
              <w:rPr>
                <w:sz w:val="20"/>
              </w:rPr>
            </w:pPr>
            <w:r>
              <w:rPr>
                <w:spacing w:val="-5"/>
                <w:w w:val="115"/>
                <w:sz w:val="20"/>
              </w:rPr>
              <w:t>28</w:t>
            </w:r>
          </w:p>
        </w:tc>
        <w:tc>
          <w:tcPr>
            <w:tcW w:w="869" w:type="dxa"/>
          </w:tcPr>
          <w:p w14:paraId="2B0BA52C" w14:textId="77777777" w:rsidR="00811887" w:rsidRDefault="00811887" w:rsidP="00486E22">
            <w:pPr>
              <w:pStyle w:val="TableParagraph"/>
              <w:spacing w:before="1" w:line="210" w:lineRule="exact"/>
              <w:ind w:right="98"/>
              <w:jc w:val="right"/>
              <w:rPr>
                <w:sz w:val="20"/>
              </w:rPr>
            </w:pPr>
            <w:r>
              <w:rPr>
                <w:spacing w:val="-5"/>
                <w:w w:val="115"/>
                <w:sz w:val="20"/>
              </w:rPr>
              <w:t>709</w:t>
            </w:r>
          </w:p>
        </w:tc>
      </w:tr>
      <w:tr w:rsidR="00811887" w14:paraId="7DA08C04" w14:textId="77777777" w:rsidTr="00486E22">
        <w:trPr>
          <w:trHeight w:val="235"/>
        </w:trPr>
        <w:tc>
          <w:tcPr>
            <w:tcW w:w="4257" w:type="dxa"/>
          </w:tcPr>
          <w:p w14:paraId="4FD07A2D" w14:textId="77777777" w:rsidR="00811887" w:rsidRDefault="00811887" w:rsidP="00486E22">
            <w:pPr>
              <w:pStyle w:val="TableParagraph"/>
              <w:spacing w:before="5" w:line="210" w:lineRule="exact"/>
              <w:ind w:left="110"/>
              <w:rPr>
                <w:sz w:val="20"/>
              </w:rPr>
            </w:pPr>
            <w:r>
              <w:rPr>
                <w:w w:val="110"/>
                <w:sz w:val="20"/>
              </w:rPr>
              <w:t>Port</w:t>
            </w:r>
            <w:r>
              <w:rPr>
                <w:spacing w:val="3"/>
                <w:w w:val="110"/>
                <w:sz w:val="20"/>
              </w:rPr>
              <w:t xml:space="preserve"> </w:t>
            </w:r>
            <w:r>
              <w:rPr>
                <w:spacing w:val="-2"/>
                <w:w w:val="110"/>
                <w:sz w:val="20"/>
              </w:rPr>
              <w:t>Augusta</w:t>
            </w:r>
          </w:p>
        </w:tc>
        <w:tc>
          <w:tcPr>
            <w:tcW w:w="958" w:type="dxa"/>
          </w:tcPr>
          <w:p w14:paraId="0BEBE000" w14:textId="77777777" w:rsidR="00811887" w:rsidRDefault="00811887" w:rsidP="00486E22">
            <w:pPr>
              <w:pStyle w:val="TableParagraph"/>
              <w:spacing w:before="5" w:line="210" w:lineRule="exact"/>
              <w:ind w:left="175"/>
              <w:rPr>
                <w:sz w:val="20"/>
              </w:rPr>
            </w:pPr>
            <w:r>
              <w:rPr>
                <w:spacing w:val="-10"/>
                <w:w w:val="115"/>
                <w:sz w:val="20"/>
              </w:rPr>
              <w:t>7</w:t>
            </w:r>
          </w:p>
        </w:tc>
        <w:tc>
          <w:tcPr>
            <w:tcW w:w="1013" w:type="dxa"/>
          </w:tcPr>
          <w:p w14:paraId="72FD16B2" w14:textId="77777777" w:rsidR="00811887" w:rsidRDefault="00811887" w:rsidP="00486E22">
            <w:pPr>
              <w:pStyle w:val="TableParagraph"/>
              <w:spacing w:before="5" w:line="210" w:lineRule="exact"/>
              <w:ind w:left="115"/>
              <w:rPr>
                <w:sz w:val="20"/>
              </w:rPr>
            </w:pPr>
            <w:r>
              <w:rPr>
                <w:spacing w:val="-5"/>
                <w:w w:val="115"/>
                <w:sz w:val="20"/>
              </w:rPr>
              <w:t>48</w:t>
            </w:r>
          </w:p>
        </w:tc>
        <w:tc>
          <w:tcPr>
            <w:tcW w:w="1013" w:type="dxa"/>
          </w:tcPr>
          <w:p w14:paraId="725C9B6E" w14:textId="77777777" w:rsidR="00811887" w:rsidRDefault="00811887" w:rsidP="00486E22">
            <w:pPr>
              <w:pStyle w:val="TableParagraph"/>
              <w:spacing w:before="5" w:line="210" w:lineRule="exact"/>
              <w:ind w:left="4"/>
              <w:rPr>
                <w:sz w:val="20"/>
              </w:rPr>
            </w:pPr>
            <w:r>
              <w:rPr>
                <w:spacing w:val="-5"/>
                <w:w w:val="115"/>
                <w:sz w:val="20"/>
              </w:rPr>
              <w:t>142</w:t>
            </w:r>
          </w:p>
        </w:tc>
        <w:tc>
          <w:tcPr>
            <w:tcW w:w="1073" w:type="dxa"/>
          </w:tcPr>
          <w:p w14:paraId="65C3B309" w14:textId="77777777" w:rsidR="00811887" w:rsidRDefault="00811887" w:rsidP="00486E22">
            <w:pPr>
              <w:pStyle w:val="TableParagraph"/>
              <w:spacing w:before="5" w:line="210" w:lineRule="exact"/>
              <w:ind w:left="115"/>
              <w:rPr>
                <w:sz w:val="20"/>
              </w:rPr>
            </w:pPr>
            <w:r>
              <w:rPr>
                <w:spacing w:val="-5"/>
                <w:w w:val="115"/>
                <w:sz w:val="20"/>
              </w:rPr>
              <w:t>58</w:t>
            </w:r>
          </w:p>
        </w:tc>
        <w:tc>
          <w:tcPr>
            <w:tcW w:w="545" w:type="dxa"/>
          </w:tcPr>
          <w:p w14:paraId="1FB845A6" w14:textId="77777777" w:rsidR="00811887" w:rsidRDefault="00811887" w:rsidP="00486E22">
            <w:pPr>
              <w:pStyle w:val="TableParagraph"/>
              <w:spacing w:before="5" w:line="210" w:lineRule="exact"/>
              <w:ind w:right="252"/>
              <w:jc w:val="right"/>
              <w:rPr>
                <w:sz w:val="20"/>
              </w:rPr>
            </w:pPr>
            <w:r>
              <w:rPr>
                <w:spacing w:val="-5"/>
                <w:w w:val="115"/>
                <w:sz w:val="20"/>
              </w:rPr>
              <w:t>10</w:t>
            </w:r>
          </w:p>
        </w:tc>
        <w:tc>
          <w:tcPr>
            <w:tcW w:w="869" w:type="dxa"/>
          </w:tcPr>
          <w:p w14:paraId="7B54C1ED" w14:textId="77777777" w:rsidR="00811887" w:rsidRDefault="00811887" w:rsidP="00486E22">
            <w:pPr>
              <w:pStyle w:val="TableParagraph"/>
              <w:spacing w:before="5" w:line="210" w:lineRule="exact"/>
              <w:ind w:right="98"/>
              <w:jc w:val="right"/>
              <w:rPr>
                <w:sz w:val="20"/>
              </w:rPr>
            </w:pPr>
            <w:r>
              <w:rPr>
                <w:spacing w:val="-5"/>
                <w:w w:val="115"/>
                <w:sz w:val="20"/>
              </w:rPr>
              <w:t>266</w:t>
            </w:r>
          </w:p>
        </w:tc>
      </w:tr>
      <w:tr w:rsidR="00811887" w14:paraId="1E03AC59" w14:textId="77777777" w:rsidTr="00486E22">
        <w:trPr>
          <w:trHeight w:val="235"/>
        </w:trPr>
        <w:tc>
          <w:tcPr>
            <w:tcW w:w="4257" w:type="dxa"/>
          </w:tcPr>
          <w:p w14:paraId="13287D73" w14:textId="77777777" w:rsidR="00811887" w:rsidRDefault="00811887" w:rsidP="00486E22">
            <w:pPr>
              <w:pStyle w:val="TableParagraph"/>
              <w:spacing w:before="5" w:line="214" w:lineRule="exact"/>
              <w:ind w:left="110"/>
              <w:rPr>
                <w:sz w:val="20"/>
              </w:rPr>
            </w:pPr>
            <w:r>
              <w:rPr>
                <w:w w:val="110"/>
                <w:sz w:val="20"/>
              </w:rPr>
              <w:t>Port</w:t>
            </w:r>
            <w:r>
              <w:rPr>
                <w:spacing w:val="-3"/>
                <w:w w:val="110"/>
                <w:sz w:val="20"/>
              </w:rPr>
              <w:t xml:space="preserve"> </w:t>
            </w:r>
            <w:r>
              <w:rPr>
                <w:w w:val="110"/>
                <w:sz w:val="20"/>
              </w:rPr>
              <w:t>Lincoln</w:t>
            </w:r>
            <w:r>
              <w:rPr>
                <w:spacing w:val="6"/>
                <w:w w:val="110"/>
                <w:sz w:val="20"/>
              </w:rPr>
              <w:t xml:space="preserve"> </w:t>
            </w:r>
            <w:r>
              <w:rPr>
                <w:w w:val="110"/>
                <w:sz w:val="20"/>
              </w:rPr>
              <w:t>-</w:t>
            </w:r>
            <w:r>
              <w:rPr>
                <w:spacing w:val="1"/>
                <w:w w:val="110"/>
                <w:sz w:val="20"/>
              </w:rPr>
              <w:t xml:space="preserve"> </w:t>
            </w:r>
            <w:r>
              <w:rPr>
                <w:spacing w:val="-2"/>
                <w:w w:val="110"/>
                <w:sz w:val="20"/>
              </w:rPr>
              <w:t>Ceduna</w:t>
            </w:r>
          </w:p>
        </w:tc>
        <w:tc>
          <w:tcPr>
            <w:tcW w:w="958" w:type="dxa"/>
          </w:tcPr>
          <w:p w14:paraId="13617255" w14:textId="77777777" w:rsidR="00811887" w:rsidRDefault="00811887" w:rsidP="00486E22">
            <w:pPr>
              <w:pStyle w:val="TableParagraph"/>
              <w:spacing w:before="5" w:line="214" w:lineRule="exact"/>
              <w:ind w:left="175"/>
              <w:rPr>
                <w:sz w:val="20"/>
              </w:rPr>
            </w:pPr>
            <w:r>
              <w:rPr>
                <w:spacing w:val="-10"/>
                <w:w w:val="115"/>
                <w:sz w:val="20"/>
              </w:rPr>
              <w:t>2</w:t>
            </w:r>
          </w:p>
        </w:tc>
        <w:tc>
          <w:tcPr>
            <w:tcW w:w="1013" w:type="dxa"/>
          </w:tcPr>
          <w:p w14:paraId="1C6BDA48" w14:textId="77777777" w:rsidR="00811887" w:rsidRDefault="00811887" w:rsidP="00486E22">
            <w:pPr>
              <w:pStyle w:val="TableParagraph"/>
              <w:spacing w:before="5" w:line="214" w:lineRule="exact"/>
              <w:ind w:left="115"/>
              <w:rPr>
                <w:sz w:val="20"/>
              </w:rPr>
            </w:pPr>
            <w:r>
              <w:rPr>
                <w:spacing w:val="-5"/>
                <w:w w:val="115"/>
                <w:sz w:val="20"/>
              </w:rPr>
              <w:t>13</w:t>
            </w:r>
          </w:p>
        </w:tc>
        <w:tc>
          <w:tcPr>
            <w:tcW w:w="1013" w:type="dxa"/>
          </w:tcPr>
          <w:p w14:paraId="70A1C6DB" w14:textId="77777777" w:rsidR="00811887" w:rsidRDefault="00811887" w:rsidP="00486E22">
            <w:pPr>
              <w:pStyle w:val="TableParagraph"/>
              <w:spacing w:before="5" w:line="214" w:lineRule="exact"/>
              <w:ind w:left="115"/>
              <w:rPr>
                <w:sz w:val="20"/>
              </w:rPr>
            </w:pPr>
            <w:r>
              <w:rPr>
                <w:spacing w:val="-5"/>
                <w:w w:val="115"/>
                <w:sz w:val="20"/>
              </w:rPr>
              <w:t>40</w:t>
            </w:r>
          </w:p>
        </w:tc>
        <w:tc>
          <w:tcPr>
            <w:tcW w:w="1073" w:type="dxa"/>
          </w:tcPr>
          <w:p w14:paraId="0956C370" w14:textId="77777777" w:rsidR="00811887" w:rsidRDefault="00811887" w:rsidP="00486E22">
            <w:pPr>
              <w:pStyle w:val="TableParagraph"/>
              <w:spacing w:before="5" w:line="214" w:lineRule="exact"/>
              <w:ind w:left="115"/>
              <w:rPr>
                <w:sz w:val="20"/>
              </w:rPr>
            </w:pPr>
            <w:r>
              <w:rPr>
                <w:spacing w:val="-5"/>
                <w:w w:val="115"/>
                <w:sz w:val="20"/>
              </w:rPr>
              <w:t>16</w:t>
            </w:r>
          </w:p>
        </w:tc>
        <w:tc>
          <w:tcPr>
            <w:tcW w:w="545" w:type="dxa"/>
          </w:tcPr>
          <w:p w14:paraId="6094472C" w14:textId="77777777" w:rsidR="00811887" w:rsidRDefault="00811887" w:rsidP="00486E22">
            <w:pPr>
              <w:pStyle w:val="TableParagraph"/>
              <w:spacing w:before="5" w:line="214" w:lineRule="exact"/>
              <w:ind w:right="252"/>
              <w:jc w:val="right"/>
              <w:rPr>
                <w:sz w:val="20"/>
              </w:rPr>
            </w:pPr>
            <w:r>
              <w:rPr>
                <w:spacing w:val="-10"/>
                <w:w w:val="115"/>
                <w:sz w:val="20"/>
              </w:rPr>
              <w:t>3</w:t>
            </w:r>
          </w:p>
        </w:tc>
        <w:tc>
          <w:tcPr>
            <w:tcW w:w="869" w:type="dxa"/>
          </w:tcPr>
          <w:p w14:paraId="337B589F" w14:textId="77777777" w:rsidR="00811887" w:rsidRDefault="00811887" w:rsidP="00486E22">
            <w:pPr>
              <w:pStyle w:val="TableParagraph"/>
              <w:spacing w:before="5" w:line="214" w:lineRule="exact"/>
              <w:ind w:right="102"/>
              <w:jc w:val="right"/>
              <w:rPr>
                <w:sz w:val="20"/>
              </w:rPr>
            </w:pPr>
            <w:r>
              <w:rPr>
                <w:spacing w:val="-5"/>
                <w:w w:val="115"/>
                <w:sz w:val="20"/>
              </w:rPr>
              <w:t>74</w:t>
            </w:r>
          </w:p>
        </w:tc>
      </w:tr>
      <w:tr w:rsidR="00811887" w14:paraId="6C9B7EF2" w14:textId="77777777" w:rsidTr="00486E22">
        <w:trPr>
          <w:trHeight w:val="235"/>
        </w:trPr>
        <w:tc>
          <w:tcPr>
            <w:tcW w:w="9728" w:type="dxa"/>
            <w:gridSpan w:val="7"/>
            <w:tcBorders>
              <w:right w:val="single" w:sz="4" w:space="0" w:color="000000"/>
            </w:tcBorders>
            <w:shd w:val="clear" w:color="auto" w:fill="AFCAC7"/>
          </w:tcPr>
          <w:p w14:paraId="0DF78AFB" w14:textId="77777777" w:rsidR="00811887" w:rsidRDefault="00811887" w:rsidP="00486E22">
            <w:pPr>
              <w:pStyle w:val="TableParagraph"/>
              <w:spacing w:before="1" w:line="214" w:lineRule="exact"/>
              <w:ind w:left="15" w:right="5"/>
              <w:jc w:val="center"/>
              <w:rPr>
                <w:sz w:val="20"/>
              </w:rPr>
            </w:pPr>
            <w:r w:rsidRPr="00630A63">
              <w:rPr>
                <w:w w:val="110"/>
                <w:sz w:val="20"/>
              </w:rPr>
              <w:t>Western</w:t>
            </w:r>
            <w:r w:rsidRPr="00630A63">
              <w:rPr>
                <w:spacing w:val="-10"/>
                <w:w w:val="110"/>
                <w:sz w:val="20"/>
              </w:rPr>
              <w:t xml:space="preserve"> </w:t>
            </w:r>
            <w:r w:rsidRPr="00630A63">
              <w:rPr>
                <w:spacing w:val="-2"/>
                <w:w w:val="110"/>
                <w:sz w:val="20"/>
              </w:rPr>
              <w:t>Australia</w:t>
            </w:r>
          </w:p>
        </w:tc>
      </w:tr>
      <w:tr w:rsidR="00811887" w14:paraId="3B8CE9F5" w14:textId="77777777" w:rsidTr="00486E22">
        <w:trPr>
          <w:trHeight w:val="232"/>
        </w:trPr>
        <w:tc>
          <w:tcPr>
            <w:tcW w:w="4257" w:type="dxa"/>
          </w:tcPr>
          <w:p w14:paraId="2461F9DC" w14:textId="77777777" w:rsidR="00811887" w:rsidRDefault="00811887" w:rsidP="00486E22">
            <w:pPr>
              <w:pStyle w:val="TableParagraph"/>
              <w:spacing w:before="1" w:line="207" w:lineRule="exact"/>
              <w:ind w:left="110"/>
              <w:rPr>
                <w:sz w:val="20"/>
              </w:rPr>
            </w:pPr>
            <w:r>
              <w:rPr>
                <w:spacing w:val="-2"/>
                <w:w w:val="110"/>
                <w:sz w:val="20"/>
              </w:rPr>
              <w:t>Broome</w:t>
            </w:r>
          </w:p>
        </w:tc>
        <w:tc>
          <w:tcPr>
            <w:tcW w:w="958" w:type="dxa"/>
          </w:tcPr>
          <w:p w14:paraId="5DBB2EC8" w14:textId="77777777" w:rsidR="00811887" w:rsidRDefault="00811887" w:rsidP="00486E22">
            <w:pPr>
              <w:pStyle w:val="TableParagraph"/>
              <w:spacing w:before="1" w:line="207" w:lineRule="exact"/>
              <w:ind w:left="175"/>
              <w:rPr>
                <w:sz w:val="20"/>
              </w:rPr>
            </w:pPr>
            <w:r>
              <w:rPr>
                <w:spacing w:val="-10"/>
                <w:w w:val="115"/>
                <w:sz w:val="20"/>
              </w:rPr>
              <w:t>4</w:t>
            </w:r>
          </w:p>
        </w:tc>
        <w:tc>
          <w:tcPr>
            <w:tcW w:w="1013" w:type="dxa"/>
          </w:tcPr>
          <w:p w14:paraId="70FEA1E5" w14:textId="77777777" w:rsidR="00811887" w:rsidRDefault="00811887" w:rsidP="00486E22">
            <w:pPr>
              <w:pStyle w:val="TableParagraph"/>
              <w:spacing w:before="1" w:line="207" w:lineRule="exact"/>
              <w:ind w:left="115"/>
              <w:rPr>
                <w:sz w:val="20"/>
              </w:rPr>
            </w:pPr>
            <w:r>
              <w:rPr>
                <w:spacing w:val="-5"/>
                <w:w w:val="115"/>
                <w:sz w:val="20"/>
              </w:rPr>
              <w:t>26</w:t>
            </w:r>
          </w:p>
        </w:tc>
        <w:tc>
          <w:tcPr>
            <w:tcW w:w="1013" w:type="dxa"/>
          </w:tcPr>
          <w:p w14:paraId="7395B5F7" w14:textId="77777777" w:rsidR="00811887" w:rsidRDefault="00811887" w:rsidP="00486E22">
            <w:pPr>
              <w:pStyle w:val="TableParagraph"/>
              <w:spacing w:before="1" w:line="207" w:lineRule="exact"/>
              <w:ind w:left="115"/>
              <w:rPr>
                <w:sz w:val="20"/>
              </w:rPr>
            </w:pPr>
            <w:r>
              <w:rPr>
                <w:spacing w:val="-5"/>
                <w:w w:val="115"/>
                <w:sz w:val="20"/>
              </w:rPr>
              <w:t>76</w:t>
            </w:r>
          </w:p>
        </w:tc>
        <w:tc>
          <w:tcPr>
            <w:tcW w:w="1073" w:type="dxa"/>
          </w:tcPr>
          <w:p w14:paraId="5172B499" w14:textId="77777777" w:rsidR="00811887" w:rsidRDefault="00811887" w:rsidP="00486E22">
            <w:pPr>
              <w:pStyle w:val="TableParagraph"/>
              <w:spacing w:before="1" w:line="207" w:lineRule="exact"/>
              <w:ind w:left="115"/>
              <w:rPr>
                <w:sz w:val="20"/>
              </w:rPr>
            </w:pPr>
            <w:r>
              <w:rPr>
                <w:spacing w:val="-5"/>
                <w:w w:val="115"/>
                <w:sz w:val="20"/>
              </w:rPr>
              <w:t>31</w:t>
            </w:r>
          </w:p>
        </w:tc>
        <w:tc>
          <w:tcPr>
            <w:tcW w:w="545" w:type="dxa"/>
          </w:tcPr>
          <w:p w14:paraId="388732C4" w14:textId="77777777" w:rsidR="00811887" w:rsidRDefault="00811887" w:rsidP="00486E22">
            <w:pPr>
              <w:pStyle w:val="TableParagraph"/>
              <w:spacing w:before="1" w:line="207" w:lineRule="exact"/>
              <w:ind w:right="252"/>
              <w:jc w:val="right"/>
              <w:rPr>
                <w:sz w:val="20"/>
              </w:rPr>
            </w:pPr>
            <w:r>
              <w:rPr>
                <w:spacing w:val="-10"/>
                <w:w w:val="115"/>
                <w:sz w:val="20"/>
              </w:rPr>
              <w:t>6</w:t>
            </w:r>
          </w:p>
        </w:tc>
        <w:tc>
          <w:tcPr>
            <w:tcW w:w="869" w:type="dxa"/>
          </w:tcPr>
          <w:p w14:paraId="35B3533C" w14:textId="77777777" w:rsidR="00811887" w:rsidRDefault="00811887" w:rsidP="00486E22">
            <w:pPr>
              <w:pStyle w:val="TableParagraph"/>
              <w:spacing w:before="1" w:line="207" w:lineRule="exact"/>
              <w:ind w:right="98"/>
              <w:jc w:val="right"/>
              <w:rPr>
                <w:sz w:val="20"/>
              </w:rPr>
            </w:pPr>
            <w:r>
              <w:rPr>
                <w:spacing w:val="-5"/>
                <w:w w:val="115"/>
                <w:sz w:val="20"/>
              </w:rPr>
              <w:t>142</w:t>
            </w:r>
          </w:p>
        </w:tc>
      </w:tr>
      <w:tr w:rsidR="00811887" w14:paraId="5816909B" w14:textId="77777777" w:rsidTr="00486E22">
        <w:trPr>
          <w:trHeight w:val="232"/>
        </w:trPr>
        <w:tc>
          <w:tcPr>
            <w:tcW w:w="4257" w:type="dxa"/>
          </w:tcPr>
          <w:p w14:paraId="27F82895" w14:textId="77777777" w:rsidR="00811887" w:rsidRDefault="00811887" w:rsidP="00486E22">
            <w:pPr>
              <w:pStyle w:val="TableParagraph"/>
              <w:spacing w:before="3" w:line="210" w:lineRule="exact"/>
              <w:ind w:left="110"/>
              <w:rPr>
                <w:sz w:val="20"/>
              </w:rPr>
            </w:pPr>
            <w:r>
              <w:rPr>
                <w:spacing w:val="-2"/>
                <w:w w:val="110"/>
                <w:sz w:val="20"/>
              </w:rPr>
              <w:t>Geraldton</w:t>
            </w:r>
          </w:p>
        </w:tc>
        <w:tc>
          <w:tcPr>
            <w:tcW w:w="958" w:type="dxa"/>
          </w:tcPr>
          <w:p w14:paraId="7639A807" w14:textId="77777777" w:rsidR="00811887" w:rsidRDefault="00811887" w:rsidP="00486E22">
            <w:pPr>
              <w:pStyle w:val="TableParagraph"/>
              <w:spacing w:before="3" w:line="210" w:lineRule="exact"/>
              <w:ind w:left="175"/>
              <w:rPr>
                <w:sz w:val="20"/>
              </w:rPr>
            </w:pPr>
            <w:r>
              <w:rPr>
                <w:spacing w:val="-10"/>
                <w:w w:val="115"/>
                <w:sz w:val="20"/>
              </w:rPr>
              <w:t>5</w:t>
            </w:r>
          </w:p>
        </w:tc>
        <w:tc>
          <w:tcPr>
            <w:tcW w:w="1013" w:type="dxa"/>
          </w:tcPr>
          <w:p w14:paraId="1CF014D3" w14:textId="77777777" w:rsidR="00811887" w:rsidRDefault="00811887" w:rsidP="00486E22">
            <w:pPr>
              <w:pStyle w:val="TableParagraph"/>
              <w:spacing w:before="3" w:line="210" w:lineRule="exact"/>
              <w:ind w:left="115"/>
              <w:rPr>
                <w:sz w:val="20"/>
              </w:rPr>
            </w:pPr>
            <w:r>
              <w:rPr>
                <w:spacing w:val="-5"/>
                <w:w w:val="115"/>
                <w:sz w:val="20"/>
              </w:rPr>
              <w:t>30</w:t>
            </w:r>
          </w:p>
        </w:tc>
        <w:tc>
          <w:tcPr>
            <w:tcW w:w="1013" w:type="dxa"/>
          </w:tcPr>
          <w:p w14:paraId="415B94EE" w14:textId="77777777" w:rsidR="00811887" w:rsidRDefault="00811887" w:rsidP="00486E22">
            <w:pPr>
              <w:pStyle w:val="TableParagraph"/>
              <w:spacing w:before="3" w:line="210" w:lineRule="exact"/>
              <w:ind w:left="115"/>
              <w:rPr>
                <w:sz w:val="20"/>
              </w:rPr>
            </w:pPr>
            <w:r>
              <w:rPr>
                <w:spacing w:val="-5"/>
                <w:w w:val="115"/>
                <w:sz w:val="20"/>
              </w:rPr>
              <w:t>89</w:t>
            </w:r>
          </w:p>
        </w:tc>
        <w:tc>
          <w:tcPr>
            <w:tcW w:w="1073" w:type="dxa"/>
          </w:tcPr>
          <w:p w14:paraId="716D43BA" w14:textId="77777777" w:rsidR="00811887" w:rsidRDefault="00811887" w:rsidP="00486E22">
            <w:pPr>
              <w:pStyle w:val="TableParagraph"/>
              <w:spacing w:before="3" w:line="210" w:lineRule="exact"/>
              <w:ind w:left="115"/>
              <w:rPr>
                <w:sz w:val="20"/>
              </w:rPr>
            </w:pPr>
            <w:r>
              <w:rPr>
                <w:spacing w:val="-5"/>
                <w:w w:val="115"/>
                <w:sz w:val="20"/>
              </w:rPr>
              <w:t>36</w:t>
            </w:r>
          </w:p>
        </w:tc>
        <w:tc>
          <w:tcPr>
            <w:tcW w:w="545" w:type="dxa"/>
          </w:tcPr>
          <w:p w14:paraId="07CC2B8A" w14:textId="77777777" w:rsidR="00811887" w:rsidRDefault="00811887" w:rsidP="00486E22">
            <w:pPr>
              <w:pStyle w:val="TableParagraph"/>
              <w:spacing w:before="3" w:line="210" w:lineRule="exact"/>
              <w:ind w:right="252"/>
              <w:jc w:val="right"/>
              <w:rPr>
                <w:sz w:val="20"/>
              </w:rPr>
            </w:pPr>
            <w:r>
              <w:rPr>
                <w:spacing w:val="-10"/>
                <w:w w:val="115"/>
                <w:sz w:val="20"/>
              </w:rPr>
              <w:t>7</w:t>
            </w:r>
          </w:p>
        </w:tc>
        <w:tc>
          <w:tcPr>
            <w:tcW w:w="869" w:type="dxa"/>
          </w:tcPr>
          <w:p w14:paraId="3EAEEF13" w14:textId="77777777" w:rsidR="00811887" w:rsidRDefault="00811887" w:rsidP="00486E22">
            <w:pPr>
              <w:pStyle w:val="TableParagraph"/>
              <w:spacing w:before="3" w:line="210" w:lineRule="exact"/>
              <w:ind w:right="98"/>
              <w:jc w:val="right"/>
              <w:rPr>
                <w:sz w:val="20"/>
              </w:rPr>
            </w:pPr>
            <w:r>
              <w:rPr>
                <w:spacing w:val="-5"/>
                <w:w w:val="115"/>
                <w:sz w:val="20"/>
              </w:rPr>
              <w:t>167</w:t>
            </w:r>
          </w:p>
        </w:tc>
      </w:tr>
      <w:tr w:rsidR="00811887" w14:paraId="3385DF6A" w14:textId="77777777" w:rsidTr="00486E22">
        <w:trPr>
          <w:trHeight w:val="235"/>
        </w:trPr>
        <w:tc>
          <w:tcPr>
            <w:tcW w:w="4257" w:type="dxa"/>
          </w:tcPr>
          <w:p w14:paraId="74B668F1" w14:textId="77777777" w:rsidR="00811887" w:rsidRDefault="00811887" w:rsidP="00486E22">
            <w:pPr>
              <w:pStyle w:val="TableParagraph"/>
              <w:spacing w:before="5" w:line="210" w:lineRule="exact"/>
              <w:ind w:left="110"/>
              <w:rPr>
                <w:sz w:val="20"/>
              </w:rPr>
            </w:pPr>
            <w:r>
              <w:rPr>
                <w:spacing w:val="-2"/>
                <w:w w:val="110"/>
                <w:sz w:val="20"/>
              </w:rPr>
              <w:t>Kalgoorlie</w:t>
            </w:r>
          </w:p>
        </w:tc>
        <w:tc>
          <w:tcPr>
            <w:tcW w:w="958" w:type="dxa"/>
          </w:tcPr>
          <w:p w14:paraId="14E4CF34" w14:textId="77777777" w:rsidR="00811887" w:rsidRDefault="00811887" w:rsidP="00486E22">
            <w:pPr>
              <w:pStyle w:val="TableParagraph"/>
              <w:spacing w:before="5" w:line="210" w:lineRule="exact"/>
              <w:ind w:left="175"/>
              <w:rPr>
                <w:sz w:val="20"/>
              </w:rPr>
            </w:pPr>
            <w:r>
              <w:rPr>
                <w:spacing w:val="-10"/>
                <w:w w:val="115"/>
                <w:sz w:val="20"/>
              </w:rPr>
              <w:t>5</w:t>
            </w:r>
          </w:p>
        </w:tc>
        <w:tc>
          <w:tcPr>
            <w:tcW w:w="1013" w:type="dxa"/>
          </w:tcPr>
          <w:p w14:paraId="28EDB5DD" w14:textId="77777777" w:rsidR="00811887" w:rsidRDefault="00811887" w:rsidP="00486E22">
            <w:pPr>
              <w:pStyle w:val="TableParagraph"/>
              <w:spacing w:before="5" w:line="210" w:lineRule="exact"/>
              <w:ind w:left="115"/>
              <w:rPr>
                <w:sz w:val="20"/>
              </w:rPr>
            </w:pPr>
            <w:r>
              <w:rPr>
                <w:spacing w:val="-5"/>
                <w:w w:val="115"/>
                <w:sz w:val="20"/>
              </w:rPr>
              <w:t>34</w:t>
            </w:r>
          </w:p>
        </w:tc>
        <w:tc>
          <w:tcPr>
            <w:tcW w:w="1013" w:type="dxa"/>
          </w:tcPr>
          <w:p w14:paraId="4266AD10" w14:textId="77777777" w:rsidR="00811887" w:rsidRDefault="00811887" w:rsidP="00486E22">
            <w:pPr>
              <w:pStyle w:val="TableParagraph"/>
              <w:spacing w:before="5" w:line="210" w:lineRule="exact"/>
              <w:ind w:left="4"/>
              <w:rPr>
                <w:sz w:val="20"/>
              </w:rPr>
            </w:pPr>
            <w:r>
              <w:rPr>
                <w:spacing w:val="-5"/>
                <w:w w:val="115"/>
                <w:sz w:val="20"/>
              </w:rPr>
              <w:t>100</w:t>
            </w:r>
          </w:p>
        </w:tc>
        <w:tc>
          <w:tcPr>
            <w:tcW w:w="1073" w:type="dxa"/>
          </w:tcPr>
          <w:p w14:paraId="780A071D" w14:textId="77777777" w:rsidR="00811887" w:rsidRDefault="00811887" w:rsidP="00486E22">
            <w:pPr>
              <w:pStyle w:val="TableParagraph"/>
              <w:spacing w:before="5" w:line="210" w:lineRule="exact"/>
              <w:ind w:left="115"/>
              <w:rPr>
                <w:sz w:val="20"/>
              </w:rPr>
            </w:pPr>
            <w:r>
              <w:rPr>
                <w:spacing w:val="-5"/>
                <w:w w:val="115"/>
                <w:sz w:val="20"/>
              </w:rPr>
              <w:t>41</w:t>
            </w:r>
          </w:p>
        </w:tc>
        <w:tc>
          <w:tcPr>
            <w:tcW w:w="545" w:type="dxa"/>
          </w:tcPr>
          <w:p w14:paraId="33BFEE9A" w14:textId="77777777" w:rsidR="00811887" w:rsidRDefault="00811887" w:rsidP="00486E22">
            <w:pPr>
              <w:pStyle w:val="TableParagraph"/>
              <w:spacing w:before="5" w:line="210" w:lineRule="exact"/>
              <w:ind w:right="252"/>
              <w:jc w:val="right"/>
              <w:rPr>
                <w:sz w:val="20"/>
              </w:rPr>
            </w:pPr>
            <w:r>
              <w:rPr>
                <w:spacing w:val="-10"/>
                <w:w w:val="115"/>
                <w:sz w:val="20"/>
              </w:rPr>
              <w:t>7</w:t>
            </w:r>
          </w:p>
        </w:tc>
        <w:tc>
          <w:tcPr>
            <w:tcW w:w="869" w:type="dxa"/>
          </w:tcPr>
          <w:p w14:paraId="65316894" w14:textId="77777777" w:rsidR="00811887" w:rsidRDefault="00811887" w:rsidP="00486E22">
            <w:pPr>
              <w:pStyle w:val="TableParagraph"/>
              <w:spacing w:before="5" w:line="210" w:lineRule="exact"/>
              <w:ind w:right="98"/>
              <w:jc w:val="right"/>
              <w:rPr>
                <w:sz w:val="20"/>
              </w:rPr>
            </w:pPr>
            <w:r>
              <w:rPr>
                <w:spacing w:val="-5"/>
                <w:w w:val="115"/>
                <w:sz w:val="20"/>
              </w:rPr>
              <w:t>187</w:t>
            </w:r>
          </w:p>
        </w:tc>
      </w:tr>
      <w:tr w:rsidR="00811887" w14:paraId="496FE465" w14:textId="77777777" w:rsidTr="00486E22">
        <w:trPr>
          <w:trHeight w:val="235"/>
        </w:trPr>
        <w:tc>
          <w:tcPr>
            <w:tcW w:w="4257" w:type="dxa"/>
          </w:tcPr>
          <w:p w14:paraId="31D8C3B2" w14:textId="77777777" w:rsidR="00811887" w:rsidRDefault="00811887" w:rsidP="00486E22">
            <w:pPr>
              <w:pStyle w:val="TableParagraph"/>
              <w:spacing w:before="5" w:line="210" w:lineRule="exact"/>
              <w:ind w:left="110"/>
              <w:rPr>
                <w:sz w:val="20"/>
              </w:rPr>
            </w:pPr>
            <w:r>
              <w:rPr>
                <w:spacing w:val="-2"/>
                <w:w w:val="110"/>
                <w:sz w:val="20"/>
              </w:rPr>
              <w:t>Kununurra</w:t>
            </w:r>
          </w:p>
        </w:tc>
        <w:tc>
          <w:tcPr>
            <w:tcW w:w="958" w:type="dxa"/>
          </w:tcPr>
          <w:p w14:paraId="63D84380" w14:textId="77777777" w:rsidR="00811887" w:rsidRDefault="00811887" w:rsidP="00486E22">
            <w:pPr>
              <w:pStyle w:val="TableParagraph"/>
              <w:spacing w:before="5" w:line="210" w:lineRule="exact"/>
              <w:ind w:left="175"/>
              <w:rPr>
                <w:sz w:val="20"/>
              </w:rPr>
            </w:pPr>
            <w:r>
              <w:rPr>
                <w:spacing w:val="-10"/>
                <w:w w:val="115"/>
                <w:sz w:val="20"/>
              </w:rPr>
              <w:t>6</w:t>
            </w:r>
          </w:p>
        </w:tc>
        <w:tc>
          <w:tcPr>
            <w:tcW w:w="1013" w:type="dxa"/>
          </w:tcPr>
          <w:p w14:paraId="7AA27C68" w14:textId="77777777" w:rsidR="00811887" w:rsidRDefault="00811887" w:rsidP="00486E22">
            <w:pPr>
              <w:pStyle w:val="TableParagraph"/>
              <w:spacing w:before="5" w:line="210" w:lineRule="exact"/>
              <w:ind w:left="115"/>
              <w:rPr>
                <w:sz w:val="20"/>
              </w:rPr>
            </w:pPr>
            <w:r>
              <w:rPr>
                <w:spacing w:val="-5"/>
                <w:w w:val="115"/>
                <w:sz w:val="20"/>
              </w:rPr>
              <w:t>41</w:t>
            </w:r>
          </w:p>
        </w:tc>
        <w:tc>
          <w:tcPr>
            <w:tcW w:w="1013" w:type="dxa"/>
          </w:tcPr>
          <w:p w14:paraId="468BAC19" w14:textId="77777777" w:rsidR="00811887" w:rsidRDefault="00811887" w:rsidP="00486E22">
            <w:pPr>
              <w:pStyle w:val="TableParagraph"/>
              <w:spacing w:before="5" w:line="210" w:lineRule="exact"/>
              <w:ind w:left="4"/>
              <w:rPr>
                <w:sz w:val="20"/>
              </w:rPr>
            </w:pPr>
            <w:r>
              <w:rPr>
                <w:spacing w:val="-5"/>
                <w:w w:val="115"/>
                <w:sz w:val="20"/>
              </w:rPr>
              <w:t>122</w:t>
            </w:r>
          </w:p>
        </w:tc>
        <w:tc>
          <w:tcPr>
            <w:tcW w:w="1073" w:type="dxa"/>
          </w:tcPr>
          <w:p w14:paraId="775620E8" w14:textId="77777777" w:rsidR="00811887" w:rsidRDefault="00811887" w:rsidP="00486E22">
            <w:pPr>
              <w:pStyle w:val="TableParagraph"/>
              <w:spacing w:before="5" w:line="210" w:lineRule="exact"/>
              <w:ind w:left="115"/>
              <w:rPr>
                <w:sz w:val="20"/>
              </w:rPr>
            </w:pPr>
            <w:r>
              <w:rPr>
                <w:spacing w:val="-5"/>
                <w:w w:val="115"/>
                <w:sz w:val="20"/>
              </w:rPr>
              <w:t>50</w:t>
            </w:r>
          </w:p>
        </w:tc>
        <w:tc>
          <w:tcPr>
            <w:tcW w:w="545" w:type="dxa"/>
          </w:tcPr>
          <w:p w14:paraId="3E395EB7" w14:textId="77777777" w:rsidR="00811887" w:rsidRDefault="00811887" w:rsidP="00486E22">
            <w:pPr>
              <w:pStyle w:val="TableParagraph"/>
              <w:spacing w:before="5" w:line="210" w:lineRule="exact"/>
              <w:ind w:right="252"/>
              <w:jc w:val="right"/>
              <w:rPr>
                <w:sz w:val="20"/>
              </w:rPr>
            </w:pPr>
            <w:r>
              <w:rPr>
                <w:spacing w:val="-10"/>
                <w:w w:val="115"/>
                <w:sz w:val="20"/>
              </w:rPr>
              <w:t>9</w:t>
            </w:r>
          </w:p>
        </w:tc>
        <w:tc>
          <w:tcPr>
            <w:tcW w:w="869" w:type="dxa"/>
          </w:tcPr>
          <w:p w14:paraId="39F364D4" w14:textId="77777777" w:rsidR="00811887" w:rsidRDefault="00811887" w:rsidP="00486E22">
            <w:pPr>
              <w:pStyle w:val="TableParagraph"/>
              <w:spacing w:before="5" w:line="210" w:lineRule="exact"/>
              <w:ind w:right="98"/>
              <w:jc w:val="right"/>
              <w:rPr>
                <w:sz w:val="20"/>
              </w:rPr>
            </w:pPr>
            <w:r>
              <w:rPr>
                <w:spacing w:val="-5"/>
                <w:w w:val="115"/>
                <w:sz w:val="20"/>
              </w:rPr>
              <w:t>229</w:t>
            </w:r>
          </w:p>
        </w:tc>
      </w:tr>
      <w:tr w:rsidR="00811887" w14:paraId="0AA2B454" w14:textId="77777777" w:rsidTr="00486E22">
        <w:trPr>
          <w:trHeight w:val="235"/>
        </w:trPr>
        <w:tc>
          <w:tcPr>
            <w:tcW w:w="4257" w:type="dxa"/>
          </w:tcPr>
          <w:p w14:paraId="6499C630" w14:textId="77777777" w:rsidR="00811887" w:rsidRDefault="00811887" w:rsidP="00486E22">
            <w:pPr>
              <w:pStyle w:val="TableParagraph"/>
              <w:spacing w:before="5" w:line="210" w:lineRule="exact"/>
              <w:ind w:left="110"/>
              <w:rPr>
                <w:sz w:val="20"/>
              </w:rPr>
            </w:pPr>
            <w:r>
              <w:rPr>
                <w:spacing w:val="-2"/>
                <w:w w:val="110"/>
                <w:sz w:val="20"/>
              </w:rPr>
              <w:t>Perth</w:t>
            </w:r>
          </w:p>
        </w:tc>
        <w:tc>
          <w:tcPr>
            <w:tcW w:w="958" w:type="dxa"/>
          </w:tcPr>
          <w:p w14:paraId="7A5514EC" w14:textId="77777777" w:rsidR="00811887" w:rsidRDefault="00811887" w:rsidP="00486E22">
            <w:pPr>
              <w:pStyle w:val="TableParagraph"/>
              <w:spacing w:before="5" w:line="210" w:lineRule="exact"/>
              <w:ind w:left="60"/>
              <w:rPr>
                <w:sz w:val="20"/>
              </w:rPr>
            </w:pPr>
            <w:r>
              <w:rPr>
                <w:spacing w:val="-5"/>
                <w:w w:val="115"/>
                <w:sz w:val="20"/>
              </w:rPr>
              <w:t>24</w:t>
            </w:r>
          </w:p>
        </w:tc>
        <w:tc>
          <w:tcPr>
            <w:tcW w:w="1013" w:type="dxa"/>
          </w:tcPr>
          <w:p w14:paraId="2D109ABF" w14:textId="77777777" w:rsidR="00811887" w:rsidRDefault="00811887" w:rsidP="00486E22">
            <w:pPr>
              <w:pStyle w:val="TableParagraph"/>
              <w:spacing w:before="5" w:line="210" w:lineRule="exact"/>
              <w:ind w:left="4"/>
              <w:rPr>
                <w:sz w:val="20"/>
              </w:rPr>
            </w:pPr>
            <w:r>
              <w:rPr>
                <w:spacing w:val="-5"/>
                <w:w w:val="115"/>
                <w:sz w:val="20"/>
              </w:rPr>
              <w:t>156</w:t>
            </w:r>
          </w:p>
        </w:tc>
        <w:tc>
          <w:tcPr>
            <w:tcW w:w="1013" w:type="dxa"/>
          </w:tcPr>
          <w:p w14:paraId="710D5259" w14:textId="77777777" w:rsidR="00811887" w:rsidRDefault="00811887" w:rsidP="00486E22">
            <w:pPr>
              <w:pStyle w:val="TableParagraph"/>
              <w:spacing w:before="5" w:line="210" w:lineRule="exact"/>
              <w:ind w:left="4"/>
              <w:rPr>
                <w:sz w:val="20"/>
              </w:rPr>
            </w:pPr>
            <w:r>
              <w:rPr>
                <w:spacing w:val="-5"/>
                <w:w w:val="115"/>
                <w:sz w:val="20"/>
              </w:rPr>
              <w:t>463</w:t>
            </w:r>
          </w:p>
        </w:tc>
        <w:tc>
          <w:tcPr>
            <w:tcW w:w="1073" w:type="dxa"/>
          </w:tcPr>
          <w:p w14:paraId="271D0CAE" w14:textId="77777777" w:rsidR="00811887" w:rsidRDefault="00811887" w:rsidP="00486E22">
            <w:pPr>
              <w:pStyle w:val="TableParagraph"/>
              <w:spacing w:before="5" w:line="210" w:lineRule="exact"/>
              <w:ind w:left="5"/>
              <w:rPr>
                <w:sz w:val="20"/>
              </w:rPr>
            </w:pPr>
            <w:r>
              <w:rPr>
                <w:spacing w:val="-5"/>
                <w:w w:val="115"/>
                <w:sz w:val="20"/>
              </w:rPr>
              <w:t>188</w:t>
            </w:r>
          </w:p>
        </w:tc>
        <w:tc>
          <w:tcPr>
            <w:tcW w:w="545" w:type="dxa"/>
          </w:tcPr>
          <w:p w14:paraId="207C3BDD" w14:textId="77777777" w:rsidR="00811887" w:rsidRDefault="00811887" w:rsidP="00486E22">
            <w:pPr>
              <w:pStyle w:val="TableParagraph"/>
              <w:spacing w:before="5" w:line="210" w:lineRule="exact"/>
              <w:ind w:right="252"/>
              <w:jc w:val="right"/>
              <w:rPr>
                <w:sz w:val="20"/>
              </w:rPr>
            </w:pPr>
            <w:r>
              <w:rPr>
                <w:spacing w:val="-5"/>
                <w:w w:val="115"/>
                <w:sz w:val="20"/>
              </w:rPr>
              <w:t>34</w:t>
            </w:r>
          </w:p>
        </w:tc>
        <w:tc>
          <w:tcPr>
            <w:tcW w:w="869" w:type="dxa"/>
          </w:tcPr>
          <w:p w14:paraId="59116028" w14:textId="77777777" w:rsidR="00811887" w:rsidRDefault="00811887" w:rsidP="00486E22">
            <w:pPr>
              <w:pStyle w:val="TableParagraph"/>
              <w:spacing w:before="5" w:line="210" w:lineRule="exact"/>
              <w:ind w:right="98"/>
              <w:jc w:val="right"/>
              <w:rPr>
                <w:sz w:val="20"/>
              </w:rPr>
            </w:pPr>
            <w:r>
              <w:rPr>
                <w:spacing w:val="-5"/>
                <w:w w:val="115"/>
                <w:sz w:val="20"/>
              </w:rPr>
              <w:t>865</w:t>
            </w:r>
          </w:p>
        </w:tc>
      </w:tr>
      <w:tr w:rsidR="00811887" w14:paraId="6DA115D3" w14:textId="77777777" w:rsidTr="00486E22">
        <w:trPr>
          <w:trHeight w:val="235"/>
        </w:trPr>
        <w:tc>
          <w:tcPr>
            <w:tcW w:w="4257" w:type="dxa"/>
          </w:tcPr>
          <w:p w14:paraId="1EECAD2B" w14:textId="77777777" w:rsidR="00811887" w:rsidRDefault="00811887" w:rsidP="00486E22">
            <w:pPr>
              <w:pStyle w:val="TableParagraph"/>
              <w:spacing w:before="5" w:line="210" w:lineRule="exact"/>
              <w:ind w:left="110"/>
              <w:rPr>
                <w:sz w:val="20"/>
              </w:rPr>
            </w:pPr>
            <w:r>
              <w:rPr>
                <w:w w:val="110"/>
                <w:sz w:val="20"/>
              </w:rPr>
              <w:t>South</w:t>
            </w:r>
            <w:r>
              <w:rPr>
                <w:spacing w:val="8"/>
                <w:w w:val="110"/>
                <w:sz w:val="20"/>
              </w:rPr>
              <w:t xml:space="preserve"> </w:t>
            </w:r>
            <w:r>
              <w:rPr>
                <w:spacing w:val="-2"/>
                <w:w w:val="110"/>
                <w:sz w:val="20"/>
              </w:rPr>
              <w:t>Hedland</w:t>
            </w:r>
          </w:p>
        </w:tc>
        <w:tc>
          <w:tcPr>
            <w:tcW w:w="958" w:type="dxa"/>
          </w:tcPr>
          <w:p w14:paraId="78BC1C5D" w14:textId="77777777" w:rsidR="00811887" w:rsidRDefault="00811887" w:rsidP="00486E22">
            <w:pPr>
              <w:pStyle w:val="TableParagraph"/>
              <w:spacing w:before="5" w:line="210" w:lineRule="exact"/>
              <w:ind w:left="175"/>
              <w:rPr>
                <w:sz w:val="20"/>
              </w:rPr>
            </w:pPr>
            <w:r>
              <w:rPr>
                <w:spacing w:val="-10"/>
                <w:w w:val="115"/>
                <w:sz w:val="20"/>
              </w:rPr>
              <w:t>5</w:t>
            </w:r>
          </w:p>
        </w:tc>
        <w:tc>
          <w:tcPr>
            <w:tcW w:w="1013" w:type="dxa"/>
          </w:tcPr>
          <w:p w14:paraId="63992281" w14:textId="77777777" w:rsidR="00811887" w:rsidRDefault="00811887" w:rsidP="00486E22">
            <w:pPr>
              <w:pStyle w:val="TableParagraph"/>
              <w:spacing w:before="5" w:line="210" w:lineRule="exact"/>
              <w:ind w:left="115"/>
              <w:rPr>
                <w:sz w:val="20"/>
              </w:rPr>
            </w:pPr>
            <w:r>
              <w:rPr>
                <w:spacing w:val="-5"/>
                <w:w w:val="115"/>
                <w:sz w:val="20"/>
              </w:rPr>
              <w:t>35</w:t>
            </w:r>
          </w:p>
        </w:tc>
        <w:tc>
          <w:tcPr>
            <w:tcW w:w="1013" w:type="dxa"/>
          </w:tcPr>
          <w:p w14:paraId="04CD9F7C" w14:textId="77777777" w:rsidR="00811887" w:rsidRDefault="00811887" w:rsidP="00486E22">
            <w:pPr>
              <w:pStyle w:val="TableParagraph"/>
              <w:spacing w:before="5" w:line="210" w:lineRule="exact"/>
              <w:ind w:left="4"/>
              <w:rPr>
                <w:sz w:val="20"/>
              </w:rPr>
            </w:pPr>
            <w:r>
              <w:rPr>
                <w:spacing w:val="-5"/>
                <w:w w:val="115"/>
                <w:sz w:val="20"/>
              </w:rPr>
              <w:t>105</w:t>
            </w:r>
          </w:p>
        </w:tc>
        <w:tc>
          <w:tcPr>
            <w:tcW w:w="1073" w:type="dxa"/>
          </w:tcPr>
          <w:p w14:paraId="5F6C0BBF" w14:textId="77777777" w:rsidR="00811887" w:rsidRDefault="00811887" w:rsidP="00486E22">
            <w:pPr>
              <w:pStyle w:val="TableParagraph"/>
              <w:spacing w:before="5" w:line="210" w:lineRule="exact"/>
              <w:ind w:left="115"/>
              <w:rPr>
                <w:sz w:val="20"/>
              </w:rPr>
            </w:pPr>
            <w:r>
              <w:rPr>
                <w:spacing w:val="-5"/>
                <w:w w:val="115"/>
                <w:sz w:val="20"/>
              </w:rPr>
              <w:t>43</w:t>
            </w:r>
          </w:p>
        </w:tc>
        <w:tc>
          <w:tcPr>
            <w:tcW w:w="545" w:type="dxa"/>
          </w:tcPr>
          <w:p w14:paraId="4F0B84F7" w14:textId="77777777" w:rsidR="00811887" w:rsidRDefault="00811887" w:rsidP="00486E22">
            <w:pPr>
              <w:pStyle w:val="TableParagraph"/>
              <w:spacing w:before="5" w:line="210" w:lineRule="exact"/>
              <w:ind w:right="252"/>
              <w:jc w:val="right"/>
              <w:rPr>
                <w:sz w:val="20"/>
              </w:rPr>
            </w:pPr>
            <w:r>
              <w:rPr>
                <w:spacing w:val="-10"/>
                <w:w w:val="115"/>
                <w:sz w:val="20"/>
              </w:rPr>
              <w:t>8</w:t>
            </w:r>
          </w:p>
        </w:tc>
        <w:tc>
          <w:tcPr>
            <w:tcW w:w="869" w:type="dxa"/>
          </w:tcPr>
          <w:p w14:paraId="07F8C4C3" w14:textId="77777777" w:rsidR="00811887" w:rsidRDefault="00811887" w:rsidP="00486E22">
            <w:pPr>
              <w:pStyle w:val="TableParagraph"/>
              <w:spacing w:before="5" w:line="210" w:lineRule="exact"/>
              <w:ind w:right="98"/>
              <w:jc w:val="right"/>
              <w:rPr>
                <w:sz w:val="20"/>
              </w:rPr>
            </w:pPr>
            <w:r>
              <w:rPr>
                <w:spacing w:val="-5"/>
                <w:w w:val="115"/>
                <w:sz w:val="20"/>
              </w:rPr>
              <w:t>196</w:t>
            </w:r>
          </w:p>
        </w:tc>
      </w:tr>
      <w:tr w:rsidR="00811887" w14:paraId="73BBFE12" w14:textId="77777777" w:rsidTr="00486E22">
        <w:trPr>
          <w:trHeight w:val="235"/>
        </w:trPr>
        <w:tc>
          <w:tcPr>
            <w:tcW w:w="4257" w:type="dxa"/>
          </w:tcPr>
          <w:p w14:paraId="57CF2734" w14:textId="77777777" w:rsidR="00811887" w:rsidRDefault="00811887" w:rsidP="00486E22">
            <w:pPr>
              <w:pStyle w:val="TableParagraph"/>
              <w:spacing w:before="5" w:line="210" w:lineRule="exact"/>
              <w:ind w:left="110"/>
              <w:rPr>
                <w:sz w:val="20"/>
              </w:rPr>
            </w:pPr>
            <w:r>
              <w:rPr>
                <w:spacing w:val="-2"/>
                <w:w w:val="110"/>
                <w:sz w:val="20"/>
              </w:rPr>
              <w:t>South-Western</w:t>
            </w:r>
            <w:r>
              <w:rPr>
                <w:spacing w:val="12"/>
                <w:w w:val="110"/>
                <w:sz w:val="20"/>
              </w:rPr>
              <w:t xml:space="preserve"> </w:t>
            </w:r>
            <w:r>
              <w:rPr>
                <w:spacing w:val="-5"/>
                <w:w w:val="110"/>
                <w:sz w:val="20"/>
              </w:rPr>
              <w:t>WA</w:t>
            </w:r>
          </w:p>
        </w:tc>
        <w:tc>
          <w:tcPr>
            <w:tcW w:w="958" w:type="dxa"/>
          </w:tcPr>
          <w:p w14:paraId="411FD0EE" w14:textId="77777777" w:rsidR="00811887" w:rsidRDefault="00811887" w:rsidP="00486E22">
            <w:pPr>
              <w:pStyle w:val="TableParagraph"/>
              <w:spacing w:before="5" w:line="210" w:lineRule="exact"/>
              <w:ind w:left="175"/>
              <w:rPr>
                <w:sz w:val="20"/>
              </w:rPr>
            </w:pPr>
            <w:r>
              <w:rPr>
                <w:spacing w:val="-10"/>
                <w:w w:val="115"/>
                <w:sz w:val="20"/>
              </w:rPr>
              <w:t>7</w:t>
            </w:r>
          </w:p>
        </w:tc>
        <w:tc>
          <w:tcPr>
            <w:tcW w:w="1013" w:type="dxa"/>
          </w:tcPr>
          <w:p w14:paraId="7C9F0888" w14:textId="77777777" w:rsidR="00811887" w:rsidRDefault="00811887" w:rsidP="00486E22">
            <w:pPr>
              <w:pStyle w:val="TableParagraph"/>
              <w:spacing w:before="5" w:line="210" w:lineRule="exact"/>
              <w:ind w:left="115"/>
              <w:rPr>
                <w:sz w:val="20"/>
              </w:rPr>
            </w:pPr>
            <w:r>
              <w:rPr>
                <w:spacing w:val="-5"/>
                <w:w w:val="115"/>
                <w:sz w:val="20"/>
              </w:rPr>
              <w:t>46</w:t>
            </w:r>
          </w:p>
        </w:tc>
        <w:tc>
          <w:tcPr>
            <w:tcW w:w="1013" w:type="dxa"/>
          </w:tcPr>
          <w:p w14:paraId="7C1753F2" w14:textId="77777777" w:rsidR="00811887" w:rsidRDefault="00811887" w:rsidP="00486E22">
            <w:pPr>
              <w:pStyle w:val="TableParagraph"/>
              <w:spacing w:before="5" w:line="210" w:lineRule="exact"/>
              <w:ind w:left="4"/>
              <w:rPr>
                <w:sz w:val="20"/>
              </w:rPr>
            </w:pPr>
            <w:r>
              <w:rPr>
                <w:spacing w:val="-5"/>
                <w:w w:val="115"/>
                <w:sz w:val="20"/>
              </w:rPr>
              <w:t>136</w:t>
            </w:r>
          </w:p>
        </w:tc>
        <w:tc>
          <w:tcPr>
            <w:tcW w:w="1073" w:type="dxa"/>
          </w:tcPr>
          <w:p w14:paraId="25FC6593" w14:textId="77777777" w:rsidR="00811887" w:rsidRDefault="00811887" w:rsidP="00486E22">
            <w:pPr>
              <w:pStyle w:val="TableParagraph"/>
              <w:spacing w:before="5" w:line="210" w:lineRule="exact"/>
              <w:ind w:left="115"/>
              <w:rPr>
                <w:sz w:val="20"/>
              </w:rPr>
            </w:pPr>
            <w:r>
              <w:rPr>
                <w:spacing w:val="-5"/>
                <w:w w:val="115"/>
                <w:sz w:val="20"/>
              </w:rPr>
              <w:t>55</w:t>
            </w:r>
          </w:p>
        </w:tc>
        <w:tc>
          <w:tcPr>
            <w:tcW w:w="545" w:type="dxa"/>
          </w:tcPr>
          <w:p w14:paraId="5ED17937" w14:textId="77777777" w:rsidR="00811887" w:rsidRDefault="00811887" w:rsidP="00486E22">
            <w:pPr>
              <w:pStyle w:val="TableParagraph"/>
              <w:spacing w:before="5" w:line="210" w:lineRule="exact"/>
              <w:ind w:right="252"/>
              <w:jc w:val="right"/>
              <w:rPr>
                <w:sz w:val="20"/>
              </w:rPr>
            </w:pPr>
            <w:r>
              <w:rPr>
                <w:spacing w:val="-5"/>
                <w:w w:val="115"/>
                <w:sz w:val="20"/>
              </w:rPr>
              <w:t>10</w:t>
            </w:r>
          </w:p>
        </w:tc>
        <w:tc>
          <w:tcPr>
            <w:tcW w:w="869" w:type="dxa"/>
          </w:tcPr>
          <w:p w14:paraId="25241164" w14:textId="77777777" w:rsidR="00811887" w:rsidRDefault="00811887" w:rsidP="00486E22">
            <w:pPr>
              <w:pStyle w:val="TableParagraph"/>
              <w:spacing w:before="5" w:line="210" w:lineRule="exact"/>
              <w:ind w:right="98"/>
              <w:jc w:val="right"/>
              <w:rPr>
                <w:sz w:val="20"/>
              </w:rPr>
            </w:pPr>
            <w:r>
              <w:rPr>
                <w:spacing w:val="-5"/>
                <w:w w:val="115"/>
                <w:sz w:val="20"/>
              </w:rPr>
              <w:t>254</w:t>
            </w:r>
          </w:p>
        </w:tc>
      </w:tr>
      <w:tr w:rsidR="00811887" w14:paraId="33A90F22" w14:textId="77777777" w:rsidTr="00486E22">
        <w:trPr>
          <w:trHeight w:val="235"/>
        </w:trPr>
        <w:tc>
          <w:tcPr>
            <w:tcW w:w="4257" w:type="dxa"/>
          </w:tcPr>
          <w:p w14:paraId="0E0EE317" w14:textId="77777777" w:rsidR="00811887" w:rsidRDefault="00811887" w:rsidP="00486E22">
            <w:pPr>
              <w:pStyle w:val="TableParagraph"/>
              <w:spacing w:before="5" w:line="214" w:lineRule="exact"/>
              <w:ind w:left="110"/>
              <w:rPr>
                <w:sz w:val="20"/>
              </w:rPr>
            </w:pPr>
            <w:r>
              <w:rPr>
                <w:spacing w:val="-2"/>
                <w:w w:val="110"/>
                <w:sz w:val="20"/>
              </w:rPr>
              <w:t>West</w:t>
            </w:r>
            <w:r>
              <w:rPr>
                <w:spacing w:val="-6"/>
                <w:w w:val="110"/>
                <w:sz w:val="20"/>
              </w:rPr>
              <w:t xml:space="preserve"> </w:t>
            </w:r>
            <w:r>
              <w:rPr>
                <w:spacing w:val="-2"/>
                <w:w w:val="110"/>
                <w:sz w:val="20"/>
              </w:rPr>
              <w:t>Kimberley</w:t>
            </w:r>
          </w:p>
        </w:tc>
        <w:tc>
          <w:tcPr>
            <w:tcW w:w="958" w:type="dxa"/>
          </w:tcPr>
          <w:p w14:paraId="6C2AA838" w14:textId="77777777" w:rsidR="00811887" w:rsidRDefault="00811887" w:rsidP="00486E22">
            <w:pPr>
              <w:pStyle w:val="TableParagraph"/>
              <w:spacing w:before="5" w:line="214" w:lineRule="exact"/>
              <w:ind w:left="175"/>
              <w:rPr>
                <w:sz w:val="20"/>
              </w:rPr>
            </w:pPr>
            <w:r>
              <w:rPr>
                <w:spacing w:val="-10"/>
                <w:w w:val="115"/>
                <w:sz w:val="20"/>
              </w:rPr>
              <w:t>4</w:t>
            </w:r>
          </w:p>
        </w:tc>
        <w:tc>
          <w:tcPr>
            <w:tcW w:w="1013" w:type="dxa"/>
          </w:tcPr>
          <w:p w14:paraId="3B845565" w14:textId="77777777" w:rsidR="00811887" w:rsidRDefault="00811887" w:rsidP="00486E22">
            <w:pPr>
              <w:pStyle w:val="TableParagraph"/>
              <w:spacing w:before="5" w:line="214" w:lineRule="exact"/>
              <w:ind w:left="115"/>
              <w:rPr>
                <w:sz w:val="20"/>
              </w:rPr>
            </w:pPr>
            <w:r>
              <w:rPr>
                <w:spacing w:val="-5"/>
                <w:w w:val="115"/>
                <w:sz w:val="20"/>
              </w:rPr>
              <w:t>27</w:t>
            </w:r>
          </w:p>
        </w:tc>
        <w:tc>
          <w:tcPr>
            <w:tcW w:w="1013" w:type="dxa"/>
          </w:tcPr>
          <w:p w14:paraId="5ECCD0A4" w14:textId="77777777" w:rsidR="00811887" w:rsidRDefault="00811887" w:rsidP="00486E22">
            <w:pPr>
              <w:pStyle w:val="TableParagraph"/>
              <w:spacing w:before="5" w:line="214" w:lineRule="exact"/>
              <w:ind w:left="115"/>
              <w:rPr>
                <w:sz w:val="20"/>
              </w:rPr>
            </w:pPr>
            <w:r>
              <w:rPr>
                <w:spacing w:val="-5"/>
                <w:w w:val="115"/>
                <w:sz w:val="20"/>
              </w:rPr>
              <w:t>80</w:t>
            </w:r>
          </w:p>
        </w:tc>
        <w:tc>
          <w:tcPr>
            <w:tcW w:w="1073" w:type="dxa"/>
          </w:tcPr>
          <w:p w14:paraId="726D1252" w14:textId="77777777" w:rsidR="00811887" w:rsidRDefault="00811887" w:rsidP="00486E22">
            <w:pPr>
              <w:pStyle w:val="TableParagraph"/>
              <w:spacing w:before="5" w:line="214" w:lineRule="exact"/>
              <w:ind w:left="115"/>
              <w:rPr>
                <w:sz w:val="20"/>
              </w:rPr>
            </w:pPr>
            <w:r>
              <w:rPr>
                <w:spacing w:val="-5"/>
                <w:w w:val="115"/>
                <w:sz w:val="20"/>
              </w:rPr>
              <w:t>32</w:t>
            </w:r>
          </w:p>
        </w:tc>
        <w:tc>
          <w:tcPr>
            <w:tcW w:w="545" w:type="dxa"/>
          </w:tcPr>
          <w:p w14:paraId="5D64BF76" w14:textId="77777777" w:rsidR="00811887" w:rsidRDefault="00811887" w:rsidP="00486E22">
            <w:pPr>
              <w:pStyle w:val="TableParagraph"/>
              <w:spacing w:before="5" w:line="214" w:lineRule="exact"/>
              <w:ind w:right="252"/>
              <w:jc w:val="right"/>
              <w:rPr>
                <w:sz w:val="20"/>
              </w:rPr>
            </w:pPr>
            <w:r>
              <w:rPr>
                <w:spacing w:val="-10"/>
                <w:w w:val="115"/>
                <w:sz w:val="20"/>
              </w:rPr>
              <w:t>6</w:t>
            </w:r>
          </w:p>
        </w:tc>
        <w:tc>
          <w:tcPr>
            <w:tcW w:w="869" w:type="dxa"/>
          </w:tcPr>
          <w:p w14:paraId="7D11EC74" w14:textId="77777777" w:rsidR="00811887" w:rsidRDefault="00811887" w:rsidP="00486E22">
            <w:pPr>
              <w:pStyle w:val="TableParagraph"/>
              <w:spacing w:before="5" w:line="214" w:lineRule="exact"/>
              <w:ind w:right="98"/>
              <w:jc w:val="right"/>
              <w:rPr>
                <w:sz w:val="20"/>
              </w:rPr>
            </w:pPr>
            <w:r>
              <w:rPr>
                <w:spacing w:val="-5"/>
                <w:w w:val="115"/>
                <w:sz w:val="20"/>
              </w:rPr>
              <w:t>149</w:t>
            </w:r>
          </w:p>
        </w:tc>
      </w:tr>
      <w:tr w:rsidR="00811887" w14:paraId="2AD6602A" w14:textId="77777777" w:rsidTr="00486E22">
        <w:trPr>
          <w:trHeight w:val="235"/>
        </w:trPr>
        <w:tc>
          <w:tcPr>
            <w:tcW w:w="9728" w:type="dxa"/>
            <w:gridSpan w:val="7"/>
            <w:tcBorders>
              <w:right w:val="single" w:sz="4" w:space="0" w:color="000000"/>
            </w:tcBorders>
            <w:shd w:val="clear" w:color="auto" w:fill="AFCAC7"/>
          </w:tcPr>
          <w:p w14:paraId="77B661E4" w14:textId="77777777" w:rsidR="00811887" w:rsidRDefault="00811887" w:rsidP="00486E22">
            <w:pPr>
              <w:pStyle w:val="TableParagraph"/>
              <w:spacing w:before="1" w:line="214" w:lineRule="exact"/>
              <w:ind w:left="15" w:right="4"/>
              <w:jc w:val="center"/>
              <w:rPr>
                <w:sz w:val="20"/>
              </w:rPr>
            </w:pPr>
            <w:r w:rsidRPr="00630A63">
              <w:rPr>
                <w:spacing w:val="-2"/>
                <w:w w:val="110"/>
                <w:sz w:val="20"/>
              </w:rPr>
              <w:t>Tasmania</w:t>
            </w:r>
          </w:p>
        </w:tc>
      </w:tr>
      <w:tr w:rsidR="00811887" w14:paraId="008BDA1C" w14:textId="77777777" w:rsidTr="00486E22">
        <w:trPr>
          <w:trHeight w:val="235"/>
        </w:trPr>
        <w:tc>
          <w:tcPr>
            <w:tcW w:w="4257" w:type="dxa"/>
          </w:tcPr>
          <w:p w14:paraId="7D33FA4E" w14:textId="77777777" w:rsidR="00811887" w:rsidRDefault="00811887" w:rsidP="00486E22">
            <w:pPr>
              <w:pStyle w:val="TableParagraph"/>
              <w:spacing w:before="1" w:line="214" w:lineRule="exact"/>
              <w:ind w:left="110"/>
              <w:rPr>
                <w:sz w:val="20"/>
              </w:rPr>
            </w:pPr>
            <w:r>
              <w:rPr>
                <w:color w:val="4D665B"/>
                <w:spacing w:val="-2"/>
                <w:w w:val="110"/>
                <w:sz w:val="20"/>
              </w:rPr>
              <w:t>Tasmania</w:t>
            </w:r>
          </w:p>
        </w:tc>
        <w:tc>
          <w:tcPr>
            <w:tcW w:w="958" w:type="dxa"/>
          </w:tcPr>
          <w:p w14:paraId="4E167460" w14:textId="77777777" w:rsidR="00811887" w:rsidRDefault="00811887" w:rsidP="00486E22">
            <w:pPr>
              <w:pStyle w:val="TableParagraph"/>
              <w:spacing w:before="1" w:line="214" w:lineRule="exact"/>
              <w:ind w:left="60"/>
              <w:rPr>
                <w:sz w:val="20"/>
              </w:rPr>
            </w:pPr>
            <w:r>
              <w:rPr>
                <w:color w:val="4D665B"/>
                <w:spacing w:val="-5"/>
                <w:w w:val="115"/>
                <w:sz w:val="20"/>
              </w:rPr>
              <w:t>12</w:t>
            </w:r>
          </w:p>
        </w:tc>
        <w:tc>
          <w:tcPr>
            <w:tcW w:w="1013" w:type="dxa"/>
          </w:tcPr>
          <w:p w14:paraId="4E7B7266" w14:textId="77777777" w:rsidR="00811887" w:rsidRDefault="00811887" w:rsidP="00486E22">
            <w:pPr>
              <w:pStyle w:val="TableParagraph"/>
              <w:spacing w:before="1" w:line="214" w:lineRule="exact"/>
              <w:ind w:left="115"/>
              <w:rPr>
                <w:sz w:val="20"/>
              </w:rPr>
            </w:pPr>
            <w:r>
              <w:rPr>
                <w:color w:val="4D665B"/>
                <w:spacing w:val="-5"/>
                <w:w w:val="115"/>
                <w:sz w:val="20"/>
              </w:rPr>
              <w:t>81</w:t>
            </w:r>
          </w:p>
        </w:tc>
        <w:tc>
          <w:tcPr>
            <w:tcW w:w="1013" w:type="dxa"/>
          </w:tcPr>
          <w:p w14:paraId="70E07FA1" w14:textId="77777777" w:rsidR="00811887" w:rsidRDefault="00811887" w:rsidP="00486E22">
            <w:pPr>
              <w:pStyle w:val="TableParagraph"/>
              <w:spacing w:before="1" w:line="214" w:lineRule="exact"/>
              <w:ind w:left="4"/>
              <w:rPr>
                <w:sz w:val="20"/>
              </w:rPr>
            </w:pPr>
            <w:r>
              <w:rPr>
                <w:color w:val="4D665B"/>
                <w:spacing w:val="-5"/>
                <w:w w:val="115"/>
                <w:sz w:val="20"/>
              </w:rPr>
              <w:t>240</w:t>
            </w:r>
          </w:p>
        </w:tc>
        <w:tc>
          <w:tcPr>
            <w:tcW w:w="1073" w:type="dxa"/>
          </w:tcPr>
          <w:p w14:paraId="6F8D35C0" w14:textId="77777777" w:rsidR="00811887" w:rsidRDefault="00811887" w:rsidP="00486E22">
            <w:pPr>
              <w:pStyle w:val="TableParagraph"/>
              <w:spacing w:before="1" w:line="214" w:lineRule="exact"/>
              <w:ind w:left="115"/>
              <w:rPr>
                <w:sz w:val="20"/>
              </w:rPr>
            </w:pPr>
            <w:r>
              <w:rPr>
                <w:color w:val="4D665B"/>
                <w:spacing w:val="-5"/>
                <w:w w:val="115"/>
                <w:sz w:val="20"/>
              </w:rPr>
              <w:t>97</w:t>
            </w:r>
          </w:p>
        </w:tc>
        <w:tc>
          <w:tcPr>
            <w:tcW w:w="545" w:type="dxa"/>
          </w:tcPr>
          <w:p w14:paraId="1754071B" w14:textId="77777777" w:rsidR="00811887" w:rsidRDefault="00811887" w:rsidP="00486E22">
            <w:pPr>
              <w:pStyle w:val="TableParagraph"/>
              <w:spacing w:before="1" w:line="214" w:lineRule="exact"/>
              <w:ind w:right="252"/>
              <w:jc w:val="right"/>
              <w:rPr>
                <w:sz w:val="20"/>
              </w:rPr>
            </w:pPr>
            <w:r>
              <w:rPr>
                <w:color w:val="4D665B"/>
                <w:spacing w:val="-5"/>
                <w:w w:val="115"/>
                <w:sz w:val="20"/>
              </w:rPr>
              <w:t>18</w:t>
            </w:r>
          </w:p>
        </w:tc>
        <w:tc>
          <w:tcPr>
            <w:tcW w:w="869" w:type="dxa"/>
          </w:tcPr>
          <w:p w14:paraId="0DA15022" w14:textId="77777777" w:rsidR="00811887" w:rsidRDefault="00811887" w:rsidP="00486E22">
            <w:pPr>
              <w:pStyle w:val="TableParagraph"/>
              <w:spacing w:before="1" w:line="214" w:lineRule="exact"/>
              <w:ind w:right="98"/>
              <w:jc w:val="right"/>
              <w:rPr>
                <w:sz w:val="20"/>
              </w:rPr>
            </w:pPr>
            <w:r>
              <w:rPr>
                <w:color w:val="4D665B"/>
                <w:spacing w:val="-5"/>
                <w:w w:val="115"/>
                <w:sz w:val="20"/>
              </w:rPr>
              <w:t>448</w:t>
            </w:r>
          </w:p>
        </w:tc>
      </w:tr>
      <w:tr w:rsidR="00811887" w14:paraId="43C826D8" w14:textId="77777777" w:rsidTr="00486E22">
        <w:trPr>
          <w:trHeight w:val="235"/>
        </w:trPr>
        <w:tc>
          <w:tcPr>
            <w:tcW w:w="9728" w:type="dxa"/>
            <w:gridSpan w:val="7"/>
            <w:tcBorders>
              <w:right w:val="single" w:sz="4" w:space="0" w:color="000000"/>
            </w:tcBorders>
            <w:shd w:val="clear" w:color="auto" w:fill="AFCAC7"/>
          </w:tcPr>
          <w:p w14:paraId="103B08AA" w14:textId="77777777" w:rsidR="00811887" w:rsidRDefault="00811887" w:rsidP="00486E22">
            <w:pPr>
              <w:pStyle w:val="TableParagraph"/>
              <w:spacing w:before="1" w:line="214" w:lineRule="exact"/>
              <w:ind w:left="15" w:right="5"/>
              <w:jc w:val="center"/>
              <w:rPr>
                <w:sz w:val="20"/>
              </w:rPr>
            </w:pPr>
            <w:r w:rsidRPr="00630A63">
              <w:rPr>
                <w:w w:val="110"/>
                <w:sz w:val="20"/>
              </w:rPr>
              <w:t>Northern</w:t>
            </w:r>
            <w:r w:rsidRPr="00630A63">
              <w:rPr>
                <w:spacing w:val="4"/>
                <w:w w:val="110"/>
                <w:sz w:val="20"/>
              </w:rPr>
              <w:t xml:space="preserve"> </w:t>
            </w:r>
            <w:r w:rsidRPr="00630A63">
              <w:rPr>
                <w:spacing w:val="-2"/>
                <w:w w:val="110"/>
                <w:sz w:val="20"/>
              </w:rPr>
              <w:t>Territory</w:t>
            </w:r>
          </w:p>
        </w:tc>
      </w:tr>
      <w:tr w:rsidR="00811887" w14:paraId="69F6E1D3" w14:textId="77777777" w:rsidTr="00486E22">
        <w:trPr>
          <w:trHeight w:val="235"/>
        </w:trPr>
        <w:tc>
          <w:tcPr>
            <w:tcW w:w="4257" w:type="dxa"/>
          </w:tcPr>
          <w:p w14:paraId="7086FD93" w14:textId="77777777" w:rsidR="00811887" w:rsidRDefault="00811887" w:rsidP="00486E22">
            <w:pPr>
              <w:pStyle w:val="TableParagraph"/>
              <w:spacing w:before="1" w:line="210" w:lineRule="exact"/>
              <w:ind w:left="110"/>
              <w:rPr>
                <w:sz w:val="20"/>
              </w:rPr>
            </w:pPr>
            <w:r>
              <w:rPr>
                <w:spacing w:val="-2"/>
                <w:w w:val="110"/>
                <w:sz w:val="20"/>
              </w:rPr>
              <w:t>Darwin</w:t>
            </w:r>
          </w:p>
        </w:tc>
        <w:tc>
          <w:tcPr>
            <w:tcW w:w="958" w:type="dxa"/>
          </w:tcPr>
          <w:p w14:paraId="05BAF57B" w14:textId="77777777" w:rsidR="00811887" w:rsidRDefault="00811887" w:rsidP="00486E22">
            <w:pPr>
              <w:pStyle w:val="TableParagraph"/>
              <w:spacing w:before="1" w:line="210" w:lineRule="exact"/>
              <w:ind w:left="60"/>
              <w:rPr>
                <w:sz w:val="20"/>
              </w:rPr>
            </w:pPr>
            <w:r>
              <w:rPr>
                <w:spacing w:val="-5"/>
                <w:w w:val="115"/>
                <w:sz w:val="20"/>
              </w:rPr>
              <w:t>17</w:t>
            </w:r>
          </w:p>
        </w:tc>
        <w:tc>
          <w:tcPr>
            <w:tcW w:w="1013" w:type="dxa"/>
          </w:tcPr>
          <w:p w14:paraId="70681392" w14:textId="77777777" w:rsidR="00811887" w:rsidRDefault="00811887" w:rsidP="00486E22">
            <w:pPr>
              <w:pStyle w:val="TableParagraph"/>
              <w:spacing w:before="1" w:line="210" w:lineRule="exact"/>
              <w:ind w:left="4"/>
              <w:rPr>
                <w:sz w:val="20"/>
              </w:rPr>
            </w:pPr>
            <w:r>
              <w:rPr>
                <w:spacing w:val="-5"/>
                <w:w w:val="115"/>
                <w:sz w:val="20"/>
              </w:rPr>
              <w:t>109</w:t>
            </w:r>
          </w:p>
        </w:tc>
        <w:tc>
          <w:tcPr>
            <w:tcW w:w="1013" w:type="dxa"/>
          </w:tcPr>
          <w:p w14:paraId="63C3C877" w14:textId="77777777" w:rsidR="00811887" w:rsidRDefault="00811887" w:rsidP="00486E22">
            <w:pPr>
              <w:pStyle w:val="TableParagraph"/>
              <w:spacing w:before="1" w:line="210" w:lineRule="exact"/>
              <w:ind w:left="4"/>
              <w:rPr>
                <w:sz w:val="20"/>
              </w:rPr>
            </w:pPr>
            <w:r>
              <w:rPr>
                <w:spacing w:val="-5"/>
                <w:w w:val="115"/>
                <w:sz w:val="20"/>
              </w:rPr>
              <w:t>321</w:t>
            </w:r>
          </w:p>
        </w:tc>
        <w:tc>
          <w:tcPr>
            <w:tcW w:w="1073" w:type="dxa"/>
          </w:tcPr>
          <w:p w14:paraId="68EE63F4" w14:textId="77777777" w:rsidR="00811887" w:rsidRDefault="00811887" w:rsidP="00486E22">
            <w:pPr>
              <w:pStyle w:val="TableParagraph"/>
              <w:spacing w:before="1" w:line="210" w:lineRule="exact"/>
              <w:ind w:left="5"/>
              <w:rPr>
                <w:sz w:val="20"/>
              </w:rPr>
            </w:pPr>
            <w:r>
              <w:rPr>
                <w:spacing w:val="-5"/>
                <w:w w:val="115"/>
                <w:sz w:val="20"/>
              </w:rPr>
              <w:t>130</w:t>
            </w:r>
          </w:p>
        </w:tc>
        <w:tc>
          <w:tcPr>
            <w:tcW w:w="545" w:type="dxa"/>
          </w:tcPr>
          <w:p w14:paraId="1C7D88F8" w14:textId="77777777" w:rsidR="00811887" w:rsidRDefault="00811887" w:rsidP="00486E22">
            <w:pPr>
              <w:pStyle w:val="TableParagraph"/>
              <w:spacing w:before="1" w:line="210" w:lineRule="exact"/>
              <w:ind w:right="252"/>
              <w:jc w:val="right"/>
              <w:rPr>
                <w:sz w:val="20"/>
              </w:rPr>
            </w:pPr>
            <w:r>
              <w:rPr>
                <w:spacing w:val="-5"/>
                <w:w w:val="115"/>
                <w:sz w:val="20"/>
              </w:rPr>
              <w:t>24</w:t>
            </w:r>
          </w:p>
        </w:tc>
        <w:tc>
          <w:tcPr>
            <w:tcW w:w="869" w:type="dxa"/>
          </w:tcPr>
          <w:p w14:paraId="16FC5934" w14:textId="77777777" w:rsidR="00811887" w:rsidRDefault="00811887" w:rsidP="00486E22">
            <w:pPr>
              <w:pStyle w:val="TableParagraph"/>
              <w:spacing w:before="1" w:line="210" w:lineRule="exact"/>
              <w:ind w:right="98"/>
              <w:jc w:val="right"/>
              <w:rPr>
                <w:sz w:val="20"/>
              </w:rPr>
            </w:pPr>
            <w:r>
              <w:rPr>
                <w:spacing w:val="-5"/>
                <w:w w:val="115"/>
                <w:sz w:val="20"/>
              </w:rPr>
              <w:t>600</w:t>
            </w:r>
          </w:p>
        </w:tc>
      </w:tr>
      <w:tr w:rsidR="00811887" w14:paraId="16F518E5" w14:textId="77777777" w:rsidTr="00486E22">
        <w:trPr>
          <w:trHeight w:val="235"/>
        </w:trPr>
        <w:tc>
          <w:tcPr>
            <w:tcW w:w="4257" w:type="dxa"/>
          </w:tcPr>
          <w:p w14:paraId="3F4255DC" w14:textId="77777777" w:rsidR="00811887" w:rsidRDefault="00811887" w:rsidP="00486E22">
            <w:pPr>
              <w:pStyle w:val="TableParagraph"/>
              <w:spacing w:before="5" w:line="210" w:lineRule="exact"/>
              <w:ind w:left="110"/>
              <w:rPr>
                <w:sz w:val="20"/>
              </w:rPr>
            </w:pPr>
            <w:r>
              <w:rPr>
                <w:w w:val="105"/>
                <w:sz w:val="20"/>
              </w:rPr>
              <w:t>Jabiru</w:t>
            </w:r>
            <w:r>
              <w:rPr>
                <w:spacing w:val="8"/>
                <w:w w:val="105"/>
                <w:sz w:val="20"/>
              </w:rPr>
              <w:t xml:space="preserve"> </w:t>
            </w:r>
            <w:r>
              <w:rPr>
                <w:w w:val="105"/>
                <w:sz w:val="20"/>
              </w:rPr>
              <w:t>-</w:t>
            </w:r>
            <w:r>
              <w:rPr>
                <w:spacing w:val="4"/>
                <w:w w:val="105"/>
                <w:sz w:val="20"/>
              </w:rPr>
              <w:t xml:space="preserve"> </w:t>
            </w:r>
            <w:r>
              <w:rPr>
                <w:spacing w:val="-4"/>
                <w:w w:val="105"/>
                <w:sz w:val="20"/>
              </w:rPr>
              <w:t>Tiwi</w:t>
            </w:r>
          </w:p>
        </w:tc>
        <w:tc>
          <w:tcPr>
            <w:tcW w:w="958" w:type="dxa"/>
          </w:tcPr>
          <w:p w14:paraId="6EE4BC93" w14:textId="77777777" w:rsidR="00811887" w:rsidRDefault="00811887" w:rsidP="00486E22">
            <w:pPr>
              <w:pStyle w:val="TableParagraph"/>
              <w:spacing w:before="5" w:line="210" w:lineRule="exact"/>
              <w:ind w:left="60"/>
              <w:rPr>
                <w:sz w:val="20"/>
              </w:rPr>
            </w:pPr>
            <w:r>
              <w:rPr>
                <w:spacing w:val="-5"/>
                <w:w w:val="115"/>
                <w:sz w:val="20"/>
              </w:rPr>
              <w:t>21</w:t>
            </w:r>
          </w:p>
        </w:tc>
        <w:tc>
          <w:tcPr>
            <w:tcW w:w="1013" w:type="dxa"/>
          </w:tcPr>
          <w:p w14:paraId="58234392" w14:textId="77777777" w:rsidR="00811887" w:rsidRDefault="00811887" w:rsidP="00486E22">
            <w:pPr>
              <w:pStyle w:val="TableParagraph"/>
              <w:spacing w:before="5" w:line="210" w:lineRule="exact"/>
              <w:ind w:left="4"/>
              <w:rPr>
                <w:sz w:val="20"/>
              </w:rPr>
            </w:pPr>
            <w:r>
              <w:rPr>
                <w:spacing w:val="-5"/>
                <w:w w:val="115"/>
                <w:sz w:val="20"/>
              </w:rPr>
              <w:t>134</w:t>
            </w:r>
          </w:p>
        </w:tc>
        <w:tc>
          <w:tcPr>
            <w:tcW w:w="1013" w:type="dxa"/>
          </w:tcPr>
          <w:p w14:paraId="5BE40EBB" w14:textId="77777777" w:rsidR="00811887" w:rsidRDefault="00811887" w:rsidP="00486E22">
            <w:pPr>
              <w:pStyle w:val="TableParagraph"/>
              <w:spacing w:before="5" w:line="210" w:lineRule="exact"/>
              <w:ind w:left="4"/>
              <w:rPr>
                <w:sz w:val="20"/>
              </w:rPr>
            </w:pPr>
            <w:r>
              <w:rPr>
                <w:spacing w:val="-5"/>
                <w:w w:val="115"/>
                <w:sz w:val="20"/>
              </w:rPr>
              <w:t>397</w:t>
            </w:r>
          </w:p>
        </w:tc>
        <w:tc>
          <w:tcPr>
            <w:tcW w:w="1073" w:type="dxa"/>
          </w:tcPr>
          <w:p w14:paraId="5715FBD7" w14:textId="77777777" w:rsidR="00811887" w:rsidRDefault="00811887" w:rsidP="00486E22">
            <w:pPr>
              <w:pStyle w:val="TableParagraph"/>
              <w:spacing w:before="5" w:line="210" w:lineRule="exact"/>
              <w:ind w:left="5"/>
              <w:rPr>
                <w:sz w:val="20"/>
              </w:rPr>
            </w:pPr>
            <w:r>
              <w:rPr>
                <w:spacing w:val="-5"/>
                <w:w w:val="115"/>
                <w:sz w:val="20"/>
              </w:rPr>
              <w:t>161</w:t>
            </w:r>
          </w:p>
        </w:tc>
        <w:tc>
          <w:tcPr>
            <w:tcW w:w="545" w:type="dxa"/>
          </w:tcPr>
          <w:p w14:paraId="016B5421" w14:textId="77777777" w:rsidR="00811887" w:rsidRDefault="00811887" w:rsidP="00486E22">
            <w:pPr>
              <w:pStyle w:val="TableParagraph"/>
              <w:spacing w:before="5" w:line="210" w:lineRule="exact"/>
              <w:ind w:right="252"/>
              <w:jc w:val="right"/>
              <w:rPr>
                <w:sz w:val="20"/>
              </w:rPr>
            </w:pPr>
            <w:r>
              <w:rPr>
                <w:spacing w:val="-5"/>
                <w:w w:val="115"/>
                <w:sz w:val="20"/>
              </w:rPr>
              <w:t>29</w:t>
            </w:r>
          </w:p>
        </w:tc>
        <w:tc>
          <w:tcPr>
            <w:tcW w:w="869" w:type="dxa"/>
          </w:tcPr>
          <w:p w14:paraId="0D87347B" w14:textId="77777777" w:rsidR="00811887" w:rsidRDefault="00811887" w:rsidP="00486E22">
            <w:pPr>
              <w:pStyle w:val="TableParagraph"/>
              <w:spacing w:before="5" w:line="210" w:lineRule="exact"/>
              <w:ind w:right="98"/>
              <w:jc w:val="right"/>
              <w:rPr>
                <w:sz w:val="20"/>
              </w:rPr>
            </w:pPr>
            <w:r>
              <w:rPr>
                <w:spacing w:val="-5"/>
                <w:w w:val="115"/>
                <w:sz w:val="20"/>
              </w:rPr>
              <w:t>743</w:t>
            </w:r>
          </w:p>
        </w:tc>
      </w:tr>
      <w:tr w:rsidR="00811887" w14:paraId="6768F6D0" w14:textId="77777777" w:rsidTr="00486E22">
        <w:trPr>
          <w:trHeight w:val="235"/>
        </w:trPr>
        <w:tc>
          <w:tcPr>
            <w:tcW w:w="4257" w:type="dxa"/>
          </w:tcPr>
          <w:p w14:paraId="53C8CFBC" w14:textId="77777777" w:rsidR="00811887" w:rsidRDefault="00811887" w:rsidP="00486E22">
            <w:pPr>
              <w:pStyle w:val="TableParagraph"/>
              <w:spacing w:before="5" w:line="210" w:lineRule="exact"/>
              <w:ind w:left="110"/>
              <w:rPr>
                <w:sz w:val="20"/>
              </w:rPr>
            </w:pPr>
            <w:r>
              <w:rPr>
                <w:spacing w:val="-2"/>
                <w:w w:val="110"/>
                <w:sz w:val="20"/>
              </w:rPr>
              <w:t>Katherine</w:t>
            </w:r>
          </w:p>
        </w:tc>
        <w:tc>
          <w:tcPr>
            <w:tcW w:w="958" w:type="dxa"/>
          </w:tcPr>
          <w:p w14:paraId="59D64CE1" w14:textId="77777777" w:rsidR="00811887" w:rsidRDefault="00811887" w:rsidP="00486E22">
            <w:pPr>
              <w:pStyle w:val="TableParagraph"/>
              <w:spacing w:before="5" w:line="210" w:lineRule="exact"/>
              <w:ind w:left="60"/>
              <w:rPr>
                <w:sz w:val="20"/>
              </w:rPr>
            </w:pPr>
            <w:r>
              <w:rPr>
                <w:spacing w:val="-5"/>
                <w:w w:val="115"/>
                <w:sz w:val="20"/>
              </w:rPr>
              <w:t>17</w:t>
            </w:r>
          </w:p>
        </w:tc>
        <w:tc>
          <w:tcPr>
            <w:tcW w:w="1013" w:type="dxa"/>
          </w:tcPr>
          <w:p w14:paraId="0D50335A" w14:textId="77777777" w:rsidR="00811887" w:rsidRDefault="00811887" w:rsidP="00486E22">
            <w:pPr>
              <w:pStyle w:val="TableParagraph"/>
              <w:spacing w:before="5" w:line="210" w:lineRule="exact"/>
              <w:ind w:left="4"/>
              <w:rPr>
                <w:sz w:val="20"/>
              </w:rPr>
            </w:pPr>
            <w:r>
              <w:rPr>
                <w:spacing w:val="-5"/>
                <w:w w:val="115"/>
                <w:sz w:val="20"/>
              </w:rPr>
              <w:t>109</w:t>
            </w:r>
          </w:p>
        </w:tc>
        <w:tc>
          <w:tcPr>
            <w:tcW w:w="1013" w:type="dxa"/>
          </w:tcPr>
          <w:p w14:paraId="58CEAE7A" w14:textId="77777777" w:rsidR="00811887" w:rsidRDefault="00811887" w:rsidP="00486E22">
            <w:pPr>
              <w:pStyle w:val="TableParagraph"/>
              <w:spacing w:before="5" w:line="210" w:lineRule="exact"/>
              <w:ind w:left="4"/>
              <w:rPr>
                <w:sz w:val="20"/>
              </w:rPr>
            </w:pPr>
            <w:r>
              <w:rPr>
                <w:spacing w:val="-5"/>
                <w:w w:val="115"/>
                <w:sz w:val="20"/>
              </w:rPr>
              <w:t>321</w:t>
            </w:r>
          </w:p>
        </w:tc>
        <w:tc>
          <w:tcPr>
            <w:tcW w:w="1073" w:type="dxa"/>
          </w:tcPr>
          <w:p w14:paraId="0C0873A9" w14:textId="77777777" w:rsidR="00811887" w:rsidRDefault="00811887" w:rsidP="00486E22">
            <w:pPr>
              <w:pStyle w:val="TableParagraph"/>
              <w:spacing w:before="5" w:line="210" w:lineRule="exact"/>
              <w:ind w:left="5"/>
              <w:rPr>
                <w:sz w:val="20"/>
              </w:rPr>
            </w:pPr>
            <w:r>
              <w:rPr>
                <w:spacing w:val="-5"/>
                <w:w w:val="115"/>
                <w:sz w:val="20"/>
              </w:rPr>
              <w:t>131</w:t>
            </w:r>
          </w:p>
        </w:tc>
        <w:tc>
          <w:tcPr>
            <w:tcW w:w="545" w:type="dxa"/>
          </w:tcPr>
          <w:p w14:paraId="3B49DF1B" w14:textId="77777777" w:rsidR="00811887" w:rsidRDefault="00811887" w:rsidP="00486E22">
            <w:pPr>
              <w:pStyle w:val="TableParagraph"/>
              <w:spacing w:before="5" w:line="210" w:lineRule="exact"/>
              <w:ind w:right="252"/>
              <w:jc w:val="right"/>
              <w:rPr>
                <w:sz w:val="20"/>
              </w:rPr>
            </w:pPr>
            <w:r>
              <w:rPr>
                <w:spacing w:val="-5"/>
                <w:w w:val="115"/>
                <w:sz w:val="20"/>
              </w:rPr>
              <w:t>24</w:t>
            </w:r>
          </w:p>
        </w:tc>
        <w:tc>
          <w:tcPr>
            <w:tcW w:w="869" w:type="dxa"/>
          </w:tcPr>
          <w:p w14:paraId="1C00D7F1" w14:textId="77777777" w:rsidR="00811887" w:rsidRDefault="00811887" w:rsidP="00486E22">
            <w:pPr>
              <w:pStyle w:val="TableParagraph"/>
              <w:spacing w:before="5" w:line="210" w:lineRule="exact"/>
              <w:ind w:right="98"/>
              <w:jc w:val="right"/>
              <w:rPr>
                <w:sz w:val="20"/>
              </w:rPr>
            </w:pPr>
            <w:r>
              <w:rPr>
                <w:spacing w:val="-5"/>
                <w:w w:val="115"/>
                <w:sz w:val="20"/>
              </w:rPr>
              <w:t>601</w:t>
            </w:r>
          </w:p>
        </w:tc>
      </w:tr>
      <w:tr w:rsidR="00811887" w14:paraId="19DD5FB7" w14:textId="77777777" w:rsidTr="00486E22">
        <w:trPr>
          <w:trHeight w:val="235"/>
        </w:trPr>
        <w:tc>
          <w:tcPr>
            <w:tcW w:w="4257" w:type="dxa"/>
          </w:tcPr>
          <w:p w14:paraId="40D18798" w14:textId="77777777" w:rsidR="00811887" w:rsidRDefault="00811887" w:rsidP="00486E22">
            <w:pPr>
              <w:pStyle w:val="TableParagraph"/>
              <w:spacing w:before="5" w:line="210" w:lineRule="exact"/>
              <w:ind w:left="110"/>
              <w:rPr>
                <w:sz w:val="20"/>
              </w:rPr>
            </w:pPr>
            <w:r>
              <w:rPr>
                <w:spacing w:val="-2"/>
                <w:w w:val="110"/>
                <w:sz w:val="20"/>
              </w:rPr>
              <w:t>Nhulunbuy</w:t>
            </w:r>
          </w:p>
        </w:tc>
        <w:tc>
          <w:tcPr>
            <w:tcW w:w="958" w:type="dxa"/>
          </w:tcPr>
          <w:p w14:paraId="414B99A0" w14:textId="77777777" w:rsidR="00811887" w:rsidRDefault="00811887" w:rsidP="00486E22">
            <w:pPr>
              <w:pStyle w:val="TableParagraph"/>
              <w:spacing w:before="5" w:line="210" w:lineRule="exact"/>
              <w:ind w:left="60"/>
              <w:rPr>
                <w:sz w:val="20"/>
              </w:rPr>
            </w:pPr>
            <w:r>
              <w:rPr>
                <w:spacing w:val="-5"/>
                <w:w w:val="115"/>
                <w:sz w:val="20"/>
              </w:rPr>
              <w:t>19</w:t>
            </w:r>
          </w:p>
        </w:tc>
        <w:tc>
          <w:tcPr>
            <w:tcW w:w="1013" w:type="dxa"/>
          </w:tcPr>
          <w:p w14:paraId="0C516CF0" w14:textId="77777777" w:rsidR="00811887" w:rsidRDefault="00811887" w:rsidP="00486E22">
            <w:pPr>
              <w:pStyle w:val="TableParagraph"/>
              <w:spacing w:before="5" w:line="210" w:lineRule="exact"/>
              <w:ind w:left="4"/>
              <w:rPr>
                <w:sz w:val="20"/>
              </w:rPr>
            </w:pPr>
            <w:r>
              <w:rPr>
                <w:spacing w:val="-5"/>
                <w:w w:val="115"/>
                <w:sz w:val="20"/>
              </w:rPr>
              <w:t>123</w:t>
            </w:r>
          </w:p>
        </w:tc>
        <w:tc>
          <w:tcPr>
            <w:tcW w:w="1013" w:type="dxa"/>
          </w:tcPr>
          <w:p w14:paraId="2ACCF68D" w14:textId="77777777" w:rsidR="00811887" w:rsidRDefault="00811887" w:rsidP="00486E22">
            <w:pPr>
              <w:pStyle w:val="TableParagraph"/>
              <w:spacing w:before="5" w:line="210" w:lineRule="exact"/>
              <w:ind w:left="4"/>
              <w:rPr>
                <w:sz w:val="20"/>
              </w:rPr>
            </w:pPr>
            <w:r>
              <w:rPr>
                <w:spacing w:val="-5"/>
                <w:w w:val="115"/>
                <w:sz w:val="20"/>
              </w:rPr>
              <w:t>364</w:t>
            </w:r>
          </w:p>
        </w:tc>
        <w:tc>
          <w:tcPr>
            <w:tcW w:w="1073" w:type="dxa"/>
          </w:tcPr>
          <w:p w14:paraId="141B3E04" w14:textId="77777777" w:rsidR="00811887" w:rsidRDefault="00811887" w:rsidP="00486E22">
            <w:pPr>
              <w:pStyle w:val="TableParagraph"/>
              <w:spacing w:before="5" w:line="210" w:lineRule="exact"/>
              <w:ind w:left="5"/>
              <w:rPr>
                <w:sz w:val="20"/>
              </w:rPr>
            </w:pPr>
            <w:r>
              <w:rPr>
                <w:spacing w:val="-5"/>
                <w:w w:val="115"/>
                <w:sz w:val="20"/>
              </w:rPr>
              <w:t>148</w:t>
            </w:r>
          </w:p>
        </w:tc>
        <w:tc>
          <w:tcPr>
            <w:tcW w:w="545" w:type="dxa"/>
          </w:tcPr>
          <w:p w14:paraId="7426DB2B" w14:textId="77777777" w:rsidR="00811887" w:rsidRDefault="00811887" w:rsidP="00486E22">
            <w:pPr>
              <w:pStyle w:val="TableParagraph"/>
              <w:spacing w:before="5" w:line="210" w:lineRule="exact"/>
              <w:ind w:right="252"/>
              <w:jc w:val="right"/>
              <w:rPr>
                <w:sz w:val="20"/>
              </w:rPr>
            </w:pPr>
            <w:r>
              <w:rPr>
                <w:spacing w:val="-5"/>
                <w:w w:val="115"/>
                <w:sz w:val="20"/>
              </w:rPr>
              <w:t>27</w:t>
            </w:r>
          </w:p>
        </w:tc>
        <w:tc>
          <w:tcPr>
            <w:tcW w:w="869" w:type="dxa"/>
          </w:tcPr>
          <w:p w14:paraId="11B2F7E9" w14:textId="77777777" w:rsidR="00811887" w:rsidRDefault="00811887" w:rsidP="00486E22">
            <w:pPr>
              <w:pStyle w:val="TableParagraph"/>
              <w:spacing w:before="5" w:line="210" w:lineRule="exact"/>
              <w:ind w:right="98"/>
              <w:jc w:val="right"/>
              <w:rPr>
                <w:sz w:val="20"/>
              </w:rPr>
            </w:pPr>
            <w:r>
              <w:rPr>
                <w:spacing w:val="-5"/>
                <w:w w:val="115"/>
                <w:sz w:val="20"/>
              </w:rPr>
              <w:t>681</w:t>
            </w:r>
          </w:p>
        </w:tc>
      </w:tr>
      <w:tr w:rsidR="00811887" w14:paraId="1227F722" w14:textId="77777777" w:rsidTr="00486E22">
        <w:trPr>
          <w:trHeight w:val="235"/>
        </w:trPr>
        <w:tc>
          <w:tcPr>
            <w:tcW w:w="4257" w:type="dxa"/>
          </w:tcPr>
          <w:p w14:paraId="5CADC08D" w14:textId="77777777" w:rsidR="00811887" w:rsidRDefault="00811887" w:rsidP="00486E22">
            <w:pPr>
              <w:pStyle w:val="TableParagraph"/>
              <w:spacing w:before="5" w:line="210" w:lineRule="exact"/>
              <w:ind w:left="110"/>
              <w:rPr>
                <w:sz w:val="20"/>
              </w:rPr>
            </w:pPr>
            <w:r>
              <w:rPr>
                <w:w w:val="110"/>
                <w:sz w:val="20"/>
              </w:rPr>
              <w:t>Tennant</w:t>
            </w:r>
            <w:r>
              <w:rPr>
                <w:spacing w:val="-3"/>
                <w:w w:val="110"/>
                <w:sz w:val="20"/>
              </w:rPr>
              <w:t xml:space="preserve"> </w:t>
            </w:r>
            <w:r>
              <w:rPr>
                <w:spacing w:val="-2"/>
                <w:w w:val="110"/>
                <w:sz w:val="20"/>
              </w:rPr>
              <w:t>Creek</w:t>
            </w:r>
          </w:p>
        </w:tc>
        <w:tc>
          <w:tcPr>
            <w:tcW w:w="958" w:type="dxa"/>
          </w:tcPr>
          <w:p w14:paraId="10C0CF98" w14:textId="77777777" w:rsidR="00811887" w:rsidRDefault="00811887" w:rsidP="00486E22">
            <w:pPr>
              <w:pStyle w:val="TableParagraph"/>
              <w:spacing w:before="5" w:line="210" w:lineRule="exact"/>
              <w:ind w:left="175"/>
              <w:rPr>
                <w:sz w:val="20"/>
              </w:rPr>
            </w:pPr>
            <w:r>
              <w:rPr>
                <w:spacing w:val="-10"/>
                <w:w w:val="115"/>
                <w:sz w:val="20"/>
              </w:rPr>
              <w:t>5</w:t>
            </w:r>
          </w:p>
        </w:tc>
        <w:tc>
          <w:tcPr>
            <w:tcW w:w="1013" w:type="dxa"/>
          </w:tcPr>
          <w:p w14:paraId="4FE8C30C" w14:textId="77777777" w:rsidR="00811887" w:rsidRDefault="00811887" w:rsidP="00486E22">
            <w:pPr>
              <w:pStyle w:val="TableParagraph"/>
              <w:spacing w:before="5" w:line="210" w:lineRule="exact"/>
              <w:ind w:left="115"/>
              <w:rPr>
                <w:sz w:val="20"/>
              </w:rPr>
            </w:pPr>
            <w:r>
              <w:rPr>
                <w:spacing w:val="-5"/>
                <w:w w:val="115"/>
                <w:sz w:val="20"/>
              </w:rPr>
              <w:t>31</w:t>
            </w:r>
          </w:p>
        </w:tc>
        <w:tc>
          <w:tcPr>
            <w:tcW w:w="1013" w:type="dxa"/>
          </w:tcPr>
          <w:p w14:paraId="2F8F927B" w14:textId="77777777" w:rsidR="00811887" w:rsidRDefault="00811887" w:rsidP="00486E22">
            <w:pPr>
              <w:pStyle w:val="TableParagraph"/>
              <w:spacing w:before="5" w:line="210" w:lineRule="exact"/>
              <w:ind w:left="115"/>
              <w:rPr>
                <w:sz w:val="20"/>
              </w:rPr>
            </w:pPr>
            <w:r>
              <w:rPr>
                <w:spacing w:val="-5"/>
                <w:w w:val="115"/>
                <w:sz w:val="20"/>
              </w:rPr>
              <w:t>90</w:t>
            </w:r>
          </w:p>
        </w:tc>
        <w:tc>
          <w:tcPr>
            <w:tcW w:w="1073" w:type="dxa"/>
          </w:tcPr>
          <w:p w14:paraId="31F33A79" w14:textId="77777777" w:rsidR="00811887" w:rsidRDefault="00811887" w:rsidP="00486E22">
            <w:pPr>
              <w:pStyle w:val="TableParagraph"/>
              <w:spacing w:before="5" w:line="210" w:lineRule="exact"/>
              <w:ind w:left="115"/>
              <w:rPr>
                <w:sz w:val="20"/>
              </w:rPr>
            </w:pPr>
            <w:r>
              <w:rPr>
                <w:spacing w:val="-5"/>
                <w:w w:val="115"/>
                <w:sz w:val="20"/>
              </w:rPr>
              <w:t>37</w:t>
            </w:r>
          </w:p>
        </w:tc>
        <w:tc>
          <w:tcPr>
            <w:tcW w:w="545" w:type="dxa"/>
          </w:tcPr>
          <w:p w14:paraId="5B16F9DD" w14:textId="77777777" w:rsidR="00811887" w:rsidRDefault="00811887" w:rsidP="00486E22">
            <w:pPr>
              <w:pStyle w:val="TableParagraph"/>
              <w:spacing w:before="5" w:line="210" w:lineRule="exact"/>
              <w:ind w:right="252"/>
              <w:jc w:val="right"/>
              <w:rPr>
                <w:sz w:val="20"/>
              </w:rPr>
            </w:pPr>
            <w:r>
              <w:rPr>
                <w:spacing w:val="-10"/>
                <w:w w:val="115"/>
                <w:sz w:val="20"/>
              </w:rPr>
              <w:t>7</w:t>
            </w:r>
          </w:p>
        </w:tc>
        <w:tc>
          <w:tcPr>
            <w:tcW w:w="869" w:type="dxa"/>
          </w:tcPr>
          <w:p w14:paraId="1B7C7F2F" w14:textId="77777777" w:rsidR="00811887" w:rsidRDefault="00811887" w:rsidP="00486E22">
            <w:pPr>
              <w:pStyle w:val="TableParagraph"/>
              <w:spacing w:before="5" w:line="210" w:lineRule="exact"/>
              <w:ind w:right="98"/>
              <w:jc w:val="right"/>
              <w:rPr>
                <w:sz w:val="20"/>
              </w:rPr>
            </w:pPr>
            <w:r>
              <w:rPr>
                <w:spacing w:val="-5"/>
                <w:w w:val="115"/>
                <w:sz w:val="20"/>
              </w:rPr>
              <w:t>169</w:t>
            </w:r>
          </w:p>
        </w:tc>
      </w:tr>
      <w:tr w:rsidR="00811887" w14:paraId="64F61BDF" w14:textId="77777777" w:rsidTr="00486E22">
        <w:trPr>
          <w:trHeight w:val="235"/>
        </w:trPr>
        <w:tc>
          <w:tcPr>
            <w:tcW w:w="4257" w:type="dxa"/>
          </w:tcPr>
          <w:p w14:paraId="22408AA7" w14:textId="77777777" w:rsidR="00811887" w:rsidRDefault="00811887" w:rsidP="00486E22">
            <w:pPr>
              <w:pStyle w:val="TableParagraph"/>
              <w:spacing w:before="5" w:line="210" w:lineRule="exact"/>
              <w:ind w:left="110"/>
              <w:rPr>
                <w:sz w:val="20"/>
              </w:rPr>
            </w:pPr>
            <w:r>
              <w:rPr>
                <w:spacing w:val="-2"/>
                <w:w w:val="110"/>
                <w:sz w:val="20"/>
              </w:rPr>
              <w:t>Alice</w:t>
            </w:r>
            <w:r>
              <w:rPr>
                <w:spacing w:val="-5"/>
                <w:w w:val="110"/>
                <w:sz w:val="20"/>
              </w:rPr>
              <w:t xml:space="preserve"> </w:t>
            </w:r>
            <w:r>
              <w:rPr>
                <w:spacing w:val="-2"/>
                <w:w w:val="110"/>
                <w:sz w:val="20"/>
              </w:rPr>
              <w:t>Springs</w:t>
            </w:r>
          </w:p>
        </w:tc>
        <w:tc>
          <w:tcPr>
            <w:tcW w:w="958" w:type="dxa"/>
          </w:tcPr>
          <w:p w14:paraId="2113DE18" w14:textId="77777777" w:rsidR="00811887" w:rsidRDefault="00811887" w:rsidP="00486E22">
            <w:pPr>
              <w:pStyle w:val="TableParagraph"/>
              <w:spacing w:before="5" w:line="210" w:lineRule="exact"/>
              <w:ind w:left="175"/>
              <w:rPr>
                <w:sz w:val="20"/>
              </w:rPr>
            </w:pPr>
            <w:r>
              <w:rPr>
                <w:spacing w:val="-10"/>
                <w:w w:val="115"/>
                <w:sz w:val="20"/>
              </w:rPr>
              <w:t>8</w:t>
            </w:r>
          </w:p>
        </w:tc>
        <w:tc>
          <w:tcPr>
            <w:tcW w:w="1013" w:type="dxa"/>
          </w:tcPr>
          <w:p w14:paraId="123C05C1" w14:textId="77777777" w:rsidR="00811887" w:rsidRDefault="00811887" w:rsidP="00486E22">
            <w:pPr>
              <w:pStyle w:val="TableParagraph"/>
              <w:spacing w:before="5" w:line="210" w:lineRule="exact"/>
              <w:ind w:left="115"/>
              <w:rPr>
                <w:sz w:val="20"/>
              </w:rPr>
            </w:pPr>
            <w:r>
              <w:rPr>
                <w:spacing w:val="-5"/>
                <w:w w:val="115"/>
                <w:sz w:val="20"/>
              </w:rPr>
              <w:t>49</w:t>
            </w:r>
          </w:p>
        </w:tc>
        <w:tc>
          <w:tcPr>
            <w:tcW w:w="1013" w:type="dxa"/>
          </w:tcPr>
          <w:p w14:paraId="23B57815" w14:textId="77777777" w:rsidR="00811887" w:rsidRDefault="00811887" w:rsidP="00486E22">
            <w:pPr>
              <w:pStyle w:val="TableParagraph"/>
              <w:spacing w:before="5" w:line="210" w:lineRule="exact"/>
              <w:ind w:left="4"/>
              <w:rPr>
                <w:sz w:val="20"/>
              </w:rPr>
            </w:pPr>
            <w:r>
              <w:rPr>
                <w:spacing w:val="-5"/>
                <w:w w:val="115"/>
                <w:sz w:val="20"/>
              </w:rPr>
              <w:t>146</w:t>
            </w:r>
          </w:p>
        </w:tc>
        <w:tc>
          <w:tcPr>
            <w:tcW w:w="1073" w:type="dxa"/>
          </w:tcPr>
          <w:p w14:paraId="03CC9599" w14:textId="77777777" w:rsidR="00811887" w:rsidRDefault="00811887" w:rsidP="00486E22">
            <w:pPr>
              <w:pStyle w:val="TableParagraph"/>
              <w:spacing w:before="5" w:line="210" w:lineRule="exact"/>
              <w:ind w:left="115"/>
              <w:rPr>
                <w:sz w:val="20"/>
              </w:rPr>
            </w:pPr>
            <w:r>
              <w:rPr>
                <w:spacing w:val="-5"/>
                <w:w w:val="115"/>
                <w:sz w:val="20"/>
              </w:rPr>
              <w:t>59</w:t>
            </w:r>
          </w:p>
        </w:tc>
        <w:tc>
          <w:tcPr>
            <w:tcW w:w="545" w:type="dxa"/>
          </w:tcPr>
          <w:p w14:paraId="5A93CB7F" w14:textId="77777777" w:rsidR="00811887" w:rsidRDefault="00811887" w:rsidP="00486E22">
            <w:pPr>
              <w:pStyle w:val="TableParagraph"/>
              <w:spacing w:before="5" w:line="210" w:lineRule="exact"/>
              <w:ind w:right="252"/>
              <w:jc w:val="right"/>
              <w:rPr>
                <w:sz w:val="20"/>
              </w:rPr>
            </w:pPr>
            <w:r>
              <w:rPr>
                <w:spacing w:val="-5"/>
                <w:w w:val="115"/>
                <w:sz w:val="20"/>
              </w:rPr>
              <w:t>11</w:t>
            </w:r>
          </w:p>
        </w:tc>
        <w:tc>
          <w:tcPr>
            <w:tcW w:w="869" w:type="dxa"/>
          </w:tcPr>
          <w:p w14:paraId="72F2BAD3" w14:textId="77777777" w:rsidR="00811887" w:rsidRDefault="00811887" w:rsidP="00486E22">
            <w:pPr>
              <w:pStyle w:val="TableParagraph"/>
              <w:spacing w:before="5" w:line="210" w:lineRule="exact"/>
              <w:ind w:right="98"/>
              <w:jc w:val="right"/>
              <w:rPr>
                <w:sz w:val="20"/>
              </w:rPr>
            </w:pPr>
            <w:r>
              <w:rPr>
                <w:spacing w:val="-5"/>
                <w:w w:val="115"/>
                <w:sz w:val="20"/>
              </w:rPr>
              <w:t>273</w:t>
            </w:r>
          </w:p>
        </w:tc>
      </w:tr>
      <w:tr w:rsidR="00811887" w14:paraId="29AC2638" w14:textId="77777777" w:rsidTr="00486E22">
        <w:trPr>
          <w:trHeight w:val="235"/>
        </w:trPr>
        <w:tc>
          <w:tcPr>
            <w:tcW w:w="4257" w:type="dxa"/>
          </w:tcPr>
          <w:p w14:paraId="50983784" w14:textId="77777777" w:rsidR="00811887" w:rsidRDefault="00811887" w:rsidP="00486E22">
            <w:pPr>
              <w:pStyle w:val="TableParagraph"/>
              <w:spacing w:before="5" w:line="214" w:lineRule="exact"/>
              <w:ind w:left="110"/>
              <w:rPr>
                <w:sz w:val="20"/>
              </w:rPr>
            </w:pPr>
            <w:r>
              <w:rPr>
                <w:spacing w:val="-2"/>
                <w:w w:val="110"/>
                <w:sz w:val="20"/>
              </w:rPr>
              <w:t>Apatula</w:t>
            </w:r>
          </w:p>
        </w:tc>
        <w:tc>
          <w:tcPr>
            <w:tcW w:w="958" w:type="dxa"/>
          </w:tcPr>
          <w:p w14:paraId="7A96A64E" w14:textId="77777777" w:rsidR="00811887" w:rsidRDefault="00811887" w:rsidP="00486E22">
            <w:pPr>
              <w:pStyle w:val="TableParagraph"/>
              <w:spacing w:before="5" w:line="214" w:lineRule="exact"/>
              <w:ind w:left="60"/>
              <w:rPr>
                <w:sz w:val="20"/>
              </w:rPr>
            </w:pPr>
            <w:r>
              <w:rPr>
                <w:spacing w:val="-5"/>
                <w:w w:val="115"/>
                <w:sz w:val="20"/>
              </w:rPr>
              <w:t>14</w:t>
            </w:r>
          </w:p>
        </w:tc>
        <w:tc>
          <w:tcPr>
            <w:tcW w:w="1013" w:type="dxa"/>
          </w:tcPr>
          <w:p w14:paraId="0076F8FF" w14:textId="77777777" w:rsidR="00811887" w:rsidRDefault="00811887" w:rsidP="00486E22">
            <w:pPr>
              <w:pStyle w:val="TableParagraph"/>
              <w:spacing w:before="5" w:line="214" w:lineRule="exact"/>
              <w:ind w:left="115"/>
              <w:rPr>
                <w:sz w:val="20"/>
              </w:rPr>
            </w:pPr>
            <w:r>
              <w:rPr>
                <w:spacing w:val="-5"/>
                <w:w w:val="115"/>
                <w:sz w:val="20"/>
              </w:rPr>
              <w:t>88</w:t>
            </w:r>
          </w:p>
        </w:tc>
        <w:tc>
          <w:tcPr>
            <w:tcW w:w="1013" w:type="dxa"/>
          </w:tcPr>
          <w:p w14:paraId="6F3B0F72" w14:textId="77777777" w:rsidR="00811887" w:rsidRDefault="00811887" w:rsidP="00486E22">
            <w:pPr>
              <w:pStyle w:val="TableParagraph"/>
              <w:spacing w:before="5" w:line="214" w:lineRule="exact"/>
              <w:ind w:left="4"/>
              <w:rPr>
                <w:sz w:val="20"/>
              </w:rPr>
            </w:pPr>
            <w:r>
              <w:rPr>
                <w:spacing w:val="-5"/>
                <w:w w:val="115"/>
                <w:sz w:val="20"/>
              </w:rPr>
              <w:t>259</w:t>
            </w:r>
          </w:p>
        </w:tc>
        <w:tc>
          <w:tcPr>
            <w:tcW w:w="1073" w:type="dxa"/>
          </w:tcPr>
          <w:p w14:paraId="47CC8D30" w14:textId="77777777" w:rsidR="00811887" w:rsidRDefault="00811887" w:rsidP="00486E22">
            <w:pPr>
              <w:pStyle w:val="TableParagraph"/>
              <w:spacing w:before="5" w:line="214" w:lineRule="exact"/>
              <w:ind w:left="5"/>
              <w:rPr>
                <w:sz w:val="20"/>
              </w:rPr>
            </w:pPr>
            <w:r>
              <w:rPr>
                <w:spacing w:val="-5"/>
                <w:w w:val="115"/>
                <w:sz w:val="20"/>
              </w:rPr>
              <w:t>105</w:t>
            </w:r>
          </w:p>
        </w:tc>
        <w:tc>
          <w:tcPr>
            <w:tcW w:w="545" w:type="dxa"/>
          </w:tcPr>
          <w:p w14:paraId="0D514AB9" w14:textId="77777777" w:rsidR="00811887" w:rsidRDefault="00811887" w:rsidP="00486E22">
            <w:pPr>
              <w:pStyle w:val="TableParagraph"/>
              <w:spacing w:before="5" w:line="214" w:lineRule="exact"/>
              <w:ind w:right="252"/>
              <w:jc w:val="right"/>
              <w:rPr>
                <w:sz w:val="20"/>
              </w:rPr>
            </w:pPr>
            <w:r>
              <w:rPr>
                <w:spacing w:val="-5"/>
                <w:w w:val="115"/>
                <w:sz w:val="20"/>
              </w:rPr>
              <w:t>19</w:t>
            </w:r>
          </w:p>
        </w:tc>
        <w:tc>
          <w:tcPr>
            <w:tcW w:w="869" w:type="dxa"/>
          </w:tcPr>
          <w:p w14:paraId="02AC5E59" w14:textId="77777777" w:rsidR="00811887" w:rsidRDefault="00811887" w:rsidP="00486E22">
            <w:pPr>
              <w:pStyle w:val="TableParagraph"/>
              <w:spacing w:before="5" w:line="214" w:lineRule="exact"/>
              <w:ind w:right="98"/>
              <w:jc w:val="right"/>
              <w:rPr>
                <w:sz w:val="20"/>
              </w:rPr>
            </w:pPr>
            <w:r>
              <w:rPr>
                <w:spacing w:val="-5"/>
                <w:w w:val="115"/>
                <w:sz w:val="20"/>
              </w:rPr>
              <w:t>484</w:t>
            </w:r>
          </w:p>
        </w:tc>
      </w:tr>
      <w:tr w:rsidR="00811887" w14:paraId="408E0E66" w14:textId="77777777" w:rsidTr="00486E22">
        <w:trPr>
          <w:trHeight w:val="235"/>
        </w:trPr>
        <w:tc>
          <w:tcPr>
            <w:tcW w:w="9728" w:type="dxa"/>
            <w:gridSpan w:val="7"/>
            <w:tcBorders>
              <w:right w:val="single" w:sz="4" w:space="0" w:color="000000"/>
            </w:tcBorders>
            <w:shd w:val="clear" w:color="auto" w:fill="AFCAC7"/>
          </w:tcPr>
          <w:p w14:paraId="4C42FA6D" w14:textId="77777777" w:rsidR="00811887" w:rsidRDefault="00811887" w:rsidP="00486E22">
            <w:pPr>
              <w:pStyle w:val="TableParagraph"/>
              <w:spacing w:before="1" w:line="214" w:lineRule="exact"/>
              <w:ind w:left="15" w:right="7"/>
              <w:jc w:val="center"/>
              <w:rPr>
                <w:sz w:val="20"/>
              </w:rPr>
            </w:pPr>
            <w:r w:rsidRPr="00630A63">
              <w:rPr>
                <w:w w:val="110"/>
                <w:sz w:val="20"/>
              </w:rPr>
              <w:t>Australian</w:t>
            </w:r>
            <w:r w:rsidRPr="00630A63">
              <w:rPr>
                <w:spacing w:val="-12"/>
                <w:w w:val="110"/>
                <w:sz w:val="20"/>
              </w:rPr>
              <w:t xml:space="preserve"> </w:t>
            </w:r>
            <w:r w:rsidRPr="00630A63">
              <w:rPr>
                <w:w w:val="110"/>
                <w:sz w:val="20"/>
              </w:rPr>
              <w:t>Capital</w:t>
            </w:r>
            <w:r w:rsidRPr="00630A63">
              <w:rPr>
                <w:spacing w:val="-12"/>
                <w:w w:val="110"/>
                <w:sz w:val="20"/>
              </w:rPr>
              <w:t xml:space="preserve"> </w:t>
            </w:r>
            <w:r w:rsidRPr="00630A63">
              <w:rPr>
                <w:spacing w:val="-2"/>
                <w:w w:val="110"/>
                <w:sz w:val="20"/>
              </w:rPr>
              <w:t>Territory</w:t>
            </w:r>
          </w:p>
        </w:tc>
      </w:tr>
      <w:tr w:rsidR="00811887" w14:paraId="5F4776E2" w14:textId="77777777" w:rsidTr="00486E22">
        <w:trPr>
          <w:trHeight w:val="235"/>
        </w:trPr>
        <w:tc>
          <w:tcPr>
            <w:tcW w:w="4257" w:type="dxa"/>
          </w:tcPr>
          <w:p w14:paraId="24CB40FD" w14:textId="77777777" w:rsidR="00811887" w:rsidRDefault="00811887" w:rsidP="00486E22">
            <w:pPr>
              <w:pStyle w:val="TableParagraph"/>
              <w:spacing w:before="1" w:line="214" w:lineRule="exact"/>
              <w:ind w:left="110"/>
              <w:rPr>
                <w:sz w:val="20"/>
              </w:rPr>
            </w:pPr>
            <w:r>
              <w:rPr>
                <w:w w:val="110"/>
                <w:sz w:val="20"/>
              </w:rPr>
              <w:t>Australian</w:t>
            </w:r>
            <w:r>
              <w:rPr>
                <w:spacing w:val="-13"/>
                <w:w w:val="110"/>
                <w:sz w:val="20"/>
              </w:rPr>
              <w:t xml:space="preserve"> </w:t>
            </w:r>
            <w:r>
              <w:rPr>
                <w:w w:val="110"/>
                <w:sz w:val="20"/>
              </w:rPr>
              <w:t>Capital</w:t>
            </w:r>
            <w:r>
              <w:rPr>
                <w:spacing w:val="-12"/>
                <w:w w:val="110"/>
                <w:sz w:val="20"/>
              </w:rPr>
              <w:t xml:space="preserve"> </w:t>
            </w:r>
            <w:r>
              <w:rPr>
                <w:spacing w:val="-2"/>
                <w:w w:val="110"/>
                <w:sz w:val="20"/>
              </w:rPr>
              <w:t>Territory</w:t>
            </w:r>
          </w:p>
        </w:tc>
        <w:tc>
          <w:tcPr>
            <w:tcW w:w="958" w:type="dxa"/>
          </w:tcPr>
          <w:p w14:paraId="2488ECE6" w14:textId="77777777" w:rsidR="00811887" w:rsidRDefault="00811887" w:rsidP="00486E22">
            <w:pPr>
              <w:pStyle w:val="TableParagraph"/>
              <w:spacing w:before="1" w:line="214" w:lineRule="exact"/>
              <w:ind w:left="175"/>
              <w:rPr>
                <w:sz w:val="20"/>
              </w:rPr>
            </w:pPr>
            <w:r>
              <w:rPr>
                <w:spacing w:val="-10"/>
                <w:w w:val="115"/>
                <w:sz w:val="20"/>
              </w:rPr>
              <w:t>4</w:t>
            </w:r>
          </w:p>
        </w:tc>
        <w:tc>
          <w:tcPr>
            <w:tcW w:w="1013" w:type="dxa"/>
          </w:tcPr>
          <w:p w14:paraId="33F4F5DE" w14:textId="77777777" w:rsidR="00811887" w:rsidRDefault="00811887" w:rsidP="00486E22">
            <w:pPr>
              <w:pStyle w:val="TableParagraph"/>
              <w:spacing w:before="1" w:line="214" w:lineRule="exact"/>
              <w:ind w:left="115"/>
              <w:rPr>
                <w:sz w:val="20"/>
              </w:rPr>
            </w:pPr>
            <w:r>
              <w:rPr>
                <w:spacing w:val="-5"/>
                <w:w w:val="115"/>
                <w:sz w:val="20"/>
              </w:rPr>
              <w:t>26</w:t>
            </w:r>
          </w:p>
        </w:tc>
        <w:tc>
          <w:tcPr>
            <w:tcW w:w="1013" w:type="dxa"/>
          </w:tcPr>
          <w:p w14:paraId="578915F8" w14:textId="77777777" w:rsidR="00811887" w:rsidRDefault="00811887" w:rsidP="00486E22">
            <w:pPr>
              <w:pStyle w:val="TableParagraph"/>
              <w:spacing w:before="1" w:line="214" w:lineRule="exact"/>
              <w:ind w:left="115"/>
              <w:rPr>
                <w:sz w:val="20"/>
              </w:rPr>
            </w:pPr>
            <w:r>
              <w:rPr>
                <w:spacing w:val="-5"/>
                <w:w w:val="115"/>
                <w:sz w:val="20"/>
              </w:rPr>
              <w:t>77</w:t>
            </w:r>
          </w:p>
        </w:tc>
        <w:tc>
          <w:tcPr>
            <w:tcW w:w="1073" w:type="dxa"/>
          </w:tcPr>
          <w:p w14:paraId="411CC082" w14:textId="77777777" w:rsidR="00811887" w:rsidRDefault="00811887" w:rsidP="00486E22">
            <w:pPr>
              <w:pStyle w:val="TableParagraph"/>
              <w:spacing w:before="1" w:line="214" w:lineRule="exact"/>
              <w:ind w:left="115"/>
              <w:rPr>
                <w:sz w:val="20"/>
              </w:rPr>
            </w:pPr>
            <w:r>
              <w:rPr>
                <w:spacing w:val="-5"/>
                <w:w w:val="115"/>
                <w:sz w:val="20"/>
              </w:rPr>
              <w:t>31</w:t>
            </w:r>
          </w:p>
        </w:tc>
        <w:tc>
          <w:tcPr>
            <w:tcW w:w="545" w:type="dxa"/>
          </w:tcPr>
          <w:p w14:paraId="071206E8" w14:textId="77777777" w:rsidR="00811887" w:rsidRDefault="00811887" w:rsidP="00486E22">
            <w:pPr>
              <w:pStyle w:val="TableParagraph"/>
              <w:spacing w:before="1" w:line="214" w:lineRule="exact"/>
              <w:ind w:right="252"/>
              <w:jc w:val="right"/>
              <w:rPr>
                <w:sz w:val="20"/>
              </w:rPr>
            </w:pPr>
            <w:r>
              <w:rPr>
                <w:spacing w:val="-10"/>
                <w:w w:val="115"/>
                <w:sz w:val="20"/>
              </w:rPr>
              <w:t>6</w:t>
            </w:r>
          </w:p>
        </w:tc>
        <w:tc>
          <w:tcPr>
            <w:tcW w:w="869" w:type="dxa"/>
          </w:tcPr>
          <w:p w14:paraId="599FB74A" w14:textId="77777777" w:rsidR="00811887" w:rsidRDefault="00811887" w:rsidP="00486E22">
            <w:pPr>
              <w:pStyle w:val="TableParagraph"/>
              <w:spacing w:before="1" w:line="214" w:lineRule="exact"/>
              <w:ind w:right="98"/>
              <w:jc w:val="right"/>
              <w:rPr>
                <w:sz w:val="20"/>
              </w:rPr>
            </w:pPr>
            <w:r>
              <w:rPr>
                <w:spacing w:val="-5"/>
                <w:w w:val="115"/>
                <w:sz w:val="20"/>
              </w:rPr>
              <w:t>143</w:t>
            </w:r>
          </w:p>
        </w:tc>
      </w:tr>
      <w:tr w:rsidR="00811887" w14:paraId="0A7257D7" w14:textId="77777777" w:rsidTr="00486E22">
        <w:trPr>
          <w:trHeight w:val="235"/>
        </w:trPr>
        <w:tc>
          <w:tcPr>
            <w:tcW w:w="9728" w:type="dxa"/>
            <w:gridSpan w:val="7"/>
            <w:tcBorders>
              <w:right w:val="single" w:sz="4" w:space="0" w:color="000000"/>
            </w:tcBorders>
            <w:shd w:val="clear" w:color="auto" w:fill="AFCAC7"/>
          </w:tcPr>
          <w:p w14:paraId="53A8B69C" w14:textId="77777777" w:rsidR="00811887" w:rsidRDefault="00811887" w:rsidP="00486E22">
            <w:pPr>
              <w:pStyle w:val="TableParagraph"/>
              <w:spacing w:before="2" w:line="214" w:lineRule="exact"/>
              <w:ind w:left="15" w:right="3"/>
              <w:jc w:val="center"/>
              <w:rPr>
                <w:sz w:val="20"/>
              </w:rPr>
            </w:pPr>
            <w:r w:rsidRPr="00630A63">
              <w:rPr>
                <w:w w:val="110"/>
                <w:sz w:val="20"/>
              </w:rPr>
              <w:t>Other</w:t>
            </w:r>
            <w:r w:rsidRPr="00630A63">
              <w:rPr>
                <w:spacing w:val="5"/>
                <w:w w:val="110"/>
                <w:sz w:val="20"/>
              </w:rPr>
              <w:t xml:space="preserve"> </w:t>
            </w:r>
            <w:r w:rsidRPr="00630A63">
              <w:rPr>
                <w:spacing w:val="-2"/>
                <w:w w:val="110"/>
                <w:sz w:val="20"/>
              </w:rPr>
              <w:t>Territories</w:t>
            </w:r>
          </w:p>
        </w:tc>
      </w:tr>
      <w:tr w:rsidR="00811887" w14:paraId="41E9E2A1" w14:textId="77777777" w:rsidTr="00486E22">
        <w:trPr>
          <w:trHeight w:val="235"/>
        </w:trPr>
        <w:tc>
          <w:tcPr>
            <w:tcW w:w="4257" w:type="dxa"/>
          </w:tcPr>
          <w:p w14:paraId="5FA08C6D" w14:textId="77777777" w:rsidR="00811887" w:rsidRDefault="00811887" w:rsidP="00486E22">
            <w:pPr>
              <w:pStyle w:val="TableParagraph"/>
              <w:spacing w:before="1" w:line="210" w:lineRule="exact"/>
              <w:ind w:left="110"/>
              <w:rPr>
                <w:sz w:val="20"/>
              </w:rPr>
            </w:pPr>
            <w:r>
              <w:rPr>
                <w:w w:val="110"/>
                <w:sz w:val="20"/>
              </w:rPr>
              <w:t>Christmas</w:t>
            </w:r>
            <w:r>
              <w:rPr>
                <w:spacing w:val="-4"/>
                <w:w w:val="110"/>
                <w:sz w:val="20"/>
              </w:rPr>
              <w:t xml:space="preserve"> </w:t>
            </w:r>
            <w:r>
              <w:rPr>
                <w:w w:val="110"/>
                <w:sz w:val="20"/>
              </w:rPr>
              <w:t>-</w:t>
            </w:r>
            <w:r>
              <w:rPr>
                <w:spacing w:val="1"/>
                <w:w w:val="110"/>
                <w:sz w:val="20"/>
              </w:rPr>
              <w:t xml:space="preserve"> </w:t>
            </w:r>
            <w:r>
              <w:rPr>
                <w:w w:val="110"/>
                <w:sz w:val="20"/>
              </w:rPr>
              <w:t>Cocos</w:t>
            </w:r>
            <w:r>
              <w:rPr>
                <w:spacing w:val="-4"/>
                <w:w w:val="110"/>
                <w:sz w:val="20"/>
              </w:rPr>
              <w:t xml:space="preserve"> </w:t>
            </w:r>
            <w:r>
              <w:rPr>
                <w:w w:val="110"/>
                <w:sz w:val="20"/>
              </w:rPr>
              <w:t>(Keeling)</w:t>
            </w:r>
            <w:r>
              <w:rPr>
                <w:spacing w:val="-3"/>
                <w:w w:val="110"/>
                <w:sz w:val="20"/>
              </w:rPr>
              <w:t xml:space="preserve"> </w:t>
            </w:r>
            <w:r>
              <w:rPr>
                <w:spacing w:val="-5"/>
                <w:w w:val="110"/>
                <w:sz w:val="20"/>
              </w:rPr>
              <w:t>Is.</w:t>
            </w:r>
          </w:p>
        </w:tc>
        <w:tc>
          <w:tcPr>
            <w:tcW w:w="958" w:type="dxa"/>
          </w:tcPr>
          <w:p w14:paraId="2D3809B7" w14:textId="77777777" w:rsidR="00811887" w:rsidRDefault="00811887" w:rsidP="00486E22">
            <w:pPr>
              <w:pStyle w:val="TableParagraph"/>
              <w:spacing w:before="1" w:line="210" w:lineRule="exact"/>
              <w:ind w:left="175"/>
              <w:rPr>
                <w:sz w:val="20"/>
              </w:rPr>
            </w:pPr>
            <w:r>
              <w:rPr>
                <w:spacing w:val="-10"/>
                <w:w w:val="115"/>
                <w:sz w:val="20"/>
              </w:rPr>
              <w:t>0</w:t>
            </w:r>
          </w:p>
        </w:tc>
        <w:tc>
          <w:tcPr>
            <w:tcW w:w="1013" w:type="dxa"/>
          </w:tcPr>
          <w:p w14:paraId="59D97C55" w14:textId="77777777" w:rsidR="00811887" w:rsidRDefault="00811887" w:rsidP="00486E22">
            <w:pPr>
              <w:pStyle w:val="TableParagraph"/>
              <w:spacing w:before="1" w:line="210" w:lineRule="exact"/>
              <w:ind w:left="230"/>
              <w:rPr>
                <w:sz w:val="20"/>
              </w:rPr>
            </w:pPr>
            <w:r>
              <w:rPr>
                <w:spacing w:val="-10"/>
                <w:w w:val="115"/>
                <w:sz w:val="20"/>
              </w:rPr>
              <w:t>0</w:t>
            </w:r>
          </w:p>
        </w:tc>
        <w:tc>
          <w:tcPr>
            <w:tcW w:w="1013" w:type="dxa"/>
          </w:tcPr>
          <w:p w14:paraId="0783B454" w14:textId="77777777" w:rsidR="00811887" w:rsidRDefault="00811887" w:rsidP="00486E22">
            <w:pPr>
              <w:pStyle w:val="TableParagraph"/>
              <w:spacing w:before="1" w:line="210" w:lineRule="exact"/>
              <w:ind w:left="230"/>
              <w:rPr>
                <w:sz w:val="20"/>
              </w:rPr>
            </w:pPr>
            <w:r>
              <w:rPr>
                <w:spacing w:val="-10"/>
                <w:w w:val="115"/>
                <w:sz w:val="20"/>
              </w:rPr>
              <w:t>1</w:t>
            </w:r>
          </w:p>
        </w:tc>
        <w:tc>
          <w:tcPr>
            <w:tcW w:w="1073" w:type="dxa"/>
          </w:tcPr>
          <w:p w14:paraId="62A9C01F" w14:textId="77777777" w:rsidR="00811887" w:rsidRDefault="00811887" w:rsidP="00486E22">
            <w:pPr>
              <w:pStyle w:val="TableParagraph"/>
              <w:spacing w:before="1" w:line="210" w:lineRule="exact"/>
              <w:ind w:left="230"/>
              <w:rPr>
                <w:sz w:val="20"/>
              </w:rPr>
            </w:pPr>
            <w:r>
              <w:rPr>
                <w:spacing w:val="-10"/>
                <w:w w:val="115"/>
                <w:sz w:val="20"/>
              </w:rPr>
              <w:t>0</w:t>
            </w:r>
          </w:p>
        </w:tc>
        <w:tc>
          <w:tcPr>
            <w:tcW w:w="545" w:type="dxa"/>
          </w:tcPr>
          <w:p w14:paraId="253C5BA6" w14:textId="77777777" w:rsidR="00811887" w:rsidRDefault="00811887" w:rsidP="00486E22">
            <w:pPr>
              <w:pStyle w:val="TableParagraph"/>
              <w:spacing w:before="1" w:line="210" w:lineRule="exact"/>
              <w:ind w:right="252"/>
              <w:jc w:val="right"/>
              <w:rPr>
                <w:sz w:val="20"/>
              </w:rPr>
            </w:pPr>
            <w:r>
              <w:rPr>
                <w:spacing w:val="-10"/>
                <w:w w:val="115"/>
                <w:sz w:val="20"/>
              </w:rPr>
              <w:t>0</w:t>
            </w:r>
          </w:p>
        </w:tc>
        <w:tc>
          <w:tcPr>
            <w:tcW w:w="869" w:type="dxa"/>
          </w:tcPr>
          <w:p w14:paraId="1794C8D9" w14:textId="77777777" w:rsidR="00811887" w:rsidRDefault="00811887" w:rsidP="00486E22">
            <w:pPr>
              <w:pStyle w:val="TableParagraph"/>
              <w:spacing w:before="1" w:line="210" w:lineRule="exact"/>
              <w:ind w:right="103"/>
              <w:jc w:val="right"/>
              <w:rPr>
                <w:sz w:val="20"/>
              </w:rPr>
            </w:pPr>
            <w:r>
              <w:rPr>
                <w:spacing w:val="-10"/>
                <w:w w:val="115"/>
                <w:sz w:val="20"/>
              </w:rPr>
              <w:t>1</w:t>
            </w:r>
          </w:p>
        </w:tc>
      </w:tr>
      <w:tr w:rsidR="00811887" w14:paraId="0C45F485" w14:textId="77777777" w:rsidTr="00486E22">
        <w:trPr>
          <w:trHeight w:val="235"/>
        </w:trPr>
        <w:tc>
          <w:tcPr>
            <w:tcW w:w="4257" w:type="dxa"/>
          </w:tcPr>
          <w:p w14:paraId="44A8245D" w14:textId="77777777" w:rsidR="00811887" w:rsidRDefault="00811887" w:rsidP="00486E22">
            <w:pPr>
              <w:pStyle w:val="TableParagraph"/>
              <w:spacing w:before="5" w:line="210" w:lineRule="exact"/>
              <w:ind w:left="110"/>
              <w:rPr>
                <w:sz w:val="20"/>
              </w:rPr>
            </w:pPr>
            <w:r>
              <w:rPr>
                <w:w w:val="105"/>
                <w:sz w:val="20"/>
              </w:rPr>
              <w:t xml:space="preserve">Jervis </w:t>
            </w:r>
            <w:r>
              <w:rPr>
                <w:spacing w:val="-5"/>
                <w:w w:val="105"/>
                <w:sz w:val="20"/>
              </w:rPr>
              <w:t>Bay</w:t>
            </w:r>
          </w:p>
        </w:tc>
        <w:tc>
          <w:tcPr>
            <w:tcW w:w="958" w:type="dxa"/>
          </w:tcPr>
          <w:p w14:paraId="0187D084" w14:textId="77777777" w:rsidR="00811887" w:rsidRDefault="00811887" w:rsidP="00486E22">
            <w:pPr>
              <w:pStyle w:val="TableParagraph"/>
              <w:spacing w:before="5" w:line="210" w:lineRule="exact"/>
              <w:ind w:left="175"/>
              <w:rPr>
                <w:sz w:val="20"/>
              </w:rPr>
            </w:pPr>
            <w:r>
              <w:rPr>
                <w:spacing w:val="-10"/>
                <w:w w:val="115"/>
                <w:sz w:val="20"/>
              </w:rPr>
              <w:t>0</w:t>
            </w:r>
          </w:p>
        </w:tc>
        <w:tc>
          <w:tcPr>
            <w:tcW w:w="1013" w:type="dxa"/>
          </w:tcPr>
          <w:p w14:paraId="52570B6E" w14:textId="77777777" w:rsidR="00811887" w:rsidRDefault="00811887" w:rsidP="00486E22">
            <w:pPr>
              <w:pStyle w:val="TableParagraph"/>
              <w:spacing w:before="5" w:line="210" w:lineRule="exact"/>
              <w:ind w:left="230"/>
              <w:rPr>
                <w:sz w:val="20"/>
              </w:rPr>
            </w:pPr>
            <w:r>
              <w:rPr>
                <w:spacing w:val="-10"/>
                <w:w w:val="115"/>
                <w:sz w:val="20"/>
              </w:rPr>
              <w:t>1</w:t>
            </w:r>
          </w:p>
        </w:tc>
        <w:tc>
          <w:tcPr>
            <w:tcW w:w="1013" w:type="dxa"/>
          </w:tcPr>
          <w:p w14:paraId="705E4CA2" w14:textId="77777777" w:rsidR="00811887" w:rsidRDefault="00811887" w:rsidP="00486E22">
            <w:pPr>
              <w:pStyle w:val="TableParagraph"/>
              <w:spacing w:before="5" w:line="210" w:lineRule="exact"/>
              <w:ind w:left="230"/>
              <w:rPr>
                <w:sz w:val="20"/>
              </w:rPr>
            </w:pPr>
            <w:r>
              <w:rPr>
                <w:spacing w:val="-10"/>
                <w:w w:val="115"/>
                <w:sz w:val="20"/>
              </w:rPr>
              <w:t>2</w:t>
            </w:r>
          </w:p>
        </w:tc>
        <w:tc>
          <w:tcPr>
            <w:tcW w:w="1073" w:type="dxa"/>
          </w:tcPr>
          <w:p w14:paraId="6CAEC7B4" w14:textId="77777777" w:rsidR="00811887" w:rsidRDefault="00811887" w:rsidP="00486E22">
            <w:pPr>
              <w:pStyle w:val="TableParagraph"/>
              <w:spacing w:before="5" w:line="210" w:lineRule="exact"/>
              <w:ind w:left="230"/>
              <w:rPr>
                <w:sz w:val="20"/>
              </w:rPr>
            </w:pPr>
            <w:r>
              <w:rPr>
                <w:spacing w:val="-10"/>
                <w:w w:val="115"/>
                <w:sz w:val="20"/>
              </w:rPr>
              <w:t>1</w:t>
            </w:r>
          </w:p>
        </w:tc>
        <w:tc>
          <w:tcPr>
            <w:tcW w:w="545" w:type="dxa"/>
          </w:tcPr>
          <w:p w14:paraId="0830311E" w14:textId="77777777" w:rsidR="00811887" w:rsidRDefault="00811887" w:rsidP="00486E22">
            <w:pPr>
              <w:pStyle w:val="TableParagraph"/>
              <w:spacing w:before="5" w:line="210" w:lineRule="exact"/>
              <w:ind w:right="252"/>
              <w:jc w:val="right"/>
              <w:rPr>
                <w:sz w:val="20"/>
              </w:rPr>
            </w:pPr>
            <w:r>
              <w:rPr>
                <w:spacing w:val="-10"/>
                <w:w w:val="115"/>
                <w:sz w:val="20"/>
              </w:rPr>
              <w:t>0</w:t>
            </w:r>
          </w:p>
        </w:tc>
        <w:tc>
          <w:tcPr>
            <w:tcW w:w="869" w:type="dxa"/>
          </w:tcPr>
          <w:p w14:paraId="3BD8EE97" w14:textId="77777777" w:rsidR="00811887" w:rsidRDefault="00811887" w:rsidP="00486E22">
            <w:pPr>
              <w:pStyle w:val="TableParagraph"/>
              <w:spacing w:before="5" w:line="210" w:lineRule="exact"/>
              <w:ind w:right="103"/>
              <w:jc w:val="right"/>
              <w:rPr>
                <w:sz w:val="20"/>
              </w:rPr>
            </w:pPr>
            <w:r>
              <w:rPr>
                <w:spacing w:val="-10"/>
                <w:w w:val="115"/>
                <w:sz w:val="20"/>
              </w:rPr>
              <w:t>5</w:t>
            </w:r>
          </w:p>
        </w:tc>
      </w:tr>
      <w:tr w:rsidR="00811887" w14:paraId="3F811C0F" w14:textId="77777777" w:rsidTr="00486E22">
        <w:trPr>
          <w:trHeight w:val="254"/>
        </w:trPr>
        <w:tc>
          <w:tcPr>
            <w:tcW w:w="4257" w:type="dxa"/>
          </w:tcPr>
          <w:p w14:paraId="72C247BD" w14:textId="77777777" w:rsidR="00811887" w:rsidRDefault="00811887" w:rsidP="00486E22">
            <w:pPr>
              <w:pStyle w:val="TableParagraph"/>
              <w:spacing w:before="5" w:line="229" w:lineRule="exact"/>
              <w:ind w:left="110"/>
              <w:rPr>
                <w:sz w:val="20"/>
              </w:rPr>
            </w:pPr>
            <w:r>
              <w:rPr>
                <w:spacing w:val="-2"/>
                <w:w w:val="110"/>
                <w:sz w:val="20"/>
              </w:rPr>
              <w:t>Norfolk</w:t>
            </w:r>
            <w:r>
              <w:rPr>
                <w:w w:val="110"/>
                <w:sz w:val="20"/>
              </w:rPr>
              <w:t xml:space="preserve"> </w:t>
            </w:r>
            <w:r>
              <w:rPr>
                <w:spacing w:val="-2"/>
                <w:w w:val="110"/>
                <w:sz w:val="20"/>
              </w:rPr>
              <w:t>Island</w:t>
            </w:r>
          </w:p>
        </w:tc>
        <w:tc>
          <w:tcPr>
            <w:tcW w:w="958" w:type="dxa"/>
          </w:tcPr>
          <w:p w14:paraId="22470B0F" w14:textId="77777777" w:rsidR="00811887" w:rsidRDefault="00811887" w:rsidP="00486E22">
            <w:pPr>
              <w:pStyle w:val="TableParagraph"/>
              <w:spacing w:before="5" w:line="229" w:lineRule="exact"/>
              <w:ind w:left="175"/>
              <w:rPr>
                <w:sz w:val="20"/>
              </w:rPr>
            </w:pPr>
            <w:r>
              <w:rPr>
                <w:spacing w:val="-10"/>
                <w:w w:val="115"/>
                <w:sz w:val="20"/>
              </w:rPr>
              <w:t>0</w:t>
            </w:r>
          </w:p>
        </w:tc>
        <w:tc>
          <w:tcPr>
            <w:tcW w:w="1013" w:type="dxa"/>
          </w:tcPr>
          <w:p w14:paraId="1A7FF96C" w14:textId="77777777" w:rsidR="00811887" w:rsidRDefault="00811887" w:rsidP="00486E22">
            <w:pPr>
              <w:pStyle w:val="TableParagraph"/>
              <w:spacing w:before="5" w:line="229" w:lineRule="exact"/>
              <w:ind w:left="230"/>
              <w:rPr>
                <w:sz w:val="20"/>
              </w:rPr>
            </w:pPr>
            <w:r>
              <w:rPr>
                <w:spacing w:val="-10"/>
                <w:w w:val="115"/>
                <w:sz w:val="20"/>
              </w:rPr>
              <w:t>0</w:t>
            </w:r>
          </w:p>
        </w:tc>
        <w:tc>
          <w:tcPr>
            <w:tcW w:w="1013" w:type="dxa"/>
          </w:tcPr>
          <w:p w14:paraId="3A9055D6" w14:textId="77777777" w:rsidR="00811887" w:rsidRDefault="00811887" w:rsidP="00486E22">
            <w:pPr>
              <w:pStyle w:val="TableParagraph"/>
              <w:spacing w:before="5" w:line="229" w:lineRule="exact"/>
              <w:ind w:left="230"/>
              <w:rPr>
                <w:sz w:val="20"/>
              </w:rPr>
            </w:pPr>
            <w:r>
              <w:rPr>
                <w:spacing w:val="-10"/>
                <w:w w:val="115"/>
                <w:sz w:val="20"/>
              </w:rPr>
              <w:t>0</w:t>
            </w:r>
          </w:p>
        </w:tc>
        <w:tc>
          <w:tcPr>
            <w:tcW w:w="1073" w:type="dxa"/>
          </w:tcPr>
          <w:p w14:paraId="4E39D606" w14:textId="77777777" w:rsidR="00811887" w:rsidRDefault="00811887" w:rsidP="00486E22">
            <w:pPr>
              <w:pStyle w:val="TableParagraph"/>
              <w:spacing w:before="5" w:line="229" w:lineRule="exact"/>
              <w:ind w:left="230"/>
              <w:rPr>
                <w:sz w:val="20"/>
              </w:rPr>
            </w:pPr>
            <w:r>
              <w:rPr>
                <w:spacing w:val="-10"/>
                <w:w w:val="115"/>
                <w:sz w:val="20"/>
              </w:rPr>
              <w:t>0</w:t>
            </w:r>
          </w:p>
        </w:tc>
        <w:tc>
          <w:tcPr>
            <w:tcW w:w="545" w:type="dxa"/>
          </w:tcPr>
          <w:p w14:paraId="1BD47182" w14:textId="77777777" w:rsidR="00811887" w:rsidRDefault="00811887" w:rsidP="00486E22">
            <w:pPr>
              <w:pStyle w:val="TableParagraph"/>
              <w:spacing w:before="5" w:line="229" w:lineRule="exact"/>
              <w:ind w:right="252"/>
              <w:jc w:val="right"/>
              <w:rPr>
                <w:sz w:val="20"/>
              </w:rPr>
            </w:pPr>
            <w:r>
              <w:rPr>
                <w:spacing w:val="-10"/>
                <w:w w:val="115"/>
                <w:sz w:val="20"/>
              </w:rPr>
              <w:t>0</w:t>
            </w:r>
          </w:p>
        </w:tc>
        <w:tc>
          <w:tcPr>
            <w:tcW w:w="869" w:type="dxa"/>
          </w:tcPr>
          <w:p w14:paraId="40134D16" w14:textId="77777777" w:rsidR="00811887" w:rsidRDefault="00811887" w:rsidP="00486E22">
            <w:pPr>
              <w:pStyle w:val="TableParagraph"/>
              <w:spacing w:before="5" w:line="229" w:lineRule="exact"/>
              <w:ind w:right="103"/>
              <w:jc w:val="right"/>
              <w:rPr>
                <w:sz w:val="20"/>
              </w:rPr>
            </w:pPr>
            <w:r>
              <w:rPr>
                <w:spacing w:val="-10"/>
                <w:w w:val="115"/>
                <w:sz w:val="20"/>
              </w:rPr>
              <w:t>0</w:t>
            </w:r>
          </w:p>
        </w:tc>
      </w:tr>
    </w:tbl>
    <w:p w14:paraId="571E47D6" w14:textId="77777777" w:rsidR="00811887" w:rsidRDefault="00811887" w:rsidP="00811887">
      <w:pPr>
        <w:spacing w:line="229" w:lineRule="exact"/>
        <w:jc w:val="right"/>
        <w:rPr>
          <w:sz w:val="20"/>
        </w:rPr>
        <w:sectPr w:rsidR="00811887" w:rsidSect="00811887">
          <w:pgSz w:w="11910" w:h="16840"/>
          <w:pgMar w:top="1320" w:right="720" w:bottom="1080" w:left="740" w:header="0" w:footer="805" w:gutter="0"/>
          <w:cols w:space="720"/>
        </w:sectPr>
      </w:pPr>
    </w:p>
    <w:p w14:paraId="3FB6B528" w14:textId="77777777" w:rsidR="00811887" w:rsidRDefault="00811887" w:rsidP="00811887">
      <w:pPr>
        <w:spacing w:before="76"/>
        <w:ind w:left="508"/>
        <w:rPr>
          <w:rFonts w:ascii="Book Antiqua"/>
          <w:b/>
          <w:i/>
        </w:rPr>
      </w:pPr>
      <w:r>
        <w:rPr>
          <w:rFonts w:ascii="Book Antiqua"/>
          <w:b/>
          <w:i/>
          <w:color w:val="4D665B"/>
        </w:rPr>
        <w:lastRenderedPageBreak/>
        <w:t>Appendix</w:t>
      </w:r>
      <w:r>
        <w:rPr>
          <w:rFonts w:ascii="Book Antiqua"/>
          <w:b/>
          <w:i/>
          <w:color w:val="4D665B"/>
          <w:spacing w:val="-2"/>
        </w:rPr>
        <w:t xml:space="preserve"> </w:t>
      </w:r>
      <w:r>
        <w:rPr>
          <w:rFonts w:ascii="Book Antiqua"/>
          <w:b/>
          <w:i/>
          <w:color w:val="4D665B"/>
          <w:spacing w:val="-5"/>
        </w:rPr>
        <w:t>D.</w:t>
      </w:r>
    </w:p>
    <w:p w14:paraId="5F50A642" w14:textId="77777777" w:rsidR="00811887" w:rsidRDefault="00811887" w:rsidP="00811887">
      <w:pPr>
        <w:pStyle w:val="BodyText"/>
        <w:spacing w:before="2"/>
        <w:rPr>
          <w:rFonts w:ascii="Book Antiqua"/>
          <w:b/>
          <w:i/>
          <w:sz w:val="7"/>
        </w:rPr>
      </w:pPr>
      <w:r>
        <w:rPr>
          <w:noProof/>
        </w:rPr>
        <mc:AlternateContent>
          <mc:Choice Requires="wps">
            <w:drawing>
              <wp:anchor distT="0" distB="0" distL="0" distR="0" simplePos="0" relativeHeight="251768832" behindDoc="1" locked="0" layoutInCell="1" allowOverlap="1" wp14:anchorId="308621A5" wp14:editId="24C59295">
                <wp:simplePos x="0" y="0"/>
                <wp:positionH relativeFrom="page">
                  <wp:posOffset>774496</wp:posOffset>
                </wp:positionH>
                <wp:positionV relativeFrom="paragraph">
                  <wp:posOffset>70596</wp:posOffset>
                </wp:positionV>
                <wp:extent cx="6016625" cy="6350"/>
                <wp:effectExtent l="0" t="0" r="0" b="0"/>
                <wp:wrapTopAndBottom/>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714AAE36" id="Graphic 225" o:spid="_x0000_s1026" alt="&quot;&quot;" style="position:absolute;margin-left:61pt;margin-top:5.55pt;width:473.75pt;height:.5pt;z-index:-251547648;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" path="m6016117,l,,,6096r6016117,l6016117,xe" fillcolor="#4d665b" stroked="f">
                <v:path arrowok="t"/>
                <w10:wrap type="topAndBottom" anchorx="page"/>
              </v:shape>
            </w:pict>
          </mc:Fallback>
        </mc:AlternateContent>
      </w:r>
    </w:p>
    <w:p w14:paraId="34070CF1" w14:textId="77777777" w:rsidR="00811887" w:rsidRDefault="00811887" w:rsidP="00811887">
      <w:pPr>
        <w:pStyle w:val="BodyText"/>
        <w:spacing w:before="32"/>
        <w:rPr>
          <w:rFonts w:ascii="Book Antiqua"/>
          <w:b/>
          <w:i/>
          <w:sz w:val="22"/>
        </w:rPr>
      </w:pPr>
    </w:p>
    <w:p w14:paraId="0D8840A9" w14:textId="77777777" w:rsidR="00811887" w:rsidRPr="00FD40B8" w:rsidRDefault="00811887" w:rsidP="00811887">
      <w:pPr>
        <w:ind w:left="508"/>
        <w:rPr>
          <w:rFonts w:ascii="Book Antiqua"/>
          <w:color w:val="131727" w:themeColor="text1"/>
          <w:sz w:val="24"/>
        </w:rPr>
      </w:pPr>
      <w:bookmarkStart w:id="219" w:name="_bookmark108"/>
      <w:bookmarkEnd w:id="219"/>
      <w:r w:rsidRPr="00FD40B8">
        <w:rPr>
          <w:rFonts w:ascii="Book Antiqua"/>
          <w:color w:val="131727" w:themeColor="text1"/>
          <w:sz w:val="36"/>
        </w:rPr>
        <w:t>Housing</w:t>
      </w:r>
      <w:r w:rsidRPr="00FD40B8">
        <w:rPr>
          <w:rFonts w:ascii="Book Antiqua"/>
          <w:color w:val="131727" w:themeColor="text1"/>
          <w:spacing w:val="56"/>
          <w:sz w:val="36"/>
        </w:rPr>
        <w:t xml:space="preserve"> </w:t>
      </w:r>
      <w:r w:rsidRPr="00FD40B8">
        <w:rPr>
          <w:rFonts w:ascii="Book Antiqua"/>
          <w:color w:val="131727" w:themeColor="text1"/>
          <w:sz w:val="36"/>
        </w:rPr>
        <w:t>need</w:t>
      </w:r>
      <w:r w:rsidRPr="00FD40B8">
        <w:rPr>
          <w:rFonts w:ascii="Book Antiqua"/>
          <w:color w:val="131727" w:themeColor="text1"/>
          <w:spacing w:val="57"/>
          <w:sz w:val="36"/>
        </w:rPr>
        <w:t xml:space="preserve"> </w:t>
      </w:r>
      <w:r w:rsidRPr="00FD40B8">
        <w:rPr>
          <w:rFonts w:ascii="Book Antiqua"/>
          <w:color w:val="131727" w:themeColor="text1"/>
          <w:sz w:val="36"/>
        </w:rPr>
        <w:t>by</w:t>
      </w:r>
      <w:r w:rsidRPr="00FD40B8">
        <w:rPr>
          <w:rFonts w:ascii="Book Antiqua"/>
          <w:color w:val="131727" w:themeColor="text1"/>
          <w:spacing w:val="58"/>
          <w:sz w:val="36"/>
        </w:rPr>
        <w:t xml:space="preserve"> </w:t>
      </w:r>
      <w:r w:rsidRPr="00FD40B8">
        <w:rPr>
          <w:rFonts w:ascii="Book Antiqua"/>
          <w:color w:val="131727" w:themeColor="text1"/>
          <w:sz w:val="36"/>
        </w:rPr>
        <w:t>Indigenous</w:t>
      </w:r>
      <w:r w:rsidRPr="00FD40B8">
        <w:rPr>
          <w:rFonts w:ascii="Book Antiqua"/>
          <w:color w:val="131727" w:themeColor="text1"/>
          <w:spacing w:val="51"/>
          <w:sz w:val="36"/>
        </w:rPr>
        <w:t xml:space="preserve"> </w:t>
      </w:r>
      <w:r w:rsidRPr="00FD40B8">
        <w:rPr>
          <w:rFonts w:ascii="Book Antiqua"/>
          <w:color w:val="131727" w:themeColor="text1"/>
          <w:sz w:val="36"/>
        </w:rPr>
        <w:t>Area</w:t>
      </w:r>
      <w:r w:rsidRPr="00FD40B8">
        <w:rPr>
          <w:rFonts w:ascii="Book Antiqua"/>
          <w:color w:val="131727" w:themeColor="text1"/>
          <w:spacing w:val="77"/>
          <w:sz w:val="36"/>
        </w:rPr>
        <w:t xml:space="preserve"> </w:t>
      </w:r>
      <w:r w:rsidRPr="00FD40B8">
        <w:rPr>
          <w:rFonts w:ascii="Book Antiqua"/>
          <w:color w:val="131727" w:themeColor="text1"/>
          <w:sz w:val="24"/>
        </w:rPr>
        <w:t>(top</w:t>
      </w:r>
      <w:r w:rsidRPr="00FD40B8">
        <w:rPr>
          <w:rFonts w:ascii="Book Antiqua"/>
          <w:color w:val="131727" w:themeColor="text1"/>
          <w:spacing w:val="47"/>
          <w:sz w:val="24"/>
        </w:rPr>
        <w:t xml:space="preserve"> </w:t>
      </w:r>
      <w:r w:rsidRPr="00FD40B8">
        <w:rPr>
          <w:rFonts w:ascii="Book Antiqua"/>
          <w:color w:val="131727" w:themeColor="text1"/>
          <w:sz w:val="24"/>
        </w:rPr>
        <w:t>50</w:t>
      </w:r>
      <w:r w:rsidRPr="00FD40B8">
        <w:rPr>
          <w:rFonts w:ascii="Book Antiqua"/>
          <w:color w:val="131727" w:themeColor="text1"/>
          <w:spacing w:val="48"/>
          <w:sz w:val="24"/>
        </w:rPr>
        <w:t xml:space="preserve"> </w:t>
      </w:r>
      <w:r w:rsidRPr="00FD40B8">
        <w:rPr>
          <w:rFonts w:ascii="Book Antiqua"/>
          <w:color w:val="131727" w:themeColor="text1"/>
          <w:sz w:val="24"/>
        </w:rPr>
        <w:t>by</w:t>
      </w:r>
      <w:r w:rsidRPr="00FD40B8">
        <w:rPr>
          <w:rFonts w:ascii="Book Antiqua"/>
          <w:color w:val="131727" w:themeColor="text1"/>
          <w:spacing w:val="50"/>
          <w:sz w:val="24"/>
        </w:rPr>
        <w:t xml:space="preserve"> </w:t>
      </w:r>
      <w:r w:rsidRPr="00FD40B8">
        <w:rPr>
          <w:rFonts w:ascii="Book Antiqua"/>
          <w:color w:val="131727" w:themeColor="text1"/>
          <w:sz w:val="24"/>
        </w:rPr>
        <w:t>proportion</w:t>
      </w:r>
      <w:r w:rsidRPr="00FD40B8">
        <w:rPr>
          <w:rFonts w:ascii="Book Antiqua"/>
          <w:color w:val="131727" w:themeColor="text1"/>
          <w:spacing w:val="47"/>
          <w:sz w:val="24"/>
        </w:rPr>
        <w:t xml:space="preserve"> </w:t>
      </w:r>
      <w:r w:rsidRPr="00FD40B8">
        <w:rPr>
          <w:rFonts w:ascii="Book Antiqua"/>
          <w:color w:val="131727" w:themeColor="text1"/>
          <w:sz w:val="24"/>
        </w:rPr>
        <w:t>in</w:t>
      </w:r>
      <w:r w:rsidRPr="00FD40B8">
        <w:rPr>
          <w:rFonts w:ascii="Book Antiqua"/>
          <w:color w:val="131727" w:themeColor="text1"/>
          <w:spacing w:val="47"/>
          <w:sz w:val="24"/>
        </w:rPr>
        <w:t xml:space="preserve"> </w:t>
      </w:r>
      <w:r w:rsidRPr="00FD40B8">
        <w:rPr>
          <w:rFonts w:ascii="Book Antiqua"/>
          <w:color w:val="131727" w:themeColor="text1"/>
          <w:spacing w:val="-2"/>
          <w:sz w:val="24"/>
        </w:rPr>
        <w:t>need)</w:t>
      </w:r>
    </w:p>
    <w:tbl>
      <w:tblPr>
        <w:tblW w:w="0" w:type="auto"/>
        <w:tblInd w:w="515" w:type="dxa"/>
        <w:tblLayout w:type="fixed"/>
        <w:tblCellMar>
          <w:left w:w="0" w:type="dxa"/>
          <w:right w:w="0" w:type="dxa"/>
        </w:tblCellMar>
        <w:tblLook w:val="01E0" w:firstRow="1" w:lastRow="1" w:firstColumn="1" w:lastColumn="1" w:noHBand="0" w:noVBand="0"/>
      </w:tblPr>
      <w:tblGrid>
        <w:gridCol w:w="3674"/>
        <w:gridCol w:w="1194"/>
        <w:gridCol w:w="1024"/>
        <w:gridCol w:w="1026"/>
        <w:gridCol w:w="1021"/>
        <w:gridCol w:w="923"/>
        <w:gridCol w:w="964"/>
      </w:tblGrid>
      <w:tr w:rsidR="00811887" w14:paraId="1294C666" w14:textId="77777777" w:rsidTr="00486E22">
        <w:trPr>
          <w:trHeight w:val="483"/>
        </w:trPr>
        <w:tc>
          <w:tcPr>
            <w:tcW w:w="3674" w:type="dxa"/>
            <w:vMerge w:val="restart"/>
            <w:tcBorders>
              <w:right w:val="single" w:sz="4" w:space="0" w:color="000000"/>
            </w:tcBorders>
            <w:shd w:val="clear" w:color="auto" w:fill="4D665B"/>
          </w:tcPr>
          <w:p w14:paraId="3F255555" w14:textId="77777777" w:rsidR="00811887" w:rsidRDefault="00811887" w:rsidP="00486E22">
            <w:pPr>
              <w:pStyle w:val="TableParagraph"/>
              <w:spacing w:before="55" w:line="240" w:lineRule="auto"/>
              <w:rPr>
                <w:rFonts w:ascii="Book Antiqua"/>
                <w:sz w:val="20"/>
              </w:rPr>
            </w:pPr>
          </w:p>
          <w:p w14:paraId="164771BA" w14:textId="77777777" w:rsidR="00811887" w:rsidRDefault="00811887" w:rsidP="00486E22">
            <w:pPr>
              <w:pStyle w:val="TableParagraph"/>
              <w:spacing w:line="240" w:lineRule="auto"/>
              <w:ind w:left="1022"/>
              <w:rPr>
                <w:sz w:val="20"/>
              </w:rPr>
            </w:pPr>
            <w:r>
              <w:rPr>
                <w:color w:val="FFFFFF"/>
                <w:w w:val="110"/>
                <w:sz w:val="20"/>
              </w:rPr>
              <w:t>Indigenous</w:t>
            </w:r>
            <w:r>
              <w:rPr>
                <w:color w:val="FFFFFF"/>
                <w:spacing w:val="11"/>
                <w:w w:val="110"/>
                <w:sz w:val="20"/>
              </w:rPr>
              <w:t xml:space="preserve"> </w:t>
            </w:r>
            <w:r>
              <w:rPr>
                <w:color w:val="FFFFFF"/>
                <w:spacing w:val="-2"/>
                <w:w w:val="110"/>
                <w:sz w:val="20"/>
              </w:rPr>
              <w:t>region</w:t>
            </w:r>
          </w:p>
        </w:tc>
        <w:tc>
          <w:tcPr>
            <w:tcW w:w="1194" w:type="dxa"/>
            <w:tcBorders>
              <w:left w:val="single" w:sz="4" w:space="0" w:color="000000"/>
            </w:tcBorders>
            <w:shd w:val="clear" w:color="auto" w:fill="4D665B"/>
          </w:tcPr>
          <w:p w14:paraId="4DE2A9DC" w14:textId="77777777" w:rsidR="00811887" w:rsidRDefault="00811887" w:rsidP="00486E22">
            <w:pPr>
              <w:pStyle w:val="TableParagraph"/>
              <w:spacing w:line="240" w:lineRule="auto"/>
              <w:rPr>
                <w:rFonts w:ascii="Times New Roman"/>
                <w:sz w:val="20"/>
              </w:rPr>
            </w:pPr>
          </w:p>
        </w:tc>
        <w:tc>
          <w:tcPr>
            <w:tcW w:w="3994" w:type="dxa"/>
            <w:gridSpan w:val="4"/>
            <w:shd w:val="clear" w:color="auto" w:fill="4D665B"/>
          </w:tcPr>
          <w:p w14:paraId="0B9B4D18" w14:textId="77777777" w:rsidR="00811887" w:rsidRDefault="00811887" w:rsidP="00486E22">
            <w:pPr>
              <w:pStyle w:val="TableParagraph"/>
              <w:spacing w:before="164" w:line="240" w:lineRule="auto"/>
              <w:ind w:left="111"/>
              <w:rPr>
                <w:sz w:val="20"/>
              </w:rPr>
            </w:pPr>
            <w:r>
              <w:rPr>
                <w:color w:val="FFFFFF"/>
                <w:w w:val="110"/>
                <w:sz w:val="20"/>
              </w:rPr>
              <w:t>Total</w:t>
            </w:r>
            <w:r>
              <w:rPr>
                <w:color w:val="FFFFFF"/>
                <w:spacing w:val="2"/>
                <w:w w:val="110"/>
                <w:sz w:val="20"/>
              </w:rPr>
              <w:t xml:space="preserve"> </w:t>
            </w:r>
            <w:r>
              <w:rPr>
                <w:color w:val="FFFFFF"/>
                <w:w w:val="110"/>
                <w:sz w:val="20"/>
              </w:rPr>
              <w:t>Number</w:t>
            </w:r>
            <w:r>
              <w:rPr>
                <w:color w:val="FFFFFF"/>
                <w:spacing w:val="-5"/>
                <w:w w:val="110"/>
                <w:sz w:val="20"/>
              </w:rPr>
              <w:t xml:space="preserve"> </w:t>
            </w:r>
            <w:r>
              <w:rPr>
                <w:color w:val="FFFFFF"/>
                <w:w w:val="110"/>
                <w:sz w:val="20"/>
              </w:rPr>
              <w:t>of</w:t>
            </w:r>
            <w:r>
              <w:rPr>
                <w:color w:val="FFFFFF"/>
                <w:spacing w:val="-2"/>
                <w:w w:val="110"/>
                <w:sz w:val="20"/>
              </w:rPr>
              <w:t xml:space="preserve"> </w:t>
            </w:r>
            <w:r>
              <w:rPr>
                <w:color w:val="FFFFFF"/>
                <w:w w:val="110"/>
                <w:sz w:val="20"/>
              </w:rPr>
              <w:t>houses</w:t>
            </w:r>
            <w:r>
              <w:rPr>
                <w:color w:val="FFFFFF"/>
                <w:spacing w:val="3"/>
                <w:w w:val="110"/>
                <w:sz w:val="20"/>
              </w:rPr>
              <w:t xml:space="preserve"> </w:t>
            </w:r>
            <w:r>
              <w:rPr>
                <w:color w:val="FFFFFF"/>
                <w:w w:val="110"/>
                <w:sz w:val="20"/>
              </w:rPr>
              <w:t xml:space="preserve">(by </w:t>
            </w:r>
            <w:r>
              <w:rPr>
                <w:color w:val="FFFFFF"/>
                <w:spacing w:val="-2"/>
                <w:w w:val="110"/>
                <w:sz w:val="20"/>
              </w:rPr>
              <w:t>bedrooms)</w:t>
            </w:r>
          </w:p>
        </w:tc>
        <w:tc>
          <w:tcPr>
            <w:tcW w:w="964" w:type="dxa"/>
            <w:shd w:val="clear" w:color="auto" w:fill="4D665B"/>
          </w:tcPr>
          <w:p w14:paraId="5FE941F9" w14:textId="77777777" w:rsidR="00811887" w:rsidRDefault="00811887" w:rsidP="00486E22">
            <w:pPr>
              <w:pStyle w:val="TableParagraph"/>
              <w:spacing w:line="240" w:lineRule="auto"/>
              <w:rPr>
                <w:rFonts w:ascii="Times New Roman"/>
                <w:sz w:val="20"/>
              </w:rPr>
            </w:pPr>
          </w:p>
        </w:tc>
      </w:tr>
      <w:tr w:rsidR="00811887" w14:paraId="473BB88E" w14:textId="77777777" w:rsidTr="00486E22">
        <w:trPr>
          <w:trHeight w:val="342"/>
        </w:trPr>
        <w:tc>
          <w:tcPr>
            <w:tcW w:w="3674" w:type="dxa"/>
            <w:vMerge/>
            <w:tcBorders>
              <w:top w:val="nil"/>
              <w:right w:val="single" w:sz="4" w:space="0" w:color="000000"/>
            </w:tcBorders>
            <w:shd w:val="clear" w:color="auto" w:fill="4D665B"/>
          </w:tcPr>
          <w:p w14:paraId="708C01D5" w14:textId="77777777" w:rsidR="00811887" w:rsidRDefault="00811887" w:rsidP="00486E22">
            <w:pPr>
              <w:rPr>
                <w:sz w:val="2"/>
                <w:szCs w:val="2"/>
              </w:rPr>
            </w:pPr>
          </w:p>
        </w:tc>
        <w:tc>
          <w:tcPr>
            <w:tcW w:w="1194" w:type="dxa"/>
            <w:tcBorders>
              <w:left w:val="single" w:sz="4" w:space="0" w:color="000000"/>
            </w:tcBorders>
            <w:shd w:val="clear" w:color="auto" w:fill="4D665B"/>
          </w:tcPr>
          <w:p w14:paraId="462F2CDC" w14:textId="77777777" w:rsidR="00811887" w:rsidRDefault="00811887" w:rsidP="00486E22">
            <w:pPr>
              <w:pStyle w:val="TableParagraph"/>
              <w:spacing w:before="94" w:line="228" w:lineRule="exact"/>
              <w:ind w:right="179"/>
              <w:jc w:val="center"/>
              <w:rPr>
                <w:sz w:val="20"/>
              </w:rPr>
            </w:pPr>
            <w:r>
              <w:rPr>
                <w:color w:val="FFFFFF"/>
                <w:spacing w:val="-10"/>
                <w:w w:val="115"/>
                <w:sz w:val="20"/>
              </w:rPr>
              <w:t>1</w:t>
            </w:r>
          </w:p>
        </w:tc>
        <w:tc>
          <w:tcPr>
            <w:tcW w:w="1024" w:type="dxa"/>
            <w:shd w:val="clear" w:color="auto" w:fill="4D665B"/>
          </w:tcPr>
          <w:p w14:paraId="1AD8BDBB" w14:textId="77777777" w:rsidR="00811887" w:rsidRDefault="00811887" w:rsidP="00486E22">
            <w:pPr>
              <w:pStyle w:val="TableParagraph"/>
              <w:spacing w:before="94" w:line="228" w:lineRule="exact"/>
              <w:ind w:left="279"/>
              <w:rPr>
                <w:sz w:val="20"/>
              </w:rPr>
            </w:pPr>
            <w:r>
              <w:rPr>
                <w:color w:val="FFFFFF"/>
                <w:spacing w:val="-10"/>
                <w:w w:val="115"/>
                <w:sz w:val="20"/>
              </w:rPr>
              <w:t>2</w:t>
            </w:r>
          </w:p>
        </w:tc>
        <w:tc>
          <w:tcPr>
            <w:tcW w:w="1026" w:type="dxa"/>
            <w:shd w:val="clear" w:color="auto" w:fill="4D665B"/>
          </w:tcPr>
          <w:p w14:paraId="07F35F31" w14:textId="77777777" w:rsidR="00811887" w:rsidRDefault="00811887" w:rsidP="00486E22">
            <w:pPr>
              <w:pStyle w:val="TableParagraph"/>
              <w:spacing w:before="94" w:line="228" w:lineRule="exact"/>
              <w:ind w:left="278"/>
              <w:rPr>
                <w:sz w:val="20"/>
              </w:rPr>
            </w:pPr>
            <w:r>
              <w:rPr>
                <w:color w:val="FFFFFF"/>
                <w:spacing w:val="-10"/>
                <w:w w:val="115"/>
                <w:sz w:val="20"/>
              </w:rPr>
              <w:t>3</w:t>
            </w:r>
          </w:p>
        </w:tc>
        <w:tc>
          <w:tcPr>
            <w:tcW w:w="1021" w:type="dxa"/>
            <w:shd w:val="clear" w:color="auto" w:fill="4D665B"/>
          </w:tcPr>
          <w:p w14:paraId="1E978D61" w14:textId="77777777" w:rsidR="00811887" w:rsidRDefault="00811887" w:rsidP="00486E22">
            <w:pPr>
              <w:pStyle w:val="TableParagraph"/>
              <w:spacing w:before="94" w:line="228" w:lineRule="exact"/>
              <w:ind w:left="275"/>
              <w:rPr>
                <w:sz w:val="20"/>
              </w:rPr>
            </w:pPr>
            <w:r>
              <w:rPr>
                <w:color w:val="FFFFFF"/>
                <w:spacing w:val="-10"/>
                <w:w w:val="115"/>
                <w:sz w:val="20"/>
              </w:rPr>
              <w:t>4</w:t>
            </w:r>
          </w:p>
        </w:tc>
        <w:tc>
          <w:tcPr>
            <w:tcW w:w="923" w:type="dxa"/>
            <w:shd w:val="clear" w:color="auto" w:fill="4D665B"/>
          </w:tcPr>
          <w:p w14:paraId="37178D05" w14:textId="77777777" w:rsidR="00811887" w:rsidRDefault="00811887" w:rsidP="00486E22">
            <w:pPr>
              <w:pStyle w:val="TableParagraph"/>
              <w:spacing w:before="94" w:line="228" w:lineRule="exact"/>
              <w:ind w:left="277"/>
              <w:rPr>
                <w:sz w:val="20"/>
              </w:rPr>
            </w:pPr>
            <w:r>
              <w:rPr>
                <w:color w:val="FFFFFF"/>
                <w:spacing w:val="-10"/>
                <w:w w:val="115"/>
                <w:sz w:val="20"/>
              </w:rPr>
              <w:t>5</w:t>
            </w:r>
          </w:p>
        </w:tc>
        <w:tc>
          <w:tcPr>
            <w:tcW w:w="964" w:type="dxa"/>
            <w:shd w:val="clear" w:color="auto" w:fill="4D665B"/>
          </w:tcPr>
          <w:p w14:paraId="1D89B6EF" w14:textId="77777777" w:rsidR="00811887" w:rsidRDefault="00811887" w:rsidP="00486E22">
            <w:pPr>
              <w:pStyle w:val="TableParagraph"/>
              <w:spacing w:before="94" w:line="228" w:lineRule="exact"/>
              <w:ind w:left="175"/>
              <w:rPr>
                <w:i/>
                <w:sz w:val="20"/>
              </w:rPr>
            </w:pPr>
            <w:r>
              <w:rPr>
                <w:i/>
                <w:color w:val="FFFFFF"/>
                <w:spacing w:val="-2"/>
                <w:sz w:val="20"/>
              </w:rPr>
              <w:t>TOTAL</w:t>
            </w:r>
          </w:p>
        </w:tc>
      </w:tr>
      <w:tr w:rsidR="00811887" w14:paraId="0F0E288D" w14:textId="77777777" w:rsidTr="00486E22">
        <w:trPr>
          <w:trHeight w:val="224"/>
        </w:trPr>
        <w:tc>
          <w:tcPr>
            <w:tcW w:w="3674" w:type="dxa"/>
            <w:tcBorders>
              <w:right w:val="single" w:sz="4" w:space="0" w:color="000000"/>
            </w:tcBorders>
          </w:tcPr>
          <w:p w14:paraId="5923EF3C" w14:textId="77777777" w:rsidR="00811887" w:rsidRDefault="00811887" w:rsidP="00486E22">
            <w:pPr>
              <w:pStyle w:val="TableParagraph"/>
              <w:spacing w:line="204" w:lineRule="exact"/>
              <w:ind w:left="105"/>
              <w:rPr>
                <w:sz w:val="20"/>
              </w:rPr>
            </w:pPr>
            <w:r>
              <w:rPr>
                <w:w w:val="110"/>
                <w:sz w:val="20"/>
              </w:rPr>
              <w:t>Cocos</w:t>
            </w:r>
            <w:r>
              <w:rPr>
                <w:spacing w:val="-6"/>
                <w:w w:val="110"/>
                <w:sz w:val="20"/>
              </w:rPr>
              <w:t xml:space="preserve"> </w:t>
            </w:r>
            <w:r>
              <w:rPr>
                <w:w w:val="110"/>
                <w:sz w:val="20"/>
              </w:rPr>
              <w:t>(Keeling)</w:t>
            </w:r>
            <w:r>
              <w:rPr>
                <w:spacing w:val="-9"/>
                <w:w w:val="110"/>
                <w:sz w:val="20"/>
              </w:rPr>
              <w:t xml:space="preserve"> </w:t>
            </w:r>
            <w:r>
              <w:rPr>
                <w:spacing w:val="-2"/>
                <w:w w:val="110"/>
                <w:sz w:val="20"/>
              </w:rPr>
              <w:t>Islands</w:t>
            </w:r>
          </w:p>
        </w:tc>
        <w:tc>
          <w:tcPr>
            <w:tcW w:w="1194" w:type="dxa"/>
            <w:tcBorders>
              <w:left w:val="single" w:sz="4" w:space="0" w:color="000000"/>
            </w:tcBorders>
          </w:tcPr>
          <w:p w14:paraId="529DADDB" w14:textId="77777777" w:rsidR="00811887" w:rsidRDefault="00811887" w:rsidP="00486E22">
            <w:pPr>
              <w:pStyle w:val="TableParagraph"/>
              <w:spacing w:line="204" w:lineRule="exact"/>
              <w:ind w:right="280"/>
              <w:jc w:val="right"/>
              <w:rPr>
                <w:sz w:val="20"/>
              </w:rPr>
            </w:pPr>
            <w:r>
              <w:rPr>
                <w:spacing w:val="-10"/>
                <w:w w:val="115"/>
                <w:sz w:val="20"/>
              </w:rPr>
              <w:t>0</w:t>
            </w:r>
          </w:p>
        </w:tc>
        <w:tc>
          <w:tcPr>
            <w:tcW w:w="1024" w:type="dxa"/>
          </w:tcPr>
          <w:p w14:paraId="06239B54" w14:textId="77777777" w:rsidR="00811887" w:rsidRDefault="00811887" w:rsidP="00486E22">
            <w:pPr>
              <w:pStyle w:val="TableParagraph"/>
              <w:spacing w:line="204" w:lineRule="exact"/>
              <w:ind w:right="281"/>
              <w:jc w:val="right"/>
              <w:rPr>
                <w:sz w:val="20"/>
              </w:rPr>
            </w:pPr>
            <w:r>
              <w:rPr>
                <w:spacing w:val="-10"/>
                <w:w w:val="115"/>
                <w:sz w:val="20"/>
              </w:rPr>
              <w:t>0</w:t>
            </w:r>
          </w:p>
        </w:tc>
        <w:tc>
          <w:tcPr>
            <w:tcW w:w="1026" w:type="dxa"/>
          </w:tcPr>
          <w:p w14:paraId="1F0AA728" w14:textId="77777777" w:rsidR="00811887" w:rsidRDefault="00811887" w:rsidP="00486E22">
            <w:pPr>
              <w:pStyle w:val="TableParagraph"/>
              <w:spacing w:line="204" w:lineRule="exact"/>
              <w:ind w:right="284"/>
              <w:jc w:val="right"/>
              <w:rPr>
                <w:sz w:val="20"/>
              </w:rPr>
            </w:pPr>
            <w:r>
              <w:rPr>
                <w:spacing w:val="-10"/>
                <w:w w:val="115"/>
                <w:sz w:val="20"/>
              </w:rPr>
              <w:t>1</w:t>
            </w:r>
          </w:p>
        </w:tc>
        <w:tc>
          <w:tcPr>
            <w:tcW w:w="1021" w:type="dxa"/>
          </w:tcPr>
          <w:p w14:paraId="76BB6180" w14:textId="77777777" w:rsidR="00811887" w:rsidRDefault="00811887" w:rsidP="00486E22">
            <w:pPr>
              <w:pStyle w:val="TableParagraph"/>
              <w:spacing w:line="204" w:lineRule="exact"/>
              <w:ind w:right="283"/>
              <w:jc w:val="right"/>
              <w:rPr>
                <w:sz w:val="20"/>
              </w:rPr>
            </w:pPr>
            <w:r>
              <w:rPr>
                <w:spacing w:val="-10"/>
                <w:w w:val="115"/>
                <w:sz w:val="20"/>
              </w:rPr>
              <w:t>0</w:t>
            </w:r>
          </w:p>
        </w:tc>
        <w:tc>
          <w:tcPr>
            <w:tcW w:w="923" w:type="dxa"/>
          </w:tcPr>
          <w:p w14:paraId="0D985FA4" w14:textId="77777777" w:rsidR="00811887" w:rsidRDefault="00811887" w:rsidP="00486E22">
            <w:pPr>
              <w:pStyle w:val="TableParagraph"/>
              <w:spacing w:line="204" w:lineRule="exact"/>
              <w:ind w:right="183"/>
              <w:jc w:val="right"/>
              <w:rPr>
                <w:sz w:val="20"/>
              </w:rPr>
            </w:pPr>
            <w:r>
              <w:rPr>
                <w:spacing w:val="-10"/>
                <w:w w:val="115"/>
                <w:sz w:val="20"/>
              </w:rPr>
              <w:t>0</w:t>
            </w:r>
          </w:p>
        </w:tc>
        <w:tc>
          <w:tcPr>
            <w:tcW w:w="964" w:type="dxa"/>
          </w:tcPr>
          <w:p w14:paraId="2999DF09" w14:textId="77777777" w:rsidR="00811887" w:rsidRDefault="00811887" w:rsidP="00486E22">
            <w:pPr>
              <w:pStyle w:val="TableParagraph"/>
              <w:spacing w:line="204" w:lineRule="exact"/>
              <w:ind w:right="114"/>
              <w:jc w:val="right"/>
              <w:rPr>
                <w:sz w:val="20"/>
              </w:rPr>
            </w:pPr>
            <w:r>
              <w:rPr>
                <w:spacing w:val="-10"/>
                <w:w w:val="115"/>
                <w:sz w:val="20"/>
              </w:rPr>
              <w:t>1</w:t>
            </w:r>
          </w:p>
        </w:tc>
      </w:tr>
      <w:tr w:rsidR="00811887" w14:paraId="5DAFF2A0" w14:textId="77777777" w:rsidTr="00486E22">
        <w:trPr>
          <w:trHeight w:val="230"/>
        </w:trPr>
        <w:tc>
          <w:tcPr>
            <w:tcW w:w="3674" w:type="dxa"/>
            <w:tcBorders>
              <w:right w:val="single" w:sz="4" w:space="0" w:color="000000"/>
            </w:tcBorders>
          </w:tcPr>
          <w:p w14:paraId="2D365941" w14:textId="77777777" w:rsidR="00811887" w:rsidRDefault="00811887" w:rsidP="00486E22">
            <w:pPr>
              <w:pStyle w:val="TableParagraph"/>
              <w:spacing w:before="3" w:line="207" w:lineRule="exact"/>
              <w:ind w:left="105"/>
              <w:rPr>
                <w:sz w:val="20"/>
              </w:rPr>
            </w:pPr>
            <w:r>
              <w:rPr>
                <w:w w:val="105"/>
                <w:sz w:val="20"/>
              </w:rPr>
              <w:t>Marrara</w:t>
            </w:r>
            <w:r>
              <w:rPr>
                <w:spacing w:val="8"/>
                <w:w w:val="105"/>
                <w:sz w:val="20"/>
              </w:rPr>
              <w:t xml:space="preserve"> </w:t>
            </w:r>
            <w:r>
              <w:rPr>
                <w:w w:val="105"/>
                <w:sz w:val="20"/>
              </w:rPr>
              <w:t>-</w:t>
            </w:r>
            <w:r>
              <w:rPr>
                <w:spacing w:val="11"/>
                <w:w w:val="105"/>
                <w:sz w:val="20"/>
              </w:rPr>
              <w:t xml:space="preserve"> </w:t>
            </w:r>
            <w:r>
              <w:rPr>
                <w:w w:val="105"/>
                <w:sz w:val="20"/>
              </w:rPr>
              <w:t>Winnellie</w:t>
            </w:r>
            <w:r>
              <w:rPr>
                <w:spacing w:val="5"/>
                <w:w w:val="105"/>
                <w:sz w:val="20"/>
              </w:rPr>
              <w:t xml:space="preserve"> </w:t>
            </w:r>
            <w:r>
              <w:rPr>
                <w:w w:val="105"/>
                <w:sz w:val="20"/>
              </w:rPr>
              <w:t>-</w:t>
            </w:r>
            <w:r>
              <w:rPr>
                <w:spacing w:val="12"/>
                <w:w w:val="105"/>
                <w:sz w:val="20"/>
              </w:rPr>
              <w:t xml:space="preserve"> </w:t>
            </w:r>
            <w:r>
              <w:rPr>
                <w:spacing w:val="-2"/>
                <w:w w:val="105"/>
                <w:sz w:val="20"/>
              </w:rPr>
              <w:t>Berrimah</w:t>
            </w:r>
          </w:p>
        </w:tc>
        <w:tc>
          <w:tcPr>
            <w:tcW w:w="1194" w:type="dxa"/>
            <w:tcBorders>
              <w:left w:val="single" w:sz="4" w:space="0" w:color="000000"/>
            </w:tcBorders>
          </w:tcPr>
          <w:p w14:paraId="190AD6A7" w14:textId="77777777" w:rsidR="00811887" w:rsidRDefault="00811887" w:rsidP="00486E22">
            <w:pPr>
              <w:pStyle w:val="TableParagraph"/>
              <w:spacing w:before="3" w:line="207" w:lineRule="exact"/>
              <w:ind w:right="280"/>
              <w:jc w:val="right"/>
              <w:rPr>
                <w:sz w:val="20"/>
              </w:rPr>
            </w:pPr>
            <w:r>
              <w:rPr>
                <w:spacing w:val="-10"/>
                <w:w w:val="115"/>
                <w:sz w:val="20"/>
              </w:rPr>
              <w:t>3</w:t>
            </w:r>
          </w:p>
        </w:tc>
        <w:tc>
          <w:tcPr>
            <w:tcW w:w="1024" w:type="dxa"/>
          </w:tcPr>
          <w:p w14:paraId="4FD97572" w14:textId="77777777" w:rsidR="00811887" w:rsidRDefault="00811887" w:rsidP="00486E22">
            <w:pPr>
              <w:pStyle w:val="TableParagraph"/>
              <w:spacing w:before="3" w:line="207" w:lineRule="exact"/>
              <w:ind w:right="281"/>
              <w:jc w:val="right"/>
              <w:rPr>
                <w:sz w:val="20"/>
              </w:rPr>
            </w:pPr>
            <w:r>
              <w:rPr>
                <w:spacing w:val="-5"/>
                <w:w w:val="115"/>
                <w:sz w:val="20"/>
              </w:rPr>
              <w:t>21</w:t>
            </w:r>
          </w:p>
        </w:tc>
        <w:tc>
          <w:tcPr>
            <w:tcW w:w="1026" w:type="dxa"/>
          </w:tcPr>
          <w:p w14:paraId="647B79C4" w14:textId="77777777" w:rsidR="00811887" w:rsidRDefault="00811887" w:rsidP="00486E22">
            <w:pPr>
              <w:pStyle w:val="TableParagraph"/>
              <w:spacing w:before="3" w:line="207" w:lineRule="exact"/>
              <w:ind w:right="284"/>
              <w:jc w:val="right"/>
              <w:rPr>
                <w:sz w:val="20"/>
              </w:rPr>
            </w:pPr>
            <w:r>
              <w:rPr>
                <w:spacing w:val="-5"/>
                <w:w w:val="115"/>
                <w:sz w:val="20"/>
              </w:rPr>
              <w:t>62</w:t>
            </w:r>
          </w:p>
        </w:tc>
        <w:tc>
          <w:tcPr>
            <w:tcW w:w="1021" w:type="dxa"/>
          </w:tcPr>
          <w:p w14:paraId="6FFB4EDC" w14:textId="77777777" w:rsidR="00811887" w:rsidRDefault="00811887" w:rsidP="00486E22">
            <w:pPr>
              <w:pStyle w:val="TableParagraph"/>
              <w:spacing w:before="3" w:line="207" w:lineRule="exact"/>
              <w:ind w:right="282"/>
              <w:jc w:val="right"/>
              <w:rPr>
                <w:sz w:val="20"/>
              </w:rPr>
            </w:pPr>
            <w:r>
              <w:rPr>
                <w:spacing w:val="-5"/>
                <w:w w:val="115"/>
                <w:sz w:val="20"/>
              </w:rPr>
              <w:t>25</w:t>
            </w:r>
          </w:p>
        </w:tc>
        <w:tc>
          <w:tcPr>
            <w:tcW w:w="923" w:type="dxa"/>
          </w:tcPr>
          <w:p w14:paraId="170D3507" w14:textId="77777777" w:rsidR="00811887" w:rsidRDefault="00811887" w:rsidP="00486E22">
            <w:pPr>
              <w:pStyle w:val="TableParagraph"/>
              <w:spacing w:before="3" w:line="207" w:lineRule="exact"/>
              <w:ind w:right="183"/>
              <w:jc w:val="right"/>
              <w:rPr>
                <w:sz w:val="20"/>
              </w:rPr>
            </w:pPr>
            <w:r>
              <w:rPr>
                <w:spacing w:val="-10"/>
                <w:w w:val="115"/>
                <w:sz w:val="20"/>
              </w:rPr>
              <w:t>5</w:t>
            </w:r>
          </w:p>
        </w:tc>
        <w:tc>
          <w:tcPr>
            <w:tcW w:w="964" w:type="dxa"/>
          </w:tcPr>
          <w:p w14:paraId="70B7FE9E" w14:textId="77777777" w:rsidR="00811887" w:rsidRDefault="00811887" w:rsidP="00486E22">
            <w:pPr>
              <w:pStyle w:val="TableParagraph"/>
              <w:spacing w:before="3" w:line="207" w:lineRule="exact"/>
              <w:ind w:right="109"/>
              <w:jc w:val="right"/>
              <w:rPr>
                <w:sz w:val="20"/>
              </w:rPr>
            </w:pPr>
            <w:r>
              <w:rPr>
                <w:spacing w:val="-5"/>
                <w:w w:val="115"/>
                <w:sz w:val="20"/>
              </w:rPr>
              <w:t>115</w:t>
            </w:r>
          </w:p>
        </w:tc>
      </w:tr>
      <w:tr w:rsidR="00811887" w14:paraId="05CF6E20" w14:textId="77777777" w:rsidTr="00486E22">
        <w:trPr>
          <w:trHeight w:val="230"/>
        </w:trPr>
        <w:tc>
          <w:tcPr>
            <w:tcW w:w="3674" w:type="dxa"/>
            <w:tcBorders>
              <w:right w:val="single" w:sz="4" w:space="0" w:color="000000"/>
            </w:tcBorders>
          </w:tcPr>
          <w:p w14:paraId="41FBCE73" w14:textId="77777777" w:rsidR="00811887" w:rsidRDefault="00811887" w:rsidP="00486E22">
            <w:pPr>
              <w:pStyle w:val="TableParagraph"/>
              <w:spacing w:before="3" w:line="208" w:lineRule="exact"/>
              <w:ind w:left="105"/>
              <w:rPr>
                <w:sz w:val="20"/>
              </w:rPr>
            </w:pPr>
            <w:r>
              <w:rPr>
                <w:w w:val="110"/>
                <w:sz w:val="20"/>
              </w:rPr>
              <w:t>Gapuwiyak</w:t>
            </w:r>
            <w:r>
              <w:rPr>
                <w:spacing w:val="-7"/>
                <w:w w:val="110"/>
                <w:sz w:val="20"/>
              </w:rPr>
              <w:t xml:space="preserve"> </w:t>
            </w:r>
            <w:r>
              <w:rPr>
                <w:w w:val="110"/>
                <w:sz w:val="20"/>
              </w:rPr>
              <w:t>and</w:t>
            </w:r>
            <w:r>
              <w:rPr>
                <w:spacing w:val="-10"/>
                <w:w w:val="110"/>
                <w:sz w:val="20"/>
              </w:rPr>
              <w:t xml:space="preserve"> </w:t>
            </w:r>
            <w:r>
              <w:rPr>
                <w:spacing w:val="-2"/>
                <w:w w:val="110"/>
                <w:sz w:val="20"/>
              </w:rPr>
              <w:t>Outstations</w:t>
            </w:r>
          </w:p>
        </w:tc>
        <w:tc>
          <w:tcPr>
            <w:tcW w:w="1194" w:type="dxa"/>
            <w:tcBorders>
              <w:left w:val="single" w:sz="4" w:space="0" w:color="000000"/>
            </w:tcBorders>
          </w:tcPr>
          <w:p w14:paraId="742BE1F3" w14:textId="77777777" w:rsidR="00811887" w:rsidRDefault="00811887" w:rsidP="00486E22">
            <w:pPr>
              <w:pStyle w:val="TableParagraph"/>
              <w:spacing w:before="3" w:line="208" w:lineRule="exact"/>
              <w:ind w:right="280"/>
              <w:jc w:val="right"/>
              <w:rPr>
                <w:sz w:val="20"/>
              </w:rPr>
            </w:pPr>
            <w:r>
              <w:rPr>
                <w:spacing w:val="-10"/>
                <w:w w:val="115"/>
                <w:sz w:val="20"/>
              </w:rPr>
              <w:t>2</w:t>
            </w:r>
          </w:p>
        </w:tc>
        <w:tc>
          <w:tcPr>
            <w:tcW w:w="1024" w:type="dxa"/>
          </w:tcPr>
          <w:p w14:paraId="52880EC1" w14:textId="77777777" w:rsidR="00811887" w:rsidRDefault="00811887" w:rsidP="00486E22">
            <w:pPr>
              <w:pStyle w:val="TableParagraph"/>
              <w:spacing w:before="3" w:line="208" w:lineRule="exact"/>
              <w:ind w:right="281"/>
              <w:jc w:val="right"/>
              <w:rPr>
                <w:sz w:val="20"/>
              </w:rPr>
            </w:pPr>
            <w:r>
              <w:rPr>
                <w:spacing w:val="-5"/>
                <w:w w:val="115"/>
                <w:sz w:val="20"/>
              </w:rPr>
              <w:t>12</w:t>
            </w:r>
          </w:p>
        </w:tc>
        <w:tc>
          <w:tcPr>
            <w:tcW w:w="1026" w:type="dxa"/>
          </w:tcPr>
          <w:p w14:paraId="48AAD61C" w14:textId="77777777" w:rsidR="00811887" w:rsidRDefault="00811887" w:rsidP="00486E22">
            <w:pPr>
              <w:pStyle w:val="TableParagraph"/>
              <w:spacing w:before="3" w:line="208" w:lineRule="exact"/>
              <w:ind w:right="284"/>
              <w:jc w:val="right"/>
              <w:rPr>
                <w:sz w:val="20"/>
              </w:rPr>
            </w:pPr>
            <w:r>
              <w:rPr>
                <w:spacing w:val="-5"/>
                <w:w w:val="115"/>
                <w:sz w:val="20"/>
              </w:rPr>
              <w:t>37</w:t>
            </w:r>
          </w:p>
        </w:tc>
        <w:tc>
          <w:tcPr>
            <w:tcW w:w="1021" w:type="dxa"/>
          </w:tcPr>
          <w:p w14:paraId="5CE4BB66" w14:textId="77777777" w:rsidR="00811887" w:rsidRDefault="00811887" w:rsidP="00486E22">
            <w:pPr>
              <w:pStyle w:val="TableParagraph"/>
              <w:spacing w:before="3" w:line="208" w:lineRule="exact"/>
              <w:ind w:right="282"/>
              <w:jc w:val="right"/>
              <w:rPr>
                <w:sz w:val="20"/>
              </w:rPr>
            </w:pPr>
            <w:r>
              <w:rPr>
                <w:spacing w:val="-5"/>
                <w:w w:val="115"/>
                <w:sz w:val="20"/>
              </w:rPr>
              <w:t>15</w:t>
            </w:r>
          </w:p>
        </w:tc>
        <w:tc>
          <w:tcPr>
            <w:tcW w:w="923" w:type="dxa"/>
          </w:tcPr>
          <w:p w14:paraId="4DF61FFB" w14:textId="77777777" w:rsidR="00811887" w:rsidRDefault="00811887" w:rsidP="00486E22">
            <w:pPr>
              <w:pStyle w:val="TableParagraph"/>
              <w:spacing w:before="3" w:line="208" w:lineRule="exact"/>
              <w:ind w:right="183"/>
              <w:jc w:val="right"/>
              <w:rPr>
                <w:sz w:val="20"/>
              </w:rPr>
            </w:pPr>
            <w:r>
              <w:rPr>
                <w:spacing w:val="-10"/>
                <w:w w:val="115"/>
                <w:sz w:val="20"/>
              </w:rPr>
              <w:t>3</w:t>
            </w:r>
          </w:p>
        </w:tc>
        <w:tc>
          <w:tcPr>
            <w:tcW w:w="964" w:type="dxa"/>
          </w:tcPr>
          <w:p w14:paraId="7635B78C" w14:textId="77777777" w:rsidR="00811887" w:rsidRDefault="00811887" w:rsidP="00486E22">
            <w:pPr>
              <w:pStyle w:val="TableParagraph"/>
              <w:spacing w:before="3" w:line="208" w:lineRule="exact"/>
              <w:ind w:right="114"/>
              <w:jc w:val="right"/>
              <w:rPr>
                <w:sz w:val="20"/>
              </w:rPr>
            </w:pPr>
            <w:r>
              <w:rPr>
                <w:spacing w:val="-5"/>
                <w:w w:val="115"/>
                <w:sz w:val="20"/>
              </w:rPr>
              <w:t>69</w:t>
            </w:r>
          </w:p>
        </w:tc>
      </w:tr>
      <w:tr w:rsidR="00811887" w14:paraId="442F3111" w14:textId="77777777" w:rsidTr="00486E22">
        <w:trPr>
          <w:trHeight w:val="230"/>
        </w:trPr>
        <w:tc>
          <w:tcPr>
            <w:tcW w:w="3674" w:type="dxa"/>
            <w:tcBorders>
              <w:right w:val="single" w:sz="4" w:space="0" w:color="000000"/>
            </w:tcBorders>
          </w:tcPr>
          <w:p w14:paraId="01C06346" w14:textId="77777777" w:rsidR="00811887" w:rsidRDefault="00811887" w:rsidP="00486E22">
            <w:pPr>
              <w:pStyle w:val="TableParagraph"/>
              <w:spacing w:before="3" w:line="207" w:lineRule="exact"/>
              <w:ind w:left="105"/>
              <w:rPr>
                <w:sz w:val="20"/>
              </w:rPr>
            </w:pPr>
            <w:r>
              <w:rPr>
                <w:w w:val="110"/>
                <w:sz w:val="20"/>
              </w:rPr>
              <w:t>Walungurru</w:t>
            </w:r>
            <w:r>
              <w:rPr>
                <w:spacing w:val="-3"/>
                <w:w w:val="110"/>
                <w:sz w:val="20"/>
              </w:rPr>
              <w:t xml:space="preserve"> </w:t>
            </w:r>
            <w:r>
              <w:rPr>
                <w:w w:val="110"/>
                <w:sz w:val="20"/>
              </w:rPr>
              <w:t>and</w:t>
            </w:r>
            <w:r>
              <w:rPr>
                <w:spacing w:val="-4"/>
                <w:w w:val="110"/>
                <w:sz w:val="20"/>
              </w:rPr>
              <w:t xml:space="preserve"> </w:t>
            </w:r>
            <w:r>
              <w:rPr>
                <w:spacing w:val="-2"/>
                <w:w w:val="110"/>
                <w:sz w:val="20"/>
              </w:rPr>
              <w:t>Outstations</w:t>
            </w:r>
          </w:p>
        </w:tc>
        <w:tc>
          <w:tcPr>
            <w:tcW w:w="1194" w:type="dxa"/>
            <w:tcBorders>
              <w:left w:val="single" w:sz="4" w:space="0" w:color="000000"/>
            </w:tcBorders>
          </w:tcPr>
          <w:p w14:paraId="4CAD16E5"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27543E50" w14:textId="77777777" w:rsidR="00811887" w:rsidRDefault="00811887" w:rsidP="00486E22">
            <w:pPr>
              <w:pStyle w:val="TableParagraph"/>
              <w:spacing w:before="3" w:line="207" w:lineRule="exact"/>
              <w:ind w:right="281"/>
              <w:jc w:val="right"/>
              <w:rPr>
                <w:sz w:val="20"/>
              </w:rPr>
            </w:pPr>
            <w:r>
              <w:rPr>
                <w:spacing w:val="-10"/>
                <w:w w:val="115"/>
                <w:sz w:val="20"/>
              </w:rPr>
              <w:t>7</w:t>
            </w:r>
          </w:p>
        </w:tc>
        <w:tc>
          <w:tcPr>
            <w:tcW w:w="1026" w:type="dxa"/>
          </w:tcPr>
          <w:p w14:paraId="65E75BDA" w14:textId="77777777" w:rsidR="00811887" w:rsidRDefault="00811887" w:rsidP="00486E22">
            <w:pPr>
              <w:pStyle w:val="TableParagraph"/>
              <w:spacing w:before="3" w:line="207" w:lineRule="exact"/>
              <w:ind w:right="284"/>
              <w:jc w:val="right"/>
              <w:rPr>
                <w:sz w:val="20"/>
              </w:rPr>
            </w:pPr>
            <w:r>
              <w:rPr>
                <w:spacing w:val="-5"/>
                <w:w w:val="115"/>
                <w:sz w:val="20"/>
              </w:rPr>
              <w:t>21</w:t>
            </w:r>
          </w:p>
        </w:tc>
        <w:tc>
          <w:tcPr>
            <w:tcW w:w="1021" w:type="dxa"/>
          </w:tcPr>
          <w:p w14:paraId="77BB9D66" w14:textId="77777777" w:rsidR="00811887" w:rsidRDefault="00811887" w:rsidP="00486E22">
            <w:pPr>
              <w:pStyle w:val="TableParagraph"/>
              <w:spacing w:before="3" w:line="207" w:lineRule="exact"/>
              <w:ind w:right="283"/>
              <w:jc w:val="right"/>
              <w:rPr>
                <w:sz w:val="20"/>
              </w:rPr>
            </w:pPr>
            <w:r>
              <w:rPr>
                <w:spacing w:val="-10"/>
                <w:w w:val="115"/>
                <w:sz w:val="20"/>
              </w:rPr>
              <w:t>9</w:t>
            </w:r>
          </w:p>
        </w:tc>
        <w:tc>
          <w:tcPr>
            <w:tcW w:w="923" w:type="dxa"/>
          </w:tcPr>
          <w:p w14:paraId="73923EC6"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4C7F2159" w14:textId="77777777" w:rsidR="00811887" w:rsidRDefault="00811887" w:rsidP="00486E22">
            <w:pPr>
              <w:pStyle w:val="TableParagraph"/>
              <w:spacing w:before="3" w:line="207" w:lineRule="exact"/>
              <w:ind w:right="114"/>
              <w:jc w:val="right"/>
              <w:rPr>
                <w:sz w:val="20"/>
              </w:rPr>
            </w:pPr>
            <w:r>
              <w:rPr>
                <w:spacing w:val="-5"/>
                <w:w w:val="115"/>
                <w:sz w:val="20"/>
              </w:rPr>
              <w:t>39</w:t>
            </w:r>
          </w:p>
        </w:tc>
      </w:tr>
      <w:tr w:rsidR="00811887" w14:paraId="0A90B4AE" w14:textId="77777777" w:rsidTr="00486E22">
        <w:trPr>
          <w:trHeight w:val="235"/>
        </w:trPr>
        <w:tc>
          <w:tcPr>
            <w:tcW w:w="3674" w:type="dxa"/>
            <w:tcBorders>
              <w:right w:val="single" w:sz="4" w:space="0" w:color="000000"/>
            </w:tcBorders>
          </w:tcPr>
          <w:p w14:paraId="617A3BEE" w14:textId="77777777" w:rsidR="00811887" w:rsidRDefault="00811887" w:rsidP="00486E22">
            <w:pPr>
              <w:pStyle w:val="TableParagraph"/>
              <w:spacing w:before="3" w:line="212" w:lineRule="exact"/>
              <w:ind w:left="105"/>
              <w:rPr>
                <w:sz w:val="20"/>
              </w:rPr>
            </w:pPr>
            <w:r>
              <w:rPr>
                <w:spacing w:val="-2"/>
                <w:w w:val="105"/>
                <w:sz w:val="20"/>
              </w:rPr>
              <w:t>Willowra</w:t>
            </w:r>
          </w:p>
        </w:tc>
        <w:tc>
          <w:tcPr>
            <w:tcW w:w="1194" w:type="dxa"/>
            <w:tcBorders>
              <w:left w:val="single" w:sz="4" w:space="0" w:color="000000"/>
            </w:tcBorders>
          </w:tcPr>
          <w:p w14:paraId="295A02BD" w14:textId="77777777" w:rsidR="00811887" w:rsidRDefault="00811887" w:rsidP="00486E22">
            <w:pPr>
              <w:pStyle w:val="TableParagraph"/>
              <w:spacing w:before="3" w:line="212" w:lineRule="exact"/>
              <w:ind w:right="280"/>
              <w:jc w:val="right"/>
              <w:rPr>
                <w:sz w:val="20"/>
              </w:rPr>
            </w:pPr>
            <w:r>
              <w:rPr>
                <w:spacing w:val="-10"/>
                <w:w w:val="115"/>
                <w:sz w:val="20"/>
              </w:rPr>
              <w:t>1</w:t>
            </w:r>
          </w:p>
        </w:tc>
        <w:tc>
          <w:tcPr>
            <w:tcW w:w="1024" w:type="dxa"/>
          </w:tcPr>
          <w:p w14:paraId="7D27C800" w14:textId="77777777" w:rsidR="00811887" w:rsidRDefault="00811887" w:rsidP="00486E22">
            <w:pPr>
              <w:pStyle w:val="TableParagraph"/>
              <w:spacing w:before="3" w:line="212" w:lineRule="exact"/>
              <w:ind w:right="281"/>
              <w:jc w:val="right"/>
              <w:rPr>
                <w:sz w:val="20"/>
              </w:rPr>
            </w:pPr>
            <w:r>
              <w:rPr>
                <w:spacing w:val="-10"/>
                <w:w w:val="115"/>
                <w:sz w:val="20"/>
              </w:rPr>
              <w:t>3</w:t>
            </w:r>
          </w:p>
        </w:tc>
        <w:tc>
          <w:tcPr>
            <w:tcW w:w="1026" w:type="dxa"/>
          </w:tcPr>
          <w:p w14:paraId="7A30A2CE" w14:textId="77777777" w:rsidR="00811887" w:rsidRDefault="00811887" w:rsidP="00486E22">
            <w:pPr>
              <w:pStyle w:val="TableParagraph"/>
              <w:spacing w:before="3" w:line="212" w:lineRule="exact"/>
              <w:ind w:right="284"/>
              <w:jc w:val="right"/>
              <w:rPr>
                <w:sz w:val="20"/>
              </w:rPr>
            </w:pPr>
            <w:r>
              <w:rPr>
                <w:spacing w:val="-5"/>
                <w:w w:val="115"/>
                <w:sz w:val="20"/>
              </w:rPr>
              <w:t>10</w:t>
            </w:r>
          </w:p>
        </w:tc>
        <w:tc>
          <w:tcPr>
            <w:tcW w:w="1021" w:type="dxa"/>
          </w:tcPr>
          <w:p w14:paraId="36E2ADF3" w14:textId="77777777" w:rsidR="00811887" w:rsidRDefault="00811887" w:rsidP="00486E22">
            <w:pPr>
              <w:pStyle w:val="TableParagraph"/>
              <w:spacing w:before="3" w:line="212" w:lineRule="exact"/>
              <w:ind w:right="283"/>
              <w:jc w:val="right"/>
              <w:rPr>
                <w:sz w:val="20"/>
              </w:rPr>
            </w:pPr>
            <w:r>
              <w:rPr>
                <w:spacing w:val="-10"/>
                <w:w w:val="115"/>
                <w:sz w:val="20"/>
              </w:rPr>
              <w:t>4</w:t>
            </w:r>
          </w:p>
        </w:tc>
        <w:tc>
          <w:tcPr>
            <w:tcW w:w="923" w:type="dxa"/>
          </w:tcPr>
          <w:p w14:paraId="31381985" w14:textId="77777777" w:rsidR="00811887" w:rsidRDefault="00811887" w:rsidP="00486E22">
            <w:pPr>
              <w:pStyle w:val="TableParagraph"/>
              <w:spacing w:before="3" w:line="212" w:lineRule="exact"/>
              <w:ind w:right="183"/>
              <w:jc w:val="right"/>
              <w:rPr>
                <w:sz w:val="20"/>
              </w:rPr>
            </w:pPr>
            <w:r>
              <w:rPr>
                <w:spacing w:val="-10"/>
                <w:w w:val="115"/>
                <w:sz w:val="20"/>
              </w:rPr>
              <w:t>1</w:t>
            </w:r>
          </w:p>
        </w:tc>
        <w:tc>
          <w:tcPr>
            <w:tcW w:w="964" w:type="dxa"/>
          </w:tcPr>
          <w:p w14:paraId="5037DFC7" w14:textId="77777777" w:rsidR="00811887" w:rsidRDefault="00811887" w:rsidP="00486E22">
            <w:pPr>
              <w:pStyle w:val="TableParagraph"/>
              <w:spacing w:before="3" w:line="212" w:lineRule="exact"/>
              <w:ind w:right="114"/>
              <w:jc w:val="right"/>
              <w:rPr>
                <w:sz w:val="20"/>
              </w:rPr>
            </w:pPr>
            <w:r>
              <w:rPr>
                <w:spacing w:val="-5"/>
                <w:w w:val="115"/>
                <w:sz w:val="20"/>
              </w:rPr>
              <w:t>19</w:t>
            </w:r>
          </w:p>
        </w:tc>
      </w:tr>
      <w:tr w:rsidR="00811887" w14:paraId="017EA8FB" w14:textId="77777777" w:rsidTr="00486E22">
        <w:trPr>
          <w:trHeight w:val="402"/>
        </w:trPr>
        <w:tc>
          <w:tcPr>
            <w:tcW w:w="3674" w:type="dxa"/>
            <w:tcBorders>
              <w:right w:val="single" w:sz="4" w:space="0" w:color="000000"/>
            </w:tcBorders>
          </w:tcPr>
          <w:p w14:paraId="6C703373" w14:textId="77777777" w:rsidR="00811887" w:rsidRDefault="00811887" w:rsidP="00486E22">
            <w:pPr>
              <w:pStyle w:val="TableParagraph"/>
              <w:spacing w:line="202" w:lineRule="exact"/>
              <w:ind w:left="105" w:right="971"/>
              <w:rPr>
                <w:sz w:val="20"/>
              </w:rPr>
            </w:pPr>
            <w:r>
              <w:rPr>
                <w:w w:val="110"/>
                <w:sz w:val="20"/>
              </w:rPr>
              <w:t>Ramingining</w:t>
            </w:r>
            <w:r>
              <w:rPr>
                <w:spacing w:val="-13"/>
                <w:w w:val="110"/>
                <w:sz w:val="20"/>
              </w:rPr>
              <w:t xml:space="preserve"> </w:t>
            </w:r>
            <w:r>
              <w:rPr>
                <w:w w:val="110"/>
                <w:sz w:val="20"/>
              </w:rPr>
              <w:t>-</w:t>
            </w:r>
            <w:r>
              <w:rPr>
                <w:spacing w:val="-12"/>
                <w:w w:val="110"/>
                <w:sz w:val="20"/>
              </w:rPr>
              <w:t xml:space="preserve"> </w:t>
            </w:r>
            <w:r>
              <w:rPr>
                <w:w w:val="110"/>
                <w:sz w:val="20"/>
              </w:rPr>
              <w:t>Milingimbi</w:t>
            </w:r>
            <w:r>
              <w:rPr>
                <w:spacing w:val="-13"/>
                <w:w w:val="110"/>
                <w:sz w:val="20"/>
              </w:rPr>
              <w:t xml:space="preserve"> </w:t>
            </w:r>
            <w:r>
              <w:rPr>
                <w:w w:val="110"/>
                <w:sz w:val="20"/>
              </w:rPr>
              <w:t xml:space="preserve">and </w:t>
            </w:r>
            <w:r>
              <w:rPr>
                <w:spacing w:val="-2"/>
                <w:w w:val="110"/>
                <w:sz w:val="20"/>
              </w:rPr>
              <w:t>Outstations</w:t>
            </w:r>
          </w:p>
        </w:tc>
        <w:tc>
          <w:tcPr>
            <w:tcW w:w="1194" w:type="dxa"/>
            <w:tcBorders>
              <w:left w:val="single" w:sz="4" w:space="0" w:color="000000"/>
            </w:tcBorders>
          </w:tcPr>
          <w:p w14:paraId="2772C47B" w14:textId="77777777" w:rsidR="00811887" w:rsidRDefault="00811887" w:rsidP="00486E22">
            <w:pPr>
              <w:pStyle w:val="TableParagraph"/>
              <w:spacing w:before="175" w:line="207" w:lineRule="exact"/>
              <w:ind w:right="280"/>
              <w:jc w:val="right"/>
              <w:rPr>
                <w:sz w:val="20"/>
              </w:rPr>
            </w:pPr>
            <w:r>
              <w:rPr>
                <w:spacing w:val="-10"/>
                <w:w w:val="115"/>
                <w:sz w:val="20"/>
              </w:rPr>
              <w:t>5</w:t>
            </w:r>
          </w:p>
        </w:tc>
        <w:tc>
          <w:tcPr>
            <w:tcW w:w="1024" w:type="dxa"/>
          </w:tcPr>
          <w:p w14:paraId="78E86657" w14:textId="77777777" w:rsidR="00811887" w:rsidRDefault="00811887" w:rsidP="00486E22">
            <w:pPr>
              <w:pStyle w:val="TableParagraph"/>
              <w:spacing w:before="175" w:line="207" w:lineRule="exact"/>
              <w:ind w:right="281"/>
              <w:jc w:val="right"/>
              <w:rPr>
                <w:sz w:val="20"/>
              </w:rPr>
            </w:pPr>
            <w:r>
              <w:rPr>
                <w:spacing w:val="-5"/>
                <w:w w:val="115"/>
                <w:sz w:val="20"/>
              </w:rPr>
              <w:t>33</w:t>
            </w:r>
          </w:p>
        </w:tc>
        <w:tc>
          <w:tcPr>
            <w:tcW w:w="1026" w:type="dxa"/>
          </w:tcPr>
          <w:p w14:paraId="06AB18A3" w14:textId="77777777" w:rsidR="00811887" w:rsidRDefault="00811887" w:rsidP="00486E22">
            <w:pPr>
              <w:pStyle w:val="TableParagraph"/>
              <w:spacing w:before="175" w:line="207" w:lineRule="exact"/>
              <w:ind w:right="284"/>
              <w:jc w:val="right"/>
              <w:rPr>
                <w:sz w:val="20"/>
              </w:rPr>
            </w:pPr>
            <w:r>
              <w:rPr>
                <w:spacing w:val="-5"/>
                <w:w w:val="115"/>
                <w:sz w:val="20"/>
              </w:rPr>
              <w:t>97</w:t>
            </w:r>
          </w:p>
        </w:tc>
        <w:tc>
          <w:tcPr>
            <w:tcW w:w="1021" w:type="dxa"/>
          </w:tcPr>
          <w:p w14:paraId="6CDCD099" w14:textId="77777777" w:rsidR="00811887" w:rsidRDefault="00811887" w:rsidP="00486E22">
            <w:pPr>
              <w:pStyle w:val="TableParagraph"/>
              <w:spacing w:before="175" w:line="207" w:lineRule="exact"/>
              <w:ind w:right="282"/>
              <w:jc w:val="right"/>
              <w:rPr>
                <w:sz w:val="20"/>
              </w:rPr>
            </w:pPr>
            <w:r>
              <w:rPr>
                <w:spacing w:val="-5"/>
                <w:w w:val="115"/>
                <w:sz w:val="20"/>
              </w:rPr>
              <w:t>39</w:t>
            </w:r>
          </w:p>
        </w:tc>
        <w:tc>
          <w:tcPr>
            <w:tcW w:w="923" w:type="dxa"/>
          </w:tcPr>
          <w:p w14:paraId="6E3B5DF0" w14:textId="77777777" w:rsidR="00811887" w:rsidRDefault="00811887" w:rsidP="00486E22">
            <w:pPr>
              <w:pStyle w:val="TableParagraph"/>
              <w:spacing w:before="175" w:line="207" w:lineRule="exact"/>
              <w:ind w:right="183"/>
              <w:jc w:val="right"/>
              <w:rPr>
                <w:sz w:val="20"/>
              </w:rPr>
            </w:pPr>
            <w:r>
              <w:rPr>
                <w:spacing w:val="-10"/>
                <w:w w:val="115"/>
                <w:sz w:val="20"/>
              </w:rPr>
              <w:t>7</w:t>
            </w:r>
          </w:p>
        </w:tc>
        <w:tc>
          <w:tcPr>
            <w:tcW w:w="964" w:type="dxa"/>
          </w:tcPr>
          <w:p w14:paraId="768FB0CD" w14:textId="77777777" w:rsidR="00811887" w:rsidRDefault="00811887" w:rsidP="00486E22">
            <w:pPr>
              <w:pStyle w:val="TableParagraph"/>
              <w:spacing w:before="175" w:line="207" w:lineRule="exact"/>
              <w:ind w:right="109"/>
              <w:jc w:val="right"/>
              <w:rPr>
                <w:sz w:val="20"/>
              </w:rPr>
            </w:pPr>
            <w:r>
              <w:rPr>
                <w:spacing w:val="-5"/>
                <w:w w:val="115"/>
                <w:sz w:val="20"/>
              </w:rPr>
              <w:t>181</w:t>
            </w:r>
          </w:p>
        </w:tc>
      </w:tr>
      <w:tr w:rsidR="00811887" w14:paraId="181E7C82" w14:textId="77777777" w:rsidTr="00486E22">
        <w:trPr>
          <w:trHeight w:val="229"/>
        </w:trPr>
        <w:tc>
          <w:tcPr>
            <w:tcW w:w="3674" w:type="dxa"/>
            <w:tcBorders>
              <w:right w:val="single" w:sz="4" w:space="0" w:color="000000"/>
            </w:tcBorders>
          </w:tcPr>
          <w:p w14:paraId="73254613" w14:textId="77777777" w:rsidR="00811887" w:rsidRDefault="00811887" w:rsidP="00486E22">
            <w:pPr>
              <w:pStyle w:val="TableParagraph"/>
              <w:spacing w:before="2" w:line="207" w:lineRule="exact"/>
              <w:ind w:left="105"/>
              <w:rPr>
                <w:sz w:val="20"/>
              </w:rPr>
            </w:pPr>
            <w:r>
              <w:rPr>
                <w:spacing w:val="-2"/>
                <w:w w:val="110"/>
                <w:sz w:val="20"/>
              </w:rPr>
              <w:t>Urapuntja</w:t>
            </w:r>
          </w:p>
        </w:tc>
        <w:tc>
          <w:tcPr>
            <w:tcW w:w="1194" w:type="dxa"/>
            <w:tcBorders>
              <w:left w:val="single" w:sz="4" w:space="0" w:color="000000"/>
            </w:tcBorders>
          </w:tcPr>
          <w:p w14:paraId="77FE3D23" w14:textId="77777777" w:rsidR="00811887" w:rsidRDefault="00811887" w:rsidP="00486E22">
            <w:pPr>
              <w:pStyle w:val="TableParagraph"/>
              <w:spacing w:before="2" w:line="207" w:lineRule="exact"/>
              <w:ind w:right="280"/>
              <w:jc w:val="right"/>
              <w:rPr>
                <w:sz w:val="20"/>
              </w:rPr>
            </w:pPr>
            <w:r>
              <w:rPr>
                <w:spacing w:val="-10"/>
                <w:w w:val="115"/>
                <w:sz w:val="20"/>
              </w:rPr>
              <w:t>1</w:t>
            </w:r>
          </w:p>
        </w:tc>
        <w:tc>
          <w:tcPr>
            <w:tcW w:w="1024" w:type="dxa"/>
          </w:tcPr>
          <w:p w14:paraId="6F7C6538" w14:textId="77777777" w:rsidR="00811887" w:rsidRDefault="00811887" w:rsidP="00486E22">
            <w:pPr>
              <w:pStyle w:val="TableParagraph"/>
              <w:spacing w:before="2" w:line="207" w:lineRule="exact"/>
              <w:ind w:right="281"/>
              <w:jc w:val="right"/>
              <w:rPr>
                <w:sz w:val="20"/>
              </w:rPr>
            </w:pPr>
            <w:r>
              <w:rPr>
                <w:spacing w:val="-10"/>
                <w:w w:val="115"/>
                <w:sz w:val="20"/>
              </w:rPr>
              <w:t>8</w:t>
            </w:r>
          </w:p>
        </w:tc>
        <w:tc>
          <w:tcPr>
            <w:tcW w:w="1026" w:type="dxa"/>
          </w:tcPr>
          <w:p w14:paraId="1243F8C7" w14:textId="77777777" w:rsidR="00811887" w:rsidRDefault="00811887" w:rsidP="00486E22">
            <w:pPr>
              <w:pStyle w:val="TableParagraph"/>
              <w:spacing w:before="2" w:line="207" w:lineRule="exact"/>
              <w:ind w:right="284"/>
              <w:jc w:val="right"/>
              <w:rPr>
                <w:sz w:val="20"/>
              </w:rPr>
            </w:pPr>
            <w:r>
              <w:rPr>
                <w:spacing w:val="-5"/>
                <w:w w:val="115"/>
                <w:sz w:val="20"/>
              </w:rPr>
              <w:t>24</w:t>
            </w:r>
          </w:p>
        </w:tc>
        <w:tc>
          <w:tcPr>
            <w:tcW w:w="1021" w:type="dxa"/>
          </w:tcPr>
          <w:p w14:paraId="54AB9F44" w14:textId="77777777" w:rsidR="00811887" w:rsidRDefault="00811887" w:rsidP="00486E22">
            <w:pPr>
              <w:pStyle w:val="TableParagraph"/>
              <w:spacing w:before="2" w:line="207" w:lineRule="exact"/>
              <w:ind w:right="282"/>
              <w:jc w:val="right"/>
              <w:rPr>
                <w:sz w:val="20"/>
              </w:rPr>
            </w:pPr>
            <w:r>
              <w:rPr>
                <w:spacing w:val="-5"/>
                <w:w w:val="115"/>
                <w:sz w:val="20"/>
              </w:rPr>
              <w:t>10</w:t>
            </w:r>
          </w:p>
        </w:tc>
        <w:tc>
          <w:tcPr>
            <w:tcW w:w="923" w:type="dxa"/>
          </w:tcPr>
          <w:p w14:paraId="5709DDA7" w14:textId="77777777" w:rsidR="00811887" w:rsidRDefault="00811887" w:rsidP="00486E22">
            <w:pPr>
              <w:pStyle w:val="TableParagraph"/>
              <w:spacing w:before="2" w:line="207" w:lineRule="exact"/>
              <w:ind w:right="183"/>
              <w:jc w:val="right"/>
              <w:rPr>
                <w:sz w:val="20"/>
              </w:rPr>
            </w:pPr>
            <w:r>
              <w:rPr>
                <w:spacing w:val="-10"/>
                <w:w w:val="115"/>
                <w:sz w:val="20"/>
              </w:rPr>
              <w:t>2</w:t>
            </w:r>
          </w:p>
        </w:tc>
        <w:tc>
          <w:tcPr>
            <w:tcW w:w="964" w:type="dxa"/>
          </w:tcPr>
          <w:p w14:paraId="3089235D" w14:textId="77777777" w:rsidR="00811887" w:rsidRDefault="00811887" w:rsidP="00486E22">
            <w:pPr>
              <w:pStyle w:val="TableParagraph"/>
              <w:spacing w:before="2" w:line="207" w:lineRule="exact"/>
              <w:ind w:right="114"/>
              <w:jc w:val="right"/>
              <w:rPr>
                <w:sz w:val="20"/>
              </w:rPr>
            </w:pPr>
            <w:r>
              <w:rPr>
                <w:spacing w:val="-5"/>
                <w:w w:val="115"/>
                <w:sz w:val="20"/>
              </w:rPr>
              <w:t>45</w:t>
            </w:r>
          </w:p>
        </w:tc>
      </w:tr>
      <w:tr w:rsidR="00811887" w14:paraId="316B4A2C" w14:textId="77777777" w:rsidTr="00486E22">
        <w:trPr>
          <w:trHeight w:val="230"/>
        </w:trPr>
        <w:tc>
          <w:tcPr>
            <w:tcW w:w="3674" w:type="dxa"/>
            <w:tcBorders>
              <w:right w:val="single" w:sz="4" w:space="0" w:color="000000"/>
            </w:tcBorders>
          </w:tcPr>
          <w:p w14:paraId="649B32E8" w14:textId="77777777" w:rsidR="00811887" w:rsidRDefault="00811887" w:rsidP="00486E22">
            <w:pPr>
              <w:pStyle w:val="TableParagraph"/>
              <w:spacing w:before="3" w:line="207" w:lineRule="exact"/>
              <w:ind w:left="105"/>
              <w:rPr>
                <w:sz w:val="20"/>
              </w:rPr>
            </w:pPr>
            <w:r>
              <w:rPr>
                <w:w w:val="110"/>
                <w:sz w:val="20"/>
              </w:rPr>
              <w:t>Maningrida</w:t>
            </w:r>
            <w:r>
              <w:rPr>
                <w:spacing w:val="-7"/>
                <w:w w:val="110"/>
                <w:sz w:val="20"/>
              </w:rPr>
              <w:t xml:space="preserve"> </w:t>
            </w:r>
            <w:r>
              <w:rPr>
                <w:w w:val="110"/>
                <w:sz w:val="20"/>
              </w:rPr>
              <w:t>and</w:t>
            </w:r>
            <w:r>
              <w:rPr>
                <w:spacing w:val="-5"/>
                <w:w w:val="110"/>
                <w:sz w:val="20"/>
              </w:rPr>
              <w:t xml:space="preserve"> </w:t>
            </w:r>
            <w:r>
              <w:rPr>
                <w:spacing w:val="-2"/>
                <w:w w:val="110"/>
                <w:sz w:val="20"/>
              </w:rPr>
              <w:t>Outstations</w:t>
            </w:r>
          </w:p>
        </w:tc>
        <w:tc>
          <w:tcPr>
            <w:tcW w:w="1194" w:type="dxa"/>
            <w:tcBorders>
              <w:left w:val="single" w:sz="4" w:space="0" w:color="000000"/>
            </w:tcBorders>
          </w:tcPr>
          <w:p w14:paraId="30FCEA83" w14:textId="77777777" w:rsidR="00811887" w:rsidRDefault="00811887" w:rsidP="00486E22">
            <w:pPr>
              <w:pStyle w:val="TableParagraph"/>
              <w:spacing w:before="3" w:line="207" w:lineRule="exact"/>
              <w:ind w:right="280"/>
              <w:jc w:val="right"/>
              <w:rPr>
                <w:sz w:val="20"/>
              </w:rPr>
            </w:pPr>
            <w:r>
              <w:rPr>
                <w:spacing w:val="-10"/>
                <w:w w:val="115"/>
                <w:sz w:val="20"/>
              </w:rPr>
              <w:t>6</w:t>
            </w:r>
          </w:p>
        </w:tc>
        <w:tc>
          <w:tcPr>
            <w:tcW w:w="1024" w:type="dxa"/>
          </w:tcPr>
          <w:p w14:paraId="71BD8392" w14:textId="77777777" w:rsidR="00811887" w:rsidRDefault="00811887" w:rsidP="00486E22">
            <w:pPr>
              <w:pStyle w:val="TableParagraph"/>
              <w:spacing w:before="3" w:line="207" w:lineRule="exact"/>
              <w:ind w:right="281"/>
              <w:jc w:val="right"/>
              <w:rPr>
                <w:sz w:val="20"/>
              </w:rPr>
            </w:pPr>
            <w:r>
              <w:rPr>
                <w:spacing w:val="-5"/>
                <w:w w:val="115"/>
                <w:sz w:val="20"/>
              </w:rPr>
              <w:t>41</w:t>
            </w:r>
          </w:p>
        </w:tc>
        <w:tc>
          <w:tcPr>
            <w:tcW w:w="1026" w:type="dxa"/>
          </w:tcPr>
          <w:p w14:paraId="0E6D6C08" w14:textId="77777777" w:rsidR="00811887" w:rsidRDefault="00811887" w:rsidP="00486E22">
            <w:pPr>
              <w:pStyle w:val="TableParagraph"/>
              <w:spacing w:before="3" w:line="207" w:lineRule="exact"/>
              <w:ind w:right="280"/>
              <w:jc w:val="right"/>
              <w:rPr>
                <w:sz w:val="20"/>
              </w:rPr>
            </w:pPr>
            <w:r>
              <w:rPr>
                <w:spacing w:val="-5"/>
                <w:w w:val="115"/>
                <w:sz w:val="20"/>
              </w:rPr>
              <w:t>120</w:t>
            </w:r>
          </w:p>
        </w:tc>
        <w:tc>
          <w:tcPr>
            <w:tcW w:w="1021" w:type="dxa"/>
          </w:tcPr>
          <w:p w14:paraId="16D62947" w14:textId="77777777" w:rsidR="00811887" w:rsidRDefault="00811887" w:rsidP="00486E22">
            <w:pPr>
              <w:pStyle w:val="TableParagraph"/>
              <w:spacing w:before="3" w:line="207" w:lineRule="exact"/>
              <w:ind w:right="282"/>
              <w:jc w:val="right"/>
              <w:rPr>
                <w:sz w:val="20"/>
              </w:rPr>
            </w:pPr>
            <w:r>
              <w:rPr>
                <w:spacing w:val="-5"/>
                <w:w w:val="115"/>
                <w:sz w:val="20"/>
              </w:rPr>
              <w:t>49</w:t>
            </w:r>
          </w:p>
        </w:tc>
        <w:tc>
          <w:tcPr>
            <w:tcW w:w="923" w:type="dxa"/>
          </w:tcPr>
          <w:p w14:paraId="30FA4F60" w14:textId="77777777" w:rsidR="00811887" w:rsidRDefault="00811887" w:rsidP="00486E22">
            <w:pPr>
              <w:pStyle w:val="TableParagraph"/>
              <w:spacing w:before="3" w:line="207" w:lineRule="exact"/>
              <w:ind w:right="183"/>
              <w:jc w:val="right"/>
              <w:rPr>
                <w:sz w:val="20"/>
              </w:rPr>
            </w:pPr>
            <w:r>
              <w:rPr>
                <w:spacing w:val="-10"/>
                <w:w w:val="115"/>
                <w:sz w:val="20"/>
              </w:rPr>
              <w:t>9</w:t>
            </w:r>
          </w:p>
        </w:tc>
        <w:tc>
          <w:tcPr>
            <w:tcW w:w="964" w:type="dxa"/>
          </w:tcPr>
          <w:p w14:paraId="0DC3F3C3" w14:textId="77777777" w:rsidR="00811887" w:rsidRDefault="00811887" w:rsidP="00486E22">
            <w:pPr>
              <w:pStyle w:val="TableParagraph"/>
              <w:spacing w:before="3" w:line="207" w:lineRule="exact"/>
              <w:ind w:right="109"/>
              <w:jc w:val="right"/>
              <w:rPr>
                <w:sz w:val="20"/>
              </w:rPr>
            </w:pPr>
            <w:r>
              <w:rPr>
                <w:spacing w:val="-5"/>
                <w:w w:val="115"/>
                <w:sz w:val="20"/>
              </w:rPr>
              <w:t>225</w:t>
            </w:r>
          </w:p>
        </w:tc>
      </w:tr>
      <w:tr w:rsidR="00811887" w14:paraId="3365B098" w14:textId="77777777" w:rsidTr="00486E22">
        <w:trPr>
          <w:trHeight w:val="230"/>
        </w:trPr>
        <w:tc>
          <w:tcPr>
            <w:tcW w:w="3674" w:type="dxa"/>
            <w:tcBorders>
              <w:right w:val="single" w:sz="4" w:space="0" w:color="000000"/>
            </w:tcBorders>
          </w:tcPr>
          <w:p w14:paraId="7C0934A6" w14:textId="77777777" w:rsidR="00811887" w:rsidRDefault="00811887" w:rsidP="00486E22">
            <w:pPr>
              <w:pStyle w:val="TableParagraph"/>
              <w:spacing w:before="3" w:line="207" w:lineRule="exact"/>
              <w:ind w:left="105"/>
              <w:rPr>
                <w:sz w:val="20"/>
              </w:rPr>
            </w:pPr>
            <w:r>
              <w:rPr>
                <w:w w:val="110"/>
                <w:sz w:val="20"/>
              </w:rPr>
              <w:t>Thamarrurr</w:t>
            </w:r>
            <w:r>
              <w:rPr>
                <w:spacing w:val="-4"/>
                <w:w w:val="110"/>
                <w:sz w:val="20"/>
              </w:rPr>
              <w:t xml:space="preserve"> </w:t>
            </w:r>
            <w:r>
              <w:rPr>
                <w:w w:val="110"/>
                <w:sz w:val="20"/>
              </w:rPr>
              <w:t>inc.</w:t>
            </w:r>
            <w:r>
              <w:rPr>
                <w:spacing w:val="-5"/>
                <w:w w:val="110"/>
                <w:sz w:val="20"/>
              </w:rPr>
              <w:t xml:space="preserve"> </w:t>
            </w:r>
            <w:r>
              <w:rPr>
                <w:spacing w:val="-2"/>
                <w:w w:val="110"/>
                <w:sz w:val="20"/>
              </w:rPr>
              <w:t>Wadeye</w:t>
            </w:r>
          </w:p>
        </w:tc>
        <w:tc>
          <w:tcPr>
            <w:tcW w:w="1194" w:type="dxa"/>
            <w:tcBorders>
              <w:left w:val="single" w:sz="4" w:space="0" w:color="000000"/>
            </w:tcBorders>
          </w:tcPr>
          <w:p w14:paraId="0835CD21" w14:textId="77777777" w:rsidR="00811887" w:rsidRDefault="00811887" w:rsidP="00486E22">
            <w:pPr>
              <w:pStyle w:val="TableParagraph"/>
              <w:spacing w:before="3" w:line="207" w:lineRule="exact"/>
              <w:ind w:right="280"/>
              <w:jc w:val="right"/>
              <w:rPr>
                <w:sz w:val="20"/>
              </w:rPr>
            </w:pPr>
            <w:r>
              <w:rPr>
                <w:spacing w:val="-10"/>
                <w:w w:val="115"/>
                <w:sz w:val="20"/>
              </w:rPr>
              <w:t>4</w:t>
            </w:r>
          </w:p>
        </w:tc>
        <w:tc>
          <w:tcPr>
            <w:tcW w:w="1024" w:type="dxa"/>
          </w:tcPr>
          <w:p w14:paraId="130B122E" w14:textId="77777777" w:rsidR="00811887" w:rsidRDefault="00811887" w:rsidP="00486E22">
            <w:pPr>
              <w:pStyle w:val="TableParagraph"/>
              <w:spacing w:before="3" w:line="207" w:lineRule="exact"/>
              <w:ind w:right="281"/>
              <w:jc w:val="right"/>
              <w:rPr>
                <w:sz w:val="20"/>
              </w:rPr>
            </w:pPr>
            <w:r>
              <w:rPr>
                <w:spacing w:val="-5"/>
                <w:w w:val="115"/>
                <w:sz w:val="20"/>
              </w:rPr>
              <w:t>27</w:t>
            </w:r>
          </w:p>
        </w:tc>
        <w:tc>
          <w:tcPr>
            <w:tcW w:w="1026" w:type="dxa"/>
          </w:tcPr>
          <w:p w14:paraId="2AC5221D" w14:textId="77777777" w:rsidR="00811887" w:rsidRDefault="00811887" w:rsidP="00486E22">
            <w:pPr>
              <w:pStyle w:val="TableParagraph"/>
              <w:spacing w:before="3" w:line="207" w:lineRule="exact"/>
              <w:ind w:right="284"/>
              <w:jc w:val="right"/>
              <w:rPr>
                <w:sz w:val="20"/>
              </w:rPr>
            </w:pPr>
            <w:r>
              <w:rPr>
                <w:spacing w:val="-5"/>
                <w:w w:val="115"/>
                <w:sz w:val="20"/>
              </w:rPr>
              <w:t>81</w:t>
            </w:r>
          </w:p>
        </w:tc>
        <w:tc>
          <w:tcPr>
            <w:tcW w:w="1021" w:type="dxa"/>
          </w:tcPr>
          <w:p w14:paraId="67BA7D3D" w14:textId="77777777" w:rsidR="00811887" w:rsidRDefault="00811887" w:rsidP="00486E22">
            <w:pPr>
              <w:pStyle w:val="TableParagraph"/>
              <w:spacing w:before="3" w:line="207" w:lineRule="exact"/>
              <w:ind w:right="282"/>
              <w:jc w:val="right"/>
              <w:rPr>
                <w:sz w:val="20"/>
              </w:rPr>
            </w:pPr>
            <w:r>
              <w:rPr>
                <w:spacing w:val="-5"/>
                <w:w w:val="115"/>
                <w:sz w:val="20"/>
              </w:rPr>
              <w:t>33</w:t>
            </w:r>
          </w:p>
        </w:tc>
        <w:tc>
          <w:tcPr>
            <w:tcW w:w="923" w:type="dxa"/>
          </w:tcPr>
          <w:p w14:paraId="78636AAB" w14:textId="77777777" w:rsidR="00811887" w:rsidRDefault="00811887" w:rsidP="00486E22">
            <w:pPr>
              <w:pStyle w:val="TableParagraph"/>
              <w:spacing w:before="3" w:line="207" w:lineRule="exact"/>
              <w:ind w:right="183"/>
              <w:jc w:val="right"/>
              <w:rPr>
                <w:sz w:val="20"/>
              </w:rPr>
            </w:pPr>
            <w:r>
              <w:rPr>
                <w:spacing w:val="-10"/>
                <w:w w:val="115"/>
                <w:sz w:val="20"/>
              </w:rPr>
              <w:t>6</w:t>
            </w:r>
          </w:p>
        </w:tc>
        <w:tc>
          <w:tcPr>
            <w:tcW w:w="964" w:type="dxa"/>
          </w:tcPr>
          <w:p w14:paraId="19001656" w14:textId="77777777" w:rsidR="00811887" w:rsidRDefault="00811887" w:rsidP="00486E22">
            <w:pPr>
              <w:pStyle w:val="TableParagraph"/>
              <w:spacing w:before="3" w:line="207" w:lineRule="exact"/>
              <w:ind w:right="109"/>
              <w:jc w:val="right"/>
              <w:rPr>
                <w:sz w:val="20"/>
              </w:rPr>
            </w:pPr>
            <w:r>
              <w:rPr>
                <w:spacing w:val="-5"/>
                <w:w w:val="115"/>
                <w:sz w:val="20"/>
              </w:rPr>
              <w:t>152</w:t>
            </w:r>
          </w:p>
        </w:tc>
      </w:tr>
      <w:tr w:rsidR="00811887" w14:paraId="595E78EF" w14:textId="77777777" w:rsidTr="00486E22">
        <w:trPr>
          <w:trHeight w:val="230"/>
        </w:trPr>
        <w:tc>
          <w:tcPr>
            <w:tcW w:w="3674" w:type="dxa"/>
            <w:tcBorders>
              <w:right w:val="single" w:sz="4" w:space="0" w:color="000000"/>
            </w:tcBorders>
          </w:tcPr>
          <w:p w14:paraId="5F347868" w14:textId="77777777" w:rsidR="00811887" w:rsidRDefault="00811887" w:rsidP="00486E22">
            <w:pPr>
              <w:pStyle w:val="TableParagraph"/>
              <w:spacing w:before="3" w:line="208" w:lineRule="exact"/>
              <w:ind w:left="105"/>
              <w:rPr>
                <w:sz w:val="20"/>
              </w:rPr>
            </w:pPr>
            <w:r>
              <w:rPr>
                <w:spacing w:val="-2"/>
                <w:w w:val="110"/>
                <w:sz w:val="20"/>
              </w:rPr>
              <w:t>North-West</w:t>
            </w:r>
            <w:r>
              <w:rPr>
                <w:spacing w:val="1"/>
                <w:w w:val="110"/>
                <w:sz w:val="20"/>
              </w:rPr>
              <w:t xml:space="preserve"> </w:t>
            </w:r>
            <w:r>
              <w:rPr>
                <w:spacing w:val="-2"/>
                <w:w w:val="110"/>
                <w:sz w:val="20"/>
              </w:rPr>
              <w:t>Arnhem</w:t>
            </w:r>
          </w:p>
        </w:tc>
        <w:tc>
          <w:tcPr>
            <w:tcW w:w="1194" w:type="dxa"/>
            <w:tcBorders>
              <w:left w:val="single" w:sz="4" w:space="0" w:color="000000"/>
            </w:tcBorders>
          </w:tcPr>
          <w:p w14:paraId="7AFC08AA" w14:textId="77777777" w:rsidR="00811887" w:rsidRDefault="00811887" w:rsidP="00486E22">
            <w:pPr>
              <w:pStyle w:val="TableParagraph"/>
              <w:spacing w:before="3" w:line="208" w:lineRule="exact"/>
              <w:ind w:right="280"/>
              <w:jc w:val="right"/>
              <w:rPr>
                <w:sz w:val="20"/>
              </w:rPr>
            </w:pPr>
            <w:r>
              <w:rPr>
                <w:spacing w:val="-10"/>
                <w:w w:val="115"/>
                <w:sz w:val="20"/>
              </w:rPr>
              <w:t>5</w:t>
            </w:r>
          </w:p>
        </w:tc>
        <w:tc>
          <w:tcPr>
            <w:tcW w:w="1024" w:type="dxa"/>
          </w:tcPr>
          <w:p w14:paraId="31E56EA0" w14:textId="77777777" w:rsidR="00811887" w:rsidRDefault="00811887" w:rsidP="00486E22">
            <w:pPr>
              <w:pStyle w:val="TableParagraph"/>
              <w:spacing w:before="3" w:line="208" w:lineRule="exact"/>
              <w:ind w:right="281"/>
              <w:jc w:val="right"/>
              <w:rPr>
                <w:sz w:val="20"/>
              </w:rPr>
            </w:pPr>
            <w:r>
              <w:rPr>
                <w:spacing w:val="-5"/>
                <w:w w:val="115"/>
                <w:sz w:val="20"/>
              </w:rPr>
              <w:t>30</w:t>
            </w:r>
          </w:p>
        </w:tc>
        <w:tc>
          <w:tcPr>
            <w:tcW w:w="1026" w:type="dxa"/>
          </w:tcPr>
          <w:p w14:paraId="49D1B62F" w14:textId="77777777" w:rsidR="00811887" w:rsidRDefault="00811887" w:rsidP="00486E22">
            <w:pPr>
              <w:pStyle w:val="TableParagraph"/>
              <w:spacing w:before="3" w:line="208" w:lineRule="exact"/>
              <w:ind w:right="284"/>
              <w:jc w:val="right"/>
              <w:rPr>
                <w:sz w:val="20"/>
              </w:rPr>
            </w:pPr>
            <w:r>
              <w:rPr>
                <w:spacing w:val="-5"/>
                <w:w w:val="115"/>
                <w:sz w:val="20"/>
              </w:rPr>
              <w:t>88</w:t>
            </w:r>
          </w:p>
        </w:tc>
        <w:tc>
          <w:tcPr>
            <w:tcW w:w="1021" w:type="dxa"/>
          </w:tcPr>
          <w:p w14:paraId="0D46FC8C" w14:textId="77777777" w:rsidR="00811887" w:rsidRDefault="00811887" w:rsidP="00486E22">
            <w:pPr>
              <w:pStyle w:val="TableParagraph"/>
              <w:spacing w:before="3" w:line="208" w:lineRule="exact"/>
              <w:ind w:right="282"/>
              <w:jc w:val="right"/>
              <w:rPr>
                <w:sz w:val="20"/>
              </w:rPr>
            </w:pPr>
            <w:r>
              <w:rPr>
                <w:spacing w:val="-5"/>
                <w:w w:val="115"/>
                <w:sz w:val="20"/>
              </w:rPr>
              <w:t>36</w:t>
            </w:r>
          </w:p>
        </w:tc>
        <w:tc>
          <w:tcPr>
            <w:tcW w:w="923" w:type="dxa"/>
          </w:tcPr>
          <w:p w14:paraId="775347AB" w14:textId="77777777" w:rsidR="00811887" w:rsidRDefault="00811887" w:rsidP="00486E22">
            <w:pPr>
              <w:pStyle w:val="TableParagraph"/>
              <w:spacing w:before="3" w:line="208" w:lineRule="exact"/>
              <w:ind w:right="183"/>
              <w:jc w:val="right"/>
              <w:rPr>
                <w:sz w:val="20"/>
              </w:rPr>
            </w:pPr>
            <w:r>
              <w:rPr>
                <w:spacing w:val="-10"/>
                <w:w w:val="115"/>
                <w:sz w:val="20"/>
              </w:rPr>
              <w:t>6</w:t>
            </w:r>
          </w:p>
        </w:tc>
        <w:tc>
          <w:tcPr>
            <w:tcW w:w="964" w:type="dxa"/>
          </w:tcPr>
          <w:p w14:paraId="50F16FE5" w14:textId="77777777" w:rsidR="00811887" w:rsidRDefault="00811887" w:rsidP="00486E22">
            <w:pPr>
              <w:pStyle w:val="TableParagraph"/>
              <w:spacing w:before="3" w:line="208" w:lineRule="exact"/>
              <w:ind w:right="109"/>
              <w:jc w:val="right"/>
              <w:rPr>
                <w:sz w:val="20"/>
              </w:rPr>
            </w:pPr>
            <w:r>
              <w:rPr>
                <w:spacing w:val="-5"/>
                <w:w w:val="115"/>
                <w:sz w:val="20"/>
              </w:rPr>
              <w:t>165</w:t>
            </w:r>
          </w:p>
        </w:tc>
      </w:tr>
      <w:tr w:rsidR="00811887" w14:paraId="2CEC9D13" w14:textId="77777777" w:rsidTr="00486E22">
        <w:trPr>
          <w:trHeight w:val="230"/>
        </w:trPr>
        <w:tc>
          <w:tcPr>
            <w:tcW w:w="3674" w:type="dxa"/>
            <w:tcBorders>
              <w:right w:val="single" w:sz="4" w:space="0" w:color="000000"/>
            </w:tcBorders>
          </w:tcPr>
          <w:p w14:paraId="18525360" w14:textId="77777777" w:rsidR="00811887" w:rsidRDefault="00811887" w:rsidP="00486E22">
            <w:pPr>
              <w:pStyle w:val="TableParagraph"/>
              <w:spacing w:before="3" w:line="207" w:lineRule="exact"/>
              <w:ind w:left="105"/>
              <w:rPr>
                <w:sz w:val="20"/>
              </w:rPr>
            </w:pPr>
            <w:r>
              <w:rPr>
                <w:spacing w:val="-2"/>
                <w:w w:val="110"/>
                <w:sz w:val="20"/>
              </w:rPr>
              <w:t>Yirrkala</w:t>
            </w:r>
          </w:p>
        </w:tc>
        <w:tc>
          <w:tcPr>
            <w:tcW w:w="1194" w:type="dxa"/>
            <w:tcBorders>
              <w:left w:val="single" w:sz="4" w:space="0" w:color="000000"/>
            </w:tcBorders>
          </w:tcPr>
          <w:p w14:paraId="29554897"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47CEA3F8" w14:textId="77777777" w:rsidR="00811887" w:rsidRDefault="00811887" w:rsidP="00486E22">
            <w:pPr>
              <w:pStyle w:val="TableParagraph"/>
              <w:spacing w:before="3" w:line="207" w:lineRule="exact"/>
              <w:ind w:right="281"/>
              <w:jc w:val="right"/>
              <w:rPr>
                <w:sz w:val="20"/>
              </w:rPr>
            </w:pPr>
            <w:r>
              <w:rPr>
                <w:spacing w:val="-10"/>
                <w:w w:val="115"/>
                <w:sz w:val="20"/>
              </w:rPr>
              <w:t>8</w:t>
            </w:r>
          </w:p>
        </w:tc>
        <w:tc>
          <w:tcPr>
            <w:tcW w:w="1026" w:type="dxa"/>
          </w:tcPr>
          <w:p w14:paraId="5D753623" w14:textId="77777777" w:rsidR="00811887" w:rsidRDefault="00811887" w:rsidP="00486E22">
            <w:pPr>
              <w:pStyle w:val="TableParagraph"/>
              <w:spacing w:before="3" w:line="207" w:lineRule="exact"/>
              <w:ind w:right="284"/>
              <w:jc w:val="right"/>
              <w:rPr>
                <w:sz w:val="20"/>
              </w:rPr>
            </w:pPr>
            <w:r>
              <w:rPr>
                <w:spacing w:val="-5"/>
                <w:w w:val="115"/>
                <w:sz w:val="20"/>
              </w:rPr>
              <w:t>22</w:t>
            </w:r>
          </w:p>
        </w:tc>
        <w:tc>
          <w:tcPr>
            <w:tcW w:w="1021" w:type="dxa"/>
          </w:tcPr>
          <w:p w14:paraId="74AABCC5" w14:textId="77777777" w:rsidR="00811887" w:rsidRDefault="00811887" w:rsidP="00486E22">
            <w:pPr>
              <w:pStyle w:val="TableParagraph"/>
              <w:spacing w:before="3" w:line="207" w:lineRule="exact"/>
              <w:ind w:right="283"/>
              <w:jc w:val="right"/>
              <w:rPr>
                <w:sz w:val="20"/>
              </w:rPr>
            </w:pPr>
            <w:r>
              <w:rPr>
                <w:spacing w:val="-10"/>
                <w:w w:val="115"/>
                <w:sz w:val="20"/>
              </w:rPr>
              <w:t>9</w:t>
            </w:r>
          </w:p>
        </w:tc>
        <w:tc>
          <w:tcPr>
            <w:tcW w:w="923" w:type="dxa"/>
          </w:tcPr>
          <w:p w14:paraId="5518CC86"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336B0D5E" w14:textId="77777777" w:rsidR="00811887" w:rsidRDefault="00811887" w:rsidP="00486E22">
            <w:pPr>
              <w:pStyle w:val="TableParagraph"/>
              <w:spacing w:before="3" w:line="207" w:lineRule="exact"/>
              <w:ind w:right="114"/>
              <w:jc w:val="right"/>
              <w:rPr>
                <w:sz w:val="20"/>
              </w:rPr>
            </w:pPr>
            <w:r>
              <w:rPr>
                <w:spacing w:val="-5"/>
                <w:w w:val="115"/>
                <w:sz w:val="20"/>
              </w:rPr>
              <w:t>42</w:t>
            </w:r>
          </w:p>
        </w:tc>
      </w:tr>
      <w:tr w:rsidR="00811887" w14:paraId="1EB8C9AF" w14:textId="77777777" w:rsidTr="00486E22">
        <w:trPr>
          <w:trHeight w:val="227"/>
        </w:trPr>
        <w:tc>
          <w:tcPr>
            <w:tcW w:w="3674" w:type="dxa"/>
            <w:tcBorders>
              <w:right w:val="single" w:sz="4" w:space="0" w:color="000000"/>
            </w:tcBorders>
          </w:tcPr>
          <w:p w14:paraId="0C52B826" w14:textId="77777777" w:rsidR="00811887" w:rsidRDefault="00811887" w:rsidP="00486E22">
            <w:pPr>
              <w:pStyle w:val="TableParagraph"/>
              <w:spacing w:before="3" w:line="205" w:lineRule="exact"/>
              <w:ind w:left="105"/>
              <w:rPr>
                <w:sz w:val="20"/>
              </w:rPr>
            </w:pPr>
            <w:r>
              <w:rPr>
                <w:spacing w:val="-2"/>
                <w:w w:val="110"/>
                <w:sz w:val="20"/>
              </w:rPr>
              <w:t>Ngukurr</w:t>
            </w:r>
          </w:p>
        </w:tc>
        <w:tc>
          <w:tcPr>
            <w:tcW w:w="1194" w:type="dxa"/>
            <w:tcBorders>
              <w:left w:val="single" w:sz="4" w:space="0" w:color="000000"/>
            </w:tcBorders>
          </w:tcPr>
          <w:p w14:paraId="5C6F3FE7" w14:textId="77777777" w:rsidR="00811887" w:rsidRDefault="00811887" w:rsidP="00486E22">
            <w:pPr>
              <w:pStyle w:val="TableParagraph"/>
              <w:spacing w:before="3" w:line="205" w:lineRule="exact"/>
              <w:ind w:right="280"/>
              <w:jc w:val="right"/>
              <w:rPr>
                <w:sz w:val="20"/>
              </w:rPr>
            </w:pPr>
            <w:r>
              <w:rPr>
                <w:spacing w:val="-10"/>
                <w:w w:val="115"/>
                <w:sz w:val="20"/>
              </w:rPr>
              <w:t>2</w:t>
            </w:r>
          </w:p>
        </w:tc>
        <w:tc>
          <w:tcPr>
            <w:tcW w:w="1024" w:type="dxa"/>
          </w:tcPr>
          <w:p w14:paraId="32F3604E" w14:textId="77777777" w:rsidR="00811887" w:rsidRDefault="00811887" w:rsidP="00486E22">
            <w:pPr>
              <w:pStyle w:val="TableParagraph"/>
              <w:spacing w:before="3" w:line="205" w:lineRule="exact"/>
              <w:ind w:right="281"/>
              <w:jc w:val="right"/>
              <w:rPr>
                <w:sz w:val="20"/>
              </w:rPr>
            </w:pPr>
            <w:r>
              <w:rPr>
                <w:spacing w:val="-5"/>
                <w:w w:val="115"/>
                <w:sz w:val="20"/>
              </w:rPr>
              <w:t>15</w:t>
            </w:r>
          </w:p>
        </w:tc>
        <w:tc>
          <w:tcPr>
            <w:tcW w:w="1026" w:type="dxa"/>
          </w:tcPr>
          <w:p w14:paraId="3DC24C94" w14:textId="77777777" w:rsidR="00811887" w:rsidRDefault="00811887" w:rsidP="00486E22">
            <w:pPr>
              <w:pStyle w:val="TableParagraph"/>
              <w:spacing w:before="3" w:line="205" w:lineRule="exact"/>
              <w:ind w:right="284"/>
              <w:jc w:val="right"/>
              <w:rPr>
                <w:sz w:val="20"/>
              </w:rPr>
            </w:pPr>
            <w:r>
              <w:rPr>
                <w:spacing w:val="-5"/>
                <w:w w:val="115"/>
                <w:sz w:val="20"/>
              </w:rPr>
              <w:t>43</w:t>
            </w:r>
          </w:p>
        </w:tc>
        <w:tc>
          <w:tcPr>
            <w:tcW w:w="1021" w:type="dxa"/>
          </w:tcPr>
          <w:p w14:paraId="6200A51A" w14:textId="77777777" w:rsidR="00811887" w:rsidRDefault="00811887" w:rsidP="00486E22">
            <w:pPr>
              <w:pStyle w:val="TableParagraph"/>
              <w:spacing w:before="3" w:line="205" w:lineRule="exact"/>
              <w:ind w:right="282"/>
              <w:jc w:val="right"/>
              <w:rPr>
                <w:sz w:val="20"/>
              </w:rPr>
            </w:pPr>
            <w:r>
              <w:rPr>
                <w:spacing w:val="-5"/>
                <w:w w:val="115"/>
                <w:sz w:val="20"/>
              </w:rPr>
              <w:t>18</w:t>
            </w:r>
          </w:p>
        </w:tc>
        <w:tc>
          <w:tcPr>
            <w:tcW w:w="923" w:type="dxa"/>
          </w:tcPr>
          <w:p w14:paraId="4DCAC065" w14:textId="77777777" w:rsidR="00811887" w:rsidRDefault="00811887" w:rsidP="00486E22">
            <w:pPr>
              <w:pStyle w:val="TableParagraph"/>
              <w:spacing w:before="3" w:line="205" w:lineRule="exact"/>
              <w:ind w:right="183"/>
              <w:jc w:val="right"/>
              <w:rPr>
                <w:sz w:val="20"/>
              </w:rPr>
            </w:pPr>
            <w:r>
              <w:rPr>
                <w:spacing w:val="-10"/>
                <w:w w:val="115"/>
                <w:sz w:val="20"/>
              </w:rPr>
              <w:t>3</w:t>
            </w:r>
          </w:p>
        </w:tc>
        <w:tc>
          <w:tcPr>
            <w:tcW w:w="964" w:type="dxa"/>
          </w:tcPr>
          <w:p w14:paraId="7643B662" w14:textId="77777777" w:rsidR="00811887" w:rsidRDefault="00811887" w:rsidP="00486E22">
            <w:pPr>
              <w:pStyle w:val="TableParagraph"/>
              <w:spacing w:before="3" w:line="205" w:lineRule="exact"/>
              <w:ind w:right="114"/>
              <w:jc w:val="right"/>
              <w:rPr>
                <w:sz w:val="20"/>
              </w:rPr>
            </w:pPr>
            <w:r>
              <w:rPr>
                <w:spacing w:val="-5"/>
                <w:w w:val="115"/>
                <w:sz w:val="20"/>
              </w:rPr>
              <w:t>81</w:t>
            </w:r>
          </w:p>
        </w:tc>
      </w:tr>
      <w:tr w:rsidR="00811887" w14:paraId="7092A42C" w14:textId="77777777" w:rsidTr="00486E22">
        <w:trPr>
          <w:trHeight w:val="228"/>
        </w:trPr>
        <w:tc>
          <w:tcPr>
            <w:tcW w:w="3674" w:type="dxa"/>
            <w:tcBorders>
              <w:right w:val="single" w:sz="4" w:space="0" w:color="000000"/>
            </w:tcBorders>
          </w:tcPr>
          <w:p w14:paraId="321E109F" w14:textId="77777777" w:rsidR="00811887" w:rsidRDefault="00811887" w:rsidP="00486E22">
            <w:pPr>
              <w:pStyle w:val="TableParagraph"/>
              <w:spacing w:line="207" w:lineRule="exact"/>
              <w:ind w:left="105"/>
              <w:rPr>
                <w:sz w:val="20"/>
              </w:rPr>
            </w:pPr>
            <w:r>
              <w:rPr>
                <w:spacing w:val="-2"/>
                <w:w w:val="110"/>
                <w:sz w:val="20"/>
              </w:rPr>
              <w:t>Lajamanu</w:t>
            </w:r>
          </w:p>
        </w:tc>
        <w:tc>
          <w:tcPr>
            <w:tcW w:w="1194" w:type="dxa"/>
            <w:tcBorders>
              <w:left w:val="single" w:sz="4" w:space="0" w:color="000000"/>
            </w:tcBorders>
          </w:tcPr>
          <w:p w14:paraId="467079A1" w14:textId="77777777" w:rsidR="00811887" w:rsidRDefault="00811887" w:rsidP="00486E22">
            <w:pPr>
              <w:pStyle w:val="TableParagraph"/>
              <w:spacing w:line="207" w:lineRule="exact"/>
              <w:ind w:right="280"/>
              <w:jc w:val="right"/>
              <w:rPr>
                <w:sz w:val="20"/>
              </w:rPr>
            </w:pPr>
            <w:r>
              <w:rPr>
                <w:spacing w:val="-10"/>
                <w:w w:val="115"/>
                <w:sz w:val="20"/>
              </w:rPr>
              <w:t>1</w:t>
            </w:r>
          </w:p>
        </w:tc>
        <w:tc>
          <w:tcPr>
            <w:tcW w:w="1024" w:type="dxa"/>
          </w:tcPr>
          <w:p w14:paraId="63F6F578" w14:textId="77777777" w:rsidR="00811887" w:rsidRDefault="00811887" w:rsidP="00486E22">
            <w:pPr>
              <w:pStyle w:val="TableParagraph"/>
              <w:spacing w:line="207" w:lineRule="exact"/>
              <w:ind w:right="281"/>
              <w:jc w:val="right"/>
              <w:rPr>
                <w:sz w:val="20"/>
              </w:rPr>
            </w:pPr>
            <w:r>
              <w:rPr>
                <w:spacing w:val="-10"/>
                <w:w w:val="115"/>
                <w:sz w:val="20"/>
              </w:rPr>
              <w:t>9</w:t>
            </w:r>
          </w:p>
        </w:tc>
        <w:tc>
          <w:tcPr>
            <w:tcW w:w="1026" w:type="dxa"/>
          </w:tcPr>
          <w:p w14:paraId="1433F096" w14:textId="77777777" w:rsidR="00811887" w:rsidRDefault="00811887" w:rsidP="00486E22">
            <w:pPr>
              <w:pStyle w:val="TableParagraph"/>
              <w:spacing w:line="207" w:lineRule="exact"/>
              <w:ind w:right="284"/>
              <w:jc w:val="right"/>
              <w:rPr>
                <w:sz w:val="20"/>
              </w:rPr>
            </w:pPr>
            <w:r>
              <w:rPr>
                <w:spacing w:val="-5"/>
                <w:w w:val="115"/>
                <w:sz w:val="20"/>
              </w:rPr>
              <w:t>26</w:t>
            </w:r>
          </w:p>
        </w:tc>
        <w:tc>
          <w:tcPr>
            <w:tcW w:w="1021" w:type="dxa"/>
          </w:tcPr>
          <w:p w14:paraId="27A164DD" w14:textId="77777777" w:rsidR="00811887" w:rsidRDefault="00811887" w:rsidP="00486E22">
            <w:pPr>
              <w:pStyle w:val="TableParagraph"/>
              <w:spacing w:line="207" w:lineRule="exact"/>
              <w:ind w:right="282"/>
              <w:jc w:val="right"/>
              <w:rPr>
                <w:sz w:val="20"/>
              </w:rPr>
            </w:pPr>
            <w:r>
              <w:rPr>
                <w:spacing w:val="-5"/>
                <w:w w:val="115"/>
                <w:sz w:val="20"/>
              </w:rPr>
              <w:t>10</w:t>
            </w:r>
          </w:p>
        </w:tc>
        <w:tc>
          <w:tcPr>
            <w:tcW w:w="923" w:type="dxa"/>
          </w:tcPr>
          <w:p w14:paraId="75A738DD" w14:textId="77777777" w:rsidR="00811887" w:rsidRDefault="00811887" w:rsidP="00486E22">
            <w:pPr>
              <w:pStyle w:val="TableParagraph"/>
              <w:spacing w:line="207" w:lineRule="exact"/>
              <w:ind w:right="183"/>
              <w:jc w:val="right"/>
              <w:rPr>
                <w:sz w:val="20"/>
              </w:rPr>
            </w:pPr>
            <w:r>
              <w:rPr>
                <w:spacing w:val="-10"/>
                <w:w w:val="115"/>
                <w:sz w:val="20"/>
              </w:rPr>
              <w:t>2</w:t>
            </w:r>
          </w:p>
        </w:tc>
        <w:tc>
          <w:tcPr>
            <w:tcW w:w="964" w:type="dxa"/>
          </w:tcPr>
          <w:p w14:paraId="2B3D7A89" w14:textId="77777777" w:rsidR="00811887" w:rsidRDefault="00811887" w:rsidP="00486E22">
            <w:pPr>
              <w:pStyle w:val="TableParagraph"/>
              <w:spacing w:line="207" w:lineRule="exact"/>
              <w:ind w:right="114"/>
              <w:jc w:val="right"/>
              <w:rPr>
                <w:sz w:val="20"/>
              </w:rPr>
            </w:pPr>
            <w:r>
              <w:rPr>
                <w:spacing w:val="-5"/>
                <w:w w:val="115"/>
                <w:sz w:val="20"/>
              </w:rPr>
              <w:t>48</w:t>
            </w:r>
          </w:p>
        </w:tc>
      </w:tr>
      <w:tr w:rsidR="00811887" w14:paraId="3C546F55" w14:textId="77777777" w:rsidTr="00486E22">
        <w:trPr>
          <w:trHeight w:val="230"/>
        </w:trPr>
        <w:tc>
          <w:tcPr>
            <w:tcW w:w="3674" w:type="dxa"/>
            <w:tcBorders>
              <w:right w:val="single" w:sz="4" w:space="0" w:color="000000"/>
            </w:tcBorders>
          </w:tcPr>
          <w:p w14:paraId="44B113FC" w14:textId="77777777" w:rsidR="00811887" w:rsidRDefault="00811887" w:rsidP="00486E22">
            <w:pPr>
              <w:pStyle w:val="TableParagraph"/>
              <w:spacing w:before="3" w:line="207" w:lineRule="exact"/>
              <w:ind w:left="105"/>
              <w:rPr>
                <w:sz w:val="20"/>
              </w:rPr>
            </w:pPr>
            <w:r>
              <w:rPr>
                <w:spacing w:val="-4"/>
                <w:w w:val="105"/>
                <w:sz w:val="20"/>
              </w:rPr>
              <w:t>Gulf</w:t>
            </w:r>
          </w:p>
        </w:tc>
        <w:tc>
          <w:tcPr>
            <w:tcW w:w="1194" w:type="dxa"/>
            <w:tcBorders>
              <w:left w:val="single" w:sz="4" w:space="0" w:color="000000"/>
            </w:tcBorders>
          </w:tcPr>
          <w:p w14:paraId="585888E1" w14:textId="77777777" w:rsidR="00811887" w:rsidRDefault="00811887" w:rsidP="00486E22">
            <w:pPr>
              <w:pStyle w:val="TableParagraph"/>
              <w:spacing w:before="3" w:line="207" w:lineRule="exact"/>
              <w:ind w:right="280"/>
              <w:jc w:val="right"/>
              <w:rPr>
                <w:sz w:val="20"/>
              </w:rPr>
            </w:pPr>
            <w:r>
              <w:rPr>
                <w:spacing w:val="-10"/>
                <w:w w:val="115"/>
                <w:sz w:val="20"/>
              </w:rPr>
              <w:t>2</w:t>
            </w:r>
          </w:p>
        </w:tc>
        <w:tc>
          <w:tcPr>
            <w:tcW w:w="1024" w:type="dxa"/>
          </w:tcPr>
          <w:p w14:paraId="578813E0" w14:textId="77777777" w:rsidR="00811887" w:rsidRDefault="00811887" w:rsidP="00486E22">
            <w:pPr>
              <w:pStyle w:val="TableParagraph"/>
              <w:spacing w:before="3" w:line="207" w:lineRule="exact"/>
              <w:ind w:right="281"/>
              <w:jc w:val="right"/>
              <w:rPr>
                <w:sz w:val="20"/>
              </w:rPr>
            </w:pPr>
            <w:r>
              <w:rPr>
                <w:spacing w:val="-5"/>
                <w:w w:val="115"/>
                <w:sz w:val="20"/>
              </w:rPr>
              <w:t>14</w:t>
            </w:r>
          </w:p>
        </w:tc>
        <w:tc>
          <w:tcPr>
            <w:tcW w:w="1026" w:type="dxa"/>
          </w:tcPr>
          <w:p w14:paraId="1A6F670C" w14:textId="77777777" w:rsidR="00811887" w:rsidRDefault="00811887" w:rsidP="00486E22">
            <w:pPr>
              <w:pStyle w:val="TableParagraph"/>
              <w:spacing w:before="3" w:line="207" w:lineRule="exact"/>
              <w:ind w:right="284"/>
              <w:jc w:val="right"/>
              <w:rPr>
                <w:sz w:val="20"/>
              </w:rPr>
            </w:pPr>
            <w:r>
              <w:rPr>
                <w:spacing w:val="-5"/>
                <w:w w:val="115"/>
                <w:sz w:val="20"/>
              </w:rPr>
              <w:t>42</w:t>
            </w:r>
          </w:p>
        </w:tc>
        <w:tc>
          <w:tcPr>
            <w:tcW w:w="1021" w:type="dxa"/>
          </w:tcPr>
          <w:p w14:paraId="3ED0F5B3" w14:textId="77777777" w:rsidR="00811887" w:rsidRDefault="00811887" w:rsidP="00486E22">
            <w:pPr>
              <w:pStyle w:val="TableParagraph"/>
              <w:spacing w:before="3" w:line="207" w:lineRule="exact"/>
              <w:ind w:right="282"/>
              <w:jc w:val="right"/>
              <w:rPr>
                <w:sz w:val="20"/>
              </w:rPr>
            </w:pPr>
            <w:r>
              <w:rPr>
                <w:spacing w:val="-5"/>
                <w:w w:val="115"/>
                <w:sz w:val="20"/>
              </w:rPr>
              <w:t>17</w:t>
            </w:r>
          </w:p>
        </w:tc>
        <w:tc>
          <w:tcPr>
            <w:tcW w:w="923" w:type="dxa"/>
          </w:tcPr>
          <w:p w14:paraId="716EB2A9" w14:textId="77777777" w:rsidR="00811887" w:rsidRDefault="00811887" w:rsidP="00486E22">
            <w:pPr>
              <w:pStyle w:val="TableParagraph"/>
              <w:spacing w:before="3" w:line="207" w:lineRule="exact"/>
              <w:ind w:right="183"/>
              <w:jc w:val="right"/>
              <w:rPr>
                <w:sz w:val="20"/>
              </w:rPr>
            </w:pPr>
            <w:r>
              <w:rPr>
                <w:spacing w:val="-10"/>
                <w:w w:val="115"/>
                <w:sz w:val="20"/>
              </w:rPr>
              <w:t>3</w:t>
            </w:r>
          </w:p>
        </w:tc>
        <w:tc>
          <w:tcPr>
            <w:tcW w:w="964" w:type="dxa"/>
          </w:tcPr>
          <w:p w14:paraId="3EC8E70B" w14:textId="77777777" w:rsidR="00811887" w:rsidRDefault="00811887" w:rsidP="00486E22">
            <w:pPr>
              <w:pStyle w:val="TableParagraph"/>
              <w:spacing w:before="3" w:line="207" w:lineRule="exact"/>
              <w:ind w:right="114"/>
              <w:jc w:val="right"/>
              <w:rPr>
                <w:sz w:val="20"/>
              </w:rPr>
            </w:pPr>
            <w:r>
              <w:rPr>
                <w:spacing w:val="-5"/>
                <w:w w:val="115"/>
                <w:sz w:val="20"/>
              </w:rPr>
              <w:t>79</w:t>
            </w:r>
          </w:p>
        </w:tc>
      </w:tr>
      <w:tr w:rsidR="00811887" w14:paraId="5D7260E1" w14:textId="77777777" w:rsidTr="00486E22">
        <w:trPr>
          <w:trHeight w:val="230"/>
        </w:trPr>
        <w:tc>
          <w:tcPr>
            <w:tcW w:w="3674" w:type="dxa"/>
            <w:tcBorders>
              <w:right w:val="single" w:sz="4" w:space="0" w:color="000000"/>
            </w:tcBorders>
          </w:tcPr>
          <w:p w14:paraId="0E3FDDA8" w14:textId="77777777" w:rsidR="00811887" w:rsidRDefault="00811887" w:rsidP="00486E22">
            <w:pPr>
              <w:pStyle w:val="TableParagraph"/>
              <w:spacing w:before="3" w:line="207" w:lineRule="exact"/>
              <w:ind w:left="105"/>
              <w:rPr>
                <w:sz w:val="20"/>
              </w:rPr>
            </w:pPr>
            <w:r>
              <w:rPr>
                <w:w w:val="110"/>
                <w:sz w:val="20"/>
              </w:rPr>
              <w:t>Elsey</w:t>
            </w:r>
            <w:r>
              <w:rPr>
                <w:spacing w:val="-6"/>
                <w:w w:val="110"/>
                <w:sz w:val="20"/>
              </w:rPr>
              <w:t xml:space="preserve"> </w:t>
            </w:r>
            <w:r>
              <w:rPr>
                <w:w w:val="110"/>
                <w:sz w:val="20"/>
              </w:rPr>
              <w:t>-</w:t>
            </w:r>
            <w:r>
              <w:rPr>
                <w:spacing w:val="3"/>
                <w:w w:val="110"/>
                <w:sz w:val="20"/>
              </w:rPr>
              <w:t xml:space="preserve"> </w:t>
            </w:r>
            <w:r>
              <w:rPr>
                <w:spacing w:val="-2"/>
                <w:w w:val="110"/>
                <w:sz w:val="20"/>
              </w:rPr>
              <w:t>Roper</w:t>
            </w:r>
          </w:p>
        </w:tc>
        <w:tc>
          <w:tcPr>
            <w:tcW w:w="1194" w:type="dxa"/>
            <w:tcBorders>
              <w:left w:val="single" w:sz="4" w:space="0" w:color="000000"/>
            </w:tcBorders>
          </w:tcPr>
          <w:p w14:paraId="43273E56" w14:textId="77777777" w:rsidR="00811887" w:rsidRDefault="00811887" w:rsidP="00486E22">
            <w:pPr>
              <w:pStyle w:val="TableParagraph"/>
              <w:spacing w:before="3" w:line="207" w:lineRule="exact"/>
              <w:ind w:right="280"/>
              <w:jc w:val="right"/>
              <w:rPr>
                <w:sz w:val="20"/>
              </w:rPr>
            </w:pPr>
            <w:r>
              <w:rPr>
                <w:spacing w:val="-10"/>
                <w:w w:val="115"/>
                <w:sz w:val="20"/>
              </w:rPr>
              <w:t>4</w:t>
            </w:r>
          </w:p>
        </w:tc>
        <w:tc>
          <w:tcPr>
            <w:tcW w:w="1024" w:type="dxa"/>
          </w:tcPr>
          <w:p w14:paraId="538F4DF2" w14:textId="77777777" w:rsidR="00811887" w:rsidRDefault="00811887" w:rsidP="00486E22">
            <w:pPr>
              <w:pStyle w:val="TableParagraph"/>
              <w:spacing w:before="3" w:line="207" w:lineRule="exact"/>
              <w:ind w:right="281"/>
              <w:jc w:val="right"/>
              <w:rPr>
                <w:sz w:val="20"/>
              </w:rPr>
            </w:pPr>
            <w:r>
              <w:rPr>
                <w:spacing w:val="-5"/>
                <w:w w:val="115"/>
                <w:sz w:val="20"/>
              </w:rPr>
              <w:t>24</w:t>
            </w:r>
          </w:p>
        </w:tc>
        <w:tc>
          <w:tcPr>
            <w:tcW w:w="1026" w:type="dxa"/>
          </w:tcPr>
          <w:p w14:paraId="3BAE1B8D" w14:textId="77777777" w:rsidR="00811887" w:rsidRDefault="00811887" w:rsidP="00486E22">
            <w:pPr>
              <w:pStyle w:val="TableParagraph"/>
              <w:spacing w:before="3" w:line="207" w:lineRule="exact"/>
              <w:ind w:right="284"/>
              <w:jc w:val="right"/>
              <w:rPr>
                <w:sz w:val="20"/>
              </w:rPr>
            </w:pPr>
            <w:r>
              <w:rPr>
                <w:spacing w:val="-5"/>
                <w:w w:val="115"/>
                <w:sz w:val="20"/>
              </w:rPr>
              <w:t>70</w:t>
            </w:r>
          </w:p>
        </w:tc>
        <w:tc>
          <w:tcPr>
            <w:tcW w:w="1021" w:type="dxa"/>
          </w:tcPr>
          <w:p w14:paraId="2163B383" w14:textId="77777777" w:rsidR="00811887" w:rsidRDefault="00811887" w:rsidP="00486E22">
            <w:pPr>
              <w:pStyle w:val="TableParagraph"/>
              <w:spacing w:before="3" w:line="207" w:lineRule="exact"/>
              <w:ind w:right="282"/>
              <w:jc w:val="right"/>
              <w:rPr>
                <w:sz w:val="20"/>
              </w:rPr>
            </w:pPr>
            <w:r>
              <w:rPr>
                <w:spacing w:val="-5"/>
                <w:w w:val="115"/>
                <w:sz w:val="20"/>
              </w:rPr>
              <w:t>28</w:t>
            </w:r>
          </w:p>
        </w:tc>
        <w:tc>
          <w:tcPr>
            <w:tcW w:w="923" w:type="dxa"/>
          </w:tcPr>
          <w:p w14:paraId="08EA606A" w14:textId="77777777" w:rsidR="00811887" w:rsidRDefault="00811887" w:rsidP="00486E22">
            <w:pPr>
              <w:pStyle w:val="TableParagraph"/>
              <w:spacing w:before="3" w:line="207" w:lineRule="exact"/>
              <w:ind w:right="183"/>
              <w:jc w:val="right"/>
              <w:rPr>
                <w:sz w:val="20"/>
              </w:rPr>
            </w:pPr>
            <w:r>
              <w:rPr>
                <w:spacing w:val="-10"/>
                <w:w w:val="115"/>
                <w:sz w:val="20"/>
              </w:rPr>
              <w:t>5</w:t>
            </w:r>
          </w:p>
        </w:tc>
        <w:tc>
          <w:tcPr>
            <w:tcW w:w="964" w:type="dxa"/>
          </w:tcPr>
          <w:p w14:paraId="22818259" w14:textId="77777777" w:rsidR="00811887" w:rsidRDefault="00811887" w:rsidP="00486E22">
            <w:pPr>
              <w:pStyle w:val="TableParagraph"/>
              <w:spacing w:before="3" w:line="207" w:lineRule="exact"/>
              <w:ind w:right="109"/>
              <w:jc w:val="right"/>
              <w:rPr>
                <w:sz w:val="20"/>
              </w:rPr>
            </w:pPr>
            <w:r>
              <w:rPr>
                <w:spacing w:val="-5"/>
                <w:w w:val="115"/>
                <w:sz w:val="20"/>
              </w:rPr>
              <w:t>130</w:t>
            </w:r>
          </w:p>
        </w:tc>
      </w:tr>
      <w:tr w:rsidR="00811887" w14:paraId="2CE15B2B" w14:textId="77777777" w:rsidTr="00486E22">
        <w:trPr>
          <w:trHeight w:val="230"/>
        </w:trPr>
        <w:tc>
          <w:tcPr>
            <w:tcW w:w="3674" w:type="dxa"/>
            <w:tcBorders>
              <w:right w:val="single" w:sz="4" w:space="0" w:color="000000"/>
            </w:tcBorders>
          </w:tcPr>
          <w:p w14:paraId="07FB7BB2" w14:textId="77777777" w:rsidR="00811887" w:rsidRDefault="00811887" w:rsidP="00486E22">
            <w:pPr>
              <w:pStyle w:val="TableParagraph"/>
              <w:spacing w:before="3" w:line="207" w:lineRule="exact"/>
              <w:ind w:left="105"/>
              <w:rPr>
                <w:sz w:val="20"/>
              </w:rPr>
            </w:pPr>
            <w:r>
              <w:rPr>
                <w:sz w:val="20"/>
              </w:rPr>
              <w:t>Ampilatwatja</w:t>
            </w:r>
            <w:r>
              <w:rPr>
                <w:spacing w:val="49"/>
                <w:sz w:val="20"/>
              </w:rPr>
              <w:t xml:space="preserve"> </w:t>
            </w:r>
            <w:r>
              <w:rPr>
                <w:sz w:val="20"/>
              </w:rPr>
              <w:t>and</w:t>
            </w:r>
            <w:r>
              <w:rPr>
                <w:spacing w:val="51"/>
                <w:sz w:val="20"/>
              </w:rPr>
              <w:t xml:space="preserve"> </w:t>
            </w:r>
            <w:r>
              <w:rPr>
                <w:spacing w:val="-2"/>
                <w:sz w:val="20"/>
              </w:rPr>
              <w:t>Outstations</w:t>
            </w:r>
          </w:p>
        </w:tc>
        <w:tc>
          <w:tcPr>
            <w:tcW w:w="1194" w:type="dxa"/>
            <w:tcBorders>
              <w:left w:val="single" w:sz="4" w:space="0" w:color="000000"/>
            </w:tcBorders>
          </w:tcPr>
          <w:p w14:paraId="55C51AFA"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05A8D552" w14:textId="77777777" w:rsidR="00811887" w:rsidRDefault="00811887" w:rsidP="00486E22">
            <w:pPr>
              <w:pStyle w:val="TableParagraph"/>
              <w:spacing w:before="3" w:line="207" w:lineRule="exact"/>
              <w:ind w:right="281"/>
              <w:jc w:val="right"/>
              <w:rPr>
                <w:sz w:val="20"/>
              </w:rPr>
            </w:pPr>
            <w:r>
              <w:rPr>
                <w:spacing w:val="-10"/>
                <w:w w:val="115"/>
                <w:sz w:val="20"/>
              </w:rPr>
              <w:t>6</w:t>
            </w:r>
          </w:p>
        </w:tc>
        <w:tc>
          <w:tcPr>
            <w:tcW w:w="1026" w:type="dxa"/>
          </w:tcPr>
          <w:p w14:paraId="390C5EDD" w14:textId="77777777" w:rsidR="00811887" w:rsidRDefault="00811887" w:rsidP="00486E22">
            <w:pPr>
              <w:pStyle w:val="TableParagraph"/>
              <w:spacing w:before="3" w:line="207" w:lineRule="exact"/>
              <w:ind w:right="284"/>
              <w:jc w:val="right"/>
              <w:rPr>
                <w:sz w:val="20"/>
              </w:rPr>
            </w:pPr>
            <w:r>
              <w:rPr>
                <w:spacing w:val="-5"/>
                <w:w w:val="115"/>
                <w:sz w:val="20"/>
              </w:rPr>
              <w:t>17</w:t>
            </w:r>
          </w:p>
        </w:tc>
        <w:tc>
          <w:tcPr>
            <w:tcW w:w="1021" w:type="dxa"/>
          </w:tcPr>
          <w:p w14:paraId="2AA02758" w14:textId="77777777" w:rsidR="00811887" w:rsidRDefault="00811887" w:rsidP="00486E22">
            <w:pPr>
              <w:pStyle w:val="TableParagraph"/>
              <w:spacing w:before="3" w:line="207" w:lineRule="exact"/>
              <w:ind w:right="283"/>
              <w:jc w:val="right"/>
              <w:rPr>
                <w:sz w:val="20"/>
              </w:rPr>
            </w:pPr>
            <w:r>
              <w:rPr>
                <w:spacing w:val="-10"/>
                <w:w w:val="115"/>
                <w:sz w:val="20"/>
              </w:rPr>
              <w:t>7</w:t>
            </w:r>
          </w:p>
        </w:tc>
        <w:tc>
          <w:tcPr>
            <w:tcW w:w="923" w:type="dxa"/>
          </w:tcPr>
          <w:p w14:paraId="5D121363"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197EB48E" w14:textId="77777777" w:rsidR="00811887" w:rsidRDefault="00811887" w:rsidP="00486E22">
            <w:pPr>
              <w:pStyle w:val="TableParagraph"/>
              <w:spacing w:before="3" w:line="207" w:lineRule="exact"/>
              <w:ind w:right="114"/>
              <w:jc w:val="right"/>
              <w:rPr>
                <w:sz w:val="20"/>
              </w:rPr>
            </w:pPr>
            <w:r>
              <w:rPr>
                <w:spacing w:val="-5"/>
                <w:w w:val="115"/>
                <w:sz w:val="20"/>
              </w:rPr>
              <w:t>32</w:t>
            </w:r>
          </w:p>
        </w:tc>
      </w:tr>
      <w:tr w:rsidR="00811887" w14:paraId="5D20D84C" w14:textId="77777777" w:rsidTr="00486E22">
        <w:trPr>
          <w:trHeight w:val="230"/>
        </w:trPr>
        <w:tc>
          <w:tcPr>
            <w:tcW w:w="3674" w:type="dxa"/>
            <w:tcBorders>
              <w:right w:val="single" w:sz="4" w:space="0" w:color="000000"/>
            </w:tcBorders>
          </w:tcPr>
          <w:p w14:paraId="5C734135" w14:textId="77777777" w:rsidR="00811887" w:rsidRDefault="00811887" w:rsidP="00486E22">
            <w:pPr>
              <w:pStyle w:val="TableParagraph"/>
              <w:spacing w:before="3" w:line="208" w:lineRule="exact"/>
              <w:ind w:left="105"/>
              <w:rPr>
                <w:sz w:val="20"/>
              </w:rPr>
            </w:pPr>
            <w:r>
              <w:rPr>
                <w:w w:val="110"/>
                <w:sz w:val="20"/>
              </w:rPr>
              <w:t>Marthakal</w:t>
            </w:r>
            <w:r>
              <w:rPr>
                <w:spacing w:val="-4"/>
                <w:w w:val="110"/>
                <w:sz w:val="20"/>
              </w:rPr>
              <w:t xml:space="preserve"> </w:t>
            </w:r>
            <w:r>
              <w:rPr>
                <w:w w:val="110"/>
                <w:sz w:val="20"/>
              </w:rPr>
              <w:t>Homelands</w:t>
            </w:r>
            <w:r>
              <w:rPr>
                <w:spacing w:val="-7"/>
                <w:w w:val="110"/>
                <w:sz w:val="20"/>
              </w:rPr>
              <w:t xml:space="preserve"> </w:t>
            </w:r>
            <w:r>
              <w:rPr>
                <w:w w:val="110"/>
                <w:sz w:val="20"/>
              </w:rPr>
              <w:t>-</w:t>
            </w:r>
            <w:r>
              <w:rPr>
                <w:spacing w:val="-4"/>
                <w:w w:val="110"/>
                <w:sz w:val="20"/>
              </w:rPr>
              <w:t xml:space="preserve"> </w:t>
            </w:r>
            <w:r>
              <w:rPr>
                <w:spacing w:val="-2"/>
                <w:w w:val="110"/>
                <w:sz w:val="20"/>
              </w:rPr>
              <w:t>Galiwinku</w:t>
            </w:r>
          </w:p>
        </w:tc>
        <w:tc>
          <w:tcPr>
            <w:tcW w:w="1194" w:type="dxa"/>
            <w:tcBorders>
              <w:left w:val="single" w:sz="4" w:space="0" w:color="000000"/>
            </w:tcBorders>
          </w:tcPr>
          <w:p w14:paraId="4C997E1F" w14:textId="77777777" w:rsidR="00811887" w:rsidRDefault="00811887" w:rsidP="00486E22">
            <w:pPr>
              <w:pStyle w:val="TableParagraph"/>
              <w:spacing w:before="3" w:line="208" w:lineRule="exact"/>
              <w:ind w:right="280"/>
              <w:jc w:val="right"/>
              <w:rPr>
                <w:sz w:val="20"/>
              </w:rPr>
            </w:pPr>
            <w:r>
              <w:rPr>
                <w:spacing w:val="-10"/>
                <w:w w:val="115"/>
                <w:sz w:val="20"/>
              </w:rPr>
              <w:t>5</w:t>
            </w:r>
          </w:p>
        </w:tc>
        <w:tc>
          <w:tcPr>
            <w:tcW w:w="1024" w:type="dxa"/>
          </w:tcPr>
          <w:p w14:paraId="37884C5F" w14:textId="77777777" w:rsidR="00811887" w:rsidRDefault="00811887" w:rsidP="00486E22">
            <w:pPr>
              <w:pStyle w:val="TableParagraph"/>
              <w:spacing w:before="3" w:line="208" w:lineRule="exact"/>
              <w:ind w:right="281"/>
              <w:jc w:val="right"/>
              <w:rPr>
                <w:sz w:val="20"/>
              </w:rPr>
            </w:pPr>
            <w:r>
              <w:rPr>
                <w:spacing w:val="-5"/>
                <w:w w:val="115"/>
                <w:sz w:val="20"/>
              </w:rPr>
              <w:t>34</w:t>
            </w:r>
          </w:p>
        </w:tc>
        <w:tc>
          <w:tcPr>
            <w:tcW w:w="1026" w:type="dxa"/>
          </w:tcPr>
          <w:p w14:paraId="02E69B94" w14:textId="77777777" w:rsidR="00811887" w:rsidRDefault="00811887" w:rsidP="00486E22">
            <w:pPr>
              <w:pStyle w:val="TableParagraph"/>
              <w:spacing w:before="3" w:line="208" w:lineRule="exact"/>
              <w:ind w:right="280"/>
              <w:jc w:val="right"/>
              <w:rPr>
                <w:sz w:val="20"/>
              </w:rPr>
            </w:pPr>
            <w:r>
              <w:rPr>
                <w:spacing w:val="-5"/>
                <w:w w:val="115"/>
                <w:sz w:val="20"/>
              </w:rPr>
              <w:t>101</w:t>
            </w:r>
          </w:p>
        </w:tc>
        <w:tc>
          <w:tcPr>
            <w:tcW w:w="1021" w:type="dxa"/>
          </w:tcPr>
          <w:p w14:paraId="63EB1FAE" w14:textId="77777777" w:rsidR="00811887" w:rsidRDefault="00811887" w:rsidP="00486E22">
            <w:pPr>
              <w:pStyle w:val="TableParagraph"/>
              <w:spacing w:before="3" w:line="208" w:lineRule="exact"/>
              <w:ind w:right="282"/>
              <w:jc w:val="right"/>
              <w:rPr>
                <w:sz w:val="20"/>
              </w:rPr>
            </w:pPr>
            <w:r>
              <w:rPr>
                <w:spacing w:val="-5"/>
                <w:w w:val="115"/>
                <w:sz w:val="20"/>
              </w:rPr>
              <w:t>41</w:t>
            </w:r>
          </w:p>
        </w:tc>
        <w:tc>
          <w:tcPr>
            <w:tcW w:w="923" w:type="dxa"/>
          </w:tcPr>
          <w:p w14:paraId="4E2B48C7" w14:textId="77777777" w:rsidR="00811887" w:rsidRDefault="00811887" w:rsidP="00486E22">
            <w:pPr>
              <w:pStyle w:val="TableParagraph"/>
              <w:spacing w:before="3" w:line="208" w:lineRule="exact"/>
              <w:ind w:right="183"/>
              <w:jc w:val="right"/>
              <w:rPr>
                <w:sz w:val="20"/>
              </w:rPr>
            </w:pPr>
            <w:r>
              <w:rPr>
                <w:spacing w:val="-10"/>
                <w:w w:val="115"/>
                <w:sz w:val="20"/>
              </w:rPr>
              <w:t>7</w:t>
            </w:r>
          </w:p>
        </w:tc>
        <w:tc>
          <w:tcPr>
            <w:tcW w:w="964" w:type="dxa"/>
          </w:tcPr>
          <w:p w14:paraId="6D93E0B8" w14:textId="77777777" w:rsidR="00811887" w:rsidRDefault="00811887" w:rsidP="00486E22">
            <w:pPr>
              <w:pStyle w:val="TableParagraph"/>
              <w:spacing w:before="3" w:line="208" w:lineRule="exact"/>
              <w:ind w:right="109"/>
              <w:jc w:val="right"/>
              <w:rPr>
                <w:sz w:val="20"/>
              </w:rPr>
            </w:pPr>
            <w:r>
              <w:rPr>
                <w:spacing w:val="-5"/>
                <w:w w:val="115"/>
                <w:sz w:val="20"/>
              </w:rPr>
              <w:t>189</w:t>
            </w:r>
          </w:p>
        </w:tc>
      </w:tr>
      <w:tr w:rsidR="00811887" w14:paraId="5C94A2FE" w14:textId="77777777" w:rsidTr="00486E22">
        <w:trPr>
          <w:trHeight w:val="230"/>
        </w:trPr>
        <w:tc>
          <w:tcPr>
            <w:tcW w:w="3674" w:type="dxa"/>
            <w:tcBorders>
              <w:right w:val="single" w:sz="4" w:space="0" w:color="000000"/>
            </w:tcBorders>
          </w:tcPr>
          <w:p w14:paraId="5016B35A" w14:textId="77777777" w:rsidR="00811887" w:rsidRDefault="00811887" w:rsidP="00486E22">
            <w:pPr>
              <w:pStyle w:val="TableParagraph"/>
              <w:spacing w:before="3" w:line="207" w:lineRule="exact"/>
              <w:ind w:left="105"/>
              <w:rPr>
                <w:sz w:val="20"/>
              </w:rPr>
            </w:pPr>
            <w:r>
              <w:rPr>
                <w:w w:val="105"/>
                <w:sz w:val="20"/>
              </w:rPr>
              <w:t>Victoria</w:t>
            </w:r>
            <w:r>
              <w:rPr>
                <w:spacing w:val="11"/>
                <w:w w:val="105"/>
                <w:sz w:val="20"/>
              </w:rPr>
              <w:t xml:space="preserve"> </w:t>
            </w:r>
            <w:r>
              <w:rPr>
                <w:spacing w:val="-2"/>
                <w:w w:val="105"/>
                <w:sz w:val="20"/>
              </w:rPr>
              <w:t>River</w:t>
            </w:r>
          </w:p>
        </w:tc>
        <w:tc>
          <w:tcPr>
            <w:tcW w:w="1194" w:type="dxa"/>
            <w:tcBorders>
              <w:left w:val="single" w:sz="4" w:space="0" w:color="000000"/>
            </w:tcBorders>
          </w:tcPr>
          <w:p w14:paraId="11EB5213"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0BB8563B" w14:textId="77777777" w:rsidR="00811887" w:rsidRDefault="00811887" w:rsidP="00486E22">
            <w:pPr>
              <w:pStyle w:val="TableParagraph"/>
              <w:spacing w:before="3" w:line="207" w:lineRule="exact"/>
              <w:ind w:right="281"/>
              <w:jc w:val="right"/>
              <w:rPr>
                <w:sz w:val="20"/>
              </w:rPr>
            </w:pPr>
            <w:r>
              <w:rPr>
                <w:spacing w:val="-10"/>
                <w:w w:val="115"/>
                <w:sz w:val="20"/>
              </w:rPr>
              <w:t>6</w:t>
            </w:r>
          </w:p>
        </w:tc>
        <w:tc>
          <w:tcPr>
            <w:tcW w:w="1026" w:type="dxa"/>
          </w:tcPr>
          <w:p w14:paraId="39D0D92B" w14:textId="77777777" w:rsidR="00811887" w:rsidRDefault="00811887" w:rsidP="00486E22">
            <w:pPr>
              <w:pStyle w:val="TableParagraph"/>
              <w:spacing w:before="3" w:line="207" w:lineRule="exact"/>
              <w:ind w:right="284"/>
              <w:jc w:val="right"/>
              <w:rPr>
                <w:sz w:val="20"/>
              </w:rPr>
            </w:pPr>
            <w:r>
              <w:rPr>
                <w:spacing w:val="-5"/>
                <w:w w:val="115"/>
                <w:sz w:val="20"/>
              </w:rPr>
              <w:t>18</w:t>
            </w:r>
          </w:p>
        </w:tc>
        <w:tc>
          <w:tcPr>
            <w:tcW w:w="1021" w:type="dxa"/>
          </w:tcPr>
          <w:p w14:paraId="1C282841" w14:textId="77777777" w:rsidR="00811887" w:rsidRDefault="00811887" w:rsidP="00486E22">
            <w:pPr>
              <w:pStyle w:val="TableParagraph"/>
              <w:spacing w:before="3" w:line="207" w:lineRule="exact"/>
              <w:ind w:right="283"/>
              <w:jc w:val="right"/>
              <w:rPr>
                <w:sz w:val="20"/>
              </w:rPr>
            </w:pPr>
            <w:r>
              <w:rPr>
                <w:spacing w:val="-10"/>
                <w:w w:val="115"/>
                <w:sz w:val="20"/>
              </w:rPr>
              <w:t>7</w:t>
            </w:r>
          </w:p>
        </w:tc>
        <w:tc>
          <w:tcPr>
            <w:tcW w:w="923" w:type="dxa"/>
          </w:tcPr>
          <w:p w14:paraId="4B9D1317"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63F22C26" w14:textId="77777777" w:rsidR="00811887" w:rsidRDefault="00811887" w:rsidP="00486E22">
            <w:pPr>
              <w:pStyle w:val="TableParagraph"/>
              <w:spacing w:before="3" w:line="207" w:lineRule="exact"/>
              <w:ind w:right="114"/>
              <w:jc w:val="right"/>
              <w:rPr>
                <w:sz w:val="20"/>
              </w:rPr>
            </w:pPr>
            <w:r>
              <w:rPr>
                <w:spacing w:val="-5"/>
                <w:w w:val="115"/>
                <w:sz w:val="20"/>
              </w:rPr>
              <w:t>34</w:t>
            </w:r>
          </w:p>
        </w:tc>
      </w:tr>
      <w:tr w:rsidR="00811887" w14:paraId="59BDAF24" w14:textId="77777777" w:rsidTr="00486E22">
        <w:trPr>
          <w:trHeight w:val="230"/>
        </w:trPr>
        <w:tc>
          <w:tcPr>
            <w:tcW w:w="3674" w:type="dxa"/>
            <w:tcBorders>
              <w:right w:val="single" w:sz="4" w:space="0" w:color="000000"/>
            </w:tcBorders>
          </w:tcPr>
          <w:p w14:paraId="4D3DC769" w14:textId="77777777" w:rsidR="00811887" w:rsidRDefault="00811887" w:rsidP="00486E22">
            <w:pPr>
              <w:pStyle w:val="TableParagraph"/>
              <w:spacing w:before="3" w:line="207" w:lineRule="exact"/>
              <w:ind w:left="105"/>
              <w:rPr>
                <w:sz w:val="20"/>
              </w:rPr>
            </w:pPr>
            <w:r>
              <w:rPr>
                <w:w w:val="110"/>
                <w:sz w:val="20"/>
              </w:rPr>
              <w:t>Daguragu</w:t>
            </w:r>
            <w:r>
              <w:rPr>
                <w:spacing w:val="-4"/>
                <w:w w:val="110"/>
                <w:sz w:val="20"/>
              </w:rPr>
              <w:t xml:space="preserve"> </w:t>
            </w:r>
            <w:r>
              <w:rPr>
                <w:w w:val="110"/>
                <w:sz w:val="20"/>
              </w:rPr>
              <w:t>-</w:t>
            </w:r>
            <w:r>
              <w:rPr>
                <w:spacing w:val="-4"/>
                <w:w w:val="110"/>
                <w:sz w:val="20"/>
              </w:rPr>
              <w:t xml:space="preserve"> </w:t>
            </w:r>
            <w:r>
              <w:rPr>
                <w:w w:val="110"/>
                <w:sz w:val="20"/>
              </w:rPr>
              <w:t>Kalkarindji</w:t>
            </w:r>
            <w:r>
              <w:rPr>
                <w:spacing w:val="-4"/>
                <w:w w:val="110"/>
                <w:sz w:val="20"/>
              </w:rPr>
              <w:t xml:space="preserve"> </w:t>
            </w:r>
            <w:r>
              <w:rPr>
                <w:w w:val="110"/>
                <w:sz w:val="20"/>
              </w:rPr>
              <w:t>&amp;</w:t>
            </w:r>
            <w:r>
              <w:rPr>
                <w:spacing w:val="-9"/>
                <w:w w:val="110"/>
                <w:sz w:val="20"/>
              </w:rPr>
              <w:t xml:space="preserve"> </w:t>
            </w:r>
            <w:r>
              <w:rPr>
                <w:spacing w:val="-2"/>
                <w:w w:val="110"/>
                <w:sz w:val="20"/>
              </w:rPr>
              <w:t>Outstations</w:t>
            </w:r>
          </w:p>
        </w:tc>
        <w:tc>
          <w:tcPr>
            <w:tcW w:w="1194" w:type="dxa"/>
            <w:tcBorders>
              <w:left w:val="single" w:sz="4" w:space="0" w:color="000000"/>
            </w:tcBorders>
          </w:tcPr>
          <w:p w14:paraId="5617D884"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6BDA23D5" w14:textId="77777777" w:rsidR="00811887" w:rsidRDefault="00811887" w:rsidP="00486E22">
            <w:pPr>
              <w:pStyle w:val="TableParagraph"/>
              <w:spacing w:before="3" w:line="207" w:lineRule="exact"/>
              <w:ind w:right="281"/>
              <w:jc w:val="right"/>
              <w:rPr>
                <w:sz w:val="20"/>
              </w:rPr>
            </w:pPr>
            <w:r>
              <w:rPr>
                <w:spacing w:val="-10"/>
                <w:w w:val="115"/>
                <w:sz w:val="20"/>
              </w:rPr>
              <w:t>6</w:t>
            </w:r>
          </w:p>
        </w:tc>
        <w:tc>
          <w:tcPr>
            <w:tcW w:w="1026" w:type="dxa"/>
          </w:tcPr>
          <w:p w14:paraId="2A9D8117" w14:textId="77777777" w:rsidR="00811887" w:rsidRDefault="00811887" w:rsidP="00486E22">
            <w:pPr>
              <w:pStyle w:val="TableParagraph"/>
              <w:spacing w:before="3" w:line="207" w:lineRule="exact"/>
              <w:ind w:right="284"/>
              <w:jc w:val="right"/>
              <w:rPr>
                <w:sz w:val="20"/>
              </w:rPr>
            </w:pPr>
            <w:r>
              <w:rPr>
                <w:spacing w:val="-5"/>
                <w:w w:val="115"/>
                <w:sz w:val="20"/>
              </w:rPr>
              <w:t>18</w:t>
            </w:r>
          </w:p>
        </w:tc>
        <w:tc>
          <w:tcPr>
            <w:tcW w:w="1021" w:type="dxa"/>
          </w:tcPr>
          <w:p w14:paraId="776E199B" w14:textId="77777777" w:rsidR="00811887" w:rsidRDefault="00811887" w:rsidP="00486E22">
            <w:pPr>
              <w:pStyle w:val="TableParagraph"/>
              <w:spacing w:before="3" w:line="207" w:lineRule="exact"/>
              <w:ind w:right="283"/>
              <w:jc w:val="right"/>
              <w:rPr>
                <w:sz w:val="20"/>
              </w:rPr>
            </w:pPr>
            <w:r>
              <w:rPr>
                <w:spacing w:val="-10"/>
                <w:w w:val="115"/>
                <w:sz w:val="20"/>
              </w:rPr>
              <w:t>7</w:t>
            </w:r>
          </w:p>
        </w:tc>
        <w:tc>
          <w:tcPr>
            <w:tcW w:w="923" w:type="dxa"/>
          </w:tcPr>
          <w:p w14:paraId="55D94FBC"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0CD4C607" w14:textId="77777777" w:rsidR="00811887" w:rsidRDefault="00811887" w:rsidP="00486E22">
            <w:pPr>
              <w:pStyle w:val="TableParagraph"/>
              <w:spacing w:before="3" w:line="207" w:lineRule="exact"/>
              <w:ind w:right="114"/>
              <w:jc w:val="right"/>
              <w:rPr>
                <w:sz w:val="20"/>
              </w:rPr>
            </w:pPr>
            <w:r>
              <w:rPr>
                <w:spacing w:val="-5"/>
                <w:w w:val="115"/>
                <w:sz w:val="20"/>
              </w:rPr>
              <w:t>34</w:t>
            </w:r>
          </w:p>
        </w:tc>
      </w:tr>
      <w:tr w:rsidR="00811887" w14:paraId="7157E489" w14:textId="77777777" w:rsidTr="00486E22">
        <w:trPr>
          <w:trHeight w:val="230"/>
        </w:trPr>
        <w:tc>
          <w:tcPr>
            <w:tcW w:w="3674" w:type="dxa"/>
            <w:tcBorders>
              <w:right w:val="single" w:sz="4" w:space="0" w:color="000000"/>
            </w:tcBorders>
          </w:tcPr>
          <w:p w14:paraId="5CF4E58C" w14:textId="77777777" w:rsidR="00811887" w:rsidRDefault="00811887" w:rsidP="00486E22">
            <w:pPr>
              <w:pStyle w:val="TableParagraph"/>
              <w:spacing w:before="3" w:line="207" w:lineRule="exact"/>
              <w:ind w:left="105"/>
              <w:rPr>
                <w:sz w:val="20"/>
              </w:rPr>
            </w:pPr>
            <w:r>
              <w:rPr>
                <w:w w:val="105"/>
                <w:sz w:val="20"/>
              </w:rPr>
              <w:t>Ali</w:t>
            </w:r>
            <w:r>
              <w:rPr>
                <w:spacing w:val="-3"/>
                <w:w w:val="110"/>
                <w:sz w:val="20"/>
              </w:rPr>
              <w:t xml:space="preserve"> </w:t>
            </w:r>
            <w:r>
              <w:rPr>
                <w:spacing w:val="-2"/>
                <w:w w:val="110"/>
                <w:sz w:val="20"/>
              </w:rPr>
              <w:t>Curung</w:t>
            </w:r>
          </w:p>
        </w:tc>
        <w:tc>
          <w:tcPr>
            <w:tcW w:w="1194" w:type="dxa"/>
            <w:tcBorders>
              <w:left w:val="single" w:sz="4" w:space="0" w:color="000000"/>
            </w:tcBorders>
          </w:tcPr>
          <w:p w14:paraId="3A171429"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226D3CBE" w14:textId="77777777" w:rsidR="00811887" w:rsidRDefault="00811887" w:rsidP="00486E22">
            <w:pPr>
              <w:pStyle w:val="TableParagraph"/>
              <w:spacing w:before="3" w:line="207" w:lineRule="exact"/>
              <w:ind w:right="281"/>
              <w:jc w:val="right"/>
              <w:rPr>
                <w:sz w:val="20"/>
              </w:rPr>
            </w:pPr>
            <w:r>
              <w:rPr>
                <w:spacing w:val="-10"/>
                <w:w w:val="115"/>
                <w:sz w:val="20"/>
              </w:rPr>
              <w:t>4</w:t>
            </w:r>
          </w:p>
        </w:tc>
        <w:tc>
          <w:tcPr>
            <w:tcW w:w="1026" w:type="dxa"/>
          </w:tcPr>
          <w:p w14:paraId="53C00250" w14:textId="77777777" w:rsidR="00811887" w:rsidRDefault="00811887" w:rsidP="00486E22">
            <w:pPr>
              <w:pStyle w:val="TableParagraph"/>
              <w:spacing w:before="3" w:line="207" w:lineRule="exact"/>
              <w:ind w:right="284"/>
              <w:jc w:val="right"/>
              <w:rPr>
                <w:sz w:val="20"/>
              </w:rPr>
            </w:pPr>
            <w:r>
              <w:rPr>
                <w:spacing w:val="-5"/>
                <w:w w:val="115"/>
                <w:sz w:val="20"/>
              </w:rPr>
              <w:t>13</w:t>
            </w:r>
          </w:p>
        </w:tc>
        <w:tc>
          <w:tcPr>
            <w:tcW w:w="1021" w:type="dxa"/>
          </w:tcPr>
          <w:p w14:paraId="0825A73C" w14:textId="77777777" w:rsidR="00811887" w:rsidRDefault="00811887" w:rsidP="00486E22">
            <w:pPr>
              <w:pStyle w:val="TableParagraph"/>
              <w:spacing w:before="3" w:line="207" w:lineRule="exact"/>
              <w:ind w:right="283"/>
              <w:jc w:val="right"/>
              <w:rPr>
                <w:sz w:val="20"/>
              </w:rPr>
            </w:pPr>
            <w:r>
              <w:rPr>
                <w:spacing w:val="-10"/>
                <w:w w:val="115"/>
                <w:sz w:val="20"/>
              </w:rPr>
              <w:t>5</w:t>
            </w:r>
          </w:p>
        </w:tc>
        <w:tc>
          <w:tcPr>
            <w:tcW w:w="923" w:type="dxa"/>
          </w:tcPr>
          <w:p w14:paraId="278D590D"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749E20A9" w14:textId="77777777" w:rsidR="00811887" w:rsidRDefault="00811887" w:rsidP="00486E22">
            <w:pPr>
              <w:pStyle w:val="TableParagraph"/>
              <w:spacing w:before="3" w:line="207" w:lineRule="exact"/>
              <w:ind w:right="114"/>
              <w:jc w:val="right"/>
              <w:rPr>
                <w:sz w:val="20"/>
              </w:rPr>
            </w:pPr>
            <w:r>
              <w:rPr>
                <w:spacing w:val="-5"/>
                <w:w w:val="115"/>
                <w:sz w:val="20"/>
              </w:rPr>
              <w:t>24</w:t>
            </w:r>
          </w:p>
        </w:tc>
      </w:tr>
      <w:tr w:rsidR="00811887" w14:paraId="16A50C7D" w14:textId="77777777" w:rsidTr="00486E22">
        <w:trPr>
          <w:trHeight w:val="230"/>
        </w:trPr>
        <w:tc>
          <w:tcPr>
            <w:tcW w:w="3674" w:type="dxa"/>
            <w:tcBorders>
              <w:right w:val="single" w:sz="4" w:space="0" w:color="000000"/>
            </w:tcBorders>
          </w:tcPr>
          <w:p w14:paraId="53E74066" w14:textId="77777777" w:rsidR="00811887" w:rsidRDefault="00811887" w:rsidP="00486E22">
            <w:pPr>
              <w:pStyle w:val="TableParagraph"/>
              <w:spacing w:before="3" w:line="207" w:lineRule="exact"/>
              <w:ind w:left="105"/>
              <w:rPr>
                <w:sz w:val="20"/>
              </w:rPr>
            </w:pPr>
            <w:r>
              <w:rPr>
                <w:w w:val="110"/>
                <w:sz w:val="20"/>
              </w:rPr>
              <w:t>Papunya</w:t>
            </w:r>
            <w:r>
              <w:rPr>
                <w:spacing w:val="5"/>
                <w:w w:val="110"/>
                <w:sz w:val="20"/>
              </w:rPr>
              <w:t xml:space="preserve"> </w:t>
            </w:r>
            <w:r>
              <w:rPr>
                <w:w w:val="110"/>
                <w:sz w:val="20"/>
              </w:rPr>
              <w:t>and</w:t>
            </w:r>
            <w:r>
              <w:rPr>
                <w:spacing w:val="2"/>
                <w:w w:val="110"/>
                <w:sz w:val="20"/>
              </w:rPr>
              <w:t xml:space="preserve"> </w:t>
            </w:r>
            <w:r>
              <w:rPr>
                <w:spacing w:val="-2"/>
                <w:w w:val="110"/>
                <w:sz w:val="20"/>
              </w:rPr>
              <w:t>Outstations</w:t>
            </w:r>
          </w:p>
        </w:tc>
        <w:tc>
          <w:tcPr>
            <w:tcW w:w="1194" w:type="dxa"/>
            <w:tcBorders>
              <w:left w:val="single" w:sz="4" w:space="0" w:color="000000"/>
            </w:tcBorders>
          </w:tcPr>
          <w:p w14:paraId="699E60CB"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7BF4407B" w14:textId="77777777" w:rsidR="00811887" w:rsidRDefault="00811887" w:rsidP="00486E22">
            <w:pPr>
              <w:pStyle w:val="TableParagraph"/>
              <w:spacing w:before="3" w:line="207" w:lineRule="exact"/>
              <w:ind w:right="281"/>
              <w:jc w:val="right"/>
              <w:rPr>
                <w:sz w:val="20"/>
              </w:rPr>
            </w:pPr>
            <w:r>
              <w:rPr>
                <w:spacing w:val="-10"/>
                <w:w w:val="115"/>
                <w:sz w:val="20"/>
              </w:rPr>
              <w:t>6</w:t>
            </w:r>
          </w:p>
        </w:tc>
        <w:tc>
          <w:tcPr>
            <w:tcW w:w="1026" w:type="dxa"/>
          </w:tcPr>
          <w:p w14:paraId="645AAEBC" w14:textId="77777777" w:rsidR="00811887" w:rsidRDefault="00811887" w:rsidP="00486E22">
            <w:pPr>
              <w:pStyle w:val="TableParagraph"/>
              <w:spacing w:before="3" w:line="207" w:lineRule="exact"/>
              <w:ind w:right="284"/>
              <w:jc w:val="right"/>
              <w:rPr>
                <w:sz w:val="20"/>
              </w:rPr>
            </w:pPr>
            <w:r>
              <w:rPr>
                <w:spacing w:val="-5"/>
                <w:w w:val="115"/>
                <w:sz w:val="20"/>
              </w:rPr>
              <w:t>17</w:t>
            </w:r>
          </w:p>
        </w:tc>
        <w:tc>
          <w:tcPr>
            <w:tcW w:w="1021" w:type="dxa"/>
          </w:tcPr>
          <w:p w14:paraId="05EE4C79" w14:textId="77777777" w:rsidR="00811887" w:rsidRDefault="00811887" w:rsidP="00486E22">
            <w:pPr>
              <w:pStyle w:val="TableParagraph"/>
              <w:spacing w:before="3" w:line="207" w:lineRule="exact"/>
              <w:ind w:right="283"/>
              <w:jc w:val="right"/>
              <w:rPr>
                <w:sz w:val="20"/>
              </w:rPr>
            </w:pPr>
            <w:r>
              <w:rPr>
                <w:spacing w:val="-10"/>
                <w:w w:val="115"/>
                <w:sz w:val="20"/>
              </w:rPr>
              <w:t>7</w:t>
            </w:r>
          </w:p>
        </w:tc>
        <w:tc>
          <w:tcPr>
            <w:tcW w:w="923" w:type="dxa"/>
          </w:tcPr>
          <w:p w14:paraId="21F88032"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555AC785" w14:textId="77777777" w:rsidR="00811887" w:rsidRDefault="00811887" w:rsidP="00486E22">
            <w:pPr>
              <w:pStyle w:val="TableParagraph"/>
              <w:spacing w:before="3" w:line="207" w:lineRule="exact"/>
              <w:ind w:right="114"/>
              <w:jc w:val="right"/>
              <w:rPr>
                <w:sz w:val="20"/>
              </w:rPr>
            </w:pPr>
            <w:r>
              <w:rPr>
                <w:spacing w:val="-5"/>
                <w:w w:val="115"/>
                <w:sz w:val="20"/>
              </w:rPr>
              <w:t>33</w:t>
            </w:r>
          </w:p>
        </w:tc>
      </w:tr>
      <w:tr w:rsidR="00811887" w14:paraId="6AE81676" w14:textId="77777777" w:rsidTr="00486E22">
        <w:trPr>
          <w:trHeight w:val="234"/>
        </w:trPr>
        <w:tc>
          <w:tcPr>
            <w:tcW w:w="3674" w:type="dxa"/>
            <w:tcBorders>
              <w:right w:val="single" w:sz="4" w:space="0" w:color="000000"/>
            </w:tcBorders>
          </w:tcPr>
          <w:p w14:paraId="54DCE2B6" w14:textId="77777777" w:rsidR="00811887" w:rsidRDefault="00811887" w:rsidP="00486E22">
            <w:pPr>
              <w:pStyle w:val="TableParagraph"/>
              <w:spacing w:before="3" w:line="211" w:lineRule="exact"/>
              <w:ind w:left="105"/>
              <w:rPr>
                <w:sz w:val="20"/>
              </w:rPr>
            </w:pPr>
            <w:r>
              <w:rPr>
                <w:spacing w:val="-2"/>
                <w:w w:val="105"/>
                <w:sz w:val="20"/>
              </w:rPr>
              <w:t>Elliott</w:t>
            </w:r>
          </w:p>
        </w:tc>
        <w:tc>
          <w:tcPr>
            <w:tcW w:w="1194" w:type="dxa"/>
            <w:tcBorders>
              <w:left w:val="single" w:sz="4" w:space="0" w:color="000000"/>
            </w:tcBorders>
          </w:tcPr>
          <w:p w14:paraId="38F24F03" w14:textId="77777777" w:rsidR="00811887" w:rsidRDefault="00811887" w:rsidP="00486E22">
            <w:pPr>
              <w:pStyle w:val="TableParagraph"/>
              <w:spacing w:before="3" w:line="211" w:lineRule="exact"/>
              <w:ind w:right="280"/>
              <w:jc w:val="right"/>
              <w:rPr>
                <w:sz w:val="20"/>
              </w:rPr>
            </w:pPr>
            <w:r>
              <w:rPr>
                <w:spacing w:val="-10"/>
                <w:w w:val="115"/>
                <w:sz w:val="20"/>
              </w:rPr>
              <w:t>0</w:t>
            </w:r>
          </w:p>
        </w:tc>
        <w:tc>
          <w:tcPr>
            <w:tcW w:w="1024" w:type="dxa"/>
          </w:tcPr>
          <w:p w14:paraId="42CDF956" w14:textId="77777777" w:rsidR="00811887" w:rsidRDefault="00811887" w:rsidP="00486E22">
            <w:pPr>
              <w:pStyle w:val="TableParagraph"/>
              <w:spacing w:before="3" w:line="211" w:lineRule="exact"/>
              <w:ind w:right="281"/>
              <w:jc w:val="right"/>
              <w:rPr>
                <w:sz w:val="20"/>
              </w:rPr>
            </w:pPr>
            <w:r>
              <w:rPr>
                <w:spacing w:val="-10"/>
                <w:w w:val="115"/>
                <w:sz w:val="20"/>
              </w:rPr>
              <w:t>3</w:t>
            </w:r>
          </w:p>
        </w:tc>
        <w:tc>
          <w:tcPr>
            <w:tcW w:w="1026" w:type="dxa"/>
          </w:tcPr>
          <w:p w14:paraId="72E32A83" w14:textId="77777777" w:rsidR="00811887" w:rsidRDefault="00811887" w:rsidP="00486E22">
            <w:pPr>
              <w:pStyle w:val="TableParagraph"/>
              <w:spacing w:before="3" w:line="211" w:lineRule="exact"/>
              <w:ind w:right="284"/>
              <w:jc w:val="right"/>
              <w:rPr>
                <w:sz w:val="20"/>
              </w:rPr>
            </w:pPr>
            <w:r>
              <w:rPr>
                <w:spacing w:val="-10"/>
                <w:w w:val="115"/>
                <w:sz w:val="20"/>
              </w:rPr>
              <w:t>9</w:t>
            </w:r>
          </w:p>
        </w:tc>
        <w:tc>
          <w:tcPr>
            <w:tcW w:w="1021" w:type="dxa"/>
          </w:tcPr>
          <w:p w14:paraId="0FE2CE5E" w14:textId="77777777" w:rsidR="00811887" w:rsidRDefault="00811887" w:rsidP="00486E22">
            <w:pPr>
              <w:pStyle w:val="TableParagraph"/>
              <w:spacing w:before="3" w:line="211" w:lineRule="exact"/>
              <w:ind w:right="283"/>
              <w:jc w:val="right"/>
              <w:rPr>
                <w:sz w:val="20"/>
              </w:rPr>
            </w:pPr>
            <w:r>
              <w:rPr>
                <w:spacing w:val="-10"/>
                <w:w w:val="115"/>
                <w:sz w:val="20"/>
              </w:rPr>
              <w:t>4</w:t>
            </w:r>
          </w:p>
        </w:tc>
        <w:tc>
          <w:tcPr>
            <w:tcW w:w="923" w:type="dxa"/>
          </w:tcPr>
          <w:p w14:paraId="0B13997C" w14:textId="77777777" w:rsidR="00811887" w:rsidRDefault="00811887" w:rsidP="00486E22">
            <w:pPr>
              <w:pStyle w:val="TableParagraph"/>
              <w:spacing w:before="3" w:line="211" w:lineRule="exact"/>
              <w:ind w:right="183"/>
              <w:jc w:val="right"/>
              <w:rPr>
                <w:sz w:val="20"/>
              </w:rPr>
            </w:pPr>
            <w:r>
              <w:rPr>
                <w:spacing w:val="-10"/>
                <w:w w:val="115"/>
                <w:sz w:val="20"/>
              </w:rPr>
              <w:t>1</w:t>
            </w:r>
          </w:p>
        </w:tc>
        <w:tc>
          <w:tcPr>
            <w:tcW w:w="964" w:type="dxa"/>
          </w:tcPr>
          <w:p w14:paraId="09F3D968" w14:textId="77777777" w:rsidR="00811887" w:rsidRDefault="00811887" w:rsidP="00486E22">
            <w:pPr>
              <w:pStyle w:val="TableParagraph"/>
              <w:spacing w:before="3" w:line="211" w:lineRule="exact"/>
              <w:ind w:right="114"/>
              <w:jc w:val="right"/>
              <w:rPr>
                <w:sz w:val="20"/>
              </w:rPr>
            </w:pPr>
            <w:r>
              <w:rPr>
                <w:spacing w:val="-5"/>
                <w:w w:val="115"/>
                <w:sz w:val="20"/>
              </w:rPr>
              <w:t>17</w:t>
            </w:r>
          </w:p>
        </w:tc>
      </w:tr>
      <w:tr w:rsidR="00811887" w14:paraId="6F376AD2" w14:textId="77777777" w:rsidTr="00486E22">
        <w:trPr>
          <w:trHeight w:val="404"/>
        </w:trPr>
        <w:tc>
          <w:tcPr>
            <w:tcW w:w="3674" w:type="dxa"/>
            <w:tcBorders>
              <w:right w:val="single" w:sz="4" w:space="0" w:color="000000"/>
            </w:tcBorders>
          </w:tcPr>
          <w:p w14:paraId="64B2A919" w14:textId="77777777" w:rsidR="00811887" w:rsidRDefault="00811887" w:rsidP="00486E22">
            <w:pPr>
              <w:pStyle w:val="TableParagraph"/>
              <w:spacing w:line="196" w:lineRule="exact"/>
              <w:ind w:left="105"/>
              <w:rPr>
                <w:sz w:val="20"/>
              </w:rPr>
            </w:pPr>
            <w:r>
              <w:rPr>
                <w:w w:val="110"/>
                <w:sz w:val="20"/>
              </w:rPr>
              <w:t>Haasts</w:t>
            </w:r>
            <w:r>
              <w:rPr>
                <w:spacing w:val="-4"/>
                <w:w w:val="110"/>
                <w:sz w:val="20"/>
              </w:rPr>
              <w:t xml:space="preserve"> </w:t>
            </w:r>
            <w:r>
              <w:rPr>
                <w:w w:val="110"/>
                <w:sz w:val="20"/>
              </w:rPr>
              <w:t>Bluff</w:t>
            </w:r>
            <w:r>
              <w:rPr>
                <w:spacing w:val="-6"/>
                <w:w w:val="110"/>
                <w:sz w:val="20"/>
              </w:rPr>
              <w:t xml:space="preserve"> </w:t>
            </w:r>
            <w:r>
              <w:rPr>
                <w:w w:val="110"/>
                <w:sz w:val="20"/>
              </w:rPr>
              <w:t>-</w:t>
            </w:r>
            <w:r>
              <w:rPr>
                <w:spacing w:val="-3"/>
                <w:w w:val="110"/>
                <w:sz w:val="20"/>
              </w:rPr>
              <w:t xml:space="preserve"> </w:t>
            </w:r>
            <w:r>
              <w:rPr>
                <w:w w:val="110"/>
                <w:sz w:val="20"/>
              </w:rPr>
              <w:t>Mount</w:t>
            </w:r>
            <w:r>
              <w:rPr>
                <w:spacing w:val="-9"/>
                <w:w w:val="110"/>
                <w:sz w:val="20"/>
              </w:rPr>
              <w:t xml:space="preserve"> </w:t>
            </w:r>
            <w:r>
              <w:rPr>
                <w:spacing w:val="-2"/>
                <w:w w:val="110"/>
                <w:sz w:val="20"/>
              </w:rPr>
              <w:t>Liebig</w:t>
            </w:r>
          </w:p>
          <w:p w14:paraId="350E0437" w14:textId="77777777" w:rsidR="00811887" w:rsidRDefault="00811887" w:rsidP="00486E22">
            <w:pPr>
              <w:pStyle w:val="TableParagraph"/>
              <w:spacing w:line="189" w:lineRule="exact"/>
              <w:ind w:left="105"/>
              <w:rPr>
                <w:sz w:val="20"/>
              </w:rPr>
            </w:pPr>
            <w:r>
              <w:rPr>
                <w:spacing w:val="-2"/>
                <w:w w:val="105"/>
                <w:sz w:val="20"/>
              </w:rPr>
              <w:t>(Watiyawanu)</w:t>
            </w:r>
          </w:p>
        </w:tc>
        <w:tc>
          <w:tcPr>
            <w:tcW w:w="1194" w:type="dxa"/>
            <w:tcBorders>
              <w:left w:val="single" w:sz="4" w:space="0" w:color="000000"/>
            </w:tcBorders>
          </w:tcPr>
          <w:p w14:paraId="75C48D8A" w14:textId="77777777" w:rsidR="00811887" w:rsidRDefault="00811887" w:rsidP="00486E22">
            <w:pPr>
              <w:pStyle w:val="TableParagraph"/>
              <w:spacing w:before="176" w:line="208" w:lineRule="exact"/>
              <w:ind w:right="280"/>
              <w:jc w:val="right"/>
              <w:rPr>
                <w:sz w:val="20"/>
              </w:rPr>
            </w:pPr>
            <w:r>
              <w:rPr>
                <w:spacing w:val="-10"/>
                <w:w w:val="115"/>
                <w:sz w:val="20"/>
              </w:rPr>
              <w:t>1</w:t>
            </w:r>
          </w:p>
        </w:tc>
        <w:tc>
          <w:tcPr>
            <w:tcW w:w="1024" w:type="dxa"/>
          </w:tcPr>
          <w:p w14:paraId="1076E5FD" w14:textId="77777777" w:rsidR="00811887" w:rsidRDefault="00811887" w:rsidP="00486E22">
            <w:pPr>
              <w:pStyle w:val="TableParagraph"/>
              <w:spacing w:before="176" w:line="208" w:lineRule="exact"/>
              <w:ind w:right="281"/>
              <w:jc w:val="right"/>
              <w:rPr>
                <w:sz w:val="20"/>
              </w:rPr>
            </w:pPr>
            <w:r>
              <w:rPr>
                <w:spacing w:val="-10"/>
                <w:w w:val="115"/>
                <w:sz w:val="20"/>
              </w:rPr>
              <w:t>4</w:t>
            </w:r>
          </w:p>
        </w:tc>
        <w:tc>
          <w:tcPr>
            <w:tcW w:w="1026" w:type="dxa"/>
          </w:tcPr>
          <w:p w14:paraId="3C61E251" w14:textId="77777777" w:rsidR="00811887" w:rsidRDefault="00811887" w:rsidP="00486E22">
            <w:pPr>
              <w:pStyle w:val="TableParagraph"/>
              <w:spacing w:before="176" w:line="208" w:lineRule="exact"/>
              <w:ind w:right="284"/>
              <w:jc w:val="right"/>
              <w:rPr>
                <w:sz w:val="20"/>
              </w:rPr>
            </w:pPr>
            <w:r>
              <w:rPr>
                <w:spacing w:val="-5"/>
                <w:w w:val="115"/>
                <w:sz w:val="20"/>
              </w:rPr>
              <w:t>13</w:t>
            </w:r>
          </w:p>
        </w:tc>
        <w:tc>
          <w:tcPr>
            <w:tcW w:w="1021" w:type="dxa"/>
          </w:tcPr>
          <w:p w14:paraId="12341B3D" w14:textId="77777777" w:rsidR="00811887" w:rsidRDefault="00811887" w:rsidP="00486E22">
            <w:pPr>
              <w:pStyle w:val="TableParagraph"/>
              <w:spacing w:before="176" w:line="208" w:lineRule="exact"/>
              <w:ind w:right="283"/>
              <w:jc w:val="right"/>
              <w:rPr>
                <w:sz w:val="20"/>
              </w:rPr>
            </w:pPr>
            <w:r>
              <w:rPr>
                <w:spacing w:val="-10"/>
                <w:w w:val="115"/>
                <w:sz w:val="20"/>
              </w:rPr>
              <w:t>5</w:t>
            </w:r>
          </w:p>
        </w:tc>
        <w:tc>
          <w:tcPr>
            <w:tcW w:w="923" w:type="dxa"/>
          </w:tcPr>
          <w:p w14:paraId="7405B685" w14:textId="77777777" w:rsidR="00811887" w:rsidRDefault="00811887" w:rsidP="00486E22">
            <w:pPr>
              <w:pStyle w:val="TableParagraph"/>
              <w:spacing w:before="176" w:line="208" w:lineRule="exact"/>
              <w:ind w:right="183"/>
              <w:jc w:val="right"/>
              <w:rPr>
                <w:sz w:val="20"/>
              </w:rPr>
            </w:pPr>
            <w:r>
              <w:rPr>
                <w:spacing w:val="-10"/>
                <w:w w:val="115"/>
                <w:sz w:val="20"/>
              </w:rPr>
              <w:t>1</w:t>
            </w:r>
          </w:p>
        </w:tc>
        <w:tc>
          <w:tcPr>
            <w:tcW w:w="964" w:type="dxa"/>
          </w:tcPr>
          <w:p w14:paraId="1A37F179" w14:textId="77777777" w:rsidR="00811887" w:rsidRDefault="00811887" w:rsidP="00486E22">
            <w:pPr>
              <w:pStyle w:val="TableParagraph"/>
              <w:spacing w:before="176" w:line="208" w:lineRule="exact"/>
              <w:ind w:right="114"/>
              <w:jc w:val="right"/>
              <w:rPr>
                <w:sz w:val="20"/>
              </w:rPr>
            </w:pPr>
            <w:r>
              <w:rPr>
                <w:spacing w:val="-5"/>
                <w:w w:val="115"/>
                <w:sz w:val="20"/>
              </w:rPr>
              <w:t>24</w:t>
            </w:r>
          </w:p>
        </w:tc>
      </w:tr>
      <w:tr w:rsidR="00811887" w14:paraId="63525DE6" w14:textId="77777777" w:rsidTr="00486E22">
        <w:trPr>
          <w:trHeight w:val="230"/>
        </w:trPr>
        <w:tc>
          <w:tcPr>
            <w:tcW w:w="3674" w:type="dxa"/>
            <w:tcBorders>
              <w:right w:val="single" w:sz="4" w:space="0" w:color="000000"/>
            </w:tcBorders>
          </w:tcPr>
          <w:p w14:paraId="3C09FF83" w14:textId="77777777" w:rsidR="00811887" w:rsidRDefault="00811887" w:rsidP="00486E22">
            <w:pPr>
              <w:pStyle w:val="TableParagraph"/>
              <w:spacing w:before="3" w:line="207" w:lineRule="exact"/>
              <w:ind w:left="105"/>
              <w:rPr>
                <w:sz w:val="20"/>
              </w:rPr>
            </w:pPr>
            <w:r>
              <w:rPr>
                <w:w w:val="110"/>
                <w:sz w:val="20"/>
              </w:rPr>
              <w:t>Darwin</w:t>
            </w:r>
            <w:r>
              <w:rPr>
                <w:spacing w:val="-5"/>
                <w:w w:val="110"/>
                <w:sz w:val="20"/>
              </w:rPr>
              <w:t xml:space="preserve"> </w:t>
            </w:r>
            <w:r>
              <w:rPr>
                <w:w w:val="110"/>
                <w:sz w:val="20"/>
              </w:rPr>
              <w:t>-</w:t>
            </w:r>
            <w:r>
              <w:rPr>
                <w:spacing w:val="-4"/>
                <w:w w:val="110"/>
                <w:sz w:val="20"/>
              </w:rPr>
              <w:t xml:space="preserve"> </w:t>
            </w:r>
            <w:r>
              <w:rPr>
                <w:w w:val="110"/>
                <w:sz w:val="20"/>
              </w:rPr>
              <w:t>Inner</w:t>
            </w:r>
            <w:r>
              <w:rPr>
                <w:spacing w:val="-4"/>
                <w:w w:val="110"/>
                <w:sz w:val="20"/>
              </w:rPr>
              <w:t xml:space="preserve"> </w:t>
            </w:r>
            <w:r>
              <w:rPr>
                <w:spacing w:val="-2"/>
                <w:w w:val="110"/>
                <w:sz w:val="20"/>
              </w:rPr>
              <w:t>Suburbs</w:t>
            </w:r>
          </w:p>
        </w:tc>
        <w:tc>
          <w:tcPr>
            <w:tcW w:w="1194" w:type="dxa"/>
            <w:tcBorders>
              <w:left w:val="single" w:sz="4" w:space="0" w:color="000000"/>
            </w:tcBorders>
          </w:tcPr>
          <w:p w14:paraId="669C1CEE" w14:textId="77777777" w:rsidR="00811887" w:rsidRDefault="00811887" w:rsidP="00486E22">
            <w:pPr>
              <w:pStyle w:val="TableParagraph"/>
              <w:spacing w:before="3" w:line="207" w:lineRule="exact"/>
              <w:ind w:right="280"/>
              <w:jc w:val="right"/>
              <w:rPr>
                <w:sz w:val="20"/>
              </w:rPr>
            </w:pPr>
            <w:r>
              <w:rPr>
                <w:spacing w:val="-10"/>
                <w:w w:val="115"/>
                <w:sz w:val="20"/>
              </w:rPr>
              <w:t>2</w:t>
            </w:r>
          </w:p>
        </w:tc>
        <w:tc>
          <w:tcPr>
            <w:tcW w:w="1024" w:type="dxa"/>
          </w:tcPr>
          <w:p w14:paraId="0E0EB639" w14:textId="77777777" w:rsidR="00811887" w:rsidRDefault="00811887" w:rsidP="00486E22">
            <w:pPr>
              <w:pStyle w:val="TableParagraph"/>
              <w:spacing w:before="3" w:line="207" w:lineRule="exact"/>
              <w:ind w:right="281"/>
              <w:jc w:val="right"/>
              <w:rPr>
                <w:sz w:val="20"/>
              </w:rPr>
            </w:pPr>
            <w:r>
              <w:rPr>
                <w:spacing w:val="-5"/>
                <w:w w:val="115"/>
                <w:sz w:val="20"/>
              </w:rPr>
              <w:t>15</w:t>
            </w:r>
          </w:p>
        </w:tc>
        <w:tc>
          <w:tcPr>
            <w:tcW w:w="1026" w:type="dxa"/>
          </w:tcPr>
          <w:p w14:paraId="6571616D" w14:textId="77777777" w:rsidR="00811887" w:rsidRDefault="00811887" w:rsidP="00486E22">
            <w:pPr>
              <w:pStyle w:val="TableParagraph"/>
              <w:spacing w:before="3" w:line="207" w:lineRule="exact"/>
              <w:ind w:right="284"/>
              <w:jc w:val="right"/>
              <w:rPr>
                <w:sz w:val="20"/>
              </w:rPr>
            </w:pPr>
            <w:r>
              <w:rPr>
                <w:spacing w:val="-5"/>
                <w:w w:val="115"/>
                <w:sz w:val="20"/>
              </w:rPr>
              <w:t>45</w:t>
            </w:r>
          </w:p>
        </w:tc>
        <w:tc>
          <w:tcPr>
            <w:tcW w:w="1021" w:type="dxa"/>
          </w:tcPr>
          <w:p w14:paraId="49B37FB1" w14:textId="77777777" w:rsidR="00811887" w:rsidRDefault="00811887" w:rsidP="00486E22">
            <w:pPr>
              <w:pStyle w:val="TableParagraph"/>
              <w:spacing w:before="3" w:line="207" w:lineRule="exact"/>
              <w:ind w:right="282"/>
              <w:jc w:val="right"/>
              <w:rPr>
                <w:sz w:val="20"/>
              </w:rPr>
            </w:pPr>
            <w:r>
              <w:rPr>
                <w:spacing w:val="-5"/>
                <w:w w:val="115"/>
                <w:sz w:val="20"/>
              </w:rPr>
              <w:t>18</w:t>
            </w:r>
          </w:p>
        </w:tc>
        <w:tc>
          <w:tcPr>
            <w:tcW w:w="923" w:type="dxa"/>
          </w:tcPr>
          <w:p w14:paraId="06369520" w14:textId="77777777" w:rsidR="00811887" w:rsidRDefault="00811887" w:rsidP="00486E22">
            <w:pPr>
              <w:pStyle w:val="TableParagraph"/>
              <w:spacing w:before="3" w:line="207" w:lineRule="exact"/>
              <w:ind w:right="183"/>
              <w:jc w:val="right"/>
              <w:rPr>
                <w:sz w:val="20"/>
              </w:rPr>
            </w:pPr>
            <w:r>
              <w:rPr>
                <w:spacing w:val="-10"/>
                <w:w w:val="115"/>
                <w:sz w:val="20"/>
              </w:rPr>
              <w:t>3</w:t>
            </w:r>
          </w:p>
        </w:tc>
        <w:tc>
          <w:tcPr>
            <w:tcW w:w="964" w:type="dxa"/>
          </w:tcPr>
          <w:p w14:paraId="7703AEB5" w14:textId="77777777" w:rsidR="00811887" w:rsidRDefault="00811887" w:rsidP="00486E22">
            <w:pPr>
              <w:pStyle w:val="TableParagraph"/>
              <w:spacing w:before="3" w:line="207" w:lineRule="exact"/>
              <w:ind w:right="114"/>
              <w:jc w:val="right"/>
              <w:rPr>
                <w:sz w:val="20"/>
              </w:rPr>
            </w:pPr>
            <w:r>
              <w:rPr>
                <w:spacing w:val="-5"/>
                <w:w w:val="115"/>
                <w:sz w:val="20"/>
              </w:rPr>
              <w:t>84</w:t>
            </w:r>
          </w:p>
        </w:tc>
      </w:tr>
      <w:tr w:rsidR="00811887" w14:paraId="4C0D5F00" w14:textId="77777777" w:rsidTr="00486E22">
        <w:trPr>
          <w:trHeight w:val="230"/>
        </w:trPr>
        <w:tc>
          <w:tcPr>
            <w:tcW w:w="3674" w:type="dxa"/>
            <w:tcBorders>
              <w:right w:val="single" w:sz="4" w:space="0" w:color="000000"/>
            </w:tcBorders>
          </w:tcPr>
          <w:p w14:paraId="69E91C0A" w14:textId="77777777" w:rsidR="00811887" w:rsidRDefault="00811887" w:rsidP="00486E22">
            <w:pPr>
              <w:pStyle w:val="TableParagraph"/>
              <w:spacing w:before="3" w:line="207" w:lineRule="exact"/>
              <w:ind w:left="105"/>
              <w:rPr>
                <w:sz w:val="20"/>
              </w:rPr>
            </w:pPr>
            <w:r>
              <w:rPr>
                <w:w w:val="110"/>
                <w:sz w:val="20"/>
              </w:rPr>
              <w:t>Douglas-</w:t>
            </w:r>
            <w:r>
              <w:rPr>
                <w:spacing w:val="-4"/>
                <w:w w:val="110"/>
                <w:sz w:val="20"/>
              </w:rPr>
              <w:t>Daly</w:t>
            </w:r>
          </w:p>
        </w:tc>
        <w:tc>
          <w:tcPr>
            <w:tcW w:w="1194" w:type="dxa"/>
            <w:tcBorders>
              <w:left w:val="single" w:sz="4" w:space="0" w:color="000000"/>
            </w:tcBorders>
          </w:tcPr>
          <w:p w14:paraId="2EE5A385" w14:textId="77777777" w:rsidR="00811887" w:rsidRDefault="00811887" w:rsidP="00486E22">
            <w:pPr>
              <w:pStyle w:val="TableParagraph"/>
              <w:spacing w:before="3" w:line="207" w:lineRule="exact"/>
              <w:ind w:right="280"/>
              <w:jc w:val="right"/>
              <w:rPr>
                <w:sz w:val="20"/>
              </w:rPr>
            </w:pPr>
            <w:r>
              <w:rPr>
                <w:spacing w:val="-10"/>
                <w:w w:val="115"/>
                <w:sz w:val="20"/>
              </w:rPr>
              <w:t>2</w:t>
            </w:r>
          </w:p>
        </w:tc>
        <w:tc>
          <w:tcPr>
            <w:tcW w:w="1024" w:type="dxa"/>
          </w:tcPr>
          <w:p w14:paraId="3ABEF0C5" w14:textId="77777777" w:rsidR="00811887" w:rsidRDefault="00811887" w:rsidP="00486E22">
            <w:pPr>
              <w:pStyle w:val="TableParagraph"/>
              <w:spacing w:before="3" w:line="207" w:lineRule="exact"/>
              <w:ind w:right="281"/>
              <w:jc w:val="right"/>
              <w:rPr>
                <w:sz w:val="20"/>
              </w:rPr>
            </w:pPr>
            <w:r>
              <w:rPr>
                <w:spacing w:val="-5"/>
                <w:w w:val="115"/>
                <w:sz w:val="20"/>
              </w:rPr>
              <w:t>15</w:t>
            </w:r>
          </w:p>
        </w:tc>
        <w:tc>
          <w:tcPr>
            <w:tcW w:w="1026" w:type="dxa"/>
          </w:tcPr>
          <w:p w14:paraId="4A278C09" w14:textId="77777777" w:rsidR="00811887" w:rsidRDefault="00811887" w:rsidP="00486E22">
            <w:pPr>
              <w:pStyle w:val="TableParagraph"/>
              <w:spacing w:before="3" w:line="207" w:lineRule="exact"/>
              <w:ind w:right="284"/>
              <w:jc w:val="right"/>
              <w:rPr>
                <w:sz w:val="20"/>
              </w:rPr>
            </w:pPr>
            <w:r>
              <w:rPr>
                <w:spacing w:val="-5"/>
                <w:w w:val="115"/>
                <w:sz w:val="20"/>
              </w:rPr>
              <w:t>45</w:t>
            </w:r>
          </w:p>
        </w:tc>
        <w:tc>
          <w:tcPr>
            <w:tcW w:w="1021" w:type="dxa"/>
          </w:tcPr>
          <w:p w14:paraId="6A340045" w14:textId="77777777" w:rsidR="00811887" w:rsidRDefault="00811887" w:rsidP="00486E22">
            <w:pPr>
              <w:pStyle w:val="TableParagraph"/>
              <w:spacing w:before="3" w:line="207" w:lineRule="exact"/>
              <w:ind w:right="282"/>
              <w:jc w:val="right"/>
              <w:rPr>
                <w:sz w:val="20"/>
              </w:rPr>
            </w:pPr>
            <w:r>
              <w:rPr>
                <w:spacing w:val="-5"/>
                <w:w w:val="115"/>
                <w:sz w:val="20"/>
              </w:rPr>
              <w:t>18</w:t>
            </w:r>
          </w:p>
        </w:tc>
        <w:tc>
          <w:tcPr>
            <w:tcW w:w="923" w:type="dxa"/>
          </w:tcPr>
          <w:p w14:paraId="67FB5073" w14:textId="77777777" w:rsidR="00811887" w:rsidRDefault="00811887" w:rsidP="00486E22">
            <w:pPr>
              <w:pStyle w:val="TableParagraph"/>
              <w:spacing w:before="3" w:line="207" w:lineRule="exact"/>
              <w:ind w:right="183"/>
              <w:jc w:val="right"/>
              <w:rPr>
                <w:sz w:val="20"/>
              </w:rPr>
            </w:pPr>
            <w:r>
              <w:rPr>
                <w:spacing w:val="-10"/>
                <w:w w:val="115"/>
                <w:sz w:val="20"/>
              </w:rPr>
              <w:t>3</w:t>
            </w:r>
          </w:p>
        </w:tc>
        <w:tc>
          <w:tcPr>
            <w:tcW w:w="964" w:type="dxa"/>
          </w:tcPr>
          <w:p w14:paraId="2F4A2F82" w14:textId="77777777" w:rsidR="00811887" w:rsidRDefault="00811887" w:rsidP="00486E22">
            <w:pPr>
              <w:pStyle w:val="TableParagraph"/>
              <w:spacing w:before="3" w:line="207" w:lineRule="exact"/>
              <w:ind w:right="114"/>
              <w:jc w:val="right"/>
              <w:rPr>
                <w:sz w:val="20"/>
              </w:rPr>
            </w:pPr>
            <w:r>
              <w:rPr>
                <w:spacing w:val="-5"/>
                <w:w w:val="115"/>
                <w:sz w:val="20"/>
              </w:rPr>
              <w:t>84</w:t>
            </w:r>
          </w:p>
        </w:tc>
      </w:tr>
      <w:tr w:rsidR="00811887" w14:paraId="4B47F1A7" w14:textId="77777777" w:rsidTr="00486E22">
        <w:trPr>
          <w:trHeight w:val="230"/>
        </w:trPr>
        <w:tc>
          <w:tcPr>
            <w:tcW w:w="3674" w:type="dxa"/>
            <w:tcBorders>
              <w:right w:val="single" w:sz="4" w:space="0" w:color="000000"/>
            </w:tcBorders>
          </w:tcPr>
          <w:p w14:paraId="3802557F" w14:textId="77777777" w:rsidR="00811887" w:rsidRDefault="00811887" w:rsidP="00486E22">
            <w:pPr>
              <w:pStyle w:val="TableParagraph"/>
              <w:spacing w:before="3" w:line="207" w:lineRule="exact"/>
              <w:ind w:left="105"/>
              <w:rPr>
                <w:sz w:val="20"/>
              </w:rPr>
            </w:pPr>
            <w:r>
              <w:rPr>
                <w:w w:val="105"/>
                <w:sz w:val="20"/>
              </w:rPr>
              <w:t>Atitjere</w:t>
            </w:r>
            <w:r>
              <w:rPr>
                <w:spacing w:val="8"/>
                <w:w w:val="105"/>
                <w:sz w:val="20"/>
              </w:rPr>
              <w:t xml:space="preserve"> </w:t>
            </w:r>
            <w:r>
              <w:rPr>
                <w:w w:val="105"/>
                <w:sz w:val="20"/>
              </w:rPr>
              <w:t>-</w:t>
            </w:r>
            <w:r>
              <w:rPr>
                <w:spacing w:val="15"/>
                <w:w w:val="105"/>
                <w:sz w:val="20"/>
              </w:rPr>
              <w:t xml:space="preserve"> </w:t>
            </w:r>
            <w:r>
              <w:rPr>
                <w:w w:val="105"/>
                <w:sz w:val="20"/>
              </w:rPr>
              <w:t>Akarnenehe</w:t>
            </w:r>
            <w:r>
              <w:rPr>
                <w:spacing w:val="15"/>
                <w:w w:val="105"/>
                <w:sz w:val="20"/>
              </w:rPr>
              <w:t xml:space="preserve"> </w:t>
            </w:r>
            <w:r>
              <w:rPr>
                <w:w w:val="105"/>
                <w:sz w:val="20"/>
              </w:rPr>
              <w:t>-</w:t>
            </w:r>
            <w:r>
              <w:rPr>
                <w:spacing w:val="15"/>
                <w:w w:val="105"/>
                <w:sz w:val="20"/>
              </w:rPr>
              <w:t xml:space="preserve"> </w:t>
            </w:r>
            <w:r>
              <w:rPr>
                <w:spacing w:val="-2"/>
                <w:w w:val="105"/>
                <w:sz w:val="20"/>
              </w:rPr>
              <w:t>Engawala</w:t>
            </w:r>
          </w:p>
        </w:tc>
        <w:tc>
          <w:tcPr>
            <w:tcW w:w="1194" w:type="dxa"/>
            <w:tcBorders>
              <w:left w:val="single" w:sz="4" w:space="0" w:color="000000"/>
            </w:tcBorders>
          </w:tcPr>
          <w:p w14:paraId="4C96C273"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4EAEA366" w14:textId="77777777" w:rsidR="00811887" w:rsidRDefault="00811887" w:rsidP="00486E22">
            <w:pPr>
              <w:pStyle w:val="TableParagraph"/>
              <w:spacing w:before="3" w:line="207" w:lineRule="exact"/>
              <w:ind w:right="281"/>
              <w:jc w:val="right"/>
              <w:rPr>
                <w:sz w:val="20"/>
              </w:rPr>
            </w:pPr>
            <w:r>
              <w:rPr>
                <w:spacing w:val="-10"/>
                <w:w w:val="115"/>
                <w:sz w:val="20"/>
              </w:rPr>
              <w:t>5</w:t>
            </w:r>
          </w:p>
        </w:tc>
        <w:tc>
          <w:tcPr>
            <w:tcW w:w="1026" w:type="dxa"/>
          </w:tcPr>
          <w:p w14:paraId="1CBF4FEE" w14:textId="77777777" w:rsidR="00811887" w:rsidRDefault="00811887" w:rsidP="00486E22">
            <w:pPr>
              <w:pStyle w:val="TableParagraph"/>
              <w:spacing w:before="3" w:line="207" w:lineRule="exact"/>
              <w:ind w:right="284"/>
              <w:jc w:val="right"/>
              <w:rPr>
                <w:sz w:val="20"/>
              </w:rPr>
            </w:pPr>
            <w:r>
              <w:rPr>
                <w:spacing w:val="-5"/>
                <w:w w:val="115"/>
                <w:sz w:val="20"/>
              </w:rPr>
              <w:t>15</w:t>
            </w:r>
          </w:p>
        </w:tc>
        <w:tc>
          <w:tcPr>
            <w:tcW w:w="1021" w:type="dxa"/>
          </w:tcPr>
          <w:p w14:paraId="726A2910" w14:textId="77777777" w:rsidR="00811887" w:rsidRDefault="00811887" w:rsidP="00486E22">
            <w:pPr>
              <w:pStyle w:val="TableParagraph"/>
              <w:spacing w:before="3" w:line="207" w:lineRule="exact"/>
              <w:ind w:right="283"/>
              <w:jc w:val="right"/>
              <w:rPr>
                <w:sz w:val="20"/>
              </w:rPr>
            </w:pPr>
            <w:r>
              <w:rPr>
                <w:spacing w:val="-10"/>
                <w:w w:val="115"/>
                <w:sz w:val="20"/>
              </w:rPr>
              <w:t>6</w:t>
            </w:r>
          </w:p>
        </w:tc>
        <w:tc>
          <w:tcPr>
            <w:tcW w:w="923" w:type="dxa"/>
          </w:tcPr>
          <w:p w14:paraId="6DB62F37"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013E3A1C" w14:textId="77777777" w:rsidR="00811887" w:rsidRDefault="00811887" w:rsidP="00486E22">
            <w:pPr>
              <w:pStyle w:val="TableParagraph"/>
              <w:spacing w:before="3" w:line="207" w:lineRule="exact"/>
              <w:ind w:right="114"/>
              <w:jc w:val="right"/>
              <w:rPr>
                <w:sz w:val="20"/>
              </w:rPr>
            </w:pPr>
            <w:r>
              <w:rPr>
                <w:spacing w:val="-5"/>
                <w:w w:val="115"/>
                <w:sz w:val="20"/>
              </w:rPr>
              <w:t>28</w:t>
            </w:r>
          </w:p>
        </w:tc>
      </w:tr>
      <w:tr w:rsidR="00811887" w14:paraId="24569BB5" w14:textId="77777777" w:rsidTr="00486E22">
        <w:trPr>
          <w:trHeight w:val="227"/>
        </w:trPr>
        <w:tc>
          <w:tcPr>
            <w:tcW w:w="3674" w:type="dxa"/>
            <w:tcBorders>
              <w:right w:val="single" w:sz="4" w:space="0" w:color="000000"/>
            </w:tcBorders>
          </w:tcPr>
          <w:p w14:paraId="220E7753" w14:textId="77777777" w:rsidR="00811887" w:rsidRDefault="00811887" w:rsidP="00486E22">
            <w:pPr>
              <w:pStyle w:val="TableParagraph"/>
              <w:spacing w:before="3" w:line="205" w:lineRule="exact"/>
              <w:ind w:left="105"/>
              <w:rPr>
                <w:sz w:val="20"/>
              </w:rPr>
            </w:pPr>
            <w:r>
              <w:rPr>
                <w:w w:val="110"/>
                <w:sz w:val="20"/>
              </w:rPr>
              <w:t>Laynhapuy</w:t>
            </w:r>
            <w:r>
              <w:rPr>
                <w:spacing w:val="-2"/>
                <w:w w:val="110"/>
                <w:sz w:val="20"/>
              </w:rPr>
              <w:t xml:space="preserve"> </w:t>
            </w:r>
            <w:r>
              <w:rPr>
                <w:w w:val="110"/>
                <w:sz w:val="20"/>
              </w:rPr>
              <w:t>-</w:t>
            </w:r>
            <w:r>
              <w:rPr>
                <w:spacing w:val="-4"/>
                <w:w w:val="110"/>
                <w:sz w:val="20"/>
              </w:rPr>
              <w:t xml:space="preserve"> </w:t>
            </w:r>
            <w:r>
              <w:rPr>
                <w:w w:val="110"/>
                <w:sz w:val="20"/>
              </w:rPr>
              <w:t xml:space="preserve">Gumatj </w:t>
            </w:r>
            <w:r>
              <w:rPr>
                <w:spacing w:val="-2"/>
                <w:w w:val="110"/>
                <w:sz w:val="20"/>
              </w:rPr>
              <w:t>Homelands</w:t>
            </w:r>
          </w:p>
        </w:tc>
        <w:tc>
          <w:tcPr>
            <w:tcW w:w="1194" w:type="dxa"/>
            <w:tcBorders>
              <w:left w:val="single" w:sz="4" w:space="0" w:color="000000"/>
            </w:tcBorders>
          </w:tcPr>
          <w:p w14:paraId="2004806C" w14:textId="77777777" w:rsidR="00811887" w:rsidRDefault="00811887" w:rsidP="00486E22">
            <w:pPr>
              <w:pStyle w:val="TableParagraph"/>
              <w:spacing w:before="3" w:line="205" w:lineRule="exact"/>
              <w:ind w:right="280"/>
              <w:jc w:val="right"/>
              <w:rPr>
                <w:sz w:val="20"/>
              </w:rPr>
            </w:pPr>
            <w:r>
              <w:rPr>
                <w:spacing w:val="-10"/>
                <w:w w:val="115"/>
                <w:sz w:val="20"/>
              </w:rPr>
              <w:t>1</w:t>
            </w:r>
          </w:p>
        </w:tc>
        <w:tc>
          <w:tcPr>
            <w:tcW w:w="1024" w:type="dxa"/>
          </w:tcPr>
          <w:p w14:paraId="67BF7DD5" w14:textId="77777777" w:rsidR="00811887" w:rsidRDefault="00811887" w:rsidP="00486E22">
            <w:pPr>
              <w:pStyle w:val="TableParagraph"/>
              <w:spacing w:before="3" w:line="205" w:lineRule="exact"/>
              <w:ind w:right="281"/>
              <w:jc w:val="right"/>
              <w:rPr>
                <w:sz w:val="20"/>
              </w:rPr>
            </w:pPr>
            <w:r>
              <w:rPr>
                <w:spacing w:val="-10"/>
                <w:w w:val="115"/>
                <w:sz w:val="20"/>
              </w:rPr>
              <w:t>5</w:t>
            </w:r>
          </w:p>
        </w:tc>
        <w:tc>
          <w:tcPr>
            <w:tcW w:w="1026" w:type="dxa"/>
          </w:tcPr>
          <w:p w14:paraId="384B42F9" w14:textId="77777777" w:rsidR="00811887" w:rsidRDefault="00811887" w:rsidP="00486E22">
            <w:pPr>
              <w:pStyle w:val="TableParagraph"/>
              <w:spacing w:before="3" w:line="205" w:lineRule="exact"/>
              <w:ind w:right="284"/>
              <w:jc w:val="right"/>
              <w:rPr>
                <w:sz w:val="20"/>
              </w:rPr>
            </w:pPr>
            <w:r>
              <w:rPr>
                <w:spacing w:val="-5"/>
                <w:w w:val="115"/>
                <w:sz w:val="20"/>
              </w:rPr>
              <w:t>15</w:t>
            </w:r>
          </w:p>
        </w:tc>
        <w:tc>
          <w:tcPr>
            <w:tcW w:w="1021" w:type="dxa"/>
          </w:tcPr>
          <w:p w14:paraId="3A552831" w14:textId="77777777" w:rsidR="00811887" w:rsidRDefault="00811887" w:rsidP="00486E22">
            <w:pPr>
              <w:pStyle w:val="TableParagraph"/>
              <w:spacing w:before="3" w:line="205" w:lineRule="exact"/>
              <w:ind w:right="283"/>
              <w:jc w:val="right"/>
              <w:rPr>
                <w:sz w:val="20"/>
              </w:rPr>
            </w:pPr>
            <w:r>
              <w:rPr>
                <w:spacing w:val="-10"/>
                <w:w w:val="115"/>
                <w:sz w:val="20"/>
              </w:rPr>
              <w:t>6</w:t>
            </w:r>
          </w:p>
        </w:tc>
        <w:tc>
          <w:tcPr>
            <w:tcW w:w="923" w:type="dxa"/>
          </w:tcPr>
          <w:p w14:paraId="6FF3C28E" w14:textId="77777777" w:rsidR="00811887" w:rsidRDefault="00811887" w:rsidP="00486E22">
            <w:pPr>
              <w:pStyle w:val="TableParagraph"/>
              <w:spacing w:before="3" w:line="205" w:lineRule="exact"/>
              <w:ind w:right="183"/>
              <w:jc w:val="right"/>
              <w:rPr>
                <w:sz w:val="20"/>
              </w:rPr>
            </w:pPr>
            <w:r>
              <w:rPr>
                <w:spacing w:val="-10"/>
                <w:w w:val="115"/>
                <w:sz w:val="20"/>
              </w:rPr>
              <w:t>1</w:t>
            </w:r>
          </w:p>
        </w:tc>
        <w:tc>
          <w:tcPr>
            <w:tcW w:w="964" w:type="dxa"/>
          </w:tcPr>
          <w:p w14:paraId="757BAADB" w14:textId="77777777" w:rsidR="00811887" w:rsidRDefault="00811887" w:rsidP="00486E22">
            <w:pPr>
              <w:pStyle w:val="TableParagraph"/>
              <w:spacing w:before="3" w:line="205" w:lineRule="exact"/>
              <w:ind w:right="114"/>
              <w:jc w:val="right"/>
              <w:rPr>
                <w:sz w:val="20"/>
              </w:rPr>
            </w:pPr>
            <w:r>
              <w:rPr>
                <w:spacing w:val="-5"/>
                <w:w w:val="115"/>
                <w:sz w:val="20"/>
              </w:rPr>
              <w:t>28</w:t>
            </w:r>
          </w:p>
        </w:tc>
      </w:tr>
      <w:tr w:rsidR="00811887" w14:paraId="391CE4EC" w14:textId="77777777" w:rsidTr="00486E22">
        <w:trPr>
          <w:trHeight w:val="227"/>
        </w:trPr>
        <w:tc>
          <w:tcPr>
            <w:tcW w:w="3674" w:type="dxa"/>
            <w:tcBorders>
              <w:right w:val="single" w:sz="4" w:space="0" w:color="000000"/>
            </w:tcBorders>
          </w:tcPr>
          <w:p w14:paraId="29A023E1" w14:textId="77777777" w:rsidR="00811887" w:rsidRDefault="00811887" w:rsidP="00486E22">
            <w:pPr>
              <w:pStyle w:val="TableParagraph"/>
              <w:spacing w:line="207" w:lineRule="exact"/>
              <w:ind w:left="105"/>
              <w:rPr>
                <w:sz w:val="20"/>
              </w:rPr>
            </w:pPr>
            <w:r>
              <w:rPr>
                <w:w w:val="105"/>
                <w:sz w:val="20"/>
              </w:rPr>
              <w:t>Anindilyakwa</w:t>
            </w:r>
            <w:r>
              <w:rPr>
                <w:spacing w:val="10"/>
                <w:w w:val="105"/>
                <w:sz w:val="20"/>
              </w:rPr>
              <w:t xml:space="preserve"> </w:t>
            </w:r>
            <w:r>
              <w:rPr>
                <w:spacing w:val="-2"/>
                <w:w w:val="105"/>
                <w:sz w:val="20"/>
              </w:rPr>
              <w:t>(Groote)</w:t>
            </w:r>
          </w:p>
        </w:tc>
        <w:tc>
          <w:tcPr>
            <w:tcW w:w="1194" w:type="dxa"/>
            <w:tcBorders>
              <w:left w:val="single" w:sz="4" w:space="0" w:color="000000"/>
            </w:tcBorders>
          </w:tcPr>
          <w:p w14:paraId="7F8D4042" w14:textId="77777777" w:rsidR="00811887" w:rsidRDefault="00811887" w:rsidP="00486E22">
            <w:pPr>
              <w:pStyle w:val="TableParagraph"/>
              <w:spacing w:line="207" w:lineRule="exact"/>
              <w:ind w:right="280"/>
              <w:jc w:val="right"/>
              <w:rPr>
                <w:sz w:val="20"/>
              </w:rPr>
            </w:pPr>
            <w:r>
              <w:rPr>
                <w:spacing w:val="-10"/>
                <w:w w:val="115"/>
                <w:sz w:val="20"/>
              </w:rPr>
              <w:t>3</w:t>
            </w:r>
          </w:p>
        </w:tc>
        <w:tc>
          <w:tcPr>
            <w:tcW w:w="1024" w:type="dxa"/>
          </w:tcPr>
          <w:p w14:paraId="68E715CA" w14:textId="77777777" w:rsidR="00811887" w:rsidRDefault="00811887" w:rsidP="00486E22">
            <w:pPr>
              <w:pStyle w:val="TableParagraph"/>
              <w:spacing w:line="207" w:lineRule="exact"/>
              <w:ind w:right="281"/>
              <w:jc w:val="right"/>
              <w:rPr>
                <w:sz w:val="20"/>
              </w:rPr>
            </w:pPr>
            <w:r>
              <w:rPr>
                <w:spacing w:val="-5"/>
                <w:w w:val="115"/>
                <w:sz w:val="20"/>
              </w:rPr>
              <w:t>18</w:t>
            </w:r>
          </w:p>
        </w:tc>
        <w:tc>
          <w:tcPr>
            <w:tcW w:w="1026" w:type="dxa"/>
          </w:tcPr>
          <w:p w14:paraId="043BE34B" w14:textId="77777777" w:rsidR="00811887" w:rsidRDefault="00811887" w:rsidP="00486E22">
            <w:pPr>
              <w:pStyle w:val="TableParagraph"/>
              <w:spacing w:line="207" w:lineRule="exact"/>
              <w:ind w:right="284"/>
              <w:jc w:val="right"/>
              <w:rPr>
                <w:sz w:val="20"/>
              </w:rPr>
            </w:pPr>
            <w:r>
              <w:rPr>
                <w:spacing w:val="-5"/>
                <w:w w:val="115"/>
                <w:sz w:val="20"/>
              </w:rPr>
              <w:t>52</w:t>
            </w:r>
          </w:p>
        </w:tc>
        <w:tc>
          <w:tcPr>
            <w:tcW w:w="1021" w:type="dxa"/>
          </w:tcPr>
          <w:p w14:paraId="088B5FDC" w14:textId="77777777" w:rsidR="00811887" w:rsidRDefault="00811887" w:rsidP="00486E22">
            <w:pPr>
              <w:pStyle w:val="TableParagraph"/>
              <w:spacing w:line="207" w:lineRule="exact"/>
              <w:ind w:right="282"/>
              <w:jc w:val="right"/>
              <w:rPr>
                <w:sz w:val="20"/>
              </w:rPr>
            </w:pPr>
            <w:r>
              <w:rPr>
                <w:spacing w:val="-5"/>
                <w:w w:val="115"/>
                <w:sz w:val="20"/>
              </w:rPr>
              <w:t>21</w:t>
            </w:r>
          </w:p>
        </w:tc>
        <w:tc>
          <w:tcPr>
            <w:tcW w:w="923" w:type="dxa"/>
          </w:tcPr>
          <w:p w14:paraId="65E92375" w14:textId="77777777" w:rsidR="00811887" w:rsidRDefault="00811887" w:rsidP="00486E22">
            <w:pPr>
              <w:pStyle w:val="TableParagraph"/>
              <w:spacing w:line="207" w:lineRule="exact"/>
              <w:ind w:right="183"/>
              <w:jc w:val="right"/>
              <w:rPr>
                <w:sz w:val="20"/>
              </w:rPr>
            </w:pPr>
            <w:r>
              <w:rPr>
                <w:spacing w:val="-10"/>
                <w:w w:val="115"/>
                <w:sz w:val="20"/>
              </w:rPr>
              <w:t>4</w:t>
            </w:r>
          </w:p>
        </w:tc>
        <w:tc>
          <w:tcPr>
            <w:tcW w:w="964" w:type="dxa"/>
          </w:tcPr>
          <w:p w14:paraId="3C02239C" w14:textId="77777777" w:rsidR="00811887" w:rsidRDefault="00811887" w:rsidP="00486E22">
            <w:pPr>
              <w:pStyle w:val="TableParagraph"/>
              <w:spacing w:line="207" w:lineRule="exact"/>
              <w:ind w:right="114"/>
              <w:jc w:val="right"/>
              <w:rPr>
                <w:sz w:val="20"/>
              </w:rPr>
            </w:pPr>
            <w:r>
              <w:rPr>
                <w:spacing w:val="-5"/>
                <w:w w:val="115"/>
                <w:sz w:val="20"/>
              </w:rPr>
              <w:t>98</w:t>
            </w:r>
          </w:p>
        </w:tc>
      </w:tr>
      <w:tr w:rsidR="00811887" w14:paraId="1B9961C7" w14:textId="77777777" w:rsidTr="00486E22">
        <w:trPr>
          <w:trHeight w:val="230"/>
        </w:trPr>
        <w:tc>
          <w:tcPr>
            <w:tcW w:w="3674" w:type="dxa"/>
            <w:tcBorders>
              <w:right w:val="single" w:sz="4" w:space="0" w:color="000000"/>
            </w:tcBorders>
          </w:tcPr>
          <w:p w14:paraId="248715FE" w14:textId="77777777" w:rsidR="00811887" w:rsidRDefault="00811887" w:rsidP="00486E22">
            <w:pPr>
              <w:pStyle w:val="TableParagraph"/>
              <w:spacing w:before="3" w:line="207" w:lineRule="exact"/>
              <w:ind w:left="105"/>
              <w:rPr>
                <w:sz w:val="20"/>
              </w:rPr>
            </w:pPr>
            <w:r>
              <w:rPr>
                <w:spacing w:val="-2"/>
                <w:w w:val="110"/>
                <w:sz w:val="20"/>
              </w:rPr>
              <w:t>Kowanyama</w:t>
            </w:r>
          </w:p>
        </w:tc>
        <w:tc>
          <w:tcPr>
            <w:tcW w:w="1194" w:type="dxa"/>
            <w:tcBorders>
              <w:left w:val="single" w:sz="4" w:space="0" w:color="000000"/>
            </w:tcBorders>
          </w:tcPr>
          <w:p w14:paraId="6D636618"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1950A919" w14:textId="77777777" w:rsidR="00811887" w:rsidRDefault="00811887" w:rsidP="00486E22">
            <w:pPr>
              <w:pStyle w:val="TableParagraph"/>
              <w:spacing w:before="3" w:line="207" w:lineRule="exact"/>
              <w:ind w:right="281"/>
              <w:jc w:val="right"/>
              <w:rPr>
                <w:sz w:val="20"/>
              </w:rPr>
            </w:pPr>
            <w:r>
              <w:rPr>
                <w:spacing w:val="-5"/>
                <w:w w:val="115"/>
                <w:sz w:val="20"/>
              </w:rPr>
              <w:t>10</w:t>
            </w:r>
          </w:p>
        </w:tc>
        <w:tc>
          <w:tcPr>
            <w:tcW w:w="1026" w:type="dxa"/>
          </w:tcPr>
          <w:p w14:paraId="4673D9A8" w14:textId="77777777" w:rsidR="00811887" w:rsidRDefault="00811887" w:rsidP="00486E22">
            <w:pPr>
              <w:pStyle w:val="TableParagraph"/>
              <w:spacing w:before="3" w:line="207" w:lineRule="exact"/>
              <w:ind w:right="284"/>
              <w:jc w:val="right"/>
              <w:rPr>
                <w:sz w:val="20"/>
              </w:rPr>
            </w:pPr>
            <w:r>
              <w:rPr>
                <w:spacing w:val="-5"/>
                <w:w w:val="115"/>
                <w:sz w:val="20"/>
              </w:rPr>
              <w:t>28</w:t>
            </w:r>
          </w:p>
        </w:tc>
        <w:tc>
          <w:tcPr>
            <w:tcW w:w="1021" w:type="dxa"/>
          </w:tcPr>
          <w:p w14:paraId="6571D6FF" w14:textId="77777777" w:rsidR="00811887" w:rsidRDefault="00811887" w:rsidP="00486E22">
            <w:pPr>
              <w:pStyle w:val="TableParagraph"/>
              <w:spacing w:before="3" w:line="207" w:lineRule="exact"/>
              <w:ind w:right="282"/>
              <w:jc w:val="right"/>
              <w:rPr>
                <w:sz w:val="20"/>
              </w:rPr>
            </w:pPr>
            <w:r>
              <w:rPr>
                <w:spacing w:val="-5"/>
                <w:w w:val="115"/>
                <w:sz w:val="20"/>
              </w:rPr>
              <w:t>11</w:t>
            </w:r>
          </w:p>
        </w:tc>
        <w:tc>
          <w:tcPr>
            <w:tcW w:w="923" w:type="dxa"/>
          </w:tcPr>
          <w:p w14:paraId="5B51F417"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720DEF11" w14:textId="77777777" w:rsidR="00811887" w:rsidRDefault="00811887" w:rsidP="00486E22">
            <w:pPr>
              <w:pStyle w:val="TableParagraph"/>
              <w:spacing w:before="3" w:line="207" w:lineRule="exact"/>
              <w:ind w:right="114"/>
              <w:jc w:val="right"/>
              <w:rPr>
                <w:sz w:val="20"/>
              </w:rPr>
            </w:pPr>
            <w:r>
              <w:rPr>
                <w:spacing w:val="-5"/>
                <w:w w:val="115"/>
                <w:sz w:val="20"/>
              </w:rPr>
              <w:t>53</w:t>
            </w:r>
          </w:p>
        </w:tc>
      </w:tr>
      <w:tr w:rsidR="00811887" w14:paraId="705EFEF4" w14:textId="77777777" w:rsidTr="00486E22">
        <w:trPr>
          <w:trHeight w:val="230"/>
        </w:trPr>
        <w:tc>
          <w:tcPr>
            <w:tcW w:w="3674" w:type="dxa"/>
            <w:tcBorders>
              <w:right w:val="single" w:sz="4" w:space="0" w:color="000000"/>
            </w:tcBorders>
          </w:tcPr>
          <w:p w14:paraId="6648D9D8" w14:textId="77777777" w:rsidR="00811887" w:rsidRDefault="00811887" w:rsidP="00486E22">
            <w:pPr>
              <w:pStyle w:val="TableParagraph"/>
              <w:spacing w:before="3" w:line="207" w:lineRule="exact"/>
              <w:ind w:left="105"/>
              <w:rPr>
                <w:sz w:val="20"/>
              </w:rPr>
            </w:pPr>
            <w:r>
              <w:rPr>
                <w:w w:val="105"/>
                <w:sz w:val="20"/>
              </w:rPr>
              <w:t>Argyle</w:t>
            </w:r>
            <w:r>
              <w:rPr>
                <w:spacing w:val="9"/>
                <w:w w:val="105"/>
                <w:sz w:val="20"/>
              </w:rPr>
              <w:t xml:space="preserve"> </w:t>
            </w:r>
            <w:r>
              <w:rPr>
                <w:w w:val="105"/>
                <w:sz w:val="20"/>
              </w:rPr>
              <w:t>-</w:t>
            </w:r>
            <w:r>
              <w:rPr>
                <w:spacing w:val="6"/>
                <w:w w:val="105"/>
                <w:sz w:val="20"/>
              </w:rPr>
              <w:t xml:space="preserve"> </w:t>
            </w:r>
            <w:r>
              <w:rPr>
                <w:spacing w:val="-2"/>
                <w:w w:val="105"/>
                <w:sz w:val="20"/>
              </w:rPr>
              <w:t>Warmun</w:t>
            </w:r>
          </w:p>
        </w:tc>
        <w:tc>
          <w:tcPr>
            <w:tcW w:w="1194" w:type="dxa"/>
            <w:tcBorders>
              <w:left w:val="single" w:sz="4" w:space="0" w:color="000000"/>
            </w:tcBorders>
          </w:tcPr>
          <w:p w14:paraId="13DA2969"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337350E0" w14:textId="77777777" w:rsidR="00811887" w:rsidRDefault="00811887" w:rsidP="00486E22">
            <w:pPr>
              <w:pStyle w:val="TableParagraph"/>
              <w:spacing w:before="3" w:line="207" w:lineRule="exact"/>
              <w:ind w:right="281"/>
              <w:jc w:val="right"/>
              <w:rPr>
                <w:sz w:val="20"/>
              </w:rPr>
            </w:pPr>
            <w:r>
              <w:rPr>
                <w:spacing w:val="-10"/>
                <w:w w:val="115"/>
                <w:sz w:val="20"/>
              </w:rPr>
              <w:t>6</w:t>
            </w:r>
          </w:p>
        </w:tc>
        <w:tc>
          <w:tcPr>
            <w:tcW w:w="1026" w:type="dxa"/>
          </w:tcPr>
          <w:p w14:paraId="69F26FE6" w14:textId="77777777" w:rsidR="00811887" w:rsidRDefault="00811887" w:rsidP="00486E22">
            <w:pPr>
              <w:pStyle w:val="TableParagraph"/>
              <w:spacing w:before="3" w:line="207" w:lineRule="exact"/>
              <w:ind w:right="284"/>
              <w:jc w:val="right"/>
              <w:rPr>
                <w:sz w:val="20"/>
              </w:rPr>
            </w:pPr>
            <w:r>
              <w:rPr>
                <w:spacing w:val="-5"/>
                <w:w w:val="115"/>
                <w:sz w:val="20"/>
              </w:rPr>
              <w:t>19</w:t>
            </w:r>
          </w:p>
        </w:tc>
        <w:tc>
          <w:tcPr>
            <w:tcW w:w="1021" w:type="dxa"/>
          </w:tcPr>
          <w:p w14:paraId="14BBB22F" w14:textId="77777777" w:rsidR="00811887" w:rsidRDefault="00811887" w:rsidP="00486E22">
            <w:pPr>
              <w:pStyle w:val="TableParagraph"/>
              <w:spacing w:before="3" w:line="207" w:lineRule="exact"/>
              <w:ind w:right="283"/>
              <w:jc w:val="right"/>
              <w:rPr>
                <w:sz w:val="20"/>
              </w:rPr>
            </w:pPr>
            <w:r>
              <w:rPr>
                <w:spacing w:val="-10"/>
                <w:w w:val="115"/>
                <w:sz w:val="20"/>
              </w:rPr>
              <w:t>8</w:t>
            </w:r>
          </w:p>
        </w:tc>
        <w:tc>
          <w:tcPr>
            <w:tcW w:w="923" w:type="dxa"/>
          </w:tcPr>
          <w:p w14:paraId="7FAF7090"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087E4D0F" w14:textId="77777777" w:rsidR="00811887" w:rsidRDefault="00811887" w:rsidP="00486E22">
            <w:pPr>
              <w:pStyle w:val="TableParagraph"/>
              <w:spacing w:before="3" w:line="207" w:lineRule="exact"/>
              <w:ind w:right="114"/>
              <w:jc w:val="right"/>
              <w:rPr>
                <w:sz w:val="20"/>
              </w:rPr>
            </w:pPr>
            <w:r>
              <w:rPr>
                <w:spacing w:val="-5"/>
                <w:w w:val="115"/>
                <w:sz w:val="20"/>
              </w:rPr>
              <w:t>35</w:t>
            </w:r>
          </w:p>
        </w:tc>
      </w:tr>
      <w:tr w:rsidR="00811887" w14:paraId="1560FCFF" w14:textId="77777777" w:rsidTr="00486E22">
        <w:trPr>
          <w:trHeight w:val="230"/>
        </w:trPr>
        <w:tc>
          <w:tcPr>
            <w:tcW w:w="3674" w:type="dxa"/>
            <w:tcBorders>
              <w:right w:val="single" w:sz="4" w:space="0" w:color="000000"/>
            </w:tcBorders>
          </w:tcPr>
          <w:p w14:paraId="0767D3ED" w14:textId="77777777" w:rsidR="00811887" w:rsidRDefault="00811887" w:rsidP="00486E22">
            <w:pPr>
              <w:pStyle w:val="TableParagraph"/>
              <w:spacing w:before="3" w:line="208" w:lineRule="exact"/>
              <w:ind w:left="105"/>
              <w:rPr>
                <w:sz w:val="20"/>
              </w:rPr>
            </w:pPr>
            <w:r>
              <w:rPr>
                <w:w w:val="110"/>
                <w:sz w:val="20"/>
              </w:rPr>
              <w:t>Anangu</w:t>
            </w:r>
            <w:r>
              <w:rPr>
                <w:spacing w:val="-2"/>
                <w:w w:val="110"/>
                <w:sz w:val="20"/>
              </w:rPr>
              <w:t xml:space="preserve"> Pitjantjatjara</w:t>
            </w:r>
          </w:p>
        </w:tc>
        <w:tc>
          <w:tcPr>
            <w:tcW w:w="1194" w:type="dxa"/>
            <w:tcBorders>
              <w:left w:val="single" w:sz="4" w:space="0" w:color="000000"/>
            </w:tcBorders>
          </w:tcPr>
          <w:p w14:paraId="3539D32F" w14:textId="77777777" w:rsidR="00811887" w:rsidRDefault="00811887" w:rsidP="00486E22">
            <w:pPr>
              <w:pStyle w:val="TableParagraph"/>
              <w:spacing w:before="3" w:line="208" w:lineRule="exact"/>
              <w:ind w:right="280"/>
              <w:jc w:val="right"/>
              <w:rPr>
                <w:sz w:val="20"/>
              </w:rPr>
            </w:pPr>
            <w:r>
              <w:rPr>
                <w:spacing w:val="-10"/>
                <w:w w:val="115"/>
                <w:sz w:val="20"/>
              </w:rPr>
              <w:t>3</w:t>
            </w:r>
          </w:p>
        </w:tc>
        <w:tc>
          <w:tcPr>
            <w:tcW w:w="1024" w:type="dxa"/>
          </w:tcPr>
          <w:p w14:paraId="066792BC" w14:textId="77777777" w:rsidR="00811887" w:rsidRDefault="00811887" w:rsidP="00486E22">
            <w:pPr>
              <w:pStyle w:val="TableParagraph"/>
              <w:spacing w:before="3" w:line="208" w:lineRule="exact"/>
              <w:ind w:right="281"/>
              <w:jc w:val="right"/>
              <w:rPr>
                <w:sz w:val="20"/>
              </w:rPr>
            </w:pPr>
            <w:r>
              <w:rPr>
                <w:spacing w:val="-5"/>
                <w:w w:val="115"/>
                <w:sz w:val="20"/>
              </w:rPr>
              <w:t>22</w:t>
            </w:r>
          </w:p>
        </w:tc>
        <w:tc>
          <w:tcPr>
            <w:tcW w:w="1026" w:type="dxa"/>
          </w:tcPr>
          <w:p w14:paraId="4E74F5E9" w14:textId="77777777" w:rsidR="00811887" w:rsidRDefault="00811887" w:rsidP="00486E22">
            <w:pPr>
              <w:pStyle w:val="TableParagraph"/>
              <w:spacing w:before="3" w:line="208" w:lineRule="exact"/>
              <w:ind w:right="284"/>
              <w:jc w:val="right"/>
              <w:rPr>
                <w:sz w:val="20"/>
              </w:rPr>
            </w:pPr>
            <w:r>
              <w:rPr>
                <w:spacing w:val="-5"/>
                <w:w w:val="115"/>
                <w:sz w:val="20"/>
              </w:rPr>
              <w:t>64</w:t>
            </w:r>
          </w:p>
        </w:tc>
        <w:tc>
          <w:tcPr>
            <w:tcW w:w="1021" w:type="dxa"/>
          </w:tcPr>
          <w:p w14:paraId="780ACDA6" w14:textId="77777777" w:rsidR="00811887" w:rsidRDefault="00811887" w:rsidP="00486E22">
            <w:pPr>
              <w:pStyle w:val="TableParagraph"/>
              <w:spacing w:before="3" w:line="208" w:lineRule="exact"/>
              <w:ind w:right="282"/>
              <w:jc w:val="right"/>
              <w:rPr>
                <w:sz w:val="20"/>
              </w:rPr>
            </w:pPr>
            <w:r>
              <w:rPr>
                <w:spacing w:val="-5"/>
                <w:w w:val="115"/>
                <w:sz w:val="20"/>
              </w:rPr>
              <w:t>26</w:t>
            </w:r>
          </w:p>
        </w:tc>
        <w:tc>
          <w:tcPr>
            <w:tcW w:w="923" w:type="dxa"/>
          </w:tcPr>
          <w:p w14:paraId="5180499F" w14:textId="77777777" w:rsidR="00811887" w:rsidRDefault="00811887" w:rsidP="00486E22">
            <w:pPr>
              <w:pStyle w:val="TableParagraph"/>
              <w:spacing w:before="3" w:line="208" w:lineRule="exact"/>
              <w:ind w:right="183"/>
              <w:jc w:val="right"/>
              <w:rPr>
                <w:sz w:val="20"/>
              </w:rPr>
            </w:pPr>
            <w:r>
              <w:rPr>
                <w:spacing w:val="-10"/>
                <w:w w:val="115"/>
                <w:sz w:val="20"/>
              </w:rPr>
              <w:t>5</w:t>
            </w:r>
          </w:p>
        </w:tc>
        <w:tc>
          <w:tcPr>
            <w:tcW w:w="964" w:type="dxa"/>
          </w:tcPr>
          <w:p w14:paraId="41953D64" w14:textId="77777777" w:rsidR="00811887" w:rsidRDefault="00811887" w:rsidP="00486E22">
            <w:pPr>
              <w:pStyle w:val="TableParagraph"/>
              <w:spacing w:before="3" w:line="208" w:lineRule="exact"/>
              <w:ind w:right="109"/>
              <w:jc w:val="right"/>
              <w:rPr>
                <w:sz w:val="20"/>
              </w:rPr>
            </w:pPr>
            <w:r>
              <w:rPr>
                <w:spacing w:val="-5"/>
                <w:w w:val="115"/>
                <w:sz w:val="20"/>
              </w:rPr>
              <w:t>120</w:t>
            </w:r>
          </w:p>
        </w:tc>
      </w:tr>
      <w:tr w:rsidR="00811887" w14:paraId="69B1A5E6" w14:textId="77777777" w:rsidTr="00486E22">
        <w:trPr>
          <w:trHeight w:val="230"/>
        </w:trPr>
        <w:tc>
          <w:tcPr>
            <w:tcW w:w="3674" w:type="dxa"/>
            <w:tcBorders>
              <w:right w:val="single" w:sz="4" w:space="0" w:color="000000"/>
            </w:tcBorders>
          </w:tcPr>
          <w:p w14:paraId="44D68A0B" w14:textId="77777777" w:rsidR="00811887" w:rsidRDefault="00811887" w:rsidP="00486E22">
            <w:pPr>
              <w:pStyle w:val="TableParagraph"/>
              <w:spacing w:before="3" w:line="207" w:lineRule="exact"/>
              <w:ind w:left="105"/>
              <w:rPr>
                <w:sz w:val="20"/>
              </w:rPr>
            </w:pPr>
            <w:r>
              <w:rPr>
                <w:w w:val="110"/>
                <w:sz w:val="20"/>
              </w:rPr>
              <w:t>Coconut</w:t>
            </w:r>
            <w:r>
              <w:rPr>
                <w:spacing w:val="-1"/>
                <w:w w:val="110"/>
                <w:sz w:val="20"/>
              </w:rPr>
              <w:t xml:space="preserve"> </w:t>
            </w:r>
            <w:r>
              <w:rPr>
                <w:w w:val="110"/>
                <w:sz w:val="20"/>
              </w:rPr>
              <w:t>Grove</w:t>
            </w:r>
            <w:r>
              <w:rPr>
                <w:spacing w:val="1"/>
                <w:w w:val="110"/>
                <w:sz w:val="20"/>
              </w:rPr>
              <w:t xml:space="preserve"> </w:t>
            </w:r>
            <w:r>
              <w:rPr>
                <w:w w:val="110"/>
                <w:sz w:val="20"/>
              </w:rPr>
              <w:t>-</w:t>
            </w:r>
            <w:r>
              <w:rPr>
                <w:spacing w:val="6"/>
                <w:w w:val="110"/>
                <w:sz w:val="20"/>
              </w:rPr>
              <w:t xml:space="preserve"> </w:t>
            </w:r>
            <w:r>
              <w:rPr>
                <w:spacing w:val="-2"/>
                <w:w w:val="110"/>
                <w:sz w:val="20"/>
              </w:rPr>
              <w:t>Ludmilla</w:t>
            </w:r>
          </w:p>
        </w:tc>
        <w:tc>
          <w:tcPr>
            <w:tcW w:w="1194" w:type="dxa"/>
            <w:tcBorders>
              <w:left w:val="single" w:sz="4" w:space="0" w:color="000000"/>
            </w:tcBorders>
          </w:tcPr>
          <w:p w14:paraId="757AA5CE"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7D37B98E" w14:textId="77777777" w:rsidR="00811887" w:rsidRDefault="00811887" w:rsidP="00486E22">
            <w:pPr>
              <w:pStyle w:val="TableParagraph"/>
              <w:spacing w:before="3" w:line="207" w:lineRule="exact"/>
              <w:ind w:right="281"/>
              <w:jc w:val="right"/>
              <w:rPr>
                <w:sz w:val="20"/>
              </w:rPr>
            </w:pPr>
            <w:r>
              <w:rPr>
                <w:spacing w:val="-10"/>
                <w:w w:val="115"/>
                <w:sz w:val="20"/>
              </w:rPr>
              <w:t>7</w:t>
            </w:r>
          </w:p>
        </w:tc>
        <w:tc>
          <w:tcPr>
            <w:tcW w:w="1026" w:type="dxa"/>
          </w:tcPr>
          <w:p w14:paraId="5DD6882D" w14:textId="77777777" w:rsidR="00811887" w:rsidRDefault="00811887" w:rsidP="00486E22">
            <w:pPr>
              <w:pStyle w:val="TableParagraph"/>
              <w:spacing w:before="3" w:line="207" w:lineRule="exact"/>
              <w:ind w:right="284"/>
              <w:jc w:val="right"/>
              <w:rPr>
                <w:sz w:val="20"/>
              </w:rPr>
            </w:pPr>
            <w:r>
              <w:rPr>
                <w:spacing w:val="-5"/>
                <w:w w:val="115"/>
                <w:sz w:val="20"/>
              </w:rPr>
              <w:t>21</w:t>
            </w:r>
          </w:p>
        </w:tc>
        <w:tc>
          <w:tcPr>
            <w:tcW w:w="1021" w:type="dxa"/>
          </w:tcPr>
          <w:p w14:paraId="0A330F7A" w14:textId="77777777" w:rsidR="00811887" w:rsidRDefault="00811887" w:rsidP="00486E22">
            <w:pPr>
              <w:pStyle w:val="TableParagraph"/>
              <w:spacing w:before="3" w:line="207" w:lineRule="exact"/>
              <w:ind w:right="283"/>
              <w:jc w:val="right"/>
              <w:rPr>
                <w:sz w:val="20"/>
              </w:rPr>
            </w:pPr>
            <w:r>
              <w:rPr>
                <w:spacing w:val="-10"/>
                <w:w w:val="115"/>
                <w:sz w:val="20"/>
              </w:rPr>
              <w:t>9</w:t>
            </w:r>
          </w:p>
        </w:tc>
        <w:tc>
          <w:tcPr>
            <w:tcW w:w="923" w:type="dxa"/>
          </w:tcPr>
          <w:p w14:paraId="63E568BA"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72EF8441" w14:textId="77777777" w:rsidR="00811887" w:rsidRDefault="00811887" w:rsidP="00486E22">
            <w:pPr>
              <w:pStyle w:val="TableParagraph"/>
              <w:spacing w:before="3" w:line="207" w:lineRule="exact"/>
              <w:ind w:right="114"/>
              <w:jc w:val="right"/>
              <w:rPr>
                <w:sz w:val="20"/>
              </w:rPr>
            </w:pPr>
            <w:r>
              <w:rPr>
                <w:spacing w:val="-5"/>
                <w:w w:val="115"/>
                <w:sz w:val="20"/>
              </w:rPr>
              <w:t>40</w:t>
            </w:r>
          </w:p>
        </w:tc>
      </w:tr>
      <w:tr w:rsidR="00811887" w14:paraId="53CA3703" w14:textId="77777777" w:rsidTr="00486E22">
        <w:trPr>
          <w:trHeight w:val="230"/>
        </w:trPr>
        <w:tc>
          <w:tcPr>
            <w:tcW w:w="3674" w:type="dxa"/>
            <w:tcBorders>
              <w:right w:val="single" w:sz="4" w:space="0" w:color="000000"/>
            </w:tcBorders>
          </w:tcPr>
          <w:p w14:paraId="5F366529" w14:textId="77777777" w:rsidR="00811887" w:rsidRDefault="00811887" w:rsidP="00486E22">
            <w:pPr>
              <w:pStyle w:val="TableParagraph"/>
              <w:spacing w:before="3" w:line="207" w:lineRule="exact"/>
              <w:ind w:left="105"/>
              <w:rPr>
                <w:sz w:val="20"/>
              </w:rPr>
            </w:pPr>
            <w:r>
              <w:rPr>
                <w:spacing w:val="-2"/>
                <w:w w:val="110"/>
                <w:sz w:val="20"/>
              </w:rPr>
              <w:t>West</w:t>
            </w:r>
            <w:r>
              <w:rPr>
                <w:spacing w:val="-3"/>
                <w:w w:val="110"/>
                <w:sz w:val="20"/>
              </w:rPr>
              <w:t xml:space="preserve"> </w:t>
            </w:r>
            <w:r>
              <w:rPr>
                <w:spacing w:val="-2"/>
                <w:w w:val="110"/>
                <w:sz w:val="20"/>
              </w:rPr>
              <w:t>MacDonnell</w:t>
            </w:r>
            <w:r>
              <w:rPr>
                <w:spacing w:val="-5"/>
                <w:w w:val="110"/>
                <w:sz w:val="20"/>
              </w:rPr>
              <w:t xml:space="preserve"> </w:t>
            </w:r>
            <w:r>
              <w:rPr>
                <w:spacing w:val="-2"/>
                <w:w w:val="110"/>
                <w:sz w:val="20"/>
              </w:rPr>
              <w:t>Ranges</w:t>
            </w:r>
          </w:p>
        </w:tc>
        <w:tc>
          <w:tcPr>
            <w:tcW w:w="1194" w:type="dxa"/>
            <w:tcBorders>
              <w:left w:val="single" w:sz="4" w:space="0" w:color="000000"/>
            </w:tcBorders>
          </w:tcPr>
          <w:p w14:paraId="44D3B25B"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086E2C72" w14:textId="77777777" w:rsidR="00811887" w:rsidRDefault="00811887" w:rsidP="00486E22">
            <w:pPr>
              <w:pStyle w:val="TableParagraph"/>
              <w:spacing w:before="3" w:line="207" w:lineRule="exact"/>
              <w:ind w:right="281"/>
              <w:jc w:val="right"/>
              <w:rPr>
                <w:sz w:val="20"/>
              </w:rPr>
            </w:pPr>
            <w:r>
              <w:rPr>
                <w:spacing w:val="-10"/>
                <w:w w:val="115"/>
                <w:sz w:val="20"/>
              </w:rPr>
              <w:t>7</w:t>
            </w:r>
          </w:p>
        </w:tc>
        <w:tc>
          <w:tcPr>
            <w:tcW w:w="1026" w:type="dxa"/>
          </w:tcPr>
          <w:p w14:paraId="05ABCDA9" w14:textId="77777777" w:rsidR="00811887" w:rsidRDefault="00811887" w:rsidP="00486E22">
            <w:pPr>
              <w:pStyle w:val="TableParagraph"/>
              <w:spacing w:before="3" w:line="207" w:lineRule="exact"/>
              <w:ind w:right="284"/>
              <w:jc w:val="right"/>
              <w:rPr>
                <w:sz w:val="20"/>
              </w:rPr>
            </w:pPr>
            <w:r>
              <w:rPr>
                <w:spacing w:val="-5"/>
                <w:w w:val="115"/>
                <w:sz w:val="20"/>
              </w:rPr>
              <w:t>21</w:t>
            </w:r>
          </w:p>
        </w:tc>
        <w:tc>
          <w:tcPr>
            <w:tcW w:w="1021" w:type="dxa"/>
          </w:tcPr>
          <w:p w14:paraId="2AFD815F" w14:textId="77777777" w:rsidR="00811887" w:rsidRDefault="00811887" w:rsidP="00486E22">
            <w:pPr>
              <w:pStyle w:val="TableParagraph"/>
              <w:spacing w:before="3" w:line="207" w:lineRule="exact"/>
              <w:ind w:right="283"/>
              <w:jc w:val="right"/>
              <w:rPr>
                <w:sz w:val="20"/>
              </w:rPr>
            </w:pPr>
            <w:r>
              <w:rPr>
                <w:spacing w:val="-10"/>
                <w:w w:val="115"/>
                <w:sz w:val="20"/>
              </w:rPr>
              <w:t>8</w:t>
            </w:r>
          </w:p>
        </w:tc>
        <w:tc>
          <w:tcPr>
            <w:tcW w:w="923" w:type="dxa"/>
          </w:tcPr>
          <w:p w14:paraId="5A58DD19"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1E26DBC8" w14:textId="77777777" w:rsidR="00811887" w:rsidRDefault="00811887" w:rsidP="00486E22">
            <w:pPr>
              <w:pStyle w:val="TableParagraph"/>
              <w:spacing w:before="3" w:line="207" w:lineRule="exact"/>
              <w:ind w:right="114"/>
              <w:jc w:val="right"/>
              <w:rPr>
                <w:sz w:val="20"/>
              </w:rPr>
            </w:pPr>
            <w:r>
              <w:rPr>
                <w:spacing w:val="-5"/>
                <w:w w:val="115"/>
                <w:sz w:val="20"/>
              </w:rPr>
              <w:t>39</w:t>
            </w:r>
          </w:p>
        </w:tc>
      </w:tr>
      <w:tr w:rsidR="00811887" w14:paraId="32FB45ED" w14:textId="77777777" w:rsidTr="00486E22">
        <w:trPr>
          <w:trHeight w:val="230"/>
        </w:trPr>
        <w:tc>
          <w:tcPr>
            <w:tcW w:w="3674" w:type="dxa"/>
            <w:tcBorders>
              <w:right w:val="single" w:sz="4" w:space="0" w:color="000000"/>
            </w:tcBorders>
          </w:tcPr>
          <w:p w14:paraId="0FAD4024" w14:textId="77777777" w:rsidR="00811887" w:rsidRDefault="00811887" w:rsidP="00486E22">
            <w:pPr>
              <w:pStyle w:val="TableParagraph"/>
              <w:spacing w:before="3" w:line="207" w:lineRule="exact"/>
              <w:ind w:left="105"/>
              <w:rPr>
                <w:sz w:val="20"/>
              </w:rPr>
            </w:pPr>
            <w:r>
              <w:rPr>
                <w:w w:val="110"/>
                <w:sz w:val="20"/>
              </w:rPr>
              <w:t>Menzies</w:t>
            </w:r>
            <w:r>
              <w:rPr>
                <w:spacing w:val="-6"/>
                <w:w w:val="110"/>
                <w:sz w:val="20"/>
              </w:rPr>
              <w:t xml:space="preserve"> </w:t>
            </w:r>
            <w:r>
              <w:rPr>
                <w:w w:val="110"/>
                <w:sz w:val="20"/>
              </w:rPr>
              <w:t>-</w:t>
            </w:r>
            <w:r>
              <w:rPr>
                <w:spacing w:val="-2"/>
                <w:w w:val="110"/>
                <w:sz w:val="20"/>
              </w:rPr>
              <w:t xml:space="preserve"> Leonora</w:t>
            </w:r>
          </w:p>
        </w:tc>
        <w:tc>
          <w:tcPr>
            <w:tcW w:w="1194" w:type="dxa"/>
            <w:tcBorders>
              <w:left w:val="single" w:sz="4" w:space="0" w:color="000000"/>
            </w:tcBorders>
          </w:tcPr>
          <w:p w14:paraId="04825496"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16F3B81D" w14:textId="77777777" w:rsidR="00811887" w:rsidRDefault="00811887" w:rsidP="00486E22">
            <w:pPr>
              <w:pStyle w:val="TableParagraph"/>
              <w:spacing w:before="3" w:line="207" w:lineRule="exact"/>
              <w:ind w:right="281"/>
              <w:jc w:val="right"/>
              <w:rPr>
                <w:sz w:val="20"/>
              </w:rPr>
            </w:pPr>
            <w:r>
              <w:rPr>
                <w:spacing w:val="-10"/>
                <w:w w:val="115"/>
                <w:sz w:val="20"/>
              </w:rPr>
              <w:t>3</w:t>
            </w:r>
          </w:p>
        </w:tc>
        <w:tc>
          <w:tcPr>
            <w:tcW w:w="1026" w:type="dxa"/>
          </w:tcPr>
          <w:p w14:paraId="1EEAFE2A" w14:textId="77777777" w:rsidR="00811887" w:rsidRDefault="00811887" w:rsidP="00486E22">
            <w:pPr>
              <w:pStyle w:val="TableParagraph"/>
              <w:spacing w:before="3" w:line="207" w:lineRule="exact"/>
              <w:ind w:right="284"/>
              <w:jc w:val="right"/>
              <w:rPr>
                <w:sz w:val="20"/>
              </w:rPr>
            </w:pPr>
            <w:r>
              <w:rPr>
                <w:spacing w:val="-5"/>
                <w:w w:val="115"/>
                <w:sz w:val="20"/>
              </w:rPr>
              <w:t>10</w:t>
            </w:r>
          </w:p>
        </w:tc>
        <w:tc>
          <w:tcPr>
            <w:tcW w:w="1021" w:type="dxa"/>
          </w:tcPr>
          <w:p w14:paraId="38254BA1" w14:textId="77777777" w:rsidR="00811887" w:rsidRDefault="00811887" w:rsidP="00486E22">
            <w:pPr>
              <w:pStyle w:val="TableParagraph"/>
              <w:spacing w:before="3" w:line="207" w:lineRule="exact"/>
              <w:ind w:right="283"/>
              <w:jc w:val="right"/>
              <w:rPr>
                <w:sz w:val="20"/>
              </w:rPr>
            </w:pPr>
            <w:r>
              <w:rPr>
                <w:spacing w:val="-10"/>
                <w:w w:val="115"/>
                <w:sz w:val="20"/>
              </w:rPr>
              <w:t>4</w:t>
            </w:r>
          </w:p>
        </w:tc>
        <w:tc>
          <w:tcPr>
            <w:tcW w:w="923" w:type="dxa"/>
          </w:tcPr>
          <w:p w14:paraId="09D32613"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04685E6E" w14:textId="77777777" w:rsidR="00811887" w:rsidRDefault="00811887" w:rsidP="00486E22">
            <w:pPr>
              <w:pStyle w:val="TableParagraph"/>
              <w:spacing w:before="3" w:line="207" w:lineRule="exact"/>
              <w:ind w:right="114"/>
              <w:jc w:val="right"/>
              <w:rPr>
                <w:sz w:val="20"/>
              </w:rPr>
            </w:pPr>
            <w:r>
              <w:rPr>
                <w:spacing w:val="-5"/>
                <w:w w:val="115"/>
                <w:sz w:val="20"/>
              </w:rPr>
              <w:t>19</w:t>
            </w:r>
          </w:p>
        </w:tc>
      </w:tr>
      <w:tr w:rsidR="00811887" w14:paraId="2FD0B59A" w14:textId="77777777" w:rsidTr="00486E22">
        <w:trPr>
          <w:trHeight w:val="230"/>
        </w:trPr>
        <w:tc>
          <w:tcPr>
            <w:tcW w:w="3674" w:type="dxa"/>
            <w:tcBorders>
              <w:right w:val="single" w:sz="4" w:space="0" w:color="000000"/>
            </w:tcBorders>
          </w:tcPr>
          <w:p w14:paraId="6CB67621" w14:textId="77777777" w:rsidR="00811887" w:rsidRDefault="00811887" w:rsidP="00486E22">
            <w:pPr>
              <w:pStyle w:val="TableParagraph"/>
              <w:spacing w:before="3" w:line="207" w:lineRule="exact"/>
              <w:ind w:left="105"/>
              <w:rPr>
                <w:sz w:val="20"/>
              </w:rPr>
            </w:pPr>
            <w:r>
              <w:rPr>
                <w:w w:val="110"/>
                <w:sz w:val="20"/>
              </w:rPr>
              <w:t>Kaltukatjara</w:t>
            </w:r>
            <w:r>
              <w:rPr>
                <w:spacing w:val="-12"/>
                <w:w w:val="110"/>
                <w:sz w:val="20"/>
              </w:rPr>
              <w:t xml:space="preserve"> </w:t>
            </w:r>
            <w:r>
              <w:rPr>
                <w:w w:val="110"/>
                <w:sz w:val="20"/>
              </w:rPr>
              <w:t>and</w:t>
            </w:r>
            <w:r>
              <w:rPr>
                <w:spacing w:val="-10"/>
                <w:w w:val="110"/>
                <w:sz w:val="20"/>
              </w:rPr>
              <w:t xml:space="preserve"> </w:t>
            </w:r>
            <w:r>
              <w:rPr>
                <w:spacing w:val="-2"/>
                <w:w w:val="110"/>
                <w:sz w:val="20"/>
              </w:rPr>
              <w:t>Outstations</w:t>
            </w:r>
          </w:p>
        </w:tc>
        <w:tc>
          <w:tcPr>
            <w:tcW w:w="1194" w:type="dxa"/>
            <w:tcBorders>
              <w:left w:val="single" w:sz="4" w:space="0" w:color="000000"/>
            </w:tcBorders>
          </w:tcPr>
          <w:p w14:paraId="2EDEB272" w14:textId="77777777" w:rsidR="00811887" w:rsidRDefault="00811887" w:rsidP="00486E22">
            <w:pPr>
              <w:pStyle w:val="TableParagraph"/>
              <w:spacing w:before="3" w:line="207" w:lineRule="exact"/>
              <w:ind w:right="280"/>
              <w:jc w:val="right"/>
              <w:rPr>
                <w:sz w:val="20"/>
              </w:rPr>
            </w:pPr>
            <w:r>
              <w:rPr>
                <w:spacing w:val="-10"/>
                <w:w w:val="115"/>
                <w:sz w:val="20"/>
              </w:rPr>
              <w:t>0</w:t>
            </w:r>
          </w:p>
        </w:tc>
        <w:tc>
          <w:tcPr>
            <w:tcW w:w="1024" w:type="dxa"/>
          </w:tcPr>
          <w:p w14:paraId="30708CF7" w14:textId="77777777" w:rsidR="00811887" w:rsidRDefault="00811887" w:rsidP="00486E22">
            <w:pPr>
              <w:pStyle w:val="TableParagraph"/>
              <w:spacing w:before="3" w:line="207" w:lineRule="exact"/>
              <w:ind w:right="281"/>
              <w:jc w:val="right"/>
              <w:rPr>
                <w:sz w:val="20"/>
              </w:rPr>
            </w:pPr>
            <w:r>
              <w:rPr>
                <w:spacing w:val="-10"/>
                <w:w w:val="115"/>
                <w:sz w:val="20"/>
              </w:rPr>
              <w:t>3</w:t>
            </w:r>
          </w:p>
        </w:tc>
        <w:tc>
          <w:tcPr>
            <w:tcW w:w="1026" w:type="dxa"/>
          </w:tcPr>
          <w:p w14:paraId="68DCB97E" w14:textId="77777777" w:rsidR="00811887" w:rsidRDefault="00811887" w:rsidP="00486E22">
            <w:pPr>
              <w:pStyle w:val="TableParagraph"/>
              <w:spacing w:before="3" w:line="207" w:lineRule="exact"/>
              <w:ind w:right="284"/>
              <w:jc w:val="right"/>
              <w:rPr>
                <w:sz w:val="20"/>
              </w:rPr>
            </w:pPr>
            <w:r>
              <w:rPr>
                <w:spacing w:val="-10"/>
                <w:w w:val="115"/>
                <w:sz w:val="20"/>
              </w:rPr>
              <w:t>8</w:t>
            </w:r>
          </w:p>
        </w:tc>
        <w:tc>
          <w:tcPr>
            <w:tcW w:w="1021" w:type="dxa"/>
          </w:tcPr>
          <w:p w14:paraId="76C507D6" w14:textId="77777777" w:rsidR="00811887" w:rsidRDefault="00811887" w:rsidP="00486E22">
            <w:pPr>
              <w:pStyle w:val="TableParagraph"/>
              <w:spacing w:before="3" w:line="207" w:lineRule="exact"/>
              <w:ind w:right="283"/>
              <w:jc w:val="right"/>
              <w:rPr>
                <w:sz w:val="20"/>
              </w:rPr>
            </w:pPr>
            <w:r>
              <w:rPr>
                <w:spacing w:val="-10"/>
                <w:w w:val="115"/>
                <w:sz w:val="20"/>
              </w:rPr>
              <w:t>3</w:t>
            </w:r>
          </w:p>
        </w:tc>
        <w:tc>
          <w:tcPr>
            <w:tcW w:w="923" w:type="dxa"/>
          </w:tcPr>
          <w:p w14:paraId="7FCAA09D"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1B809B40" w14:textId="77777777" w:rsidR="00811887" w:rsidRDefault="00811887" w:rsidP="00486E22">
            <w:pPr>
              <w:pStyle w:val="TableParagraph"/>
              <w:spacing w:before="3" w:line="207" w:lineRule="exact"/>
              <w:ind w:right="114"/>
              <w:jc w:val="right"/>
              <w:rPr>
                <w:sz w:val="20"/>
              </w:rPr>
            </w:pPr>
            <w:r>
              <w:rPr>
                <w:spacing w:val="-5"/>
                <w:w w:val="115"/>
                <w:sz w:val="20"/>
              </w:rPr>
              <w:t>15</w:t>
            </w:r>
          </w:p>
        </w:tc>
      </w:tr>
      <w:tr w:rsidR="00811887" w14:paraId="32EBB9AC" w14:textId="77777777" w:rsidTr="00486E22">
        <w:trPr>
          <w:trHeight w:val="230"/>
        </w:trPr>
        <w:tc>
          <w:tcPr>
            <w:tcW w:w="3674" w:type="dxa"/>
            <w:tcBorders>
              <w:right w:val="single" w:sz="4" w:space="0" w:color="000000"/>
            </w:tcBorders>
          </w:tcPr>
          <w:p w14:paraId="74D39621" w14:textId="77777777" w:rsidR="00811887" w:rsidRDefault="00811887" w:rsidP="00486E22">
            <w:pPr>
              <w:pStyle w:val="TableParagraph"/>
              <w:spacing w:before="3" w:line="207" w:lineRule="exact"/>
              <w:ind w:left="105"/>
              <w:rPr>
                <w:sz w:val="20"/>
              </w:rPr>
            </w:pPr>
            <w:r>
              <w:rPr>
                <w:spacing w:val="-2"/>
                <w:w w:val="110"/>
                <w:sz w:val="20"/>
              </w:rPr>
              <w:t>Perth</w:t>
            </w:r>
          </w:p>
        </w:tc>
        <w:tc>
          <w:tcPr>
            <w:tcW w:w="1194" w:type="dxa"/>
            <w:tcBorders>
              <w:left w:val="single" w:sz="4" w:space="0" w:color="000000"/>
            </w:tcBorders>
          </w:tcPr>
          <w:p w14:paraId="7433713D" w14:textId="77777777" w:rsidR="00811887" w:rsidRDefault="00811887" w:rsidP="00486E22">
            <w:pPr>
              <w:pStyle w:val="TableParagraph"/>
              <w:spacing w:before="3" w:line="207" w:lineRule="exact"/>
              <w:ind w:right="280"/>
              <w:jc w:val="right"/>
              <w:rPr>
                <w:sz w:val="20"/>
              </w:rPr>
            </w:pPr>
            <w:r>
              <w:rPr>
                <w:spacing w:val="-10"/>
                <w:w w:val="115"/>
                <w:sz w:val="20"/>
              </w:rPr>
              <w:t>2</w:t>
            </w:r>
          </w:p>
        </w:tc>
        <w:tc>
          <w:tcPr>
            <w:tcW w:w="1024" w:type="dxa"/>
          </w:tcPr>
          <w:p w14:paraId="748C17BC" w14:textId="77777777" w:rsidR="00811887" w:rsidRDefault="00811887" w:rsidP="00486E22">
            <w:pPr>
              <w:pStyle w:val="TableParagraph"/>
              <w:spacing w:before="3" w:line="207" w:lineRule="exact"/>
              <w:ind w:right="281"/>
              <w:jc w:val="right"/>
              <w:rPr>
                <w:sz w:val="20"/>
              </w:rPr>
            </w:pPr>
            <w:r>
              <w:rPr>
                <w:spacing w:val="-5"/>
                <w:w w:val="115"/>
                <w:sz w:val="20"/>
              </w:rPr>
              <w:t>15</w:t>
            </w:r>
          </w:p>
        </w:tc>
        <w:tc>
          <w:tcPr>
            <w:tcW w:w="1026" w:type="dxa"/>
          </w:tcPr>
          <w:p w14:paraId="3D777AC3" w14:textId="77777777" w:rsidR="00811887" w:rsidRDefault="00811887" w:rsidP="00486E22">
            <w:pPr>
              <w:pStyle w:val="TableParagraph"/>
              <w:spacing w:before="3" w:line="207" w:lineRule="exact"/>
              <w:ind w:right="284"/>
              <w:jc w:val="right"/>
              <w:rPr>
                <w:sz w:val="20"/>
              </w:rPr>
            </w:pPr>
            <w:r>
              <w:rPr>
                <w:spacing w:val="-5"/>
                <w:w w:val="115"/>
                <w:sz w:val="20"/>
              </w:rPr>
              <w:t>46</w:t>
            </w:r>
          </w:p>
        </w:tc>
        <w:tc>
          <w:tcPr>
            <w:tcW w:w="1021" w:type="dxa"/>
          </w:tcPr>
          <w:p w14:paraId="2BAD613C" w14:textId="77777777" w:rsidR="00811887" w:rsidRDefault="00811887" w:rsidP="00486E22">
            <w:pPr>
              <w:pStyle w:val="TableParagraph"/>
              <w:spacing w:before="3" w:line="207" w:lineRule="exact"/>
              <w:ind w:right="282"/>
              <w:jc w:val="right"/>
              <w:rPr>
                <w:sz w:val="20"/>
              </w:rPr>
            </w:pPr>
            <w:r>
              <w:rPr>
                <w:spacing w:val="-5"/>
                <w:w w:val="115"/>
                <w:sz w:val="20"/>
              </w:rPr>
              <w:t>19</w:t>
            </w:r>
          </w:p>
        </w:tc>
        <w:tc>
          <w:tcPr>
            <w:tcW w:w="923" w:type="dxa"/>
          </w:tcPr>
          <w:p w14:paraId="3577FED5" w14:textId="77777777" w:rsidR="00811887" w:rsidRDefault="00811887" w:rsidP="00486E22">
            <w:pPr>
              <w:pStyle w:val="TableParagraph"/>
              <w:spacing w:before="3" w:line="207" w:lineRule="exact"/>
              <w:ind w:right="183"/>
              <w:jc w:val="right"/>
              <w:rPr>
                <w:sz w:val="20"/>
              </w:rPr>
            </w:pPr>
            <w:r>
              <w:rPr>
                <w:spacing w:val="-10"/>
                <w:w w:val="115"/>
                <w:sz w:val="20"/>
              </w:rPr>
              <w:t>3</w:t>
            </w:r>
          </w:p>
        </w:tc>
        <w:tc>
          <w:tcPr>
            <w:tcW w:w="964" w:type="dxa"/>
          </w:tcPr>
          <w:p w14:paraId="57780885" w14:textId="77777777" w:rsidR="00811887" w:rsidRDefault="00811887" w:rsidP="00486E22">
            <w:pPr>
              <w:pStyle w:val="TableParagraph"/>
              <w:spacing w:before="3" w:line="207" w:lineRule="exact"/>
              <w:ind w:right="114"/>
              <w:jc w:val="right"/>
              <w:rPr>
                <w:sz w:val="20"/>
              </w:rPr>
            </w:pPr>
            <w:r>
              <w:rPr>
                <w:spacing w:val="-5"/>
                <w:w w:val="115"/>
                <w:sz w:val="20"/>
              </w:rPr>
              <w:t>85</w:t>
            </w:r>
          </w:p>
        </w:tc>
      </w:tr>
      <w:tr w:rsidR="00811887" w14:paraId="7CE44DE7" w14:textId="77777777" w:rsidTr="00486E22">
        <w:trPr>
          <w:trHeight w:val="230"/>
        </w:trPr>
        <w:tc>
          <w:tcPr>
            <w:tcW w:w="3674" w:type="dxa"/>
            <w:tcBorders>
              <w:right w:val="single" w:sz="4" w:space="0" w:color="000000"/>
            </w:tcBorders>
          </w:tcPr>
          <w:p w14:paraId="183ECFC8" w14:textId="77777777" w:rsidR="00811887" w:rsidRDefault="00811887" w:rsidP="00486E22">
            <w:pPr>
              <w:pStyle w:val="TableParagraph"/>
              <w:spacing w:before="3" w:line="207" w:lineRule="exact"/>
              <w:ind w:left="105"/>
              <w:rPr>
                <w:sz w:val="20"/>
              </w:rPr>
            </w:pPr>
            <w:r>
              <w:rPr>
                <w:spacing w:val="-2"/>
                <w:w w:val="105"/>
                <w:sz w:val="20"/>
              </w:rPr>
              <w:t>Malak</w:t>
            </w:r>
          </w:p>
        </w:tc>
        <w:tc>
          <w:tcPr>
            <w:tcW w:w="1194" w:type="dxa"/>
            <w:tcBorders>
              <w:left w:val="single" w:sz="4" w:space="0" w:color="000000"/>
            </w:tcBorders>
          </w:tcPr>
          <w:p w14:paraId="3CB5EC65"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2A3AB622" w14:textId="77777777" w:rsidR="00811887" w:rsidRDefault="00811887" w:rsidP="00486E22">
            <w:pPr>
              <w:pStyle w:val="TableParagraph"/>
              <w:spacing w:before="3" w:line="207" w:lineRule="exact"/>
              <w:ind w:right="281"/>
              <w:jc w:val="right"/>
              <w:rPr>
                <w:sz w:val="20"/>
              </w:rPr>
            </w:pPr>
            <w:r>
              <w:rPr>
                <w:spacing w:val="-10"/>
                <w:w w:val="115"/>
                <w:sz w:val="20"/>
              </w:rPr>
              <w:t>8</w:t>
            </w:r>
          </w:p>
        </w:tc>
        <w:tc>
          <w:tcPr>
            <w:tcW w:w="1026" w:type="dxa"/>
          </w:tcPr>
          <w:p w14:paraId="296A0F38" w14:textId="77777777" w:rsidR="00811887" w:rsidRDefault="00811887" w:rsidP="00486E22">
            <w:pPr>
              <w:pStyle w:val="TableParagraph"/>
              <w:spacing w:before="3" w:line="207" w:lineRule="exact"/>
              <w:ind w:right="284"/>
              <w:jc w:val="right"/>
              <w:rPr>
                <w:sz w:val="20"/>
              </w:rPr>
            </w:pPr>
            <w:r>
              <w:rPr>
                <w:spacing w:val="-5"/>
                <w:w w:val="115"/>
                <w:sz w:val="20"/>
              </w:rPr>
              <w:t>22</w:t>
            </w:r>
          </w:p>
        </w:tc>
        <w:tc>
          <w:tcPr>
            <w:tcW w:w="1021" w:type="dxa"/>
          </w:tcPr>
          <w:p w14:paraId="64D69B27" w14:textId="77777777" w:rsidR="00811887" w:rsidRDefault="00811887" w:rsidP="00486E22">
            <w:pPr>
              <w:pStyle w:val="TableParagraph"/>
              <w:spacing w:before="3" w:line="207" w:lineRule="exact"/>
              <w:ind w:right="283"/>
              <w:jc w:val="right"/>
              <w:rPr>
                <w:sz w:val="20"/>
              </w:rPr>
            </w:pPr>
            <w:r>
              <w:rPr>
                <w:spacing w:val="-10"/>
                <w:w w:val="115"/>
                <w:sz w:val="20"/>
              </w:rPr>
              <w:t>9</w:t>
            </w:r>
          </w:p>
        </w:tc>
        <w:tc>
          <w:tcPr>
            <w:tcW w:w="923" w:type="dxa"/>
          </w:tcPr>
          <w:p w14:paraId="180B0FC5"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7B68C1EB" w14:textId="77777777" w:rsidR="00811887" w:rsidRDefault="00811887" w:rsidP="00486E22">
            <w:pPr>
              <w:pStyle w:val="TableParagraph"/>
              <w:spacing w:before="3" w:line="207" w:lineRule="exact"/>
              <w:ind w:right="114"/>
              <w:jc w:val="right"/>
              <w:rPr>
                <w:sz w:val="20"/>
              </w:rPr>
            </w:pPr>
            <w:r>
              <w:rPr>
                <w:spacing w:val="-5"/>
                <w:w w:val="115"/>
                <w:sz w:val="20"/>
              </w:rPr>
              <w:t>42</w:t>
            </w:r>
          </w:p>
        </w:tc>
      </w:tr>
      <w:tr w:rsidR="00811887" w14:paraId="714F8311" w14:textId="77777777" w:rsidTr="00486E22">
        <w:trPr>
          <w:trHeight w:val="230"/>
        </w:trPr>
        <w:tc>
          <w:tcPr>
            <w:tcW w:w="3674" w:type="dxa"/>
            <w:tcBorders>
              <w:right w:val="single" w:sz="4" w:space="0" w:color="000000"/>
            </w:tcBorders>
          </w:tcPr>
          <w:p w14:paraId="5D8D88BC" w14:textId="77777777" w:rsidR="00811887" w:rsidRDefault="00811887" w:rsidP="00486E22">
            <w:pPr>
              <w:pStyle w:val="TableParagraph"/>
              <w:spacing w:before="3" w:line="208" w:lineRule="exact"/>
              <w:ind w:left="105"/>
              <w:rPr>
                <w:sz w:val="20"/>
              </w:rPr>
            </w:pPr>
            <w:r>
              <w:rPr>
                <w:spacing w:val="-2"/>
                <w:w w:val="110"/>
                <w:sz w:val="20"/>
              </w:rPr>
              <w:t>Warburton</w:t>
            </w:r>
          </w:p>
        </w:tc>
        <w:tc>
          <w:tcPr>
            <w:tcW w:w="1194" w:type="dxa"/>
            <w:tcBorders>
              <w:left w:val="single" w:sz="4" w:space="0" w:color="000000"/>
            </w:tcBorders>
          </w:tcPr>
          <w:p w14:paraId="19C36AD7" w14:textId="77777777" w:rsidR="00811887" w:rsidRDefault="00811887" w:rsidP="00486E22">
            <w:pPr>
              <w:pStyle w:val="TableParagraph"/>
              <w:spacing w:before="3" w:line="208" w:lineRule="exact"/>
              <w:ind w:right="280"/>
              <w:jc w:val="right"/>
              <w:rPr>
                <w:sz w:val="20"/>
              </w:rPr>
            </w:pPr>
            <w:r>
              <w:rPr>
                <w:spacing w:val="-10"/>
                <w:w w:val="115"/>
                <w:sz w:val="20"/>
              </w:rPr>
              <w:t>1</w:t>
            </w:r>
          </w:p>
        </w:tc>
        <w:tc>
          <w:tcPr>
            <w:tcW w:w="1024" w:type="dxa"/>
          </w:tcPr>
          <w:p w14:paraId="78E68C13" w14:textId="77777777" w:rsidR="00811887" w:rsidRDefault="00811887" w:rsidP="00486E22">
            <w:pPr>
              <w:pStyle w:val="TableParagraph"/>
              <w:spacing w:before="3" w:line="208" w:lineRule="exact"/>
              <w:ind w:right="281"/>
              <w:jc w:val="right"/>
              <w:rPr>
                <w:sz w:val="20"/>
              </w:rPr>
            </w:pPr>
            <w:r>
              <w:rPr>
                <w:spacing w:val="-10"/>
                <w:w w:val="115"/>
                <w:sz w:val="20"/>
              </w:rPr>
              <w:t>4</w:t>
            </w:r>
          </w:p>
        </w:tc>
        <w:tc>
          <w:tcPr>
            <w:tcW w:w="1026" w:type="dxa"/>
          </w:tcPr>
          <w:p w14:paraId="3F98AA2A" w14:textId="77777777" w:rsidR="00811887" w:rsidRDefault="00811887" w:rsidP="00486E22">
            <w:pPr>
              <w:pStyle w:val="TableParagraph"/>
              <w:spacing w:before="3" w:line="208" w:lineRule="exact"/>
              <w:ind w:right="284"/>
              <w:jc w:val="right"/>
              <w:rPr>
                <w:sz w:val="20"/>
              </w:rPr>
            </w:pPr>
            <w:r>
              <w:rPr>
                <w:spacing w:val="-5"/>
                <w:w w:val="115"/>
                <w:sz w:val="20"/>
              </w:rPr>
              <w:t>12</w:t>
            </w:r>
          </w:p>
        </w:tc>
        <w:tc>
          <w:tcPr>
            <w:tcW w:w="1021" w:type="dxa"/>
          </w:tcPr>
          <w:p w14:paraId="5EC4F16F" w14:textId="77777777" w:rsidR="00811887" w:rsidRDefault="00811887" w:rsidP="00486E22">
            <w:pPr>
              <w:pStyle w:val="TableParagraph"/>
              <w:spacing w:before="3" w:line="208" w:lineRule="exact"/>
              <w:ind w:right="283"/>
              <w:jc w:val="right"/>
              <w:rPr>
                <w:sz w:val="20"/>
              </w:rPr>
            </w:pPr>
            <w:r>
              <w:rPr>
                <w:spacing w:val="-10"/>
                <w:w w:val="115"/>
                <w:sz w:val="20"/>
              </w:rPr>
              <w:t>5</w:t>
            </w:r>
          </w:p>
        </w:tc>
        <w:tc>
          <w:tcPr>
            <w:tcW w:w="923" w:type="dxa"/>
          </w:tcPr>
          <w:p w14:paraId="446F29E8" w14:textId="77777777" w:rsidR="00811887" w:rsidRDefault="00811887" w:rsidP="00486E22">
            <w:pPr>
              <w:pStyle w:val="TableParagraph"/>
              <w:spacing w:before="3" w:line="208" w:lineRule="exact"/>
              <w:ind w:right="183"/>
              <w:jc w:val="right"/>
              <w:rPr>
                <w:sz w:val="20"/>
              </w:rPr>
            </w:pPr>
            <w:r>
              <w:rPr>
                <w:spacing w:val="-10"/>
                <w:w w:val="115"/>
                <w:sz w:val="20"/>
              </w:rPr>
              <w:t>1</w:t>
            </w:r>
          </w:p>
        </w:tc>
        <w:tc>
          <w:tcPr>
            <w:tcW w:w="964" w:type="dxa"/>
          </w:tcPr>
          <w:p w14:paraId="77A78969" w14:textId="77777777" w:rsidR="00811887" w:rsidRDefault="00811887" w:rsidP="00486E22">
            <w:pPr>
              <w:pStyle w:val="TableParagraph"/>
              <w:spacing w:before="3" w:line="208" w:lineRule="exact"/>
              <w:ind w:right="114"/>
              <w:jc w:val="right"/>
              <w:rPr>
                <w:sz w:val="20"/>
              </w:rPr>
            </w:pPr>
            <w:r>
              <w:rPr>
                <w:spacing w:val="-5"/>
                <w:w w:val="115"/>
                <w:sz w:val="20"/>
              </w:rPr>
              <w:t>23</w:t>
            </w:r>
          </w:p>
        </w:tc>
      </w:tr>
      <w:tr w:rsidR="00811887" w14:paraId="46ABF4BF" w14:textId="77777777" w:rsidTr="00486E22">
        <w:trPr>
          <w:trHeight w:val="228"/>
        </w:trPr>
        <w:tc>
          <w:tcPr>
            <w:tcW w:w="3674" w:type="dxa"/>
            <w:tcBorders>
              <w:right w:val="single" w:sz="4" w:space="0" w:color="000000"/>
            </w:tcBorders>
          </w:tcPr>
          <w:p w14:paraId="1264222F" w14:textId="77777777" w:rsidR="00811887" w:rsidRDefault="00811887" w:rsidP="00486E22">
            <w:pPr>
              <w:pStyle w:val="TableParagraph"/>
              <w:spacing w:before="3" w:line="205" w:lineRule="exact"/>
              <w:ind w:left="105"/>
              <w:rPr>
                <w:sz w:val="20"/>
              </w:rPr>
            </w:pPr>
            <w:r>
              <w:rPr>
                <w:w w:val="110"/>
                <w:sz w:val="20"/>
              </w:rPr>
              <w:t>Great</w:t>
            </w:r>
            <w:r>
              <w:rPr>
                <w:spacing w:val="4"/>
                <w:w w:val="110"/>
                <w:sz w:val="20"/>
              </w:rPr>
              <w:t xml:space="preserve"> </w:t>
            </w:r>
            <w:r>
              <w:rPr>
                <w:w w:val="110"/>
                <w:sz w:val="20"/>
              </w:rPr>
              <w:t>Sandy</w:t>
            </w:r>
            <w:r>
              <w:rPr>
                <w:spacing w:val="4"/>
                <w:w w:val="110"/>
                <w:sz w:val="20"/>
              </w:rPr>
              <w:t xml:space="preserve"> </w:t>
            </w:r>
            <w:r>
              <w:rPr>
                <w:spacing w:val="-2"/>
                <w:w w:val="110"/>
                <w:sz w:val="20"/>
              </w:rPr>
              <w:t>Desert</w:t>
            </w:r>
          </w:p>
        </w:tc>
        <w:tc>
          <w:tcPr>
            <w:tcW w:w="1194" w:type="dxa"/>
            <w:tcBorders>
              <w:left w:val="single" w:sz="4" w:space="0" w:color="000000"/>
            </w:tcBorders>
          </w:tcPr>
          <w:p w14:paraId="2680140E" w14:textId="77777777" w:rsidR="00811887" w:rsidRDefault="00811887" w:rsidP="00486E22">
            <w:pPr>
              <w:pStyle w:val="TableParagraph"/>
              <w:spacing w:before="3" w:line="205" w:lineRule="exact"/>
              <w:ind w:right="280"/>
              <w:jc w:val="right"/>
              <w:rPr>
                <w:sz w:val="20"/>
              </w:rPr>
            </w:pPr>
            <w:r>
              <w:rPr>
                <w:spacing w:val="-10"/>
                <w:w w:val="115"/>
                <w:sz w:val="20"/>
              </w:rPr>
              <w:t>1</w:t>
            </w:r>
          </w:p>
        </w:tc>
        <w:tc>
          <w:tcPr>
            <w:tcW w:w="1024" w:type="dxa"/>
          </w:tcPr>
          <w:p w14:paraId="1A8E32A8" w14:textId="77777777" w:rsidR="00811887" w:rsidRDefault="00811887" w:rsidP="00486E22">
            <w:pPr>
              <w:pStyle w:val="TableParagraph"/>
              <w:spacing w:before="3" w:line="205" w:lineRule="exact"/>
              <w:ind w:right="281"/>
              <w:jc w:val="right"/>
              <w:rPr>
                <w:sz w:val="20"/>
              </w:rPr>
            </w:pPr>
            <w:r>
              <w:rPr>
                <w:spacing w:val="-10"/>
                <w:w w:val="115"/>
                <w:sz w:val="20"/>
              </w:rPr>
              <w:t>9</w:t>
            </w:r>
          </w:p>
        </w:tc>
        <w:tc>
          <w:tcPr>
            <w:tcW w:w="1026" w:type="dxa"/>
          </w:tcPr>
          <w:p w14:paraId="5C3A1B24" w14:textId="77777777" w:rsidR="00811887" w:rsidRDefault="00811887" w:rsidP="00486E22">
            <w:pPr>
              <w:pStyle w:val="TableParagraph"/>
              <w:spacing w:before="3" w:line="205" w:lineRule="exact"/>
              <w:ind w:right="284"/>
              <w:jc w:val="right"/>
              <w:rPr>
                <w:sz w:val="20"/>
              </w:rPr>
            </w:pPr>
            <w:r>
              <w:rPr>
                <w:spacing w:val="-5"/>
                <w:w w:val="115"/>
                <w:sz w:val="20"/>
              </w:rPr>
              <w:t>27</w:t>
            </w:r>
          </w:p>
        </w:tc>
        <w:tc>
          <w:tcPr>
            <w:tcW w:w="1021" w:type="dxa"/>
          </w:tcPr>
          <w:p w14:paraId="3C301230" w14:textId="77777777" w:rsidR="00811887" w:rsidRDefault="00811887" w:rsidP="00486E22">
            <w:pPr>
              <w:pStyle w:val="TableParagraph"/>
              <w:spacing w:before="3" w:line="205" w:lineRule="exact"/>
              <w:ind w:right="282"/>
              <w:jc w:val="right"/>
              <w:rPr>
                <w:sz w:val="20"/>
              </w:rPr>
            </w:pPr>
            <w:r>
              <w:rPr>
                <w:spacing w:val="-5"/>
                <w:w w:val="115"/>
                <w:sz w:val="20"/>
              </w:rPr>
              <w:t>11</w:t>
            </w:r>
          </w:p>
        </w:tc>
        <w:tc>
          <w:tcPr>
            <w:tcW w:w="923" w:type="dxa"/>
          </w:tcPr>
          <w:p w14:paraId="1B369AAD" w14:textId="77777777" w:rsidR="00811887" w:rsidRDefault="00811887" w:rsidP="00486E22">
            <w:pPr>
              <w:pStyle w:val="TableParagraph"/>
              <w:spacing w:before="3" w:line="205" w:lineRule="exact"/>
              <w:ind w:right="183"/>
              <w:jc w:val="right"/>
              <w:rPr>
                <w:sz w:val="20"/>
              </w:rPr>
            </w:pPr>
            <w:r>
              <w:rPr>
                <w:spacing w:val="-10"/>
                <w:w w:val="115"/>
                <w:sz w:val="20"/>
              </w:rPr>
              <w:t>2</w:t>
            </w:r>
          </w:p>
        </w:tc>
        <w:tc>
          <w:tcPr>
            <w:tcW w:w="964" w:type="dxa"/>
          </w:tcPr>
          <w:p w14:paraId="18D88D28" w14:textId="77777777" w:rsidR="00811887" w:rsidRDefault="00811887" w:rsidP="00486E22">
            <w:pPr>
              <w:pStyle w:val="TableParagraph"/>
              <w:spacing w:before="3" w:line="205" w:lineRule="exact"/>
              <w:ind w:right="114"/>
              <w:jc w:val="right"/>
              <w:rPr>
                <w:sz w:val="20"/>
              </w:rPr>
            </w:pPr>
            <w:r>
              <w:rPr>
                <w:spacing w:val="-5"/>
                <w:w w:val="115"/>
                <w:sz w:val="20"/>
              </w:rPr>
              <w:t>51</w:t>
            </w:r>
          </w:p>
        </w:tc>
      </w:tr>
      <w:tr w:rsidR="00811887" w14:paraId="30E4AC7F" w14:textId="77777777" w:rsidTr="00486E22">
        <w:trPr>
          <w:trHeight w:val="228"/>
        </w:trPr>
        <w:tc>
          <w:tcPr>
            <w:tcW w:w="3674" w:type="dxa"/>
            <w:tcBorders>
              <w:right w:val="single" w:sz="4" w:space="0" w:color="000000"/>
            </w:tcBorders>
          </w:tcPr>
          <w:p w14:paraId="4DD92C96" w14:textId="77777777" w:rsidR="00811887" w:rsidRDefault="00811887" w:rsidP="00486E22">
            <w:pPr>
              <w:pStyle w:val="TableParagraph"/>
              <w:spacing w:line="207" w:lineRule="exact"/>
              <w:ind w:left="105"/>
              <w:rPr>
                <w:sz w:val="20"/>
              </w:rPr>
            </w:pPr>
            <w:r>
              <w:rPr>
                <w:spacing w:val="-2"/>
                <w:w w:val="110"/>
                <w:sz w:val="20"/>
              </w:rPr>
              <w:t>Pormpuraaw</w:t>
            </w:r>
          </w:p>
        </w:tc>
        <w:tc>
          <w:tcPr>
            <w:tcW w:w="1194" w:type="dxa"/>
            <w:tcBorders>
              <w:left w:val="single" w:sz="4" w:space="0" w:color="000000"/>
            </w:tcBorders>
          </w:tcPr>
          <w:p w14:paraId="1F90513C" w14:textId="77777777" w:rsidR="00811887" w:rsidRDefault="00811887" w:rsidP="00486E22">
            <w:pPr>
              <w:pStyle w:val="TableParagraph"/>
              <w:spacing w:line="207" w:lineRule="exact"/>
              <w:ind w:right="280"/>
              <w:jc w:val="right"/>
              <w:rPr>
                <w:sz w:val="20"/>
              </w:rPr>
            </w:pPr>
            <w:r>
              <w:rPr>
                <w:spacing w:val="-10"/>
                <w:w w:val="115"/>
                <w:sz w:val="20"/>
              </w:rPr>
              <w:t>1</w:t>
            </w:r>
          </w:p>
        </w:tc>
        <w:tc>
          <w:tcPr>
            <w:tcW w:w="1024" w:type="dxa"/>
          </w:tcPr>
          <w:p w14:paraId="7E891CFF" w14:textId="77777777" w:rsidR="00811887" w:rsidRDefault="00811887" w:rsidP="00486E22">
            <w:pPr>
              <w:pStyle w:val="TableParagraph"/>
              <w:spacing w:line="207" w:lineRule="exact"/>
              <w:ind w:right="281"/>
              <w:jc w:val="right"/>
              <w:rPr>
                <w:sz w:val="20"/>
              </w:rPr>
            </w:pPr>
            <w:r>
              <w:rPr>
                <w:spacing w:val="-10"/>
                <w:w w:val="115"/>
                <w:sz w:val="20"/>
              </w:rPr>
              <w:t>5</w:t>
            </w:r>
          </w:p>
        </w:tc>
        <w:tc>
          <w:tcPr>
            <w:tcW w:w="1026" w:type="dxa"/>
          </w:tcPr>
          <w:p w14:paraId="6D2A574C" w14:textId="77777777" w:rsidR="00811887" w:rsidRDefault="00811887" w:rsidP="00486E22">
            <w:pPr>
              <w:pStyle w:val="TableParagraph"/>
              <w:spacing w:line="207" w:lineRule="exact"/>
              <w:ind w:right="284"/>
              <w:jc w:val="right"/>
              <w:rPr>
                <w:sz w:val="20"/>
              </w:rPr>
            </w:pPr>
            <w:r>
              <w:rPr>
                <w:spacing w:val="-5"/>
                <w:w w:val="115"/>
                <w:sz w:val="20"/>
              </w:rPr>
              <w:t>13</w:t>
            </w:r>
          </w:p>
        </w:tc>
        <w:tc>
          <w:tcPr>
            <w:tcW w:w="1021" w:type="dxa"/>
          </w:tcPr>
          <w:p w14:paraId="0C63F7C6" w14:textId="77777777" w:rsidR="00811887" w:rsidRDefault="00811887" w:rsidP="00486E22">
            <w:pPr>
              <w:pStyle w:val="TableParagraph"/>
              <w:spacing w:line="207" w:lineRule="exact"/>
              <w:ind w:right="283"/>
              <w:jc w:val="right"/>
              <w:rPr>
                <w:sz w:val="20"/>
              </w:rPr>
            </w:pPr>
            <w:r>
              <w:rPr>
                <w:spacing w:val="-10"/>
                <w:w w:val="115"/>
                <w:sz w:val="20"/>
              </w:rPr>
              <w:t>5</w:t>
            </w:r>
          </w:p>
        </w:tc>
        <w:tc>
          <w:tcPr>
            <w:tcW w:w="923" w:type="dxa"/>
          </w:tcPr>
          <w:p w14:paraId="72250F77" w14:textId="77777777" w:rsidR="00811887" w:rsidRDefault="00811887" w:rsidP="00486E22">
            <w:pPr>
              <w:pStyle w:val="TableParagraph"/>
              <w:spacing w:line="207" w:lineRule="exact"/>
              <w:ind w:right="183"/>
              <w:jc w:val="right"/>
              <w:rPr>
                <w:sz w:val="20"/>
              </w:rPr>
            </w:pPr>
            <w:r>
              <w:rPr>
                <w:spacing w:val="-10"/>
                <w:w w:val="115"/>
                <w:sz w:val="20"/>
              </w:rPr>
              <w:t>1</w:t>
            </w:r>
          </w:p>
        </w:tc>
        <w:tc>
          <w:tcPr>
            <w:tcW w:w="964" w:type="dxa"/>
          </w:tcPr>
          <w:p w14:paraId="12CF2C56" w14:textId="77777777" w:rsidR="00811887" w:rsidRDefault="00811887" w:rsidP="00486E22">
            <w:pPr>
              <w:pStyle w:val="TableParagraph"/>
              <w:spacing w:line="207" w:lineRule="exact"/>
              <w:ind w:right="114"/>
              <w:jc w:val="right"/>
              <w:rPr>
                <w:sz w:val="20"/>
              </w:rPr>
            </w:pPr>
            <w:r>
              <w:rPr>
                <w:spacing w:val="-5"/>
                <w:w w:val="115"/>
                <w:sz w:val="20"/>
              </w:rPr>
              <w:t>25</w:t>
            </w:r>
          </w:p>
        </w:tc>
      </w:tr>
      <w:tr w:rsidR="00811887" w14:paraId="10631499" w14:textId="77777777" w:rsidTr="00486E22">
        <w:trPr>
          <w:trHeight w:val="230"/>
        </w:trPr>
        <w:tc>
          <w:tcPr>
            <w:tcW w:w="3674" w:type="dxa"/>
            <w:tcBorders>
              <w:right w:val="single" w:sz="4" w:space="0" w:color="000000"/>
            </w:tcBorders>
          </w:tcPr>
          <w:p w14:paraId="4FBA4207" w14:textId="77777777" w:rsidR="00811887" w:rsidRDefault="00811887" w:rsidP="00486E22">
            <w:pPr>
              <w:pStyle w:val="TableParagraph"/>
              <w:spacing w:before="3" w:line="207" w:lineRule="exact"/>
              <w:ind w:left="105"/>
              <w:rPr>
                <w:sz w:val="20"/>
              </w:rPr>
            </w:pPr>
            <w:r>
              <w:rPr>
                <w:w w:val="110"/>
                <w:sz w:val="20"/>
              </w:rPr>
              <w:t>Katherine</w:t>
            </w:r>
            <w:r>
              <w:rPr>
                <w:spacing w:val="-9"/>
                <w:w w:val="110"/>
                <w:sz w:val="20"/>
              </w:rPr>
              <w:t xml:space="preserve"> </w:t>
            </w:r>
            <w:r>
              <w:rPr>
                <w:spacing w:val="-4"/>
                <w:w w:val="110"/>
                <w:sz w:val="20"/>
              </w:rPr>
              <w:t>Town</w:t>
            </w:r>
          </w:p>
        </w:tc>
        <w:tc>
          <w:tcPr>
            <w:tcW w:w="1194" w:type="dxa"/>
            <w:tcBorders>
              <w:left w:val="single" w:sz="4" w:space="0" w:color="000000"/>
            </w:tcBorders>
          </w:tcPr>
          <w:p w14:paraId="3783E1BB" w14:textId="77777777" w:rsidR="00811887" w:rsidRDefault="00811887" w:rsidP="00486E22">
            <w:pPr>
              <w:pStyle w:val="TableParagraph"/>
              <w:spacing w:before="3" w:line="207" w:lineRule="exact"/>
              <w:ind w:right="280"/>
              <w:jc w:val="right"/>
              <w:rPr>
                <w:sz w:val="20"/>
              </w:rPr>
            </w:pPr>
            <w:r>
              <w:rPr>
                <w:spacing w:val="-10"/>
                <w:w w:val="115"/>
                <w:sz w:val="20"/>
              </w:rPr>
              <w:t>4</w:t>
            </w:r>
          </w:p>
        </w:tc>
        <w:tc>
          <w:tcPr>
            <w:tcW w:w="1024" w:type="dxa"/>
          </w:tcPr>
          <w:p w14:paraId="59779EF2" w14:textId="77777777" w:rsidR="00811887" w:rsidRDefault="00811887" w:rsidP="00486E22">
            <w:pPr>
              <w:pStyle w:val="TableParagraph"/>
              <w:spacing w:before="3" w:line="207" w:lineRule="exact"/>
              <w:ind w:right="281"/>
              <w:jc w:val="right"/>
              <w:rPr>
                <w:sz w:val="20"/>
              </w:rPr>
            </w:pPr>
            <w:r>
              <w:rPr>
                <w:spacing w:val="-5"/>
                <w:w w:val="115"/>
                <w:sz w:val="20"/>
              </w:rPr>
              <w:t>26</w:t>
            </w:r>
          </w:p>
        </w:tc>
        <w:tc>
          <w:tcPr>
            <w:tcW w:w="1026" w:type="dxa"/>
          </w:tcPr>
          <w:p w14:paraId="5D1985DA" w14:textId="77777777" w:rsidR="00811887" w:rsidRDefault="00811887" w:rsidP="00486E22">
            <w:pPr>
              <w:pStyle w:val="TableParagraph"/>
              <w:spacing w:before="3" w:line="207" w:lineRule="exact"/>
              <w:ind w:right="284"/>
              <w:jc w:val="right"/>
              <w:rPr>
                <w:sz w:val="20"/>
              </w:rPr>
            </w:pPr>
            <w:r>
              <w:rPr>
                <w:spacing w:val="-5"/>
                <w:w w:val="115"/>
                <w:sz w:val="20"/>
              </w:rPr>
              <w:t>77</w:t>
            </w:r>
          </w:p>
        </w:tc>
        <w:tc>
          <w:tcPr>
            <w:tcW w:w="1021" w:type="dxa"/>
          </w:tcPr>
          <w:p w14:paraId="3730D12A" w14:textId="77777777" w:rsidR="00811887" w:rsidRDefault="00811887" w:rsidP="00486E22">
            <w:pPr>
              <w:pStyle w:val="TableParagraph"/>
              <w:spacing w:before="3" w:line="207" w:lineRule="exact"/>
              <w:ind w:right="282"/>
              <w:jc w:val="right"/>
              <w:rPr>
                <w:sz w:val="20"/>
              </w:rPr>
            </w:pPr>
            <w:r>
              <w:rPr>
                <w:spacing w:val="-5"/>
                <w:w w:val="115"/>
                <w:sz w:val="20"/>
              </w:rPr>
              <w:t>31</w:t>
            </w:r>
          </w:p>
        </w:tc>
        <w:tc>
          <w:tcPr>
            <w:tcW w:w="923" w:type="dxa"/>
          </w:tcPr>
          <w:p w14:paraId="66D51158" w14:textId="77777777" w:rsidR="00811887" w:rsidRDefault="00811887" w:rsidP="00486E22">
            <w:pPr>
              <w:pStyle w:val="TableParagraph"/>
              <w:spacing w:before="3" w:line="207" w:lineRule="exact"/>
              <w:ind w:right="183"/>
              <w:jc w:val="right"/>
              <w:rPr>
                <w:sz w:val="20"/>
              </w:rPr>
            </w:pPr>
            <w:r>
              <w:rPr>
                <w:spacing w:val="-10"/>
                <w:w w:val="115"/>
                <w:sz w:val="20"/>
              </w:rPr>
              <w:t>6</w:t>
            </w:r>
          </w:p>
        </w:tc>
        <w:tc>
          <w:tcPr>
            <w:tcW w:w="964" w:type="dxa"/>
          </w:tcPr>
          <w:p w14:paraId="17075C0D" w14:textId="77777777" w:rsidR="00811887" w:rsidRDefault="00811887" w:rsidP="00486E22">
            <w:pPr>
              <w:pStyle w:val="TableParagraph"/>
              <w:spacing w:before="3" w:line="207" w:lineRule="exact"/>
              <w:ind w:right="109"/>
              <w:jc w:val="right"/>
              <w:rPr>
                <w:sz w:val="20"/>
              </w:rPr>
            </w:pPr>
            <w:r>
              <w:rPr>
                <w:spacing w:val="-5"/>
                <w:w w:val="115"/>
                <w:sz w:val="20"/>
              </w:rPr>
              <w:t>143</w:t>
            </w:r>
          </w:p>
        </w:tc>
      </w:tr>
      <w:tr w:rsidR="00811887" w14:paraId="600BF807" w14:textId="77777777" w:rsidTr="00486E22">
        <w:trPr>
          <w:trHeight w:val="230"/>
        </w:trPr>
        <w:tc>
          <w:tcPr>
            <w:tcW w:w="3674" w:type="dxa"/>
            <w:tcBorders>
              <w:right w:val="single" w:sz="4" w:space="0" w:color="000000"/>
            </w:tcBorders>
          </w:tcPr>
          <w:p w14:paraId="4419FC10" w14:textId="77777777" w:rsidR="00811887" w:rsidRDefault="00811887" w:rsidP="00486E22">
            <w:pPr>
              <w:pStyle w:val="TableParagraph"/>
              <w:spacing w:before="3" w:line="207" w:lineRule="exact"/>
              <w:ind w:left="105"/>
              <w:rPr>
                <w:sz w:val="20"/>
              </w:rPr>
            </w:pPr>
            <w:r>
              <w:rPr>
                <w:w w:val="105"/>
                <w:sz w:val="20"/>
              </w:rPr>
              <w:t>Kakadu</w:t>
            </w:r>
            <w:r>
              <w:rPr>
                <w:spacing w:val="15"/>
                <w:w w:val="105"/>
                <w:sz w:val="20"/>
              </w:rPr>
              <w:t xml:space="preserve"> </w:t>
            </w:r>
            <w:r>
              <w:rPr>
                <w:w w:val="105"/>
                <w:sz w:val="20"/>
              </w:rPr>
              <w:t>-</w:t>
            </w:r>
            <w:r>
              <w:rPr>
                <w:spacing w:val="15"/>
                <w:w w:val="105"/>
                <w:sz w:val="20"/>
              </w:rPr>
              <w:t xml:space="preserve"> </w:t>
            </w:r>
            <w:r>
              <w:rPr>
                <w:w w:val="105"/>
                <w:sz w:val="20"/>
              </w:rPr>
              <w:t>Marrakai</w:t>
            </w:r>
            <w:r>
              <w:rPr>
                <w:spacing w:val="11"/>
                <w:w w:val="105"/>
                <w:sz w:val="20"/>
              </w:rPr>
              <w:t xml:space="preserve"> </w:t>
            </w:r>
            <w:r>
              <w:rPr>
                <w:w w:val="105"/>
                <w:sz w:val="20"/>
              </w:rPr>
              <w:t>-</w:t>
            </w:r>
            <w:r>
              <w:rPr>
                <w:spacing w:val="15"/>
                <w:w w:val="105"/>
                <w:sz w:val="20"/>
              </w:rPr>
              <w:t xml:space="preserve"> </w:t>
            </w:r>
            <w:r>
              <w:rPr>
                <w:spacing w:val="-2"/>
                <w:w w:val="105"/>
                <w:sz w:val="20"/>
              </w:rPr>
              <w:t>Jabiru</w:t>
            </w:r>
          </w:p>
        </w:tc>
        <w:tc>
          <w:tcPr>
            <w:tcW w:w="1194" w:type="dxa"/>
            <w:tcBorders>
              <w:left w:val="single" w:sz="4" w:space="0" w:color="000000"/>
            </w:tcBorders>
          </w:tcPr>
          <w:p w14:paraId="33E7BA6B"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5BE77515" w14:textId="77777777" w:rsidR="00811887" w:rsidRDefault="00811887" w:rsidP="00486E22">
            <w:pPr>
              <w:pStyle w:val="TableParagraph"/>
              <w:spacing w:before="3" w:line="207" w:lineRule="exact"/>
              <w:ind w:right="281"/>
              <w:jc w:val="right"/>
              <w:rPr>
                <w:sz w:val="20"/>
              </w:rPr>
            </w:pPr>
            <w:r>
              <w:rPr>
                <w:spacing w:val="-10"/>
                <w:w w:val="115"/>
                <w:sz w:val="20"/>
              </w:rPr>
              <w:t>4</w:t>
            </w:r>
          </w:p>
        </w:tc>
        <w:tc>
          <w:tcPr>
            <w:tcW w:w="1026" w:type="dxa"/>
          </w:tcPr>
          <w:p w14:paraId="59839B24" w14:textId="77777777" w:rsidR="00811887" w:rsidRDefault="00811887" w:rsidP="00486E22">
            <w:pPr>
              <w:pStyle w:val="TableParagraph"/>
              <w:spacing w:before="3" w:line="207" w:lineRule="exact"/>
              <w:ind w:right="284"/>
              <w:jc w:val="right"/>
              <w:rPr>
                <w:sz w:val="20"/>
              </w:rPr>
            </w:pPr>
            <w:r>
              <w:rPr>
                <w:spacing w:val="-5"/>
                <w:w w:val="115"/>
                <w:sz w:val="20"/>
              </w:rPr>
              <w:t>12</w:t>
            </w:r>
          </w:p>
        </w:tc>
        <w:tc>
          <w:tcPr>
            <w:tcW w:w="1021" w:type="dxa"/>
          </w:tcPr>
          <w:p w14:paraId="28E39F3A" w14:textId="77777777" w:rsidR="00811887" w:rsidRDefault="00811887" w:rsidP="00486E22">
            <w:pPr>
              <w:pStyle w:val="TableParagraph"/>
              <w:spacing w:before="3" w:line="207" w:lineRule="exact"/>
              <w:ind w:right="283"/>
              <w:jc w:val="right"/>
              <w:rPr>
                <w:sz w:val="20"/>
              </w:rPr>
            </w:pPr>
            <w:r>
              <w:rPr>
                <w:spacing w:val="-10"/>
                <w:w w:val="115"/>
                <w:sz w:val="20"/>
              </w:rPr>
              <w:t>5</w:t>
            </w:r>
          </w:p>
        </w:tc>
        <w:tc>
          <w:tcPr>
            <w:tcW w:w="923" w:type="dxa"/>
          </w:tcPr>
          <w:p w14:paraId="3F60442B"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6B240620" w14:textId="77777777" w:rsidR="00811887" w:rsidRDefault="00811887" w:rsidP="00486E22">
            <w:pPr>
              <w:pStyle w:val="TableParagraph"/>
              <w:spacing w:before="3" w:line="207" w:lineRule="exact"/>
              <w:ind w:right="114"/>
              <w:jc w:val="right"/>
              <w:rPr>
                <w:sz w:val="20"/>
              </w:rPr>
            </w:pPr>
            <w:r>
              <w:rPr>
                <w:spacing w:val="-5"/>
                <w:w w:val="115"/>
                <w:sz w:val="20"/>
              </w:rPr>
              <w:t>23</w:t>
            </w:r>
          </w:p>
        </w:tc>
      </w:tr>
      <w:tr w:rsidR="00811887" w14:paraId="7971A444" w14:textId="77777777" w:rsidTr="00486E22">
        <w:trPr>
          <w:trHeight w:val="230"/>
        </w:trPr>
        <w:tc>
          <w:tcPr>
            <w:tcW w:w="3674" w:type="dxa"/>
            <w:tcBorders>
              <w:right w:val="single" w:sz="4" w:space="0" w:color="000000"/>
            </w:tcBorders>
          </w:tcPr>
          <w:p w14:paraId="46370EDE" w14:textId="77777777" w:rsidR="00811887" w:rsidRDefault="00811887" w:rsidP="00486E22">
            <w:pPr>
              <w:pStyle w:val="TableParagraph"/>
              <w:spacing w:before="3" w:line="207" w:lineRule="exact"/>
              <w:ind w:left="105"/>
              <w:rPr>
                <w:sz w:val="20"/>
              </w:rPr>
            </w:pPr>
            <w:r>
              <w:rPr>
                <w:w w:val="110"/>
                <w:sz w:val="20"/>
              </w:rPr>
              <w:t>Halls</w:t>
            </w:r>
            <w:r>
              <w:rPr>
                <w:spacing w:val="5"/>
                <w:w w:val="110"/>
                <w:sz w:val="20"/>
              </w:rPr>
              <w:t xml:space="preserve"> </w:t>
            </w:r>
            <w:r>
              <w:rPr>
                <w:spacing w:val="-2"/>
                <w:w w:val="110"/>
                <w:sz w:val="20"/>
              </w:rPr>
              <w:t>Creek</w:t>
            </w:r>
          </w:p>
        </w:tc>
        <w:tc>
          <w:tcPr>
            <w:tcW w:w="1194" w:type="dxa"/>
            <w:tcBorders>
              <w:left w:val="single" w:sz="4" w:space="0" w:color="000000"/>
            </w:tcBorders>
          </w:tcPr>
          <w:p w14:paraId="49422AD2" w14:textId="77777777" w:rsidR="00811887" w:rsidRDefault="00811887" w:rsidP="00486E22">
            <w:pPr>
              <w:pStyle w:val="TableParagraph"/>
              <w:spacing w:before="3" w:line="207" w:lineRule="exact"/>
              <w:ind w:right="280"/>
              <w:jc w:val="right"/>
              <w:rPr>
                <w:sz w:val="20"/>
              </w:rPr>
            </w:pPr>
            <w:r>
              <w:rPr>
                <w:spacing w:val="-10"/>
                <w:w w:val="115"/>
                <w:sz w:val="20"/>
              </w:rPr>
              <w:t>2</w:t>
            </w:r>
          </w:p>
        </w:tc>
        <w:tc>
          <w:tcPr>
            <w:tcW w:w="1024" w:type="dxa"/>
          </w:tcPr>
          <w:p w14:paraId="0A71A1C5" w14:textId="77777777" w:rsidR="00811887" w:rsidRDefault="00811887" w:rsidP="00486E22">
            <w:pPr>
              <w:pStyle w:val="TableParagraph"/>
              <w:spacing w:before="3" w:line="207" w:lineRule="exact"/>
              <w:ind w:right="281"/>
              <w:jc w:val="right"/>
              <w:rPr>
                <w:sz w:val="20"/>
              </w:rPr>
            </w:pPr>
            <w:r>
              <w:rPr>
                <w:spacing w:val="-5"/>
                <w:w w:val="115"/>
                <w:sz w:val="20"/>
              </w:rPr>
              <w:t>10</w:t>
            </w:r>
          </w:p>
        </w:tc>
        <w:tc>
          <w:tcPr>
            <w:tcW w:w="1026" w:type="dxa"/>
          </w:tcPr>
          <w:p w14:paraId="4457B01F" w14:textId="77777777" w:rsidR="00811887" w:rsidRDefault="00811887" w:rsidP="00486E22">
            <w:pPr>
              <w:pStyle w:val="TableParagraph"/>
              <w:spacing w:before="3" w:line="207" w:lineRule="exact"/>
              <w:ind w:right="284"/>
              <w:jc w:val="right"/>
              <w:rPr>
                <w:sz w:val="20"/>
              </w:rPr>
            </w:pPr>
            <w:r>
              <w:rPr>
                <w:spacing w:val="-5"/>
                <w:w w:val="115"/>
                <w:sz w:val="20"/>
              </w:rPr>
              <w:t>31</w:t>
            </w:r>
          </w:p>
        </w:tc>
        <w:tc>
          <w:tcPr>
            <w:tcW w:w="1021" w:type="dxa"/>
          </w:tcPr>
          <w:p w14:paraId="730C7FE2" w14:textId="77777777" w:rsidR="00811887" w:rsidRDefault="00811887" w:rsidP="00486E22">
            <w:pPr>
              <w:pStyle w:val="TableParagraph"/>
              <w:spacing w:before="3" w:line="207" w:lineRule="exact"/>
              <w:ind w:right="282"/>
              <w:jc w:val="right"/>
              <w:rPr>
                <w:sz w:val="20"/>
              </w:rPr>
            </w:pPr>
            <w:r>
              <w:rPr>
                <w:spacing w:val="-5"/>
                <w:w w:val="115"/>
                <w:sz w:val="20"/>
              </w:rPr>
              <w:t>13</w:t>
            </w:r>
          </w:p>
        </w:tc>
        <w:tc>
          <w:tcPr>
            <w:tcW w:w="923" w:type="dxa"/>
          </w:tcPr>
          <w:p w14:paraId="4192ED26"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3CA0A1F2" w14:textId="77777777" w:rsidR="00811887" w:rsidRDefault="00811887" w:rsidP="00486E22">
            <w:pPr>
              <w:pStyle w:val="TableParagraph"/>
              <w:spacing w:before="3" w:line="207" w:lineRule="exact"/>
              <w:ind w:right="114"/>
              <w:jc w:val="right"/>
              <w:rPr>
                <w:sz w:val="20"/>
              </w:rPr>
            </w:pPr>
            <w:r>
              <w:rPr>
                <w:spacing w:val="-5"/>
                <w:w w:val="115"/>
                <w:sz w:val="20"/>
              </w:rPr>
              <w:t>58</w:t>
            </w:r>
          </w:p>
        </w:tc>
      </w:tr>
      <w:tr w:rsidR="00811887" w14:paraId="6653B048" w14:textId="77777777" w:rsidTr="00486E22">
        <w:trPr>
          <w:trHeight w:val="230"/>
        </w:trPr>
        <w:tc>
          <w:tcPr>
            <w:tcW w:w="3674" w:type="dxa"/>
            <w:tcBorders>
              <w:right w:val="single" w:sz="4" w:space="0" w:color="000000"/>
            </w:tcBorders>
          </w:tcPr>
          <w:p w14:paraId="17B7BF5D" w14:textId="77777777" w:rsidR="00811887" w:rsidRDefault="00811887" w:rsidP="00486E22">
            <w:pPr>
              <w:pStyle w:val="TableParagraph"/>
              <w:spacing w:before="3" w:line="207" w:lineRule="exact"/>
              <w:ind w:left="105"/>
              <w:rPr>
                <w:sz w:val="20"/>
              </w:rPr>
            </w:pPr>
            <w:r>
              <w:rPr>
                <w:spacing w:val="-2"/>
                <w:w w:val="115"/>
                <w:sz w:val="20"/>
              </w:rPr>
              <w:t>Hermannsburg</w:t>
            </w:r>
          </w:p>
        </w:tc>
        <w:tc>
          <w:tcPr>
            <w:tcW w:w="1194" w:type="dxa"/>
            <w:tcBorders>
              <w:left w:val="single" w:sz="4" w:space="0" w:color="000000"/>
            </w:tcBorders>
          </w:tcPr>
          <w:p w14:paraId="7F351398"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323DB2FE" w14:textId="77777777" w:rsidR="00811887" w:rsidRDefault="00811887" w:rsidP="00486E22">
            <w:pPr>
              <w:pStyle w:val="TableParagraph"/>
              <w:spacing w:before="3" w:line="207" w:lineRule="exact"/>
              <w:ind w:right="281"/>
              <w:jc w:val="right"/>
              <w:rPr>
                <w:sz w:val="20"/>
              </w:rPr>
            </w:pPr>
            <w:r>
              <w:rPr>
                <w:spacing w:val="-10"/>
                <w:w w:val="115"/>
                <w:sz w:val="20"/>
              </w:rPr>
              <w:t>4</w:t>
            </w:r>
          </w:p>
        </w:tc>
        <w:tc>
          <w:tcPr>
            <w:tcW w:w="1026" w:type="dxa"/>
          </w:tcPr>
          <w:p w14:paraId="04088F05" w14:textId="77777777" w:rsidR="00811887" w:rsidRDefault="00811887" w:rsidP="00486E22">
            <w:pPr>
              <w:pStyle w:val="TableParagraph"/>
              <w:spacing w:before="3" w:line="207" w:lineRule="exact"/>
              <w:ind w:right="284"/>
              <w:jc w:val="right"/>
              <w:rPr>
                <w:sz w:val="20"/>
              </w:rPr>
            </w:pPr>
            <w:r>
              <w:rPr>
                <w:spacing w:val="-5"/>
                <w:w w:val="115"/>
                <w:sz w:val="20"/>
              </w:rPr>
              <w:t>13</w:t>
            </w:r>
          </w:p>
        </w:tc>
        <w:tc>
          <w:tcPr>
            <w:tcW w:w="1021" w:type="dxa"/>
          </w:tcPr>
          <w:p w14:paraId="57637700" w14:textId="77777777" w:rsidR="00811887" w:rsidRDefault="00811887" w:rsidP="00486E22">
            <w:pPr>
              <w:pStyle w:val="TableParagraph"/>
              <w:spacing w:before="3" w:line="207" w:lineRule="exact"/>
              <w:ind w:right="283"/>
              <w:jc w:val="right"/>
              <w:rPr>
                <w:sz w:val="20"/>
              </w:rPr>
            </w:pPr>
            <w:r>
              <w:rPr>
                <w:spacing w:val="-10"/>
                <w:w w:val="115"/>
                <w:sz w:val="20"/>
              </w:rPr>
              <w:t>5</w:t>
            </w:r>
          </w:p>
        </w:tc>
        <w:tc>
          <w:tcPr>
            <w:tcW w:w="923" w:type="dxa"/>
          </w:tcPr>
          <w:p w14:paraId="1DD92015"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2DB07A61" w14:textId="77777777" w:rsidR="00811887" w:rsidRDefault="00811887" w:rsidP="00486E22">
            <w:pPr>
              <w:pStyle w:val="TableParagraph"/>
              <w:spacing w:before="3" w:line="207" w:lineRule="exact"/>
              <w:ind w:right="114"/>
              <w:jc w:val="right"/>
              <w:rPr>
                <w:sz w:val="20"/>
              </w:rPr>
            </w:pPr>
            <w:r>
              <w:rPr>
                <w:spacing w:val="-5"/>
                <w:w w:val="115"/>
                <w:sz w:val="20"/>
              </w:rPr>
              <w:t>24</w:t>
            </w:r>
          </w:p>
        </w:tc>
      </w:tr>
      <w:tr w:rsidR="00811887" w14:paraId="323312F1" w14:textId="77777777" w:rsidTr="00486E22">
        <w:trPr>
          <w:trHeight w:val="230"/>
        </w:trPr>
        <w:tc>
          <w:tcPr>
            <w:tcW w:w="3674" w:type="dxa"/>
            <w:tcBorders>
              <w:right w:val="single" w:sz="4" w:space="0" w:color="000000"/>
            </w:tcBorders>
          </w:tcPr>
          <w:p w14:paraId="339E9A37" w14:textId="77777777" w:rsidR="00811887" w:rsidRDefault="00811887" w:rsidP="00486E22">
            <w:pPr>
              <w:pStyle w:val="TableParagraph"/>
              <w:spacing w:before="3" w:line="208" w:lineRule="exact"/>
              <w:ind w:left="105"/>
              <w:rPr>
                <w:sz w:val="20"/>
              </w:rPr>
            </w:pPr>
            <w:r>
              <w:rPr>
                <w:w w:val="105"/>
                <w:sz w:val="20"/>
              </w:rPr>
              <w:t>Alawa</w:t>
            </w:r>
            <w:r>
              <w:rPr>
                <w:spacing w:val="8"/>
                <w:w w:val="105"/>
                <w:sz w:val="20"/>
              </w:rPr>
              <w:t xml:space="preserve"> </w:t>
            </w:r>
            <w:r>
              <w:rPr>
                <w:w w:val="105"/>
                <w:sz w:val="20"/>
              </w:rPr>
              <w:t>-</w:t>
            </w:r>
            <w:r>
              <w:rPr>
                <w:spacing w:val="11"/>
                <w:w w:val="105"/>
                <w:sz w:val="20"/>
              </w:rPr>
              <w:t xml:space="preserve"> </w:t>
            </w:r>
            <w:r>
              <w:rPr>
                <w:w w:val="105"/>
                <w:sz w:val="20"/>
              </w:rPr>
              <w:t>Brinkin</w:t>
            </w:r>
            <w:r>
              <w:rPr>
                <w:spacing w:val="5"/>
                <w:w w:val="105"/>
                <w:sz w:val="20"/>
              </w:rPr>
              <w:t xml:space="preserve"> </w:t>
            </w:r>
            <w:r>
              <w:rPr>
                <w:w w:val="105"/>
                <w:sz w:val="20"/>
              </w:rPr>
              <w:t>-</w:t>
            </w:r>
            <w:r>
              <w:rPr>
                <w:spacing w:val="11"/>
                <w:w w:val="105"/>
                <w:sz w:val="20"/>
              </w:rPr>
              <w:t xml:space="preserve"> </w:t>
            </w:r>
            <w:r>
              <w:rPr>
                <w:spacing w:val="-2"/>
                <w:w w:val="105"/>
                <w:sz w:val="20"/>
              </w:rPr>
              <w:t>Nakara</w:t>
            </w:r>
          </w:p>
        </w:tc>
        <w:tc>
          <w:tcPr>
            <w:tcW w:w="1194" w:type="dxa"/>
            <w:tcBorders>
              <w:left w:val="single" w:sz="4" w:space="0" w:color="000000"/>
            </w:tcBorders>
          </w:tcPr>
          <w:p w14:paraId="668F0493" w14:textId="77777777" w:rsidR="00811887" w:rsidRDefault="00811887" w:rsidP="00486E22">
            <w:pPr>
              <w:pStyle w:val="TableParagraph"/>
              <w:spacing w:before="3" w:line="208" w:lineRule="exact"/>
              <w:ind w:right="280"/>
              <w:jc w:val="right"/>
              <w:rPr>
                <w:sz w:val="20"/>
              </w:rPr>
            </w:pPr>
            <w:r>
              <w:rPr>
                <w:spacing w:val="-10"/>
                <w:w w:val="115"/>
                <w:sz w:val="20"/>
              </w:rPr>
              <w:t>1</w:t>
            </w:r>
          </w:p>
        </w:tc>
        <w:tc>
          <w:tcPr>
            <w:tcW w:w="1024" w:type="dxa"/>
          </w:tcPr>
          <w:p w14:paraId="17AF5804" w14:textId="77777777" w:rsidR="00811887" w:rsidRDefault="00811887" w:rsidP="00486E22">
            <w:pPr>
              <w:pStyle w:val="TableParagraph"/>
              <w:spacing w:before="3" w:line="208" w:lineRule="exact"/>
              <w:ind w:right="281"/>
              <w:jc w:val="right"/>
              <w:rPr>
                <w:sz w:val="20"/>
              </w:rPr>
            </w:pPr>
            <w:r>
              <w:rPr>
                <w:spacing w:val="-10"/>
                <w:w w:val="115"/>
                <w:sz w:val="20"/>
              </w:rPr>
              <w:t>4</w:t>
            </w:r>
          </w:p>
        </w:tc>
        <w:tc>
          <w:tcPr>
            <w:tcW w:w="1026" w:type="dxa"/>
          </w:tcPr>
          <w:p w14:paraId="3CD05869" w14:textId="77777777" w:rsidR="00811887" w:rsidRDefault="00811887" w:rsidP="00486E22">
            <w:pPr>
              <w:pStyle w:val="TableParagraph"/>
              <w:spacing w:before="3" w:line="208" w:lineRule="exact"/>
              <w:ind w:right="284"/>
              <w:jc w:val="right"/>
              <w:rPr>
                <w:sz w:val="20"/>
              </w:rPr>
            </w:pPr>
            <w:r>
              <w:rPr>
                <w:spacing w:val="-5"/>
                <w:w w:val="115"/>
                <w:sz w:val="20"/>
              </w:rPr>
              <w:t>12</w:t>
            </w:r>
          </w:p>
        </w:tc>
        <w:tc>
          <w:tcPr>
            <w:tcW w:w="1021" w:type="dxa"/>
          </w:tcPr>
          <w:p w14:paraId="1FDC8E83" w14:textId="77777777" w:rsidR="00811887" w:rsidRDefault="00811887" w:rsidP="00486E22">
            <w:pPr>
              <w:pStyle w:val="TableParagraph"/>
              <w:spacing w:before="3" w:line="208" w:lineRule="exact"/>
              <w:ind w:right="283"/>
              <w:jc w:val="right"/>
              <w:rPr>
                <w:sz w:val="20"/>
              </w:rPr>
            </w:pPr>
            <w:r>
              <w:rPr>
                <w:spacing w:val="-10"/>
                <w:w w:val="115"/>
                <w:sz w:val="20"/>
              </w:rPr>
              <w:t>5</w:t>
            </w:r>
          </w:p>
        </w:tc>
        <w:tc>
          <w:tcPr>
            <w:tcW w:w="923" w:type="dxa"/>
          </w:tcPr>
          <w:p w14:paraId="6B53ED50" w14:textId="77777777" w:rsidR="00811887" w:rsidRDefault="00811887" w:rsidP="00486E22">
            <w:pPr>
              <w:pStyle w:val="TableParagraph"/>
              <w:spacing w:before="3" w:line="208" w:lineRule="exact"/>
              <w:ind w:right="183"/>
              <w:jc w:val="right"/>
              <w:rPr>
                <w:sz w:val="20"/>
              </w:rPr>
            </w:pPr>
            <w:r>
              <w:rPr>
                <w:spacing w:val="-10"/>
                <w:w w:val="115"/>
                <w:sz w:val="20"/>
              </w:rPr>
              <w:t>1</w:t>
            </w:r>
          </w:p>
        </w:tc>
        <w:tc>
          <w:tcPr>
            <w:tcW w:w="964" w:type="dxa"/>
          </w:tcPr>
          <w:p w14:paraId="0DC3F8F9" w14:textId="77777777" w:rsidR="00811887" w:rsidRDefault="00811887" w:rsidP="00486E22">
            <w:pPr>
              <w:pStyle w:val="TableParagraph"/>
              <w:spacing w:before="3" w:line="208" w:lineRule="exact"/>
              <w:ind w:right="114"/>
              <w:jc w:val="right"/>
              <w:rPr>
                <w:sz w:val="20"/>
              </w:rPr>
            </w:pPr>
            <w:r>
              <w:rPr>
                <w:spacing w:val="-5"/>
                <w:w w:val="115"/>
                <w:sz w:val="20"/>
              </w:rPr>
              <w:t>22</w:t>
            </w:r>
          </w:p>
        </w:tc>
      </w:tr>
      <w:tr w:rsidR="00811887" w14:paraId="11F8F2CB" w14:textId="77777777" w:rsidTr="00486E22">
        <w:trPr>
          <w:trHeight w:val="230"/>
        </w:trPr>
        <w:tc>
          <w:tcPr>
            <w:tcW w:w="3674" w:type="dxa"/>
            <w:tcBorders>
              <w:right w:val="single" w:sz="4" w:space="0" w:color="000000"/>
            </w:tcBorders>
          </w:tcPr>
          <w:p w14:paraId="6C6A8103" w14:textId="77777777" w:rsidR="00811887" w:rsidRDefault="00811887" w:rsidP="00486E22">
            <w:pPr>
              <w:pStyle w:val="TableParagraph"/>
              <w:spacing w:before="3" w:line="207" w:lineRule="exact"/>
              <w:ind w:left="105"/>
              <w:rPr>
                <w:sz w:val="20"/>
              </w:rPr>
            </w:pPr>
            <w:r>
              <w:rPr>
                <w:w w:val="110"/>
                <w:sz w:val="20"/>
              </w:rPr>
              <w:t>Yuendumu</w:t>
            </w:r>
            <w:r>
              <w:rPr>
                <w:spacing w:val="10"/>
                <w:w w:val="110"/>
                <w:sz w:val="20"/>
              </w:rPr>
              <w:t xml:space="preserve"> </w:t>
            </w:r>
            <w:r>
              <w:rPr>
                <w:w w:val="110"/>
                <w:sz w:val="20"/>
              </w:rPr>
              <w:t>and</w:t>
            </w:r>
            <w:r>
              <w:rPr>
                <w:spacing w:val="10"/>
                <w:w w:val="110"/>
                <w:sz w:val="20"/>
              </w:rPr>
              <w:t xml:space="preserve"> </w:t>
            </w:r>
            <w:r>
              <w:rPr>
                <w:spacing w:val="-2"/>
                <w:w w:val="110"/>
                <w:sz w:val="20"/>
              </w:rPr>
              <w:t>Outstations</w:t>
            </w:r>
          </w:p>
        </w:tc>
        <w:tc>
          <w:tcPr>
            <w:tcW w:w="1194" w:type="dxa"/>
            <w:tcBorders>
              <w:left w:val="single" w:sz="4" w:space="0" w:color="000000"/>
            </w:tcBorders>
          </w:tcPr>
          <w:p w14:paraId="4CE44BA5"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6D36E702" w14:textId="77777777" w:rsidR="00811887" w:rsidRDefault="00811887" w:rsidP="00486E22">
            <w:pPr>
              <w:pStyle w:val="TableParagraph"/>
              <w:spacing w:before="3" w:line="207" w:lineRule="exact"/>
              <w:ind w:right="281"/>
              <w:jc w:val="right"/>
              <w:rPr>
                <w:sz w:val="20"/>
              </w:rPr>
            </w:pPr>
            <w:r>
              <w:rPr>
                <w:spacing w:val="-10"/>
                <w:w w:val="115"/>
                <w:sz w:val="20"/>
              </w:rPr>
              <w:t>5</w:t>
            </w:r>
          </w:p>
        </w:tc>
        <w:tc>
          <w:tcPr>
            <w:tcW w:w="1026" w:type="dxa"/>
          </w:tcPr>
          <w:p w14:paraId="6E493168" w14:textId="77777777" w:rsidR="00811887" w:rsidRDefault="00811887" w:rsidP="00486E22">
            <w:pPr>
              <w:pStyle w:val="TableParagraph"/>
              <w:spacing w:before="3" w:line="207" w:lineRule="exact"/>
              <w:ind w:right="284"/>
              <w:jc w:val="right"/>
              <w:rPr>
                <w:sz w:val="20"/>
              </w:rPr>
            </w:pPr>
            <w:r>
              <w:rPr>
                <w:spacing w:val="-5"/>
                <w:w w:val="115"/>
                <w:sz w:val="20"/>
              </w:rPr>
              <w:t>16</w:t>
            </w:r>
          </w:p>
        </w:tc>
        <w:tc>
          <w:tcPr>
            <w:tcW w:w="1021" w:type="dxa"/>
          </w:tcPr>
          <w:p w14:paraId="08F96263" w14:textId="77777777" w:rsidR="00811887" w:rsidRDefault="00811887" w:rsidP="00486E22">
            <w:pPr>
              <w:pStyle w:val="TableParagraph"/>
              <w:spacing w:before="3" w:line="207" w:lineRule="exact"/>
              <w:ind w:right="283"/>
              <w:jc w:val="right"/>
              <w:rPr>
                <w:sz w:val="20"/>
              </w:rPr>
            </w:pPr>
            <w:r>
              <w:rPr>
                <w:spacing w:val="-10"/>
                <w:w w:val="115"/>
                <w:sz w:val="20"/>
              </w:rPr>
              <w:t>6</w:t>
            </w:r>
          </w:p>
        </w:tc>
        <w:tc>
          <w:tcPr>
            <w:tcW w:w="923" w:type="dxa"/>
          </w:tcPr>
          <w:p w14:paraId="62403054"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538AE17A" w14:textId="77777777" w:rsidR="00811887" w:rsidRDefault="00811887" w:rsidP="00486E22">
            <w:pPr>
              <w:pStyle w:val="TableParagraph"/>
              <w:spacing w:before="3" w:line="207" w:lineRule="exact"/>
              <w:ind w:right="114"/>
              <w:jc w:val="right"/>
              <w:rPr>
                <w:sz w:val="20"/>
              </w:rPr>
            </w:pPr>
            <w:r>
              <w:rPr>
                <w:spacing w:val="-5"/>
                <w:w w:val="115"/>
                <w:sz w:val="20"/>
              </w:rPr>
              <w:t>29</w:t>
            </w:r>
          </w:p>
        </w:tc>
      </w:tr>
      <w:tr w:rsidR="00811887" w14:paraId="3330C41D" w14:textId="77777777" w:rsidTr="00486E22">
        <w:trPr>
          <w:trHeight w:val="230"/>
        </w:trPr>
        <w:tc>
          <w:tcPr>
            <w:tcW w:w="3674" w:type="dxa"/>
            <w:tcBorders>
              <w:right w:val="single" w:sz="4" w:space="0" w:color="000000"/>
            </w:tcBorders>
          </w:tcPr>
          <w:p w14:paraId="168717B0" w14:textId="77777777" w:rsidR="00811887" w:rsidRDefault="00811887" w:rsidP="00486E22">
            <w:pPr>
              <w:pStyle w:val="TableParagraph"/>
              <w:spacing w:before="3" w:line="207" w:lineRule="exact"/>
              <w:ind w:left="105"/>
              <w:rPr>
                <w:sz w:val="20"/>
              </w:rPr>
            </w:pPr>
            <w:r>
              <w:rPr>
                <w:w w:val="110"/>
                <w:sz w:val="20"/>
              </w:rPr>
              <w:t>Nyirripi</w:t>
            </w:r>
            <w:r>
              <w:rPr>
                <w:spacing w:val="-11"/>
                <w:w w:val="110"/>
                <w:sz w:val="20"/>
              </w:rPr>
              <w:t xml:space="preserve"> </w:t>
            </w:r>
            <w:r>
              <w:rPr>
                <w:w w:val="110"/>
                <w:sz w:val="20"/>
              </w:rPr>
              <w:t>and</w:t>
            </w:r>
            <w:r>
              <w:rPr>
                <w:spacing w:val="-7"/>
                <w:w w:val="110"/>
                <w:sz w:val="20"/>
              </w:rPr>
              <w:t xml:space="preserve"> </w:t>
            </w:r>
            <w:r>
              <w:rPr>
                <w:w w:val="110"/>
                <w:sz w:val="20"/>
              </w:rPr>
              <w:t>Tanami</w:t>
            </w:r>
            <w:r>
              <w:rPr>
                <w:spacing w:val="-4"/>
                <w:w w:val="110"/>
                <w:sz w:val="20"/>
              </w:rPr>
              <w:t xml:space="preserve"> </w:t>
            </w:r>
            <w:r>
              <w:rPr>
                <w:spacing w:val="-2"/>
                <w:w w:val="110"/>
                <w:sz w:val="20"/>
              </w:rPr>
              <w:t>Outstations</w:t>
            </w:r>
          </w:p>
        </w:tc>
        <w:tc>
          <w:tcPr>
            <w:tcW w:w="1194" w:type="dxa"/>
            <w:tcBorders>
              <w:left w:val="single" w:sz="4" w:space="0" w:color="000000"/>
            </w:tcBorders>
          </w:tcPr>
          <w:p w14:paraId="57A4686B" w14:textId="77777777" w:rsidR="00811887" w:rsidRDefault="00811887" w:rsidP="00486E22">
            <w:pPr>
              <w:pStyle w:val="TableParagraph"/>
              <w:spacing w:before="3" w:line="207" w:lineRule="exact"/>
              <w:ind w:right="280"/>
              <w:jc w:val="right"/>
              <w:rPr>
                <w:sz w:val="20"/>
              </w:rPr>
            </w:pPr>
            <w:r>
              <w:rPr>
                <w:spacing w:val="-10"/>
                <w:w w:val="115"/>
                <w:sz w:val="20"/>
              </w:rPr>
              <w:t>0</w:t>
            </w:r>
          </w:p>
        </w:tc>
        <w:tc>
          <w:tcPr>
            <w:tcW w:w="1024" w:type="dxa"/>
          </w:tcPr>
          <w:p w14:paraId="5946B486" w14:textId="77777777" w:rsidR="00811887" w:rsidRDefault="00811887" w:rsidP="00486E22">
            <w:pPr>
              <w:pStyle w:val="TableParagraph"/>
              <w:spacing w:before="3" w:line="207" w:lineRule="exact"/>
              <w:ind w:right="281"/>
              <w:jc w:val="right"/>
              <w:rPr>
                <w:sz w:val="20"/>
              </w:rPr>
            </w:pPr>
            <w:r>
              <w:rPr>
                <w:spacing w:val="-10"/>
                <w:w w:val="115"/>
                <w:sz w:val="20"/>
              </w:rPr>
              <w:t>2</w:t>
            </w:r>
          </w:p>
        </w:tc>
        <w:tc>
          <w:tcPr>
            <w:tcW w:w="1026" w:type="dxa"/>
          </w:tcPr>
          <w:p w14:paraId="088868DA" w14:textId="77777777" w:rsidR="00811887" w:rsidRDefault="00811887" w:rsidP="00486E22">
            <w:pPr>
              <w:pStyle w:val="TableParagraph"/>
              <w:spacing w:before="3" w:line="207" w:lineRule="exact"/>
              <w:ind w:right="284"/>
              <w:jc w:val="right"/>
              <w:rPr>
                <w:sz w:val="20"/>
              </w:rPr>
            </w:pPr>
            <w:r>
              <w:rPr>
                <w:spacing w:val="-10"/>
                <w:w w:val="115"/>
                <w:sz w:val="20"/>
              </w:rPr>
              <w:t>7</w:t>
            </w:r>
          </w:p>
        </w:tc>
        <w:tc>
          <w:tcPr>
            <w:tcW w:w="1021" w:type="dxa"/>
          </w:tcPr>
          <w:p w14:paraId="742B2372" w14:textId="77777777" w:rsidR="00811887" w:rsidRDefault="00811887" w:rsidP="00486E22">
            <w:pPr>
              <w:pStyle w:val="TableParagraph"/>
              <w:spacing w:before="3" w:line="207" w:lineRule="exact"/>
              <w:ind w:right="283"/>
              <w:jc w:val="right"/>
              <w:rPr>
                <w:sz w:val="20"/>
              </w:rPr>
            </w:pPr>
            <w:r>
              <w:rPr>
                <w:spacing w:val="-10"/>
                <w:w w:val="115"/>
                <w:sz w:val="20"/>
              </w:rPr>
              <w:t>3</w:t>
            </w:r>
          </w:p>
        </w:tc>
        <w:tc>
          <w:tcPr>
            <w:tcW w:w="923" w:type="dxa"/>
          </w:tcPr>
          <w:p w14:paraId="35FBCBB8" w14:textId="77777777" w:rsidR="00811887" w:rsidRDefault="00811887" w:rsidP="00486E22">
            <w:pPr>
              <w:pStyle w:val="TableParagraph"/>
              <w:spacing w:before="3" w:line="207" w:lineRule="exact"/>
              <w:ind w:right="183"/>
              <w:jc w:val="right"/>
              <w:rPr>
                <w:sz w:val="20"/>
              </w:rPr>
            </w:pPr>
            <w:r>
              <w:rPr>
                <w:spacing w:val="-10"/>
                <w:w w:val="115"/>
                <w:sz w:val="20"/>
              </w:rPr>
              <w:t>1</w:t>
            </w:r>
          </w:p>
        </w:tc>
        <w:tc>
          <w:tcPr>
            <w:tcW w:w="964" w:type="dxa"/>
          </w:tcPr>
          <w:p w14:paraId="17C31CB3" w14:textId="77777777" w:rsidR="00811887" w:rsidRDefault="00811887" w:rsidP="00486E22">
            <w:pPr>
              <w:pStyle w:val="TableParagraph"/>
              <w:spacing w:before="3" w:line="207" w:lineRule="exact"/>
              <w:ind w:right="114"/>
              <w:jc w:val="right"/>
              <w:rPr>
                <w:sz w:val="20"/>
              </w:rPr>
            </w:pPr>
            <w:r>
              <w:rPr>
                <w:spacing w:val="-5"/>
                <w:w w:val="115"/>
                <w:sz w:val="20"/>
              </w:rPr>
              <w:t>13</w:t>
            </w:r>
          </w:p>
        </w:tc>
      </w:tr>
      <w:tr w:rsidR="00811887" w14:paraId="4167D20B" w14:textId="77777777" w:rsidTr="00486E22">
        <w:trPr>
          <w:trHeight w:val="230"/>
        </w:trPr>
        <w:tc>
          <w:tcPr>
            <w:tcW w:w="3674" w:type="dxa"/>
            <w:tcBorders>
              <w:right w:val="single" w:sz="4" w:space="0" w:color="000000"/>
            </w:tcBorders>
          </w:tcPr>
          <w:p w14:paraId="70E05224" w14:textId="77777777" w:rsidR="00811887" w:rsidRDefault="00811887" w:rsidP="00486E22">
            <w:pPr>
              <w:pStyle w:val="TableParagraph"/>
              <w:spacing w:before="3" w:line="207" w:lineRule="exact"/>
              <w:ind w:left="105"/>
              <w:rPr>
                <w:sz w:val="20"/>
              </w:rPr>
            </w:pPr>
            <w:r>
              <w:rPr>
                <w:spacing w:val="-2"/>
                <w:w w:val="110"/>
                <w:sz w:val="20"/>
              </w:rPr>
              <w:t>Aurukun</w:t>
            </w:r>
          </w:p>
        </w:tc>
        <w:tc>
          <w:tcPr>
            <w:tcW w:w="1194" w:type="dxa"/>
            <w:tcBorders>
              <w:left w:val="single" w:sz="4" w:space="0" w:color="000000"/>
            </w:tcBorders>
          </w:tcPr>
          <w:p w14:paraId="68BC2576" w14:textId="77777777" w:rsidR="00811887" w:rsidRDefault="00811887" w:rsidP="00486E22">
            <w:pPr>
              <w:pStyle w:val="TableParagraph"/>
              <w:spacing w:before="3" w:line="207" w:lineRule="exact"/>
              <w:ind w:right="280"/>
              <w:jc w:val="right"/>
              <w:rPr>
                <w:sz w:val="20"/>
              </w:rPr>
            </w:pPr>
            <w:r>
              <w:rPr>
                <w:spacing w:val="-10"/>
                <w:w w:val="115"/>
                <w:sz w:val="20"/>
              </w:rPr>
              <w:t>1</w:t>
            </w:r>
          </w:p>
        </w:tc>
        <w:tc>
          <w:tcPr>
            <w:tcW w:w="1024" w:type="dxa"/>
          </w:tcPr>
          <w:p w14:paraId="14F61FC6" w14:textId="77777777" w:rsidR="00811887" w:rsidRDefault="00811887" w:rsidP="00486E22">
            <w:pPr>
              <w:pStyle w:val="TableParagraph"/>
              <w:spacing w:before="3" w:line="207" w:lineRule="exact"/>
              <w:ind w:right="281"/>
              <w:jc w:val="right"/>
              <w:rPr>
                <w:sz w:val="20"/>
              </w:rPr>
            </w:pPr>
            <w:r>
              <w:rPr>
                <w:spacing w:val="-10"/>
                <w:w w:val="115"/>
                <w:sz w:val="20"/>
              </w:rPr>
              <w:t>8</w:t>
            </w:r>
          </w:p>
        </w:tc>
        <w:tc>
          <w:tcPr>
            <w:tcW w:w="1026" w:type="dxa"/>
          </w:tcPr>
          <w:p w14:paraId="412DA4BA" w14:textId="77777777" w:rsidR="00811887" w:rsidRDefault="00811887" w:rsidP="00486E22">
            <w:pPr>
              <w:pStyle w:val="TableParagraph"/>
              <w:spacing w:before="3" w:line="207" w:lineRule="exact"/>
              <w:ind w:right="284"/>
              <w:jc w:val="right"/>
              <w:rPr>
                <w:sz w:val="20"/>
              </w:rPr>
            </w:pPr>
            <w:r>
              <w:rPr>
                <w:spacing w:val="-5"/>
                <w:w w:val="115"/>
                <w:sz w:val="20"/>
              </w:rPr>
              <w:t>24</w:t>
            </w:r>
          </w:p>
        </w:tc>
        <w:tc>
          <w:tcPr>
            <w:tcW w:w="1021" w:type="dxa"/>
          </w:tcPr>
          <w:p w14:paraId="0F155D73" w14:textId="77777777" w:rsidR="00811887" w:rsidRDefault="00811887" w:rsidP="00486E22">
            <w:pPr>
              <w:pStyle w:val="TableParagraph"/>
              <w:spacing w:before="3" w:line="207" w:lineRule="exact"/>
              <w:ind w:right="282"/>
              <w:jc w:val="right"/>
              <w:rPr>
                <w:sz w:val="20"/>
              </w:rPr>
            </w:pPr>
            <w:r>
              <w:rPr>
                <w:spacing w:val="-5"/>
                <w:w w:val="115"/>
                <w:sz w:val="20"/>
              </w:rPr>
              <w:t>10</w:t>
            </w:r>
          </w:p>
        </w:tc>
        <w:tc>
          <w:tcPr>
            <w:tcW w:w="923" w:type="dxa"/>
          </w:tcPr>
          <w:p w14:paraId="41AEAB24" w14:textId="77777777" w:rsidR="00811887" w:rsidRDefault="00811887" w:rsidP="00486E22">
            <w:pPr>
              <w:pStyle w:val="TableParagraph"/>
              <w:spacing w:before="3" w:line="207" w:lineRule="exact"/>
              <w:ind w:right="183"/>
              <w:jc w:val="right"/>
              <w:rPr>
                <w:sz w:val="20"/>
              </w:rPr>
            </w:pPr>
            <w:r>
              <w:rPr>
                <w:spacing w:val="-10"/>
                <w:w w:val="115"/>
                <w:sz w:val="20"/>
              </w:rPr>
              <w:t>2</w:t>
            </w:r>
          </w:p>
        </w:tc>
        <w:tc>
          <w:tcPr>
            <w:tcW w:w="964" w:type="dxa"/>
          </w:tcPr>
          <w:p w14:paraId="64E85DEA" w14:textId="77777777" w:rsidR="00811887" w:rsidRDefault="00811887" w:rsidP="00486E22">
            <w:pPr>
              <w:pStyle w:val="TableParagraph"/>
              <w:spacing w:before="3" w:line="207" w:lineRule="exact"/>
              <w:ind w:right="114"/>
              <w:jc w:val="right"/>
              <w:rPr>
                <w:sz w:val="20"/>
              </w:rPr>
            </w:pPr>
            <w:r>
              <w:rPr>
                <w:spacing w:val="-5"/>
                <w:w w:val="115"/>
                <w:sz w:val="20"/>
              </w:rPr>
              <w:t>44</w:t>
            </w:r>
          </w:p>
        </w:tc>
      </w:tr>
      <w:tr w:rsidR="00811887" w14:paraId="25F72251" w14:textId="77777777" w:rsidTr="00486E22">
        <w:trPr>
          <w:trHeight w:val="215"/>
        </w:trPr>
        <w:tc>
          <w:tcPr>
            <w:tcW w:w="3674" w:type="dxa"/>
            <w:tcBorders>
              <w:right w:val="single" w:sz="4" w:space="0" w:color="000000"/>
            </w:tcBorders>
          </w:tcPr>
          <w:p w14:paraId="46F1C963" w14:textId="77777777" w:rsidR="00811887" w:rsidRDefault="00811887" w:rsidP="00486E22">
            <w:pPr>
              <w:pStyle w:val="TableParagraph"/>
              <w:spacing w:before="3" w:line="193" w:lineRule="exact"/>
              <w:ind w:left="105"/>
              <w:rPr>
                <w:sz w:val="20"/>
              </w:rPr>
            </w:pPr>
            <w:r>
              <w:rPr>
                <w:w w:val="110"/>
                <w:sz w:val="20"/>
              </w:rPr>
              <w:t>Wutunugurra</w:t>
            </w:r>
            <w:r>
              <w:rPr>
                <w:spacing w:val="-6"/>
                <w:w w:val="110"/>
                <w:sz w:val="20"/>
              </w:rPr>
              <w:t xml:space="preserve"> </w:t>
            </w:r>
            <w:r>
              <w:rPr>
                <w:w w:val="110"/>
                <w:sz w:val="20"/>
              </w:rPr>
              <w:t>-</w:t>
            </w:r>
            <w:r>
              <w:rPr>
                <w:spacing w:val="-1"/>
                <w:w w:val="110"/>
                <w:sz w:val="20"/>
              </w:rPr>
              <w:t xml:space="preserve"> </w:t>
            </w:r>
            <w:r>
              <w:rPr>
                <w:w w:val="110"/>
                <w:sz w:val="20"/>
              </w:rPr>
              <w:t>Canteen</w:t>
            </w:r>
            <w:r>
              <w:rPr>
                <w:spacing w:val="-1"/>
                <w:w w:val="110"/>
                <w:sz w:val="20"/>
              </w:rPr>
              <w:t xml:space="preserve"> </w:t>
            </w:r>
            <w:r>
              <w:rPr>
                <w:spacing w:val="-2"/>
                <w:w w:val="110"/>
                <w:sz w:val="20"/>
              </w:rPr>
              <w:t>Creek</w:t>
            </w:r>
          </w:p>
        </w:tc>
        <w:tc>
          <w:tcPr>
            <w:tcW w:w="1194" w:type="dxa"/>
            <w:tcBorders>
              <w:left w:val="single" w:sz="4" w:space="0" w:color="000000"/>
            </w:tcBorders>
          </w:tcPr>
          <w:p w14:paraId="44C7A931" w14:textId="77777777" w:rsidR="00811887" w:rsidRDefault="00811887" w:rsidP="00486E22">
            <w:pPr>
              <w:pStyle w:val="TableParagraph"/>
              <w:spacing w:before="3" w:line="193" w:lineRule="exact"/>
              <w:ind w:right="280"/>
              <w:jc w:val="right"/>
              <w:rPr>
                <w:sz w:val="20"/>
              </w:rPr>
            </w:pPr>
            <w:r>
              <w:rPr>
                <w:spacing w:val="-10"/>
                <w:w w:val="115"/>
                <w:sz w:val="20"/>
              </w:rPr>
              <w:t>0</w:t>
            </w:r>
          </w:p>
        </w:tc>
        <w:tc>
          <w:tcPr>
            <w:tcW w:w="1024" w:type="dxa"/>
          </w:tcPr>
          <w:p w14:paraId="3AB2888E" w14:textId="77777777" w:rsidR="00811887" w:rsidRDefault="00811887" w:rsidP="00486E22">
            <w:pPr>
              <w:pStyle w:val="TableParagraph"/>
              <w:spacing w:before="3" w:line="193" w:lineRule="exact"/>
              <w:ind w:right="281"/>
              <w:jc w:val="right"/>
              <w:rPr>
                <w:sz w:val="20"/>
              </w:rPr>
            </w:pPr>
            <w:r>
              <w:rPr>
                <w:spacing w:val="-10"/>
                <w:w w:val="115"/>
                <w:sz w:val="20"/>
              </w:rPr>
              <w:t>2</w:t>
            </w:r>
          </w:p>
        </w:tc>
        <w:tc>
          <w:tcPr>
            <w:tcW w:w="1026" w:type="dxa"/>
          </w:tcPr>
          <w:p w14:paraId="6E2D7B90" w14:textId="77777777" w:rsidR="00811887" w:rsidRDefault="00811887" w:rsidP="00486E22">
            <w:pPr>
              <w:pStyle w:val="TableParagraph"/>
              <w:spacing w:before="3" w:line="193" w:lineRule="exact"/>
              <w:ind w:right="284"/>
              <w:jc w:val="right"/>
              <w:rPr>
                <w:sz w:val="20"/>
              </w:rPr>
            </w:pPr>
            <w:r>
              <w:rPr>
                <w:spacing w:val="-10"/>
                <w:w w:val="115"/>
                <w:sz w:val="20"/>
              </w:rPr>
              <w:t>6</w:t>
            </w:r>
          </w:p>
        </w:tc>
        <w:tc>
          <w:tcPr>
            <w:tcW w:w="1021" w:type="dxa"/>
          </w:tcPr>
          <w:p w14:paraId="61EA2431" w14:textId="77777777" w:rsidR="00811887" w:rsidRDefault="00811887" w:rsidP="00486E22">
            <w:pPr>
              <w:pStyle w:val="TableParagraph"/>
              <w:spacing w:before="3" w:line="193" w:lineRule="exact"/>
              <w:ind w:right="283"/>
              <w:jc w:val="right"/>
              <w:rPr>
                <w:sz w:val="20"/>
              </w:rPr>
            </w:pPr>
            <w:r>
              <w:rPr>
                <w:spacing w:val="-10"/>
                <w:w w:val="115"/>
                <w:sz w:val="20"/>
              </w:rPr>
              <w:t>3</w:t>
            </w:r>
          </w:p>
        </w:tc>
        <w:tc>
          <w:tcPr>
            <w:tcW w:w="923" w:type="dxa"/>
          </w:tcPr>
          <w:p w14:paraId="6E7B66C1" w14:textId="77777777" w:rsidR="00811887" w:rsidRDefault="00811887" w:rsidP="00486E22">
            <w:pPr>
              <w:pStyle w:val="TableParagraph"/>
              <w:spacing w:before="3" w:line="193" w:lineRule="exact"/>
              <w:ind w:right="183"/>
              <w:jc w:val="right"/>
              <w:rPr>
                <w:sz w:val="20"/>
              </w:rPr>
            </w:pPr>
            <w:r>
              <w:rPr>
                <w:spacing w:val="-10"/>
                <w:w w:val="115"/>
                <w:sz w:val="20"/>
              </w:rPr>
              <w:t>0</w:t>
            </w:r>
          </w:p>
        </w:tc>
        <w:tc>
          <w:tcPr>
            <w:tcW w:w="964" w:type="dxa"/>
          </w:tcPr>
          <w:p w14:paraId="0F21FD17" w14:textId="77777777" w:rsidR="00811887" w:rsidRDefault="00811887" w:rsidP="00486E22">
            <w:pPr>
              <w:pStyle w:val="TableParagraph"/>
              <w:spacing w:before="3" w:line="193" w:lineRule="exact"/>
              <w:ind w:right="114"/>
              <w:jc w:val="right"/>
              <w:rPr>
                <w:sz w:val="20"/>
              </w:rPr>
            </w:pPr>
            <w:r>
              <w:rPr>
                <w:spacing w:val="-5"/>
                <w:w w:val="115"/>
                <w:sz w:val="20"/>
              </w:rPr>
              <w:t>12</w:t>
            </w:r>
          </w:p>
        </w:tc>
      </w:tr>
      <w:tr w:rsidR="00811887" w14:paraId="50E20799" w14:textId="77777777" w:rsidTr="00486E22">
        <w:trPr>
          <w:trHeight w:val="222"/>
        </w:trPr>
        <w:tc>
          <w:tcPr>
            <w:tcW w:w="3674" w:type="dxa"/>
            <w:tcBorders>
              <w:right w:val="single" w:sz="4" w:space="0" w:color="000000"/>
            </w:tcBorders>
          </w:tcPr>
          <w:p w14:paraId="14EC316E" w14:textId="77777777" w:rsidR="00811887" w:rsidRDefault="00811887" w:rsidP="00486E22">
            <w:pPr>
              <w:pStyle w:val="TableParagraph"/>
              <w:spacing w:line="202" w:lineRule="exact"/>
              <w:ind w:left="105"/>
              <w:rPr>
                <w:sz w:val="20"/>
              </w:rPr>
            </w:pPr>
            <w:r>
              <w:rPr>
                <w:spacing w:val="-2"/>
                <w:w w:val="110"/>
                <w:sz w:val="20"/>
              </w:rPr>
              <w:t>Fitzroy</w:t>
            </w:r>
            <w:r>
              <w:rPr>
                <w:w w:val="110"/>
                <w:sz w:val="20"/>
              </w:rPr>
              <w:t xml:space="preserve"> </w:t>
            </w:r>
            <w:r>
              <w:rPr>
                <w:spacing w:val="-2"/>
                <w:w w:val="110"/>
                <w:sz w:val="20"/>
              </w:rPr>
              <w:t>Crossing</w:t>
            </w:r>
          </w:p>
        </w:tc>
        <w:tc>
          <w:tcPr>
            <w:tcW w:w="1194" w:type="dxa"/>
            <w:tcBorders>
              <w:left w:val="single" w:sz="4" w:space="0" w:color="000000"/>
            </w:tcBorders>
          </w:tcPr>
          <w:p w14:paraId="4430FEAF" w14:textId="77777777" w:rsidR="00811887" w:rsidRDefault="00811887" w:rsidP="00486E22">
            <w:pPr>
              <w:pStyle w:val="TableParagraph"/>
              <w:spacing w:line="202" w:lineRule="exact"/>
              <w:ind w:right="280"/>
              <w:jc w:val="right"/>
              <w:rPr>
                <w:sz w:val="20"/>
              </w:rPr>
            </w:pPr>
            <w:r>
              <w:rPr>
                <w:spacing w:val="-10"/>
                <w:w w:val="115"/>
                <w:sz w:val="20"/>
              </w:rPr>
              <w:t>2</w:t>
            </w:r>
          </w:p>
        </w:tc>
        <w:tc>
          <w:tcPr>
            <w:tcW w:w="1024" w:type="dxa"/>
          </w:tcPr>
          <w:p w14:paraId="26A7627B" w14:textId="77777777" w:rsidR="00811887" w:rsidRDefault="00811887" w:rsidP="00486E22">
            <w:pPr>
              <w:pStyle w:val="TableParagraph"/>
              <w:spacing w:line="202" w:lineRule="exact"/>
              <w:ind w:right="281"/>
              <w:jc w:val="right"/>
              <w:rPr>
                <w:sz w:val="20"/>
              </w:rPr>
            </w:pPr>
            <w:r>
              <w:rPr>
                <w:spacing w:val="-5"/>
                <w:w w:val="115"/>
                <w:sz w:val="20"/>
              </w:rPr>
              <w:t>10</w:t>
            </w:r>
          </w:p>
        </w:tc>
        <w:tc>
          <w:tcPr>
            <w:tcW w:w="1026" w:type="dxa"/>
          </w:tcPr>
          <w:p w14:paraId="7E79D987" w14:textId="77777777" w:rsidR="00811887" w:rsidRDefault="00811887" w:rsidP="00486E22">
            <w:pPr>
              <w:pStyle w:val="TableParagraph"/>
              <w:spacing w:line="202" w:lineRule="exact"/>
              <w:ind w:right="284"/>
              <w:jc w:val="right"/>
              <w:rPr>
                <w:sz w:val="20"/>
              </w:rPr>
            </w:pPr>
            <w:r>
              <w:rPr>
                <w:spacing w:val="-5"/>
                <w:w w:val="115"/>
                <w:sz w:val="20"/>
              </w:rPr>
              <w:t>30</w:t>
            </w:r>
          </w:p>
        </w:tc>
        <w:tc>
          <w:tcPr>
            <w:tcW w:w="1021" w:type="dxa"/>
          </w:tcPr>
          <w:p w14:paraId="239B0FDF" w14:textId="77777777" w:rsidR="00811887" w:rsidRDefault="00811887" w:rsidP="00486E22">
            <w:pPr>
              <w:pStyle w:val="TableParagraph"/>
              <w:spacing w:line="202" w:lineRule="exact"/>
              <w:ind w:right="282"/>
              <w:jc w:val="right"/>
              <w:rPr>
                <w:sz w:val="20"/>
              </w:rPr>
            </w:pPr>
            <w:r>
              <w:rPr>
                <w:spacing w:val="-5"/>
                <w:w w:val="115"/>
                <w:sz w:val="20"/>
              </w:rPr>
              <w:t>12</w:t>
            </w:r>
          </w:p>
        </w:tc>
        <w:tc>
          <w:tcPr>
            <w:tcW w:w="923" w:type="dxa"/>
          </w:tcPr>
          <w:p w14:paraId="0EBCB35C" w14:textId="77777777" w:rsidR="00811887" w:rsidRDefault="00811887" w:rsidP="00486E22">
            <w:pPr>
              <w:pStyle w:val="TableParagraph"/>
              <w:spacing w:line="202" w:lineRule="exact"/>
              <w:ind w:right="183"/>
              <w:jc w:val="right"/>
              <w:rPr>
                <w:sz w:val="20"/>
              </w:rPr>
            </w:pPr>
            <w:r>
              <w:rPr>
                <w:spacing w:val="-10"/>
                <w:w w:val="115"/>
                <w:sz w:val="20"/>
              </w:rPr>
              <w:t>2</w:t>
            </w:r>
          </w:p>
        </w:tc>
        <w:tc>
          <w:tcPr>
            <w:tcW w:w="964" w:type="dxa"/>
          </w:tcPr>
          <w:p w14:paraId="78397FA0" w14:textId="77777777" w:rsidR="00811887" w:rsidRDefault="00811887" w:rsidP="00486E22">
            <w:pPr>
              <w:pStyle w:val="TableParagraph"/>
              <w:spacing w:line="202" w:lineRule="exact"/>
              <w:ind w:right="114"/>
              <w:jc w:val="right"/>
              <w:rPr>
                <w:sz w:val="20"/>
              </w:rPr>
            </w:pPr>
            <w:r>
              <w:rPr>
                <w:spacing w:val="-5"/>
                <w:w w:val="115"/>
                <w:sz w:val="20"/>
              </w:rPr>
              <w:t>56</w:t>
            </w:r>
          </w:p>
        </w:tc>
      </w:tr>
    </w:tbl>
    <w:p w14:paraId="0A4A56C5" w14:textId="77777777" w:rsidR="00811887" w:rsidRDefault="00811887" w:rsidP="00811887">
      <w:pPr>
        <w:spacing w:line="202" w:lineRule="exact"/>
        <w:jc w:val="right"/>
        <w:rPr>
          <w:sz w:val="20"/>
        </w:rPr>
        <w:sectPr w:rsidR="00811887" w:rsidSect="00811887">
          <w:pgSz w:w="11910" w:h="16840"/>
          <w:pgMar w:top="1320" w:right="720" w:bottom="1080" w:left="740" w:header="0" w:footer="805" w:gutter="0"/>
          <w:cols w:space="720"/>
        </w:sectPr>
      </w:pPr>
    </w:p>
    <w:p w14:paraId="60EF8367" w14:textId="77777777" w:rsidR="00811887" w:rsidRPr="00FD40B8" w:rsidRDefault="00811887" w:rsidP="00811887">
      <w:pPr>
        <w:spacing w:before="76"/>
        <w:ind w:left="508"/>
        <w:rPr>
          <w:rFonts w:ascii="Book Antiqua"/>
          <w:b/>
          <w:i/>
          <w:color w:val="131727" w:themeColor="text1"/>
        </w:rPr>
      </w:pPr>
      <w:r w:rsidRPr="00FD40B8">
        <w:rPr>
          <w:rFonts w:ascii="Book Antiqua"/>
          <w:b/>
          <w:i/>
          <w:color w:val="131727" w:themeColor="text1"/>
        </w:rPr>
        <w:lastRenderedPageBreak/>
        <w:t>Appendix</w:t>
      </w:r>
      <w:r w:rsidRPr="00FD40B8">
        <w:rPr>
          <w:rFonts w:ascii="Book Antiqua"/>
          <w:b/>
          <w:i/>
          <w:color w:val="131727" w:themeColor="text1"/>
          <w:spacing w:val="-2"/>
        </w:rPr>
        <w:t xml:space="preserve"> </w:t>
      </w:r>
      <w:r w:rsidRPr="00FD40B8">
        <w:rPr>
          <w:rFonts w:ascii="Book Antiqua"/>
          <w:b/>
          <w:i/>
          <w:color w:val="131727" w:themeColor="text1"/>
          <w:spacing w:val="-5"/>
        </w:rPr>
        <w:t>E.</w:t>
      </w:r>
    </w:p>
    <w:p w14:paraId="5F90FD54" w14:textId="77777777" w:rsidR="00811887" w:rsidRPr="00FD40B8" w:rsidRDefault="00811887" w:rsidP="00811887">
      <w:pPr>
        <w:pStyle w:val="BodyText"/>
        <w:spacing w:before="2"/>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69856" behindDoc="1" locked="0" layoutInCell="1" allowOverlap="1" wp14:anchorId="4A951739" wp14:editId="54A8CF48">
                <wp:simplePos x="0" y="0"/>
                <wp:positionH relativeFrom="page">
                  <wp:posOffset>774496</wp:posOffset>
                </wp:positionH>
                <wp:positionV relativeFrom="paragraph">
                  <wp:posOffset>70596</wp:posOffset>
                </wp:positionV>
                <wp:extent cx="6016625" cy="6350"/>
                <wp:effectExtent l="0" t="0" r="0" b="0"/>
                <wp:wrapTopAndBottom/>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69922DA9" id="Graphic 226" o:spid="_x0000_s1026" alt="&quot;&quot;" style="position:absolute;margin-left:61pt;margin-top:5.55pt;width:473.75pt;height:.5pt;z-index:-251546624;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" path="m6016117,l,,,6096r6016117,l6016117,xe" fillcolor="#4d665b" stroked="f">
                <v:path arrowok="t"/>
                <w10:wrap type="topAndBottom" anchorx="page"/>
              </v:shape>
            </w:pict>
          </mc:Fallback>
        </mc:AlternateContent>
      </w:r>
    </w:p>
    <w:p w14:paraId="58536378" w14:textId="77777777" w:rsidR="00811887" w:rsidRPr="00FD40B8" w:rsidRDefault="00811887" w:rsidP="00811887">
      <w:pPr>
        <w:pStyle w:val="BodyText"/>
        <w:spacing w:before="37"/>
        <w:rPr>
          <w:rFonts w:ascii="Book Antiqua"/>
          <w:b/>
          <w:i/>
          <w:color w:val="131727" w:themeColor="text1"/>
          <w:sz w:val="22"/>
        </w:rPr>
      </w:pPr>
    </w:p>
    <w:p w14:paraId="121BD846" w14:textId="77777777" w:rsidR="00811887" w:rsidRPr="00FD40B8" w:rsidRDefault="00811887" w:rsidP="00811887">
      <w:pPr>
        <w:pStyle w:val="Heading2"/>
        <w:rPr>
          <w:color w:val="131727" w:themeColor="text1"/>
        </w:rPr>
      </w:pPr>
      <w:bookmarkStart w:id="220" w:name="_bookmark109"/>
      <w:bookmarkEnd w:id="220"/>
      <w:r w:rsidRPr="00FD40B8">
        <w:rPr>
          <w:color w:val="131727" w:themeColor="text1"/>
        </w:rPr>
        <w:t>Housing</w:t>
      </w:r>
      <w:r w:rsidRPr="00FD40B8">
        <w:rPr>
          <w:color w:val="131727" w:themeColor="text1"/>
          <w:spacing w:val="52"/>
        </w:rPr>
        <w:t xml:space="preserve"> </w:t>
      </w:r>
      <w:r w:rsidRPr="00FD40B8">
        <w:rPr>
          <w:color w:val="131727" w:themeColor="text1"/>
        </w:rPr>
        <w:t>need</w:t>
      </w:r>
      <w:r w:rsidRPr="00FD40B8">
        <w:rPr>
          <w:color w:val="131727" w:themeColor="text1"/>
          <w:spacing w:val="50"/>
        </w:rPr>
        <w:t xml:space="preserve"> </w:t>
      </w:r>
      <w:r w:rsidRPr="00FD40B8">
        <w:rPr>
          <w:color w:val="131727" w:themeColor="text1"/>
        </w:rPr>
        <w:t>by</w:t>
      </w:r>
      <w:r w:rsidRPr="00FD40B8">
        <w:rPr>
          <w:color w:val="131727" w:themeColor="text1"/>
          <w:spacing w:val="53"/>
        </w:rPr>
        <w:t xml:space="preserve"> </w:t>
      </w:r>
      <w:r w:rsidRPr="00FD40B8">
        <w:rPr>
          <w:color w:val="131727" w:themeColor="text1"/>
          <w:spacing w:val="-2"/>
        </w:rPr>
        <w:t>Remoteness</w:t>
      </w:r>
    </w:p>
    <w:p w14:paraId="5144BB90" w14:textId="77777777" w:rsidR="00811887" w:rsidRDefault="00811887" w:rsidP="00811887">
      <w:pPr>
        <w:pStyle w:val="BodyText"/>
        <w:spacing w:before="10"/>
        <w:rPr>
          <w:rFonts w:ascii="Book Antiqua"/>
          <w:sz w:val="8"/>
        </w:rPr>
      </w:pPr>
    </w:p>
    <w:tbl>
      <w:tblPr>
        <w:tblW w:w="0" w:type="auto"/>
        <w:tblInd w:w="487" w:type="dxa"/>
        <w:tblLayout w:type="fixed"/>
        <w:tblCellMar>
          <w:left w:w="0" w:type="dxa"/>
          <w:right w:w="0" w:type="dxa"/>
        </w:tblCellMar>
        <w:tblLook w:val="01E0" w:firstRow="1" w:lastRow="1" w:firstColumn="1" w:lastColumn="1" w:noHBand="0" w:noVBand="0"/>
      </w:tblPr>
      <w:tblGrid>
        <w:gridCol w:w="3635"/>
        <w:gridCol w:w="1159"/>
        <w:gridCol w:w="988"/>
        <w:gridCol w:w="998"/>
        <w:gridCol w:w="991"/>
        <w:gridCol w:w="984"/>
        <w:gridCol w:w="830"/>
      </w:tblGrid>
      <w:tr w:rsidR="00811887" w14:paraId="3C7AED5D" w14:textId="77777777" w:rsidTr="00486E22">
        <w:trPr>
          <w:trHeight w:val="543"/>
        </w:trPr>
        <w:tc>
          <w:tcPr>
            <w:tcW w:w="3635" w:type="dxa"/>
            <w:vMerge w:val="restart"/>
            <w:tcBorders>
              <w:right w:val="single" w:sz="4" w:space="0" w:color="000000"/>
            </w:tcBorders>
            <w:shd w:val="clear" w:color="auto" w:fill="4D665B"/>
          </w:tcPr>
          <w:p w14:paraId="54DC5DC0" w14:textId="77777777" w:rsidR="00811887" w:rsidRDefault="00811887" w:rsidP="00486E22">
            <w:pPr>
              <w:pStyle w:val="TableParagraph"/>
              <w:spacing w:before="84" w:line="240" w:lineRule="auto"/>
              <w:rPr>
                <w:rFonts w:ascii="Book Antiqua"/>
                <w:sz w:val="20"/>
              </w:rPr>
            </w:pPr>
          </w:p>
          <w:p w14:paraId="250571CF" w14:textId="77777777" w:rsidR="00811887" w:rsidRDefault="00811887" w:rsidP="00486E22">
            <w:pPr>
              <w:pStyle w:val="TableParagraph"/>
              <w:spacing w:line="240" w:lineRule="auto"/>
              <w:ind w:left="1018"/>
              <w:rPr>
                <w:sz w:val="20"/>
              </w:rPr>
            </w:pPr>
            <w:r>
              <w:rPr>
                <w:color w:val="FFFFFF"/>
                <w:w w:val="110"/>
                <w:sz w:val="20"/>
              </w:rPr>
              <w:t>Indigenous</w:t>
            </w:r>
            <w:r>
              <w:rPr>
                <w:color w:val="FFFFFF"/>
                <w:spacing w:val="11"/>
                <w:w w:val="110"/>
                <w:sz w:val="20"/>
              </w:rPr>
              <w:t xml:space="preserve"> </w:t>
            </w:r>
            <w:r>
              <w:rPr>
                <w:color w:val="FFFFFF"/>
                <w:spacing w:val="-2"/>
                <w:w w:val="110"/>
                <w:sz w:val="20"/>
              </w:rPr>
              <w:t>region</w:t>
            </w:r>
          </w:p>
        </w:tc>
        <w:tc>
          <w:tcPr>
            <w:tcW w:w="1159" w:type="dxa"/>
            <w:tcBorders>
              <w:left w:val="single" w:sz="4" w:space="0" w:color="000000"/>
            </w:tcBorders>
            <w:shd w:val="clear" w:color="auto" w:fill="4D665B"/>
          </w:tcPr>
          <w:p w14:paraId="5CEBCA9E" w14:textId="77777777" w:rsidR="00811887" w:rsidRDefault="00811887" w:rsidP="00486E22">
            <w:pPr>
              <w:pStyle w:val="TableParagraph"/>
              <w:spacing w:line="240" w:lineRule="auto"/>
              <w:rPr>
                <w:rFonts w:ascii="Times New Roman"/>
                <w:sz w:val="20"/>
              </w:rPr>
            </w:pPr>
          </w:p>
        </w:tc>
        <w:tc>
          <w:tcPr>
            <w:tcW w:w="3961" w:type="dxa"/>
            <w:gridSpan w:val="4"/>
            <w:shd w:val="clear" w:color="auto" w:fill="4D665B"/>
          </w:tcPr>
          <w:p w14:paraId="5CC906FC" w14:textId="77777777" w:rsidR="00811887" w:rsidRDefault="00811887" w:rsidP="00486E22">
            <w:pPr>
              <w:pStyle w:val="TableParagraph"/>
              <w:spacing w:before="217" w:line="240" w:lineRule="auto"/>
              <w:ind w:left="55"/>
              <w:rPr>
                <w:sz w:val="20"/>
              </w:rPr>
            </w:pPr>
            <w:r>
              <w:rPr>
                <w:color w:val="FFFFFF"/>
                <w:w w:val="110"/>
                <w:sz w:val="20"/>
              </w:rPr>
              <w:t>Total</w:t>
            </w:r>
            <w:r>
              <w:rPr>
                <w:color w:val="FFFFFF"/>
                <w:spacing w:val="2"/>
                <w:w w:val="110"/>
                <w:sz w:val="20"/>
              </w:rPr>
              <w:t xml:space="preserve"> </w:t>
            </w:r>
            <w:r>
              <w:rPr>
                <w:color w:val="FFFFFF"/>
                <w:w w:val="110"/>
                <w:sz w:val="20"/>
              </w:rPr>
              <w:t>Number</w:t>
            </w:r>
            <w:r>
              <w:rPr>
                <w:color w:val="FFFFFF"/>
                <w:spacing w:val="-5"/>
                <w:w w:val="110"/>
                <w:sz w:val="20"/>
              </w:rPr>
              <w:t xml:space="preserve"> </w:t>
            </w:r>
            <w:r>
              <w:rPr>
                <w:color w:val="FFFFFF"/>
                <w:w w:val="110"/>
                <w:sz w:val="20"/>
              </w:rPr>
              <w:t>of</w:t>
            </w:r>
            <w:r>
              <w:rPr>
                <w:color w:val="FFFFFF"/>
                <w:spacing w:val="-2"/>
                <w:w w:val="110"/>
                <w:sz w:val="20"/>
              </w:rPr>
              <w:t xml:space="preserve"> </w:t>
            </w:r>
            <w:r>
              <w:rPr>
                <w:color w:val="FFFFFF"/>
                <w:w w:val="110"/>
                <w:sz w:val="20"/>
              </w:rPr>
              <w:t>houses</w:t>
            </w:r>
            <w:r>
              <w:rPr>
                <w:color w:val="FFFFFF"/>
                <w:spacing w:val="3"/>
                <w:w w:val="110"/>
                <w:sz w:val="20"/>
              </w:rPr>
              <w:t xml:space="preserve"> </w:t>
            </w:r>
            <w:r>
              <w:rPr>
                <w:color w:val="FFFFFF"/>
                <w:w w:val="110"/>
                <w:sz w:val="20"/>
              </w:rPr>
              <w:t xml:space="preserve">(by </w:t>
            </w:r>
            <w:r>
              <w:rPr>
                <w:color w:val="FFFFFF"/>
                <w:spacing w:val="-2"/>
                <w:w w:val="110"/>
                <w:sz w:val="20"/>
              </w:rPr>
              <w:t>bedrooms)</w:t>
            </w:r>
          </w:p>
        </w:tc>
        <w:tc>
          <w:tcPr>
            <w:tcW w:w="830" w:type="dxa"/>
            <w:shd w:val="clear" w:color="auto" w:fill="4D665B"/>
          </w:tcPr>
          <w:p w14:paraId="271DC77E" w14:textId="77777777" w:rsidR="00811887" w:rsidRDefault="00811887" w:rsidP="00486E22">
            <w:pPr>
              <w:pStyle w:val="TableParagraph"/>
              <w:spacing w:line="240" w:lineRule="auto"/>
              <w:rPr>
                <w:rFonts w:ascii="Times New Roman"/>
                <w:sz w:val="20"/>
              </w:rPr>
            </w:pPr>
          </w:p>
        </w:tc>
      </w:tr>
      <w:tr w:rsidR="00811887" w14:paraId="08E9BAAB" w14:textId="77777777" w:rsidTr="00486E22">
        <w:trPr>
          <w:trHeight w:val="349"/>
        </w:trPr>
        <w:tc>
          <w:tcPr>
            <w:tcW w:w="3635" w:type="dxa"/>
            <w:vMerge/>
            <w:tcBorders>
              <w:top w:val="nil"/>
              <w:right w:val="single" w:sz="4" w:space="0" w:color="000000"/>
            </w:tcBorders>
            <w:shd w:val="clear" w:color="auto" w:fill="4D665B"/>
          </w:tcPr>
          <w:p w14:paraId="52F0D24A" w14:textId="77777777" w:rsidR="00811887" w:rsidRDefault="00811887" w:rsidP="00486E22">
            <w:pPr>
              <w:rPr>
                <w:sz w:val="2"/>
                <w:szCs w:val="2"/>
              </w:rPr>
            </w:pPr>
          </w:p>
        </w:tc>
        <w:tc>
          <w:tcPr>
            <w:tcW w:w="1159" w:type="dxa"/>
            <w:tcBorders>
              <w:left w:val="single" w:sz="4" w:space="0" w:color="000000"/>
            </w:tcBorders>
            <w:shd w:val="clear" w:color="auto" w:fill="4D665B"/>
          </w:tcPr>
          <w:p w14:paraId="7BC041FD" w14:textId="77777777" w:rsidR="00811887" w:rsidRDefault="00811887" w:rsidP="00486E22">
            <w:pPr>
              <w:pStyle w:val="TableParagraph"/>
              <w:spacing w:before="101" w:line="228" w:lineRule="exact"/>
              <w:ind w:right="162"/>
              <w:jc w:val="center"/>
              <w:rPr>
                <w:sz w:val="20"/>
              </w:rPr>
            </w:pPr>
            <w:r>
              <w:rPr>
                <w:color w:val="FFFFFF"/>
                <w:spacing w:val="-10"/>
                <w:w w:val="115"/>
                <w:sz w:val="20"/>
              </w:rPr>
              <w:t>1</w:t>
            </w:r>
          </w:p>
        </w:tc>
        <w:tc>
          <w:tcPr>
            <w:tcW w:w="988" w:type="dxa"/>
            <w:shd w:val="clear" w:color="auto" w:fill="4D665B"/>
          </w:tcPr>
          <w:p w14:paraId="19B07056" w14:textId="77777777" w:rsidR="00811887" w:rsidRDefault="00811887" w:rsidP="00486E22">
            <w:pPr>
              <w:pStyle w:val="TableParagraph"/>
              <w:spacing w:before="101" w:line="228" w:lineRule="exact"/>
              <w:ind w:left="271"/>
              <w:rPr>
                <w:sz w:val="20"/>
              </w:rPr>
            </w:pPr>
            <w:r>
              <w:rPr>
                <w:color w:val="FFFFFF"/>
                <w:spacing w:val="-10"/>
                <w:w w:val="115"/>
                <w:sz w:val="20"/>
              </w:rPr>
              <w:t>2</w:t>
            </w:r>
          </w:p>
        </w:tc>
        <w:tc>
          <w:tcPr>
            <w:tcW w:w="998" w:type="dxa"/>
            <w:shd w:val="clear" w:color="auto" w:fill="4D665B"/>
          </w:tcPr>
          <w:p w14:paraId="20D25C99" w14:textId="77777777" w:rsidR="00811887" w:rsidRDefault="00811887" w:rsidP="00486E22">
            <w:pPr>
              <w:pStyle w:val="TableParagraph"/>
              <w:spacing w:before="101" w:line="228" w:lineRule="exact"/>
              <w:ind w:left="277"/>
              <w:rPr>
                <w:sz w:val="20"/>
              </w:rPr>
            </w:pPr>
            <w:r>
              <w:rPr>
                <w:color w:val="FFFFFF"/>
                <w:spacing w:val="-10"/>
                <w:w w:val="115"/>
                <w:sz w:val="20"/>
              </w:rPr>
              <w:t>3</w:t>
            </w:r>
          </w:p>
        </w:tc>
        <w:tc>
          <w:tcPr>
            <w:tcW w:w="991" w:type="dxa"/>
            <w:shd w:val="clear" w:color="auto" w:fill="4D665B"/>
          </w:tcPr>
          <w:p w14:paraId="41372CC1" w14:textId="77777777" w:rsidR="00811887" w:rsidRDefault="00811887" w:rsidP="00486E22">
            <w:pPr>
              <w:pStyle w:val="TableParagraph"/>
              <w:spacing w:before="101" w:line="228" w:lineRule="exact"/>
              <w:ind w:left="274"/>
              <w:rPr>
                <w:sz w:val="20"/>
              </w:rPr>
            </w:pPr>
            <w:r>
              <w:rPr>
                <w:color w:val="FFFFFF"/>
                <w:spacing w:val="-10"/>
                <w:w w:val="115"/>
                <w:sz w:val="20"/>
              </w:rPr>
              <w:t>4</w:t>
            </w:r>
          </w:p>
        </w:tc>
        <w:tc>
          <w:tcPr>
            <w:tcW w:w="984" w:type="dxa"/>
            <w:shd w:val="clear" w:color="auto" w:fill="4D665B"/>
          </w:tcPr>
          <w:p w14:paraId="7CBCB36A" w14:textId="77777777" w:rsidR="00811887" w:rsidRDefault="00811887" w:rsidP="00486E22">
            <w:pPr>
              <w:pStyle w:val="TableParagraph"/>
              <w:spacing w:before="101" w:line="228" w:lineRule="exact"/>
              <w:ind w:left="272"/>
              <w:rPr>
                <w:sz w:val="20"/>
              </w:rPr>
            </w:pPr>
            <w:r>
              <w:rPr>
                <w:color w:val="FFFFFF"/>
                <w:spacing w:val="-10"/>
                <w:w w:val="115"/>
                <w:sz w:val="20"/>
              </w:rPr>
              <w:t>5</w:t>
            </w:r>
          </w:p>
        </w:tc>
        <w:tc>
          <w:tcPr>
            <w:tcW w:w="830" w:type="dxa"/>
            <w:shd w:val="clear" w:color="auto" w:fill="4D665B"/>
          </w:tcPr>
          <w:p w14:paraId="6E3BD866" w14:textId="77777777" w:rsidR="00811887" w:rsidRDefault="00811887" w:rsidP="00486E22">
            <w:pPr>
              <w:pStyle w:val="TableParagraph"/>
              <w:spacing w:line="240" w:lineRule="auto"/>
              <w:rPr>
                <w:rFonts w:ascii="Times New Roman"/>
                <w:sz w:val="20"/>
              </w:rPr>
            </w:pPr>
          </w:p>
        </w:tc>
      </w:tr>
      <w:tr w:rsidR="00811887" w14:paraId="7B177D2F" w14:textId="77777777" w:rsidTr="00486E22">
        <w:trPr>
          <w:trHeight w:val="244"/>
        </w:trPr>
        <w:tc>
          <w:tcPr>
            <w:tcW w:w="9585" w:type="dxa"/>
            <w:gridSpan w:val="7"/>
            <w:shd w:val="clear" w:color="auto" w:fill="AFCAC7"/>
          </w:tcPr>
          <w:p w14:paraId="09AADE1C" w14:textId="77777777" w:rsidR="00811887" w:rsidRDefault="00811887" w:rsidP="00486E22">
            <w:pPr>
              <w:pStyle w:val="TableParagraph"/>
              <w:spacing w:before="11" w:line="214" w:lineRule="exact"/>
              <w:ind w:left="34" w:right="5"/>
              <w:jc w:val="center"/>
              <w:rPr>
                <w:sz w:val="20"/>
              </w:rPr>
            </w:pPr>
            <w:r w:rsidRPr="00630A63">
              <w:rPr>
                <w:w w:val="110"/>
                <w:sz w:val="20"/>
              </w:rPr>
              <w:t>New</w:t>
            </w:r>
            <w:r w:rsidRPr="00630A63">
              <w:rPr>
                <w:spacing w:val="-4"/>
                <w:w w:val="110"/>
                <w:sz w:val="20"/>
              </w:rPr>
              <w:t xml:space="preserve"> </w:t>
            </w:r>
            <w:r w:rsidRPr="00630A63">
              <w:rPr>
                <w:w w:val="110"/>
                <w:sz w:val="20"/>
              </w:rPr>
              <w:t>South</w:t>
            </w:r>
            <w:r w:rsidRPr="00630A63">
              <w:rPr>
                <w:spacing w:val="-5"/>
                <w:w w:val="110"/>
                <w:sz w:val="20"/>
              </w:rPr>
              <w:t xml:space="preserve"> </w:t>
            </w:r>
            <w:r w:rsidRPr="00630A63">
              <w:rPr>
                <w:spacing w:val="-2"/>
                <w:w w:val="110"/>
                <w:sz w:val="20"/>
              </w:rPr>
              <w:t>Wales</w:t>
            </w:r>
          </w:p>
        </w:tc>
      </w:tr>
      <w:tr w:rsidR="00811887" w14:paraId="796F28FE" w14:textId="77777777" w:rsidTr="00486E22">
        <w:trPr>
          <w:trHeight w:val="248"/>
        </w:trPr>
        <w:tc>
          <w:tcPr>
            <w:tcW w:w="3635" w:type="dxa"/>
            <w:tcBorders>
              <w:right w:val="single" w:sz="4" w:space="0" w:color="000000"/>
            </w:tcBorders>
          </w:tcPr>
          <w:p w14:paraId="4F2A69F0" w14:textId="77777777" w:rsidR="00811887" w:rsidRDefault="00811887" w:rsidP="00486E22">
            <w:pPr>
              <w:pStyle w:val="TableParagraph"/>
              <w:spacing w:before="11" w:line="217"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292EEB63" w14:textId="77777777" w:rsidR="00811887" w:rsidRDefault="00811887" w:rsidP="00486E22">
            <w:pPr>
              <w:pStyle w:val="TableParagraph"/>
              <w:spacing w:before="11" w:line="217" w:lineRule="exact"/>
              <w:ind w:right="268"/>
              <w:jc w:val="right"/>
              <w:rPr>
                <w:sz w:val="20"/>
              </w:rPr>
            </w:pPr>
            <w:r>
              <w:rPr>
                <w:spacing w:val="-5"/>
                <w:w w:val="115"/>
                <w:sz w:val="20"/>
              </w:rPr>
              <w:t>44</w:t>
            </w:r>
          </w:p>
        </w:tc>
        <w:tc>
          <w:tcPr>
            <w:tcW w:w="988" w:type="dxa"/>
          </w:tcPr>
          <w:p w14:paraId="08090E95" w14:textId="77777777" w:rsidR="00811887" w:rsidRDefault="00811887" w:rsidP="00486E22">
            <w:pPr>
              <w:pStyle w:val="TableParagraph"/>
              <w:spacing w:before="11" w:line="217" w:lineRule="exact"/>
              <w:ind w:right="262"/>
              <w:jc w:val="right"/>
              <w:rPr>
                <w:sz w:val="20"/>
              </w:rPr>
            </w:pPr>
            <w:r>
              <w:rPr>
                <w:spacing w:val="-5"/>
                <w:w w:val="115"/>
                <w:sz w:val="20"/>
              </w:rPr>
              <w:t>412</w:t>
            </w:r>
          </w:p>
        </w:tc>
        <w:tc>
          <w:tcPr>
            <w:tcW w:w="998" w:type="dxa"/>
          </w:tcPr>
          <w:p w14:paraId="5E8126E5" w14:textId="77777777" w:rsidR="00811887" w:rsidRDefault="00811887" w:rsidP="00486E22">
            <w:pPr>
              <w:pStyle w:val="TableParagraph"/>
              <w:spacing w:before="11" w:line="217" w:lineRule="exact"/>
              <w:ind w:left="268"/>
              <w:rPr>
                <w:sz w:val="20"/>
              </w:rPr>
            </w:pPr>
            <w:r>
              <w:rPr>
                <w:spacing w:val="-4"/>
                <w:w w:val="115"/>
                <w:sz w:val="20"/>
              </w:rPr>
              <w:t>1217</w:t>
            </w:r>
          </w:p>
        </w:tc>
        <w:tc>
          <w:tcPr>
            <w:tcW w:w="991" w:type="dxa"/>
          </w:tcPr>
          <w:p w14:paraId="1BBE04F2" w14:textId="77777777" w:rsidR="00811887" w:rsidRDefault="00811887" w:rsidP="00486E22">
            <w:pPr>
              <w:pStyle w:val="TableParagraph"/>
              <w:spacing w:before="11" w:line="217" w:lineRule="exact"/>
              <w:ind w:right="263"/>
              <w:jc w:val="right"/>
              <w:rPr>
                <w:sz w:val="20"/>
              </w:rPr>
            </w:pPr>
            <w:r>
              <w:rPr>
                <w:spacing w:val="-5"/>
                <w:w w:val="115"/>
                <w:sz w:val="20"/>
              </w:rPr>
              <w:t>495</w:t>
            </w:r>
          </w:p>
        </w:tc>
        <w:tc>
          <w:tcPr>
            <w:tcW w:w="984" w:type="dxa"/>
          </w:tcPr>
          <w:p w14:paraId="63D08503" w14:textId="77777777" w:rsidR="00811887" w:rsidRDefault="00811887" w:rsidP="00486E22">
            <w:pPr>
              <w:pStyle w:val="TableParagraph"/>
              <w:spacing w:before="11" w:line="217" w:lineRule="exact"/>
              <w:ind w:right="263"/>
              <w:jc w:val="right"/>
              <w:rPr>
                <w:sz w:val="20"/>
              </w:rPr>
            </w:pPr>
            <w:r>
              <w:rPr>
                <w:spacing w:val="-5"/>
                <w:w w:val="115"/>
                <w:sz w:val="20"/>
              </w:rPr>
              <w:t>89</w:t>
            </w:r>
          </w:p>
        </w:tc>
        <w:tc>
          <w:tcPr>
            <w:tcW w:w="830" w:type="dxa"/>
          </w:tcPr>
          <w:p w14:paraId="518BC0C5" w14:textId="77777777" w:rsidR="00811887" w:rsidRDefault="00811887" w:rsidP="00486E22">
            <w:pPr>
              <w:pStyle w:val="TableParagraph"/>
              <w:spacing w:before="11" w:line="217" w:lineRule="exact"/>
              <w:ind w:right="94"/>
              <w:jc w:val="right"/>
              <w:rPr>
                <w:sz w:val="20"/>
              </w:rPr>
            </w:pPr>
            <w:r>
              <w:rPr>
                <w:spacing w:val="-4"/>
                <w:w w:val="115"/>
                <w:sz w:val="20"/>
              </w:rPr>
              <w:t>2257</w:t>
            </w:r>
          </w:p>
        </w:tc>
      </w:tr>
      <w:tr w:rsidR="00811887" w14:paraId="3A7DFB77" w14:textId="77777777" w:rsidTr="00486E22">
        <w:trPr>
          <w:trHeight w:val="247"/>
        </w:trPr>
        <w:tc>
          <w:tcPr>
            <w:tcW w:w="3635" w:type="dxa"/>
            <w:tcBorders>
              <w:right w:val="single" w:sz="4" w:space="0" w:color="000000"/>
            </w:tcBorders>
          </w:tcPr>
          <w:p w14:paraId="388499E6" w14:textId="77777777" w:rsidR="00811887" w:rsidRDefault="00811887" w:rsidP="00486E22">
            <w:pPr>
              <w:pStyle w:val="TableParagraph"/>
              <w:spacing w:before="12" w:line="215"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5210EFAF" w14:textId="77777777" w:rsidR="00811887" w:rsidRDefault="00811887" w:rsidP="00486E22">
            <w:pPr>
              <w:pStyle w:val="TableParagraph"/>
              <w:spacing w:before="12" w:line="215" w:lineRule="exact"/>
              <w:ind w:right="268"/>
              <w:jc w:val="right"/>
              <w:rPr>
                <w:sz w:val="20"/>
              </w:rPr>
            </w:pPr>
            <w:r>
              <w:rPr>
                <w:spacing w:val="-5"/>
                <w:w w:val="115"/>
                <w:sz w:val="20"/>
              </w:rPr>
              <w:t>43</w:t>
            </w:r>
          </w:p>
        </w:tc>
        <w:tc>
          <w:tcPr>
            <w:tcW w:w="988" w:type="dxa"/>
          </w:tcPr>
          <w:p w14:paraId="6EC7F253" w14:textId="77777777" w:rsidR="00811887" w:rsidRDefault="00811887" w:rsidP="00486E22">
            <w:pPr>
              <w:pStyle w:val="TableParagraph"/>
              <w:spacing w:before="12" w:line="215" w:lineRule="exact"/>
              <w:ind w:right="262"/>
              <w:jc w:val="right"/>
              <w:rPr>
                <w:sz w:val="20"/>
              </w:rPr>
            </w:pPr>
            <w:r>
              <w:rPr>
                <w:spacing w:val="-5"/>
                <w:w w:val="115"/>
                <w:sz w:val="20"/>
              </w:rPr>
              <w:t>282</w:t>
            </w:r>
          </w:p>
        </w:tc>
        <w:tc>
          <w:tcPr>
            <w:tcW w:w="998" w:type="dxa"/>
          </w:tcPr>
          <w:p w14:paraId="07A84D9F" w14:textId="77777777" w:rsidR="00811887" w:rsidRDefault="00811887" w:rsidP="00486E22">
            <w:pPr>
              <w:pStyle w:val="TableParagraph"/>
              <w:spacing w:before="12" w:line="215" w:lineRule="exact"/>
              <w:ind w:right="266"/>
              <w:jc w:val="right"/>
              <w:rPr>
                <w:sz w:val="20"/>
              </w:rPr>
            </w:pPr>
            <w:r>
              <w:rPr>
                <w:spacing w:val="-5"/>
                <w:w w:val="115"/>
                <w:sz w:val="20"/>
              </w:rPr>
              <w:t>834</w:t>
            </w:r>
          </w:p>
        </w:tc>
        <w:tc>
          <w:tcPr>
            <w:tcW w:w="991" w:type="dxa"/>
          </w:tcPr>
          <w:p w14:paraId="5EB67CCA" w14:textId="77777777" w:rsidR="00811887" w:rsidRDefault="00811887" w:rsidP="00486E22">
            <w:pPr>
              <w:pStyle w:val="TableParagraph"/>
              <w:spacing w:before="12" w:line="215" w:lineRule="exact"/>
              <w:ind w:right="263"/>
              <w:jc w:val="right"/>
              <w:rPr>
                <w:sz w:val="20"/>
              </w:rPr>
            </w:pPr>
            <w:r>
              <w:rPr>
                <w:spacing w:val="-5"/>
                <w:w w:val="115"/>
                <w:sz w:val="20"/>
              </w:rPr>
              <w:t>339</w:t>
            </w:r>
          </w:p>
        </w:tc>
        <w:tc>
          <w:tcPr>
            <w:tcW w:w="984" w:type="dxa"/>
          </w:tcPr>
          <w:p w14:paraId="19DE3BC9" w14:textId="77777777" w:rsidR="00811887" w:rsidRDefault="00811887" w:rsidP="00486E22">
            <w:pPr>
              <w:pStyle w:val="TableParagraph"/>
              <w:spacing w:before="12" w:line="215" w:lineRule="exact"/>
              <w:ind w:right="263"/>
              <w:jc w:val="right"/>
              <w:rPr>
                <w:sz w:val="20"/>
              </w:rPr>
            </w:pPr>
            <w:r>
              <w:rPr>
                <w:spacing w:val="-5"/>
                <w:w w:val="115"/>
                <w:sz w:val="20"/>
              </w:rPr>
              <w:t>61</w:t>
            </w:r>
          </w:p>
        </w:tc>
        <w:tc>
          <w:tcPr>
            <w:tcW w:w="830" w:type="dxa"/>
          </w:tcPr>
          <w:p w14:paraId="7DA83ECB" w14:textId="77777777" w:rsidR="00811887" w:rsidRDefault="00811887" w:rsidP="00486E22">
            <w:pPr>
              <w:pStyle w:val="TableParagraph"/>
              <w:spacing w:before="12" w:line="215" w:lineRule="exact"/>
              <w:ind w:right="94"/>
              <w:jc w:val="right"/>
              <w:rPr>
                <w:sz w:val="20"/>
              </w:rPr>
            </w:pPr>
            <w:r>
              <w:rPr>
                <w:spacing w:val="-4"/>
                <w:w w:val="115"/>
                <w:sz w:val="20"/>
              </w:rPr>
              <w:t>1559</w:t>
            </w:r>
          </w:p>
        </w:tc>
      </w:tr>
      <w:tr w:rsidR="00811887" w14:paraId="3215506C" w14:textId="77777777" w:rsidTr="00486E22">
        <w:trPr>
          <w:trHeight w:val="244"/>
        </w:trPr>
        <w:tc>
          <w:tcPr>
            <w:tcW w:w="3635" w:type="dxa"/>
            <w:tcBorders>
              <w:right w:val="single" w:sz="4" w:space="0" w:color="000000"/>
            </w:tcBorders>
          </w:tcPr>
          <w:p w14:paraId="0E24D8AE" w14:textId="77777777" w:rsidR="00811887" w:rsidRDefault="00811887" w:rsidP="00486E22">
            <w:pPr>
              <w:pStyle w:val="TableParagraph"/>
              <w:spacing w:before="10"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36993386" w14:textId="77777777" w:rsidR="00811887" w:rsidRDefault="00811887" w:rsidP="00486E22">
            <w:pPr>
              <w:pStyle w:val="TableParagraph"/>
              <w:spacing w:before="10" w:line="215" w:lineRule="exact"/>
              <w:ind w:right="268"/>
              <w:jc w:val="right"/>
              <w:rPr>
                <w:sz w:val="20"/>
              </w:rPr>
            </w:pPr>
            <w:r>
              <w:rPr>
                <w:spacing w:val="-5"/>
                <w:w w:val="115"/>
                <w:sz w:val="20"/>
              </w:rPr>
              <w:t>13</w:t>
            </w:r>
          </w:p>
        </w:tc>
        <w:tc>
          <w:tcPr>
            <w:tcW w:w="988" w:type="dxa"/>
          </w:tcPr>
          <w:p w14:paraId="2E5A6AE1" w14:textId="77777777" w:rsidR="00811887" w:rsidRDefault="00811887" w:rsidP="00486E22">
            <w:pPr>
              <w:pStyle w:val="TableParagraph"/>
              <w:spacing w:before="10" w:line="215" w:lineRule="exact"/>
              <w:ind w:right="267"/>
              <w:jc w:val="right"/>
              <w:rPr>
                <w:sz w:val="20"/>
              </w:rPr>
            </w:pPr>
            <w:r>
              <w:rPr>
                <w:spacing w:val="-5"/>
                <w:w w:val="115"/>
                <w:sz w:val="20"/>
              </w:rPr>
              <w:t>88</w:t>
            </w:r>
          </w:p>
        </w:tc>
        <w:tc>
          <w:tcPr>
            <w:tcW w:w="998" w:type="dxa"/>
          </w:tcPr>
          <w:p w14:paraId="5DC3135A" w14:textId="77777777" w:rsidR="00811887" w:rsidRDefault="00811887" w:rsidP="00486E22">
            <w:pPr>
              <w:pStyle w:val="TableParagraph"/>
              <w:spacing w:before="10" w:line="215" w:lineRule="exact"/>
              <w:ind w:right="266"/>
              <w:jc w:val="right"/>
              <w:rPr>
                <w:sz w:val="20"/>
              </w:rPr>
            </w:pPr>
            <w:r>
              <w:rPr>
                <w:spacing w:val="-5"/>
                <w:w w:val="115"/>
                <w:sz w:val="20"/>
              </w:rPr>
              <w:t>259</w:t>
            </w:r>
          </w:p>
        </w:tc>
        <w:tc>
          <w:tcPr>
            <w:tcW w:w="991" w:type="dxa"/>
          </w:tcPr>
          <w:p w14:paraId="1FCA46D4" w14:textId="77777777" w:rsidR="00811887" w:rsidRDefault="00811887" w:rsidP="00486E22">
            <w:pPr>
              <w:pStyle w:val="TableParagraph"/>
              <w:spacing w:before="10" w:line="215" w:lineRule="exact"/>
              <w:ind w:right="263"/>
              <w:jc w:val="right"/>
              <w:rPr>
                <w:sz w:val="20"/>
              </w:rPr>
            </w:pPr>
            <w:r>
              <w:rPr>
                <w:spacing w:val="-5"/>
                <w:w w:val="115"/>
                <w:sz w:val="20"/>
              </w:rPr>
              <w:t>105</w:t>
            </w:r>
          </w:p>
        </w:tc>
        <w:tc>
          <w:tcPr>
            <w:tcW w:w="984" w:type="dxa"/>
          </w:tcPr>
          <w:p w14:paraId="2E0BF268" w14:textId="77777777" w:rsidR="00811887" w:rsidRDefault="00811887" w:rsidP="00486E22">
            <w:pPr>
              <w:pStyle w:val="TableParagraph"/>
              <w:spacing w:before="10" w:line="215" w:lineRule="exact"/>
              <w:ind w:right="263"/>
              <w:jc w:val="right"/>
              <w:rPr>
                <w:sz w:val="20"/>
              </w:rPr>
            </w:pPr>
            <w:r>
              <w:rPr>
                <w:spacing w:val="-5"/>
                <w:w w:val="115"/>
                <w:sz w:val="20"/>
              </w:rPr>
              <w:t>19</w:t>
            </w:r>
          </w:p>
        </w:tc>
        <w:tc>
          <w:tcPr>
            <w:tcW w:w="830" w:type="dxa"/>
          </w:tcPr>
          <w:p w14:paraId="1B5F4CE3" w14:textId="77777777" w:rsidR="00811887" w:rsidRDefault="00811887" w:rsidP="00486E22">
            <w:pPr>
              <w:pStyle w:val="TableParagraph"/>
              <w:spacing w:before="10" w:line="215" w:lineRule="exact"/>
              <w:ind w:right="94"/>
              <w:jc w:val="right"/>
              <w:rPr>
                <w:sz w:val="20"/>
              </w:rPr>
            </w:pPr>
            <w:r>
              <w:rPr>
                <w:spacing w:val="-5"/>
                <w:w w:val="115"/>
                <w:sz w:val="20"/>
              </w:rPr>
              <w:t>484</w:t>
            </w:r>
          </w:p>
        </w:tc>
      </w:tr>
      <w:tr w:rsidR="00811887" w14:paraId="44FCE775" w14:textId="77777777" w:rsidTr="00486E22">
        <w:trPr>
          <w:trHeight w:val="247"/>
        </w:trPr>
        <w:tc>
          <w:tcPr>
            <w:tcW w:w="3635" w:type="dxa"/>
            <w:tcBorders>
              <w:right w:val="single" w:sz="4" w:space="0" w:color="000000"/>
            </w:tcBorders>
          </w:tcPr>
          <w:p w14:paraId="76BAFC4C" w14:textId="77777777" w:rsidR="00811887" w:rsidRDefault="00811887" w:rsidP="00486E22">
            <w:pPr>
              <w:pStyle w:val="TableParagraph"/>
              <w:spacing w:before="10" w:line="217"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7E6DF13B" w14:textId="77777777" w:rsidR="00811887" w:rsidRDefault="00811887" w:rsidP="00486E22">
            <w:pPr>
              <w:pStyle w:val="TableParagraph"/>
              <w:spacing w:before="10" w:line="217" w:lineRule="exact"/>
              <w:ind w:right="268"/>
              <w:jc w:val="right"/>
              <w:rPr>
                <w:sz w:val="20"/>
              </w:rPr>
            </w:pPr>
            <w:r>
              <w:rPr>
                <w:spacing w:val="-10"/>
                <w:w w:val="115"/>
                <w:sz w:val="20"/>
              </w:rPr>
              <w:t>2</w:t>
            </w:r>
          </w:p>
        </w:tc>
        <w:tc>
          <w:tcPr>
            <w:tcW w:w="988" w:type="dxa"/>
          </w:tcPr>
          <w:p w14:paraId="5ACC6DED" w14:textId="77777777" w:rsidR="00811887" w:rsidRDefault="00811887" w:rsidP="00486E22">
            <w:pPr>
              <w:pStyle w:val="TableParagraph"/>
              <w:spacing w:before="10" w:line="217" w:lineRule="exact"/>
              <w:ind w:right="267"/>
              <w:jc w:val="right"/>
              <w:rPr>
                <w:sz w:val="20"/>
              </w:rPr>
            </w:pPr>
            <w:r>
              <w:rPr>
                <w:spacing w:val="-5"/>
                <w:w w:val="115"/>
                <w:sz w:val="20"/>
              </w:rPr>
              <w:t>12</w:t>
            </w:r>
          </w:p>
        </w:tc>
        <w:tc>
          <w:tcPr>
            <w:tcW w:w="998" w:type="dxa"/>
          </w:tcPr>
          <w:p w14:paraId="6FA202EC" w14:textId="77777777" w:rsidR="00811887" w:rsidRDefault="00811887" w:rsidP="00486E22">
            <w:pPr>
              <w:pStyle w:val="TableParagraph"/>
              <w:spacing w:before="10" w:line="217" w:lineRule="exact"/>
              <w:ind w:right="271"/>
              <w:jc w:val="right"/>
              <w:rPr>
                <w:sz w:val="20"/>
              </w:rPr>
            </w:pPr>
            <w:r>
              <w:rPr>
                <w:spacing w:val="-5"/>
                <w:w w:val="115"/>
                <w:sz w:val="20"/>
              </w:rPr>
              <w:t>35</w:t>
            </w:r>
          </w:p>
        </w:tc>
        <w:tc>
          <w:tcPr>
            <w:tcW w:w="991" w:type="dxa"/>
          </w:tcPr>
          <w:p w14:paraId="3557122B" w14:textId="77777777" w:rsidR="00811887" w:rsidRDefault="00811887" w:rsidP="00486E22">
            <w:pPr>
              <w:pStyle w:val="TableParagraph"/>
              <w:spacing w:before="10" w:line="217" w:lineRule="exact"/>
              <w:ind w:right="268"/>
              <w:jc w:val="right"/>
              <w:rPr>
                <w:sz w:val="20"/>
              </w:rPr>
            </w:pPr>
            <w:r>
              <w:rPr>
                <w:spacing w:val="-5"/>
                <w:w w:val="115"/>
                <w:sz w:val="20"/>
              </w:rPr>
              <w:t>14</w:t>
            </w:r>
          </w:p>
        </w:tc>
        <w:tc>
          <w:tcPr>
            <w:tcW w:w="984" w:type="dxa"/>
          </w:tcPr>
          <w:p w14:paraId="6860CDF7" w14:textId="77777777" w:rsidR="00811887" w:rsidRDefault="00811887" w:rsidP="00486E22">
            <w:pPr>
              <w:pStyle w:val="TableParagraph"/>
              <w:spacing w:before="10" w:line="217" w:lineRule="exact"/>
              <w:ind w:right="263"/>
              <w:jc w:val="right"/>
              <w:rPr>
                <w:sz w:val="20"/>
              </w:rPr>
            </w:pPr>
            <w:r>
              <w:rPr>
                <w:spacing w:val="-10"/>
                <w:w w:val="115"/>
                <w:sz w:val="20"/>
              </w:rPr>
              <w:t>3</w:t>
            </w:r>
          </w:p>
        </w:tc>
        <w:tc>
          <w:tcPr>
            <w:tcW w:w="830" w:type="dxa"/>
          </w:tcPr>
          <w:p w14:paraId="64CA6E78" w14:textId="77777777" w:rsidR="00811887" w:rsidRDefault="00811887" w:rsidP="00486E22">
            <w:pPr>
              <w:pStyle w:val="TableParagraph"/>
              <w:spacing w:before="10" w:line="217" w:lineRule="exact"/>
              <w:ind w:right="99"/>
              <w:jc w:val="right"/>
              <w:rPr>
                <w:sz w:val="20"/>
              </w:rPr>
            </w:pPr>
            <w:r>
              <w:rPr>
                <w:spacing w:val="-5"/>
                <w:w w:val="115"/>
                <w:sz w:val="20"/>
              </w:rPr>
              <w:t>66</w:t>
            </w:r>
          </w:p>
        </w:tc>
      </w:tr>
      <w:tr w:rsidR="00811887" w14:paraId="5EFB159F" w14:textId="77777777" w:rsidTr="00486E22">
        <w:trPr>
          <w:trHeight w:val="246"/>
        </w:trPr>
        <w:tc>
          <w:tcPr>
            <w:tcW w:w="3635" w:type="dxa"/>
            <w:tcBorders>
              <w:right w:val="single" w:sz="4" w:space="0" w:color="000000"/>
            </w:tcBorders>
          </w:tcPr>
          <w:p w14:paraId="354842A1" w14:textId="77777777" w:rsidR="00811887" w:rsidRDefault="00811887" w:rsidP="00486E22">
            <w:pPr>
              <w:pStyle w:val="TableParagraph"/>
              <w:spacing w:before="12"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3030ED23" w14:textId="77777777" w:rsidR="00811887" w:rsidRDefault="00811887" w:rsidP="00486E22">
            <w:pPr>
              <w:pStyle w:val="TableParagraph"/>
              <w:spacing w:before="12" w:line="214" w:lineRule="exact"/>
              <w:ind w:right="268"/>
              <w:jc w:val="right"/>
              <w:rPr>
                <w:sz w:val="20"/>
              </w:rPr>
            </w:pPr>
            <w:r>
              <w:rPr>
                <w:spacing w:val="-10"/>
                <w:w w:val="115"/>
                <w:sz w:val="20"/>
              </w:rPr>
              <w:t>1</w:t>
            </w:r>
          </w:p>
        </w:tc>
        <w:tc>
          <w:tcPr>
            <w:tcW w:w="988" w:type="dxa"/>
          </w:tcPr>
          <w:p w14:paraId="6006189A" w14:textId="77777777" w:rsidR="00811887" w:rsidRDefault="00811887" w:rsidP="00486E22">
            <w:pPr>
              <w:pStyle w:val="TableParagraph"/>
              <w:spacing w:before="12" w:line="214" w:lineRule="exact"/>
              <w:ind w:right="267"/>
              <w:jc w:val="right"/>
              <w:rPr>
                <w:sz w:val="20"/>
              </w:rPr>
            </w:pPr>
            <w:r>
              <w:rPr>
                <w:spacing w:val="-10"/>
                <w:w w:val="115"/>
                <w:sz w:val="20"/>
              </w:rPr>
              <w:t>8</w:t>
            </w:r>
          </w:p>
        </w:tc>
        <w:tc>
          <w:tcPr>
            <w:tcW w:w="998" w:type="dxa"/>
          </w:tcPr>
          <w:p w14:paraId="64EAB152" w14:textId="77777777" w:rsidR="00811887" w:rsidRDefault="00811887" w:rsidP="00486E22">
            <w:pPr>
              <w:pStyle w:val="TableParagraph"/>
              <w:spacing w:before="12" w:line="214" w:lineRule="exact"/>
              <w:ind w:right="271"/>
              <w:jc w:val="right"/>
              <w:rPr>
                <w:sz w:val="20"/>
              </w:rPr>
            </w:pPr>
            <w:r>
              <w:rPr>
                <w:spacing w:val="-5"/>
                <w:w w:val="115"/>
                <w:sz w:val="20"/>
              </w:rPr>
              <w:t>23</w:t>
            </w:r>
          </w:p>
        </w:tc>
        <w:tc>
          <w:tcPr>
            <w:tcW w:w="991" w:type="dxa"/>
          </w:tcPr>
          <w:p w14:paraId="1AA18DC7" w14:textId="77777777" w:rsidR="00811887" w:rsidRDefault="00811887" w:rsidP="00486E22">
            <w:pPr>
              <w:pStyle w:val="TableParagraph"/>
              <w:spacing w:before="12" w:line="214" w:lineRule="exact"/>
              <w:ind w:right="268"/>
              <w:jc w:val="right"/>
              <w:rPr>
                <w:sz w:val="20"/>
              </w:rPr>
            </w:pPr>
            <w:r>
              <w:rPr>
                <w:spacing w:val="-10"/>
                <w:w w:val="115"/>
                <w:sz w:val="20"/>
              </w:rPr>
              <w:t>9</w:t>
            </w:r>
          </w:p>
        </w:tc>
        <w:tc>
          <w:tcPr>
            <w:tcW w:w="984" w:type="dxa"/>
          </w:tcPr>
          <w:p w14:paraId="42C8CFDA" w14:textId="77777777" w:rsidR="00811887" w:rsidRDefault="00811887" w:rsidP="00486E22">
            <w:pPr>
              <w:pStyle w:val="TableParagraph"/>
              <w:spacing w:before="12" w:line="214" w:lineRule="exact"/>
              <w:ind w:right="263"/>
              <w:jc w:val="right"/>
              <w:rPr>
                <w:sz w:val="20"/>
              </w:rPr>
            </w:pPr>
            <w:r>
              <w:rPr>
                <w:spacing w:val="-10"/>
                <w:w w:val="115"/>
                <w:sz w:val="20"/>
              </w:rPr>
              <w:t>2</w:t>
            </w:r>
          </w:p>
        </w:tc>
        <w:tc>
          <w:tcPr>
            <w:tcW w:w="830" w:type="dxa"/>
          </w:tcPr>
          <w:p w14:paraId="2CDABFC1" w14:textId="77777777" w:rsidR="00811887" w:rsidRDefault="00811887" w:rsidP="00486E22">
            <w:pPr>
              <w:pStyle w:val="TableParagraph"/>
              <w:spacing w:before="12" w:line="214" w:lineRule="exact"/>
              <w:ind w:right="99"/>
              <w:jc w:val="right"/>
              <w:rPr>
                <w:sz w:val="20"/>
              </w:rPr>
            </w:pPr>
            <w:r>
              <w:rPr>
                <w:spacing w:val="-5"/>
                <w:w w:val="115"/>
                <w:sz w:val="20"/>
              </w:rPr>
              <w:t>43</w:t>
            </w:r>
          </w:p>
        </w:tc>
      </w:tr>
      <w:tr w:rsidR="00811887" w14:paraId="055920AA" w14:textId="77777777" w:rsidTr="00486E22">
        <w:trPr>
          <w:trHeight w:val="244"/>
        </w:trPr>
        <w:tc>
          <w:tcPr>
            <w:tcW w:w="9585" w:type="dxa"/>
            <w:gridSpan w:val="7"/>
            <w:shd w:val="clear" w:color="auto" w:fill="AFCAC7"/>
          </w:tcPr>
          <w:p w14:paraId="61794BAD" w14:textId="77777777" w:rsidR="00811887" w:rsidRDefault="00811887" w:rsidP="00486E22">
            <w:pPr>
              <w:pStyle w:val="TableParagraph"/>
              <w:spacing w:before="11" w:line="214" w:lineRule="exact"/>
              <w:ind w:left="34" w:right="6"/>
              <w:jc w:val="center"/>
              <w:rPr>
                <w:sz w:val="20"/>
              </w:rPr>
            </w:pPr>
            <w:r>
              <w:rPr>
                <w:spacing w:val="-2"/>
                <w:w w:val="105"/>
                <w:sz w:val="20"/>
              </w:rPr>
              <w:t>Victoria</w:t>
            </w:r>
          </w:p>
        </w:tc>
      </w:tr>
      <w:tr w:rsidR="00811887" w14:paraId="692B2D94" w14:textId="77777777" w:rsidTr="00486E22">
        <w:trPr>
          <w:trHeight w:val="245"/>
        </w:trPr>
        <w:tc>
          <w:tcPr>
            <w:tcW w:w="3635" w:type="dxa"/>
            <w:tcBorders>
              <w:right w:val="single" w:sz="4" w:space="0" w:color="000000"/>
            </w:tcBorders>
          </w:tcPr>
          <w:p w14:paraId="4746D40D" w14:textId="77777777" w:rsidR="00811887" w:rsidRDefault="00811887" w:rsidP="00486E22">
            <w:pPr>
              <w:pStyle w:val="TableParagraph"/>
              <w:spacing w:before="11" w:line="215"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0341DCB4" w14:textId="77777777" w:rsidR="00811887" w:rsidRDefault="00811887" w:rsidP="00486E22">
            <w:pPr>
              <w:pStyle w:val="TableParagraph"/>
              <w:spacing w:before="11" w:line="215" w:lineRule="exact"/>
              <w:ind w:right="268"/>
              <w:jc w:val="right"/>
              <w:rPr>
                <w:sz w:val="20"/>
              </w:rPr>
            </w:pPr>
            <w:r>
              <w:rPr>
                <w:spacing w:val="-5"/>
                <w:w w:val="115"/>
                <w:sz w:val="20"/>
              </w:rPr>
              <w:t>20</w:t>
            </w:r>
          </w:p>
        </w:tc>
        <w:tc>
          <w:tcPr>
            <w:tcW w:w="988" w:type="dxa"/>
          </w:tcPr>
          <w:p w14:paraId="10BCA109" w14:textId="77777777" w:rsidR="00811887" w:rsidRDefault="00811887" w:rsidP="00486E22">
            <w:pPr>
              <w:pStyle w:val="TableParagraph"/>
              <w:spacing w:before="11" w:line="215" w:lineRule="exact"/>
              <w:ind w:right="262"/>
              <w:jc w:val="right"/>
              <w:rPr>
                <w:sz w:val="20"/>
              </w:rPr>
            </w:pPr>
            <w:r>
              <w:rPr>
                <w:spacing w:val="-5"/>
                <w:w w:val="115"/>
                <w:sz w:val="20"/>
              </w:rPr>
              <w:t>127</w:t>
            </w:r>
          </w:p>
        </w:tc>
        <w:tc>
          <w:tcPr>
            <w:tcW w:w="998" w:type="dxa"/>
          </w:tcPr>
          <w:p w14:paraId="2F7AA03A" w14:textId="77777777" w:rsidR="00811887" w:rsidRDefault="00811887" w:rsidP="00486E22">
            <w:pPr>
              <w:pStyle w:val="TableParagraph"/>
              <w:spacing w:before="11" w:line="215" w:lineRule="exact"/>
              <w:ind w:right="266"/>
              <w:jc w:val="right"/>
              <w:rPr>
                <w:sz w:val="20"/>
              </w:rPr>
            </w:pPr>
            <w:r>
              <w:rPr>
                <w:spacing w:val="-5"/>
                <w:w w:val="115"/>
                <w:sz w:val="20"/>
              </w:rPr>
              <w:t>377</w:t>
            </w:r>
          </w:p>
        </w:tc>
        <w:tc>
          <w:tcPr>
            <w:tcW w:w="991" w:type="dxa"/>
          </w:tcPr>
          <w:p w14:paraId="0E61A644" w14:textId="77777777" w:rsidR="00811887" w:rsidRDefault="00811887" w:rsidP="00486E22">
            <w:pPr>
              <w:pStyle w:val="TableParagraph"/>
              <w:spacing w:before="11" w:line="215" w:lineRule="exact"/>
              <w:ind w:right="263"/>
              <w:jc w:val="right"/>
              <w:rPr>
                <w:sz w:val="20"/>
              </w:rPr>
            </w:pPr>
            <w:r>
              <w:rPr>
                <w:spacing w:val="-5"/>
                <w:w w:val="115"/>
                <w:sz w:val="20"/>
              </w:rPr>
              <w:t>153</w:t>
            </w:r>
          </w:p>
        </w:tc>
        <w:tc>
          <w:tcPr>
            <w:tcW w:w="984" w:type="dxa"/>
          </w:tcPr>
          <w:p w14:paraId="53344655" w14:textId="77777777" w:rsidR="00811887" w:rsidRDefault="00811887" w:rsidP="00486E22">
            <w:pPr>
              <w:pStyle w:val="TableParagraph"/>
              <w:spacing w:before="11" w:line="215" w:lineRule="exact"/>
              <w:ind w:right="263"/>
              <w:jc w:val="right"/>
              <w:rPr>
                <w:sz w:val="20"/>
              </w:rPr>
            </w:pPr>
            <w:r>
              <w:rPr>
                <w:spacing w:val="-5"/>
                <w:w w:val="115"/>
                <w:sz w:val="20"/>
              </w:rPr>
              <w:t>28</w:t>
            </w:r>
          </w:p>
        </w:tc>
        <w:tc>
          <w:tcPr>
            <w:tcW w:w="830" w:type="dxa"/>
          </w:tcPr>
          <w:p w14:paraId="177B1D99" w14:textId="77777777" w:rsidR="00811887" w:rsidRDefault="00811887" w:rsidP="00486E22">
            <w:pPr>
              <w:pStyle w:val="TableParagraph"/>
              <w:spacing w:before="11" w:line="215" w:lineRule="exact"/>
              <w:ind w:right="94"/>
              <w:jc w:val="right"/>
              <w:rPr>
                <w:sz w:val="20"/>
              </w:rPr>
            </w:pPr>
            <w:r>
              <w:rPr>
                <w:spacing w:val="-5"/>
                <w:w w:val="115"/>
                <w:sz w:val="20"/>
              </w:rPr>
              <w:t>704</w:t>
            </w:r>
          </w:p>
        </w:tc>
      </w:tr>
      <w:tr w:rsidR="00811887" w14:paraId="66F2105B" w14:textId="77777777" w:rsidTr="00486E22">
        <w:trPr>
          <w:trHeight w:val="247"/>
        </w:trPr>
        <w:tc>
          <w:tcPr>
            <w:tcW w:w="3635" w:type="dxa"/>
            <w:tcBorders>
              <w:right w:val="single" w:sz="4" w:space="0" w:color="000000"/>
            </w:tcBorders>
          </w:tcPr>
          <w:p w14:paraId="38806D0B" w14:textId="77777777" w:rsidR="00811887" w:rsidRDefault="00811887" w:rsidP="00486E22">
            <w:pPr>
              <w:pStyle w:val="TableParagraph"/>
              <w:spacing w:before="10" w:line="217"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31E41683" w14:textId="77777777" w:rsidR="00811887" w:rsidRDefault="00811887" w:rsidP="00486E22">
            <w:pPr>
              <w:pStyle w:val="TableParagraph"/>
              <w:spacing w:before="10" w:line="217" w:lineRule="exact"/>
              <w:ind w:right="268"/>
              <w:jc w:val="right"/>
              <w:rPr>
                <w:sz w:val="20"/>
              </w:rPr>
            </w:pPr>
            <w:r>
              <w:rPr>
                <w:spacing w:val="-5"/>
                <w:w w:val="115"/>
                <w:sz w:val="20"/>
              </w:rPr>
              <w:t>13</w:t>
            </w:r>
          </w:p>
        </w:tc>
        <w:tc>
          <w:tcPr>
            <w:tcW w:w="988" w:type="dxa"/>
          </w:tcPr>
          <w:p w14:paraId="16407F6D" w14:textId="77777777" w:rsidR="00811887" w:rsidRDefault="00811887" w:rsidP="00486E22">
            <w:pPr>
              <w:pStyle w:val="TableParagraph"/>
              <w:spacing w:before="10" w:line="217" w:lineRule="exact"/>
              <w:ind w:right="267"/>
              <w:jc w:val="right"/>
              <w:rPr>
                <w:sz w:val="20"/>
              </w:rPr>
            </w:pPr>
            <w:r>
              <w:rPr>
                <w:spacing w:val="-5"/>
                <w:w w:val="115"/>
                <w:sz w:val="20"/>
              </w:rPr>
              <w:t>83</w:t>
            </w:r>
          </w:p>
        </w:tc>
        <w:tc>
          <w:tcPr>
            <w:tcW w:w="998" w:type="dxa"/>
          </w:tcPr>
          <w:p w14:paraId="43653849" w14:textId="77777777" w:rsidR="00811887" w:rsidRDefault="00811887" w:rsidP="00486E22">
            <w:pPr>
              <w:pStyle w:val="TableParagraph"/>
              <w:spacing w:before="10" w:line="217" w:lineRule="exact"/>
              <w:ind w:right="266"/>
              <w:jc w:val="right"/>
              <w:rPr>
                <w:sz w:val="20"/>
              </w:rPr>
            </w:pPr>
            <w:r>
              <w:rPr>
                <w:spacing w:val="-5"/>
                <w:w w:val="115"/>
                <w:sz w:val="20"/>
              </w:rPr>
              <w:t>245</w:t>
            </w:r>
          </w:p>
        </w:tc>
        <w:tc>
          <w:tcPr>
            <w:tcW w:w="991" w:type="dxa"/>
          </w:tcPr>
          <w:p w14:paraId="1D2D317F" w14:textId="77777777" w:rsidR="00811887" w:rsidRDefault="00811887" w:rsidP="00486E22">
            <w:pPr>
              <w:pStyle w:val="TableParagraph"/>
              <w:spacing w:before="10" w:line="217" w:lineRule="exact"/>
              <w:ind w:right="268"/>
              <w:jc w:val="right"/>
              <w:rPr>
                <w:sz w:val="20"/>
              </w:rPr>
            </w:pPr>
            <w:r>
              <w:rPr>
                <w:spacing w:val="-5"/>
                <w:w w:val="115"/>
                <w:sz w:val="20"/>
              </w:rPr>
              <w:t>99</w:t>
            </w:r>
          </w:p>
        </w:tc>
        <w:tc>
          <w:tcPr>
            <w:tcW w:w="984" w:type="dxa"/>
          </w:tcPr>
          <w:p w14:paraId="69D09AF8" w14:textId="77777777" w:rsidR="00811887" w:rsidRDefault="00811887" w:rsidP="00486E22">
            <w:pPr>
              <w:pStyle w:val="TableParagraph"/>
              <w:spacing w:before="10" w:line="217" w:lineRule="exact"/>
              <w:ind w:right="263"/>
              <w:jc w:val="right"/>
              <w:rPr>
                <w:sz w:val="20"/>
              </w:rPr>
            </w:pPr>
            <w:r>
              <w:rPr>
                <w:spacing w:val="-5"/>
                <w:w w:val="115"/>
                <w:sz w:val="20"/>
              </w:rPr>
              <w:t>18</w:t>
            </w:r>
          </w:p>
        </w:tc>
        <w:tc>
          <w:tcPr>
            <w:tcW w:w="830" w:type="dxa"/>
          </w:tcPr>
          <w:p w14:paraId="02D60107" w14:textId="77777777" w:rsidR="00811887" w:rsidRDefault="00811887" w:rsidP="00486E22">
            <w:pPr>
              <w:pStyle w:val="TableParagraph"/>
              <w:spacing w:before="10" w:line="217" w:lineRule="exact"/>
              <w:ind w:right="94"/>
              <w:jc w:val="right"/>
              <w:rPr>
                <w:sz w:val="20"/>
              </w:rPr>
            </w:pPr>
            <w:r>
              <w:rPr>
                <w:spacing w:val="-5"/>
                <w:w w:val="115"/>
                <w:sz w:val="20"/>
              </w:rPr>
              <w:t>458</w:t>
            </w:r>
          </w:p>
        </w:tc>
      </w:tr>
      <w:tr w:rsidR="00811887" w14:paraId="7A15DB76" w14:textId="77777777" w:rsidTr="00486E22">
        <w:trPr>
          <w:trHeight w:val="246"/>
        </w:trPr>
        <w:tc>
          <w:tcPr>
            <w:tcW w:w="3635" w:type="dxa"/>
            <w:tcBorders>
              <w:right w:val="single" w:sz="4" w:space="0" w:color="000000"/>
            </w:tcBorders>
          </w:tcPr>
          <w:p w14:paraId="6F6A5058" w14:textId="77777777" w:rsidR="00811887" w:rsidRDefault="00811887" w:rsidP="00486E22">
            <w:pPr>
              <w:pStyle w:val="TableParagraph"/>
              <w:spacing w:before="13" w:line="214"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5C993647" w14:textId="77777777" w:rsidR="00811887" w:rsidRDefault="00811887" w:rsidP="00486E22">
            <w:pPr>
              <w:pStyle w:val="TableParagraph"/>
              <w:spacing w:before="13" w:line="214" w:lineRule="exact"/>
              <w:ind w:right="268"/>
              <w:jc w:val="right"/>
              <w:rPr>
                <w:sz w:val="20"/>
              </w:rPr>
            </w:pPr>
            <w:r>
              <w:rPr>
                <w:spacing w:val="-10"/>
                <w:w w:val="115"/>
                <w:sz w:val="20"/>
              </w:rPr>
              <w:t>4</w:t>
            </w:r>
          </w:p>
        </w:tc>
        <w:tc>
          <w:tcPr>
            <w:tcW w:w="988" w:type="dxa"/>
          </w:tcPr>
          <w:p w14:paraId="7CC43ACC" w14:textId="77777777" w:rsidR="00811887" w:rsidRDefault="00811887" w:rsidP="00486E22">
            <w:pPr>
              <w:pStyle w:val="TableParagraph"/>
              <w:spacing w:before="13" w:line="214" w:lineRule="exact"/>
              <w:ind w:right="267"/>
              <w:jc w:val="right"/>
              <w:rPr>
                <w:sz w:val="20"/>
              </w:rPr>
            </w:pPr>
            <w:r>
              <w:rPr>
                <w:spacing w:val="-5"/>
                <w:w w:val="115"/>
                <w:sz w:val="20"/>
              </w:rPr>
              <w:t>29</w:t>
            </w:r>
          </w:p>
        </w:tc>
        <w:tc>
          <w:tcPr>
            <w:tcW w:w="998" w:type="dxa"/>
          </w:tcPr>
          <w:p w14:paraId="0F10B1BA" w14:textId="77777777" w:rsidR="00811887" w:rsidRDefault="00811887" w:rsidP="00486E22">
            <w:pPr>
              <w:pStyle w:val="TableParagraph"/>
              <w:spacing w:before="13" w:line="214" w:lineRule="exact"/>
              <w:ind w:right="271"/>
              <w:jc w:val="right"/>
              <w:rPr>
                <w:sz w:val="20"/>
              </w:rPr>
            </w:pPr>
            <w:r>
              <w:rPr>
                <w:spacing w:val="-5"/>
                <w:w w:val="115"/>
                <w:sz w:val="20"/>
              </w:rPr>
              <w:t>86</w:t>
            </w:r>
          </w:p>
        </w:tc>
        <w:tc>
          <w:tcPr>
            <w:tcW w:w="991" w:type="dxa"/>
          </w:tcPr>
          <w:p w14:paraId="0E7EEBBD" w14:textId="77777777" w:rsidR="00811887" w:rsidRDefault="00811887" w:rsidP="00486E22">
            <w:pPr>
              <w:pStyle w:val="TableParagraph"/>
              <w:spacing w:before="13" w:line="214" w:lineRule="exact"/>
              <w:ind w:right="268"/>
              <w:jc w:val="right"/>
              <w:rPr>
                <w:sz w:val="20"/>
              </w:rPr>
            </w:pPr>
            <w:r>
              <w:rPr>
                <w:spacing w:val="-5"/>
                <w:w w:val="115"/>
                <w:sz w:val="20"/>
              </w:rPr>
              <w:t>35</w:t>
            </w:r>
          </w:p>
        </w:tc>
        <w:tc>
          <w:tcPr>
            <w:tcW w:w="984" w:type="dxa"/>
          </w:tcPr>
          <w:p w14:paraId="362669DB" w14:textId="77777777" w:rsidR="00811887" w:rsidRDefault="00811887" w:rsidP="00486E22">
            <w:pPr>
              <w:pStyle w:val="TableParagraph"/>
              <w:spacing w:before="13" w:line="214" w:lineRule="exact"/>
              <w:ind w:right="263"/>
              <w:jc w:val="right"/>
              <w:rPr>
                <w:sz w:val="20"/>
              </w:rPr>
            </w:pPr>
            <w:r>
              <w:rPr>
                <w:spacing w:val="-10"/>
                <w:w w:val="115"/>
                <w:sz w:val="20"/>
              </w:rPr>
              <w:t>6</w:t>
            </w:r>
          </w:p>
        </w:tc>
        <w:tc>
          <w:tcPr>
            <w:tcW w:w="830" w:type="dxa"/>
          </w:tcPr>
          <w:p w14:paraId="7AB7D93C" w14:textId="77777777" w:rsidR="00811887" w:rsidRDefault="00811887" w:rsidP="00486E22">
            <w:pPr>
              <w:pStyle w:val="TableParagraph"/>
              <w:spacing w:before="13" w:line="214" w:lineRule="exact"/>
              <w:ind w:right="94"/>
              <w:jc w:val="right"/>
              <w:rPr>
                <w:sz w:val="20"/>
              </w:rPr>
            </w:pPr>
            <w:r>
              <w:rPr>
                <w:spacing w:val="-5"/>
                <w:w w:val="115"/>
                <w:sz w:val="20"/>
              </w:rPr>
              <w:t>160</w:t>
            </w:r>
          </w:p>
        </w:tc>
      </w:tr>
      <w:tr w:rsidR="00811887" w14:paraId="67D2F597" w14:textId="77777777" w:rsidTr="00486E22">
        <w:trPr>
          <w:trHeight w:val="244"/>
        </w:trPr>
        <w:tc>
          <w:tcPr>
            <w:tcW w:w="9585" w:type="dxa"/>
            <w:gridSpan w:val="7"/>
            <w:shd w:val="clear" w:color="auto" w:fill="AFCAC7"/>
          </w:tcPr>
          <w:p w14:paraId="33914A0F" w14:textId="77777777" w:rsidR="00811887" w:rsidRDefault="00811887" w:rsidP="00486E22">
            <w:pPr>
              <w:pStyle w:val="TableParagraph"/>
              <w:spacing w:before="11" w:line="214" w:lineRule="exact"/>
              <w:ind w:left="34" w:right="7"/>
              <w:jc w:val="center"/>
              <w:rPr>
                <w:sz w:val="20"/>
              </w:rPr>
            </w:pPr>
            <w:r>
              <w:rPr>
                <w:spacing w:val="-2"/>
                <w:w w:val="110"/>
                <w:sz w:val="20"/>
              </w:rPr>
              <w:t>Queensland</w:t>
            </w:r>
          </w:p>
        </w:tc>
      </w:tr>
      <w:tr w:rsidR="00811887" w14:paraId="54E70554" w14:textId="77777777" w:rsidTr="00486E22">
        <w:trPr>
          <w:trHeight w:val="245"/>
        </w:trPr>
        <w:tc>
          <w:tcPr>
            <w:tcW w:w="3635" w:type="dxa"/>
            <w:tcBorders>
              <w:right w:val="single" w:sz="4" w:space="0" w:color="000000"/>
            </w:tcBorders>
          </w:tcPr>
          <w:p w14:paraId="2324A163" w14:textId="77777777" w:rsidR="00811887" w:rsidRDefault="00811887" w:rsidP="00486E22">
            <w:pPr>
              <w:pStyle w:val="TableParagraph"/>
              <w:spacing w:before="11" w:line="215"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4F500C49" w14:textId="77777777" w:rsidR="00811887" w:rsidRDefault="00811887" w:rsidP="00486E22">
            <w:pPr>
              <w:pStyle w:val="TableParagraph"/>
              <w:spacing w:before="11" w:line="215" w:lineRule="exact"/>
              <w:ind w:right="268"/>
              <w:jc w:val="right"/>
              <w:rPr>
                <w:sz w:val="20"/>
              </w:rPr>
            </w:pPr>
            <w:r>
              <w:rPr>
                <w:spacing w:val="-5"/>
                <w:w w:val="115"/>
                <w:sz w:val="20"/>
              </w:rPr>
              <w:t>46</w:t>
            </w:r>
          </w:p>
        </w:tc>
        <w:tc>
          <w:tcPr>
            <w:tcW w:w="988" w:type="dxa"/>
          </w:tcPr>
          <w:p w14:paraId="4CF424A2" w14:textId="77777777" w:rsidR="00811887" w:rsidRDefault="00811887" w:rsidP="00486E22">
            <w:pPr>
              <w:pStyle w:val="TableParagraph"/>
              <w:spacing w:before="11" w:line="215" w:lineRule="exact"/>
              <w:ind w:right="262"/>
              <w:jc w:val="right"/>
              <w:rPr>
                <w:sz w:val="20"/>
              </w:rPr>
            </w:pPr>
            <w:r>
              <w:rPr>
                <w:spacing w:val="-5"/>
                <w:w w:val="115"/>
                <w:sz w:val="20"/>
              </w:rPr>
              <w:t>300</w:t>
            </w:r>
          </w:p>
        </w:tc>
        <w:tc>
          <w:tcPr>
            <w:tcW w:w="998" w:type="dxa"/>
          </w:tcPr>
          <w:p w14:paraId="4D2E4C11" w14:textId="77777777" w:rsidR="00811887" w:rsidRDefault="00811887" w:rsidP="00486E22">
            <w:pPr>
              <w:pStyle w:val="TableParagraph"/>
              <w:spacing w:before="11" w:line="215" w:lineRule="exact"/>
              <w:ind w:right="266"/>
              <w:jc w:val="right"/>
              <w:rPr>
                <w:sz w:val="20"/>
              </w:rPr>
            </w:pPr>
            <w:r>
              <w:rPr>
                <w:spacing w:val="-5"/>
                <w:w w:val="115"/>
                <w:sz w:val="20"/>
              </w:rPr>
              <w:t>887</w:t>
            </w:r>
          </w:p>
        </w:tc>
        <w:tc>
          <w:tcPr>
            <w:tcW w:w="991" w:type="dxa"/>
          </w:tcPr>
          <w:p w14:paraId="042913A0" w14:textId="77777777" w:rsidR="00811887" w:rsidRDefault="00811887" w:rsidP="00486E22">
            <w:pPr>
              <w:pStyle w:val="TableParagraph"/>
              <w:spacing w:before="11" w:line="215" w:lineRule="exact"/>
              <w:ind w:right="263"/>
              <w:jc w:val="right"/>
              <w:rPr>
                <w:sz w:val="20"/>
              </w:rPr>
            </w:pPr>
            <w:r>
              <w:rPr>
                <w:spacing w:val="-5"/>
                <w:w w:val="115"/>
                <w:sz w:val="20"/>
              </w:rPr>
              <w:t>361</w:t>
            </w:r>
          </w:p>
        </w:tc>
        <w:tc>
          <w:tcPr>
            <w:tcW w:w="984" w:type="dxa"/>
          </w:tcPr>
          <w:p w14:paraId="36E2A6BC" w14:textId="77777777" w:rsidR="00811887" w:rsidRDefault="00811887" w:rsidP="00486E22">
            <w:pPr>
              <w:pStyle w:val="TableParagraph"/>
              <w:spacing w:before="11" w:line="215" w:lineRule="exact"/>
              <w:ind w:right="263"/>
              <w:jc w:val="right"/>
              <w:rPr>
                <w:sz w:val="20"/>
              </w:rPr>
            </w:pPr>
            <w:r>
              <w:rPr>
                <w:spacing w:val="-5"/>
                <w:w w:val="115"/>
                <w:sz w:val="20"/>
              </w:rPr>
              <w:t>65</w:t>
            </w:r>
          </w:p>
        </w:tc>
        <w:tc>
          <w:tcPr>
            <w:tcW w:w="830" w:type="dxa"/>
          </w:tcPr>
          <w:p w14:paraId="30234A52" w14:textId="77777777" w:rsidR="00811887" w:rsidRDefault="00811887" w:rsidP="00486E22">
            <w:pPr>
              <w:pStyle w:val="TableParagraph"/>
              <w:spacing w:before="11" w:line="215" w:lineRule="exact"/>
              <w:ind w:right="94"/>
              <w:jc w:val="right"/>
              <w:rPr>
                <w:sz w:val="20"/>
              </w:rPr>
            </w:pPr>
            <w:r>
              <w:rPr>
                <w:spacing w:val="-4"/>
                <w:w w:val="115"/>
                <w:sz w:val="20"/>
              </w:rPr>
              <w:t>1660</w:t>
            </w:r>
          </w:p>
        </w:tc>
      </w:tr>
      <w:tr w:rsidR="00811887" w14:paraId="529A8F7C" w14:textId="77777777" w:rsidTr="00486E22">
        <w:trPr>
          <w:trHeight w:val="247"/>
        </w:trPr>
        <w:tc>
          <w:tcPr>
            <w:tcW w:w="3635" w:type="dxa"/>
            <w:tcBorders>
              <w:right w:val="single" w:sz="4" w:space="0" w:color="000000"/>
            </w:tcBorders>
          </w:tcPr>
          <w:p w14:paraId="3DC443AE" w14:textId="77777777" w:rsidR="00811887" w:rsidRDefault="00811887" w:rsidP="00486E22">
            <w:pPr>
              <w:pStyle w:val="TableParagraph"/>
              <w:spacing w:before="10" w:line="217"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2D652DB9" w14:textId="77777777" w:rsidR="00811887" w:rsidRDefault="00811887" w:rsidP="00486E22">
            <w:pPr>
              <w:pStyle w:val="TableParagraph"/>
              <w:spacing w:before="10" w:line="217" w:lineRule="exact"/>
              <w:ind w:right="268"/>
              <w:jc w:val="right"/>
              <w:rPr>
                <w:sz w:val="20"/>
              </w:rPr>
            </w:pPr>
            <w:r>
              <w:rPr>
                <w:spacing w:val="-5"/>
                <w:w w:val="115"/>
                <w:sz w:val="20"/>
              </w:rPr>
              <w:t>29</w:t>
            </w:r>
          </w:p>
        </w:tc>
        <w:tc>
          <w:tcPr>
            <w:tcW w:w="988" w:type="dxa"/>
          </w:tcPr>
          <w:p w14:paraId="1D97DEF0" w14:textId="77777777" w:rsidR="00811887" w:rsidRDefault="00811887" w:rsidP="00486E22">
            <w:pPr>
              <w:pStyle w:val="TableParagraph"/>
              <w:spacing w:before="10" w:line="217" w:lineRule="exact"/>
              <w:ind w:right="262"/>
              <w:jc w:val="right"/>
              <w:rPr>
                <w:sz w:val="20"/>
              </w:rPr>
            </w:pPr>
            <w:r>
              <w:rPr>
                <w:spacing w:val="-5"/>
                <w:w w:val="115"/>
                <w:sz w:val="20"/>
              </w:rPr>
              <w:t>189</w:t>
            </w:r>
          </w:p>
        </w:tc>
        <w:tc>
          <w:tcPr>
            <w:tcW w:w="998" w:type="dxa"/>
          </w:tcPr>
          <w:p w14:paraId="665050A9" w14:textId="77777777" w:rsidR="00811887" w:rsidRDefault="00811887" w:rsidP="00486E22">
            <w:pPr>
              <w:pStyle w:val="TableParagraph"/>
              <w:spacing w:before="10" w:line="217" w:lineRule="exact"/>
              <w:ind w:right="266"/>
              <w:jc w:val="right"/>
              <w:rPr>
                <w:sz w:val="20"/>
              </w:rPr>
            </w:pPr>
            <w:r>
              <w:rPr>
                <w:spacing w:val="-5"/>
                <w:w w:val="115"/>
                <w:sz w:val="20"/>
              </w:rPr>
              <w:t>558</w:t>
            </w:r>
          </w:p>
        </w:tc>
        <w:tc>
          <w:tcPr>
            <w:tcW w:w="991" w:type="dxa"/>
          </w:tcPr>
          <w:p w14:paraId="32335B6E" w14:textId="77777777" w:rsidR="00811887" w:rsidRDefault="00811887" w:rsidP="00486E22">
            <w:pPr>
              <w:pStyle w:val="TableParagraph"/>
              <w:spacing w:before="10" w:line="217" w:lineRule="exact"/>
              <w:ind w:right="263"/>
              <w:jc w:val="right"/>
              <w:rPr>
                <w:sz w:val="20"/>
              </w:rPr>
            </w:pPr>
            <w:r>
              <w:rPr>
                <w:spacing w:val="-5"/>
                <w:w w:val="115"/>
                <w:sz w:val="20"/>
              </w:rPr>
              <w:t>227</w:t>
            </w:r>
          </w:p>
        </w:tc>
        <w:tc>
          <w:tcPr>
            <w:tcW w:w="984" w:type="dxa"/>
          </w:tcPr>
          <w:p w14:paraId="77476459" w14:textId="77777777" w:rsidR="00811887" w:rsidRDefault="00811887" w:rsidP="00486E22">
            <w:pPr>
              <w:pStyle w:val="TableParagraph"/>
              <w:spacing w:before="10" w:line="217" w:lineRule="exact"/>
              <w:ind w:right="263"/>
              <w:jc w:val="right"/>
              <w:rPr>
                <w:sz w:val="20"/>
              </w:rPr>
            </w:pPr>
            <w:r>
              <w:rPr>
                <w:spacing w:val="-5"/>
                <w:w w:val="115"/>
                <w:sz w:val="20"/>
              </w:rPr>
              <w:t>41</w:t>
            </w:r>
          </w:p>
        </w:tc>
        <w:tc>
          <w:tcPr>
            <w:tcW w:w="830" w:type="dxa"/>
          </w:tcPr>
          <w:p w14:paraId="08E19EED" w14:textId="77777777" w:rsidR="00811887" w:rsidRDefault="00811887" w:rsidP="00486E22">
            <w:pPr>
              <w:pStyle w:val="TableParagraph"/>
              <w:spacing w:before="10" w:line="217" w:lineRule="exact"/>
              <w:ind w:right="94"/>
              <w:jc w:val="right"/>
              <w:rPr>
                <w:sz w:val="20"/>
              </w:rPr>
            </w:pPr>
            <w:r>
              <w:rPr>
                <w:spacing w:val="-4"/>
                <w:w w:val="115"/>
                <w:sz w:val="20"/>
              </w:rPr>
              <w:t>1043</w:t>
            </w:r>
          </w:p>
        </w:tc>
      </w:tr>
      <w:tr w:rsidR="00811887" w14:paraId="071E23E3" w14:textId="77777777" w:rsidTr="00486E22">
        <w:trPr>
          <w:trHeight w:val="247"/>
        </w:trPr>
        <w:tc>
          <w:tcPr>
            <w:tcW w:w="3635" w:type="dxa"/>
            <w:tcBorders>
              <w:right w:val="single" w:sz="4" w:space="0" w:color="000000"/>
            </w:tcBorders>
          </w:tcPr>
          <w:p w14:paraId="0E7F7A64" w14:textId="77777777" w:rsidR="00811887" w:rsidRDefault="00811887" w:rsidP="00486E22">
            <w:pPr>
              <w:pStyle w:val="TableParagraph"/>
              <w:spacing w:before="12"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4B8708D9" w14:textId="77777777" w:rsidR="00811887" w:rsidRDefault="00811887" w:rsidP="00486E22">
            <w:pPr>
              <w:pStyle w:val="TableParagraph"/>
              <w:spacing w:before="12" w:line="215" w:lineRule="exact"/>
              <w:ind w:right="268"/>
              <w:jc w:val="right"/>
              <w:rPr>
                <w:sz w:val="20"/>
              </w:rPr>
            </w:pPr>
            <w:r>
              <w:rPr>
                <w:spacing w:val="-5"/>
                <w:w w:val="115"/>
                <w:sz w:val="20"/>
              </w:rPr>
              <w:t>40</w:t>
            </w:r>
          </w:p>
        </w:tc>
        <w:tc>
          <w:tcPr>
            <w:tcW w:w="988" w:type="dxa"/>
          </w:tcPr>
          <w:p w14:paraId="166B415B" w14:textId="77777777" w:rsidR="00811887" w:rsidRDefault="00811887" w:rsidP="00486E22">
            <w:pPr>
              <w:pStyle w:val="TableParagraph"/>
              <w:spacing w:before="12" w:line="215" w:lineRule="exact"/>
              <w:ind w:right="262"/>
              <w:jc w:val="right"/>
              <w:rPr>
                <w:sz w:val="20"/>
              </w:rPr>
            </w:pPr>
            <w:r>
              <w:rPr>
                <w:spacing w:val="-5"/>
                <w:w w:val="115"/>
                <w:sz w:val="20"/>
              </w:rPr>
              <w:t>262</w:t>
            </w:r>
          </w:p>
        </w:tc>
        <w:tc>
          <w:tcPr>
            <w:tcW w:w="998" w:type="dxa"/>
          </w:tcPr>
          <w:p w14:paraId="2BB6EF57" w14:textId="77777777" w:rsidR="00811887" w:rsidRDefault="00811887" w:rsidP="00486E22">
            <w:pPr>
              <w:pStyle w:val="TableParagraph"/>
              <w:spacing w:before="12" w:line="215" w:lineRule="exact"/>
              <w:ind w:right="266"/>
              <w:jc w:val="right"/>
              <w:rPr>
                <w:sz w:val="20"/>
              </w:rPr>
            </w:pPr>
            <w:r>
              <w:rPr>
                <w:spacing w:val="-5"/>
                <w:w w:val="115"/>
                <w:sz w:val="20"/>
              </w:rPr>
              <w:t>775</w:t>
            </w:r>
          </w:p>
        </w:tc>
        <w:tc>
          <w:tcPr>
            <w:tcW w:w="991" w:type="dxa"/>
          </w:tcPr>
          <w:p w14:paraId="2408A7B0" w14:textId="77777777" w:rsidR="00811887" w:rsidRDefault="00811887" w:rsidP="00486E22">
            <w:pPr>
              <w:pStyle w:val="TableParagraph"/>
              <w:spacing w:before="12" w:line="215" w:lineRule="exact"/>
              <w:ind w:right="263"/>
              <w:jc w:val="right"/>
              <w:rPr>
                <w:sz w:val="20"/>
              </w:rPr>
            </w:pPr>
            <w:r>
              <w:rPr>
                <w:spacing w:val="-5"/>
                <w:w w:val="115"/>
                <w:sz w:val="20"/>
              </w:rPr>
              <w:t>315</w:t>
            </w:r>
          </w:p>
        </w:tc>
        <w:tc>
          <w:tcPr>
            <w:tcW w:w="984" w:type="dxa"/>
          </w:tcPr>
          <w:p w14:paraId="7B15BE8F" w14:textId="77777777" w:rsidR="00811887" w:rsidRDefault="00811887" w:rsidP="00486E22">
            <w:pPr>
              <w:pStyle w:val="TableParagraph"/>
              <w:spacing w:before="12" w:line="215" w:lineRule="exact"/>
              <w:ind w:right="263"/>
              <w:jc w:val="right"/>
              <w:rPr>
                <w:sz w:val="20"/>
              </w:rPr>
            </w:pPr>
            <w:r>
              <w:rPr>
                <w:spacing w:val="-5"/>
                <w:w w:val="115"/>
                <w:sz w:val="20"/>
              </w:rPr>
              <w:t>57</w:t>
            </w:r>
          </w:p>
        </w:tc>
        <w:tc>
          <w:tcPr>
            <w:tcW w:w="830" w:type="dxa"/>
          </w:tcPr>
          <w:p w14:paraId="0C3C79ED" w14:textId="77777777" w:rsidR="00811887" w:rsidRDefault="00811887" w:rsidP="00486E22">
            <w:pPr>
              <w:pStyle w:val="TableParagraph"/>
              <w:spacing w:before="12" w:line="215" w:lineRule="exact"/>
              <w:ind w:right="94"/>
              <w:jc w:val="right"/>
              <w:rPr>
                <w:sz w:val="20"/>
              </w:rPr>
            </w:pPr>
            <w:r>
              <w:rPr>
                <w:spacing w:val="-4"/>
                <w:w w:val="115"/>
                <w:sz w:val="20"/>
              </w:rPr>
              <w:t>1450</w:t>
            </w:r>
          </w:p>
        </w:tc>
      </w:tr>
      <w:tr w:rsidR="00811887" w14:paraId="1FA69433" w14:textId="77777777" w:rsidTr="00486E22">
        <w:trPr>
          <w:trHeight w:val="244"/>
        </w:trPr>
        <w:tc>
          <w:tcPr>
            <w:tcW w:w="3635" w:type="dxa"/>
            <w:tcBorders>
              <w:right w:val="single" w:sz="4" w:space="0" w:color="000000"/>
            </w:tcBorders>
          </w:tcPr>
          <w:p w14:paraId="2A536414" w14:textId="77777777" w:rsidR="00811887" w:rsidRDefault="00811887" w:rsidP="00486E22">
            <w:pPr>
              <w:pStyle w:val="TableParagraph"/>
              <w:spacing w:before="10" w:line="215"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5C3317F9" w14:textId="77777777" w:rsidR="00811887" w:rsidRDefault="00811887" w:rsidP="00486E22">
            <w:pPr>
              <w:pStyle w:val="TableParagraph"/>
              <w:spacing w:before="10" w:line="215" w:lineRule="exact"/>
              <w:ind w:right="268"/>
              <w:jc w:val="right"/>
              <w:rPr>
                <w:sz w:val="20"/>
              </w:rPr>
            </w:pPr>
            <w:r>
              <w:rPr>
                <w:spacing w:val="-5"/>
                <w:w w:val="115"/>
                <w:sz w:val="20"/>
              </w:rPr>
              <w:t>11</w:t>
            </w:r>
          </w:p>
        </w:tc>
        <w:tc>
          <w:tcPr>
            <w:tcW w:w="988" w:type="dxa"/>
          </w:tcPr>
          <w:p w14:paraId="2F2B9AF4" w14:textId="77777777" w:rsidR="00811887" w:rsidRDefault="00811887" w:rsidP="00486E22">
            <w:pPr>
              <w:pStyle w:val="TableParagraph"/>
              <w:spacing w:before="10" w:line="215" w:lineRule="exact"/>
              <w:ind w:right="267"/>
              <w:jc w:val="right"/>
              <w:rPr>
                <w:sz w:val="20"/>
              </w:rPr>
            </w:pPr>
            <w:r>
              <w:rPr>
                <w:spacing w:val="-5"/>
                <w:w w:val="115"/>
                <w:sz w:val="20"/>
              </w:rPr>
              <w:t>74</w:t>
            </w:r>
          </w:p>
        </w:tc>
        <w:tc>
          <w:tcPr>
            <w:tcW w:w="998" w:type="dxa"/>
          </w:tcPr>
          <w:p w14:paraId="36E440E8" w14:textId="77777777" w:rsidR="00811887" w:rsidRDefault="00811887" w:rsidP="00486E22">
            <w:pPr>
              <w:pStyle w:val="TableParagraph"/>
              <w:spacing w:before="10" w:line="215" w:lineRule="exact"/>
              <w:ind w:right="266"/>
              <w:jc w:val="right"/>
              <w:rPr>
                <w:sz w:val="20"/>
              </w:rPr>
            </w:pPr>
            <w:r>
              <w:rPr>
                <w:spacing w:val="-5"/>
                <w:w w:val="115"/>
                <w:sz w:val="20"/>
              </w:rPr>
              <w:t>218</w:t>
            </w:r>
          </w:p>
        </w:tc>
        <w:tc>
          <w:tcPr>
            <w:tcW w:w="991" w:type="dxa"/>
          </w:tcPr>
          <w:p w14:paraId="6D9ADBF2" w14:textId="77777777" w:rsidR="00811887" w:rsidRDefault="00811887" w:rsidP="00486E22">
            <w:pPr>
              <w:pStyle w:val="TableParagraph"/>
              <w:spacing w:before="10" w:line="215" w:lineRule="exact"/>
              <w:ind w:right="268"/>
              <w:jc w:val="right"/>
              <w:rPr>
                <w:sz w:val="20"/>
              </w:rPr>
            </w:pPr>
            <w:r>
              <w:rPr>
                <w:spacing w:val="-5"/>
                <w:w w:val="115"/>
                <w:sz w:val="20"/>
              </w:rPr>
              <w:t>89</w:t>
            </w:r>
          </w:p>
        </w:tc>
        <w:tc>
          <w:tcPr>
            <w:tcW w:w="984" w:type="dxa"/>
          </w:tcPr>
          <w:p w14:paraId="68F4C0AF" w14:textId="77777777" w:rsidR="00811887" w:rsidRDefault="00811887" w:rsidP="00486E22">
            <w:pPr>
              <w:pStyle w:val="TableParagraph"/>
              <w:spacing w:before="10" w:line="215" w:lineRule="exact"/>
              <w:ind w:right="263"/>
              <w:jc w:val="right"/>
              <w:rPr>
                <w:sz w:val="20"/>
              </w:rPr>
            </w:pPr>
            <w:r>
              <w:rPr>
                <w:spacing w:val="-5"/>
                <w:w w:val="115"/>
                <w:sz w:val="20"/>
              </w:rPr>
              <w:t>16</w:t>
            </w:r>
          </w:p>
        </w:tc>
        <w:tc>
          <w:tcPr>
            <w:tcW w:w="830" w:type="dxa"/>
          </w:tcPr>
          <w:p w14:paraId="1090D776" w14:textId="77777777" w:rsidR="00811887" w:rsidRDefault="00811887" w:rsidP="00486E22">
            <w:pPr>
              <w:pStyle w:val="TableParagraph"/>
              <w:spacing w:before="10" w:line="215" w:lineRule="exact"/>
              <w:ind w:right="94"/>
              <w:jc w:val="right"/>
              <w:rPr>
                <w:sz w:val="20"/>
              </w:rPr>
            </w:pPr>
            <w:r>
              <w:rPr>
                <w:spacing w:val="-5"/>
                <w:w w:val="115"/>
                <w:sz w:val="20"/>
              </w:rPr>
              <w:t>408</w:t>
            </w:r>
          </w:p>
        </w:tc>
      </w:tr>
      <w:tr w:rsidR="00811887" w14:paraId="000E0B27" w14:textId="77777777" w:rsidTr="00486E22">
        <w:trPr>
          <w:trHeight w:val="243"/>
        </w:trPr>
        <w:tc>
          <w:tcPr>
            <w:tcW w:w="3635" w:type="dxa"/>
            <w:tcBorders>
              <w:right w:val="single" w:sz="4" w:space="0" w:color="000000"/>
            </w:tcBorders>
          </w:tcPr>
          <w:p w14:paraId="54902332" w14:textId="77777777" w:rsidR="00811887" w:rsidRDefault="00811887" w:rsidP="00486E22">
            <w:pPr>
              <w:pStyle w:val="TableParagraph"/>
              <w:spacing w:before="10"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38A3179F" w14:textId="77777777" w:rsidR="00811887" w:rsidRDefault="00811887" w:rsidP="00486E22">
            <w:pPr>
              <w:pStyle w:val="TableParagraph"/>
              <w:spacing w:before="10" w:line="214" w:lineRule="exact"/>
              <w:ind w:right="268"/>
              <w:jc w:val="right"/>
              <w:rPr>
                <w:sz w:val="20"/>
              </w:rPr>
            </w:pPr>
            <w:r>
              <w:rPr>
                <w:spacing w:val="-5"/>
                <w:w w:val="115"/>
                <w:sz w:val="20"/>
              </w:rPr>
              <w:t>17</w:t>
            </w:r>
          </w:p>
        </w:tc>
        <w:tc>
          <w:tcPr>
            <w:tcW w:w="988" w:type="dxa"/>
          </w:tcPr>
          <w:p w14:paraId="63CDFC29" w14:textId="77777777" w:rsidR="00811887" w:rsidRDefault="00811887" w:rsidP="00486E22">
            <w:pPr>
              <w:pStyle w:val="TableParagraph"/>
              <w:spacing w:before="10" w:line="214" w:lineRule="exact"/>
              <w:ind w:right="262"/>
              <w:jc w:val="right"/>
              <w:rPr>
                <w:sz w:val="20"/>
              </w:rPr>
            </w:pPr>
            <w:r>
              <w:rPr>
                <w:spacing w:val="-5"/>
                <w:w w:val="115"/>
                <w:sz w:val="20"/>
              </w:rPr>
              <w:t>109</w:t>
            </w:r>
          </w:p>
        </w:tc>
        <w:tc>
          <w:tcPr>
            <w:tcW w:w="998" w:type="dxa"/>
          </w:tcPr>
          <w:p w14:paraId="704FA315" w14:textId="77777777" w:rsidR="00811887" w:rsidRDefault="00811887" w:rsidP="00486E22">
            <w:pPr>
              <w:pStyle w:val="TableParagraph"/>
              <w:spacing w:before="10" w:line="214" w:lineRule="exact"/>
              <w:ind w:right="266"/>
              <w:jc w:val="right"/>
              <w:rPr>
                <w:sz w:val="20"/>
              </w:rPr>
            </w:pPr>
            <w:r>
              <w:rPr>
                <w:spacing w:val="-5"/>
                <w:w w:val="115"/>
                <w:sz w:val="20"/>
              </w:rPr>
              <w:t>323</w:t>
            </w:r>
          </w:p>
        </w:tc>
        <w:tc>
          <w:tcPr>
            <w:tcW w:w="991" w:type="dxa"/>
          </w:tcPr>
          <w:p w14:paraId="3A3055F0" w14:textId="77777777" w:rsidR="00811887" w:rsidRDefault="00811887" w:rsidP="00486E22">
            <w:pPr>
              <w:pStyle w:val="TableParagraph"/>
              <w:spacing w:before="10" w:line="214" w:lineRule="exact"/>
              <w:ind w:right="263"/>
              <w:jc w:val="right"/>
              <w:rPr>
                <w:sz w:val="20"/>
              </w:rPr>
            </w:pPr>
            <w:r>
              <w:rPr>
                <w:spacing w:val="-5"/>
                <w:w w:val="115"/>
                <w:sz w:val="20"/>
              </w:rPr>
              <w:t>131</w:t>
            </w:r>
          </w:p>
        </w:tc>
        <w:tc>
          <w:tcPr>
            <w:tcW w:w="984" w:type="dxa"/>
          </w:tcPr>
          <w:p w14:paraId="6B5DB505" w14:textId="77777777" w:rsidR="00811887" w:rsidRDefault="00811887" w:rsidP="00486E22">
            <w:pPr>
              <w:pStyle w:val="TableParagraph"/>
              <w:spacing w:before="10" w:line="214" w:lineRule="exact"/>
              <w:ind w:right="263"/>
              <w:jc w:val="right"/>
              <w:rPr>
                <w:sz w:val="20"/>
              </w:rPr>
            </w:pPr>
            <w:r>
              <w:rPr>
                <w:spacing w:val="-5"/>
                <w:w w:val="115"/>
                <w:sz w:val="20"/>
              </w:rPr>
              <w:t>24</w:t>
            </w:r>
          </w:p>
        </w:tc>
        <w:tc>
          <w:tcPr>
            <w:tcW w:w="830" w:type="dxa"/>
          </w:tcPr>
          <w:p w14:paraId="04F6830C" w14:textId="77777777" w:rsidR="00811887" w:rsidRDefault="00811887" w:rsidP="00486E22">
            <w:pPr>
              <w:pStyle w:val="TableParagraph"/>
              <w:spacing w:before="10" w:line="214" w:lineRule="exact"/>
              <w:ind w:right="94"/>
              <w:jc w:val="right"/>
              <w:rPr>
                <w:sz w:val="20"/>
              </w:rPr>
            </w:pPr>
            <w:r>
              <w:rPr>
                <w:spacing w:val="-5"/>
                <w:w w:val="115"/>
                <w:sz w:val="20"/>
              </w:rPr>
              <w:t>603</w:t>
            </w:r>
          </w:p>
        </w:tc>
      </w:tr>
      <w:tr w:rsidR="00811887" w14:paraId="4C81F1F4" w14:textId="77777777" w:rsidTr="00486E22">
        <w:trPr>
          <w:trHeight w:val="245"/>
        </w:trPr>
        <w:tc>
          <w:tcPr>
            <w:tcW w:w="9585" w:type="dxa"/>
            <w:gridSpan w:val="7"/>
            <w:shd w:val="clear" w:color="auto" w:fill="AFCAC7"/>
          </w:tcPr>
          <w:p w14:paraId="35CE7597" w14:textId="77777777" w:rsidR="00811887" w:rsidRDefault="00811887" w:rsidP="00486E22">
            <w:pPr>
              <w:pStyle w:val="TableParagraph"/>
              <w:spacing w:before="11" w:line="214" w:lineRule="exact"/>
              <w:ind w:left="34" w:right="6"/>
              <w:jc w:val="center"/>
              <w:rPr>
                <w:sz w:val="20"/>
              </w:rPr>
            </w:pPr>
            <w:r>
              <w:rPr>
                <w:w w:val="110"/>
                <w:sz w:val="20"/>
              </w:rPr>
              <w:t>South</w:t>
            </w:r>
            <w:r>
              <w:rPr>
                <w:spacing w:val="8"/>
                <w:w w:val="110"/>
                <w:sz w:val="20"/>
              </w:rPr>
              <w:t xml:space="preserve"> </w:t>
            </w:r>
            <w:r>
              <w:rPr>
                <w:spacing w:val="-2"/>
                <w:w w:val="110"/>
                <w:sz w:val="20"/>
              </w:rPr>
              <w:t>Australia</w:t>
            </w:r>
          </w:p>
        </w:tc>
      </w:tr>
      <w:tr w:rsidR="00811887" w14:paraId="45027DA8" w14:textId="77777777" w:rsidTr="00486E22">
        <w:trPr>
          <w:trHeight w:val="250"/>
        </w:trPr>
        <w:tc>
          <w:tcPr>
            <w:tcW w:w="3635" w:type="dxa"/>
            <w:tcBorders>
              <w:right w:val="single" w:sz="4" w:space="0" w:color="000000"/>
            </w:tcBorders>
          </w:tcPr>
          <w:p w14:paraId="302C0BC9" w14:textId="77777777" w:rsidR="00811887" w:rsidRDefault="00811887" w:rsidP="00486E22">
            <w:pPr>
              <w:pStyle w:val="TableParagraph"/>
              <w:spacing w:before="16" w:line="215"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24CCF84F" w14:textId="77777777" w:rsidR="00811887" w:rsidRDefault="00811887" w:rsidP="00486E22">
            <w:pPr>
              <w:pStyle w:val="TableParagraph"/>
              <w:spacing w:before="16" w:line="215" w:lineRule="exact"/>
              <w:ind w:right="268"/>
              <w:jc w:val="right"/>
              <w:rPr>
                <w:sz w:val="20"/>
              </w:rPr>
            </w:pPr>
            <w:r>
              <w:rPr>
                <w:spacing w:val="-5"/>
                <w:w w:val="115"/>
                <w:sz w:val="20"/>
              </w:rPr>
              <w:t>16</w:t>
            </w:r>
          </w:p>
        </w:tc>
        <w:tc>
          <w:tcPr>
            <w:tcW w:w="988" w:type="dxa"/>
          </w:tcPr>
          <w:p w14:paraId="665EC3D1" w14:textId="77777777" w:rsidR="00811887" w:rsidRDefault="00811887" w:rsidP="00486E22">
            <w:pPr>
              <w:pStyle w:val="TableParagraph"/>
              <w:spacing w:before="16" w:line="215" w:lineRule="exact"/>
              <w:ind w:right="262"/>
              <w:jc w:val="right"/>
              <w:rPr>
                <w:sz w:val="20"/>
              </w:rPr>
            </w:pPr>
            <w:r>
              <w:rPr>
                <w:spacing w:val="-5"/>
                <w:w w:val="115"/>
                <w:sz w:val="20"/>
              </w:rPr>
              <w:t>103</w:t>
            </w:r>
          </w:p>
        </w:tc>
        <w:tc>
          <w:tcPr>
            <w:tcW w:w="998" w:type="dxa"/>
          </w:tcPr>
          <w:p w14:paraId="5C8B0FF3" w14:textId="77777777" w:rsidR="00811887" w:rsidRDefault="00811887" w:rsidP="00486E22">
            <w:pPr>
              <w:pStyle w:val="TableParagraph"/>
              <w:spacing w:before="16" w:line="215" w:lineRule="exact"/>
              <w:ind w:right="266"/>
              <w:jc w:val="right"/>
              <w:rPr>
                <w:sz w:val="20"/>
              </w:rPr>
            </w:pPr>
            <w:r>
              <w:rPr>
                <w:spacing w:val="-5"/>
                <w:w w:val="115"/>
                <w:sz w:val="20"/>
              </w:rPr>
              <w:t>305</w:t>
            </w:r>
          </w:p>
        </w:tc>
        <w:tc>
          <w:tcPr>
            <w:tcW w:w="991" w:type="dxa"/>
          </w:tcPr>
          <w:p w14:paraId="5DEFD41D" w14:textId="77777777" w:rsidR="00811887" w:rsidRDefault="00811887" w:rsidP="00486E22">
            <w:pPr>
              <w:pStyle w:val="TableParagraph"/>
              <w:spacing w:before="16" w:line="215" w:lineRule="exact"/>
              <w:ind w:right="263"/>
              <w:jc w:val="right"/>
              <w:rPr>
                <w:sz w:val="20"/>
              </w:rPr>
            </w:pPr>
            <w:r>
              <w:rPr>
                <w:spacing w:val="-5"/>
                <w:w w:val="115"/>
                <w:sz w:val="20"/>
              </w:rPr>
              <w:t>124</w:t>
            </w:r>
          </w:p>
        </w:tc>
        <w:tc>
          <w:tcPr>
            <w:tcW w:w="984" w:type="dxa"/>
          </w:tcPr>
          <w:p w14:paraId="54A93985" w14:textId="77777777" w:rsidR="00811887" w:rsidRDefault="00811887" w:rsidP="00486E22">
            <w:pPr>
              <w:pStyle w:val="TableParagraph"/>
              <w:spacing w:before="16" w:line="215" w:lineRule="exact"/>
              <w:ind w:right="263"/>
              <w:jc w:val="right"/>
              <w:rPr>
                <w:sz w:val="20"/>
              </w:rPr>
            </w:pPr>
            <w:r>
              <w:rPr>
                <w:spacing w:val="-5"/>
                <w:w w:val="115"/>
                <w:sz w:val="20"/>
              </w:rPr>
              <w:t>22</w:t>
            </w:r>
          </w:p>
        </w:tc>
        <w:tc>
          <w:tcPr>
            <w:tcW w:w="830" w:type="dxa"/>
          </w:tcPr>
          <w:p w14:paraId="7B108D1D" w14:textId="77777777" w:rsidR="00811887" w:rsidRDefault="00811887" w:rsidP="00486E22">
            <w:pPr>
              <w:pStyle w:val="TableParagraph"/>
              <w:spacing w:before="16" w:line="215" w:lineRule="exact"/>
              <w:ind w:right="94"/>
              <w:jc w:val="right"/>
              <w:rPr>
                <w:sz w:val="20"/>
              </w:rPr>
            </w:pPr>
            <w:r>
              <w:rPr>
                <w:spacing w:val="-5"/>
                <w:w w:val="115"/>
                <w:sz w:val="20"/>
              </w:rPr>
              <w:t>570</w:t>
            </w:r>
          </w:p>
        </w:tc>
      </w:tr>
      <w:tr w:rsidR="00811887" w14:paraId="5729BF22" w14:textId="77777777" w:rsidTr="00486E22">
        <w:trPr>
          <w:trHeight w:val="244"/>
        </w:trPr>
        <w:tc>
          <w:tcPr>
            <w:tcW w:w="3635" w:type="dxa"/>
            <w:tcBorders>
              <w:right w:val="single" w:sz="4" w:space="0" w:color="000000"/>
            </w:tcBorders>
          </w:tcPr>
          <w:p w14:paraId="0B9B7412" w14:textId="77777777" w:rsidR="00811887" w:rsidRDefault="00811887" w:rsidP="00486E22">
            <w:pPr>
              <w:pStyle w:val="TableParagraph"/>
              <w:spacing w:before="10" w:line="215"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65C08870" w14:textId="77777777" w:rsidR="00811887" w:rsidRDefault="00811887" w:rsidP="00486E22">
            <w:pPr>
              <w:pStyle w:val="TableParagraph"/>
              <w:spacing w:before="10" w:line="215" w:lineRule="exact"/>
              <w:ind w:right="268"/>
              <w:jc w:val="right"/>
              <w:rPr>
                <w:sz w:val="20"/>
              </w:rPr>
            </w:pPr>
            <w:r>
              <w:rPr>
                <w:spacing w:val="-10"/>
                <w:w w:val="115"/>
                <w:sz w:val="20"/>
              </w:rPr>
              <w:t>1</w:t>
            </w:r>
          </w:p>
        </w:tc>
        <w:tc>
          <w:tcPr>
            <w:tcW w:w="988" w:type="dxa"/>
          </w:tcPr>
          <w:p w14:paraId="263F2FD8" w14:textId="77777777" w:rsidR="00811887" w:rsidRDefault="00811887" w:rsidP="00486E22">
            <w:pPr>
              <w:pStyle w:val="TableParagraph"/>
              <w:spacing w:before="10" w:line="215" w:lineRule="exact"/>
              <w:ind w:right="267"/>
              <w:jc w:val="right"/>
              <w:rPr>
                <w:sz w:val="20"/>
              </w:rPr>
            </w:pPr>
            <w:r>
              <w:rPr>
                <w:spacing w:val="-10"/>
                <w:w w:val="115"/>
                <w:sz w:val="20"/>
              </w:rPr>
              <w:t>9</w:t>
            </w:r>
          </w:p>
        </w:tc>
        <w:tc>
          <w:tcPr>
            <w:tcW w:w="998" w:type="dxa"/>
          </w:tcPr>
          <w:p w14:paraId="611B2E4F" w14:textId="77777777" w:rsidR="00811887" w:rsidRDefault="00811887" w:rsidP="00486E22">
            <w:pPr>
              <w:pStyle w:val="TableParagraph"/>
              <w:spacing w:before="10" w:line="215" w:lineRule="exact"/>
              <w:ind w:right="271"/>
              <w:jc w:val="right"/>
              <w:rPr>
                <w:sz w:val="20"/>
              </w:rPr>
            </w:pPr>
            <w:r>
              <w:rPr>
                <w:spacing w:val="-5"/>
                <w:w w:val="115"/>
                <w:sz w:val="20"/>
              </w:rPr>
              <w:t>28</w:t>
            </w:r>
          </w:p>
        </w:tc>
        <w:tc>
          <w:tcPr>
            <w:tcW w:w="991" w:type="dxa"/>
          </w:tcPr>
          <w:p w14:paraId="6ACC796B" w14:textId="77777777" w:rsidR="00811887" w:rsidRDefault="00811887" w:rsidP="00486E22">
            <w:pPr>
              <w:pStyle w:val="TableParagraph"/>
              <w:spacing w:before="10" w:line="215" w:lineRule="exact"/>
              <w:ind w:right="268"/>
              <w:jc w:val="right"/>
              <w:rPr>
                <w:sz w:val="20"/>
              </w:rPr>
            </w:pPr>
            <w:r>
              <w:rPr>
                <w:spacing w:val="-5"/>
                <w:w w:val="115"/>
                <w:sz w:val="20"/>
              </w:rPr>
              <w:t>11</w:t>
            </w:r>
          </w:p>
        </w:tc>
        <w:tc>
          <w:tcPr>
            <w:tcW w:w="984" w:type="dxa"/>
          </w:tcPr>
          <w:p w14:paraId="415AED37" w14:textId="77777777" w:rsidR="00811887" w:rsidRDefault="00811887" w:rsidP="00486E22">
            <w:pPr>
              <w:pStyle w:val="TableParagraph"/>
              <w:spacing w:before="10" w:line="215" w:lineRule="exact"/>
              <w:ind w:right="263"/>
              <w:jc w:val="right"/>
              <w:rPr>
                <w:sz w:val="20"/>
              </w:rPr>
            </w:pPr>
            <w:r>
              <w:rPr>
                <w:spacing w:val="-10"/>
                <w:w w:val="115"/>
                <w:sz w:val="20"/>
              </w:rPr>
              <w:t>2</w:t>
            </w:r>
          </w:p>
        </w:tc>
        <w:tc>
          <w:tcPr>
            <w:tcW w:w="830" w:type="dxa"/>
          </w:tcPr>
          <w:p w14:paraId="584B2DD2" w14:textId="77777777" w:rsidR="00811887" w:rsidRDefault="00811887" w:rsidP="00486E22">
            <w:pPr>
              <w:pStyle w:val="TableParagraph"/>
              <w:spacing w:before="10" w:line="215" w:lineRule="exact"/>
              <w:ind w:right="99"/>
              <w:jc w:val="right"/>
              <w:rPr>
                <w:sz w:val="20"/>
              </w:rPr>
            </w:pPr>
            <w:r>
              <w:rPr>
                <w:spacing w:val="-5"/>
                <w:w w:val="115"/>
                <w:sz w:val="20"/>
              </w:rPr>
              <w:t>52</w:t>
            </w:r>
          </w:p>
        </w:tc>
      </w:tr>
      <w:tr w:rsidR="00811887" w14:paraId="4DFFE833" w14:textId="77777777" w:rsidTr="00486E22">
        <w:trPr>
          <w:trHeight w:val="244"/>
        </w:trPr>
        <w:tc>
          <w:tcPr>
            <w:tcW w:w="3635" w:type="dxa"/>
            <w:tcBorders>
              <w:right w:val="single" w:sz="4" w:space="0" w:color="000000"/>
            </w:tcBorders>
          </w:tcPr>
          <w:p w14:paraId="77966021" w14:textId="77777777" w:rsidR="00811887" w:rsidRDefault="00811887" w:rsidP="00486E22">
            <w:pPr>
              <w:pStyle w:val="TableParagraph"/>
              <w:spacing w:before="10"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5EF2B797" w14:textId="77777777" w:rsidR="00811887" w:rsidRDefault="00811887" w:rsidP="00486E22">
            <w:pPr>
              <w:pStyle w:val="TableParagraph"/>
              <w:spacing w:before="10" w:line="215" w:lineRule="exact"/>
              <w:ind w:right="268"/>
              <w:jc w:val="right"/>
              <w:rPr>
                <w:sz w:val="20"/>
              </w:rPr>
            </w:pPr>
            <w:r>
              <w:rPr>
                <w:spacing w:val="-10"/>
                <w:w w:val="115"/>
                <w:sz w:val="20"/>
              </w:rPr>
              <w:t>6</w:t>
            </w:r>
          </w:p>
        </w:tc>
        <w:tc>
          <w:tcPr>
            <w:tcW w:w="988" w:type="dxa"/>
          </w:tcPr>
          <w:p w14:paraId="207A0163" w14:textId="77777777" w:rsidR="00811887" w:rsidRDefault="00811887" w:rsidP="00486E22">
            <w:pPr>
              <w:pStyle w:val="TableParagraph"/>
              <w:spacing w:before="10" w:line="215" w:lineRule="exact"/>
              <w:ind w:right="267"/>
              <w:jc w:val="right"/>
              <w:rPr>
                <w:sz w:val="20"/>
              </w:rPr>
            </w:pPr>
            <w:r>
              <w:rPr>
                <w:spacing w:val="-5"/>
                <w:w w:val="115"/>
                <w:sz w:val="20"/>
              </w:rPr>
              <w:t>37</w:t>
            </w:r>
          </w:p>
        </w:tc>
        <w:tc>
          <w:tcPr>
            <w:tcW w:w="998" w:type="dxa"/>
          </w:tcPr>
          <w:p w14:paraId="0393EB2A" w14:textId="77777777" w:rsidR="00811887" w:rsidRDefault="00811887" w:rsidP="00486E22">
            <w:pPr>
              <w:pStyle w:val="TableParagraph"/>
              <w:spacing w:before="10" w:line="215" w:lineRule="exact"/>
              <w:ind w:right="266"/>
              <w:jc w:val="right"/>
              <w:rPr>
                <w:sz w:val="20"/>
              </w:rPr>
            </w:pPr>
            <w:r>
              <w:rPr>
                <w:spacing w:val="-5"/>
                <w:w w:val="115"/>
                <w:sz w:val="20"/>
              </w:rPr>
              <w:t>108</w:t>
            </w:r>
          </w:p>
        </w:tc>
        <w:tc>
          <w:tcPr>
            <w:tcW w:w="991" w:type="dxa"/>
          </w:tcPr>
          <w:p w14:paraId="5CB16693" w14:textId="77777777" w:rsidR="00811887" w:rsidRDefault="00811887" w:rsidP="00486E22">
            <w:pPr>
              <w:pStyle w:val="TableParagraph"/>
              <w:spacing w:before="10" w:line="215" w:lineRule="exact"/>
              <w:ind w:right="268"/>
              <w:jc w:val="right"/>
              <w:rPr>
                <w:sz w:val="20"/>
              </w:rPr>
            </w:pPr>
            <w:r>
              <w:rPr>
                <w:spacing w:val="-5"/>
                <w:w w:val="115"/>
                <w:sz w:val="20"/>
              </w:rPr>
              <w:t>44</w:t>
            </w:r>
          </w:p>
        </w:tc>
        <w:tc>
          <w:tcPr>
            <w:tcW w:w="984" w:type="dxa"/>
          </w:tcPr>
          <w:p w14:paraId="1CB8F7B6" w14:textId="77777777" w:rsidR="00811887" w:rsidRDefault="00811887" w:rsidP="00486E22">
            <w:pPr>
              <w:pStyle w:val="TableParagraph"/>
              <w:spacing w:before="10" w:line="215" w:lineRule="exact"/>
              <w:ind w:right="263"/>
              <w:jc w:val="right"/>
              <w:rPr>
                <w:sz w:val="20"/>
              </w:rPr>
            </w:pPr>
            <w:r>
              <w:rPr>
                <w:spacing w:val="-10"/>
                <w:w w:val="115"/>
                <w:sz w:val="20"/>
              </w:rPr>
              <w:t>8</w:t>
            </w:r>
          </w:p>
        </w:tc>
        <w:tc>
          <w:tcPr>
            <w:tcW w:w="830" w:type="dxa"/>
          </w:tcPr>
          <w:p w14:paraId="7F03C094" w14:textId="77777777" w:rsidR="00811887" w:rsidRDefault="00811887" w:rsidP="00486E22">
            <w:pPr>
              <w:pStyle w:val="TableParagraph"/>
              <w:spacing w:before="10" w:line="215" w:lineRule="exact"/>
              <w:ind w:right="94"/>
              <w:jc w:val="right"/>
              <w:rPr>
                <w:sz w:val="20"/>
              </w:rPr>
            </w:pPr>
            <w:r>
              <w:rPr>
                <w:spacing w:val="-5"/>
                <w:w w:val="115"/>
                <w:sz w:val="20"/>
              </w:rPr>
              <w:t>202</w:t>
            </w:r>
          </w:p>
        </w:tc>
      </w:tr>
      <w:tr w:rsidR="00811887" w14:paraId="09940F07" w14:textId="77777777" w:rsidTr="00486E22">
        <w:trPr>
          <w:trHeight w:val="247"/>
        </w:trPr>
        <w:tc>
          <w:tcPr>
            <w:tcW w:w="3635" w:type="dxa"/>
            <w:tcBorders>
              <w:right w:val="single" w:sz="4" w:space="0" w:color="000000"/>
            </w:tcBorders>
          </w:tcPr>
          <w:p w14:paraId="6D7BBEDF" w14:textId="77777777" w:rsidR="00811887" w:rsidRDefault="00811887" w:rsidP="00486E22">
            <w:pPr>
              <w:pStyle w:val="TableParagraph"/>
              <w:spacing w:before="10" w:line="217"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3F5662C1" w14:textId="77777777" w:rsidR="00811887" w:rsidRDefault="00811887" w:rsidP="00486E22">
            <w:pPr>
              <w:pStyle w:val="TableParagraph"/>
              <w:spacing w:before="10" w:line="217" w:lineRule="exact"/>
              <w:ind w:right="268"/>
              <w:jc w:val="right"/>
              <w:rPr>
                <w:sz w:val="20"/>
              </w:rPr>
            </w:pPr>
            <w:r>
              <w:rPr>
                <w:spacing w:val="-10"/>
                <w:w w:val="115"/>
                <w:sz w:val="20"/>
              </w:rPr>
              <w:t>1</w:t>
            </w:r>
          </w:p>
        </w:tc>
        <w:tc>
          <w:tcPr>
            <w:tcW w:w="988" w:type="dxa"/>
          </w:tcPr>
          <w:p w14:paraId="701755C2" w14:textId="77777777" w:rsidR="00811887" w:rsidRDefault="00811887" w:rsidP="00486E22">
            <w:pPr>
              <w:pStyle w:val="TableParagraph"/>
              <w:spacing w:before="10" w:line="217" w:lineRule="exact"/>
              <w:ind w:right="267"/>
              <w:jc w:val="right"/>
              <w:rPr>
                <w:sz w:val="20"/>
              </w:rPr>
            </w:pPr>
            <w:r>
              <w:rPr>
                <w:spacing w:val="-10"/>
                <w:w w:val="115"/>
                <w:sz w:val="20"/>
              </w:rPr>
              <w:t>6</w:t>
            </w:r>
          </w:p>
        </w:tc>
        <w:tc>
          <w:tcPr>
            <w:tcW w:w="998" w:type="dxa"/>
          </w:tcPr>
          <w:p w14:paraId="4A41F6E7" w14:textId="77777777" w:rsidR="00811887" w:rsidRDefault="00811887" w:rsidP="00486E22">
            <w:pPr>
              <w:pStyle w:val="TableParagraph"/>
              <w:spacing w:before="10" w:line="217" w:lineRule="exact"/>
              <w:ind w:right="271"/>
              <w:jc w:val="right"/>
              <w:rPr>
                <w:sz w:val="20"/>
              </w:rPr>
            </w:pPr>
            <w:r>
              <w:rPr>
                <w:spacing w:val="-5"/>
                <w:w w:val="115"/>
                <w:sz w:val="20"/>
              </w:rPr>
              <w:t>17</w:t>
            </w:r>
          </w:p>
        </w:tc>
        <w:tc>
          <w:tcPr>
            <w:tcW w:w="991" w:type="dxa"/>
          </w:tcPr>
          <w:p w14:paraId="5FA9C678" w14:textId="77777777" w:rsidR="00811887" w:rsidRDefault="00811887" w:rsidP="00486E22">
            <w:pPr>
              <w:pStyle w:val="TableParagraph"/>
              <w:spacing w:before="10" w:line="217" w:lineRule="exact"/>
              <w:ind w:right="268"/>
              <w:jc w:val="right"/>
              <w:rPr>
                <w:sz w:val="20"/>
              </w:rPr>
            </w:pPr>
            <w:r>
              <w:rPr>
                <w:spacing w:val="-10"/>
                <w:w w:val="115"/>
                <w:sz w:val="20"/>
              </w:rPr>
              <w:t>7</w:t>
            </w:r>
          </w:p>
        </w:tc>
        <w:tc>
          <w:tcPr>
            <w:tcW w:w="984" w:type="dxa"/>
          </w:tcPr>
          <w:p w14:paraId="0F2FDF89" w14:textId="77777777" w:rsidR="00811887" w:rsidRDefault="00811887" w:rsidP="00486E22">
            <w:pPr>
              <w:pStyle w:val="TableParagraph"/>
              <w:spacing w:before="10" w:line="217" w:lineRule="exact"/>
              <w:ind w:right="263"/>
              <w:jc w:val="right"/>
              <w:rPr>
                <w:sz w:val="20"/>
              </w:rPr>
            </w:pPr>
            <w:r>
              <w:rPr>
                <w:spacing w:val="-10"/>
                <w:w w:val="115"/>
                <w:sz w:val="20"/>
              </w:rPr>
              <w:t>1</w:t>
            </w:r>
          </w:p>
        </w:tc>
        <w:tc>
          <w:tcPr>
            <w:tcW w:w="830" w:type="dxa"/>
          </w:tcPr>
          <w:p w14:paraId="3A9F3A80" w14:textId="77777777" w:rsidR="00811887" w:rsidRDefault="00811887" w:rsidP="00486E22">
            <w:pPr>
              <w:pStyle w:val="TableParagraph"/>
              <w:spacing w:before="10" w:line="217" w:lineRule="exact"/>
              <w:ind w:right="99"/>
              <w:jc w:val="right"/>
              <w:rPr>
                <w:sz w:val="20"/>
              </w:rPr>
            </w:pPr>
            <w:r>
              <w:rPr>
                <w:spacing w:val="-5"/>
                <w:w w:val="115"/>
                <w:sz w:val="20"/>
              </w:rPr>
              <w:t>32</w:t>
            </w:r>
          </w:p>
        </w:tc>
      </w:tr>
      <w:tr w:rsidR="00811887" w14:paraId="2E417DBD" w14:textId="77777777" w:rsidTr="00486E22">
        <w:trPr>
          <w:trHeight w:val="246"/>
        </w:trPr>
        <w:tc>
          <w:tcPr>
            <w:tcW w:w="3635" w:type="dxa"/>
            <w:tcBorders>
              <w:right w:val="single" w:sz="4" w:space="0" w:color="000000"/>
            </w:tcBorders>
          </w:tcPr>
          <w:p w14:paraId="101140CF" w14:textId="77777777" w:rsidR="00811887" w:rsidRDefault="00811887" w:rsidP="00486E22">
            <w:pPr>
              <w:pStyle w:val="TableParagraph"/>
              <w:spacing w:before="12"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00F000B2" w14:textId="77777777" w:rsidR="00811887" w:rsidRDefault="00811887" w:rsidP="00486E22">
            <w:pPr>
              <w:pStyle w:val="TableParagraph"/>
              <w:spacing w:before="12" w:line="214" w:lineRule="exact"/>
              <w:ind w:right="268"/>
              <w:jc w:val="right"/>
              <w:rPr>
                <w:sz w:val="20"/>
              </w:rPr>
            </w:pPr>
            <w:r>
              <w:rPr>
                <w:spacing w:val="-10"/>
                <w:w w:val="115"/>
                <w:sz w:val="20"/>
              </w:rPr>
              <w:t>5</w:t>
            </w:r>
          </w:p>
        </w:tc>
        <w:tc>
          <w:tcPr>
            <w:tcW w:w="988" w:type="dxa"/>
          </w:tcPr>
          <w:p w14:paraId="125768AF" w14:textId="77777777" w:rsidR="00811887" w:rsidRDefault="00811887" w:rsidP="00486E22">
            <w:pPr>
              <w:pStyle w:val="TableParagraph"/>
              <w:spacing w:before="12" w:line="214" w:lineRule="exact"/>
              <w:ind w:right="267"/>
              <w:jc w:val="right"/>
              <w:rPr>
                <w:sz w:val="20"/>
              </w:rPr>
            </w:pPr>
            <w:r>
              <w:rPr>
                <w:spacing w:val="-5"/>
                <w:w w:val="115"/>
                <w:sz w:val="20"/>
              </w:rPr>
              <w:t>34</w:t>
            </w:r>
          </w:p>
        </w:tc>
        <w:tc>
          <w:tcPr>
            <w:tcW w:w="998" w:type="dxa"/>
          </w:tcPr>
          <w:p w14:paraId="3E57C802" w14:textId="77777777" w:rsidR="00811887" w:rsidRDefault="00811887" w:rsidP="00486E22">
            <w:pPr>
              <w:pStyle w:val="TableParagraph"/>
              <w:spacing w:before="12" w:line="214" w:lineRule="exact"/>
              <w:ind w:right="266"/>
              <w:jc w:val="right"/>
              <w:rPr>
                <w:sz w:val="20"/>
              </w:rPr>
            </w:pPr>
            <w:r>
              <w:rPr>
                <w:spacing w:val="-5"/>
                <w:w w:val="115"/>
                <w:sz w:val="20"/>
              </w:rPr>
              <w:t>101</w:t>
            </w:r>
          </w:p>
        </w:tc>
        <w:tc>
          <w:tcPr>
            <w:tcW w:w="991" w:type="dxa"/>
          </w:tcPr>
          <w:p w14:paraId="48A0D02D" w14:textId="77777777" w:rsidR="00811887" w:rsidRDefault="00811887" w:rsidP="00486E22">
            <w:pPr>
              <w:pStyle w:val="TableParagraph"/>
              <w:spacing w:before="12" w:line="214" w:lineRule="exact"/>
              <w:ind w:right="268"/>
              <w:jc w:val="right"/>
              <w:rPr>
                <w:sz w:val="20"/>
              </w:rPr>
            </w:pPr>
            <w:r>
              <w:rPr>
                <w:spacing w:val="-5"/>
                <w:w w:val="115"/>
                <w:sz w:val="20"/>
              </w:rPr>
              <w:t>41</w:t>
            </w:r>
          </w:p>
        </w:tc>
        <w:tc>
          <w:tcPr>
            <w:tcW w:w="984" w:type="dxa"/>
          </w:tcPr>
          <w:p w14:paraId="5C5F2F9A" w14:textId="77777777" w:rsidR="00811887" w:rsidRDefault="00811887" w:rsidP="00486E22">
            <w:pPr>
              <w:pStyle w:val="TableParagraph"/>
              <w:spacing w:before="12" w:line="214" w:lineRule="exact"/>
              <w:ind w:right="263"/>
              <w:jc w:val="right"/>
              <w:rPr>
                <w:sz w:val="20"/>
              </w:rPr>
            </w:pPr>
            <w:r>
              <w:rPr>
                <w:spacing w:val="-10"/>
                <w:w w:val="115"/>
                <w:sz w:val="20"/>
              </w:rPr>
              <w:t>7</w:t>
            </w:r>
          </w:p>
        </w:tc>
        <w:tc>
          <w:tcPr>
            <w:tcW w:w="830" w:type="dxa"/>
          </w:tcPr>
          <w:p w14:paraId="4AB21E4E" w14:textId="77777777" w:rsidR="00811887" w:rsidRDefault="00811887" w:rsidP="00486E22">
            <w:pPr>
              <w:pStyle w:val="TableParagraph"/>
              <w:spacing w:before="12" w:line="214" w:lineRule="exact"/>
              <w:ind w:right="94"/>
              <w:jc w:val="right"/>
              <w:rPr>
                <w:sz w:val="20"/>
              </w:rPr>
            </w:pPr>
            <w:r>
              <w:rPr>
                <w:spacing w:val="-5"/>
                <w:w w:val="115"/>
                <w:sz w:val="20"/>
              </w:rPr>
              <w:t>189</w:t>
            </w:r>
          </w:p>
        </w:tc>
      </w:tr>
      <w:tr w:rsidR="00811887" w14:paraId="0162B76C" w14:textId="77777777" w:rsidTr="00486E22">
        <w:trPr>
          <w:trHeight w:val="245"/>
        </w:trPr>
        <w:tc>
          <w:tcPr>
            <w:tcW w:w="9585" w:type="dxa"/>
            <w:gridSpan w:val="7"/>
            <w:shd w:val="clear" w:color="auto" w:fill="AFCAC7"/>
          </w:tcPr>
          <w:p w14:paraId="2181889D" w14:textId="77777777" w:rsidR="00811887" w:rsidRDefault="00811887" w:rsidP="00486E22">
            <w:pPr>
              <w:pStyle w:val="TableParagraph"/>
              <w:spacing w:before="11" w:line="214" w:lineRule="exact"/>
              <w:ind w:left="34" w:right="2"/>
              <w:jc w:val="center"/>
              <w:rPr>
                <w:sz w:val="20"/>
              </w:rPr>
            </w:pPr>
            <w:r>
              <w:rPr>
                <w:w w:val="110"/>
                <w:sz w:val="20"/>
              </w:rPr>
              <w:t>Western</w:t>
            </w:r>
            <w:r>
              <w:rPr>
                <w:spacing w:val="-10"/>
                <w:w w:val="110"/>
                <w:sz w:val="20"/>
              </w:rPr>
              <w:t xml:space="preserve"> </w:t>
            </w:r>
            <w:r>
              <w:rPr>
                <w:spacing w:val="-2"/>
                <w:w w:val="110"/>
                <w:sz w:val="20"/>
              </w:rPr>
              <w:t>Australia</w:t>
            </w:r>
          </w:p>
        </w:tc>
      </w:tr>
      <w:tr w:rsidR="00811887" w14:paraId="3518EF17" w14:textId="77777777" w:rsidTr="00486E22">
        <w:trPr>
          <w:trHeight w:val="245"/>
        </w:trPr>
        <w:tc>
          <w:tcPr>
            <w:tcW w:w="3635" w:type="dxa"/>
            <w:tcBorders>
              <w:right w:val="single" w:sz="4" w:space="0" w:color="000000"/>
            </w:tcBorders>
          </w:tcPr>
          <w:p w14:paraId="4323492E" w14:textId="77777777" w:rsidR="00811887" w:rsidRDefault="00811887" w:rsidP="00486E22">
            <w:pPr>
              <w:pStyle w:val="TableParagraph"/>
              <w:spacing w:before="11" w:line="215"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3BBB443A" w14:textId="77777777" w:rsidR="00811887" w:rsidRDefault="00811887" w:rsidP="00486E22">
            <w:pPr>
              <w:pStyle w:val="TableParagraph"/>
              <w:spacing w:before="11" w:line="215" w:lineRule="exact"/>
              <w:ind w:right="268"/>
              <w:jc w:val="right"/>
              <w:rPr>
                <w:sz w:val="20"/>
              </w:rPr>
            </w:pPr>
            <w:r>
              <w:rPr>
                <w:spacing w:val="-5"/>
                <w:w w:val="115"/>
                <w:sz w:val="20"/>
              </w:rPr>
              <w:t>26</w:t>
            </w:r>
          </w:p>
        </w:tc>
        <w:tc>
          <w:tcPr>
            <w:tcW w:w="988" w:type="dxa"/>
          </w:tcPr>
          <w:p w14:paraId="1A353432" w14:textId="77777777" w:rsidR="00811887" w:rsidRDefault="00811887" w:rsidP="00486E22">
            <w:pPr>
              <w:pStyle w:val="TableParagraph"/>
              <w:spacing w:before="11" w:line="215" w:lineRule="exact"/>
              <w:ind w:right="262"/>
              <w:jc w:val="right"/>
              <w:rPr>
                <w:sz w:val="20"/>
              </w:rPr>
            </w:pPr>
            <w:r>
              <w:rPr>
                <w:spacing w:val="-5"/>
                <w:w w:val="115"/>
                <w:sz w:val="20"/>
              </w:rPr>
              <w:t>167</w:t>
            </w:r>
          </w:p>
        </w:tc>
        <w:tc>
          <w:tcPr>
            <w:tcW w:w="998" w:type="dxa"/>
          </w:tcPr>
          <w:p w14:paraId="062034D0" w14:textId="77777777" w:rsidR="00811887" w:rsidRDefault="00811887" w:rsidP="00486E22">
            <w:pPr>
              <w:pStyle w:val="TableParagraph"/>
              <w:spacing w:before="11" w:line="215" w:lineRule="exact"/>
              <w:ind w:right="266"/>
              <w:jc w:val="right"/>
              <w:rPr>
                <w:sz w:val="20"/>
              </w:rPr>
            </w:pPr>
            <w:r>
              <w:rPr>
                <w:spacing w:val="-5"/>
                <w:w w:val="115"/>
                <w:sz w:val="20"/>
              </w:rPr>
              <w:t>495</w:t>
            </w:r>
          </w:p>
        </w:tc>
        <w:tc>
          <w:tcPr>
            <w:tcW w:w="991" w:type="dxa"/>
          </w:tcPr>
          <w:p w14:paraId="1C96D074" w14:textId="77777777" w:rsidR="00811887" w:rsidRDefault="00811887" w:rsidP="00486E22">
            <w:pPr>
              <w:pStyle w:val="TableParagraph"/>
              <w:spacing w:before="11" w:line="215" w:lineRule="exact"/>
              <w:ind w:right="263"/>
              <w:jc w:val="right"/>
              <w:rPr>
                <w:sz w:val="20"/>
              </w:rPr>
            </w:pPr>
            <w:r>
              <w:rPr>
                <w:spacing w:val="-5"/>
                <w:w w:val="115"/>
                <w:sz w:val="20"/>
              </w:rPr>
              <w:t>201</w:t>
            </w:r>
          </w:p>
        </w:tc>
        <w:tc>
          <w:tcPr>
            <w:tcW w:w="984" w:type="dxa"/>
          </w:tcPr>
          <w:p w14:paraId="60C7B127" w14:textId="77777777" w:rsidR="00811887" w:rsidRDefault="00811887" w:rsidP="00486E22">
            <w:pPr>
              <w:pStyle w:val="TableParagraph"/>
              <w:spacing w:before="11" w:line="215" w:lineRule="exact"/>
              <w:ind w:right="263"/>
              <w:jc w:val="right"/>
              <w:rPr>
                <w:sz w:val="20"/>
              </w:rPr>
            </w:pPr>
            <w:r>
              <w:rPr>
                <w:spacing w:val="-5"/>
                <w:w w:val="115"/>
                <w:sz w:val="20"/>
              </w:rPr>
              <w:t>36</w:t>
            </w:r>
          </w:p>
        </w:tc>
        <w:tc>
          <w:tcPr>
            <w:tcW w:w="830" w:type="dxa"/>
          </w:tcPr>
          <w:p w14:paraId="67E41C27" w14:textId="77777777" w:rsidR="00811887" w:rsidRDefault="00811887" w:rsidP="00486E22">
            <w:pPr>
              <w:pStyle w:val="TableParagraph"/>
              <w:spacing w:before="11" w:line="215" w:lineRule="exact"/>
              <w:ind w:right="94"/>
              <w:jc w:val="right"/>
              <w:rPr>
                <w:sz w:val="20"/>
              </w:rPr>
            </w:pPr>
            <w:r>
              <w:rPr>
                <w:spacing w:val="-5"/>
                <w:w w:val="115"/>
                <w:sz w:val="20"/>
              </w:rPr>
              <w:t>925</w:t>
            </w:r>
          </w:p>
        </w:tc>
      </w:tr>
      <w:tr w:rsidR="00811887" w14:paraId="6D6EBD96" w14:textId="77777777" w:rsidTr="00486E22">
        <w:trPr>
          <w:trHeight w:val="247"/>
        </w:trPr>
        <w:tc>
          <w:tcPr>
            <w:tcW w:w="3635" w:type="dxa"/>
            <w:tcBorders>
              <w:right w:val="single" w:sz="4" w:space="0" w:color="000000"/>
            </w:tcBorders>
          </w:tcPr>
          <w:p w14:paraId="189926EA" w14:textId="77777777" w:rsidR="00811887" w:rsidRDefault="00811887" w:rsidP="00486E22">
            <w:pPr>
              <w:pStyle w:val="TableParagraph"/>
              <w:spacing w:before="10" w:line="217"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4676A584" w14:textId="77777777" w:rsidR="00811887" w:rsidRDefault="00811887" w:rsidP="00486E22">
            <w:pPr>
              <w:pStyle w:val="TableParagraph"/>
              <w:spacing w:before="10" w:line="217" w:lineRule="exact"/>
              <w:ind w:right="268"/>
              <w:jc w:val="right"/>
              <w:rPr>
                <w:sz w:val="20"/>
              </w:rPr>
            </w:pPr>
            <w:r>
              <w:rPr>
                <w:spacing w:val="-10"/>
                <w:w w:val="115"/>
                <w:sz w:val="20"/>
              </w:rPr>
              <w:t>3</w:t>
            </w:r>
          </w:p>
        </w:tc>
        <w:tc>
          <w:tcPr>
            <w:tcW w:w="988" w:type="dxa"/>
          </w:tcPr>
          <w:p w14:paraId="50B88FDF" w14:textId="77777777" w:rsidR="00811887" w:rsidRDefault="00811887" w:rsidP="00486E22">
            <w:pPr>
              <w:pStyle w:val="TableParagraph"/>
              <w:spacing w:before="10" w:line="217" w:lineRule="exact"/>
              <w:ind w:right="267"/>
              <w:jc w:val="right"/>
              <w:rPr>
                <w:sz w:val="20"/>
              </w:rPr>
            </w:pPr>
            <w:r>
              <w:rPr>
                <w:spacing w:val="-5"/>
                <w:w w:val="115"/>
                <w:sz w:val="20"/>
              </w:rPr>
              <w:t>22</w:t>
            </w:r>
          </w:p>
        </w:tc>
        <w:tc>
          <w:tcPr>
            <w:tcW w:w="998" w:type="dxa"/>
          </w:tcPr>
          <w:p w14:paraId="53742C76" w14:textId="77777777" w:rsidR="00811887" w:rsidRDefault="00811887" w:rsidP="00486E22">
            <w:pPr>
              <w:pStyle w:val="TableParagraph"/>
              <w:spacing w:before="10" w:line="217" w:lineRule="exact"/>
              <w:ind w:right="271"/>
              <w:jc w:val="right"/>
              <w:rPr>
                <w:sz w:val="20"/>
              </w:rPr>
            </w:pPr>
            <w:r>
              <w:rPr>
                <w:spacing w:val="-5"/>
                <w:w w:val="115"/>
                <w:sz w:val="20"/>
              </w:rPr>
              <w:t>65</w:t>
            </w:r>
          </w:p>
        </w:tc>
        <w:tc>
          <w:tcPr>
            <w:tcW w:w="991" w:type="dxa"/>
          </w:tcPr>
          <w:p w14:paraId="2ADA8B87" w14:textId="77777777" w:rsidR="00811887" w:rsidRDefault="00811887" w:rsidP="00486E22">
            <w:pPr>
              <w:pStyle w:val="TableParagraph"/>
              <w:spacing w:before="10" w:line="217" w:lineRule="exact"/>
              <w:ind w:right="268"/>
              <w:jc w:val="right"/>
              <w:rPr>
                <w:sz w:val="20"/>
              </w:rPr>
            </w:pPr>
            <w:r>
              <w:rPr>
                <w:spacing w:val="-5"/>
                <w:w w:val="115"/>
                <w:sz w:val="20"/>
              </w:rPr>
              <w:t>26</w:t>
            </w:r>
          </w:p>
        </w:tc>
        <w:tc>
          <w:tcPr>
            <w:tcW w:w="984" w:type="dxa"/>
          </w:tcPr>
          <w:p w14:paraId="1D2779A9" w14:textId="77777777" w:rsidR="00811887" w:rsidRDefault="00811887" w:rsidP="00486E22">
            <w:pPr>
              <w:pStyle w:val="TableParagraph"/>
              <w:spacing w:before="10" w:line="217" w:lineRule="exact"/>
              <w:ind w:right="263"/>
              <w:jc w:val="right"/>
              <w:rPr>
                <w:sz w:val="20"/>
              </w:rPr>
            </w:pPr>
            <w:r>
              <w:rPr>
                <w:spacing w:val="-10"/>
                <w:w w:val="115"/>
                <w:sz w:val="20"/>
              </w:rPr>
              <w:t>5</w:t>
            </w:r>
          </w:p>
        </w:tc>
        <w:tc>
          <w:tcPr>
            <w:tcW w:w="830" w:type="dxa"/>
          </w:tcPr>
          <w:p w14:paraId="0E73040A" w14:textId="77777777" w:rsidR="00811887" w:rsidRDefault="00811887" w:rsidP="00486E22">
            <w:pPr>
              <w:pStyle w:val="TableParagraph"/>
              <w:spacing w:before="10" w:line="217" w:lineRule="exact"/>
              <w:ind w:right="94"/>
              <w:jc w:val="right"/>
              <w:rPr>
                <w:sz w:val="20"/>
              </w:rPr>
            </w:pPr>
            <w:r>
              <w:rPr>
                <w:spacing w:val="-5"/>
                <w:w w:val="115"/>
                <w:sz w:val="20"/>
              </w:rPr>
              <w:t>122</w:t>
            </w:r>
          </w:p>
        </w:tc>
      </w:tr>
      <w:tr w:rsidR="00811887" w14:paraId="1D672890" w14:textId="77777777" w:rsidTr="00486E22">
        <w:trPr>
          <w:trHeight w:val="247"/>
        </w:trPr>
        <w:tc>
          <w:tcPr>
            <w:tcW w:w="3635" w:type="dxa"/>
            <w:tcBorders>
              <w:right w:val="single" w:sz="4" w:space="0" w:color="000000"/>
            </w:tcBorders>
          </w:tcPr>
          <w:p w14:paraId="4C6C080C" w14:textId="77777777" w:rsidR="00811887" w:rsidRDefault="00811887" w:rsidP="00486E22">
            <w:pPr>
              <w:pStyle w:val="TableParagraph"/>
              <w:spacing w:before="12"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677D8534" w14:textId="77777777" w:rsidR="00811887" w:rsidRDefault="00811887" w:rsidP="00486E22">
            <w:pPr>
              <w:pStyle w:val="TableParagraph"/>
              <w:spacing w:before="12" w:line="215" w:lineRule="exact"/>
              <w:ind w:right="268"/>
              <w:jc w:val="right"/>
              <w:rPr>
                <w:sz w:val="20"/>
              </w:rPr>
            </w:pPr>
            <w:r>
              <w:rPr>
                <w:spacing w:val="-10"/>
                <w:w w:val="115"/>
                <w:sz w:val="20"/>
              </w:rPr>
              <w:t>7</w:t>
            </w:r>
          </w:p>
        </w:tc>
        <w:tc>
          <w:tcPr>
            <w:tcW w:w="988" w:type="dxa"/>
          </w:tcPr>
          <w:p w14:paraId="556C1BB8" w14:textId="77777777" w:rsidR="00811887" w:rsidRDefault="00811887" w:rsidP="00486E22">
            <w:pPr>
              <w:pStyle w:val="TableParagraph"/>
              <w:spacing w:before="12" w:line="215" w:lineRule="exact"/>
              <w:ind w:right="267"/>
              <w:jc w:val="right"/>
              <w:rPr>
                <w:sz w:val="20"/>
              </w:rPr>
            </w:pPr>
            <w:r>
              <w:rPr>
                <w:spacing w:val="-5"/>
                <w:w w:val="115"/>
                <w:sz w:val="20"/>
              </w:rPr>
              <w:t>47</w:t>
            </w:r>
          </w:p>
        </w:tc>
        <w:tc>
          <w:tcPr>
            <w:tcW w:w="998" w:type="dxa"/>
          </w:tcPr>
          <w:p w14:paraId="2F70370A" w14:textId="77777777" w:rsidR="00811887" w:rsidRDefault="00811887" w:rsidP="00486E22">
            <w:pPr>
              <w:pStyle w:val="TableParagraph"/>
              <w:spacing w:before="12" w:line="215" w:lineRule="exact"/>
              <w:ind w:right="266"/>
              <w:jc w:val="right"/>
              <w:rPr>
                <w:sz w:val="20"/>
              </w:rPr>
            </w:pPr>
            <w:r>
              <w:rPr>
                <w:spacing w:val="-5"/>
                <w:w w:val="115"/>
                <w:sz w:val="20"/>
              </w:rPr>
              <w:t>139</w:t>
            </w:r>
          </w:p>
        </w:tc>
        <w:tc>
          <w:tcPr>
            <w:tcW w:w="991" w:type="dxa"/>
          </w:tcPr>
          <w:p w14:paraId="7EFC4243" w14:textId="77777777" w:rsidR="00811887" w:rsidRDefault="00811887" w:rsidP="00486E22">
            <w:pPr>
              <w:pStyle w:val="TableParagraph"/>
              <w:spacing w:before="12" w:line="215" w:lineRule="exact"/>
              <w:ind w:right="268"/>
              <w:jc w:val="right"/>
              <w:rPr>
                <w:sz w:val="20"/>
              </w:rPr>
            </w:pPr>
            <w:r>
              <w:rPr>
                <w:spacing w:val="-5"/>
                <w:w w:val="115"/>
                <w:sz w:val="20"/>
              </w:rPr>
              <w:t>56</w:t>
            </w:r>
          </w:p>
        </w:tc>
        <w:tc>
          <w:tcPr>
            <w:tcW w:w="984" w:type="dxa"/>
          </w:tcPr>
          <w:p w14:paraId="2E86F70E" w14:textId="77777777" w:rsidR="00811887" w:rsidRDefault="00811887" w:rsidP="00486E22">
            <w:pPr>
              <w:pStyle w:val="TableParagraph"/>
              <w:spacing w:before="12" w:line="215" w:lineRule="exact"/>
              <w:ind w:right="263"/>
              <w:jc w:val="right"/>
              <w:rPr>
                <w:sz w:val="20"/>
              </w:rPr>
            </w:pPr>
            <w:r>
              <w:rPr>
                <w:spacing w:val="-5"/>
                <w:w w:val="115"/>
                <w:sz w:val="20"/>
              </w:rPr>
              <w:t>10</w:t>
            </w:r>
          </w:p>
        </w:tc>
        <w:tc>
          <w:tcPr>
            <w:tcW w:w="830" w:type="dxa"/>
          </w:tcPr>
          <w:p w14:paraId="0AC0B186" w14:textId="77777777" w:rsidR="00811887" w:rsidRDefault="00811887" w:rsidP="00486E22">
            <w:pPr>
              <w:pStyle w:val="TableParagraph"/>
              <w:spacing w:before="12" w:line="215" w:lineRule="exact"/>
              <w:ind w:right="94"/>
              <w:jc w:val="right"/>
              <w:rPr>
                <w:sz w:val="20"/>
              </w:rPr>
            </w:pPr>
            <w:r>
              <w:rPr>
                <w:spacing w:val="-5"/>
                <w:w w:val="115"/>
                <w:sz w:val="20"/>
              </w:rPr>
              <w:t>259</w:t>
            </w:r>
          </w:p>
        </w:tc>
      </w:tr>
      <w:tr w:rsidR="00811887" w14:paraId="3E9D5038" w14:textId="77777777" w:rsidTr="00486E22">
        <w:trPr>
          <w:trHeight w:val="244"/>
        </w:trPr>
        <w:tc>
          <w:tcPr>
            <w:tcW w:w="3635" w:type="dxa"/>
            <w:tcBorders>
              <w:right w:val="single" w:sz="4" w:space="0" w:color="000000"/>
            </w:tcBorders>
          </w:tcPr>
          <w:p w14:paraId="198BEFB6" w14:textId="77777777" w:rsidR="00811887" w:rsidRDefault="00811887" w:rsidP="00486E22">
            <w:pPr>
              <w:pStyle w:val="TableParagraph"/>
              <w:spacing w:before="10" w:line="215"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2877D2F7" w14:textId="77777777" w:rsidR="00811887" w:rsidRDefault="00811887" w:rsidP="00486E22">
            <w:pPr>
              <w:pStyle w:val="TableParagraph"/>
              <w:spacing w:before="10" w:line="215" w:lineRule="exact"/>
              <w:ind w:right="268"/>
              <w:jc w:val="right"/>
              <w:rPr>
                <w:sz w:val="20"/>
              </w:rPr>
            </w:pPr>
            <w:r>
              <w:rPr>
                <w:spacing w:val="-10"/>
                <w:w w:val="115"/>
                <w:sz w:val="20"/>
              </w:rPr>
              <w:t>7</w:t>
            </w:r>
          </w:p>
        </w:tc>
        <w:tc>
          <w:tcPr>
            <w:tcW w:w="988" w:type="dxa"/>
          </w:tcPr>
          <w:p w14:paraId="17E509E7" w14:textId="77777777" w:rsidR="00811887" w:rsidRDefault="00811887" w:rsidP="00486E22">
            <w:pPr>
              <w:pStyle w:val="TableParagraph"/>
              <w:spacing w:before="10" w:line="215" w:lineRule="exact"/>
              <w:ind w:right="267"/>
              <w:jc w:val="right"/>
              <w:rPr>
                <w:sz w:val="20"/>
              </w:rPr>
            </w:pPr>
            <w:r>
              <w:rPr>
                <w:spacing w:val="-5"/>
                <w:w w:val="115"/>
                <w:sz w:val="20"/>
              </w:rPr>
              <w:t>43</w:t>
            </w:r>
          </w:p>
        </w:tc>
        <w:tc>
          <w:tcPr>
            <w:tcW w:w="998" w:type="dxa"/>
          </w:tcPr>
          <w:p w14:paraId="48B990EC" w14:textId="77777777" w:rsidR="00811887" w:rsidRDefault="00811887" w:rsidP="00486E22">
            <w:pPr>
              <w:pStyle w:val="TableParagraph"/>
              <w:spacing w:before="10" w:line="215" w:lineRule="exact"/>
              <w:ind w:right="266"/>
              <w:jc w:val="right"/>
              <w:rPr>
                <w:sz w:val="20"/>
              </w:rPr>
            </w:pPr>
            <w:r>
              <w:rPr>
                <w:spacing w:val="-5"/>
                <w:w w:val="115"/>
                <w:sz w:val="20"/>
              </w:rPr>
              <w:t>127</w:t>
            </w:r>
          </w:p>
        </w:tc>
        <w:tc>
          <w:tcPr>
            <w:tcW w:w="991" w:type="dxa"/>
          </w:tcPr>
          <w:p w14:paraId="11F99BCF" w14:textId="77777777" w:rsidR="00811887" w:rsidRDefault="00811887" w:rsidP="00486E22">
            <w:pPr>
              <w:pStyle w:val="TableParagraph"/>
              <w:spacing w:before="10" w:line="215" w:lineRule="exact"/>
              <w:ind w:right="268"/>
              <w:jc w:val="right"/>
              <w:rPr>
                <w:sz w:val="20"/>
              </w:rPr>
            </w:pPr>
            <w:r>
              <w:rPr>
                <w:spacing w:val="-5"/>
                <w:w w:val="115"/>
                <w:sz w:val="20"/>
              </w:rPr>
              <w:t>52</w:t>
            </w:r>
          </w:p>
        </w:tc>
        <w:tc>
          <w:tcPr>
            <w:tcW w:w="984" w:type="dxa"/>
          </w:tcPr>
          <w:p w14:paraId="2FDB0128" w14:textId="77777777" w:rsidR="00811887" w:rsidRDefault="00811887" w:rsidP="00486E22">
            <w:pPr>
              <w:pStyle w:val="TableParagraph"/>
              <w:spacing w:before="10" w:line="215" w:lineRule="exact"/>
              <w:ind w:right="263"/>
              <w:jc w:val="right"/>
              <w:rPr>
                <w:sz w:val="20"/>
              </w:rPr>
            </w:pPr>
            <w:r>
              <w:rPr>
                <w:spacing w:val="-10"/>
                <w:w w:val="115"/>
                <w:sz w:val="20"/>
              </w:rPr>
              <w:t>9</w:t>
            </w:r>
          </w:p>
        </w:tc>
        <w:tc>
          <w:tcPr>
            <w:tcW w:w="830" w:type="dxa"/>
          </w:tcPr>
          <w:p w14:paraId="7FC834C4" w14:textId="77777777" w:rsidR="00811887" w:rsidRDefault="00811887" w:rsidP="00486E22">
            <w:pPr>
              <w:pStyle w:val="TableParagraph"/>
              <w:spacing w:before="10" w:line="215" w:lineRule="exact"/>
              <w:ind w:right="94"/>
              <w:jc w:val="right"/>
              <w:rPr>
                <w:sz w:val="20"/>
              </w:rPr>
            </w:pPr>
            <w:r>
              <w:rPr>
                <w:spacing w:val="-5"/>
                <w:w w:val="115"/>
                <w:sz w:val="20"/>
              </w:rPr>
              <w:t>237</w:t>
            </w:r>
          </w:p>
        </w:tc>
      </w:tr>
      <w:tr w:rsidR="00811887" w14:paraId="632C81D8" w14:textId="77777777" w:rsidTr="00486E22">
        <w:trPr>
          <w:trHeight w:val="243"/>
        </w:trPr>
        <w:tc>
          <w:tcPr>
            <w:tcW w:w="3635" w:type="dxa"/>
            <w:tcBorders>
              <w:right w:val="single" w:sz="4" w:space="0" w:color="000000"/>
            </w:tcBorders>
          </w:tcPr>
          <w:p w14:paraId="341B487D" w14:textId="77777777" w:rsidR="00811887" w:rsidRDefault="00811887" w:rsidP="00486E22">
            <w:pPr>
              <w:pStyle w:val="TableParagraph"/>
              <w:spacing w:before="10"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15B8BC94" w14:textId="77777777" w:rsidR="00811887" w:rsidRDefault="00811887" w:rsidP="00486E22">
            <w:pPr>
              <w:pStyle w:val="TableParagraph"/>
              <w:spacing w:before="10" w:line="214" w:lineRule="exact"/>
              <w:ind w:right="268"/>
              <w:jc w:val="right"/>
              <w:rPr>
                <w:sz w:val="20"/>
              </w:rPr>
            </w:pPr>
            <w:r>
              <w:rPr>
                <w:spacing w:val="-5"/>
                <w:w w:val="115"/>
                <w:sz w:val="20"/>
              </w:rPr>
              <w:t>19</w:t>
            </w:r>
          </w:p>
        </w:tc>
        <w:tc>
          <w:tcPr>
            <w:tcW w:w="988" w:type="dxa"/>
          </w:tcPr>
          <w:p w14:paraId="6B273315" w14:textId="77777777" w:rsidR="00811887" w:rsidRDefault="00811887" w:rsidP="00486E22">
            <w:pPr>
              <w:pStyle w:val="TableParagraph"/>
              <w:spacing w:before="10" w:line="214" w:lineRule="exact"/>
              <w:ind w:right="262"/>
              <w:jc w:val="right"/>
              <w:rPr>
                <w:sz w:val="20"/>
              </w:rPr>
            </w:pPr>
            <w:r>
              <w:rPr>
                <w:spacing w:val="-5"/>
                <w:w w:val="115"/>
                <w:sz w:val="20"/>
              </w:rPr>
              <w:t>123</w:t>
            </w:r>
          </w:p>
        </w:tc>
        <w:tc>
          <w:tcPr>
            <w:tcW w:w="998" w:type="dxa"/>
          </w:tcPr>
          <w:p w14:paraId="59DFAB1B" w14:textId="77777777" w:rsidR="00811887" w:rsidRDefault="00811887" w:rsidP="00486E22">
            <w:pPr>
              <w:pStyle w:val="TableParagraph"/>
              <w:spacing w:before="10" w:line="214" w:lineRule="exact"/>
              <w:ind w:right="266"/>
              <w:jc w:val="right"/>
              <w:rPr>
                <w:sz w:val="20"/>
              </w:rPr>
            </w:pPr>
            <w:r>
              <w:rPr>
                <w:spacing w:val="-5"/>
                <w:w w:val="115"/>
                <w:sz w:val="20"/>
              </w:rPr>
              <w:t>363</w:t>
            </w:r>
          </w:p>
        </w:tc>
        <w:tc>
          <w:tcPr>
            <w:tcW w:w="991" w:type="dxa"/>
          </w:tcPr>
          <w:p w14:paraId="74B41C06" w14:textId="77777777" w:rsidR="00811887" w:rsidRDefault="00811887" w:rsidP="00486E22">
            <w:pPr>
              <w:pStyle w:val="TableParagraph"/>
              <w:spacing w:before="10" w:line="214" w:lineRule="exact"/>
              <w:ind w:right="263"/>
              <w:jc w:val="right"/>
              <w:rPr>
                <w:sz w:val="20"/>
              </w:rPr>
            </w:pPr>
            <w:r>
              <w:rPr>
                <w:spacing w:val="-5"/>
                <w:w w:val="115"/>
                <w:sz w:val="20"/>
              </w:rPr>
              <w:t>148</w:t>
            </w:r>
          </w:p>
        </w:tc>
        <w:tc>
          <w:tcPr>
            <w:tcW w:w="984" w:type="dxa"/>
          </w:tcPr>
          <w:p w14:paraId="3CA3FDA1" w14:textId="77777777" w:rsidR="00811887" w:rsidRDefault="00811887" w:rsidP="00486E22">
            <w:pPr>
              <w:pStyle w:val="TableParagraph"/>
              <w:spacing w:before="10" w:line="214" w:lineRule="exact"/>
              <w:ind w:right="263"/>
              <w:jc w:val="right"/>
              <w:rPr>
                <w:sz w:val="20"/>
              </w:rPr>
            </w:pPr>
            <w:r>
              <w:rPr>
                <w:spacing w:val="-5"/>
                <w:w w:val="115"/>
                <w:sz w:val="20"/>
              </w:rPr>
              <w:t>27</w:t>
            </w:r>
          </w:p>
        </w:tc>
        <w:tc>
          <w:tcPr>
            <w:tcW w:w="830" w:type="dxa"/>
          </w:tcPr>
          <w:p w14:paraId="7A45CF3E" w14:textId="77777777" w:rsidR="00811887" w:rsidRDefault="00811887" w:rsidP="00486E22">
            <w:pPr>
              <w:pStyle w:val="TableParagraph"/>
              <w:spacing w:before="10" w:line="214" w:lineRule="exact"/>
              <w:ind w:right="94"/>
              <w:jc w:val="right"/>
              <w:rPr>
                <w:sz w:val="20"/>
              </w:rPr>
            </w:pPr>
            <w:r>
              <w:rPr>
                <w:spacing w:val="-5"/>
                <w:w w:val="115"/>
                <w:sz w:val="20"/>
              </w:rPr>
              <w:t>680</w:t>
            </w:r>
          </w:p>
        </w:tc>
      </w:tr>
      <w:tr w:rsidR="00811887" w14:paraId="2D8215A4" w14:textId="77777777" w:rsidTr="00486E22">
        <w:trPr>
          <w:trHeight w:val="244"/>
        </w:trPr>
        <w:tc>
          <w:tcPr>
            <w:tcW w:w="9585" w:type="dxa"/>
            <w:gridSpan w:val="7"/>
            <w:shd w:val="clear" w:color="auto" w:fill="AFCAC7"/>
          </w:tcPr>
          <w:p w14:paraId="3D7E3348" w14:textId="77777777" w:rsidR="00811887" w:rsidRDefault="00811887" w:rsidP="00486E22">
            <w:pPr>
              <w:pStyle w:val="TableParagraph"/>
              <w:spacing w:before="11" w:line="214" w:lineRule="exact"/>
              <w:ind w:left="34"/>
              <w:jc w:val="center"/>
              <w:rPr>
                <w:sz w:val="20"/>
              </w:rPr>
            </w:pPr>
            <w:r>
              <w:rPr>
                <w:spacing w:val="-2"/>
                <w:w w:val="110"/>
                <w:sz w:val="20"/>
              </w:rPr>
              <w:t>Tasmania</w:t>
            </w:r>
          </w:p>
        </w:tc>
      </w:tr>
      <w:tr w:rsidR="00811887" w14:paraId="1C0DD9A8" w14:textId="77777777" w:rsidTr="00486E22">
        <w:trPr>
          <w:trHeight w:val="251"/>
        </w:trPr>
        <w:tc>
          <w:tcPr>
            <w:tcW w:w="3635" w:type="dxa"/>
            <w:tcBorders>
              <w:right w:val="single" w:sz="4" w:space="0" w:color="000000"/>
            </w:tcBorders>
          </w:tcPr>
          <w:p w14:paraId="72850F2A" w14:textId="77777777" w:rsidR="00811887" w:rsidRDefault="00811887" w:rsidP="00486E22">
            <w:pPr>
              <w:pStyle w:val="TableParagraph"/>
              <w:spacing w:before="16" w:line="215"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75A3AF3F" w14:textId="77777777" w:rsidR="00811887" w:rsidRDefault="00811887" w:rsidP="00486E22">
            <w:pPr>
              <w:pStyle w:val="TableParagraph"/>
              <w:spacing w:before="16" w:line="215" w:lineRule="exact"/>
              <w:ind w:right="268"/>
              <w:jc w:val="right"/>
              <w:rPr>
                <w:sz w:val="20"/>
              </w:rPr>
            </w:pPr>
            <w:r>
              <w:rPr>
                <w:spacing w:val="-10"/>
                <w:w w:val="115"/>
                <w:sz w:val="20"/>
              </w:rPr>
              <w:t>7</w:t>
            </w:r>
          </w:p>
        </w:tc>
        <w:tc>
          <w:tcPr>
            <w:tcW w:w="988" w:type="dxa"/>
          </w:tcPr>
          <w:p w14:paraId="238700CB" w14:textId="77777777" w:rsidR="00811887" w:rsidRDefault="00811887" w:rsidP="00486E22">
            <w:pPr>
              <w:pStyle w:val="TableParagraph"/>
              <w:spacing w:before="16" w:line="215" w:lineRule="exact"/>
              <w:ind w:right="267"/>
              <w:jc w:val="right"/>
              <w:rPr>
                <w:sz w:val="20"/>
              </w:rPr>
            </w:pPr>
            <w:r>
              <w:rPr>
                <w:spacing w:val="-5"/>
                <w:w w:val="115"/>
                <w:sz w:val="20"/>
              </w:rPr>
              <w:t>44</w:t>
            </w:r>
          </w:p>
        </w:tc>
        <w:tc>
          <w:tcPr>
            <w:tcW w:w="998" w:type="dxa"/>
          </w:tcPr>
          <w:p w14:paraId="0D363DCC" w14:textId="77777777" w:rsidR="00811887" w:rsidRDefault="00811887" w:rsidP="00486E22">
            <w:pPr>
              <w:pStyle w:val="TableParagraph"/>
              <w:spacing w:before="16" w:line="215" w:lineRule="exact"/>
              <w:ind w:right="266"/>
              <w:jc w:val="right"/>
              <w:rPr>
                <w:sz w:val="20"/>
              </w:rPr>
            </w:pPr>
            <w:r>
              <w:rPr>
                <w:spacing w:val="-5"/>
                <w:w w:val="115"/>
                <w:sz w:val="20"/>
              </w:rPr>
              <w:t>131</w:t>
            </w:r>
          </w:p>
        </w:tc>
        <w:tc>
          <w:tcPr>
            <w:tcW w:w="991" w:type="dxa"/>
          </w:tcPr>
          <w:p w14:paraId="74ED6A9C" w14:textId="77777777" w:rsidR="00811887" w:rsidRDefault="00811887" w:rsidP="00486E22">
            <w:pPr>
              <w:pStyle w:val="TableParagraph"/>
              <w:spacing w:before="16" w:line="215" w:lineRule="exact"/>
              <w:ind w:right="268"/>
              <w:jc w:val="right"/>
              <w:rPr>
                <w:sz w:val="20"/>
              </w:rPr>
            </w:pPr>
            <w:r>
              <w:rPr>
                <w:spacing w:val="-5"/>
                <w:w w:val="115"/>
                <w:sz w:val="20"/>
              </w:rPr>
              <w:t>53</w:t>
            </w:r>
          </w:p>
        </w:tc>
        <w:tc>
          <w:tcPr>
            <w:tcW w:w="984" w:type="dxa"/>
          </w:tcPr>
          <w:p w14:paraId="531FE904" w14:textId="77777777" w:rsidR="00811887" w:rsidRDefault="00811887" w:rsidP="00486E22">
            <w:pPr>
              <w:pStyle w:val="TableParagraph"/>
              <w:spacing w:before="16" w:line="215" w:lineRule="exact"/>
              <w:ind w:right="263"/>
              <w:jc w:val="right"/>
              <w:rPr>
                <w:sz w:val="20"/>
              </w:rPr>
            </w:pPr>
            <w:r>
              <w:rPr>
                <w:spacing w:val="-5"/>
                <w:w w:val="115"/>
                <w:sz w:val="20"/>
              </w:rPr>
              <w:t>10</w:t>
            </w:r>
          </w:p>
        </w:tc>
        <w:tc>
          <w:tcPr>
            <w:tcW w:w="830" w:type="dxa"/>
          </w:tcPr>
          <w:p w14:paraId="0A3B3285" w14:textId="77777777" w:rsidR="00811887" w:rsidRDefault="00811887" w:rsidP="00486E22">
            <w:pPr>
              <w:pStyle w:val="TableParagraph"/>
              <w:spacing w:before="16" w:line="215" w:lineRule="exact"/>
              <w:ind w:right="94"/>
              <w:jc w:val="right"/>
              <w:rPr>
                <w:sz w:val="20"/>
              </w:rPr>
            </w:pPr>
            <w:r>
              <w:rPr>
                <w:spacing w:val="-5"/>
                <w:w w:val="115"/>
                <w:sz w:val="20"/>
              </w:rPr>
              <w:t>245</w:t>
            </w:r>
          </w:p>
        </w:tc>
      </w:tr>
      <w:tr w:rsidR="00811887" w14:paraId="406047B1" w14:textId="77777777" w:rsidTr="00486E22">
        <w:trPr>
          <w:trHeight w:val="244"/>
        </w:trPr>
        <w:tc>
          <w:tcPr>
            <w:tcW w:w="3635" w:type="dxa"/>
            <w:tcBorders>
              <w:right w:val="single" w:sz="4" w:space="0" w:color="000000"/>
            </w:tcBorders>
          </w:tcPr>
          <w:p w14:paraId="5A63C47E" w14:textId="77777777" w:rsidR="00811887" w:rsidRDefault="00811887" w:rsidP="00486E22">
            <w:pPr>
              <w:pStyle w:val="TableParagraph"/>
              <w:spacing w:before="10"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4075F409" w14:textId="77777777" w:rsidR="00811887" w:rsidRDefault="00811887" w:rsidP="00486E22">
            <w:pPr>
              <w:pStyle w:val="TableParagraph"/>
              <w:spacing w:before="10" w:line="215" w:lineRule="exact"/>
              <w:ind w:right="268"/>
              <w:jc w:val="right"/>
              <w:rPr>
                <w:sz w:val="20"/>
              </w:rPr>
            </w:pPr>
            <w:r>
              <w:rPr>
                <w:spacing w:val="-10"/>
                <w:w w:val="115"/>
                <w:sz w:val="20"/>
              </w:rPr>
              <w:t>5</w:t>
            </w:r>
          </w:p>
        </w:tc>
        <w:tc>
          <w:tcPr>
            <w:tcW w:w="988" w:type="dxa"/>
          </w:tcPr>
          <w:p w14:paraId="081FC415" w14:textId="77777777" w:rsidR="00811887" w:rsidRDefault="00811887" w:rsidP="00486E22">
            <w:pPr>
              <w:pStyle w:val="TableParagraph"/>
              <w:spacing w:before="10" w:line="215" w:lineRule="exact"/>
              <w:ind w:right="267"/>
              <w:jc w:val="right"/>
              <w:rPr>
                <w:sz w:val="20"/>
              </w:rPr>
            </w:pPr>
            <w:r>
              <w:rPr>
                <w:spacing w:val="-5"/>
                <w:w w:val="115"/>
                <w:sz w:val="20"/>
              </w:rPr>
              <w:t>35</w:t>
            </w:r>
          </w:p>
        </w:tc>
        <w:tc>
          <w:tcPr>
            <w:tcW w:w="998" w:type="dxa"/>
          </w:tcPr>
          <w:p w14:paraId="45B1FFB1" w14:textId="77777777" w:rsidR="00811887" w:rsidRDefault="00811887" w:rsidP="00486E22">
            <w:pPr>
              <w:pStyle w:val="TableParagraph"/>
              <w:spacing w:before="10" w:line="215" w:lineRule="exact"/>
              <w:ind w:right="266"/>
              <w:jc w:val="right"/>
              <w:rPr>
                <w:sz w:val="20"/>
              </w:rPr>
            </w:pPr>
            <w:r>
              <w:rPr>
                <w:spacing w:val="-5"/>
                <w:w w:val="115"/>
                <w:sz w:val="20"/>
              </w:rPr>
              <w:t>102</w:t>
            </w:r>
          </w:p>
        </w:tc>
        <w:tc>
          <w:tcPr>
            <w:tcW w:w="991" w:type="dxa"/>
          </w:tcPr>
          <w:p w14:paraId="58AB0DA1" w14:textId="77777777" w:rsidR="00811887" w:rsidRDefault="00811887" w:rsidP="00486E22">
            <w:pPr>
              <w:pStyle w:val="TableParagraph"/>
              <w:spacing w:before="10" w:line="215" w:lineRule="exact"/>
              <w:ind w:right="268"/>
              <w:jc w:val="right"/>
              <w:rPr>
                <w:sz w:val="20"/>
              </w:rPr>
            </w:pPr>
            <w:r>
              <w:rPr>
                <w:spacing w:val="-5"/>
                <w:w w:val="115"/>
                <w:sz w:val="20"/>
              </w:rPr>
              <w:t>42</w:t>
            </w:r>
          </w:p>
        </w:tc>
        <w:tc>
          <w:tcPr>
            <w:tcW w:w="984" w:type="dxa"/>
          </w:tcPr>
          <w:p w14:paraId="3536BBA5" w14:textId="77777777" w:rsidR="00811887" w:rsidRDefault="00811887" w:rsidP="00486E22">
            <w:pPr>
              <w:pStyle w:val="TableParagraph"/>
              <w:spacing w:before="10" w:line="215" w:lineRule="exact"/>
              <w:ind w:right="263"/>
              <w:jc w:val="right"/>
              <w:rPr>
                <w:sz w:val="20"/>
              </w:rPr>
            </w:pPr>
            <w:r>
              <w:rPr>
                <w:spacing w:val="-10"/>
                <w:w w:val="115"/>
                <w:sz w:val="20"/>
              </w:rPr>
              <w:t>8</w:t>
            </w:r>
          </w:p>
        </w:tc>
        <w:tc>
          <w:tcPr>
            <w:tcW w:w="830" w:type="dxa"/>
          </w:tcPr>
          <w:p w14:paraId="0FC980D6" w14:textId="77777777" w:rsidR="00811887" w:rsidRDefault="00811887" w:rsidP="00486E22">
            <w:pPr>
              <w:pStyle w:val="TableParagraph"/>
              <w:spacing w:before="10" w:line="215" w:lineRule="exact"/>
              <w:ind w:right="94"/>
              <w:jc w:val="right"/>
              <w:rPr>
                <w:sz w:val="20"/>
              </w:rPr>
            </w:pPr>
            <w:r>
              <w:rPr>
                <w:spacing w:val="-5"/>
                <w:w w:val="115"/>
                <w:sz w:val="20"/>
              </w:rPr>
              <w:t>191</w:t>
            </w:r>
          </w:p>
        </w:tc>
      </w:tr>
      <w:tr w:rsidR="00811887" w14:paraId="216F2BF9" w14:textId="77777777" w:rsidTr="00486E22">
        <w:trPr>
          <w:trHeight w:val="243"/>
        </w:trPr>
        <w:tc>
          <w:tcPr>
            <w:tcW w:w="3635" w:type="dxa"/>
            <w:tcBorders>
              <w:right w:val="single" w:sz="4" w:space="0" w:color="000000"/>
            </w:tcBorders>
          </w:tcPr>
          <w:p w14:paraId="48AB22BF" w14:textId="77777777" w:rsidR="00811887" w:rsidRDefault="00811887" w:rsidP="00486E22">
            <w:pPr>
              <w:pStyle w:val="TableParagraph"/>
              <w:spacing w:before="10" w:line="214"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6860E43B" w14:textId="77777777" w:rsidR="00811887" w:rsidRDefault="00811887" w:rsidP="00486E22">
            <w:pPr>
              <w:pStyle w:val="TableParagraph"/>
              <w:spacing w:before="10" w:line="214" w:lineRule="exact"/>
              <w:ind w:right="268"/>
              <w:jc w:val="right"/>
              <w:rPr>
                <w:sz w:val="20"/>
              </w:rPr>
            </w:pPr>
            <w:r>
              <w:rPr>
                <w:spacing w:val="-10"/>
                <w:w w:val="115"/>
                <w:sz w:val="20"/>
              </w:rPr>
              <w:t>0</w:t>
            </w:r>
          </w:p>
        </w:tc>
        <w:tc>
          <w:tcPr>
            <w:tcW w:w="988" w:type="dxa"/>
          </w:tcPr>
          <w:p w14:paraId="6820AC62" w14:textId="77777777" w:rsidR="00811887" w:rsidRDefault="00811887" w:rsidP="00486E22">
            <w:pPr>
              <w:pStyle w:val="TableParagraph"/>
              <w:spacing w:before="10" w:line="214" w:lineRule="exact"/>
              <w:ind w:right="267"/>
              <w:jc w:val="right"/>
              <w:rPr>
                <w:sz w:val="20"/>
              </w:rPr>
            </w:pPr>
            <w:r>
              <w:rPr>
                <w:spacing w:val="-10"/>
                <w:w w:val="115"/>
                <w:sz w:val="20"/>
              </w:rPr>
              <w:t>2</w:t>
            </w:r>
          </w:p>
        </w:tc>
        <w:tc>
          <w:tcPr>
            <w:tcW w:w="998" w:type="dxa"/>
          </w:tcPr>
          <w:p w14:paraId="48821C98" w14:textId="77777777" w:rsidR="00811887" w:rsidRDefault="00811887" w:rsidP="00486E22">
            <w:pPr>
              <w:pStyle w:val="TableParagraph"/>
              <w:spacing w:before="10" w:line="214" w:lineRule="exact"/>
              <w:ind w:right="271"/>
              <w:jc w:val="right"/>
              <w:rPr>
                <w:sz w:val="20"/>
              </w:rPr>
            </w:pPr>
            <w:r>
              <w:rPr>
                <w:spacing w:val="-10"/>
                <w:w w:val="115"/>
                <w:sz w:val="20"/>
              </w:rPr>
              <w:t>7</w:t>
            </w:r>
          </w:p>
        </w:tc>
        <w:tc>
          <w:tcPr>
            <w:tcW w:w="991" w:type="dxa"/>
          </w:tcPr>
          <w:p w14:paraId="428FC9C3" w14:textId="77777777" w:rsidR="00811887" w:rsidRDefault="00811887" w:rsidP="00486E22">
            <w:pPr>
              <w:pStyle w:val="TableParagraph"/>
              <w:spacing w:before="10" w:line="214" w:lineRule="exact"/>
              <w:ind w:right="268"/>
              <w:jc w:val="right"/>
              <w:rPr>
                <w:sz w:val="20"/>
              </w:rPr>
            </w:pPr>
            <w:r>
              <w:rPr>
                <w:spacing w:val="-10"/>
                <w:w w:val="115"/>
                <w:sz w:val="20"/>
              </w:rPr>
              <w:t>3</w:t>
            </w:r>
          </w:p>
        </w:tc>
        <w:tc>
          <w:tcPr>
            <w:tcW w:w="984" w:type="dxa"/>
          </w:tcPr>
          <w:p w14:paraId="213C0FD0" w14:textId="77777777" w:rsidR="00811887" w:rsidRDefault="00811887" w:rsidP="00486E22">
            <w:pPr>
              <w:pStyle w:val="TableParagraph"/>
              <w:spacing w:before="10" w:line="214" w:lineRule="exact"/>
              <w:ind w:right="263"/>
              <w:jc w:val="right"/>
              <w:rPr>
                <w:sz w:val="20"/>
              </w:rPr>
            </w:pPr>
            <w:r>
              <w:rPr>
                <w:spacing w:val="-10"/>
                <w:w w:val="115"/>
                <w:sz w:val="20"/>
              </w:rPr>
              <w:t>1</w:t>
            </w:r>
          </w:p>
        </w:tc>
        <w:tc>
          <w:tcPr>
            <w:tcW w:w="830" w:type="dxa"/>
          </w:tcPr>
          <w:p w14:paraId="18376D77" w14:textId="77777777" w:rsidR="00811887" w:rsidRDefault="00811887" w:rsidP="00486E22">
            <w:pPr>
              <w:pStyle w:val="TableParagraph"/>
              <w:spacing w:before="10" w:line="214" w:lineRule="exact"/>
              <w:ind w:right="99"/>
              <w:jc w:val="right"/>
              <w:rPr>
                <w:sz w:val="20"/>
              </w:rPr>
            </w:pPr>
            <w:r>
              <w:rPr>
                <w:spacing w:val="-5"/>
                <w:w w:val="115"/>
                <w:sz w:val="20"/>
              </w:rPr>
              <w:t>13</w:t>
            </w:r>
          </w:p>
        </w:tc>
      </w:tr>
      <w:tr w:rsidR="00811887" w14:paraId="54B25002" w14:textId="77777777" w:rsidTr="00486E22">
        <w:trPr>
          <w:trHeight w:val="244"/>
        </w:trPr>
        <w:tc>
          <w:tcPr>
            <w:tcW w:w="9585" w:type="dxa"/>
            <w:gridSpan w:val="7"/>
            <w:shd w:val="clear" w:color="auto" w:fill="AFCAC7"/>
          </w:tcPr>
          <w:p w14:paraId="40F6BCB5" w14:textId="77777777" w:rsidR="00811887" w:rsidRDefault="00811887" w:rsidP="00486E22">
            <w:pPr>
              <w:pStyle w:val="TableParagraph"/>
              <w:spacing w:before="11" w:line="214" w:lineRule="exact"/>
              <w:ind w:left="34" w:right="2"/>
              <w:jc w:val="center"/>
              <w:rPr>
                <w:sz w:val="20"/>
              </w:rPr>
            </w:pPr>
            <w:r>
              <w:rPr>
                <w:w w:val="110"/>
                <w:sz w:val="20"/>
              </w:rPr>
              <w:t>Northern</w:t>
            </w:r>
            <w:r>
              <w:rPr>
                <w:spacing w:val="4"/>
                <w:w w:val="110"/>
                <w:sz w:val="20"/>
              </w:rPr>
              <w:t xml:space="preserve"> </w:t>
            </w:r>
            <w:r>
              <w:rPr>
                <w:spacing w:val="-2"/>
                <w:w w:val="110"/>
                <w:sz w:val="20"/>
              </w:rPr>
              <w:t>Territory</w:t>
            </w:r>
          </w:p>
        </w:tc>
      </w:tr>
      <w:tr w:rsidR="00811887" w14:paraId="71298EEA" w14:textId="77777777" w:rsidTr="00486E22">
        <w:trPr>
          <w:trHeight w:val="250"/>
        </w:trPr>
        <w:tc>
          <w:tcPr>
            <w:tcW w:w="3635" w:type="dxa"/>
            <w:tcBorders>
              <w:right w:val="single" w:sz="4" w:space="0" w:color="000000"/>
            </w:tcBorders>
          </w:tcPr>
          <w:p w14:paraId="57B437EA" w14:textId="77777777" w:rsidR="00811887" w:rsidRDefault="00811887" w:rsidP="00486E22">
            <w:pPr>
              <w:pStyle w:val="TableParagraph"/>
              <w:spacing w:before="16" w:line="215" w:lineRule="exact"/>
              <w:ind w:left="134"/>
              <w:rPr>
                <w:sz w:val="20"/>
              </w:rPr>
            </w:pPr>
            <w:r>
              <w:rPr>
                <w:w w:val="110"/>
                <w:sz w:val="20"/>
              </w:rPr>
              <w:t>Outer</w:t>
            </w:r>
            <w:r>
              <w:rPr>
                <w:spacing w:val="-3"/>
                <w:w w:val="110"/>
                <w:sz w:val="20"/>
              </w:rPr>
              <w:t xml:space="preserve"> </w:t>
            </w:r>
            <w:r>
              <w:rPr>
                <w:w w:val="110"/>
                <w:sz w:val="20"/>
              </w:rPr>
              <w:t>Regional</w:t>
            </w:r>
            <w:r>
              <w:rPr>
                <w:spacing w:val="-4"/>
                <w:w w:val="110"/>
                <w:sz w:val="20"/>
              </w:rPr>
              <w:t xml:space="preserve"> </w:t>
            </w:r>
            <w:r>
              <w:rPr>
                <w:spacing w:val="-2"/>
                <w:w w:val="110"/>
                <w:sz w:val="20"/>
              </w:rPr>
              <w:t>Australia</w:t>
            </w:r>
          </w:p>
        </w:tc>
        <w:tc>
          <w:tcPr>
            <w:tcW w:w="1159" w:type="dxa"/>
            <w:tcBorders>
              <w:left w:val="single" w:sz="4" w:space="0" w:color="000000"/>
            </w:tcBorders>
          </w:tcPr>
          <w:p w14:paraId="37D1E805" w14:textId="77777777" w:rsidR="00811887" w:rsidRDefault="00811887" w:rsidP="00486E22">
            <w:pPr>
              <w:pStyle w:val="TableParagraph"/>
              <w:spacing w:before="16" w:line="215" w:lineRule="exact"/>
              <w:ind w:right="268"/>
              <w:jc w:val="right"/>
              <w:rPr>
                <w:sz w:val="20"/>
              </w:rPr>
            </w:pPr>
            <w:r>
              <w:rPr>
                <w:spacing w:val="-5"/>
                <w:w w:val="115"/>
                <w:sz w:val="20"/>
              </w:rPr>
              <w:t>17</w:t>
            </w:r>
          </w:p>
        </w:tc>
        <w:tc>
          <w:tcPr>
            <w:tcW w:w="988" w:type="dxa"/>
          </w:tcPr>
          <w:p w14:paraId="0ABEE3C2" w14:textId="77777777" w:rsidR="00811887" w:rsidRDefault="00811887" w:rsidP="00486E22">
            <w:pPr>
              <w:pStyle w:val="TableParagraph"/>
              <w:spacing w:before="16" w:line="215" w:lineRule="exact"/>
              <w:ind w:right="262"/>
              <w:jc w:val="right"/>
              <w:rPr>
                <w:sz w:val="20"/>
              </w:rPr>
            </w:pPr>
            <w:r>
              <w:rPr>
                <w:spacing w:val="-5"/>
                <w:w w:val="115"/>
                <w:sz w:val="20"/>
              </w:rPr>
              <w:t>107</w:t>
            </w:r>
          </w:p>
        </w:tc>
        <w:tc>
          <w:tcPr>
            <w:tcW w:w="998" w:type="dxa"/>
          </w:tcPr>
          <w:p w14:paraId="58343815" w14:textId="77777777" w:rsidR="00811887" w:rsidRDefault="00811887" w:rsidP="00486E22">
            <w:pPr>
              <w:pStyle w:val="TableParagraph"/>
              <w:spacing w:before="16" w:line="215" w:lineRule="exact"/>
              <w:ind w:right="266"/>
              <w:jc w:val="right"/>
              <w:rPr>
                <w:sz w:val="20"/>
              </w:rPr>
            </w:pPr>
            <w:r>
              <w:rPr>
                <w:spacing w:val="-5"/>
                <w:w w:val="115"/>
                <w:sz w:val="20"/>
              </w:rPr>
              <w:t>318</w:t>
            </w:r>
          </w:p>
        </w:tc>
        <w:tc>
          <w:tcPr>
            <w:tcW w:w="991" w:type="dxa"/>
          </w:tcPr>
          <w:p w14:paraId="665856B7" w14:textId="77777777" w:rsidR="00811887" w:rsidRDefault="00811887" w:rsidP="00486E22">
            <w:pPr>
              <w:pStyle w:val="TableParagraph"/>
              <w:spacing w:before="16" w:line="215" w:lineRule="exact"/>
              <w:ind w:right="263"/>
              <w:jc w:val="right"/>
              <w:rPr>
                <w:sz w:val="20"/>
              </w:rPr>
            </w:pPr>
            <w:r>
              <w:rPr>
                <w:spacing w:val="-5"/>
                <w:w w:val="115"/>
                <w:sz w:val="20"/>
              </w:rPr>
              <w:t>129</w:t>
            </w:r>
          </w:p>
        </w:tc>
        <w:tc>
          <w:tcPr>
            <w:tcW w:w="984" w:type="dxa"/>
          </w:tcPr>
          <w:p w14:paraId="6603A98F" w14:textId="77777777" w:rsidR="00811887" w:rsidRDefault="00811887" w:rsidP="00486E22">
            <w:pPr>
              <w:pStyle w:val="TableParagraph"/>
              <w:spacing w:before="16" w:line="215" w:lineRule="exact"/>
              <w:ind w:right="263"/>
              <w:jc w:val="right"/>
              <w:rPr>
                <w:sz w:val="20"/>
              </w:rPr>
            </w:pPr>
            <w:r>
              <w:rPr>
                <w:spacing w:val="-5"/>
                <w:w w:val="115"/>
                <w:sz w:val="20"/>
              </w:rPr>
              <w:t>23</w:t>
            </w:r>
          </w:p>
        </w:tc>
        <w:tc>
          <w:tcPr>
            <w:tcW w:w="830" w:type="dxa"/>
          </w:tcPr>
          <w:p w14:paraId="358CAF30" w14:textId="77777777" w:rsidR="00811887" w:rsidRDefault="00811887" w:rsidP="00486E22">
            <w:pPr>
              <w:pStyle w:val="TableParagraph"/>
              <w:spacing w:before="16" w:line="215" w:lineRule="exact"/>
              <w:ind w:right="94"/>
              <w:jc w:val="right"/>
              <w:rPr>
                <w:sz w:val="20"/>
              </w:rPr>
            </w:pPr>
            <w:r>
              <w:rPr>
                <w:spacing w:val="-5"/>
                <w:w w:val="115"/>
                <w:sz w:val="20"/>
              </w:rPr>
              <w:t>594</w:t>
            </w:r>
          </w:p>
        </w:tc>
      </w:tr>
      <w:tr w:rsidR="00811887" w14:paraId="2BAFC676" w14:textId="77777777" w:rsidTr="00486E22">
        <w:trPr>
          <w:trHeight w:val="244"/>
        </w:trPr>
        <w:tc>
          <w:tcPr>
            <w:tcW w:w="3635" w:type="dxa"/>
            <w:tcBorders>
              <w:right w:val="single" w:sz="4" w:space="0" w:color="000000"/>
            </w:tcBorders>
          </w:tcPr>
          <w:p w14:paraId="625C95FA" w14:textId="77777777" w:rsidR="00811887" w:rsidRDefault="00811887" w:rsidP="00486E22">
            <w:pPr>
              <w:pStyle w:val="TableParagraph"/>
              <w:spacing w:before="10" w:line="215" w:lineRule="exact"/>
              <w:ind w:left="134"/>
              <w:rPr>
                <w:sz w:val="20"/>
              </w:rPr>
            </w:pPr>
            <w:r>
              <w:rPr>
                <w:w w:val="110"/>
                <w:sz w:val="20"/>
              </w:rPr>
              <w:t>Remote</w:t>
            </w:r>
            <w:r>
              <w:rPr>
                <w:spacing w:val="-3"/>
                <w:w w:val="110"/>
                <w:sz w:val="20"/>
              </w:rPr>
              <w:t xml:space="preserve"> </w:t>
            </w:r>
            <w:r>
              <w:rPr>
                <w:spacing w:val="-2"/>
                <w:w w:val="110"/>
                <w:sz w:val="20"/>
              </w:rPr>
              <w:t>Australia</w:t>
            </w:r>
          </w:p>
        </w:tc>
        <w:tc>
          <w:tcPr>
            <w:tcW w:w="1159" w:type="dxa"/>
            <w:tcBorders>
              <w:left w:val="single" w:sz="4" w:space="0" w:color="000000"/>
            </w:tcBorders>
          </w:tcPr>
          <w:p w14:paraId="14F2721D" w14:textId="77777777" w:rsidR="00811887" w:rsidRDefault="00811887" w:rsidP="00486E22">
            <w:pPr>
              <w:pStyle w:val="TableParagraph"/>
              <w:spacing w:before="10" w:line="215" w:lineRule="exact"/>
              <w:ind w:right="268"/>
              <w:jc w:val="right"/>
              <w:rPr>
                <w:sz w:val="20"/>
              </w:rPr>
            </w:pPr>
            <w:r>
              <w:rPr>
                <w:spacing w:val="-5"/>
                <w:w w:val="115"/>
                <w:sz w:val="20"/>
              </w:rPr>
              <w:t>23</w:t>
            </w:r>
          </w:p>
        </w:tc>
        <w:tc>
          <w:tcPr>
            <w:tcW w:w="988" w:type="dxa"/>
          </w:tcPr>
          <w:p w14:paraId="3410714B" w14:textId="77777777" w:rsidR="00811887" w:rsidRDefault="00811887" w:rsidP="00486E22">
            <w:pPr>
              <w:pStyle w:val="TableParagraph"/>
              <w:spacing w:before="10" w:line="215" w:lineRule="exact"/>
              <w:ind w:right="262"/>
              <w:jc w:val="right"/>
              <w:rPr>
                <w:sz w:val="20"/>
              </w:rPr>
            </w:pPr>
            <w:r>
              <w:rPr>
                <w:spacing w:val="-5"/>
                <w:w w:val="115"/>
                <w:sz w:val="20"/>
              </w:rPr>
              <w:t>152</w:t>
            </w:r>
          </w:p>
        </w:tc>
        <w:tc>
          <w:tcPr>
            <w:tcW w:w="998" w:type="dxa"/>
          </w:tcPr>
          <w:p w14:paraId="75D70AE8" w14:textId="77777777" w:rsidR="00811887" w:rsidRDefault="00811887" w:rsidP="00486E22">
            <w:pPr>
              <w:pStyle w:val="TableParagraph"/>
              <w:spacing w:before="10" w:line="215" w:lineRule="exact"/>
              <w:ind w:right="266"/>
              <w:jc w:val="right"/>
              <w:rPr>
                <w:sz w:val="20"/>
              </w:rPr>
            </w:pPr>
            <w:r>
              <w:rPr>
                <w:spacing w:val="-5"/>
                <w:w w:val="115"/>
                <w:sz w:val="20"/>
              </w:rPr>
              <w:t>450</w:t>
            </w:r>
          </w:p>
        </w:tc>
        <w:tc>
          <w:tcPr>
            <w:tcW w:w="991" w:type="dxa"/>
          </w:tcPr>
          <w:p w14:paraId="55CA5D1E" w14:textId="77777777" w:rsidR="00811887" w:rsidRDefault="00811887" w:rsidP="00486E22">
            <w:pPr>
              <w:pStyle w:val="TableParagraph"/>
              <w:spacing w:before="10" w:line="215" w:lineRule="exact"/>
              <w:ind w:right="263"/>
              <w:jc w:val="right"/>
              <w:rPr>
                <w:sz w:val="20"/>
              </w:rPr>
            </w:pPr>
            <w:r>
              <w:rPr>
                <w:spacing w:val="-5"/>
                <w:w w:val="115"/>
                <w:sz w:val="20"/>
              </w:rPr>
              <w:t>183</w:t>
            </w:r>
          </w:p>
        </w:tc>
        <w:tc>
          <w:tcPr>
            <w:tcW w:w="984" w:type="dxa"/>
          </w:tcPr>
          <w:p w14:paraId="4F632509" w14:textId="77777777" w:rsidR="00811887" w:rsidRDefault="00811887" w:rsidP="00486E22">
            <w:pPr>
              <w:pStyle w:val="TableParagraph"/>
              <w:spacing w:before="10" w:line="215" w:lineRule="exact"/>
              <w:ind w:right="263"/>
              <w:jc w:val="right"/>
              <w:rPr>
                <w:sz w:val="20"/>
              </w:rPr>
            </w:pPr>
            <w:r>
              <w:rPr>
                <w:spacing w:val="-5"/>
                <w:w w:val="115"/>
                <w:sz w:val="20"/>
              </w:rPr>
              <w:t>33</w:t>
            </w:r>
          </w:p>
        </w:tc>
        <w:tc>
          <w:tcPr>
            <w:tcW w:w="830" w:type="dxa"/>
          </w:tcPr>
          <w:p w14:paraId="29909BA5" w14:textId="77777777" w:rsidR="00811887" w:rsidRDefault="00811887" w:rsidP="00486E22">
            <w:pPr>
              <w:pStyle w:val="TableParagraph"/>
              <w:spacing w:before="10" w:line="215" w:lineRule="exact"/>
              <w:ind w:right="94"/>
              <w:jc w:val="right"/>
              <w:rPr>
                <w:sz w:val="20"/>
              </w:rPr>
            </w:pPr>
            <w:r>
              <w:rPr>
                <w:spacing w:val="-5"/>
                <w:w w:val="115"/>
                <w:sz w:val="20"/>
              </w:rPr>
              <w:t>842</w:t>
            </w:r>
          </w:p>
        </w:tc>
      </w:tr>
      <w:tr w:rsidR="00811887" w14:paraId="6560B47F" w14:textId="77777777" w:rsidTr="00486E22">
        <w:trPr>
          <w:trHeight w:val="243"/>
        </w:trPr>
        <w:tc>
          <w:tcPr>
            <w:tcW w:w="3635" w:type="dxa"/>
            <w:tcBorders>
              <w:right w:val="single" w:sz="4" w:space="0" w:color="000000"/>
            </w:tcBorders>
          </w:tcPr>
          <w:p w14:paraId="115D5537" w14:textId="77777777" w:rsidR="00811887" w:rsidRDefault="00811887" w:rsidP="00486E22">
            <w:pPr>
              <w:pStyle w:val="TableParagraph"/>
              <w:spacing w:before="10"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449AE93C" w14:textId="77777777" w:rsidR="00811887" w:rsidRDefault="00811887" w:rsidP="00486E22">
            <w:pPr>
              <w:pStyle w:val="TableParagraph"/>
              <w:spacing w:before="10" w:line="214" w:lineRule="exact"/>
              <w:ind w:right="268"/>
              <w:jc w:val="right"/>
              <w:rPr>
                <w:sz w:val="20"/>
              </w:rPr>
            </w:pPr>
            <w:r>
              <w:rPr>
                <w:spacing w:val="-5"/>
                <w:w w:val="115"/>
                <w:sz w:val="20"/>
              </w:rPr>
              <w:t>60</w:t>
            </w:r>
          </w:p>
        </w:tc>
        <w:tc>
          <w:tcPr>
            <w:tcW w:w="988" w:type="dxa"/>
          </w:tcPr>
          <w:p w14:paraId="05F27CDD" w14:textId="77777777" w:rsidR="00811887" w:rsidRDefault="00811887" w:rsidP="00486E22">
            <w:pPr>
              <w:pStyle w:val="TableParagraph"/>
              <w:spacing w:before="10" w:line="214" w:lineRule="exact"/>
              <w:ind w:right="262"/>
              <w:jc w:val="right"/>
              <w:rPr>
                <w:sz w:val="20"/>
              </w:rPr>
            </w:pPr>
            <w:r>
              <w:rPr>
                <w:spacing w:val="-5"/>
                <w:w w:val="115"/>
                <w:sz w:val="20"/>
              </w:rPr>
              <w:t>388</w:t>
            </w:r>
          </w:p>
        </w:tc>
        <w:tc>
          <w:tcPr>
            <w:tcW w:w="998" w:type="dxa"/>
          </w:tcPr>
          <w:p w14:paraId="42ACEA80" w14:textId="77777777" w:rsidR="00811887" w:rsidRDefault="00811887" w:rsidP="00486E22">
            <w:pPr>
              <w:pStyle w:val="TableParagraph"/>
              <w:spacing w:before="10" w:line="214" w:lineRule="exact"/>
              <w:ind w:left="268"/>
              <w:rPr>
                <w:sz w:val="20"/>
              </w:rPr>
            </w:pPr>
            <w:r>
              <w:rPr>
                <w:spacing w:val="-4"/>
                <w:w w:val="115"/>
                <w:sz w:val="20"/>
              </w:rPr>
              <w:t>1148</w:t>
            </w:r>
          </w:p>
        </w:tc>
        <w:tc>
          <w:tcPr>
            <w:tcW w:w="991" w:type="dxa"/>
          </w:tcPr>
          <w:p w14:paraId="7EACFD86" w14:textId="77777777" w:rsidR="00811887" w:rsidRDefault="00811887" w:rsidP="00486E22">
            <w:pPr>
              <w:pStyle w:val="TableParagraph"/>
              <w:spacing w:before="10" w:line="214" w:lineRule="exact"/>
              <w:ind w:right="263"/>
              <w:jc w:val="right"/>
              <w:rPr>
                <w:sz w:val="20"/>
              </w:rPr>
            </w:pPr>
            <w:r>
              <w:rPr>
                <w:spacing w:val="-5"/>
                <w:w w:val="115"/>
                <w:sz w:val="20"/>
              </w:rPr>
              <w:t>467</w:t>
            </w:r>
          </w:p>
        </w:tc>
        <w:tc>
          <w:tcPr>
            <w:tcW w:w="984" w:type="dxa"/>
          </w:tcPr>
          <w:p w14:paraId="4D86F364" w14:textId="77777777" w:rsidR="00811887" w:rsidRDefault="00811887" w:rsidP="00486E22">
            <w:pPr>
              <w:pStyle w:val="TableParagraph"/>
              <w:spacing w:before="10" w:line="214" w:lineRule="exact"/>
              <w:ind w:right="263"/>
              <w:jc w:val="right"/>
              <w:rPr>
                <w:sz w:val="20"/>
              </w:rPr>
            </w:pPr>
            <w:r>
              <w:rPr>
                <w:spacing w:val="-5"/>
                <w:w w:val="115"/>
                <w:sz w:val="20"/>
              </w:rPr>
              <w:t>84</w:t>
            </w:r>
          </w:p>
        </w:tc>
        <w:tc>
          <w:tcPr>
            <w:tcW w:w="830" w:type="dxa"/>
          </w:tcPr>
          <w:p w14:paraId="4D342AF4" w14:textId="77777777" w:rsidR="00811887" w:rsidRDefault="00811887" w:rsidP="00486E22">
            <w:pPr>
              <w:pStyle w:val="TableParagraph"/>
              <w:spacing w:before="10" w:line="214" w:lineRule="exact"/>
              <w:ind w:right="94"/>
              <w:jc w:val="right"/>
              <w:rPr>
                <w:sz w:val="20"/>
              </w:rPr>
            </w:pPr>
            <w:r>
              <w:rPr>
                <w:spacing w:val="-4"/>
                <w:w w:val="115"/>
                <w:sz w:val="20"/>
              </w:rPr>
              <w:t>2147</w:t>
            </w:r>
          </w:p>
        </w:tc>
      </w:tr>
      <w:tr w:rsidR="00811887" w14:paraId="7C460ABF" w14:textId="77777777" w:rsidTr="00486E22">
        <w:trPr>
          <w:trHeight w:val="245"/>
        </w:trPr>
        <w:tc>
          <w:tcPr>
            <w:tcW w:w="9585" w:type="dxa"/>
            <w:gridSpan w:val="7"/>
            <w:shd w:val="clear" w:color="auto" w:fill="AFCAC7"/>
          </w:tcPr>
          <w:p w14:paraId="49F94E84" w14:textId="77777777" w:rsidR="00811887" w:rsidRDefault="00811887" w:rsidP="00486E22">
            <w:pPr>
              <w:pStyle w:val="TableParagraph"/>
              <w:spacing w:before="11" w:line="214" w:lineRule="exact"/>
              <w:ind w:left="34" w:right="12"/>
              <w:jc w:val="center"/>
              <w:rPr>
                <w:sz w:val="20"/>
              </w:rPr>
            </w:pPr>
            <w:r>
              <w:rPr>
                <w:w w:val="110"/>
                <w:sz w:val="20"/>
              </w:rPr>
              <w:t>Australian</w:t>
            </w:r>
            <w:r>
              <w:rPr>
                <w:spacing w:val="-12"/>
                <w:w w:val="110"/>
                <w:sz w:val="20"/>
              </w:rPr>
              <w:t xml:space="preserve"> </w:t>
            </w:r>
            <w:r>
              <w:rPr>
                <w:w w:val="110"/>
                <w:sz w:val="20"/>
              </w:rPr>
              <w:t>Capital</w:t>
            </w:r>
            <w:r>
              <w:rPr>
                <w:spacing w:val="-12"/>
                <w:w w:val="110"/>
                <w:sz w:val="20"/>
              </w:rPr>
              <w:t xml:space="preserve"> </w:t>
            </w:r>
            <w:r>
              <w:rPr>
                <w:spacing w:val="-2"/>
                <w:w w:val="110"/>
                <w:sz w:val="20"/>
              </w:rPr>
              <w:t>Territory</w:t>
            </w:r>
          </w:p>
        </w:tc>
      </w:tr>
      <w:tr w:rsidR="00811887" w14:paraId="6BE20E4C" w14:textId="77777777" w:rsidTr="00486E22">
        <w:trPr>
          <w:trHeight w:val="249"/>
        </w:trPr>
        <w:tc>
          <w:tcPr>
            <w:tcW w:w="3635" w:type="dxa"/>
            <w:tcBorders>
              <w:right w:val="single" w:sz="4" w:space="0" w:color="000000"/>
            </w:tcBorders>
          </w:tcPr>
          <w:p w14:paraId="261737B3" w14:textId="77777777" w:rsidR="00811887" w:rsidRDefault="00811887" w:rsidP="00486E22">
            <w:pPr>
              <w:pStyle w:val="TableParagraph"/>
              <w:spacing w:before="16" w:line="214" w:lineRule="exact"/>
              <w:ind w:left="134"/>
              <w:rPr>
                <w:sz w:val="20"/>
              </w:rPr>
            </w:pPr>
            <w:r>
              <w:rPr>
                <w:w w:val="105"/>
                <w:sz w:val="20"/>
              </w:rPr>
              <w:t>Major</w:t>
            </w:r>
            <w:r>
              <w:rPr>
                <w:spacing w:val="11"/>
                <w:w w:val="105"/>
                <w:sz w:val="20"/>
              </w:rPr>
              <w:t xml:space="preserve"> </w:t>
            </w:r>
            <w:r>
              <w:rPr>
                <w:w w:val="105"/>
                <w:sz w:val="20"/>
              </w:rPr>
              <w:t>Cities</w:t>
            </w:r>
            <w:r>
              <w:rPr>
                <w:spacing w:val="10"/>
                <w:w w:val="105"/>
                <w:sz w:val="20"/>
              </w:rPr>
              <w:t xml:space="preserve"> </w:t>
            </w:r>
            <w:r>
              <w:rPr>
                <w:w w:val="105"/>
                <w:sz w:val="20"/>
              </w:rPr>
              <w:t>of</w:t>
            </w:r>
            <w:r>
              <w:rPr>
                <w:spacing w:val="10"/>
                <w:w w:val="105"/>
                <w:sz w:val="20"/>
              </w:rPr>
              <w:t xml:space="preserve"> </w:t>
            </w:r>
            <w:r>
              <w:rPr>
                <w:spacing w:val="-2"/>
                <w:w w:val="105"/>
                <w:sz w:val="20"/>
              </w:rPr>
              <w:t>Australia</w:t>
            </w:r>
          </w:p>
        </w:tc>
        <w:tc>
          <w:tcPr>
            <w:tcW w:w="1159" w:type="dxa"/>
            <w:tcBorders>
              <w:left w:val="single" w:sz="4" w:space="0" w:color="000000"/>
            </w:tcBorders>
          </w:tcPr>
          <w:p w14:paraId="63C0A0AC" w14:textId="77777777" w:rsidR="00811887" w:rsidRDefault="00811887" w:rsidP="00486E22">
            <w:pPr>
              <w:pStyle w:val="TableParagraph"/>
              <w:spacing w:before="16" w:line="214" w:lineRule="exact"/>
              <w:ind w:right="268"/>
              <w:jc w:val="right"/>
              <w:rPr>
                <w:sz w:val="20"/>
              </w:rPr>
            </w:pPr>
            <w:r>
              <w:rPr>
                <w:spacing w:val="-10"/>
                <w:w w:val="115"/>
                <w:sz w:val="20"/>
              </w:rPr>
              <w:t>4</w:t>
            </w:r>
          </w:p>
        </w:tc>
        <w:tc>
          <w:tcPr>
            <w:tcW w:w="988" w:type="dxa"/>
          </w:tcPr>
          <w:p w14:paraId="6FE0CDBC" w14:textId="77777777" w:rsidR="00811887" w:rsidRDefault="00811887" w:rsidP="00486E22">
            <w:pPr>
              <w:pStyle w:val="TableParagraph"/>
              <w:spacing w:before="16" w:line="214" w:lineRule="exact"/>
              <w:ind w:right="267"/>
              <w:jc w:val="right"/>
              <w:rPr>
                <w:sz w:val="20"/>
              </w:rPr>
            </w:pPr>
            <w:r>
              <w:rPr>
                <w:spacing w:val="-5"/>
                <w:w w:val="115"/>
                <w:sz w:val="20"/>
              </w:rPr>
              <w:t>26</w:t>
            </w:r>
          </w:p>
        </w:tc>
        <w:tc>
          <w:tcPr>
            <w:tcW w:w="998" w:type="dxa"/>
          </w:tcPr>
          <w:p w14:paraId="1E418AAD" w14:textId="77777777" w:rsidR="00811887" w:rsidRDefault="00811887" w:rsidP="00486E22">
            <w:pPr>
              <w:pStyle w:val="TableParagraph"/>
              <w:spacing w:before="16" w:line="214" w:lineRule="exact"/>
              <w:ind w:right="271"/>
              <w:jc w:val="right"/>
              <w:rPr>
                <w:sz w:val="20"/>
              </w:rPr>
            </w:pPr>
            <w:r>
              <w:rPr>
                <w:spacing w:val="-5"/>
                <w:w w:val="115"/>
                <w:sz w:val="20"/>
              </w:rPr>
              <w:t>76</w:t>
            </w:r>
          </w:p>
        </w:tc>
        <w:tc>
          <w:tcPr>
            <w:tcW w:w="991" w:type="dxa"/>
          </w:tcPr>
          <w:p w14:paraId="5371DF8B" w14:textId="77777777" w:rsidR="00811887" w:rsidRDefault="00811887" w:rsidP="00486E22">
            <w:pPr>
              <w:pStyle w:val="TableParagraph"/>
              <w:spacing w:before="16" w:line="214" w:lineRule="exact"/>
              <w:ind w:right="268"/>
              <w:jc w:val="right"/>
              <w:rPr>
                <w:sz w:val="20"/>
              </w:rPr>
            </w:pPr>
            <w:r>
              <w:rPr>
                <w:spacing w:val="-5"/>
                <w:w w:val="115"/>
                <w:sz w:val="20"/>
              </w:rPr>
              <w:t>31</w:t>
            </w:r>
          </w:p>
        </w:tc>
        <w:tc>
          <w:tcPr>
            <w:tcW w:w="984" w:type="dxa"/>
          </w:tcPr>
          <w:p w14:paraId="5299C963" w14:textId="77777777" w:rsidR="00811887" w:rsidRDefault="00811887" w:rsidP="00486E22">
            <w:pPr>
              <w:pStyle w:val="TableParagraph"/>
              <w:spacing w:before="16" w:line="214" w:lineRule="exact"/>
              <w:ind w:right="263"/>
              <w:jc w:val="right"/>
              <w:rPr>
                <w:sz w:val="20"/>
              </w:rPr>
            </w:pPr>
            <w:r>
              <w:rPr>
                <w:spacing w:val="-10"/>
                <w:w w:val="115"/>
                <w:sz w:val="20"/>
              </w:rPr>
              <w:t>6</w:t>
            </w:r>
          </w:p>
        </w:tc>
        <w:tc>
          <w:tcPr>
            <w:tcW w:w="830" w:type="dxa"/>
          </w:tcPr>
          <w:p w14:paraId="70CFB866" w14:textId="77777777" w:rsidR="00811887" w:rsidRDefault="00811887" w:rsidP="00486E22">
            <w:pPr>
              <w:pStyle w:val="TableParagraph"/>
              <w:spacing w:before="16" w:line="214" w:lineRule="exact"/>
              <w:ind w:right="94"/>
              <w:jc w:val="right"/>
              <w:rPr>
                <w:sz w:val="20"/>
              </w:rPr>
            </w:pPr>
            <w:r>
              <w:rPr>
                <w:spacing w:val="-5"/>
                <w:w w:val="115"/>
                <w:sz w:val="20"/>
              </w:rPr>
              <w:t>143</w:t>
            </w:r>
          </w:p>
        </w:tc>
      </w:tr>
      <w:tr w:rsidR="00811887" w14:paraId="1B9B7D2D" w14:textId="77777777" w:rsidTr="00486E22">
        <w:trPr>
          <w:trHeight w:val="244"/>
        </w:trPr>
        <w:tc>
          <w:tcPr>
            <w:tcW w:w="9585" w:type="dxa"/>
            <w:gridSpan w:val="7"/>
            <w:shd w:val="clear" w:color="auto" w:fill="AFCAC7"/>
          </w:tcPr>
          <w:p w14:paraId="5A4B7384" w14:textId="77777777" w:rsidR="00811887" w:rsidRDefault="00811887" w:rsidP="00486E22">
            <w:pPr>
              <w:pStyle w:val="TableParagraph"/>
              <w:spacing w:before="11" w:line="214" w:lineRule="exact"/>
              <w:ind w:left="34" w:right="10"/>
              <w:jc w:val="center"/>
              <w:rPr>
                <w:sz w:val="20"/>
              </w:rPr>
            </w:pPr>
            <w:r>
              <w:rPr>
                <w:w w:val="110"/>
                <w:sz w:val="20"/>
              </w:rPr>
              <w:t>Other</w:t>
            </w:r>
            <w:r>
              <w:rPr>
                <w:spacing w:val="5"/>
                <w:w w:val="110"/>
                <w:sz w:val="20"/>
              </w:rPr>
              <w:t xml:space="preserve"> </w:t>
            </w:r>
            <w:r>
              <w:rPr>
                <w:spacing w:val="-2"/>
                <w:w w:val="110"/>
                <w:sz w:val="20"/>
              </w:rPr>
              <w:t>Territories</w:t>
            </w:r>
          </w:p>
        </w:tc>
      </w:tr>
      <w:tr w:rsidR="00811887" w14:paraId="517A1D1A" w14:textId="77777777" w:rsidTr="00486E22">
        <w:trPr>
          <w:trHeight w:val="245"/>
        </w:trPr>
        <w:tc>
          <w:tcPr>
            <w:tcW w:w="3635" w:type="dxa"/>
            <w:tcBorders>
              <w:right w:val="single" w:sz="4" w:space="0" w:color="000000"/>
            </w:tcBorders>
          </w:tcPr>
          <w:p w14:paraId="371DE23E" w14:textId="77777777" w:rsidR="00811887" w:rsidRDefault="00811887" w:rsidP="00486E22">
            <w:pPr>
              <w:pStyle w:val="TableParagraph"/>
              <w:spacing w:before="11" w:line="215" w:lineRule="exact"/>
              <w:ind w:left="134"/>
              <w:rPr>
                <w:sz w:val="20"/>
              </w:rPr>
            </w:pPr>
            <w:r>
              <w:rPr>
                <w:w w:val="110"/>
                <w:sz w:val="20"/>
              </w:rPr>
              <w:t>Inner</w:t>
            </w:r>
            <w:r>
              <w:rPr>
                <w:spacing w:val="-8"/>
                <w:w w:val="110"/>
                <w:sz w:val="20"/>
              </w:rPr>
              <w:t xml:space="preserve"> </w:t>
            </w:r>
            <w:r>
              <w:rPr>
                <w:w w:val="110"/>
                <w:sz w:val="20"/>
              </w:rPr>
              <w:t>Regional</w:t>
            </w:r>
            <w:r>
              <w:rPr>
                <w:spacing w:val="1"/>
                <w:w w:val="110"/>
                <w:sz w:val="20"/>
              </w:rPr>
              <w:t xml:space="preserve"> </w:t>
            </w:r>
            <w:r>
              <w:rPr>
                <w:spacing w:val="-2"/>
                <w:w w:val="110"/>
                <w:sz w:val="20"/>
              </w:rPr>
              <w:t>Australia</w:t>
            </w:r>
          </w:p>
        </w:tc>
        <w:tc>
          <w:tcPr>
            <w:tcW w:w="1159" w:type="dxa"/>
            <w:tcBorders>
              <w:left w:val="single" w:sz="4" w:space="0" w:color="000000"/>
            </w:tcBorders>
          </w:tcPr>
          <w:p w14:paraId="107D3586" w14:textId="77777777" w:rsidR="00811887" w:rsidRDefault="00811887" w:rsidP="00486E22">
            <w:pPr>
              <w:pStyle w:val="TableParagraph"/>
              <w:spacing w:before="11" w:line="215" w:lineRule="exact"/>
              <w:ind w:right="268"/>
              <w:jc w:val="right"/>
              <w:rPr>
                <w:sz w:val="20"/>
              </w:rPr>
            </w:pPr>
            <w:r>
              <w:rPr>
                <w:spacing w:val="-10"/>
                <w:w w:val="115"/>
                <w:sz w:val="20"/>
              </w:rPr>
              <w:t>0</w:t>
            </w:r>
          </w:p>
        </w:tc>
        <w:tc>
          <w:tcPr>
            <w:tcW w:w="988" w:type="dxa"/>
          </w:tcPr>
          <w:p w14:paraId="2E7B16B8" w14:textId="77777777" w:rsidR="00811887" w:rsidRDefault="00811887" w:rsidP="00486E22">
            <w:pPr>
              <w:pStyle w:val="TableParagraph"/>
              <w:spacing w:before="11" w:line="215" w:lineRule="exact"/>
              <w:ind w:right="267"/>
              <w:jc w:val="right"/>
              <w:rPr>
                <w:sz w:val="20"/>
              </w:rPr>
            </w:pPr>
            <w:r>
              <w:rPr>
                <w:spacing w:val="-10"/>
                <w:w w:val="115"/>
                <w:sz w:val="20"/>
              </w:rPr>
              <w:t>1</w:t>
            </w:r>
          </w:p>
        </w:tc>
        <w:tc>
          <w:tcPr>
            <w:tcW w:w="998" w:type="dxa"/>
          </w:tcPr>
          <w:p w14:paraId="43235DCC" w14:textId="77777777" w:rsidR="00811887" w:rsidRDefault="00811887" w:rsidP="00486E22">
            <w:pPr>
              <w:pStyle w:val="TableParagraph"/>
              <w:spacing w:before="11" w:line="215" w:lineRule="exact"/>
              <w:ind w:right="271"/>
              <w:jc w:val="right"/>
              <w:rPr>
                <w:sz w:val="20"/>
              </w:rPr>
            </w:pPr>
            <w:r>
              <w:rPr>
                <w:spacing w:val="-10"/>
                <w:w w:val="115"/>
                <w:sz w:val="20"/>
              </w:rPr>
              <w:t>2</w:t>
            </w:r>
          </w:p>
        </w:tc>
        <w:tc>
          <w:tcPr>
            <w:tcW w:w="991" w:type="dxa"/>
          </w:tcPr>
          <w:p w14:paraId="3ED2237E" w14:textId="77777777" w:rsidR="00811887" w:rsidRDefault="00811887" w:rsidP="00486E22">
            <w:pPr>
              <w:pStyle w:val="TableParagraph"/>
              <w:spacing w:before="11" w:line="215" w:lineRule="exact"/>
              <w:ind w:right="268"/>
              <w:jc w:val="right"/>
              <w:rPr>
                <w:sz w:val="20"/>
              </w:rPr>
            </w:pPr>
            <w:r>
              <w:rPr>
                <w:spacing w:val="-10"/>
                <w:w w:val="115"/>
                <w:sz w:val="20"/>
              </w:rPr>
              <w:t>1</w:t>
            </w:r>
          </w:p>
        </w:tc>
        <w:tc>
          <w:tcPr>
            <w:tcW w:w="984" w:type="dxa"/>
          </w:tcPr>
          <w:p w14:paraId="1EA85E16" w14:textId="77777777" w:rsidR="00811887" w:rsidRDefault="00811887" w:rsidP="00486E22">
            <w:pPr>
              <w:pStyle w:val="TableParagraph"/>
              <w:spacing w:before="11" w:line="215" w:lineRule="exact"/>
              <w:ind w:right="263"/>
              <w:jc w:val="right"/>
              <w:rPr>
                <w:sz w:val="20"/>
              </w:rPr>
            </w:pPr>
            <w:r>
              <w:rPr>
                <w:spacing w:val="-10"/>
                <w:w w:val="115"/>
                <w:sz w:val="20"/>
              </w:rPr>
              <w:t>0</w:t>
            </w:r>
          </w:p>
        </w:tc>
        <w:tc>
          <w:tcPr>
            <w:tcW w:w="830" w:type="dxa"/>
          </w:tcPr>
          <w:p w14:paraId="3C2E2625" w14:textId="77777777" w:rsidR="00811887" w:rsidRDefault="00811887" w:rsidP="00486E22">
            <w:pPr>
              <w:pStyle w:val="TableParagraph"/>
              <w:spacing w:before="11" w:line="215" w:lineRule="exact"/>
              <w:ind w:right="99"/>
              <w:jc w:val="right"/>
              <w:rPr>
                <w:sz w:val="20"/>
              </w:rPr>
            </w:pPr>
            <w:r>
              <w:rPr>
                <w:spacing w:val="-10"/>
                <w:w w:val="115"/>
                <w:sz w:val="20"/>
              </w:rPr>
              <w:t>5</w:t>
            </w:r>
          </w:p>
        </w:tc>
      </w:tr>
      <w:tr w:rsidR="00811887" w14:paraId="0457C434" w14:textId="77777777" w:rsidTr="00486E22">
        <w:trPr>
          <w:trHeight w:val="243"/>
        </w:trPr>
        <w:tc>
          <w:tcPr>
            <w:tcW w:w="3635" w:type="dxa"/>
            <w:tcBorders>
              <w:right w:val="single" w:sz="4" w:space="0" w:color="000000"/>
            </w:tcBorders>
          </w:tcPr>
          <w:p w14:paraId="54BB491C" w14:textId="77777777" w:rsidR="00811887" w:rsidRDefault="00811887" w:rsidP="00486E22">
            <w:pPr>
              <w:pStyle w:val="TableParagraph"/>
              <w:spacing w:before="10" w:line="214" w:lineRule="exact"/>
              <w:ind w:left="134"/>
              <w:rPr>
                <w:sz w:val="20"/>
              </w:rPr>
            </w:pPr>
            <w:r>
              <w:rPr>
                <w:w w:val="110"/>
                <w:sz w:val="20"/>
              </w:rPr>
              <w:t>Very</w:t>
            </w:r>
            <w:r>
              <w:rPr>
                <w:spacing w:val="-10"/>
                <w:w w:val="110"/>
                <w:sz w:val="20"/>
              </w:rPr>
              <w:t xml:space="preserve"> </w:t>
            </w:r>
            <w:r>
              <w:rPr>
                <w:w w:val="110"/>
                <w:sz w:val="20"/>
              </w:rPr>
              <w:t>Remote</w:t>
            </w:r>
            <w:r>
              <w:rPr>
                <w:spacing w:val="-8"/>
                <w:w w:val="110"/>
                <w:sz w:val="20"/>
              </w:rPr>
              <w:t xml:space="preserve"> </w:t>
            </w:r>
            <w:r>
              <w:rPr>
                <w:spacing w:val="-2"/>
                <w:w w:val="110"/>
                <w:sz w:val="20"/>
              </w:rPr>
              <w:t>Australia</w:t>
            </w:r>
          </w:p>
        </w:tc>
        <w:tc>
          <w:tcPr>
            <w:tcW w:w="1159" w:type="dxa"/>
            <w:tcBorders>
              <w:left w:val="single" w:sz="4" w:space="0" w:color="000000"/>
            </w:tcBorders>
          </w:tcPr>
          <w:p w14:paraId="2FF088C5" w14:textId="77777777" w:rsidR="00811887" w:rsidRDefault="00811887" w:rsidP="00486E22">
            <w:pPr>
              <w:pStyle w:val="TableParagraph"/>
              <w:spacing w:before="10" w:line="214" w:lineRule="exact"/>
              <w:ind w:right="268"/>
              <w:jc w:val="right"/>
              <w:rPr>
                <w:sz w:val="20"/>
              </w:rPr>
            </w:pPr>
            <w:r>
              <w:rPr>
                <w:spacing w:val="-10"/>
                <w:w w:val="115"/>
                <w:sz w:val="20"/>
              </w:rPr>
              <w:t>0</w:t>
            </w:r>
          </w:p>
        </w:tc>
        <w:tc>
          <w:tcPr>
            <w:tcW w:w="988" w:type="dxa"/>
          </w:tcPr>
          <w:p w14:paraId="39BBBFFD" w14:textId="77777777" w:rsidR="00811887" w:rsidRDefault="00811887" w:rsidP="00486E22">
            <w:pPr>
              <w:pStyle w:val="TableParagraph"/>
              <w:spacing w:before="10" w:line="214" w:lineRule="exact"/>
              <w:ind w:right="267"/>
              <w:jc w:val="right"/>
              <w:rPr>
                <w:sz w:val="20"/>
              </w:rPr>
            </w:pPr>
            <w:r>
              <w:rPr>
                <w:spacing w:val="-10"/>
                <w:w w:val="115"/>
                <w:sz w:val="20"/>
              </w:rPr>
              <w:t>0</w:t>
            </w:r>
          </w:p>
        </w:tc>
        <w:tc>
          <w:tcPr>
            <w:tcW w:w="998" w:type="dxa"/>
          </w:tcPr>
          <w:p w14:paraId="72C11F41" w14:textId="77777777" w:rsidR="00811887" w:rsidRDefault="00811887" w:rsidP="00486E22">
            <w:pPr>
              <w:pStyle w:val="TableParagraph"/>
              <w:spacing w:before="10" w:line="214" w:lineRule="exact"/>
              <w:ind w:right="271"/>
              <w:jc w:val="right"/>
              <w:rPr>
                <w:sz w:val="20"/>
              </w:rPr>
            </w:pPr>
            <w:r>
              <w:rPr>
                <w:spacing w:val="-10"/>
                <w:w w:val="115"/>
                <w:sz w:val="20"/>
              </w:rPr>
              <w:t>1</w:t>
            </w:r>
          </w:p>
        </w:tc>
        <w:tc>
          <w:tcPr>
            <w:tcW w:w="991" w:type="dxa"/>
          </w:tcPr>
          <w:p w14:paraId="75D8F25A" w14:textId="77777777" w:rsidR="00811887" w:rsidRDefault="00811887" w:rsidP="00486E22">
            <w:pPr>
              <w:pStyle w:val="TableParagraph"/>
              <w:spacing w:before="10" w:line="214" w:lineRule="exact"/>
              <w:ind w:right="268"/>
              <w:jc w:val="right"/>
              <w:rPr>
                <w:sz w:val="20"/>
              </w:rPr>
            </w:pPr>
            <w:r>
              <w:rPr>
                <w:spacing w:val="-10"/>
                <w:w w:val="115"/>
                <w:sz w:val="20"/>
              </w:rPr>
              <w:t>0</w:t>
            </w:r>
          </w:p>
        </w:tc>
        <w:tc>
          <w:tcPr>
            <w:tcW w:w="984" w:type="dxa"/>
          </w:tcPr>
          <w:p w14:paraId="1ED65CB6" w14:textId="77777777" w:rsidR="00811887" w:rsidRDefault="00811887" w:rsidP="00486E22">
            <w:pPr>
              <w:pStyle w:val="TableParagraph"/>
              <w:spacing w:before="10" w:line="214" w:lineRule="exact"/>
              <w:ind w:right="263"/>
              <w:jc w:val="right"/>
              <w:rPr>
                <w:sz w:val="20"/>
              </w:rPr>
            </w:pPr>
            <w:r>
              <w:rPr>
                <w:spacing w:val="-10"/>
                <w:w w:val="115"/>
                <w:sz w:val="20"/>
              </w:rPr>
              <w:t>0</w:t>
            </w:r>
          </w:p>
        </w:tc>
        <w:tc>
          <w:tcPr>
            <w:tcW w:w="830" w:type="dxa"/>
          </w:tcPr>
          <w:p w14:paraId="20AF68E4" w14:textId="77777777" w:rsidR="00811887" w:rsidRDefault="00811887" w:rsidP="00486E22">
            <w:pPr>
              <w:pStyle w:val="TableParagraph"/>
              <w:spacing w:before="10" w:line="214" w:lineRule="exact"/>
              <w:ind w:right="99"/>
              <w:jc w:val="right"/>
              <w:rPr>
                <w:sz w:val="20"/>
              </w:rPr>
            </w:pPr>
            <w:r>
              <w:rPr>
                <w:spacing w:val="-10"/>
                <w:w w:val="115"/>
                <w:sz w:val="20"/>
              </w:rPr>
              <w:t>1</w:t>
            </w:r>
          </w:p>
        </w:tc>
      </w:tr>
    </w:tbl>
    <w:p w14:paraId="360EBC68" w14:textId="77777777" w:rsidR="00811887" w:rsidRDefault="00811887" w:rsidP="00811887">
      <w:pPr>
        <w:spacing w:line="214" w:lineRule="exact"/>
        <w:jc w:val="right"/>
        <w:rPr>
          <w:sz w:val="20"/>
        </w:rPr>
        <w:sectPr w:rsidR="00811887" w:rsidSect="00811887">
          <w:pgSz w:w="11910" w:h="16840"/>
          <w:pgMar w:top="1320" w:right="720" w:bottom="1080" w:left="740" w:header="0" w:footer="805" w:gutter="0"/>
          <w:cols w:space="720"/>
        </w:sectPr>
      </w:pPr>
    </w:p>
    <w:p w14:paraId="6E5EC07D" w14:textId="77777777" w:rsidR="00811887" w:rsidRDefault="00811887" w:rsidP="00811887">
      <w:pPr>
        <w:spacing w:before="82"/>
        <w:ind w:left="136"/>
        <w:rPr>
          <w:rFonts w:ascii="Book Antiqua"/>
          <w:b/>
          <w:i/>
        </w:rPr>
      </w:pPr>
      <w:r>
        <w:rPr>
          <w:rFonts w:ascii="Book Antiqua"/>
          <w:b/>
          <w:i/>
          <w:color w:val="4D665B"/>
        </w:rPr>
        <w:lastRenderedPageBreak/>
        <w:t>Appendix</w:t>
      </w:r>
      <w:r>
        <w:rPr>
          <w:rFonts w:ascii="Book Antiqua"/>
          <w:b/>
          <w:i/>
          <w:color w:val="4D665B"/>
          <w:spacing w:val="-10"/>
        </w:rPr>
        <w:t xml:space="preserve"> F</w:t>
      </w:r>
    </w:p>
    <w:p w14:paraId="440B6C07" w14:textId="77777777" w:rsidR="00811887" w:rsidRDefault="00811887" w:rsidP="00811887">
      <w:pPr>
        <w:pStyle w:val="BodyText"/>
        <w:spacing w:before="3"/>
        <w:rPr>
          <w:rFonts w:ascii="Book Antiqua"/>
          <w:b/>
          <w:i/>
          <w:sz w:val="7"/>
        </w:rPr>
      </w:pPr>
      <w:r>
        <w:rPr>
          <w:noProof/>
        </w:rPr>
        <mc:AlternateContent>
          <mc:Choice Requires="wps">
            <w:drawing>
              <wp:anchor distT="0" distB="0" distL="0" distR="0" simplePos="0" relativeHeight="251770880" behindDoc="1" locked="0" layoutInCell="1" allowOverlap="1" wp14:anchorId="6B24D45F" wp14:editId="7EF42AD5">
                <wp:simplePos x="0" y="0"/>
                <wp:positionH relativeFrom="page">
                  <wp:posOffset>881176</wp:posOffset>
                </wp:positionH>
                <wp:positionV relativeFrom="paragraph">
                  <wp:posOffset>70850</wp:posOffset>
                </wp:positionV>
                <wp:extent cx="8930005" cy="6350"/>
                <wp:effectExtent l="0" t="0" r="0" b="0"/>
                <wp:wrapTopAndBottom/>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0005" cy="6350"/>
                        </a:xfrm>
                        <a:custGeom>
                          <a:avLst/>
                          <a:gdLst/>
                          <a:ahLst/>
                          <a:cxnLst/>
                          <a:rect l="l" t="t" r="r" b="b"/>
                          <a:pathLst>
                            <a:path w="8930005" h="6350">
                              <a:moveTo>
                                <a:pt x="8930005" y="0"/>
                              </a:moveTo>
                              <a:lnTo>
                                <a:pt x="0" y="0"/>
                              </a:lnTo>
                              <a:lnTo>
                                <a:pt x="0" y="6096"/>
                              </a:lnTo>
                              <a:lnTo>
                                <a:pt x="8930005" y="6096"/>
                              </a:lnTo>
                              <a:lnTo>
                                <a:pt x="893000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2EA43ADD" id="Graphic 230" o:spid="_x0000_s1026" alt="&quot;&quot;" style="position:absolute;margin-left:69.4pt;margin-top:5.6pt;width:703.15pt;height:.5pt;z-index:-251545600;visibility:visible;mso-wrap-style:square;mso-wrap-distance-left:0;mso-wrap-distance-top:0;mso-wrap-distance-right:0;mso-wrap-distance-bottom:0;mso-position-horizontal:absolute;mso-position-horizontal-relative:page;mso-position-vertical:absolute;mso-position-vertical-relative:text;v-text-anchor:top" coordsize="893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" path="m8930005,l,,,6096r8930005,l8930005,xe" fillcolor="#4d665b" stroked="f">
                <v:path arrowok="t"/>
                <w10:wrap type="topAndBottom" anchorx="page"/>
              </v:shape>
            </w:pict>
          </mc:Fallback>
        </mc:AlternateContent>
      </w:r>
    </w:p>
    <w:p w14:paraId="053C22B0" w14:textId="77777777" w:rsidR="00811887" w:rsidRDefault="00811887" w:rsidP="00811887">
      <w:pPr>
        <w:pStyle w:val="BodyText"/>
        <w:spacing w:before="41"/>
        <w:rPr>
          <w:rFonts w:ascii="Book Antiqua"/>
          <w:b/>
          <w:i/>
          <w:sz w:val="22"/>
        </w:rPr>
      </w:pPr>
    </w:p>
    <w:p w14:paraId="6F0B5AC1" w14:textId="77777777" w:rsidR="00811887" w:rsidRPr="00FD40B8" w:rsidRDefault="00811887" w:rsidP="00811887">
      <w:pPr>
        <w:pStyle w:val="Heading2"/>
        <w:spacing w:line="237" w:lineRule="auto"/>
        <w:ind w:left="136" w:right="468"/>
        <w:rPr>
          <w:color w:val="131727" w:themeColor="text1"/>
          <w:sz w:val="23"/>
        </w:rPr>
      </w:pPr>
      <w:bookmarkStart w:id="221" w:name="_bookmark110"/>
      <w:bookmarkEnd w:id="221"/>
      <w:r w:rsidRPr="00FD40B8">
        <w:rPr>
          <w:color w:val="131727" w:themeColor="text1"/>
        </w:rPr>
        <w:t>Comparison</w:t>
      </w:r>
      <w:r w:rsidRPr="00FD40B8">
        <w:rPr>
          <w:color w:val="131727" w:themeColor="text1"/>
          <w:spacing w:val="40"/>
        </w:rPr>
        <w:t xml:space="preserve"> </w:t>
      </w:r>
      <w:r w:rsidRPr="00FD40B8">
        <w:rPr>
          <w:color w:val="131727" w:themeColor="text1"/>
        </w:rPr>
        <w:t>of</w:t>
      </w:r>
      <w:r w:rsidRPr="00FD40B8">
        <w:rPr>
          <w:color w:val="131727" w:themeColor="text1"/>
          <w:spacing w:val="40"/>
        </w:rPr>
        <w:t xml:space="preserve"> </w:t>
      </w:r>
      <w:r w:rsidRPr="00FD40B8">
        <w:rPr>
          <w:color w:val="131727" w:themeColor="text1"/>
        </w:rPr>
        <w:t>primary</w:t>
      </w:r>
      <w:r w:rsidRPr="00FD40B8">
        <w:rPr>
          <w:color w:val="131727" w:themeColor="text1"/>
          <w:spacing w:val="40"/>
        </w:rPr>
        <w:t xml:space="preserve"> </w:t>
      </w:r>
      <w:r w:rsidRPr="00FD40B8">
        <w:rPr>
          <w:color w:val="131727" w:themeColor="text1"/>
        </w:rPr>
        <w:t>ABS</w:t>
      </w:r>
      <w:r w:rsidRPr="00FD40B8">
        <w:rPr>
          <w:color w:val="131727" w:themeColor="text1"/>
          <w:spacing w:val="40"/>
        </w:rPr>
        <w:t xml:space="preserve"> </w:t>
      </w:r>
      <w:r w:rsidRPr="00FD40B8">
        <w:rPr>
          <w:color w:val="131727" w:themeColor="text1"/>
        </w:rPr>
        <w:t>sources</w:t>
      </w:r>
      <w:r w:rsidRPr="00FD40B8">
        <w:rPr>
          <w:color w:val="131727" w:themeColor="text1"/>
          <w:spacing w:val="40"/>
        </w:rPr>
        <w:t xml:space="preserve"> </w:t>
      </w:r>
      <w:r w:rsidRPr="00FD40B8">
        <w:rPr>
          <w:color w:val="131727" w:themeColor="text1"/>
        </w:rPr>
        <w:t>that</w:t>
      </w:r>
      <w:r w:rsidRPr="00FD40B8">
        <w:rPr>
          <w:color w:val="131727" w:themeColor="text1"/>
          <w:spacing w:val="40"/>
        </w:rPr>
        <w:t xml:space="preserve"> </w:t>
      </w:r>
      <w:r w:rsidRPr="00FD40B8">
        <w:rPr>
          <w:color w:val="131727" w:themeColor="text1"/>
        </w:rPr>
        <w:t>collect</w:t>
      </w:r>
      <w:r w:rsidRPr="00FD40B8">
        <w:rPr>
          <w:color w:val="131727" w:themeColor="text1"/>
          <w:spacing w:val="40"/>
        </w:rPr>
        <w:t xml:space="preserve"> </w:t>
      </w:r>
      <w:r w:rsidRPr="00FD40B8">
        <w:rPr>
          <w:color w:val="131727" w:themeColor="text1"/>
        </w:rPr>
        <w:t>data</w:t>
      </w:r>
      <w:r w:rsidRPr="00FD40B8">
        <w:rPr>
          <w:color w:val="131727" w:themeColor="text1"/>
          <w:spacing w:val="40"/>
        </w:rPr>
        <w:t xml:space="preserve"> </w:t>
      </w:r>
      <w:r w:rsidRPr="00FD40B8">
        <w:rPr>
          <w:color w:val="131727" w:themeColor="text1"/>
        </w:rPr>
        <w:t>on</w:t>
      </w:r>
      <w:r w:rsidRPr="00FD40B8">
        <w:rPr>
          <w:color w:val="131727" w:themeColor="text1"/>
          <w:spacing w:val="40"/>
        </w:rPr>
        <w:t xml:space="preserve"> </w:t>
      </w:r>
      <w:r w:rsidRPr="00FD40B8">
        <w:rPr>
          <w:color w:val="131727" w:themeColor="text1"/>
        </w:rPr>
        <w:t>Aboriginal</w:t>
      </w:r>
      <w:r w:rsidRPr="00FD40B8">
        <w:rPr>
          <w:color w:val="131727" w:themeColor="text1"/>
          <w:spacing w:val="40"/>
        </w:rPr>
        <w:t xml:space="preserve"> </w:t>
      </w:r>
      <w:r w:rsidRPr="00FD40B8">
        <w:rPr>
          <w:color w:val="131727" w:themeColor="text1"/>
        </w:rPr>
        <w:t>and</w:t>
      </w:r>
      <w:r w:rsidRPr="00FD40B8">
        <w:rPr>
          <w:color w:val="131727" w:themeColor="text1"/>
          <w:spacing w:val="40"/>
        </w:rPr>
        <w:t xml:space="preserve"> </w:t>
      </w:r>
      <w:r w:rsidRPr="00FD40B8">
        <w:rPr>
          <w:color w:val="131727" w:themeColor="text1"/>
        </w:rPr>
        <w:t>Torres</w:t>
      </w:r>
      <w:r w:rsidRPr="00FD40B8">
        <w:rPr>
          <w:color w:val="131727" w:themeColor="text1"/>
          <w:spacing w:val="40"/>
        </w:rPr>
        <w:t xml:space="preserve"> </w:t>
      </w:r>
      <w:r w:rsidRPr="00FD40B8">
        <w:rPr>
          <w:color w:val="131727" w:themeColor="text1"/>
        </w:rPr>
        <w:t>Strait</w:t>
      </w:r>
      <w:r w:rsidRPr="00FD40B8">
        <w:rPr>
          <w:color w:val="131727" w:themeColor="text1"/>
          <w:spacing w:val="40"/>
        </w:rPr>
        <w:t xml:space="preserve"> </w:t>
      </w:r>
      <w:r w:rsidRPr="00FD40B8">
        <w:rPr>
          <w:color w:val="131727" w:themeColor="text1"/>
        </w:rPr>
        <w:t>Islander</w:t>
      </w:r>
      <w:r w:rsidRPr="00FD40B8">
        <w:rPr>
          <w:color w:val="131727" w:themeColor="text1"/>
          <w:spacing w:val="40"/>
        </w:rPr>
        <w:t xml:space="preserve"> </w:t>
      </w:r>
      <w:r w:rsidRPr="00FD40B8">
        <w:rPr>
          <w:color w:val="131727" w:themeColor="text1"/>
        </w:rPr>
        <w:t>Housing</w:t>
      </w:r>
      <w:hyperlink w:anchor="_bookmark111" w:history="1">
        <w:r w:rsidRPr="00FD40B8">
          <w:rPr>
            <w:color w:val="131727" w:themeColor="text1"/>
            <w:position w:val="9"/>
            <w:sz w:val="23"/>
          </w:rPr>
          <w:t>88</w:t>
        </w:r>
      </w:hyperlink>
    </w:p>
    <w:p w14:paraId="21A58D62" w14:textId="77777777" w:rsidR="00811887" w:rsidRPr="00FD40B8" w:rsidRDefault="00811887" w:rsidP="00811887">
      <w:pPr>
        <w:spacing w:before="85"/>
        <w:ind w:left="136"/>
        <w:rPr>
          <w:rFonts w:ascii="Book Antiqua"/>
          <w:b/>
          <w:color w:val="131727" w:themeColor="text1"/>
          <w:sz w:val="21"/>
        </w:rPr>
      </w:pPr>
      <w:r w:rsidRPr="00FD40B8">
        <w:rPr>
          <w:rFonts w:ascii="Book Antiqua"/>
          <w:b/>
          <w:color w:val="131727" w:themeColor="text1"/>
          <w:sz w:val="21"/>
        </w:rPr>
        <w:t>Table</w:t>
      </w:r>
      <w:r w:rsidRPr="00FD40B8">
        <w:rPr>
          <w:rFonts w:ascii="Book Antiqua"/>
          <w:b/>
          <w:color w:val="131727" w:themeColor="text1"/>
          <w:spacing w:val="-5"/>
          <w:sz w:val="21"/>
        </w:rPr>
        <w:t xml:space="preserve"> </w:t>
      </w:r>
      <w:r w:rsidRPr="00FD40B8">
        <w:rPr>
          <w:rFonts w:ascii="Book Antiqua"/>
          <w:b/>
          <w:color w:val="131727" w:themeColor="text1"/>
          <w:sz w:val="21"/>
        </w:rPr>
        <w:t>B1:</w:t>
      </w:r>
      <w:r w:rsidRPr="00FD40B8">
        <w:rPr>
          <w:rFonts w:ascii="Book Antiqua"/>
          <w:b/>
          <w:color w:val="131727" w:themeColor="text1"/>
          <w:spacing w:val="-5"/>
          <w:sz w:val="21"/>
        </w:rPr>
        <w:t xml:space="preserve"> </w:t>
      </w:r>
      <w:r w:rsidRPr="00FD40B8">
        <w:rPr>
          <w:rFonts w:ascii="Book Antiqua"/>
          <w:b/>
          <w:color w:val="131727" w:themeColor="text1"/>
          <w:sz w:val="21"/>
        </w:rPr>
        <w:t>Comparison</w:t>
      </w:r>
      <w:r w:rsidRPr="00FD40B8">
        <w:rPr>
          <w:rFonts w:ascii="Book Antiqua"/>
          <w:b/>
          <w:color w:val="131727" w:themeColor="text1"/>
          <w:spacing w:val="-8"/>
          <w:sz w:val="21"/>
        </w:rPr>
        <w:t xml:space="preserve"> </w:t>
      </w:r>
      <w:r w:rsidRPr="00FD40B8">
        <w:rPr>
          <w:rFonts w:ascii="Book Antiqua"/>
          <w:b/>
          <w:color w:val="131727" w:themeColor="text1"/>
          <w:sz w:val="21"/>
        </w:rPr>
        <w:t>of</w:t>
      </w:r>
      <w:r w:rsidRPr="00FD40B8">
        <w:rPr>
          <w:rFonts w:ascii="Book Antiqua"/>
          <w:b/>
          <w:color w:val="131727" w:themeColor="text1"/>
          <w:spacing w:val="-5"/>
          <w:sz w:val="21"/>
        </w:rPr>
        <w:t xml:space="preserve"> </w:t>
      </w:r>
      <w:r w:rsidRPr="00FD40B8">
        <w:rPr>
          <w:rFonts w:ascii="Book Antiqua"/>
          <w:b/>
          <w:color w:val="131727" w:themeColor="text1"/>
          <w:sz w:val="21"/>
        </w:rPr>
        <w:t>ABS</w:t>
      </w:r>
      <w:r w:rsidRPr="00FD40B8">
        <w:rPr>
          <w:rFonts w:ascii="Book Antiqua"/>
          <w:b/>
          <w:color w:val="131727" w:themeColor="text1"/>
          <w:spacing w:val="-8"/>
          <w:sz w:val="21"/>
        </w:rPr>
        <w:t xml:space="preserve"> </w:t>
      </w:r>
      <w:r w:rsidRPr="00FD40B8">
        <w:rPr>
          <w:rFonts w:ascii="Book Antiqua"/>
          <w:b/>
          <w:color w:val="131727" w:themeColor="text1"/>
          <w:sz w:val="21"/>
        </w:rPr>
        <w:t>surveys</w:t>
      </w:r>
      <w:r w:rsidRPr="00FD40B8">
        <w:rPr>
          <w:rFonts w:ascii="Book Antiqua"/>
          <w:b/>
          <w:color w:val="131727" w:themeColor="text1"/>
          <w:spacing w:val="-7"/>
          <w:sz w:val="21"/>
        </w:rPr>
        <w:t xml:space="preserve"> </w:t>
      </w:r>
      <w:r w:rsidRPr="00FD40B8">
        <w:rPr>
          <w:rFonts w:ascii="Book Antiqua"/>
          <w:b/>
          <w:color w:val="131727" w:themeColor="text1"/>
          <w:sz w:val="21"/>
        </w:rPr>
        <w:t>that</w:t>
      </w:r>
      <w:r w:rsidRPr="00FD40B8">
        <w:rPr>
          <w:rFonts w:ascii="Book Antiqua"/>
          <w:b/>
          <w:color w:val="131727" w:themeColor="text1"/>
          <w:spacing w:val="-4"/>
          <w:sz w:val="21"/>
        </w:rPr>
        <w:t xml:space="preserve"> </w:t>
      </w:r>
      <w:r w:rsidRPr="00FD40B8">
        <w:rPr>
          <w:rFonts w:ascii="Book Antiqua"/>
          <w:b/>
          <w:color w:val="131727" w:themeColor="text1"/>
          <w:sz w:val="21"/>
        </w:rPr>
        <w:t>include</w:t>
      </w:r>
      <w:r w:rsidRPr="00FD40B8">
        <w:rPr>
          <w:rFonts w:ascii="Book Antiqua"/>
          <w:b/>
          <w:color w:val="131727" w:themeColor="text1"/>
          <w:spacing w:val="-9"/>
          <w:sz w:val="21"/>
        </w:rPr>
        <w:t xml:space="preserve"> </w:t>
      </w:r>
      <w:r w:rsidRPr="00FD40B8">
        <w:rPr>
          <w:rFonts w:ascii="Book Antiqua"/>
          <w:b/>
          <w:color w:val="131727" w:themeColor="text1"/>
          <w:sz w:val="21"/>
        </w:rPr>
        <w:t>information</w:t>
      </w:r>
      <w:r w:rsidRPr="00FD40B8">
        <w:rPr>
          <w:rFonts w:ascii="Book Antiqua"/>
          <w:b/>
          <w:color w:val="131727" w:themeColor="text1"/>
          <w:spacing w:val="-8"/>
          <w:sz w:val="21"/>
        </w:rPr>
        <w:t xml:space="preserve"> </w:t>
      </w:r>
      <w:r w:rsidRPr="00FD40B8">
        <w:rPr>
          <w:rFonts w:ascii="Book Antiqua"/>
          <w:b/>
          <w:color w:val="131727" w:themeColor="text1"/>
          <w:sz w:val="21"/>
        </w:rPr>
        <w:t>of</w:t>
      </w:r>
      <w:r w:rsidRPr="00FD40B8">
        <w:rPr>
          <w:rFonts w:ascii="Book Antiqua"/>
          <w:b/>
          <w:color w:val="131727" w:themeColor="text1"/>
          <w:spacing w:val="-5"/>
          <w:sz w:val="21"/>
        </w:rPr>
        <w:t xml:space="preserve"> </w:t>
      </w:r>
      <w:r w:rsidRPr="00FD40B8">
        <w:rPr>
          <w:rFonts w:ascii="Book Antiqua"/>
          <w:b/>
          <w:color w:val="131727" w:themeColor="text1"/>
          <w:sz w:val="21"/>
        </w:rPr>
        <w:t>Aboriginal</w:t>
      </w:r>
      <w:r w:rsidRPr="00FD40B8">
        <w:rPr>
          <w:rFonts w:ascii="Book Antiqua"/>
          <w:b/>
          <w:color w:val="131727" w:themeColor="text1"/>
          <w:spacing w:val="-7"/>
          <w:sz w:val="21"/>
        </w:rPr>
        <w:t xml:space="preserve"> </w:t>
      </w:r>
      <w:r w:rsidRPr="00FD40B8">
        <w:rPr>
          <w:rFonts w:ascii="Book Antiqua"/>
          <w:b/>
          <w:color w:val="131727" w:themeColor="text1"/>
          <w:sz w:val="21"/>
        </w:rPr>
        <w:t>and</w:t>
      </w:r>
      <w:r w:rsidRPr="00FD40B8">
        <w:rPr>
          <w:rFonts w:ascii="Book Antiqua"/>
          <w:b/>
          <w:color w:val="131727" w:themeColor="text1"/>
          <w:spacing w:val="-4"/>
          <w:sz w:val="21"/>
        </w:rPr>
        <w:t xml:space="preserve"> </w:t>
      </w:r>
      <w:r w:rsidRPr="00FD40B8">
        <w:rPr>
          <w:rFonts w:ascii="Book Antiqua"/>
          <w:b/>
          <w:color w:val="131727" w:themeColor="text1"/>
          <w:sz w:val="21"/>
        </w:rPr>
        <w:t>Torres</w:t>
      </w:r>
      <w:r w:rsidRPr="00FD40B8">
        <w:rPr>
          <w:rFonts w:ascii="Book Antiqua"/>
          <w:b/>
          <w:color w:val="131727" w:themeColor="text1"/>
          <w:spacing w:val="-7"/>
          <w:sz w:val="21"/>
        </w:rPr>
        <w:t xml:space="preserve"> </w:t>
      </w:r>
      <w:r w:rsidRPr="00FD40B8">
        <w:rPr>
          <w:rFonts w:ascii="Book Antiqua"/>
          <w:b/>
          <w:color w:val="131727" w:themeColor="text1"/>
          <w:sz w:val="21"/>
        </w:rPr>
        <w:t>Strait</w:t>
      </w:r>
      <w:r w:rsidRPr="00FD40B8">
        <w:rPr>
          <w:rFonts w:ascii="Book Antiqua"/>
          <w:b/>
          <w:color w:val="131727" w:themeColor="text1"/>
          <w:spacing w:val="-4"/>
          <w:sz w:val="21"/>
        </w:rPr>
        <w:t xml:space="preserve"> </w:t>
      </w:r>
      <w:r w:rsidRPr="00FD40B8">
        <w:rPr>
          <w:rFonts w:ascii="Book Antiqua"/>
          <w:b/>
          <w:color w:val="131727" w:themeColor="text1"/>
          <w:sz w:val="21"/>
        </w:rPr>
        <w:t>Islander</w:t>
      </w:r>
      <w:r w:rsidRPr="00FD40B8">
        <w:rPr>
          <w:rFonts w:ascii="Book Antiqua"/>
          <w:b/>
          <w:color w:val="131727" w:themeColor="text1"/>
          <w:spacing w:val="-4"/>
          <w:sz w:val="21"/>
        </w:rPr>
        <w:t xml:space="preserve"> </w:t>
      </w:r>
      <w:r w:rsidRPr="00FD40B8">
        <w:rPr>
          <w:rFonts w:ascii="Book Antiqua"/>
          <w:b/>
          <w:color w:val="131727" w:themeColor="text1"/>
          <w:spacing w:val="-2"/>
          <w:sz w:val="21"/>
        </w:rPr>
        <w:t>housing</w:t>
      </w:r>
    </w:p>
    <w:p w14:paraId="672DB866" w14:textId="77777777" w:rsidR="00811887" w:rsidRPr="00FD40B8" w:rsidRDefault="00811887" w:rsidP="00811887">
      <w:pPr>
        <w:pStyle w:val="BodyText"/>
        <w:spacing w:before="4"/>
        <w:rPr>
          <w:rFonts w:ascii="Book Antiqua"/>
          <w:b/>
          <w:color w:val="131727" w:themeColor="text1"/>
          <w:sz w:val="5"/>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2751"/>
        <w:gridCol w:w="3467"/>
        <w:gridCol w:w="3202"/>
        <w:gridCol w:w="3207"/>
      </w:tblGrid>
      <w:tr w:rsidR="00811887" w:rsidRPr="00FD40B8" w14:paraId="11222088" w14:textId="77777777" w:rsidTr="00486E22">
        <w:trPr>
          <w:trHeight w:val="479"/>
        </w:trPr>
        <w:tc>
          <w:tcPr>
            <w:tcW w:w="1546" w:type="dxa"/>
            <w:shd w:val="clear" w:color="auto" w:fill="91A9A2"/>
          </w:tcPr>
          <w:p w14:paraId="60080C0D" w14:textId="77777777" w:rsidR="00811887" w:rsidRPr="00FD40B8" w:rsidRDefault="00811887" w:rsidP="00486E22">
            <w:pPr>
              <w:pStyle w:val="TableParagraph"/>
              <w:spacing w:before="156" w:line="240" w:lineRule="auto"/>
              <w:ind w:left="18" w:right="6"/>
              <w:jc w:val="center"/>
              <w:rPr>
                <w:rFonts w:ascii="Garamond"/>
                <w:b/>
                <w:color w:val="131727" w:themeColor="text1"/>
                <w:sz w:val="18"/>
              </w:rPr>
            </w:pPr>
            <w:r w:rsidRPr="00FD40B8">
              <w:rPr>
                <w:rFonts w:ascii="Garamond"/>
                <w:b/>
                <w:color w:val="131727" w:themeColor="text1"/>
                <w:spacing w:val="-2"/>
                <w:sz w:val="18"/>
              </w:rPr>
              <w:t>Collection</w:t>
            </w:r>
          </w:p>
        </w:tc>
        <w:tc>
          <w:tcPr>
            <w:tcW w:w="2751" w:type="dxa"/>
            <w:shd w:val="clear" w:color="auto" w:fill="91A9A2"/>
          </w:tcPr>
          <w:p w14:paraId="2FC33740" w14:textId="77777777" w:rsidR="00811887" w:rsidRPr="00FD40B8" w:rsidRDefault="00811887" w:rsidP="00486E22">
            <w:pPr>
              <w:pStyle w:val="TableParagraph"/>
              <w:spacing w:line="240" w:lineRule="exact"/>
              <w:ind w:left="676" w:hanging="284"/>
              <w:rPr>
                <w:rFonts w:ascii="Garamond"/>
                <w:b/>
                <w:color w:val="131727" w:themeColor="text1"/>
                <w:sz w:val="18"/>
              </w:rPr>
            </w:pPr>
            <w:r w:rsidRPr="00FD40B8">
              <w:rPr>
                <w:rFonts w:ascii="Garamond"/>
                <w:b/>
                <w:color w:val="131727" w:themeColor="text1"/>
                <w:sz w:val="18"/>
              </w:rPr>
              <w:t>Census</w:t>
            </w:r>
            <w:r w:rsidRPr="00FD40B8">
              <w:rPr>
                <w:rFonts w:ascii="Garamond"/>
                <w:b/>
                <w:color w:val="131727" w:themeColor="text1"/>
                <w:spacing w:val="-12"/>
                <w:sz w:val="18"/>
              </w:rPr>
              <w:t xml:space="preserve"> </w:t>
            </w:r>
            <w:r w:rsidRPr="00FD40B8">
              <w:rPr>
                <w:rFonts w:ascii="Garamond"/>
                <w:b/>
                <w:color w:val="131727" w:themeColor="text1"/>
                <w:sz w:val="18"/>
              </w:rPr>
              <w:t>of</w:t>
            </w:r>
            <w:r w:rsidRPr="00FD40B8">
              <w:rPr>
                <w:rFonts w:ascii="Garamond"/>
                <w:b/>
                <w:color w:val="131727" w:themeColor="text1"/>
                <w:spacing w:val="-11"/>
                <w:sz w:val="18"/>
              </w:rPr>
              <w:t xml:space="preserve"> </w:t>
            </w:r>
            <w:r w:rsidRPr="00FD40B8">
              <w:rPr>
                <w:rFonts w:ascii="Garamond"/>
                <w:b/>
                <w:color w:val="131727" w:themeColor="text1"/>
                <w:sz w:val="18"/>
              </w:rPr>
              <w:t>Population</w:t>
            </w:r>
            <w:r w:rsidRPr="00FD40B8">
              <w:rPr>
                <w:rFonts w:ascii="Garamond"/>
                <w:b/>
                <w:color w:val="131727" w:themeColor="text1"/>
                <w:spacing w:val="-11"/>
                <w:sz w:val="18"/>
              </w:rPr>
              <w:t xml:space="preserve"> </w:t>
            </w:r>
            <w:r w:rsidRPr="00FD40B8">
              <w:rPr>
                <w:rFonts w:ascii="Garamond"/>
                <w:b/>
                <w:color w:val="131727" w:themeColor="text1"/>
                <w:sz w:val="18"/>
              </w:rPr>
              <w:t>and Housing (Census)</w:t>
            </w:r>
          </w:p>
        </w:tc>
        <w:tc>
          <w:tcPr>
            <w:tcW w:w="3467" w:type="dxa"/>
            <w:shd w:val="clear" w:color="auto" w:fill="91A9A2"/>
          </w:tcPr>
          <w:p w14:paraId="6F2B54A2" w14:textId="77777777" w:rsidR="00811887" w:rsidRPr="00FD40B8" w:rsidRDefault="00811887" w:rsidP="00486E22">
            <w:pPr>
              <w:pStyle w:val="TableParagraph"/>
              <w:spacing w:line="240" w:lineRule="exact"/>
              <w:ind w:left="374" w:right="299" w:hanging="63"/>
              <w:rPr>
                <w:rFonts w:ascii="Garamond"/>
                <w:b/>
                <w:color w:val="131727" w:themeColor="text1"/>
                <w:sz w:val="18"/>
              </w:rPr>
            </w:pPr>
            <w:r w:rsidRPr="00FD40B8">
              <w:rPr>
                <w:rFonts w:ascii="Garamond"/>
                <w:b/>
                <w:color w:val="131727" w:themeColor="text1"/>
                <w:sz w:val="18"/>
              </w:rPr>
              <w:t>National</w:t>
            </w:r>
            <w:r w:rsidRPr="00FD40B8">
              <w:rPr>
                <w:rFonts w:ascii="Garamond"/>
                <w:b/>
                <w:color w:val="131727" w:themeColor="text1"/>
                <w:spacing w:val="-12"/>
                <w:sz w:val="18"/>
              </w:rPr>
              <w:t xml:space="preserve"> </w:t>
            </w:r>
            <w:r w:rsidRPr="00FD40B8">
              <w:rPr>
                <w:rFonts w:ascii="Garamond"/>
                <w:b/>
                <w:color w:val="131727" w:themeColor="text1"/>
                <w:sz w:val="18"/>
              </w:rPr>
              <w:t>Aboriginal</w:t>
            </w:r>
            <w:r w:rsidRPr="00FD40B8">
              <w:rPr>
                <w:rFonts w:ascii="Garamond"/>
                <w:b/>
                <w:color w:val="131727" w:themeColor="text1"/>
                <w:spacing w:val="-11"/>
                <w:sz w:val="18"/>
              </w:rPr>
              <w:t xml:space="preserve"> </w:t>
            </w:r>
            <w:r w:rsidRPr="00FD40B8">
              <w:rPr>
                <w:rFonts w:ascii="Garamond"/>
                <w:b/>
                <w:color w:val="131727" w:themeColor="text1"/>
                <w:sz w:val="18"/>
              </w:rPr>
              <w:t>and</w:t>
            </w:r>
            <w:r w:rsidRPr="00FD40B8">
              <w:rPr>
                <w:rFonts w:ascii="Garamond"/>
                <w:b/>
                <w:color w:val="131727" w:themeColor="text1"/>
                <w:spacing w:val="-8"/>
                <w:sz w:val="18"/>
              </w:rPr>
              <w:t xml:space="preserve"> </w:t>
            </w:r>
            <w:r w:rsidRPr="00FD40B8">
              <w:rPr>
                <w:rFonts w:ascii="Garamond"/>
                <w:b/>
                <w:color w:val="131727" w:themeColor="text1"/>
                <w:sz w:val="18"/>
              </w:rPr>
              <w:t>Torres</w:t>
            </w:r>
            <w:r w:rsidRPr="00FD40B8">
              <w:rPr>
                <w:rFonts w:ascii="Garamond"/>
                <w:b/>
                <w:color w:val="131727" w:themeColor="text1"/>
                <w:spacing w:val="-8"/>
                <w:sz w:val="18"/>
              </w:rPr>
              <w:t xml:space="preserve"> </w:t>
            </w:r>
            <w:r w:rsidRPr="00FD40B8">
              <w:rPr>
                <w:rFonts w:ascii="Garamond"/>
                <w:b/>
                <w:color w:val="131727" w:themeColor="text1"/>
                <w:sz w:val="18"/>
              </w:rPr>
              <w:t>Strait Islander Health Survey (NATSIHS)</w:t>
            </w:r>
          </w:p>
        </w:tc>
        <w:tc>
          <w:tcPr>
            <w:tcW w:w="3202" w:type="dxa"/>
            <w:shd w:val="clear" w:color="auto" w:fill="91A9A2"/>
          </w:tcPr>
          <w:p w14:paraId="6C5AC881" w14:textId="77777777" w:rsidR="00811887" w:rsidRPr="00FD40B8" w:rsidRDefault="00811887" w:rsidP="00486E22">
            <w:pPr>
              <w:pStyle w:val="TableParagraph"/>
              <w:spacing w:line="240" w:lineRule="exact"/>
              <w:ind w:left="311" w:hanging="130"/>
              <w:rPr>
                <w:rFonts w:ascii="Garamond"/>
                <w:b/>
                <w:color w:val="131727" w:themeColor="text1"/>
                <w:sz w:val="18"/>
              </w:rPr>
            </w:pPr>
            <w:r w:rsidRPr="00FD40B8">
              <w:rPr>
                <w:rFonts w:ascii="Garamond"/>
                <w:b/>
                <w:color w:val="131727" w:themeColor="text1"/>
                <w:sz w:val="18"/>
              </w:rPr>
              <w:t>National</w:t>
            </w:r>
            <w:r w:rsidRPr="00FD40B8">
              <w:rPr>
                <w:rFonts w:ascii="Garamond"/>
                <w:b/>
                <w:color w:val="131727" w:themeColor="text1"/>
                <w:spacing w:val="-12"/>
                <w:sz w:val="18"/>
              </w:rPr>
              <w:t xml:space="preserve"> </w:t>
            </w:r>
            <w:r w:rsidRPr="00FD40B8">
              <w:rPr>
                <w:rFonts w:ascii="Garamond"/>
                <w:b/>
                <w:color w:val="131727" w:themeColor="text1"/>
                <w:sz w:val="18"/>
              </w:rPr>
              <w:t>Aboriginal</w:t>
            </w:r>
            <w:r w:rsidRPr="00FD40B8">
              <w:rPr>
                <w:rFonts w:ascii="Garamond"/>
                <w:b/>
                <w:color w:val="131727" w:themeColor="text1"/>
                <w:spacing w:val="-11"/>
                <w:sz w:val="18"/>
              </w:rPr>
              <w:t xml:space="preserve"> </w:t>
            </w:r>
            <w:r w:rsidRPr="00FD40B8">
              <w:rPr>
                <w:rFonts w:ascii="Garamond"/>
                <w:b/>
                <w:color w:val="131727" w:themeColor="text1"/>
                <w:sz w:val="18"/>
              </w:rPr>
              <w:t>and</w:t>
            </w:r>
            <w:r w:rsidRPr="00FD40B8">
              <w:rPr>
                <w:rFonts w:ascii="Garamond"/>
                <w:b/>
                <w:color w:val="131727" w:themeColor="text1"/>
                <w:spacing w:val="-8"/>
                <w:sz w:val="18"/>
              </w:rPr>
              <w:t xml:space="preserve"> </w:t>
            </w:r>
            <w:r w:rsidRPr="00FD40B8">
              <w:rPr>
                <w:rFonts w:ascii="Garamond"/>
                <w:b/>
                <w:color w:val="131727" w:themeColor="text1"/>
                <w:sz w:val="18"/>
              </w:rPr>
              <w:t>Torres</w:t>
            </w:r>
            <w:r w:rsidRPr="00FD40B8">
              <w:rPr>
                <w:rFonts w:ascii="Garamond"/>
                <w:b/>
                <w:color w:val="131727" w:themeColor="text1"/>
                <w:spacing w:val="-8"/>
                <w:sz w:val="18"/>
              </w:rPr>
              <w:t xml:space="preserve"> </w:t>
            </w:r>
            <w:r w:rsidRPr="00FD40B8">
              <w:rPr>
                <w:rFonts w:ascii="Garamond"/>
                <w:b/>
                <w:color w:val="131727" w:themeColor="text1"/>
                <w:sz w:val="18"/>
              </w:rPr>
              <w:t>Strait Islander Social Survey (NATSISS)</w:t>
            </w:r>
          </w:p>
        </w:tc>
        <w:tc>
          <w:tcPr>
            <w:tcW w:w="3207" w:type="dxa"/>
            <w:shd w:val="clear" w:color="auto" w:fill="91A9A2"/>
          </w:tcPr>
          <w:p w14:paraId="71CAEE3A" w14:textId="77777777" w:rsidR="00811887" w:rsidRPr="00FD40B8" w:rsidRDefault="00811887" w:rsidP="00486E22">
            <w:pPr>
              <w:pStyle w:val="TableParagraph"/>
              <w:spacing w:before="156" w:line="240" w:lineRule="auto"/>
              <w:ind w:left="16"/>
              <w:jc w:val="center"/>
              <w:rPr>
                <w:rFonts w:ascii="Garamond"/>
                <w:b/>
                <w:color w:val="131727" w:themeColor="text1"/>
                <w:sz w:val="18"/>
              </w:rPr>
            </w:pPr>
            <w:r w:rsidRPr="00FD40B8">
              <w:rPr>
                <w:rFonts w:ascii="Garamond"/>
                <w:b/>
                <w:color w:val="131727" w:themeColor="text1"/>
                <w:sz w:val="18"/>
              </w:rPr>
              <w:t>Census</w:t>
            </w:r>
            <w:r w:rsidRPr="00FD40B8">
              <w:rPr>
                <w:rFonts w:ascii="Garamond"/>
                <w:b/>
                <w:color w:val="131727" w:themeColor="text1"/>
                <w:spacing w:val="-6"/>
                <w:sz w:val="18"/>
              </w:rPr>
              <w:t xml:space="preserve"> </w:t>
            </w:r>
            <w:r w:rsidRPr="00FD40B8">
              <w:rPr>
                <w:rFonts w:ascii="Garamond"/>
                <w:b/>
                <w:color w:val="131727" w:themeColor="text1"/>
                <w:sz w:val="18"/>
              </w:rPr>
              <w:t>Estimates</w:t>
            </w:r>
            <w:r w:rsidRPr="00FD40B8">
              <w:rPr>
                <w:rFonts w:ascii="Garamond"/>
                <w:b/>
                <w:color w:val="131727" w:themeColor="text1"/>
                <w:spacing w:val="-5"/>
                <w:sz w:val="18"/>
              </w:rPr>
              <w:t xml:space="preserve"> </w:t>
            </w:r>
            <w:r w:rsidRPr="00FD40B8">
              <w:rPr>
                <w:rFonts w:ascii="Garamond"/>
                <w:b/>
                <w:color w:val="131727" w:themeColor="text1"/>
                <w:sz w:val="18"/>
              </w:rPr>
              <w:t>of</w:t>
            </w:r>
            <w:r w:rsidRPr="00FD40B8">
              <w:rPr>
                <w:rFonts w:ascii="Garamond"/>
                <w:b/>
                <w:color w:val="131727" w:themeColor="text1"/>
                <w:spacing w:val="-3"/>
                <w:sz w:val="18"/>
              </w:rPr>
              <w:t xml:space="preserve"> </w:t>
            </w:r>
            <w:r w:rsidRPr="00FD40B8">
              <w:rPr>
                <w:rFonts w:ascii="Garamond"/>
                <w:b/>
                <w:color w:val="131727" w:themeColor="text1"/>
                <w:spacing w:val="-2"/>
                <w:sz w:val="18"/>
              </w:rPr>
              <w:t>Homelessness</w:t>
            </w:r>
          </w:p>
        </w:tc>
      </w:tr>
      <w:tr w:rsidR="00811887" w:rsidRPr="00FD40B8" w14:paraId="13DA94EC" w14:textId="77777777" w:rsidTr="00486E22">
        <w:trPr>
          <w:trHeight w:val="960"/>
        </w:trPr>
        <w:tc>
          <w:tcPr>
            <w:tcW w:w="1546" w:type="dxa"/>
            <w:shd w:val="clear" w:color="auto" w:fill="91A9A2"/>
          </w:tcPr>
          <w:p w14:paraId="6546C5D0" w14:textId="77777777" w:rsidR="00811887" w:rsidRPr="00FD40B8" w:rsidRDefault="00811887" w:rsidP="00486E22">
            <w:pPr>
              <w:pStyle w:val="TableParagraph"/>
              <w:spacing w:before="36" w:line="285" w:lineRule="auto"/>
              <w:ind w:left="307" w:right="292" w:hanging="1"/>
              <w:jc w:val="center"/>
              <w:rPr>
                <w:rFonts w:ascii="Garamond"/>
                <w:b/>
                <w:color w:val="131727" w:themeColor="text1"/>
                <w:sz w:val="18"/>
              </w:rPr>
            </w:pPr>
            <w:r w:rsidRPr="00FD40B8">
              <w:rPr>
                <w:rFonts w:ascii="Garamond"/>
                <w:b/>
                <w:color w:val="131727" w:themeColor="text1"/>
                <w:spacing w:val="-2"/>
                <w:sz w:val="18"/>
              </w:rPr>
              <w:t xml:space="preserve">Applicable </w:t>
            </w:r>
            <w:r w:rsidRPr="00FD40B8">
              <w:rPr>
                <w:rFonts w:ascii="Garamond"/>
                <w:b/>
                <w:color w:val="131727" w:themeColor="text1"/>
                <w:sz w:val="18"/>
              </w:rPr>
              <w:t>population</w:t>
            </w:r>
            <w:r w:rsidRPr="00FD40B8">
              <w:rPr>
                <w:rFonts w:ascii="Garamond"/>
                <w:b/>
                <w:color w:val="131727" w:themeColor="text1"/>
                <w:spacing w:val="-12"/>
                <w:sz w:val="18"/>
              </w:rPr>
              <w:t xml:space="preserve"> </w:t>
            </w:r>
            <w:r w:rsidRPr="00FD40B8">
              <w:rPr>
                <w:rFonts w:ascii="Garamond"/>
                <w:b/>
                <w:color w:val="131727" w:themeColor="text1"/>
                <w:sz w:val="18"/>
              </w:rPr>
              <w:t xml:space="preserve">- </w:t>
            </w:r>
            <w:r w:rsidRPr="00FD40B8">
              <w:rPr>
                <w:rFonts w:ascii="Garamond"/>
                <w:b/>
                <w:color w:val="131727" w:themeColor="text1"/>
                <w:spacing w:val="-2"/>
                <w:sz w:val="18"/>
              </w:rPr>
              <w:t>housing</w:t>
            </w:r>
          </w:p>
          <w:p w14:paraId="671FB68B" w14:textId="77777777" w:rsidR="00811887" w:rsidRPr="00FD40B8" w:rsidRDefault="00811887" w:rsidP="00486E22">
            <w:pPr>
              <w:pStyle w:val="TableParagraph"/>
              <w:spacing w:line="181" w:lineRule="exact"/>
              <w:ind w:left="18" w:right="1"/>
              <w:jc w:val="center"/>
              <w:rPr>
                <w:rFonts w:ascii="Garamond"/>
                <w:b/>
                <w:color w:val="131727" w:themeColor="text1"/>
                <w:sz w:val="18"/>
              </w:rPr>
            </w:pPr>
            <w:r w:rsidRPr="00FD40B8">
              <w:rPr>
                <w:rFonts w:ascii="Garamond"/>
                <w:b/>
                <w:color w:val="131727" w:themeColor="text1"/>
                <w:spacing w:val="-2"/>
                <w:sz w:val="18"/>
              </w:rPr>
              <w:t>questions</w:t>
            </w:r>
          </w:p>
        </w:tc>
        <w:tc>
          <w:tcPr>
            <w:tcW w:w="2751" w:type="dxa"/>
            <w:shd w:val="clear" w:color="auto" w:fill="EEF1F4"/>
          </w:tcPr>
          <w:p w14:paraId="46AAE79C" w14:textId="77777777" w:rsidR="00811887" w:rsidRPr="00FD40B8" w:rsidRDefault="00811887" w:rsidP="00486E22">
            <w:pPr>
              <w:pStyle w:val="TableParagraph"/>
              <w:spacing w:before="163" w:line="240" w:lineRule="auto"/>
              <w:rPr>
                <w:rFonts w:ascii="Book Antiqua"/>
                <w:b/>
                <w:color w:val="131727" w:themeColor="text1"/>
                <w:sz w:val="18"/>
              </w:rPr>
            </w:pPr>
          </w:p>
          <w:p w14:paraId="258421D7" w14:textId="77777777" w:rsidR="00811887" w:rsidRPr="00FD40B8" w:rsidRDefault="00811887" w:rsidP="00486E22">
            <w:pPr>
              <w:pStyle w:val="TableParagraph"/>
              <w:spacing w:line="240" w:lineRule="auto"/>
              <w:ind w:left="148" w:right="132"/>
              <w:jc w:val="center"/>
              <w:rPr>
                <w:color w:val="131727" w:themeColor="text1"/>
                <w:sz w:val="18"/>
              </w:rPr>
            </w:pPr>
            <w:r w:rsidRPr="00FD40B8">
              <w:rPr>
                <w:color w:val="131727" w:themeColor="text1"/>
                <w:sz w:val="18"/>
              </w:rPr>
              <w:t>All</w:t>
            </w:r>
            <w:r w:rsidRPr="00FD40B8">
              <w:rPr>
                <w:color w:val="131727" w:themeColor="text1"/>
                <w:spacing w:val="9"/>
                <w:sz w:val="18"/>
              </w:rPr>
              <w:t xml:space="preserve"> </w:t>
            </w:r>
            <w:r w:rsidRPr="00FD40B8">
              <w:rPr>
                <w:color w:val="131727" w:themeColor="text1"/>
                <w:spacing w:val="-2"/>
                <w:sz w:val="18"/>
              </w:rPr>
              <w:t>persons</w:t>
            </w:r>
          </w:p>
        </w:tc>
        <w:tc>
          <w:tcPr>
            <w:tcW w:w="3467" w:type="dxa"/>
            <w:shd w:val="clear" w:color="auto" w:fill="EEF1F4"/>
          </w:tcPr>
          <w:p w14:paraId="59130A99" w14:textId="77777777" w:rsidR="00811887" w:rsidRPr="00FD40B8" w:rsidRDefault="00811887" w:rsidP="00486E22">
            <w:pPr>
              <w:pStyle w:val="TableParagraph"/>
              <w:spacing w:before="43" w:line="240" w:lineRule="auto"/>
              <w:rPr>
                <w:rFonts w:ascii="Book Antiqua"/>
                <w:b/>
                <w:color w:val="131727" w:themeColor="text1"/>
                <w:sz w:val="18"/>
              </w:rPr>
            </w:pPr>
          </w:p>
          <w:p w14:paraId="4A8A7316" w14:textId="77777777" w:rsidR="00811887" w:rsidRPr="00FD40B8" w:rsidRDefault="00811887" w:rsidP="00486E22">
            <w:pPr>
              <w:pStyle w:val="TableParagraph"/>
              <w:spacing w:line="261" w:lineRule="auto"/>
              <w:ind w:left="1406" w:hanging="1124"/>
              <w:rPr>
                <w:color w:val="131727" w:themeColor="text1"/>
                <w:sz w:val="18"/>
              </w:rPr>
            </w:pPr>
            <w:r w:rsidRPr="00FD40B8">
              <w:rPr>
                <w:color w:val="131727" w:themeColor="text1"/>
                <w:w w:val="110"/>
                <w:sz w:val="18"/>
              </w:rPr>
              <w:t>Aboriginal</w:t>
            </w:r>
            <w:r w:rsidRPr="00FD40B8">
              <w:rPr>
                <w:color w:val="131727" w:themeColor="text1"/>
                <w:spacing w:val="-6"/>
                <w:w w:val="110"/>
                <w:sz w:val="18"/>
              </w:rPr>
              <w:t xml:space="preserve"> </w:t>
            </w:r>
            <w:r w:rsidRPr="00FD40B8">
              <w:rPr>
                <w:color w:val="131727" w:themeColor="text1"/>
                <w:w w:val="110"/>
                <w:sz w:val="18"/>
              </w:rPr>
              <w:t>and</w:t>
            </w:r>
            <w:r w:rsidRPr="00FD40B8">
              <w:rPr>
                <w:color w:val="131727" w:themeColor="text1"/>
                <w:spacing w:val="-6"/>
                <w:w w:val="110"/>
                <w:sz w:val="18"/>
              </w:rPr>
              <w:t xml:space="preserve"> </w:t>
            </w:r>
            <w:r w:rsidRPr="00FD40B8">
              <w:rPr>
                <w:color w:val="131727" w:themeColor="text1"/>
                <w:w w:val="110"/>
                <w:sz w:val="18"/>
              </w:rPr>
              <w:t>Torres</w:t>
            </w:r>
            <w:r w:rsidRPr="00FD40B8">
              <w:rPr>
                <w:color w:val="131727" w:themeColor="text1"/>
                <w:spacing w:val="-10"/>
                <w:w w:val="110"/>
                <w:sz w:val="18"/>
              </w:rPr>
              <w:t xml:space="preserve"> </w:t>
            </w:r>
            <w:r w:rsidRPr="00FD40B8">
              <w:rPr>
                <w:color w:val="131727" w:themeColor="text1"/>
                <w:w w:val="110"/>
                <w:sz w:val="18"/>
              </w:rPr>
              <w:t>Strait</w:t>
            </w:r>
            <w:r w:rsidRPr="00FD40B8">
              <w:rPr>
                <w:color w:val="131727" w:themeColor="text1"/>
                <w:spacing w:val="-10"/>
                <w:w w:val="110"/>
                <w:sz w:val="18"/>
              </w:rPr>
              <w:t xml:space="preserve"> </w:t>
            </w:r>
            <w:r w:rsidRPr="00FD40B8">
              <w:rPr>
                <w:color w:val="131727" w:themeColor="text1"/>
                <w:w w:val="110"/>
                <w:sz w:val="18"/>
              </w:rPr>
              <w:t xml:space="preserve">Islander </w:t>
            </w:r>
            <w:r w:rsidRPr="00FD40B8">
              <w:rPr>
                <w:color w:val="131727" w:themeColor="text1"/>
                <w:spacing w:val="-2"/>
                <w:w w:val="110"/>
                <w:sz w:val="18"/>
              </w:rPr>
              <w:t>persons</w:t>
            </w:r>
          </w:p>
        </w:tc>
        <w:tc>
          <w:tcPr>
            <w:tcW w:w="3202" w:type="dxa"/>
            <w:shd w:val="clear" w:color="auto" w:fill="EEF1F4"/>
          </w:tcPr>
          <w:p w14:paraId="3C6DF539" w14:textId="77777777" w:rsidR="00811887" w:rsidRPr="00FD40B8" w:rsidRDefault="00811887" w:rsidP="00486E22">
            <w:pPr>
              <w:pStyle w:val="TableParagraph"/>
              <w:spacing w:before="43" w:line="240" w:lineRule="auto"/>
              <w:rPr>
                <w:rFonts w:ascii="Book Antiqua"/>
                <w:b/>
                <w:color w:val="131727" w:themeColor="text1"/>
                <w:sz w:val="18"/>
              </w:rPr>
            </w:pPr>
          </w:p>
          <w:p w14:paraId="61656A91" w14:textId="77777777" w:rsidR="00811887" w:rsidRPr="00FD40B8" w:rsidRDefault="00811887" w:rsidP="00486E22">
            <w:pPr>
              <w:pStyle w:val="TableParagraph"/>
              <w:spacing w:line="261" w:lineRule="auto"/>
              <w:ind w:left="1276" w:hanging="1124"/>
              <w:rPr>
                <w:color w:val="131727" w:themeColor="text1"/>
                <w:sz w:val="18"/>
              </w:rPr>
            </w:pPr>
            <w:r w:rsidRPr="00FD40B8">
              <w:rPr>
                <w:color w:val="131727" w:themeColor="text1"/>
                <w:w w:val="110"/>
                <w:sz w:val="18"/>
              </w:rPr>
              <w:t>Aboriginal</w:t>
            </w:r>
            <w:r w:rsidRPr="00FD40B8">
              <w:rPr>
                <w:color w:val="131727" w:themeColor="text1"/>
                <w:spacing w:val="-6"/>
                <w:w w:val="110"/>
                <w:sz w:val="18"/>
              </w:rPr>
              <w:t xml:space="preserve"> </w:t>
            </w:r>
            <w:r w:rsidRPr="00FD40B8">
              <w:rPr>
                <w:color w:val="131727" w:themeColor="text1"/>
                <w:w w:val="110"/>
                <w:sz w:val="18"/>
              </w:rPr>
              <w:t>and</w:t>
            </w:r>
            <w:r w:rsidRPr="00FD40B8">
              <w:rPr>
                <w:color w:val="131727" w:themeColor="text1"/>
                <w:spacing w:val="-6"/>
                <w:w w:val="110"/>
                <w:sz w:val="18"/>
              </w:rPr>
              <w:t xml:space="preserve"> </w:t>
            </w:r>
            <w:r w:rsidRPr="00FD40B8">
              <w:rPr>
                <w:color w:val="131727" w:themeColor="text1"/>
                <w:w w:val="110"/>
                <w:sz w:val="18"/>
              </w:rPr>
              <w:t>Torres</w:t>
            </w:r>
            <w:r w:rsidRPr="00FD40B8">
              <w:rPr>
                <w:color w:val="131727" w:themeColor="text1"/>
                <w:spacing w:val="-10"/>
                <w:w w:val="110"/>
                <w:sz w:val="18"/>
              </w:rPr>
              <w:t xml:space="preserve"> </w:t>
            </w:r>
            <w:r w:rsidRPr="00FD40B8">
              <w:rPr>
                <w:color w:val="131727" w:themeColor="text1"/>
                <w:w w:val="110"/>
                <w:sz w:val="18"/>
              </w:rPr>
              <w:t>Strait</w:t>
            </w:r>
            <w:r w:rsidRPr="00FD40B8">
              <w:rPr>
                <w:color w:val="131727" w:themeColor="text1"/>
                <w:spacing w:val="-10"/>
                <w:w w:val="110"/>
                <w:sz w:val="18"/>
              </w:rPr>
              <w:t xml:space="preserve"> </w:t>
            </w:r>
            <w:r w:rsidRPr="00FD40B8">
              <w:rPr>
                <w:color w:val="131727" w:themeColor="text1"/>
                <w:w w:val="110"/>
                <w:sz w:val="18"/>
              </w:rPr>
              <w:t xml:space="preserve">Islander </w:t>
            </w:r>
            <w:r w:rsidRPr="00FD40B8">
              <w:rPr>
                <w:color w:val="131727" w:themeColor="text1"/>
                <w:spacing w:val="-2"/>
                <w:w w:val="110"/>
                <w:sz w:val="18"/>
              </w:rPr>
              <w:t>persons</w:t>
            </w:r>
          </w:p>
        </w:tc>
        <w:tc>
          <w:tcPr>
            <w:tcW w:w="3207" w:type="dxa"/>
            <w:shd w:val="clear" w:color="auto" w:fill="EEF1F4"/>
          </w:tcPr>
          <w:p w14:paraId="0AB614DF" w14:textId="77777777" w:rsidR="00811887" w:rsidRPr="00FD40B8" w:rsidRDefault="00811887" w:rsidP="00486E22">
            <w:pPr>
              <w:pStyle w:val="TableParagraph"/>
              <w:spacing w:before="163" w:line="240" w:lineRule="auto"/>
              <w:rPr>
                <w:rFonts w:ascii="Book Antiqua"/>
                <w:b/>
                <w:color w:val="131727" w:themeColor="text1"/>
                <w:sz w:val="18"/>
              </w:rPr>
            </w:pPr>
          </w:p>
          <w:p w14:paraId="064B5A79" w14:textId="77777777" w:rsidR="00811887" w:rsidRPr="00FD40B8" w:rsidRDefault="00811887" w:rsidP="00486E22">
            <w:pPr>
              <w:pStyle w:val="TableParagraph"/>
              <w:spacing w:line="240" w:lineRule="auto"/>
              <w:ind w:left="16" w:right="4"/>
              <w:jc w:val="center"/>
              <w:rPr>
                <w:color w:val="131727" w:themeColor="text1"/>
                <w:sz w:val="18"/>
              </w:rPr>
            </w:pPr>
            <w:r w:rsidRPr="00FD40B8">
              <w:rPr>
                <w:color w:val="131727" w:themeColor="text1"/>
                <w:sz w:val="18"/>
              </w:rPr>
              <w:t>All</w:t>
            </w:r>
            <w:r w:rsidRPr="00FD40B8">
              <w:rPr>
                <w:color w:val="131727" w:themeColor="text1"/>
                <w:spacing w:val="9"/>
                <w:sz w:val="18"/>
              </w:rPr>
              <w:t xml:space="preserve"> </w:t>
            </w:r>
            <w:r w:rsidRPr="00FD40B8">
              <w:rPr>
                <w:color w:val="131727" w:themeColor="text1"/>
                <w:spacing w:val="-2"/>
                <w:sz w:val="18"/>
              </w:rPr>
              <w:t>persons</w:t>
            </w:r>
          </w:p>
        </w:tc>
      </w:tr>
      <w:tr w:rsidR="00811887" w:rsidRPr="00FD40B8" w14:paraId="68FBBA02" w14:textId="77777777" w:rsidTr="00486E22">
        <w:trPr>
          <w:trHeight w:val="1204"/>
        </w:trPr>
        <w:tc>
          <w:tcPr>
            <w:tcW w:w="1546" w:type="dxa"/>
            <w:shd w:val="clear" w:color="auto" w:fill="91A9A2"/>
          </w:tcPr>
          <w:p w14:paraId="438FE7B8" w14:textId="77777777" w:rsidR="00811887" w:rsidRPr="00FD40B8" w:rsidRDefault="00811887" w:rsidP="00486E22">
            <w:pPr>
              <w:pStyle w:val="TableParagraph"/>
              <w:spacing w:line="240" w:lineRule="auto"/>
              <w:rPr>
                <w:rFonts w:ascii="Book Antiqua"/>
                <w:b/>
                <w:color w:val="131727" w:themeColor="text1"/>
                <w:sz w:val="18"/>
              </w:rPr>
            </w:pPr>
          </w:p>
          <w:p w14:paraId="02B94A59" w14:textId="77777777" w:rsidR="00811887" w:rsidRPr="00FD40B8" w:rsidRDefault="00811887" w:rsidP="00486E22">
            <w:pPr>
              <w:pStyle w:val="TableParagraph"/>
              <w:spacing w:before="87" w:line="240" w:lineRule="auto"/>
              <w:rPr>
                <w:rFonts w:ascii="Book Antiqua"/>
                <w:b/>
                <w:color w:val="131727" w:themeColor="text1"/>
                <w:sz w:val="18"/>
              </w:rPr>
            </w:pPr>
          </w:p>
          <w:p w14:paraId="1965FD45" w14:textId="77777777" w:rsidR="00811887" w:rsidRPr="00FD40B8" w:rsidRDefault="00811887" w:rsidP="00486E22">
            <w:pPr>
              <w:pStyle w:val="TableParagraph"/>
              <w:spacing w:before="1" w:line="240" w:lineRule="auto"/>
              <w:ind w:left="18"/>
              <w:jc w:val="center"/>
              <w:rPr>
                <w:rFonts w:ascii="Garamond"/>
                <w:b/>
                <w:color w:val="131727" w:themeColor="text1"/>
                <w:sz w:val="18"/>
              </w:rPr>
            </w:pPr>
            <w:r w:rsidRPr="00FD40B8">
              <w:rPr>
                <w:rFonts w:ascii="Garamond"/>
                <w:b/>
                <w:color w:val="131727" w:themeColor="text1"/>
                <w:sz w:val="18"/>
              </w:rPr>
              <w:t>Best</w:t>
            </w:r>
            <w:r w:rsidRPr="00FD40B8">
              <w:rPr>
                <w:rFonts w:ascii="Garamond"/>
                <w:b/>
                <w:color w:val="131727" w:themeColor="text1"/>
                <w:spacing w:val="3"/>
                <w:sz w:val="18"/>
              </w:rPr>
              <w:t xml:space="preserve"> </w:t>
            </w:r>
            <w:r w:rsidRPr="00FD40B8">
              <w:rPr>
                <w:rFonts w:ascii="Garamond"/>
                <w:b/>
                <w:color w:val="131727" w:themeColor="text1"/>
                <w:spacing w:val="-5"/>
                <w:sz w:val="18"/>
              </w:rPr>
              <w:t>For</w:t>
            </w:r>
          </w:p>
        </w:tc>
        <w:tc>
          <w:tcPr>
            <w:tcW w:w="2751" w:type="dxa"/>
          </w:tcPr>
          <w:p w14:paraId="78B1F7BD" w14:textId="77777777" w:rsidR="00811887" w:rsidRPr="00FD40B8" w:rsidRDefault="00811887" w:rsidP="00486E22">
            <w:pPr>
              <w:pStyle w:val="TableParagraph"/>
              <w:spacing w:before="145" w:line="261" w:lineRule="auto"/>
              <w:ind w:left="144" w:right="132"/>
              <w:jc w:val="center"/>
              <w:rPr>
                <w:color w:val="131727" w:themeColor="text1"/>
                <w:sz w:val="18"/>
              </w:rPr>
            </w:pPr>
            <w:r w:rsidRPr="00FD40B8">
              <w:rPr>
                <w:color w:val="131727" w:themeColor="text1"/>
                <w:w w:val="110"/>
                <w:sz w:val="18"/>
              </w:rPr>
              <w:t>Analysis at small disaggregation such as low- level</w:t>
            </w:r>
            <w:r w:rsidRPr="00FD40B8">
              <w:rPr>
                <w:color w:val="131727" w:themeColor="text1"/>
                <w:spacing w:val="-4"/>
                <w:w w:val="110"/>
                <w:sz w:val="18"/>
              </w:rPr>
              <w:t xml:space="preserve"> </w:t>
            </w:r>
            <w:r w:rsidRPr="00FD40B8">
              <w:rPr>
                <w:color w:val="131727" w:themeColor="text1"/>
                <w:w w:val="110"/>
                <w:sz w:val="18"/>
              </w:rPr>
              <w:t>geography</w:t>
            </w:r>
            <w:r w:rsidRPr="00FD40B8">
              <w:rPr>
                <w:color w:val="131727" w:themeColor="text1"/>
                <w:spacing w:val="-7"/>
                <w:w w:val="110"/>
                <w:sz w:val="18"/>
              </w:rPr>
              <w:t xml:space="preserve"> </w:t>
            </w:r>
            <w:r w:rsidRPr="00FD40B8">
              <w:rPr>
                <w:color w:val="131727" w:themeColor="text1"/>
                <w:w w:val="110"/>
                <w:sz w:val="18"/>
              </w:rPr>
              <w:t>or</w:t>
            </w:r>
            <w:r w:rsidRPr="00FD40B8">
              <w:rPr>
                <w:color w:val="131727" w:themeColor="text1"/>
                <w:spacing w:val="-5"/>
                <w:w w:val="110"/>
                <w:sz w:val="18"/>
              </w:rPr>
              <w:t xml:space="preserve"> </w:t>
            </w:r>
            <w:r w:rsidRPr="00FD40B8">
              <w:rPr>
                <w:color w:val="131727" w:themeColor="text1"/>
                <w:w w:val="110"/>
                <w:sz w:val="18"/>
              </w:rPr>
              <w:t>age</w:t>
            </w:r>
            <w:r w:rsidRPr="00FD40B8">
              <w:rPr>
                <w:color w:val="131727" w:themeColor="text1"/>
                <w:spacing w:val="-8"/>
                <w:w w:val="110"/>
                <w:sz w:val="18"/>
              </w:rPr>
              <w:t xml:space="preserve"> </w:t>
            </w:r>
            <w:r w:rsidRPr="00FD40B8">
              <w:rPr>
                <w:color w:val="131727" w:themeColor="text1"/>
                <w:w w:val="110"/>
                <w:sz w:val="18"/>
              </w:rPr>
              <w:t>groups on key topics.</w:t>
            </w:r>
          </w:p>
        </w:tc>
        <w:tc>
          <w:tcPr>
            <w:tcW w:w="3467" w:type="dxa"/>
          </w:tcPr>
          <w:p w14:paraId="5E79FCED" w14:textId="77777777" w:rsidR="00811887" w:rsidRPr="00FD40B8" w:rsidRDefault="00811887" w:rsidP="00486E22">
            <w:pPr>
              <w:pStyle w:val="TableParagraph"/>
              <w:spacing w:before="145" w:line="261" w:lineRule="auto"/>
              <w:ind w:left="89" w:right="78"/>
              <w:jc w:val="center"/>
              <w:rPr>
                <w:color w:val="131727" w:themeColor="text1"/>
                <w:sz w:val="18"/>
              </w:rPr>
            </w:pPr>
            <w:r w:rsidRPr="00FD40B8">
              <w:rPr>
                <w:color w:val="131727" w:themeColor="text1"/>
                <w:spacing w:val="-2"/>
                <w:w w:val="110"/>
                <w:sz w:val="18"/>
              </w:rPr>
              <w:t>Analysis</w:t>
            </w:r>
            <w:r w:rsidRPr="00FD40B8">
              <w:rPr>
                <w:color w:val="131727" w:themeColor="text1"/>
                <w:spacing w:val="-5"/>
                <w:w w:val="110"/>
                <w:sz w:val="18"/>
              </w:rPr>
              <w:t xml:space="preserve"> </w:t>
            </w:r>
            <w:r w:rsidRPr="00FD40B8">
              <w:rPr>
                <w:color w:val="131727" w:themeColor="text1"/>
                <w:spacing w:val="-2"/>
                <w:w w:val="110"/>
                <w:sz w:val="18"/>
              </w:rPr>
              <w:t>at</w:t>
            </w:r>
            <w:r w:rsidRPr="00FD40B8">
              <w:rPr>
                <w:color w:val="131727" w:themeColor="text1"/>
                <w:spacing w:val="-5"/>
                <w:w w:val="110"/>
                <w:sz w:val="18"/>
              </w:rPr>
              <w:t xml:space="preserve"> </w:t>
            </w:r>
            <w:r w:rsidRPr="00FD40B8">
              <w:rPr>
                <w:color w:val="131727" w:themeColor="text1"/>
                <w:spacing w:val="-2"/>
                <w:w w:val="110"/>
                <w:sz w:val="18"/>
              </w:rPr>
              <w:t>national,</w:t>
            </w:r>
            <w:r w:rsidRPr="00FD40B8">
              <w:rPr>
                <w:color w:val="131727" w:themeColor="text1"/>
                <w:spacing w:val="-7"/>
                <w:w w:val="110"/>
                <w:sz w:val="18"/>
              </w:rPr>
              <w:t xml:space="preserve"> </w:t>
            </w:r>
            <w:r w:rsidRPr="00FD40B8">
              <w:rPr>
                <w:color w:val="131727" w:themeColor="text1"/>
                <w:spacing w:val="-2"/>
                <w:w w:val="110"/>
                <w:sz w:val="18"/>
              </w:rPr>
              <w:t>state/territory</w:t>
            </w:r>
            <w:r w:rsidRPr="00FD40B8">
              <w:rPr>
                <w:color w:val="131727" w:themeColor="text1"/>
                <w:spacing w:val="-4"/>
                <w:w w:val="110"/>
                <w:sz w:val="18"/>
              </w:rPr>
              <w:t xml:space="preserve"> </w:t>
            </w:r>
            <w:r w:rsidRPr="00FD40B8">
              <w:rPr>
                <w:color w:val="131727" w:themeColor="text1"/>
                <w:spacing w:val="-2"/>
                <w:w w:val="110"/>
                <w:sz w:val="18"/>
              </w:rPr>
              <w:t xml:space="preserve">and </w:t>
            </w:r>
            <w:r w:rsidRPr="00FD40B8">
              <w:rPr>
                <w:color w:val="131727" w:themeColor="text1"/>
                <w:w w:val="110"/>
                <w:sz w:val="18"/>
              </w:rPr>
              <w:t>remoteness geographies. Cross- classifying socioeconomic, cultural, health and wellbeing information.</w:t>
            </w:r>
          </w:p>
        </w:tc>
        <w:tc>
          <w:tcPr>
            <w:tcW w:w="3202" w:type="dxa"/>
          </w:tcPr>
          <w:p w14:paraId="08E90643" w14:textId="77777777" w:rsidR="00811887" w:rsidRPr="00FD40B8" w:rsidRDefault="00811887" w:rsidP="00486E22">
            <w:pPr>
              <w:pStyle w:val="TableParagraph"/>
              <w:spacing w:before="145" w:line="261" w:lineRule="auto"/>
              <w:ind w:left="124" w:right="97" w:hanging="13"/>
              <w:jc w:val="center"/>
              <w:rPr>
                <w:color w:val="131727" w:themeColor="text1"/>
                <w:sz w:val="18"/>
              </w:rPr>
            </w:pPr>
            <w:r w:rsidRPr="00FD40B8">
              <w:rPr>
                <w:color w:val="131727" w:themeColor="text1"/>
                <w:w w:val="110"/>
                <w:sz w:val="18"/>
              </w:rPr>
              <w:t>Analysis at national, state/territory and remoteness geographies. Cross- classifying socioeconomic, cultural, health and wellbeing information.</w:t>
            </w:r>
          </w:p>
        </w:tc>
        <w:tc>
          <w:tcPr>
            <w:tcW w:w="3207" w:type="dxa"/>
          </w:tcPr>
          <w:p w14:paraId="6EA1FCF9" w14:textId="77777777" w:rsidR="00811887" w:rsidRPr="00FD40B8" w:rsidRDefault="00811887" w:rsidP="00486E22">
            <w:pPr>
              <w:pStyle w:val="TableParagraph"/>
              <w:spacing w:before="25" w:line="261" w:lineRule="auto"/>
              <w:ind w:left="16" w:right="8"/>
              <w:jc w:val="center"/>
              <w:rPr>
                <w:color w:val="131727" w:themeColor="text1"/>
                <w:sz w:val="18"/>
              </w:rPr>
            </w:pPr>
            <w:r w:rsidRPr="00FD40B8">
              <w:rPr>
                <w:color w:val="131727" w:themeColor="text1"/>
                <w:w w:val="110"/>
                <w:sz w:val="18"/>
              </w:rPr>
              <w:t>Analysis</w:t>
            </w:r>
            <w:r w:rsidRPr="00FD40B8">
              <w:rPr>
                <w:color w:val="131727" w:themeColor="text1"/>
                <w:spacing w:val="-8"/>
                <w:w w:val="110"/>
                <w:sz w:val="18"/>
              </w:rPr>
              <w:t xml:space="preserve"> </w:t>
            </w:r>
            <w:r w:rsidRPr="00FD40B8">
              <w:rPr>
                <w:color w:val="131727" w:themeColor="text1"/>
                <w:w w:val="110"/>
                <w:sz w:val="18"/>
              </w:rPr>
              <w:t>of</w:t>
            </w:r>
            <w:r w:rsidRPr="00FD40B8">
              <w:rPr>
                <w:color w:val="131727" w:themeColor="text1"/>
                <w:spacing w:val="-6"/>
                <w:w w:val="110"/>
                <w:sz w:val="18"/>
              </w:rPr>
              <w:t xml:space="preserve"> </w:t>
            </w:r>
            <w:r w:rsidRPr="00FD40B8">
              <w:rPr>
                <w:color w:val="131727" w:themeColor="text1"/>
                <w:w w:val="110"/>
                <w:sz w:val="18"/>
              </w:rPr>
              <w:t>homelessness</w:t>
            </w:r>
            <w:r w:rsidRPr="00FD40B8">
              <w:rPr>
                <w:color w:val="131727" w:themeColor="text1"/>
                <w:spacing w:val="-8"/>
                <w:w w:val="110"/>
                <w:sz w:val="18"/>
              </w:rPr>
              <w:t xml:space="preserve"> </w:t>
            </w:r>
            <w:r w:rsidRPr="00FD40B8">
              <w:rPr>
                <w:color w:val="131727" w:themeColor="text1"/>
                <w:w w:val="110"/>
                <w:sz w:val="18"/>
              </w:rPr>
              <w:t>prevalence (person counts and rates) from SA2 level. Cross-classifying Homeless operational groups by various</w:t>
            </w:r>
          </w:p>
          <w:p w14:paraId="5772C4FB" w14:textId="77777777" w:rsidR="00811887" w:rsidRPr="00FD40B8" w:rsidRDefault="00811887" w:rsidP="00486E22">
            <w:pPr>
              <w:pStyle w:val="TableParagraph"/>
              <w:spacing w:before="2" w:line="199" w:lineRule="exact"/>
              <w:ind w:left="16" w:right="3"/>
              <w:jc w:val="center"/>
              <w:rPr>
                <w:color w:val="131727" w:themeColor="text1"/>
                <w:sz w:val="18"/>
              </w:rPr>
            </w:pPr>
            <w:r w:rsidRPr="00FD40B8">
              <w:rPr>
                <w:color w:val="131727" w:themeColor="text1"/>
                <w:w w:val="110"/>
                <w:sz w:val="18"/>
              </w:rPr>
              <w:t>personal</w:t>
            </w:r>
            <w:r w:rsidRPr="00FD40B8">
              <w:rPr>
                <w:color w:val="131727" w:themeColor="text1"/>
                <w:spacing w:val="6"/>
                <w:w w:val="110"/>
                <w:sz w:val="18"/>
              </w:rPr>
              <w:t xml:space="preserve"> </w:t>
            </w:r>
            <w:r w:rsidRPr="00FD40B8">
              <w:rPr>
                <w:color w:val="131727" w:themeColor="text1"/>
                <w:spacing w:val="-2"/>
                <w:w w:val="110"/>
                <w:sz w:val="18"/>
              </w:rPr>
              <w:t>characteristics.</w:t>
            </w:r>
          </w:p>
        </w:tc>
      </w:tr>
      <w:tr w:rsidR="00811887" w:rsidRPr="00FD40B8" w14:paraId="44E0AB87" w14:textId="77777777" w:rsidTr="00486E22">
        <w:trPr>
          <w:trHeight w:val="720"/>
        </w:trPr>
        <w:tc>
          <w:tcPr>
            <w:tcW w:w="1546" w:type="dxa"/>
            <w:shd w:val="clear" w:color="auto" w:fill="91A9A2"/>
          </w:tcPr>
          <w:p w14:paraId="1C1BBCFD" w14:textId="77777777" w:rsidR="00811887" w:rsidRPr="00FD40B8" w:rsidRDefault="00811887" w:rsidP="00486E22">
            <w:pPr>
              <w:pStyle w:val="TableParagraph"/>
              <w:spacing w:before="59" w:line="240" w:lineRule="auto"/>
              <w:rPr>
                <w:rFonts w:ascii="Book Antiqua"/>
                <w:b/>
                <w:color w:val="131727" w:themeColor="text1"/>
                <w:sz w:val="18"/>
              </w:rPr>
            </w:pPr>
          </w:p>
          <w:p w14:paraId="6F2DFCB7" w14:textId="77777777" w:rsidR="00811887" w:rsidRPr="00FD40B8" w:rsidRDefault="00811887" w:rsidP="00486E22">
            <w:pPr>
              <w:pStyle w:val="TableParagraph"/>
              <w:spacing w:line="240" w:lineRule="auto"/>
              <w:ind w:left="18" w:right="1"/>
              <w:jc w:val="center"/>
              <w:rPr>
                <w:rFonts w:ascii="Garamond"/>
                <w:b/>
                <w:color w:val="131727" w:themeColor="text1"/>
                <w:sz w:val="18"/>
              </w:rPr>
            </w:pPr>
            <w:r w:rsidRPr="00FD40B8">
              <w:rPr>
                <w:rFonts w:ascii="Garamond"/>
                <w:b/>
                <w:color w:val="131727" w:themeColor="text1"/>
                <w:spacing w:val="-2"/>
                <w:sz w:val="18"/>
              </w:rPr>
              <w:t>Geography</w:t>
            </w:r>
          </w:p>
        </w:tc>
        <w:tc>
          <w:tcPr>
            <w:tcW w:w="2751" w:type="dxa"/>
            <w:shd w:val="clear" w:color="auto" w:fill="EEF1F4"/>
          </w:tcPr>
          <w:p w14:paraId="5244EB45" w14:textId="77777777" w:rsidR="00811887" w:rsidRPr="00FD40B8" w:rsidRDefault="00811887" w:rsidP="00486E22">
            <w:pPr>
              <w:pStyle w:val="TableParagraph"/>
              <w:spacing w:before="20" w:line="261" w:lineRule="auto"/>
              <w:ind w:left="412" w:right="399" w:hanging="2"/>
              <w:jc w:val="center"/>
              <w:rPr>
                <w:color w:val="131727" w:themeColor="text1"/>
                <w:sz w:val="18"/>
              </w:rPr>
            </w:pPr>
            <w:r w:rsidRPr="00FD40B8">
              <w:rPr>
                <w:color w:val="131727" w:themeColor="text1"/>
                <w:w w:val="105"/>
                <w:sz w:val="18"/>
              </w:rPr>
              <w:t>Available at all levels of the Australian Statistical</w:t>
            </w:r>
          </w:p>
          <w:p w14:paraId="39029A65" w14:textId="77777777" w:rsidR="00811887" w:rsidRPr="00FD40B8" w:rsidRDefault="00811887" w:rsidP="00486E22">
            <w:pPr>
              <w:pStyle w:val="TableParagraph"/>
              <w:spacing w:before="2" w:line="199" w:lineRule="exact"/>
              <w:ind w:left="149" w:right="132"/>
              <w:jc w:val="center"/>
              <w:rPr>
                <w:color w:val="131727" w:themeColor="text1"/>
                <w:sz w:val="18"/>
              </w:rPr>
            </w:pPr>
            <w:r w:rsidRPr="00FD40B8">
              <w:rPr>
                <w:color w:val="131727" w:themeColor="text1"/>
                <w:w w:val="110"/>
                <w:sz w:val="18"/>
              </w:rPr>
              <w:t>Geography</w:t>
            </w:r>
            <w:r w:rsidRPr="00FD40B8">
              <w:rPr>
                <w:color w:val="131727" w:themeColor="text1"/>
                <w:spacing w:val="3"/>
                <w:w w:val="110"/>
                <w:sz w:val="18"/>
              </w:rPr>
              <w:t xml:space="preserve"> </w:t>
            </w:r>
            <w:r w:rsidRPr="00FD40B8">
              <w:rPr>
                <w:color w:val="131727" w:themeColor="text1"/>
                <w:w w:val="110"/>
                <w:sz w:val="18"/>
              </w:rPr>
              <w:t>Standard</w:t>
            </w:r>
            <w:r w:rsidRPr="00FD40B8">
              <w:rPr>
                <w:color w:val="131727" w:themeColor="text1"/>
                <w:spacing w:val="8"/>
                <w:w w:val="110"/>
                <w:sz w:val="18"/>
              </w:rPr>
              <w:t xml:space="preserve"> </w:t>
            </w:r>
            <w:r w:rsidRPr="00FD40B8">
              <w:rPr>
                <w:color w:val="131727" w:themeColor="text1"/>
                <w:spacing w:val="-2"/>
                <w:w w:val="110"/>
                <w:sz w:val="18"/>
              </w:rPr>
              <w:t>(ASGS)</w:t>
            </w:r>
          </w:p>
        </w:tc>
        <w:tc>
          <w:tcPr>
            <w:tcW w:w="3467" w:type="dxa"/>
            <w:shd w:val="clear" w:color="auto" w:fill="EEF1F4"/>
          </w:tcPr>
          <w:p w14:paraId="33E9F6D9" w14:textId="77777777" w:rsidR="00811887" w:rsidRPr="00FD40B8" w:rsidRDefault="00811887" w:rsidP="00486E22">
            <w:pPr>
              <w:pStyle w:val="TableParagraph"/>
              <w:spacing w:before="20" w:line="261" w:lineRule="auto"/>
              <w:ind w:left="201" w:right="186" w:hanging="6"/>
              <w:jc w:val="center"/>
              <w:rPr>
                <w:color w:val="131727" w:themeColor="text1"/>
                <w:sz w:val="18"/>
              </w:rPr>
            </w:pPr>
            <w:r w:rsidRPr="00FD40B8">
              <w:rPr>
                <w:color w:val="131727" w:themeColor="text1"/>
                <w:w w:val="110"/>
                <w:sz w:val="18"/>
              </w:rPr>
              <w:t>Data quality better at higher levels of geography</w:t>
            </w:r>
            <w:r w:rsidRPr="00FD40B8">
              <w:rPr>
                <w:color w:val="131727" w:themeColor="text1"/>
                <w:spacing w:val="-7"/>
                <w:w w:val="110"/>
                <w:sz w:val="18"/>
              </w:rPr>
              <w:t xml:space="preserve"> </w:t>
            </w:r>
            <w:r w:rsidRPr="00FD40B8">
              <w:rPr>
                <w:color w:val="131727" w:themeColor="text1"/>
                <w:w w:val="110"/>
                <w:sz w:val="18"/>
              </w:rPr>
              <w:t>such</w:t>
            </w:r>
            <w:r w:rsidRPr="00FD40B8">
              <w:rPr>
                <w:color w:val="131727" w:themeColor="text1"/>
                <w:spacing w:val="-3"/>
                <w:w w:val="110"/>
                <w:sz w:val="18"/>
              </w:rPr>
              <w:t xml:space="preserve"> </w:t>
            </w:r>
            <w:r w:rsidRPr="00FD40B8">
              <w:rPr>
                <w:color w:val="131727" w:themeColor="text1"/>
                <w:w w:val="110"/>
                <w:sz w:val="18"/>
              </w:rPr>
              <w:t>as</w:t>
            </w:r>
            <w:r w:rsidRPr="00FD40B8">
              <w:rPr>
                <w:color w:val="131727" w:themeColor="text1"/>
                <w:spacing w:val="-4"/>
                <w:w w:val="110"/>
                <w:sz w:val="18"/>
              </w:rPr>
              <w:t xml:space="preserve"> </w:t>
            </w:r>
            <w:r w:rsidRPr="00FD40B8">
              <w:rPr>
                <w:color w:val="131727" w:themeColor="text1"/>
                <w:w w:val="110"/>
                <w:sz w:val="18"/>
              </w:rPr>
              <w:t>State and</w:t>
            </w:r>
            <w:r w:rsidRPr="00FD40B8">
              <w:rPr>
                <w:color w:val="131727" w:themeColor="text1"/>
                <w:spacing w:val="-3"/>
                <w:w w:val="110"/>
                <w:sz w:val="18"/>
              </w:rPr>
              <w:t xml:space="preserve"> </w:t>
            </w:r>
            <w:r w:rsidRPr="00FD40B8">
              <w:rPr>
                <w:color w:val="131727" w:themeColor="text1"/>
                <w:w w:val="110"/>
                <w:sz w:val="18"/>
              </w:rPr>
              <w:t>Territory</w:t>
            </w:r>
          </w:p>
          <w:p w14:paraId="31AFBAB9" w14:textId="77777777" w:rsidR="00811887" w:rsidRPr="00FD40B8" w:rsidRDefault="00811887" w:rsidP="00486E22">
            <w:pPr>
              <w:pStyle w:val="TableParagraph"/>
              <w:spacing w:before="2" w:line="199" w:lineRule="exact"/>
              <w:ind w:left="94" w:right="78"/>
              <w:jc w:val="center"/>
              <w:rPr>
                <w:color w:val="131727" w:themeColor="text1"/>
                <w:sz w:val="18"/>
              </w:rPr>
            </w:pPr>
            <w:r w:rsidRPr="00FD40B8">
              <w:rPr>
                <w:color w:val="131727" w:themeColor="text1"/>
                <w:w w:val="115"/>
                <w:sz w:val="18"/>
              </w:rPr>
              <w:t>and</w:t>
            </w:r>
            <w:r w:rsidRPr="00FD40B8">
              <w:rPr>
                <w:color w:val="131727" w:themeColor="text1"/>
                <w:spacing w:val="-11"/>
                <w:w w:val="115"/>
                <w:sz w:val="18"/>
              </w:rPr>
              <w:t xml:space="preserve"> </w:t>
            </w:r>
            <w:r w:rsidRPr="00FD40B8">
              <w:rPr>
                <w:color w:val="131727" w:themeColor="text1"/>
                <w:spacing w:val="-2"/>
                <w:w w:val="115"/>
                <w:sz w:val="18"/>
              </w:rPr>
              <w:t>Remoteness</w:t>
            </w:r>
          </w:p>
        </w:tc>
        <w:tc>
          <w:tcPr>
            <w:tcW w:w="3202" w:type="dxa"/>
            <w:shd w:val="clear" w:color="auto" w:fill="EEF1F4"/>
          </w:tcPr>
          <w:p w14:paraId="3D9B2785" w14:textId="77777777" w:rsidR="00811887" w:rsidRPr="00FD40B8" w:rsidRDefault="00811887" w:rsidP="00486E22">
            <w:pPr>
              <w:pStyle w:val="TableParagraph"/>
              <w:spacing w:before="20" w:line="261" w:lineRule="auto"/>
              <w:ind w:left="22" w:right="8"/>
              <w:jc w:val="center"/>
              <w:rPr>
                <w:color w:val="131727" w:themeColor="text1"/>
                <w:sz w:val="18"/>
              </w:rPr>
            </w:pPr>
            <w:r w:rsidRPr="00FD40B8">
              <w:rPr>
                <w:color w:val="131727" w:themeColor="text1"/>
                <w:w w:val="110"/>
                <w:sz w:val="18"/>
              </w:rPr>
              <w:t>Data</w:t>
            </w:r>
            <w:r w:rsidRPr="00FD40B8">
              <w:rPr>
                <w:color w:val="131727" w:themeColor="text1"/>
                <w:spacing w:val="-12"/>
                <w:w w:val="110"/>
                <w:sz w:val="18"/>
              </w:rPr>
              <w:t xml:space="preserve"> </w:t>
            </w:r>
            <w:r w:rsidRPr="00FD40B8">
              <w:rPr>
                <w:color w:val="131727" w:themeColor="text1"/>
                <w:w w:val="110"/>
                <w:sz w:val="18"/>
              </w:rPr>
              <w:t>quality</w:t>
            </w:r>
            <w:r w:rsidRPr="00FD40B8">
              <w:rPr>
                <w:color w:val="131727" w:themeColor="text1"/>
                <w:spacing w:val="-11"/>
                <w:w w:val="110"/>
                <w:sz w:val="18"/>
              </w:rPr>
              <w:t xml:space="preserve"> </w:t>
            </w:r>
            <w:r w:rsidRPr="00FD40B8">
              <w:rPr>
                <w:color w:val="131727" w:themeColor="text1"/>
                <w:w w:val="110"/>
                <w:sz w:val="18"/>
              </w:rPr>
              <w:t>better</w:t>
            </w:r>
            <w:r w:rsidRPr="00FD40B8">
              <w:rPr>
                <w:color w:val="131727" w:themeColor="text1"/>
                <w:spacing w:val="-11"/>
                <w:w w:val="110"/>
                <w:sz w:val="18"/>
              </w:rPr>
              <w:t xml:space="preserve"> </w:t>
            </w:r>
            <w:r w:rsidRPr="00FD40B8">
              <w:rPr>
                <w:color w:val="131727" w:themeColor="text1"/>
                <w:w w:val="110"/>
                <w:sz w:val="18"/>
              </w:rPr>
              <w:t>at</w:t>
            </w:r>
            <w:r w:rsidRPr="00FD40B8">
              <w:rPr>
                <w:color w:val="131727" w:themeColor="text1"/>
                <w:spacing w:val="-11"/>
                <w:w w:val="110"/>
                <w:sz w:val="18"/>
              </w:rPr>
              <w:t xml:space="preserve"> </w:t>
            </w:r>
            <w:r w:rsidRPr="00FD40B8">
              <w:rPr>
                <w:color w:val="131727" w:themeColor="text1"/>
                <w:w w:val="110"/>
                <w:sz w:val="18"/>
              </w:rPr>
              <w:t>higher</w:t>
            </w:r>
            <w:r w:rsidRPr="00FD40B8">
              <w:rPr>
                <w:color w:val="131727" w:themeColor="text1"/>
                <w:spacing w:val="-11"/>
                <w:w w:val="110"/>
                <w:sz w:val="18"/>
              </w:rPr>
              <w:t xml:space="preserve"> </w:t>
            </w:r>
            <w:r w:rsidRPr="00FD40B8">
              <w:rPr>
                <w:color w:val="131727" w:themeColor="text1"/>
                <w:w w:val="110"/>
                <w:sz w:val="18"/>
              </w:rPr>
              <w:t>levels</w:t>
            </w:r>
            <w:r w:rsidRPr="00FD40B8">
              <w:rPr>
                <w:color w:val="131727" w:themeColor="text1"/>
                <w:spacing w:val="-11"/>
                <w:w w:val="110"/>
                <w:sz w:val="18"/>
              </w:rPr>
              <w:t xml:space="preserve"> </w:t>
            </w:r>
            <w:r w:rsidRPr="00FD40B8">
              <w:rPr>
                <w:color w:val="131727" w:themeColor="text1"/>
                <w:w w:val="110"/>
                <w:sz w:val="18"/>
              </w:rPr>
              <w:t>of geography such as State and</w:t>
            </w:r>
          </w:p>
          <w:p w14:paraId="0447EAC4" w14:textId="77777777" w:rsidR="00811887" w:rsidRPr="00FD40B8" w:rsidRDefault="00811887" w:rsidP="00486E22">
            <w:pPr>
              <w:pStyle w:val="TableParagraph"/>
              <w:spacing w:before="2" w:line="199" w:lineRule="exact"/>
              <w:ind w:left="22" w:right="1"/>
              <w:jc w:val="center"/>
              <w:rPr>
                <w:color w:val="131727" w:themeColor="text1"/>
                <w:sz w:val="18"/>
              </w:rPr>
            </w:pPr>
            <w:r w:rsidRPr="00FD40B8">
              <w:rPr>
                <w:color w:val="131727" w:themeColor="text1"/>
                <w:w w:val="110"/>
                <w:sz w:val="18"/>
              </w:rPr>
              <w:t>Territory</w:t>
            </w:r>
            <w:r w:rsidRPr="00FD40B8">
              <w:rPr>
                <w:color w:val="131727" w:themeColor="text1"/>
                <w:spacing w:val="-9"/>
                <w:w w:val="110"/>
                <w:sz w:val="18"/>
              </w:rPr>
              <w:t xml:space="preserve"> </w:t>
            </w:r>
            <w:r w:rsidRPr="00FD40B8">
              <w:rPr>
                <w:color w:val="131727" w:themeColor="text1"/>
                <w:w w:val="110"/>
                <w:sz w:val="18"/>
              </w:rPr>
              <w:t>and</w:t>
            </w:r>
            <w:r w:rsidRPr="00FD40B8">
              <w:rPr>
                <w:color w:val="131727" w:themeColor="text1"/>
                <w:spacing w:val="-7"/>
                <w:w w:val="110"/>
                <w:sz w:val="18"/>
              </w:rPr>
              <w:t xml:space="preserve"> </w:t>
            </w:r>
            <w:r w:rsidRPr="00FD40B8">
              <w:rPr>
                <w:color w:val="131727" w:themeColor="text1"/>
                <w:spacing w:val="-2"/>
                <w:w w:val="110"/>
                <w:sz w:val="18"/>
              </w:rPr>
              <w:t>Remoteness</w:t>
            </w:r>
          </w:p>
        </w:tc>
        <w:tc>
          <w:tcPr>
            <w:tcW w:w="3207" w:type="dxa"/>
            <w:shd w:val="clear" w:color="auto" w:fill="EEF1F4"/>
          </w:tcPr>
          <w:p w14:paraId="560625B0" w14:textId="77777777" w:rsidR="00811887" w:rsidRPr="00FD40B8" w:rsidRDefault="00811887" w:rsidP="00486E22">
            <w:pPr>
              <w:pStyle w:val="TableParagraph"/>
              <w:spacing w:before="140" w:line="261" w:lineRule="auto"/>
              <w:ind w:left="653" w:right="124" w:hanging="514"/>
              <w:rPr>
                <w:color w:val="131727" w:themeColor="text1"/>
                <w:sz w:val="18"/>
              </w:rPr>
            </w:pPr>
            <w:r w:rsidRPr="00FD40B8">
              <w:rPr>
                <w:color w:val="131727" w:themeColor="text1"/>
                <w:w w:val="110"/>
                <w:sz w:val="18"/>
              </w:rPr>
              <w:t>Data</w:t>
            </w:r>
            <w:r w:rsidRPr="00FD40B8">
              <w:rPr>
                <w:color w:val="131727" w:themeColor="text1"/>
                <w:spacing w:val="-12"/>
                <w:w w:val="110"/>
                <w:sz w:val="18"/>
              </w:rPr>
              <w:t xml:space="preserve"> </w:t>
            </w:r>
            <w:r w:rsidRPr="00FD40B8">
              <w:rPr>
                <w:color w:val="131727" w:themeColor="text1"/>
                <w:w w:val="110"/>
                <w:sz w:val="18"/>
              </w:rPr>
              <w:t>quality</w:t>
            </w:r>
            <w:r w:rsidRPr="00FD40B8">
              <w:rPr>
                <w:color w:val="131727" w:themeColor="text1"/>
                <w:spacing w:val="-11"/>
                <w:w w:val="110"/>
                <w:sz w:val="18"/>
              </w:rPr>
              <w:t xml:space="preserve"> </w:t>
            </w:r>
            <w:r w:rsidRPr="00FD40B8">
              <w:rPr>
                <w:color w:val="131727" w:themeColor="text1"/>
                <w:w w:val="110"/>
                <w:sz w:val="18"/>
              </w:rPr>
              <w:t>better</w:t>
            </w:r>
            <w:r w:rsidRPr="00FD40B8">
              <w:rPr>
                <w:color w:val="131727" w:themeColor="text1"/>
                <w:spacing w:val="-11"/>
                <w:w w:val="110"/>
                <w:sz w:val="18"/>
              </w:rPr>
              <w:t xml:space="preserve"> </w:t>
            </w:r>
            <w:r w:rsidRPr="00FD40B8">
              <w:rPr>
                <w:color w:val="131727" w:themeColor="text1"/>
                <w:w w:val="110"/>
                <w:sz w:val="18"/>
              </w:rPr>
              <w:t>at</w:t>
            </w:r>
            <w:r w:rsidRPr="00FD40B8">
              <w:rPr>
                <w:color w:val="131727" w:themeColor="text1"/>
                <w:spacing w:val="-11"/>
                <w:w w:val="110"/>
                <w:sz w:val="18"/>
              </w:rPr>
              <w:t xml:space="preserve"> </w:t>
            </w:r>
            <w:r w:rsidRPr="00FD40B8">
              <w:rPr>
                <w:color w:val="131727" w:themeColor="text1"/>
                <w:w w:val="110"/>
                <w:sz w:val="18"/>
              </w:rPr>
              <w:t>Statistical</w:t>
            </w:r>
            <w:r w:rsidRPr="00FD40B8">
              <w:rPr>
                <w:color w:val="131727" w:themeColor="text1"/>
                <w:spacing w:val="-11"/>
                <w:w w:val="110"/>
                <w:sz w:val="18"/>
              </w:rPr>
              <w:t xml:space="preserve"> </w:t>
            </w:r>
            <w:r w:rsidRPr="00FD40B8">
              <w:rPr>
                <w:color w:val="131727" w:themeColor="text1"/>
                <w:w w:val="110"/>
                <w:sz w:val="18"/>
              </w:rPr>
              <w:t>Area level 3 (SA3) and above.</w:t>
            </w:r>
          </w:p>
        </w:tc>
      </w:tr>
      <w:tr w:rsidR="00811887" w:rsidRPr="00FD40B8" w14:paraId="1009F72C" w14:textId="77777777" w:rsidTr="00486E22">
        <w:trPr>
          <w:trHeight w:val="479"/>
        </w:trPr>
        <w:tc>
          <w:tcPr>
            <w:tcW w:w="1546" w:type="dxa"/>
            <w:shd w:val="clear" w:color="auto" w:fill="91A9A2"/>
          </w:tcPr>
          <w:p w14:paraId="7A2124AB" w14:textId="77777777" w:rsidR="00811887" w:rsidRPr="00FD40B8" w:rsidRDefault="00811887" w:rsidP="00486E22">
            <w:pPr>
              <w:pStyle w:val="TableParagraph"/>
              <w:spacing w:before="156" w:line="240" w:lineRule="auto"/>
              <w:ind w:left="18" w:right="6"/>
              <w:jc w:val="center"/>
              <w:rPr>
                <w:rFonts w:ascii="Garamond"/>
                <w:b/>
                <w:color w:val="131727" w:themeColor="text1"/>
                <w:sz w:val="18"/>
              </w:rPr>
            </w:pPr>
            <w:r w:rsidRPr="00FD40B8">
              <w:rPr>
                <w:rFonts w:ascii="Garamond"/>
                <w:b/>
                <w:color w:val="131727" w:themeColor="text1"/>
                <w:spacing w:val="-2"/>
                <w:sz w:val="18"/>
              </w:rPr>
              <w:t>Frequency</w:t>
            </w:r>
          </w:p>
        </w:tc>
        <w:tc>
          <w:tcPr>
            <w:tcW w:w="2751" w:type="dxa"/>
          </w:tcPr>
          <w:p w14:paraId="6488B106" w14:textId="77777777" w:rsidR="00811887" w:rsidRPr="00FD40B8" w:rsidRDefault="00811887" w:rsidP="00486E22">
            <w:pPr>
              <w:pStyle w:val="TableParagraph"/>
              <w:spacing w:line="240" w:lineRule="atLeast"/>
              <w:ind w:left="206" w:hanging="5"/>
              <w:rPr>
                <w:color w:val="131727" w:themeColor="text1"/>
                <w:sz w:val="18"/>
              </w:rPr>
            </w:pPr>
            <w:r w:rsidRPr="00FD40B8">
              <w:rPr>
                <w:color w:val="131727" w:themeColor="text1"/>
                <w:w w:val="110"/>
                <w:sz w:val="18"/>
              </w:rPr>
              <w:t>Collected</w:t>
            </w:r>
            <w:r w:rsidRPr="00FD40B8">
              <w:rPr>
                <w:color w:val="131727" w:themeColor="text1"/>
                <w:spacing w:val="-12"/>
                <w:w w:val="110"/>
                <w:sz w:val="18"/>
              </w:rPr>
              <w:t xml:space="preserve"> </w:t>
            </w:r>
            <w:r w:rsidRPr="00FD40B8">
              <w:rPr>
                <w:color w:val="131727" w:themeColor="text1"/>
                <w:w w:val="110"/>
                <w:sz w:val="18"/>
              </w:rPr>
              <w:t>every</w:t>
            </w:r>
            <w:r w:rsidRPr="00FD40B8">
              <w:rPr>
                <w:color w:val="131727" w:themeColor="text1"/>
                <w:spacing w:val="-11"/>
                <w:w w:val="110"/>
                <w:sz w:val="18"/>
              </w:rPr>
              <w:t xml:space="preserve"> </w:t>
            </w:r>
            <w:r w:rsidRPr="00FD40B8">
              <w:rPr>
                <w:color w:val="131727" w:themeColor="text1"/>
                <w:w w:val="110"/>
                <w:sz w:val="18"/>
              </w:rPr>
              <w:t>5</w:t>
            </w:r>
            <w:r w:rsidRPr="00FD40B8">
              <w:rPr>
                <w:color w:val="131727" w:themeColor="text1"/>
                <w:spacing w:val="-11"/>
                <w:w w:val="110"/>
                <w:sz w:val="18"/>
              </w:rPr>
              <w:t xml:space="preserve"> </w:t>
            </w:r>
            <w:r w:rsidRPr="00FD40B8">
              <w:rPr>
                <w:color w:val="131727" w:themeColor="text1"/>
                <w:w w:val="110"/>
                <w:sz w:val="18"/>
              </w:rPr>
              <w:t>years.</w:t>
            </w:r>
            <w:r w:rsidRPr="00FD40B8">
              <w:rPr>
                <w:color w:val="131727" w:themeColor="text1"/>
                <w:spacing w:val="-11"/>
                <w:w w:val="110"/>
                <w:sz w:val="18"/>
              </w:rPr>
              <w:t xml:space="preserve"> </w:t>
            </w:r>
            <w:r w:rsidRPr="00FD40B8">
              <w:rPr>
                <w:color w:val="131727" w:themeColor="text1"/>
                <w:w w:val="110"/>
                <w:sz w:val="18"/>
              </w:rPr>
              <w:t>Most recent</w:t>
            </w:r>
            <w:r w:rsidRPr="00FD40B8">
              <w:rPr>
                <w:color w:val="131727" w:themeColor="text1"/>
                <w:spacing w:val="-5"/>
                <w:w w:val="110"/>
                <w:sz w:val="18"/>
              </w:rPr>
              <w:t xml:space="preserve"> </w:t>
            </w:r>
            <w:r w:rsidRPr="00FD40B8">
              <w:rPr>
                <w:color w:val="131727" w:themeColor="text1"/>
                <w:w w:val="110"/>
                <w:sz w:val="18"/>
              </w:rPr>
              <w:t>available</w:t>
            </w:r>
            <w:r w:rsidRPr="00FD40B8">
              <w:rPr>
                <w:color w:val="131727" w:themeColor="text1"/>
                <w:spacing w:val="-8"/>
                <w:w w:val="110"/>
                <w:sz w:val="18"/>
              </w:rPr>
              <w:t xml:space="preserve"> </w:t>
            </w:r>
            <w:r w:rsidRPr="00FD40B8">
              <w:rPr>
                <w:color w:val="131727" w:themeColor="text1"/>
                <w:w w:val="110"/>
                <w:sz w:val="18"/>
              </w:rPr>
              <w:t>data</w:t>
            </w:r>
            <w:r w:rsidRPr="00FD40B8">
              <w:rPr>
                <w:color w:val="131727" w:themeColor="text1"/>
                <w:spacing w:val="-6"/>
                <w:w w:val="110"/>
                <w:sz w:val="18"/>
              </w:rPr>
              <w:t xml:space="preserve"> </w:t>
            </w:r>
            <w:r w:rsidRPr="00FD40B8">
              <w:rPr>
                <w:color w:val="131727" w:themeColor="text1"/>
                <w:w w:val="110"/>
                <w:sz w:val="18"/>
              </w:rPr>
              <w:t>is</w:t>
            </w:r>
            <w:r w:rsidRPr="00FD40B8">
              <w:rPr>
                <w:color w:val="131727" w:themeColor="text1"/>
                <w:spacing w:val="-9"/>
                <w:w w:val="110"/>
                <w:sz w:val="18"/>
              </w:rPr>
              <w:t xml:space="preserve"> </w:t>
            </w:r>
            <w:r w:rsidRPr="00FD40B8">
              <w:rPr>
                <w:color w:val="131727" w:themeColor="text1"/>
                <w:spacing w:val="-2"/>
                <w:w w:val="110"/>
                <w:sz w:val="18"/>
              </w:rPr>
              <w:t>2021.</w:t>
            </w:r>
          </w:p>
        </w:tc>
        <w:tc>
          <w:tcPr>
            <w:tcW w:w="3467" w:type="dxa"/>
          </w:tcPr>
          <w:p w14:paraId="6AFC2B96" w14:textId="77777777" w:rsidR="00811887" w:rsidRPr="00FD40B8" w:rsidRDefault="00811887" w:rsidP="00486E22">
            <w:pPr>
              <w:pStyle w:val="TableParagraph"/>
              <w:spacing w:before="140" w:line="240" w:lineRule="auto"/>
              <w:ind w:left="614"/>
              <w:rPr>
                <w:color w:val="131727" w:themeColor="text1"/>
                <w:sz w:val="18"/>
              </w:rPr>
            </w:pPr>
            <w:r w:rsidRPr="00FD40B8">
              <w:rPr>
                <w:color w:val="131727" w:themeColor="text1"/>
                <w:w w:val="110"/>
                <w:sz w:val="18"/>
              </w:rPr>
              <w:t>2004-05,</w:t>
            </w:r>
            <w:r w:rsidRPr="00FD40B8">
              <w:rPr>
                <w:color w:val="131727" w:themeColor="text1"/>
                <w:spacing w:val="4"/>
                <w:w w:val="110"/>
                <w:sz w:val="18"/>
              </w:rPr>
              <w:t xml:space="preserve"> </w:t>
            </w:r>
            <w:r w:rsidRPr="00FD40B8">
              <w:rPr>
                <w:color w:val="131727" w:themeColor="text1"/>
                <w:w w:val="110"/>
                <w:sz w:val="18"/>
              </w:rPr>
              <w:t>2012-13,</w:t>
            </w:r>
            <w:r w:rsidRPr="00FD40B8">
              <w:rPr>
                <w:color w:val="131727" w:themeColor="text1"/>
                <w:spacing w:val="-2"/>
                <w:w w:val="110"/>
                <w:sz w:val="18"/>
              </w:rPr>
              <w:t xml:space="preserve"> </w:t>
            </w:r>
            <w:r w:rsidRPr="00FD40B8">
              <w:rPr>
                <w:color w:val="131727" w:themeColor="text1"/>
                <w:w w:val="110"/>
                <w:sz w:val="18"/>
              </w:rPr>
              <w:t>2018-</w:t>
            </w:r>
            <w:r w:rsidRPr="00FD40B8">
              <w:rPr>
                <w:color w:val="131727" w:themeColor="text1"/>
                <w:spacing w:val="-5"/>
                <w:w w:val="110"/>
                <w:sz w:val="18"/>
              </w:rPr>
              <w:t>19.</w:t>
            </w:r>
          </w:p>
        </w:tc>
        <w:tc>
          <w:tcPr>
            <w:tcW w:w="3202" w:type="dxa"/>
          </w:tcPr>
          <w:p w14:paraId="672115B9" w14:textId="77777777" w:rsidR="00811887" w:rsidRPr="00FD40B8" w:rsidRDefault="00811887" w:rsidP="00486E22">
            <w:pPr>
              <w:pStyle w:val="TableParagraph"/>
              <w:spacing w:before="140" w:line="240" w:lineRule="auto"/>
              <w:ind w:left="498"/>
              <w:rPr>
                <w:color w:val="131727" w:themeColor="text1"/>
                <w:sz w:val="18"/>
              </w:rPr>
            </w:pPr>
            <w:r w:rsidRPr="00FD40B8">
              <w:rPr>
                <w:color w:val="131727" w:themeColor="text1"/>
                <w:w w:val="110"/>
                <w:sz w:val="18"/>
              </w:rPr>
              <w:t>1994,</w:t>
            </w:r>
            <w:r w:rsidRPr="00FD40B8">
              <w:rPr>
                <w:color w:val="131727" w:themeColor="text1"/>
                <w:spacing w:val="-3"/>
                <w:w w:val="110"/>
                <w:sz w:val="18"/>
              </w:rPr>
              <w:t xml:space="preserve"> </w:t>
            </w:r>
            <w:r w:rsidRPr="00FD40B8">
              <w:rPr>
                <w:color w:val="131727" w:themeColor="text1"/>
                <w:w w:val="110"/>
                <w:sz w:val="18"/>
              </w:rPr>
              <w:t>2002,</w:t>
            </w:r>
            <w:r w:rsidRPr="00FD40B8">
              <w:rPr>
                <w:color w:val="131727" w:themeColor="text1"/>
                <w:spacing w:val="-2"/>
                <w:w w:val="110"/>
                <w:sz w:val="18"/>
              </w:rPr>
              <w:t xml:space="preserve"> </w:t>
            </w:r>
            <w:r w:rsidRPr="00FD40B8">
              <w:rPr>
                <w:color w:val="131727" w:themeColor="text1"/>
                <w:w w:val="110"/>
                <w:sz w:val="18"/>
              </w:rPr>
              <w:t>2008,</w:t>
            </w:r>
            <w:r w:rsidRPr="00FD40B8">
              <w:rPr>
                <w:color w:val="131727" w:themeColor="text1"/>
                <w:spacing w:val="2"/>
                <w:w w:val="110"/>
                <w:sz w:val="18"/>
              </w:rPr>
              <w:t xml:space="preserve"> </w:t>
            </w:r>
            <w:r w:rsidRPr="00FD40B8">
              <w:rPr>
                <w:color w:val="131727" w:themeColor="text1"/>
                <w:w w:val="110"/>
                <w:sz w:val="18"/>
              </w:rPr>
              <w:t>2014-</w:t>
            </w:r>
            <w:r w:rsidRPr="00FD40B8">
              <w:rPr>
                <w:color w:val="131727" w:themeColor="text1"/>
                <w:spacing w:val="-5"/>
                <w:w w:val="110"/>
                <w:sz w:val="18"/>
              </w:rPr>
              <w:t>15.</w:t>
            </w:r>
          </w:p>
        </w:tc>
        <w:tc>
          <w:tcPr>
            <w:tcW w:w="3207" w:type="dxa"/>
          </w:tcPr>
          <w:p w14:paraId="7B4B3A56" w14:textId="77777777" w:rsidR="00811887" w:rsidRPr="00FD40B8" w:rsidRDefault="00811887" w:rsidP="00486E22">
            <w:pPr>
              <w:pStyle w:val="TableParagraph"/>
              <w:spacing w:line="240" w:lineRule="atLeast"/>
              <w:ind w:left="720" w:right="124" w:hanging="576"/>
              <w:rPr>
                <w:color w:val="131727" w:themeColor="text1"/>
                <w:sz w:val="18"/>
              </w:rPr>
            </w:pPr>
            <w:r w:rsidRPr="00FD40B8">
              <w:rPr>
                <w:color w:val="131727" w:themeColor="text1"/>
                <w:w w:val="110"/>
                <w:sz w:val="18"/>
              </w:rPr>
              <w:t>Collected</w:t>
            </w:r>
            <w:r w:rsidRPr="00FD40B8">
              <w:rPr>
                <w:color w:val="131727" w:themeColor="text1"/>
                <w:spacing w:val="-12"/>
                <w:w w:val="110"/>
                <w:sz w:val="18"/>
              </w:rPr>
              <w:t xml:space="preserve"> </w:t>
            </w:r>
            <w:r w:rsidRPr="00FD40B8">
              <w:rPr>
                <w:color w:val="131727" w:themeColor="text1"/>
                <w:w w:val="110"/>
                <w:sz w:val="18"/>
              </w:rPr>
              <w:t>every</w:t>
            </w:r>
            <w:r w:rsidRPr="00FD40B8">
              <w:rPr>
                <w:color w:val="131727" w:themeColor="text1"/>
                <w:spacing w:val="-11"/>
                <w:w w:val="110"/>
                <w:sz w:val="18"/>
              </w:rPr>
              <w:t xml:space="preserve"> </w:t>
            </w:r>
            <w:r w:rsidRPr="00FD40B8">
              <w:rPr>
                <w:color w:val="131727" w:themeColor="text1"/>
                <w:w w:val="110"/>
                <w:sz w:val="18"/>
              </w:rPr>
              <w:t>5</w:t>
            </w:r>
            <w:r w:rsidRPr="00FD40B8">
              <w:rPr>
                <w:color w:val="131727" w:themeColor="text1"/>
                <w:spacing w:val="-11"/>
                <w:w w:val="110"/>
                <w:sz w:val="18"/>
              </w:rPr>
              <w:t xml:space="preserve"> </w:t>
            </w:r>
            <w:r w:rsidRPr="00FD40B8">
              <w:rPr>
                <w:color w:val="131727" w:themeColor="text1"/>
                <w:w w:val="110"/>
                <w:sz w:val="18"/>
              </w:rPr>
              <w:t>years.</w:t>
            </w:r>
            <w:r w:rsidRPr="00FD40B8">
              <w:rPr>
                <w:color w:val="131727" w:themeColor="text1"/>
                <w:spacing w:val="-11"/>
                <w:w w:val="110"/>
                <w:sz w:val="18"/>
              </w:rPr>
              <w:t xml:space="preserve"> </w:t>
            </w:r>
            <w:r w:rsidRPr="00FD40B8">
              <w:rPr>
                <w:color w:val="131727" w:themeColor="text1"/>
                <w:w w:val="110"/>
                <w:sz w:val="18"/>
              </w:rPr>
              <w:t>Most</w:t>
            </w:r>
            <w:r w:rsidRPr="00FD40B8">
              <w:rPr>
                <w:color w:val="131727" w:themeColor="text1"/>
                <w:spacing w:val="-11"/>
                <w:w w:val="110"/>
                <w:sz w:val="18"/>
              </w:rPr>
              <w:t xml:space="preserve"> </w:t>
            </w:r>
            <w:r w:rsidRPr="00FD40B8">
              <w:rPr>
                <w:color w:val="131727" w:themeColor="text1"/>
                <w:w w:val="110"/>
                <w:sz w:val="18"/>
              </w:rPr>
              <w:t>recent available data is 2016.</w:t>
            </w:r>
          </w:p>
        </w:tc>
      </w:tr>
      <w:tr w:rsidR="00811887" w:rsidRPr="00FD40B8" w14:paraId="725C7BEC" w14:textId="77777777" w:rsidTr="00486E22">
        <w:trPr>
          <w:trHeight w:val="479"/>
        </w:trPr>
        <w:tc>
          <w:tcPr>
            <w:tcW w:w="1546" w:type="dxa"/>
            <w:shd w:val="clear" w:color="auto" w:fill="91A9A2"/>
          </w:tcPr>
          <w:p w14:paraId="695C0542" w14:textId="77777777" w:rsidR="00811887" w:rsidRPr="00FD40B8" w:rsidRDefault="00811887" w:rsidP="00486E22">
            <w:pPr>
              <w:pStyle w:val="TableParagraph"/>
              <w:spacing w:before="156" w:line="240" w:lineRule="auto"/>
              <w:ind w:left="18" w:right="2"/>
              <w:jc w:val="center"/>
              <w:rPr>
                <w:rFonts w:ascii="Garamond"/>
                <w:b/>
                <w:color w:val="131727" w:themeColor="text1"/>
                <w:sz w:val="18"/>
              </w:rPr>
            </w:pPr>
            <w:r w:rsidRPr="00FD40B8">
              <w:rPr>
                <w:rFonts w:ascii="Garamond"/>
                <w:b/>
                <w:color w:val="131727" w:themeColor="text1"/>
                <w:spacing w:val="-2"/>
                <w:sz w:val="18"/>
              </w:rPr>
              <w:t>Comparability</w:t>
            </w:r>
          </w:p>
        </w:tc>
        <w:tc>
          <w:tcPr>
            <w:tcW w:w="2751" w:type="dxa"/>
            <w:shd w:val="clear" w:color="auto" w:fill="EEF1F4"/>
          </w:tcPr>
          <w:p w14:paraId="0A42B09D" w14:textId="77777777" w:rsidR="00811887" w:rsidRPr="00FD40B8" w:rsidRDefault="00811887" w:rsidP="00486E22">
            <w:pPr>
              <w:pStyle w:val="TableParagraph"/>
              <w:spacing w:before="20" w:line="240" w:lineRule="auto"/>
              <w:ind w:left="148" w:right="132"/>
              <w:jc w:val="center"/>
              <w:rPr>
                <w:color w:val="131727" w:themeColor="text1"/>
                <w:sz w:val="18"/>
              </w:rPr>
            </w:pPr>
            <w:r w:rsidRPr="00FD40B8">
              <w:rPr>
                <w:color w:val="131727" w:themeColor="text1"/>
                <w:w w:val="110"/>
                <w:sz w:val="18"/>
              </w:rPr>
              <w:t>Not</w:t>
            </w:r>
            <w:r w:rsidRPr="00FD40B8">
              <w:rPr>
                <w:color w:val="131727" w:themeColor="text1"/>
                <w:spacing w:val="-5"/>
                <w:w w:val="110"/>
                <w:sz w:val="18"/>
              </w:rPr>
              <w:t xml:space="preserve"> </w:t>
            </w:r>
            <w:r w:rsidRPr="00FD40B8">
              <w:rPr>
                <w:color w:val="131727" w:themeColor="text1"/>
                <w:w w:val="110"/>
                <w:sz w:val="18"/>
              </w:rPr>
              <w:t>comparable</w:t>
            </w:r>
            <w:r w:rsidRPr="00FD40B8">
              <w:rPr>
                <w:color w:val="131727" w:themeColor="text1"/>
                <w:spacing w:val="-8"/>
                <w:w w:val="110"/>
                <w:sz w:val="18"/>
              </w:rPr>
              <w:t xml:space="preserve"> </w:t>
            </w:r>
            <w:r w:rsidRPr="00FD40B8">
              <w:rPr>
                <w:color w:val="131727" w:themeColor="text1"/>
                <w:w w:val="110"/>
                <w:sz w:val="18"/>
              </w:rPr>
              <w:t>with</w:t>
            </w:r>
            <w:r w:rsidRPr="00FD40B8">
              <w:rPr>
                <w:color w:val="131727" w:themeColor="text1"/>
                <w:spacing w:val="-6"/>
                <w:w w:val="110"/>
                <w:sz w:val="18"/>
              </w:rPr>
              <w:t xml:space="preserve"> </w:t>
            </w:r>
            <w:r w:rsidRPr="00FD40B8">
              <w:rPr>
                <w:color w:val="131727" w:themeColor="text1"/>
                <w:spacing w:val="-2"/>
                <w:w w:val="110"/>
                <w:sz w:val="18"/>
              </w:rPr>
              <w:t>other</w:t>
            </w:r>
          </w:p>
          <w:p w14:paraId="3B7E1F46" w14:textId="77777777" w:rsidR="00811887" w:rsidRPr="00FD40B8" w:rsidRDefault="00811887" w:rsidP="00486E22">
            <w:pPr>
              <w:pStyle w:val="TableParagraph"/>
              <w:spacing w:before="20" w:line="199" w:lineRule="exact"/>
              <w:ind w:left="145" w:right="132"/>
              <w:jc w:val="center"/>
              <w:rPr>
                <w:color w:val="131727" w:themeColor="text1"/>
                <w:sz w:val="18"/>
              </w:rPr>
            </w:pPr>
            <w:r w:rsidRPr="00FD40B8">
              <w:rPr>
                <w:color w:val="131727" w:themeColor="text1"/>
                <w:spacing w:val="-2"/>
                <w:w w:val="110"/>
                <w:sz w:val="18"/>
              </w:rPr>
              <w:t>collections.</w:t>
            </w:r>
          </w:p>
        </w:tc>
        <w:tc>
          <w:tcPr>
            <w:tcW w:w="3467" w:type="dxa"/>
            <w:shd w:val="clear" w:color="auto" w:fill="EEF1F4"/>
          </w:tcPr>
          <w:p w14:paraId="708288A8" w14:textId="77777777" w:rsidR="00811887" w:rsidRPr="00FD40B8" w:rsidRDefault="00811887" w:rsidP="00486E22">
            <w:pPr>
              <w:pStyle w:val="TableParagraph"/>
              <w:spacing w:before="20" w:line="240" w:lineRule="auto"/>
              <w:ind w:left="89" w:right="79"/>
              <w:jc w:val="center"/>
              <w:rPr>
                <w:color w:val="131727" w:themeColor="text1"/>
                <w:sz w:val="18"/>
              </w:rPr>
            </w:pPr>
            <w:r w:rsidRPr="00FD40B8">
              <w:rPr>
                <w:color w:val="131727" w:themeColor="text1"/>
                <w:w w:val="110"/>
                <w:sz w:val="18"/>
              </w:rPr>
              <w:t>Housing</w:t>
            </w:r>
            <w:r w:rsidRPr="00FD40B8">
              <w:rPr>
                <w:color w:val="131727" w:themeColor="text1"/>
                <w:spacing w:val="-4"/>
                <w:w w:val="110"/>
                <w:sz w:val="18"/>
              </w:rPr>
              <w:t xml:space="preserve"> </w:t>
            </w:r>
            <w:r w:rsidRPr="00FD40B8">
              <w:rPr>
                <w:color w:val="131727" w:themeColor="text1"/>
                <w:w w:val="110"/>
                <w:sz w:val="18"/>
              </w:rPr>
              <w:t>data</w:t>
            </w:r>
            <w:r w:rsidRPr="00FD40B8">
              <w:rPr>
                <w:color w:val="131727" w:themeColor="text1"/>
                <w:spacing w:val="-4"/>
                <w:w w:val="110"/>
                <w:sz w:val="18"/>
              </w:rPr>
              <w:t xml:space="preserve"> </w:t>
            </w:r>
            <w:r w:rsidRPr="00FD40B8">
              <w:rPr>
                <w:color w:val="131727" w:themeColor="text1"/>
                <w:w w:val="110"/>
                <w:sz w:val="18"/>
              </w:rPr>
              <w:t>is</w:t>
            </w:r>
            <w:r w:rsidRPr="00FD40B8">
              <w:rPr>
                <w:color w:val="131727" w:themeColor="text1"/>
                <w:spacing w:val="-2"/>
                <w:w w:val="110"/>
                <w:sz w:val="18"/>
              </w:rPr>
              <w:t xml:space="preserve"> </w:t>
            </w:r>
            <w:r w:rsidRPr="00FD40B8">
              <w:rPr>
                <w:color w:val="131727" w:themeColor="text1"/>
                <w:w w:val="110"/>
                <w:sz w:val="18"/>
              </w:rPr>
              <w:t>comparable</w:t>
            </w:r>
            <w:r w:rsidRPr="00FD40B8">
              <w:rPr>
                <w:color w:val="131727" w:themeColor="text1"/>
                <w:spacing w:val="-2"/>
                <w:w w:val="110"/>
                <w:sz w:val="18"/>
              </w:rPr>
              <w:t xml:space="preserve"> </w:t>
            </w:r>
            <w:r w:rsidRPr="00FD40B8">
              <w:rPr>
                <w:color w:val="131727" w:themeColor="text1"/>
                <w:w w:val="110"/>
                <w:sz w:val="18"/>
              </w:rPr>
              <w:t>with</w:t>
            </w:r>
            <w:r w:rsidRPr="00FD40B8">
              <w:rPr>
                <w:color w:val="131727" w:themeColor="text1"/>
                <w:spacing w:val="-1"/>
                <w:w w:val="110"/>
                <w:sz w:val="18"/>
              </w:rPr>
              <w:t xml:space="preserve"> </w:t>
            </w:r>
            <w:r w:rsidRPr="00FD40B8">
              <w:rPr>
                <w:color w:val="131727" w:themeColor="text1"/>
                <w:spacing w:val="-5"/>
                <w:w w:val="110"/>
                <w:sz w:val="18"/>
              </w:rPr>
              <w:t>the</w:t>
            </w:r>
          </w:p>
          <w:p w14:paraId="5AC19921" w14:textId="77777777" w:rsidR="00811887" w:rsidRPr="00FD40B8" w:rsidRDefault="00811887" w:rsidP="00486E22">
            <w:pPr>
              <w:pStyle w:val="TableParagraph"/>
              <w:spacing w:before="20" w:line="199" w:lineRule="exact"/>
              <w:ind w:left="91" w:right="78"/>
              <w:jc w:val="center"/>
              <w:rPr>
                <w:color w:val="131727" w:themeColor="text1"/>
                <w:sz w:val="18"/>
              </w:rPr>
            </w:pPr>
            <w:r w:rsidRPr="00FD40B8">
              <w:rPr>
                <w:color w:val="131727" w:themeColor="text1"/>
                <w:w w:val="110"/>
                <w:sz w:val="18"/>
              </w:rPr>
              <w:t>NATSISS</w:t>
            </w:r>
            <w:r w:rsidRPr="00FD40B8">
              <w:rPr>
                <w:color w:val="131727" w:themeColor="text1"/>
                <w:spacing w:val="14"/>
                <w:w w:val="110"/>
                <w:sz w:val="18"/>
              </w:rPr>
              <w:t xml:space="preserve"> </w:t>
            </w:r>
            <w:r w:rsidRPr="00FD40B8">
              <w:rPr>
                <w:color w:val="131727" w:themeColor="text1"/>
                <w:spacing w:val="-2"/>
                <w:w w:val="110"/>
                <w:sz w:val="18"/>
              </w:rPr>
              <w:t>only.</w:t>
            </w:r>
          </w:p>
        </w:tc>
        <w:tc>
          <w:tcPr>
            <w:tcW w:w="3202" w:type="dxa"/>
            <w:shd w:val="clear" w:color="auto" w:fill="EEF1F4"/>
          </w:tcPr>
          <w:p w14:paraId="501C69D1" w14:textId="77777777" w:rsidR="00811887" w:rsidRPr="00FD40B8" w:rsidRDefault="00811887" w:rsidP="00486E22">
            <w:pPr>
              <w:pStyle w:val="TableParagraph"/>
              <w:spacing w:before="20" w:line="240" w:lineRule="auto"/>
              <w:ind w:left="22" w:right="7"/>
              <w:jc w:val="center"/>
              <w:rPr>
                <w:color w:val="131727" w:themeColor="text1"/>
                <w:sz w:val="18"/>
              </w:rPr>
            </w:pPr>
            <w:r w:rsidRPr="00FD40B8">
              <w:rPr>
                <w:color w:val="131727" w:themeColor="text1"/>
                <w:w w:val="110"/>
                <w:sz w:val="18"/>
              </w:rPr>
              <w:t>Housing</w:t>
            </w:r>
            <w:r w:rsidRPr="00FD40B8">
              <w:rPr>
                <w:color w:val="131727" w:themeColor="text1"/>
                <w:spacing w:val="-4"/>
                <w:w w:val="110"/>
                <w:sz w:val="18"/>
              </w:rPr>
              <w:t xml:space="preserve"> </w:t>
            </w:r>
            <w:r w:rsidRPr="00FD40B8">
              <w:rPr>
                <w:color w:val="131727" w:themeColor="text1"/>
                <w:w w:val="110"/>
                <w:sz w:val="18"/>
              </w:rPr>
              <w:t>data</w:t>
            </w:r>
            <w:r w:rsidRPr="00FD40B8">
              <w:rPr>
                <w:color w:val="131727" w:themeColor="text1"/>
                <w:spacing w:val="-4"/>
                <w:w w:val="110"/>
                <w:sz w:val="18"/>
              </w:rPr>
              <w:t xml:space="preserve"> </w:t>
            </w:r>
            <w:r w:rsidRPr="00FD40B8">
              <w:rPr>
                <w:color w:val="131727" w:themeColor="text1"/>
                <w:w w:val="110"/>
                <w:sz w:val="18"/>
              </w:rPr>
              <w:t>is</w:t>
            </w:r>
            <w:r w:rsidRPr="00FD40B8">
              <w:rPr>
                <w:color w:val="131727" w:themeColor="text1"/>
                <w:spacing w:val="-2"/>
                <w:w w:val="110"/>
                <w:sz w:val="18"/>
              </w:rPr>
              <w:t xml:space="preserve"> </w:t>
            </w:r>
            <w:r w:rsidRPr="00FD40B8">
              <w:rPr>
                <w:color w:val="131727" w:themeColor="text1"/>
                <w:w w:val="110"/>
                <w:sz w:val="18"/>
              </w:rPr>
              <w:t>comparable</w:t>
            </w:r>
            <w:r w:rsidRPr="00FD40B8">
              <w:rPr>
                <w:color w:val="131727" w:themeColor="text1"/>
                <w:spacing w:val="-2"/>
                <w:w w:val="110"/>
                <w:sz w:val="18"/>
              </w:rPr>
              <w:t xml:space="preserve"> </w:t>
            </w:r>
            <w:r w:rsidRPr="00FD40B8">
              <w:rPr>
                <w:color w:val="131727" w:themeColor="text1"/>
                <w:w w:val="110"/>
                <w:sz w:val="18"/>
              </w:rPr>
              <w:t>with</w:t>
            </w:r>
            <w:r w:rsidRPr="00FD40B8">
              <w:rPr>
                <w:color w:val="131727" w:themeColor="text1"/>
                <w:spacing w:val="-1"/>
                <w:w w:val="110"/>
                <w:sz w:val="18"/>
              </w:rPr>
              <w:t xml:space="preserve"> </w:t>
            </w:r>
            <w:r w:rsidRPr="00FD40B8">
              <w:rPr>
                <w:color w:val="131727" w:themeColor="text1"/>
                <w:spacing w:val="-5"/>
                <w:w w:val="110"/>
                <w:sz w:val="18"/>
              </w:rPr>
              <w:t>the</w:t>
            </w:r>
          </w:p>
          <w:p w14:paraId="6D14672A" w14:textId="77777777" w:rsidR="00811887" w:rsidRPr="00FD40B8" w:rsidRDefault="00811887" w:rsidP="00486E22">
            <w:pPr>
              <w:pStyle w:val="TableParagraph"/>
              <w:spacing w:before="20" w:line="199" w:lineRule="exact"/>
              <w:ind w:left="22"/>
              <w:jc w:val="center"/>
              <w:rPr>
                <w:color w:val="131727" w:themeColor="text1"/>
                <w:sz w:val="18"/>
              </w:rPr>
            </w:pPr>
            <w:r w:rsidRPr="00FD40B8">
              <w:rPr>
                <w:color w:val="131727" w:themeColor="text1"/>
                <w:w w:val="110"/>
                <w:sz w:val="18"/>
              </w:rPr>
              <w:t>NATSIHS</w:t>
            </w:r>
            <w:r w:rsidRPr="00FD40B8">
              <w:rPr>
                <w:color w:val="131727" w:themeColor="text1"/>
                <w:spacing w:val="8"/>
                <w:w w:val="110"/>
                <w:sz w:val="18"/>
              </w:rPr>
              <w:t xml:space="preserve"> </w:t>
            </w:r>
            <w:r w:rsidRPr="00FD40B8">
              <w:rPr>
                <w:color w:val="131727" w:themeColor="text1"/>
                <w:spacing w:val="-2"/>
                <w:w w:val="110"/>
                <w:sz w:val="18"/>
              </w:rPr>
              <w:t>only.</w:t>
            </w:r>
          </w:p>
        </w:tc>
        <w:tc>
          <w:tcPr>
            <w:tcW w:w="3207" w:type="dxa"/>
            <w:shd w:val="clear" w:color="auto" w:fill="EEF1F4"/>
          </w:tcPr>
          <w:p w14:paraId="42C6BA35" w14:textId="77777777" w:rsidR="00811887" w:rsidRPr="00FD40B8" w:rsidRDefault="00811887" w:rsidP="00486E22">
            <w:pPr>
              <w:pStyle w:val="TableParagraph"/>
              <w:spacing w:before="20" w:line="240" w:lineRule="auto"/>
              <w:ind w:left="513"/>
              <w:rPr>
                <w:color w:val="131727" w:themeColor="text1"/>
                <w:sz w:val="18"/>
              </w:rPr>
            </w:pPr>
            <w:r w:rsidRPr="00FD40B8">
              <w:rPr>
                <w:color w:val="131727" w:themeColor="text1"/>
                <w:w w:val="110"/>
                <w:sz w:val="18"/>
              </w:rPr>
              <w:t>Not</w:t>
            </w:r>
            <w:r w:rsidRPr="00FD40B8">
              <w:rPr>
                <w:color w:val="131727" w:themeColor="text1"/>
                <w:spacing w:val="-5"/>
                <w:w w:val="110"/>
                <w:sz w:val="18"/>
              </w:rPr>
              <w:t xml:space="preserve"> </w:t>
            </w:r>
            <w:r w:rsidRPr="00FD40B8">
              <w:rPr>
                <w:color w:val="131727" w:themeColor="text1"/>
                <w:w w:val="110"/>
                <w:sz w:val="18"/>
              </w:rPr>
              <w:t>comparable</w:t>
            </w:r>
            <w:r w:rsidRPr="00FD40B8">
              <w:rPr>
                <w:color w:val="131727" w:themeColor="text1"/>
                <w:spacing w:val="-8"/>
                <w:w w:val="110"/>
                <w:sz w:val="18"/>
              </w:rPr>
              <w:t xml:space="preserve"> </w:t>
            </w:r>
            <w:r w:rsidRPr="00FD40B8">
              <w:rPr>
                <w:color w:val="131727" w:themeColor="text1"/>
                <w:w w:val="110"/>
                <w:sz w:val="18"/>
              </w:rPr>
              <w:t>with</w:t>
            </w:r>
            <w:r w:rsidRPr="00FD40B8">
              <w:rPr>
                <w:color w:val="131727" w:themeColor="text1"/>
                <w:spacing w:val="-6"/>
                <w:w w:val="110"/>
                <w:sz w:val="18"/>
              </w:rPr>
              <w:t xml:space="preserve"> </w:t>
            </w:r>
            <w:r w:rsidRPr="00FD40B8">
              <w:rPr>
                <w:color w:val="131727" w:themeColor="text1"/>
                <w:spacing w:val="-2"/>
                <w:w w:val="110"/>
                <w:sz w:val="18"/>
              </w:rPr>
              <w:t>other</w:t>
            </w:r>
          </w:p>
          <w:p w14:paraId="5CE25825" w14:textId="77777777" w:rsidR="00811887" w:rsidRPr="00FD40B8" w:rsidRDefault="00811887" w:rsidP="00486E22">
            <w:pPr>
              <w:pStyle w:val="TableParagraph"/>
              <w:spacing w:before="20" w:line="199" w:lineRule="exact"/>
              <w:ind w:left="432"/>
              <w:rPr>
                <w:color w:val="131727" w:themeColor="text1"/>
                <w:sz w:val="18"/>
              </w:rPr>
            </w:pPr>
            <w:r w:rsidRPr="00FD40B8">
              <w:rPr>
                <w:color w:val="131727" w:themeColor="text1"/>
                <w:spacing w:val="-2"/>
                <w:w w:val="110"/>
                <w:sz w:val="18"/>
              </w:rPr>
              <w:t>collections,</w:t>
            </w:r>
            <w:r w:rsidRPr="00FD40B8">
              <w:rPr>
                <w:color w:val="131727" w:themeColor="text1"/>
                <w:spacing w:val="3"/>
                <w:w w:val="110"/>
                <w:sz w:val="18"/>
              </w:rPr>
              <w:t xml:space="preserve"> </w:t>
            </w:r>
            <w:r w:rsidRPr="00FD40B8">
              <w:rPr>
                <w:color w:val="131727" w:themeColor="text1"/>
                <w:spacing w:val="-2"/>
                <w:w w:val="110"/>
                <w:sz w:val="18"/>
              </w:rPr>
              <w:t>including</w:t>
            </w:r>
            <w:r w:rsidRPr="00FD40B8">
              <w:rPr>
                <w:color w:val="131727" w:themeColor="text1"/>
                <w:spacing w:val="5"/>
                <w:w w:val="110"/>
                <w:sz w:val="18"/>
              </w:rPr>
              <w:t xml:space="preserve"> </w:t>
            </w:r>
            <w:r w:rsidRPr="00FD40B8">
              <w:rPr>
                <w:color w:val="131727" w:themeColor="text1"/>
                <w:spacing w:val="-2"/>
                <w:w w:val="110"/>
                <w:sz w:val="18"/>
              </w:rPr>
              <w:t>Census.</w:t>
            </w:r>
          </w:p>
        </w:tc>
      </w:tr>
      <w:tr w:rsidR="00811887" w:rsidRPr="00FD40B8" w14:paraId="07A53924" w14:textId="77777777" w:rsidTr="00486E22">
        <w:trPr>
          <w:trHeight w:val="2160"/>
        </w:trPr>
        <w:tc>
          <w:tcPr>
            <w:tcW w:w="1546" w:type="dxa"/>
            <w:shd w:val="clear" w:color="auto" w:fill="91A9A2"/>
          </w:tcPr>
          <w:p w14:paraId="610B0FEF" w14:textId="77777777" w:rsidR="00811887" w:rsidRPr="00FD40B8" w:rsidRDefault="00811887" w:rsidP="00486E22">
            <w:pPr>
              <w:pStyle w:val="TableParagraph"/>
              <w:spacing w:line="240" w:lineRule="auto"/>
              <w:rPr>
                <w:rFonts w:ascii="Book Antiqua"/>
                <w:b/>
                <w:color w:val="131727" w:themeColor="text1"/>
                <w:sz w:val="18"/>
              </w:rPr>
            </w:pPr>
          </w:p>
          <w:p w14:paraId="006F1FC4" w14:textId="77777777" w:rsidR="00811887" w:rsidRPr="00FD40B8" w:rsidRDefault="00811887" w:rsidP="00486E22">
            <w:pPr>
              <w:pStyle w:val="TableParagraph"/>
              <w:spacing w:line="240" w:lineRule="auto"/>
              <w:rPr>
                <w:rFonts w:ascii="Book Antiqua"/>
                <w:b/>
                <w:color w:val="131727" w:themeColor="text1"/>
                <w:sz w:val="18"/>
              </w:rPr>
            </w:pPr>
          </w:p>
          <w:p w14:paraId="422250CF" w14:textId="77777777" w:rsidR="00811887" w:rsidRPr="00FD40B8" w:rsidRDefault="00811887" w:rsidP="00486E22">
            <w:pPr>
              <w:pStyle w:val="TableParagraph"/>
              <w:spacing w:line="240" w:lineRule="auto"/>
              <w:rPr>
                <w:rFonts w:ascii="Book Antiqua"/>
                <w:b/>
                <w:color w:val="131727" w:themeColor="text1"/>
                <w:sz w:val="18"/>
              </w:rPr>
            </w:pPr>
          </w:p>
          <w:p w14:paraId="3982EE4A" w14:textId="77777777" w:rsidR="00811887" w:rsidRPr="00FD40B8" w:rsidRDefault="00811887" w:rsidP="00486E22">
            <w:pPr>
              <w:pStyle w:val="TableParagraph"/>
              <w:spacing w:before="129" w:line="240" w:lineRule="auto"/>
              <w:rPr>
                <w:rFonts w:ascii="Book Antiqua"/>
                <w:b/>
                <w:color w:val="131727" w:themeColor="text1"/>
                <w:sz w:val="18"/>
              </w:rPr>
            </w:pPr>
          </w:p>
          <w:p w14:paraId="6EFC710F" w14:textId="77777777" w:rsidR="00811887" w:rsidRPr="00FD40B8" w:rsidRDefault="00811887" w:rsidP="00486E22">
            <w:pPr>
              <w:pStyle w:val="TableParagraph"/>
              <w:spacing w:line="240" w:lineRule="auto"/>
              <w:ind w:left="18" w:right="6"/>
              <w:jc w:val="center"/>
              <w:rPr>
                <w:rFonts w:ascii="Garamond"/>
                <w:b/>
                <w:color w:val="131727" w:themeColor="text1"/>
                <w:sz w:val="18"/>
              </w:rPr>
            </w:pPr>
            <w:r w:rsidRPr="00FD40B8">
              <w:rPr>
                <w:rFonts w:ascii="Garamond"/>
                <w:b/>
                <w:color w:val="131727" w:themeColor="text1"/>
                <w:spacing w:val="-2"/>
                <w:sz w:val="18"/>
              </w:rPr>
              <w:t>Limitations</w:t>
            </w:r>
          </w:p>
        </w:tc>
        <w:tc>
          <w:tcPr>
            <w:tcW w:w="2751" w:type="dxa"/>
            <w:shd w:val="clear" w:color="auto" w:fill="EEF1F4"/>
          </w:tcPr>
          <w:p w14:paraId="658A4708" w14:textId="77777777" w:rsidR="00811887" w:rsidRPr="00FD40B8" w:rsidRDefault="00811887" w:rsidP="00811887">
            <w:pPr>
              <w:pStyle w:val="TableParagraph"/>
              <w:numPr>
                <w:ilvl w:val="0"/>
                <w:numId w:val="58"/>
              </w:numPr>
              <w:tabs>
                <w:tab w:val="left" w:pos="830"/>
              </w:tabs>
              <w:spacing w:before="131" w:line="261" w:lineRule="auto"/>
              <w:ind w:right="200"/>
              <w:rPr>
                <w:color w:val="131727" w:themeColor="text1"/>
                <w:sz w:val="18"/>
              </w:rPr>
            </w:pPr>
            <w:r w:rsidRPr="00FD40B8">
              <w:rPr>
                <w:color w:val="131727" w:themeColor="text1"/>
                <w:w w:val="110"/>
                <w:sz w:val="18"/>
              </w:rPr>
              <w:t>Does</w:t>
            </w:r>
            <w:r w:rsidRPr="00FD40B8">
              <w:rPr>
                <w:color w:val="131727" w:themeColor="text1"/>
                <w:spacing w:val="-7"/>
                <w:w w:val="110"/>
                <w:sz w:val="18"/>
              </w:rPr>
              <w:t xml:space="preserve"> </w:t>
            </w:r>
            <w:r w:rsidRPr="00FD40B8">
              <w:rPr>
                <w:color w:val="131727" w:themeColor="text1"/>
                <w:w w:val="110"/>
                <w:sz w:val="18"/>
              </w:rPr>
              <w:t>not</w:t>
            </w:r>
            <w:r w:rsidRPr="00FD40B8">
              <w:rPr>
                <w:color w:val="131727" w:themeColor="text1"/>
                <w:spacing w:val="-11"/>
                <w:w w:val="110"/>
                <w:sz w:val="18"/>
              </w:rPr>
              <w:t xml:space="preserve"> </w:t>
            </w:r>
            <w:r w:rsidRPr="00FD40B8">
              <w:rPr>
                <w:color w:val="131727" w:themeColor="text1"/>
                <w:w w:val="110"/>
                <w:sz w:val="18"/>
              </w:rPr>
              <w:t>collect</w:t>
            </w:r>
            <w:r w:rsidRPr="00FD40B8">
              <w:rPr>
                <w:color w:val="131727" w:themeColor="text1"/>
                <w:spacing w:val="-11"/>
                <w:w w:val="110"/>
                <w:sz w:val="18"/>
              </w:rPr>
              <w:t xml:space="preserve"> </w:t>
            </w:r>
            <w:r w:rsidRPr="00FD40B8">
              <w:rPr>
                <w:color w:val="131727" w:themeColor="text1"/>
                <w:w w:val="110"/>
                <w:sz w:val="18"/>
              </w:rPr>
              <w:t>data on repairs and maintenance or condition of housing</w:t>
            </w:r>
          </w:p>
          <w:p w14:paraId="04D3DE0B" w14:textId="77777777" w:rsidR="00811887" w:rsidRPr="00FD40B8" w:rsidRDefault="00811887" w:rsidP="00811887">
            <w:pPr>
              <w:pStyle w:val="TableParagraph"/>
              <w:numPr>
                <w:ilvl w:val="0"/>
                <w:numId w:val="58"/>
              </w:numPr>
              <w:tabs>
                <w:tab w:val="left" w:pos="830"/>
              </w:tabs>
              <w:spacing w:line="261" w:lineRule="auto"/>
              <w:ind w:right="91"/>
              <w:rPr>
                <w:color w:val="131727" w:themeColor="text1"/>
                <w:sz w:val="18"/>
              </w:rPr>
            </w:pPr>
            <w:r w:rsidRPr="00FD40B8">
              <w:rPr>
                <w:color w:val="131727" w:themeColor="text1"/>
                <w:w w:val="110"/>
                <w:sz w:val="18"/>
              </w:rPr>
              <w:t xml:space="preserve">Does not include questions on </w:t>
            </w:r>
            <w:r w:rsidRPr="00FD40B8">
              <w:rPr>
                <w:color w:val="131727" w:themeColor="text1"/>
                <w:spacing w:val="-2"/>
                <w:w w:val="110"/>
                <w:sz w:val="18"/>
              </w:rPr>
              <w:t>community services/infrastructure</w:t>
            </w:r>
          </w:p>
        </w:tc>
        <w:tc>
          <w:tcPr>
            <w:tcW w:w="3467" w:type="dxa"/>
            <w:shd w:val="clear" w:color="auto" w:fill="EEF1F4"/>
          </w:tcPr>
          <w:p w14:paraId="4EFA0132" w14:textId="77777777" w:rsidR="00811887" w:rsidRPr="00FD40B8" w:rsidRDefault="00811887" w:rsidP="00811887">
            <w:pPr>
              <w:pStyle w:val="TableParagraph"/>
              <w:numPr>
                <w:ilvl w:val="0"/>
                <w:numId w:val="57"/>
              </w:numPr>
              <w:tabs>
                <w:tab w:val="left" w:pos="830"/>
              </w:tabs>
              <w:spacing w:before="131" w:line="261" w:lineRule="auto"/>
              <w:ind w:right="202"/>
              <w:rPr>
                <w:i/>
                <w:color w:val="131727" w:themeColor="text1"/>
                <w:sz w:val="18"/>
              </w:rPr>
            </w:pPr>
            <w:r w:rsidRPr="00FD40B8">
              <w:rPr>
                <w:color w:val="131727" w:themeColor="text1"/>
                <w:w w:val="105"/>
                <w:sz w:val="18"/>
              </w:rPr>
              <w:t xml:space="preserve">Current data is outdated </w:t>
            </w:r>
            <w:r w:rsidRPr="00FD40B8">
              <w:rPr>
                <w:i/>
                <w:color w:val="131727" w:themeColor="text1"/>
                <w:w w:val="105"/>
                <w:sz w:val="18"/>
              </w:rPr>
              <w:t>(a</w:t>
            </w:r>
            <w:r w:rsidRPr="00FD40B8">
              <w:rPr>
                <w:i/>
                <w:color w:val="131727" w:themeColor="text1"/>
                <w:spacing w:val="40"/>
                <w:w w:val="105"/>
                <w:sz w:val="18"/>
              </w:rPr>
              <w:t xml:space="preserve"> </w:t>
            </w:r>
            <w:r w:rsidRPr="00FD40B8">
              <w:rPr>
                <w:i/>
                <w:color w:val="131727" w:themeColor="text1"/>
                <w:w w:val="105"/>
                <w:sz w:val="18"/>
              </w:rPr>
              <w:t>new</w:t>
            </w:r>
            <w:r w:rsidRPr="00FD40B8">
              <w:rPr>
                <w:i/>
                <w:color w:val="131727" w:themeColor="text1"/>
                <w:spacing w:val="-11"/>
                <w:w w:val="105"/>
                <w:sz w:val="18"/>
              </w:rPr>
              <w:t xml:space="preserve"> </w:t>
            </w:r>
            <w:r w:rsidRPr="00FD40B8">
              <w:rPr>
                <w:i/>
                <w:color w:val="131727" w:themeColor="text1"/>
                <w:w w:val="105"/>
                <w:sz w:val="18"/>
              </w:rPr>
              <w:t>survey</w:t>
            </w:r>
            <w:r w:rsidRPr="00FD40B8">
              <w:rPr>
                <w:i/>
                <w:color w:val="131727" w:themeColor="text1"/>
                <w:spacing w:val="-11"/>
                <w:w w:val="105"/>
                <w:sz w:val="18"/>
              </w:rPr>
              <w:t xml:space="preserve"> </w:t>
            </w:r>
            <w:r w:rsidRPr="00FD40B8">
              <w:rPr>
                <w:i/>
                <w:color w:val="131727" w:themeColor="text1"/>
                <w:w w:val="105"/>
                <w:sz w:val="18"/>
              </w:rPr>
              <w:t>is</w:t>
            </w:r>
            <w:r w:rsidRPr="00FD40B8">
              <w:rPr>
                <w:i/>
                <w:color w:val="131727" w:themeColor="text1"/>
                <w:spacing w:val="-11"/>
                <w:w w:val="105"/>
                <w:sz w:val="18"/>
              </w:rPr>
              <w:t xml:space="preserve"> </w:t>
            </w:r>
            <w:r w:rsidRPr="00FD40B8">
              <w:rPr>
                <w:i/>
                <w:color w:val="131727" w:themeColor="text1"/>
                <w:w w:val="105"/>
                <w:sz w:val="18"/>
              </w:rPr>
              <w:t>due</w:t>
            </w:r>
            <w:r w:rsidRPr="00FD40B8">
              <w:rPr>
                <w:i/>
                <w:color w:val="131727" w:themeColor="text1"/>
                <w:spacing w:val="-10"/>
                <w:w w:val="105"/>
                <w:sz w:val="18"/>
              </w:rPr>
              <w:t xml:space="preserve"> </w:t>
            </w:r>
            <w:r w:rsidRPr="00FD40B8">
              <w:rPr>
                <w:i/>
                <w:color w:val="131727" w:themeColor="text1"/>
                <w:w w:val="105"/>
                <w:sz w:val="18"/>
              </w:rPr>
              <w:t>to</w:t>
            </w:r>
            <w:r w:rsidRPr="00FD40B8">
              <w:rPr>
                <w:i/>
                <w:color w:val="131727" w:themeColor="text1"/>
                <w:spacing w:val="-11"/>
                <w:w w:val="105"/>
                <w:sz w:val="18"/>
              </w:rPr>
              <w:t xml:space="preserve"> </w:t>
            </w:r>
            <w:r w:rsidRPr="00FD40B8">
              <w:rPr>
                <w:i/>
                <w:color w:val="131727" w:themeColor="text1"/>
                <w:w w:val="105"/>
                <w:sz w:val="18"/>
              </w:rPr>
              <w:t>be</w:t>
            </w:r>
            <w:r w:rsidRPr="00FD40B8">
              <w:rPr>
                <w:i/>
                <w:color w:val="131727" w:themeColor="text1"/>
                <w:spacing w:val="-11"/>
                <w:w w:val="105"/>
                <w:sz w:val="18"/>
              </w:rPr>
              <w:t xml:space="preserve"> </w:t>
            </w:r>
            <w:r w:rsidRPr="00FD40B8">
              <w:rPr>
                <w:i/>
                <w:color w:val="131727" w:themeColor="text1"/>
                <w:w w:val="105"/>
                <w:sz w:val="18"/>
              </w:rPr>
              <w:t>released based on 2023 collected data)</w:t>
            </w:r>
          </w:p>
          <w:p w14:paraId="680CB3A7" w14:textId="77777777" w:rsidR="00811887" w:rsidRPr="00FD40B8" w:rsidRDefault="00811887" w:rsidP="00811887">
            <w:pPr>
              <w:pStyle w:val="TableParagraph"/>
              <w:numPr>
                <w:ilvl w:val="0"/>
                <w:numId w:val="57"/>
              </w:numPr>
              <w:tabs>
                <w:tab w:val="left" w:pos="830"/>
              </w:tabs>
              <w:spacing w:line="261" w:lineRule="auto"/>
              <w:ind w:right="568"/>
              <w:rPr>
                <w:color w:val="131727" w:themeColor="text1"/>
                <w:sz w:val="18"/>
              </w:rPr>
            </w:pPr>
            <w:r w:rsidRPr="00FD40B8">
              <w:rPr>
                <w:color w:val="131727" w:themeColor="text1"/>
                <w:w w:val="105"/>
                <w:sz w:val="18"/>
              </w:rPr>
              <w:t xml:space="preserve">Data quality is limited/not available at low levels of </w:t>
            </w:r>
            <w:r w:rsidRPr="00FD40B8">
              <w:rPr>
                <w:color w:val="131727" w:themeColor="text1"/>
                <w:spacing w:val="-2"/>
                <w:w w:val="105"/>
                <w:sz w:val="18"/>
              </w:rPr>
              <w:t>geography</w:t>
            </w:r>
          </w:p>
          <w:p w14:paraId="4A54FB5D" w14:textId="77777777" w:rsidR="00811887" w:rsidRPr="00FD40B8" w:rsidRDefault="00811887" w:rsidP="00811887">
            <w:pPr>
              <w:pStyle w:val="TableParagraph"/>
              <w:numPr>
                <w:ilvl w:val="0"/>
                <w:numId w:val="57"/>
              </w:numPr>
              <w:tabs>
                <w:tab w:val="left" w:pos="830"/>
              </w:tabs>
              <w:spacing w:line="261" w:lineRule="auto"/>
              <w:ind w:right="248"/>
              <w:rPr>
                <w:color w:val="131727" w:themeColor="text1"/>
                <w:sz w:val="18"/>
              </w:rPr>
            </w:pPr>
            <w:r w:rsidRPr="00FD40B8">
              <w:rPr>
                <w:color w:val="131727" w:themeColor="text1"/>
                <w:w w:val="110"/>
                <w:sz w:val="18"/>
              </w:rPr>
              <w:t>Has</w:t>
            </w:r>
            <w:r w:rsidRPr="00FD40B8">
              <w:rPr>
                <w:color w:val="131727" w:themeColor="text1"/>
                <w:spacing w:val="-6"/>
                <w:w w:val="110"/>
                <w:sz w:val="18"/>
              </w:rPr>
              <w:t xml:space="preserve"> </w:t>
            </w:r>
            <w:r w:rsidRPr="00FD40B8">
              <w:rPr>
                <w:color w:val="131727" w:themeColor="text1"/>
                <w:w w:val="110"/>
                <w:sz w:val="18"/>
              </w:rPr>
              <w:t>limited</w:t>
            </w:r>
            <w:r w:rsidRPr="00FD40B8">
              <w:rPr>
                <w:color w:val="131727" w:themeColor="text1"/>
                <w:spacing w:val="-9"/>
                <w:w w:val="110"/>
                <w:sz w:val="18"/>
              </w:rPr>
              <w:t xml:space="preserve"> </w:t>
            </w:r>
            <w:r w:rsidRPr="00FD40B8">
              <w:rPr>
                <w:color w:val="131727" w:themeColor="text1"/>
                <w:w w:val="110"/>
                <w:sz w:val="18"/>
              </w:rPr>
              <w:t>data</w:t>
            </w:r>
            <w:r w:rsidRPr="00FD40B8">
              <w:rPr>
                <w:color w:val="131727" w:themeColor="text1"/>
                <w:spacing w:val="-8"/>
                <w:w w:val="110"/>
                <w:sz w:val="18"/>
              </w:rPr>
              <w:t xml:space="preserve"> </w:t>
            </w:r>
            <w:r w:rsidRPr="00FD40B8">
              <w:rPr>
                <w:color w:val="131727" w:themeColor="text1"/>
                <w:w w:val="110"/>
                <w:sz w:val="18"/>
              </w:rPr>
              <w:t>on</w:t>
            </w:r>
            <w:r w:rsidRPr="00FD40B8">
              <w:rPr>
                <w:color w:val="131727" w:themeColor="text1"/>
                <w:spacing w:val="-8"/>
                <w:w w:val="110"/>
                <w:sz w:val="18"/>
              </w:rPr>
              <w:t xml:space="preserve"> </w:t>
            </w:r>
            <w:r w:rsidRPr="00FD40B8">
              <w:rPr>
                <w:color w:val="131727" w:themeColor="text1"/>
                <w:w w:val="110"/>
                <w:sz w:val="18"/>
              </w:rPr>
              <w:t>condition of housing</w:t>
            </w:r>
          </w:p>
        </w:tc>
        <w:tc>
          <w:tcPr>
            <w:tcW w:w="3202" w:type="dxa"/>
            <w:shd w:val="clear" w:color="auto" w:fill="EEF1F4"/>
          </w:tcPr>
          <w:p w14:paraId="393BF5A1" w14:textId="77777777" w:rsidR="00811887" w:rsidRPr="00FD40B8" w:rsidRDefault="00811887" w:rsidP="00811887">
            <w:pPr>
              <w:pStyle w:val="TableParagraph"/>
              <w:numPr>
                <w:ilvl w:val="0"/>
                <w:numId w:val="56"/>
              </w:numPr>
              <w:tabs>
                <w:tab w:val="left" w:pos="830"/>
              </w:tabs>
              <w:spacing w:before="11" w:line="240" w:lineRule="auto"/>
              <w:rPr>
                <w:color w:val="131727" w:themeColor="text1"/>
                <w:sz w:val="18"/>
              </w:rPr>
            </w:pPr>
            <w:r w:rsidRPr="00FD40B8">
              <w:rPr>
                <w:color w:val="131727" w:themeColor="text1"/>
                <w:w w:val="110"/>
                <w:sz w:val="18"/>
              </w:rPr>
              <w:t>Data</w:t>
            </w:r>
            <w:r w:rsidRPr="00FD40B8">
              <w:rPr>
                <w:color w:val="131727" w:themeColor="text1"/>
                <w:spacing w:val="-2"/>
                <w:w w:val="110"/>
                <w:sz w:val="18"/>
              </w:rPr>
              <w:t xml:space="preserve"> </w:t>
            </w:r>
            <w:r w:rsidRPr="00FD40B8">
              <w:rPr>
                <w:color w:val="131727" w:themeColor="text1"/>
                <w:w w:val="110"/>
                <w:sz w:val="18"/>
              </w:rPr>
              <w:t>is</w:t>
            </w:r>
            <w:r w:rsidRPr="00FD40B8">
              <w:rPr>
                <w:color w:val="131727" w:themeColor="text1"/>
                <w:spacing w:val="7"/>
                <w:w w:val="110"/>
                <w:sz w:val="18"/>
              </w:rPr>
              <w:t xml:space="preserve"> </w:t>
            </w:r>
            <w:r w:rsidRPr="00FD40B8">
              <w:rPr>
                <w:color w:val="131727" w:themeColor="text1"/>
                <w:spacing w:val="-2"/>
                <w:w w:val="110"/>
                <w:sz w:val="18"/>
              </w:rPr>
              <w:t>outdated</w:t>
            </w:r>
          </w:p>
          <w:p w14:paraId="4C4AE8F8" w14:textId="77777777" w:rsidR="00811887" w:rsidRPr="00FD40B8" w:rsidRDefault="00811887" w:rsidP="00811887">
            <w:pPr>
              <w:pStyle w:val="TableParagraph"/>
              <w:numPr>
                <w:ilvl w:val="0"/>
                <w:numId w:val="56"/>
              </w:numPr>
              <w:tabs>
                <w:tab w:val="left" w:pos="830"/>
              </w:tabs>
              <w:spacing w:before="11" w:line="261" w:lineRule="auto"/>
              <w:ind w:right="304"/>
              <w:rPr>
                <w:color w:val="131727" w:themeColor="text1"/>
                <w:sz w:val="18"/>
              </w:rPr>
            </w:pPr>
            <w:r w:rsidRPr="00FD40B8">
              <w:rPr>
                <w:color w:val="131727" w:themeColor="text1"/>
                <w:w w:val="105"/>
                <w:sz w:val="18"/>
              </w:rPr>
              <w:t xml:space="preserve">Data quality is limited/not available at low levels of </w:t>
            </w:r>
            <w:r w:rsidRPr="00FD40B8">
              <w:rPr>
                <w:color w:val="131727" w:themeColor="text1"/>
                <w:spacing w:val="-2"/>
                <w:w w:val="105"/>
                <w:sz w:val="18"/>
              </w:rPr>
              <w:t>geography</w:t>
            </w:r>
          </w:p>
          <w:p w14:paraId="70D856DF" w14:textId="77777777" w:rsidR="00811887" w:rsidRPr="00FD40B8" w:rsidRDefault="00811887" w:rsidP="00811887">
            <w:pPr>
              <w:pStyle w:val="TableParagraph"/>
              <w:numPr>
                <w:ilvl w:val="0"/>
                <w:numId w:val="56"/>
              </w:numPr>
              <w:tabs>
                <w:tab w:val="left" w:pos="830"/>
              </w:tabs>
              <w:spacing w:line="261" w:lineRule="auto"/>
              <w:ind w:right="705"/>
              <w:rPr>
                <w:color w:val="131727" w:themeColor="text1"/>
                <w:sz w:val="18"/>
              </w:rPr>
            </w:pPr>
            <w:r w:rsidRPr="00FD40B8">
              <w:rPr>
                <w:color w:val="131727" w:themeColor="text1"/>
                <w:w w:val="110"/>
                <w:sz w:val="18"/>
              </w:rPr>
              <w:t>Has limited data on condition</w:t>
            </w:r>
            <w:r w:rsidRPr="00FD40B8">
              <w:rPr>
                <w:color w:val="131727" w:themeColor="text1"/>
                <w:spacing w:val="-12"/>
                <w:w w:val="110"/>
                <w:sz w:val="18"/>
              </w:rPr>
              <w:t xml:space="preserve"> </w:t>
            </w:r>
            <w:r w:rsidRPr="00FD40B8">
              <w:rPr>
                <w:color w:val="131727" w:themeColor="text1"/>
                <w:w w:val="110"/>
                <w:sz w:val="18"/>
              </w:rPr>
              <w:t>of</w:t>
            </w:r>
            <w:r w:rsidRPr="00FD40B8">
              <w:rPr>
                <w:color w:val="131727" w:themeColor="text1"/>
                <w:spacing w:val="-11"/>
                <w:w w:val="110"/>
                <w:sz w:val="18"/>
              </w:rPr>
              <w:t xml:space="preserve"> </w:t>
            </w:r>
            <w:r w:rsidRPr="00FD40B8">
              <w:rPr>
                <w:color w:val="131727" w:themeColor="text1"/>
                <w:w w:val="110"/>
                <w:sz w:val="18"/>
              </w:rPr>
              <w:t>housing</w:t>
            </w:r>
          </w:p>
          <w:p w14:paraId="36898E9E" w14:textId="77777777" w:rsidR="00811887" w:rsidRPr="00FD40B8" w:rsidRDefault="00811887" w:rsidP="00811887">
            <w:pPr>
              <w:pStyle w:val="TableParagraph"/>
              <w:numPr>
                <w:ilvl w:val="0"/>
                <w:numId w:val="56"/>
              </w:numPr>
              <w:tabs>
                <w:tab w:val="left" w:pos="830"/>
              </w:tabs>
              <w:spacing w:line="261" w:lineRule="auto"/>
              <w:ind w:right="352"/>
              <w:rPr>
                <w:color w:val="131727" w:themeColor="text1"/>
                <w:sz w:val="18"/>
              </w:rPr>
            </w:pPr>
            <w:r w:rsidRPr="00FD40B8">
              <w:rPr>
                <w:color w:val="131727" w:themeColor="text1"/>
                <w:w w:val="110"/>
                <w:sz w:val="18"/>
              </w:rPr>
              <w:t>Has</w:t>
            </w:r>
            <w:r w:rsidRPr="00FD40B8">
              <w:rPr>
                <w:color w:val="131727" w:themeColor="text1"/>
                <w:spacing w:val="-4"/>
                <w:w w:val="110"/>
                <w:sz w:val="18"/>
              </w:rPr>
              <w:t xml:space="preserve"> </w:t>
            </w:r>
            <w:r w:rsidRPr="00FD40B8">
              <w:rPr>
                <w:color w:val="131727" w:themeColor="text1"/>
                <w:w w:val="110"/>
                <w:sz w:val="18"/>
              </w:rPr>
              <w:t>limited</w:t>
            </w:r>
            <w:r w:rsidRPr="00FD40B8">
              <w:rPr>
                <w:color w:val="131727" w:themeColor="text1"/>
                <w:spacing w:val="-7"/>
                <w:w w:val="110"/>
                <w:sz w:val="18"/>
              </w:rPr>
              <w:t xml:space="preserve"> </w:t>
            </w:r>
            <w:r w:rsidRPr="00FD40B8">
              <w:rPr>
                <w:color w:val="131727" w:themeColor="text1"/>
                <w:w w:val="110"/>
                <w:sz w:val="18"/>
              </w:rPr>
              <w:t>questions</w:t>
            </w:r>
            <w:r w:rsidRPr="00FD40B8">
              <w:rPr>
                <w:color w:val="131727" w:themeColor="text1"/>
                <w:spacing w:val="-4"/>
                <w:w w:val="110"/>
                <w:sz w:val="18"/>
              </w:rPr>
              <w:t xml:space="preserve"> </w:t>
            </w:r>
            <w:r w:rsidRPr="00FD40B8">
              <w:rPr>
                <w:color w:val="131727" w:themeColor="text1"/>
                <w:w w:val="110"/>
                <w:sz w:val="18"/>
              </w:rPr>
              <w:t xml:space="preserve">on </w:t>
            </w:r>
            <w:r w:rsidRPr="00FD40B8">
              <w:rPr>
                <w:color w:val="131727" w:themeColor="text1"/>
                <w:spacing w:val="-2"/>
                <w:w w:val="110"/>
                <w:sz w:val="18"/>
              </w:rPr>
              <w:t>community</w:t>
            </w:r>
          </w:p>
          <w:p w14:paraId="56310290" w14:textId="77777777" w:rsidR="00811887" w:rsidRPr="00FD40B8" w:rsidRDefault="00811887" w:rsidP="00486E22">
            <w:pPr>
              <w:pStyle w:val="TableParagraph"/>
              <w:spacing w:line="199" w:lineRule="exact"/>
              <w:ind w:left="830"/>
              <w:rPr>
                <w:color w:val="131727" w:themeColor="text1"/>
                <w:sz w:val="18"/>
              </w:rPr>
            </w:pPr>
            <w:r w:rsidRPr="00FD40B8">
              <w:rPr>
                <w:color w:val="131727" w:themeColor="text1"/>
                <w:spacing w:val="-2"/>
                <w:w w:val="110"/>
                <w:sz w:val="18"/>
              </w:rPr>
              <w:t>services/infrastructure</w:t>
            </w:r>
          </w:p>
        </w:tc>
        <w:tc>
          <w:tcPr>
            <w:tcW w:w="3207" w:type="dxa"/>
            <w:shd w:val="clear" w:color="auto" w:fill="EEF1F4"/>
          </w:tcPr>
          <w:p w14:paraId="313C2CE0" w14:textId="77777777" w:rsidR="00811887" w:rsidRPr="00FD40B8" w:rsidRDefault="00811887" w:rsidP="00811887">
            <w:pPr>
              <w:pStyle w:val="TableParagraph"/>
              <w:numPr>
                <w:ilvl w:val="0"/>
                <w:numId w:val="55"/>
              </w:numPr>
              <w:tabs>
                <w:tab w:val="left" w:pos="830"/>
              </w:tabs>
              <w:spacing w:before="131" w:line="261" w:lineRule="auto"/>
              <w:ind w:right="118"/>
              <w:rPr>
                <w:color w:val="131727" w:themeColor="text1"/>
                <w:sz w:val="18"/>
              </w:rPr>
            </w:pPr>
            <w:r w:rsidRPr="00FD40B8">
              <w:rPr>
                <w:color w:val="131727" w:themeColor="text1"/>
                <w:w w:val="110"/>
                <w:sz w:val="18"/>
              </w:rPr>
              <w:t>Data</w:t>
            </w:r>
            <w:r w:rsidRPr="00FD40B8">
              <w:rPr>
                <w:color w:val="131727" w:themeColor="text1"/>
                <w:spacing w:val="-12"/>
                <w:w w:val="110"/>
                <w:sz w:val="18"/>
              </w:rPr>
              <w:t xml:space="preserve"> </w:t>
            </w:r>
            <w:r w:rsidRPr="00FD40B8">
              <w:rPr>
                <w:color w:val="131727" w:themeColor="text1"/>
                <w:w w:val="110"/>
                <w:sz w:val="18"/>
              </w:rPr>
              <w:t>quality</w:t>
            </w:r>
            <w:r w:rsidRPr="00FD40B8">
              <w:rPr>
                <w:color w:val="131727" w:themeColor="text1"/>
                <w:spacing w:val="-11"/>
                <w:w w:val="110"/>
                <w:sz w:val="18"/>
              </w:rPr>
              <w:t xml:space="preserve"> </w:t>
            </w:r>
            <w:r w:rsidRPr="00FD40B8">
              <w:rPr>
                <w:color w:val="131727" w:themeColor="text1"/>
                <w:w w:val="110"/>
                <w:sz w:val="18"/>
              </w:rPr>
              <w:t>is</w:t>
            </w:r>
            <w:r w:rsidRPr="00FD40B8">
              <w:rPr>
                <w:color w:val="131727" w:themeColor="text1"/>
                <w:spacing w:val="-11"/>
                <w:w w:val="110"/>
                <w:sz w:val="18"/>
              </w:rPr>
              <w:t xml:space="preserve"> </w:t>
            </w:r>
            <w:r w:rsidRPr="00FD40B8">
              <w:rPr>
                <w:color w:val="131727" w:themeColor="text1"/>
                <w:w w:val="110"/>
                <w:sz w:val="18"/>
              </w:rPr>
              <w:t>limited</w:t>
            </w:r>
            <w:r w:rsidRPr="00FD40B8">
              <w:rPr>
                <w:color w:val="131727" w:themeColor="text1"/>
                <w:spacing w:val="-11"/>
                <w:w w:val="110"/>
                <w:sz w:val="18"/>
              </w:rPr>
              <w:t xml:space="preserve"> </w:t>
            </w:r>
            <w:r w:rsidRPr="00FD40B8">
              <w:rPr>
                <w:color w:val="131727" w:themeColor="text1"/>
                <w:w w:val="110"/>
                <w:sz w:val="18"/>
              </w:rPr>
              <w:t>at</w:t>
            </w:r>
            <w:r w:rsidRPr="00FD40B8">
              <w:rPr>
                <w:color w:val="131727" w:themeColor="text1"/>
                <w:spacing w:val="-11"/>
                <w:w w:val="110"/>
                <w:sz w:val="18"/>
              </w:rPr>
              <w:t xml:space="preserve"> </w:t>
            </w:r>
            <w:r w:rsidRPr="00FD40B8">
              <w:rPr>
                <w:color w:val="131727" w:themeColor="text1"/>
                <w:w w:val="110"/>
                <w:sz w:val="18"/>
              </w:rPr>
              <w:t>low levels of geography</w:t>
            </w:r>
          </w:p>
          <w:p w14:paraId="6C9249B1" w14:textId="77777777" w:rsidR="00811887" w:rsidRPr="00FD40B8" w:rsidRDefault="00811887" w:rsidP="00811887">
            <w:pPr>
              <w:pStyle w:val="TableParagraph"/>
              <w:numPr>
                <w:ilvl w:val="0"/>
                <w:numId w:val="55"/>
              </w:numPr>
              <w:tabs>
                <w:tab w:val="left" w:pos="830"/>
              </w:tabs>
              <w:spacing w:line="261" w:lineRule="auto"/>
              <w:ind w:right="120"/>
              <w:rPr>
                <w:color w:val="131727" w:themeColor="text1"/>
                <w:sz w:val="18"/>
              </w:rPr>
            </w:pPr>
            <w:r w:rsidRPr="00FD40B8">
              <w:rPr>
                <w:color w:val="131727" w:themeColor="text1"/>
                <w:w w:val="110"/>
                <w:sz w:val="18"/>
              </w:rPr>
              <w:t>Does not collect data on repairs</w:t>
            </w:r>
            <w:r w:rsidRPr="00FD40B8">
              <w:rPr>
                <w:color w:val="131727" w:themeColor="text1"/>
                <w:spacing w:val="-7"/>
                <w:w w:val="110"/>
                <w:sz w:val="18"/>
              </w:rPr>
              <w:t xml:space="preserve"> </w:t>
            </w:r>
            <w:r w:rsidRPr="00FD40B8">
              <w:rPr>
                <w:color w:val="131727" w:themeColor="text1"/>
                <w:w w:val="110"/>
                <w:sz w:val="18"/>
              </w:rPr>
              <w:t>and</w:t>
            </w:r>
            <w:r w:rsidRPr="00FD40B8">
              <w:rPr>
                <w:color w:val="131727" w:themeColor="text1"/>
                <w:spacing w:val="-6"/>
                <w:w w:val="110"/>
                <w:sz w:val="18"/>
              </w:rPr>
              <w:t xml:space="preserve"> </w:t>
            </w:r>
            <w:r w:rsidRPr="00FD40B8">
              <w:rPr>
                <w:color w:val="131727" w:themeColor="text1"/>
                <w:w w:val="110"/>
                <w:sz w:val="18"/>
              </w:rPr>
              <w:t>maintenance</w:t>
            </w:r>
            <w:r w:rsidRPr="00FD40B8">
              <w:rPr>
                <w:color w:val="131727" w:themeColor="text1"/>
                <w:spacing w:val="-3"/>
                <w:w w:val="110"/>
                <w:sz w:val="18"/>
              </w:rPr>
              <w:t xml:space="preserve"> </w:t>
            </w:r>
            <w:r w:rsidRPr="00FD40B8">
              <w:rPr>
                <w:color w:val="131727" w:themeColor="text1"/>
                <w:w w:val="110"/>
                <w:sz w:val="18"/>
              </w:rPr>
              <w:t>or condition of housing</w:t>
            </w:r>
          </w:p>
          <w:p w14:paraId="4321ED9B" w14:textId="77777777" w:rsidR="00811887" w:rsidRPr="00FD40B8" w:rsidRDefault="00811887" w:rsidP="00811887">
            <w:pPr>
              <w:pStyle w:val="TableParagraph"/>
              <w:numPr>
                <w:ilvl w:val="0"/>
                <w:numId w:val="55"/>
              </w:numPr>
              <w:tabs>
                <w:tab w:val="left" w:pos="830"/>
              </w:tabs>
              <w:spacing w:line="261" w:lineRule="auto"/>
              <w:ind w:right="159"/>
              <w:rPr>
                <w:color w:val="131727" w:themeColor="text1"/>
                <w:sz w:val="18"/>
              </w:rPr>
            </w:pPr>
            <w:r w:rsidRPr="00FD40B8">
              <w:rPr>
                <w:color w:val="131727" w:themeColor="text1"/>
                <w:w w:val="110"/>
                <w:sz w:val="18"/>
              </w:rPr>
              <w:t>Does</w:t>
            </w:r>
            <w:r w:rsidRPr="00FD40B8">
              <w:rPr>
                <w:color w:val="131727" w:themeColor="text1"/>
                <w:spacing w:val="-1"/>
                <w:w w:val="110"/>
                <w:sz w:val="18"/>
              </w:rPr>
              <w:t xml:space="preserve"> </w:t>
            </w:r>
            <w:r w:rsidRPr="00FD40B8">
              <w:rPr>
                <w:color w:val="131727" w:themeColor="text1"/>
                <w:w w:val="110"/>
                <w:sz w:val="18"/>
              </w:rPr>
              <w:t>not</w:t>
            </w:r>
            <w:r w:rsidRPr="00FD40B8">
              <w:rPr>
                <w:color w:val="131727" w:themeColor="text1"/>
                <w:spacing w:val="-5"/>
                <w:w w:val="110"/>
                <w:sz w:val="18"/>
              </w:rPr>
              <w:t xml:space="preserve"> </w:t>
            </w:r>
            <w:r w:rsidRPr="00FD40B8">
              <w:rPr>
                <w:color w:val="131727" w:themeColor="text1"/>
                <w:w w:val="110"/>
                <w:sz w:val="18"/>
              </w:rPr>
              <w:t>include</w:t>
            </w:r>
            <w:r w:rsidRPr="00FD40B8">
              <w:rPr>
                <w:color w:val="131727" w:themeColor="text1"/>
                <w:spacing w:val="-6"/>
                <w:w w:val="110"/>
                <w:sz w:val="18"/>
              </w:rPr>
              <w:t xml:space="preserve"> </w:t>
            </w:r>
            <w:r w:rsidRPr="00FD40B8">
              <w:rPr>
                <w:color w:val="131727" w:themeColor="text1"/>
                <w:w w:val="110"/>
                <w:sz w:val="18"/>
              </w:rPr>
              <w:t xml:space="preserve">questions on community </w:t>
            </w:r>
            <w:r w:rsidRPr="00FD40B8">
              <w:rPr>
                <w:color w:val="131727" w:themeColor="text1"/>
                <w:spacing w:val="-2"/>
                <w:w w:val="110"/>
                <w:sz w:val="18"/>
              </w:rPr>
              <w:t>services/infrastructure</w:t>
            </w:r>
          </w:p>
        </w:tc>
      </w:tr>
    </w:tbl>
    <w:p w14:paraId="688DC7C8" w14:textId="77777777" w:rsidR="00811887" w:rsidRPr="00FD40B8" w:rsidRDefault="00811887" w:rsidP="00811887">
      <w:pPr>
        <w:pStyle w:val="BodyText"/>
        <w:rPr>
          <w:rFonts w:ascii="Book Antiqua"/>
          <w:b/>
          <w:color w:val="131727" w:themeColor="text1"/>
        </w:rPr>
      </w:pPr>
    </w:p>
    <w:p w14:paraId="22363C38" w14:textId="77777777" w:rsidR="00811887" w:rsidRPr="00FD40B8" w:rsidRDefault="00811887" w:rsidP="00811887">
      <w:pPr>
        <w:pStyle w:val="BodyText"/>
        <w:spacing w:before="35"/>
        <w:rPr>
          <w:rFonts w:ascii="Book Antiqua"/>
          <w:b/>
          <w:color w:val="131727" w:themeColor="text1"/>
        </w:rPr>
      </w:pPr>
      <w:r w:rsidRPr="00FD40B8">
        <w:rPr>
          <w:noProof/>
          <w:color w:val="131727" w:themeColor="text1"/>
        </w:rPr>
        <mc:AlternateContent>
          <mc:Choice Requires="wps">
            <w:drawing>
              <wp:anchor distT="0" distB="0" distL="0" distR="0" simplePos="0" relativeHeight="251771904" behindDoc="1" locked="0" layoutInCell="1" allowOverlap="1" wp14:anchorId="781C23FD" wp14:editId="6A9D8F6D">
                <wp:simplePos x="0" y="0"/>
                <wp:positionH relativeFrom="page">
                  <wp:posOffset>899464</wp:posOffset>
                </wp:positionH>
                <wp:positionV relativeFrom="paragraph">
                  <wp:posOffset>190599</wp:posOffset>
                </wp:positionV>
                <wp:extent cx="1829435" cy="6350"/>
                <wp:effectExtent l="0" t="0" r="0" b="0"/>
                <wp:wrapTopAndBottom/>
                <wp:docPr id="231" name="Graphic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CE7BB" id="Graphic 231" o:spid="_x0000_s1026" alt="&quot;&quot;" style="position:absolute;margin-left:70.8pt;margin-top:15pt;width:144.05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" path="m1829435,l,,,6095r1829435,l1829435,xe" fillcolor="black" stroked="f">
                <v:path arrowok="t"/>
                <w10:wrap type="topAndBottom" anchorx="page"/>
              </v:shape>
            </w:pict>
          </mc:Fallback>
        </mc:AlternateContent>
      </w:r>
    </w:p>
    <w:p w14:paraId="15B0EDCA" w14:textId="77777777" w:rsidR="00811887" w:rsidRPr="00FD40B8" w:rsidRDefault="00811887" w:rsidP="00811887">
      <w:pPr>
        <w:spacing w:before="118"/>
        <w:ind w:left="136"/>
        <w:rPr>
          <w:color w:val="131727" w:themeColor="text1"/>
          <w:sz w:val="16"/>
        </w:rPr>
      </w:pPr>
      <w:bookmarkStart w:id="222" w:name="_bookmark111"/>
      <w:bookmarkEnd w:id="222"/>
      <w:r w:rsidRPr="00FD40B8">
        <w:rPr>
          <w:color w:val="131727" w:themeColor="text1"/>
          <w:w w:val="105"/>
          <w:position w:val="6"/>
          <w:sz w:val="10"/>
        </w:rPr>
        <w:t>88</w:t>
      </w:r>
      <w:r w:rsidRPr="00FD40B8">
        <w:rPr>
          <w:color w:val="131727" w:themeColor="text1"/>
          <w:spacing w:val="34"/>
          <w:w w:val="105"/>
          <w:position w:val="6"/>
          <w:sz w:val="10"/>
        </w:rPr>
        <w:t xml:space="preserve"> </w:t>
      </w:r>
      <w:r w:rsidRPr="00FD40B8">
        <w:rPr>
          <w:color w:val="131727" w:themeColor="text1"/>
          <w:w w:val="105"/>
          <w:sz w:val="16"/>
        </w:rPr>
        <w:t>ABS</w:t>
      </w:r>
      <w:r w:rsidRPr="00FD40B8">
        <w:rPr>
          <w:color w:val="131727" w:themeColor="text1"/>
          <w:spacing w:val="19"/>
          <w:w w:val="105"/>
          <w:sz w:val="16"/>
        </w:rPr>
        <w:t xml:space="preserve"> </w:t>
      </w:r>
      <w:r w:rsidRPr="00FD40B8">
        <w:rPr>
          <w:color w:val="131727" w:themeColor="text1"/>
          <w:w w:val="105"/>
          <w:sz w:val="16"/>
        </w:rPr>
        <w:t>2022.</w:t>
      </w:r>
      <w:r w:rsidRPr="00FD40B8">
        <w:rPr>
          <w:color w:val="131727" w:themeColor="text1"/>
          <w:spacing w:val="21"/>
          <w:w w:val="105"/>
          <w:sz w:val="16"/>
        </w:rPr>
        <w:t xml:space="preserve"> </w:t>
      </w:r>
      <w:r w:rsidRPr="00FD40B8">
        <w:rPr>
          <w:color w:val="131727" w:themeColor="text1"/>
          <w:w w:val="105"/>
          <w:sz w:val="16"/>
        </w:rPr>
        <w:t>Housing</w:t>
      </w:r>
      <w:r w:rsidRPr="00FD40B8">
        <w:rPr>
          <w:color w:val="131727" w:themeColor="text1"/>
          <w:spacing w:val="19"/>
          <w:w w:val="105"/>
          <w:sz w:val="16"/>
        </w:rPr>
        <w:t xml:space="preserve"> </w:t>
      </w:r>
      <w:r w:rsidRPr="00FD40B8">
        <w:rPr>
          <w:color w:val="131727" w:themeColor="text1"/>
          <w:w w:val="105"/>
          <w:sz w:val="16"/>
        </w:rPr>
        <w:t>Statistics</w:t>
      </w:r>
      <w:r w:rsidRPr="00FD40B8">
        <w:rPr>
          <w:color w:val="131727" w:themeColor="text1"/>
          <w:spacing w:val="18"/>
          <w:w w:val="105"/>
          <w:sz w:val="16"/>
        </w:rPr>
        <w:t xml:space="preserve"> </w:t>
      </w:r>
      <w:r w:rsidRPr="00FD40B8">
        <w:rPr>
          <w:color w:val="131727" w:themeColor="text1"/>
          <w:w w:val="105"/>
          <w:sz w:val="16"/>
        </w:rPr>
        <w:t>for</w:t>
      </w:r>
      <w:r w:rsidRPr="00FD40B8">
        <w:rPr>
          <w:color w:val="131727" w:themeColor="text1"/>
          <w:spacing w:val="21"/>
          <w:w w:val="105"/>
          <w:sz w:val="16"/>
        </w:rPr>
        <w:t xml:space="preserve"> </w:t>
      </w:r>
      <w:r w:rsidRPr="00FD40B8">
        <w:rPr>
          <w:color w:val="131727" w:themeColor="text1"/>
          <w:w w:val="105"/>
          <w:sz w:val="16"/>
        </w:rPr>
        <w:t>Aboriginal</w:t>
      </w:r>
      <w:r w:rsidRPr="00FD40B8">
        <w:rPr>
          <w:color w:val="131727" w:themeColor="text1"/>
          <w:spacing w:val="17"/>
          <w:w w:val="105"/>
          <w:sz w:val="16"/>
        </w:rPr>
        <w:t xml:space="preserve"> </w:t>
      </w:r>
      <w:r w:rsidRPr="00FD40B8">
        <w:rPr>
          <w:color w:val="131727" w:themeColor="text1"/>
          <w:w w:val="105"/>
          <w:sz w:val="16"/>
        </w:rPr>
        <w:t>and</w:t>
      </w:r>
      <w:r w:rsidRPr="00FD40B8">
        <w:rPr>
          <w:color w:val="131727" w:themeColor="text1"/>
          <w:spacing w:val="22"/>
          <w:w w:val="105"/>
          <w:sz w:val="16"/>
        </w:rPr>
        <w:t xml:space="preserve"> </w:t>
      </w:r>
      <w:r w:rsidRPr="00FD40B8">
        <w:rPr>
          <w:color w:val="131727" w:themeColor="text1"/>
          <w:w w:val="105"/>
          <w:sz w:val="16"/>
        </w:rPr>
        <w:t>Torres</w:t>
      </w:r>
      <w:r w:rsidRPr="00FD40B8">
        <w:rPr>
          <w:color w:val="131727" w:themeColor="text1"/>
          <w:spacing w:val="18"/>
          <w:w w:val="105"/>
          <w:sz w:val="16"/>
        </w:rPr>
        <w:t xml:space="preserve"> </w:t>
      </w:r>
      <w:r w:rsidRPr="00FD40B8">
        <w:rPr>
          <w:color w:val="131727" w:themeColor="text1"/>
          <w:w w:val="105"/>
          <w:sz w:val="16"/>
        </w:rPr>
        <w:t>Strait</w:t>
      </w:r>
      <w:r w:rsidRPr="00FD40B8">
        <w:rPr>
          <w:color w:val="131727" w:themeColor="text1"/>
          <w:spacing w:val="20"/>
          <w:w w:val="105"/>
          <w:sz w:val="16"/>
        </w:rPr>
        <w:t xml:space="preserve"> </w:t>
      </w:r>
      <w:r w:rsidRPr="00FD40B8">
        <w:rPr>
          <w:color w:val="131727" w:themeColor="text1"/>
          <w:w w:val="105"/>
          <w:sz w:val="16"/>
        </w:rPr>
        <w:t>Islander</w:t>
      </w:r>
      <w:r w:rsidRPr="00FD40B8">
        <w:rPr>
          <w:color w:val="131727" w:themeColor="text1"/>
          <w:spacing w:val="21"/>
          <w:w w:val="105"/>
          <w:sz w:val="16"/>
        </w:rPr>
        <w:t xml:space="preserve"> </w:t>
      </w:r>
      <w:r w:rsidRPr="00FD40B8">
        <w:rPr>
          <w:color w:val="131727" w:themeColor="text1"/>
          <w:w w:val="105"/>
          <w:sz w:val="16"/>
        </w:rPr>
        <w:t>Peoples</w:t>
      </w:r>
      <w:r w:rsidRPr="00FD40B8">
        <w:rPr>
          <w:color w:val="131727" w:themeColor="text1"/>
          <w:spacing w:val="18"/>
          <w:w w:val="105"/>
          <w:sz w:val="16"/>
        </w:rPr>
        <w:t xml:space="preserve"> </w:t>
      </w:r>
      <w:r w:rsidRPr="00FD40B8">
        <w:rPr>
          <w:color w:val="131727" w:themeColor="text1"/>
          <w:w w:val="105"/>
          <w:sz w:val="16"/>
        </w:rPr>
        <w:t>methodology</w:t>
      </w:r>
      <w:r w:rsidRPr="00FD40B8">
        <w:rPr>
          <w:color w:val="131727" w:themeColor="text1"/>
          <w:spacing w:val="19"/>
          <w:w w:val="105"/>
          <w:sz w:val="16"/>
        </w:rPr>
        <w:t xml:space="preserve"> </w:t>
      </w:r>
      <w:r w:rsidRPr="00FD40B8">
        <w:rPr>
          <w:color w:val="131727" w:themeColor="text1"/>
          <w:w w:val="105"/>
          <w:sz w:val="16"/>
        </w:rPr>
        <w:t>adapted</w:t>
      </w:r>
      <w:r w:rsidRPr="00FD40B8">
        <w:rPr>
          <w:color w:val="131727" w:themeColor="text1"/>
          <w:spacing w:val="23"/>
          <w:w w:val="105"/>
          <w:sz w:val="16"/>
        </w:rPr>
        <w:t xml:space="preserve"> </w:t>
      </w:r>
      <w:r w:rsidRPr="00FD40B8">
        <w:rPr>
          <w:color w:val="131727" w:themeColor="text1"/>
          <w:w w:val="105"/>
          <w:sz w:val="16"/>
        </w:rPr>
        <w:t>with</w:t>
      </w:r>
      <w:r w:rsidRPr="00FD40B8">
        <w:rPr>
          <w:color w:val="131727" w:themeColor="text1"/>
          <w:spacing w:val="23"/>
          <w:w w:val="105"/>
          <w:sz w:val="16"/>
        </w:rPr>
        <w:t xml:space="preserve"> </w:t>
      </w:r>
      <w:r w:rsidRPr="00FD40B8">
        <w:rPr>
          <w:color w:val="131727" w:themeColor="text1"/>
          <w:w w:val="105"/>
          <w:sz w:val="16"/>
        </w:rPr>
        <w:t>modifications</w:t>
      </w:r>
      <w:r w:rsidRPr="00FD40B8">
        <w:rPr>
          <w:color w:val="131727" w:themeColor="text1"/>
          <w:spacing w:val="19"/>
          <w:w w:val="105"/>
          <w:sz w:val="16"/>
        </w:rPr>
        <w:t xml:space="preserve"> </w:t>
      </w:r>
      <w:r w:rsidRPr="00FD40B8">
        <w:rPr>
          <w:color w:val="131727" w:themeColor="text1"/>
          <w:w w:val="105"/>
          <w:sz w:val="16"/>
        </w:rPr>
        <w:t>by</w:t>
      </w:r>
      <w:r w:rsidRPr="00FD40B8">
        <w:rPr>
          <w:color w:val="131727" w:themeColor="text1"/>
          <w:spacing w:val="19"/>
          <w:w w:val="105"/>
          <w:sz w:val="16"/>
        </w:rPr>
        <w:t xml:space="preserve"> </w:t>
      </w:r>
      <w:r w:rsidRPr="00FD40B8">
        <w:rPr>
          <w:color w:val="131727" w:themeColor="text1"/>
          <w:w w:val="105"/>
          <w:sz w:val="16"/>
        </w:rPr>
        <w:t>Equity</w:t>
      </w:r>
      <w:r w:rsidRPr="00FD40B8">
        <w:rPr>
          <w:color w:val="131727" w:themeColor="text1"/>
          <w:spacing w:val="18"/>
          <w:w w:val="105"/>
          <w:sz w:val="16"/>
        </w:rPr>
        <w:t xml:space="preserve"> </w:t>
      </w:r>
      <w:r w:rsidRPr="00FD40B8">
        <w:rPr>
          <w:color w:val="131727" w:themeColor="text1"/>
          <w:spacing w:val="-2"/>
          <w:w w:val="105"/>
          <w:sz w:val="16"/>
        </w:rPr>
        <w:t>Economics.</w:t>
      </w:r>
    </w:p>
    <w:p w14:paraId="3F9F0FC3" w14:textId="77777777" w:rsidR="00811887" w:rsidRPr="00FD40B8" w:rsidRDefault="00811887" w:rsidP="00811887">
      <w:pPr>
        <w:rPr>
          <w:color w:val="131727" w:themeColor="text1"/>
          <w:sz w:val="16"/>
        </w:rPr>
        <w:sectPr w:rsidR="00811887" w:rsidRPr="00FD40B8" w:rsidSect="00811887">
          <w:footerReference w:type="default" r:id="rId132"/>
          <w:pgSz w:w="16840" w:h="11910" w:orient="landscape"/>
          <w:pgMar w:top="1160" w:right="1120" w:bottom="1080" w:left="1280" w:header="0" w:footer="880" w:gutter="0"/>
          <w:cols w:space="720"/>
        </w:sectPr>
      </w:pPr>
    </w:p>
    <w:p w14:paraId="542C7A37" w14:textId="77777777" w:rsidR="00811887" w:rsidRPr="00FD40B8" w:rsidRDefault="00811887" w:rsidP="00811887">
      <w:pPr>
        <w:pStyle w:val="BodyText"/>
        <w:rPr>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2751"/>
        <w:gridCol w:w="3467"/>
        <w:gridCol w:w="3202"/>
        <w:gridCol w:w="3207"/>
      </w:tblGrid>
      <w:tr w:rsidR="00811887" w:rsidRPr="00FD40B8" w14:paraId="07D7B5E7" w14:textId="77777777" w:rsidTr="00486E22">
        <w:trPr>
          <w:trHeight w:val="480"/>
        </w:trPr>
        <w:tc>
          <w:tcPr>
            <w:tcW w:w="1546" w:type="dxa"/>
            <w:shd w:val="clear" w:color="auto" w:fill="91A9A2"/>
          </w:tcPr>
          <w:p w14:paraId="495969AB" w14:textId="77777777" w:rsidR="00811887" w:rsidRPr="00FD40B8" w:rsidRDefault="00811887" w:rsidP="00486E22">
            <w:pPr>
              <w:pStyle w:val="TableParagraph"/>
              <w:spacing w:before="156" w:line="240" w:lineRule="auto"/>
              <w:ind w:left="383"/>
              <w:rPr>
                <w:rFonts w:ascii="Garamond"/>
                <w:b/>
                <w:color w:val="131727" w:themeColor="text1"/>
                <w:sz w:val="18"/>
              </w:rPr>
            </w:pPr>
            <w:r w:rsidRPr="00FD40B8">
              <w:rPr>
                <w:rFonts w:ascii="Garamond"/>
                <w:b/>
                <w:color w:val="131727" w:themeColor="text1"/>
                <w:spacing w:val="-2"/>
                <w:sz w:val="18"/>
              </w:rPr>
              <w:t>Collection</w:t>
            </w:r>
          </w:p>
        </w:tc>
        <w:tc>
          <w:tcPr>
            <w:tcW w:w="2751" w:type="dxa"/>
            <w:shd w:val="clear" w:color="auto" w:fill="91A9A2"/>
          </w:tcPr>
          <w:p w14:paraId="0637AF39" w14:textId="77777777" w:rsidR="00811887" w:rsidRPr="00FD40B8" w:rsidRDefault="00811887" w:rsidP="00486E22">
            <w:pPr>
              <w:pStyle w:val="TableParagraph"/>
              <w:spacing w:before="36" w:line="240" w:lineRule="auto"/>
              <w:ind w:left="144" w:right="138"/>
              <w:jc w:val="center"/>
              <w:rPr>
                <w:rFonts w:ascii="Garamond"/>
                <w:b/>
                <w:color w:val="131727" w:themeColor="text1"/>
                <w:sz w:val="18"/>
              </w:rPr>
            </w:pPr>
            <w:r w:rsidRPr="00FD40B8">
              <w:rPr>
                <w:rFonts w:ascii="Garamond"/>
                <w:b/>
                <w:color w:val="131727" w:themeColor="text1"/>
                <w:sz w:val="18"/>
              </w:rPr>
              <w:t>Census</w:t>
            </w:r>
            <w:r w:rsidRPr="00FD40B8">
              <w:rPr>
                <w:rFonts w:ascii="Garamond"/>
                <w:b/>
                <w:color w:val="131727" w:themeColor="text1"/>
                <w:spacing w:val="-6"/>
                <w:sz w:val="18"/>
              </w:rPr>
              <w:t xml:space="preserve"> </w:t>
            </w:r>
            <w:r w:rsidRPr="00FD40B8">
              <w:rPr>
                <w:rFonts w:ascii="Garamond"/>
                <w:b/>
                <w:color w:val="131727" w:themeColor="text1"/>
                <w:sz w:val="18"/>
              </w:rPr>
              <w:t>of</w:t>
            </w:r>
            <w:r w:rsidRPr="00FD40B8">
              <w:rPr>
                <w:rFonts w:ascii="Garamond"/>
                <w:b/>
                <w:color w:val="131727" w:themeColor="text1"/>
                <w:spacing w:val="-3"/>
                <w:sz w:val="18"/>
              </w:rPr>
              <w:t xml:space="preserve"> </w:t>
            </w:r>
            <w:r w:rsidRPr="00FD40B8">
              <w:rPr>
                <w:rFonts w:ascii="Garamond"/>
                <w:b/>
                <w:color w:val="131727" w:themeColor="text1"/>
                <w:sz w:val="18"/>
              </w:rPr>
              <w:t>Population</w:t>
            </w:r>
            <w:r w:rsidRPr="00FD40B8">
              <w:rPr>
                <w:rFonts w:ascii="Garamond"/>
                <w:b/>
                <w:color w:val="131727" w:themeColor="text1"/>
                <w:spacing w:val="-1"/>
                <w:sz w:val="18"/>
              </w:rPr>
              <w:t xml:space="preserve"> </w:t>
            </w:r>
            <w:r w:rsidRPr="00FD40B8">
              <w:rPr>
                <w:rFonts w:ascii="Garamond"/>
                <w:b/>
                <w:color w:val="131727" w:themeColor="text1"/>
                <w:spacing w:val="-5"/>
                <w:sz w:val="18"/>
              </w:rPr>
              <w:t>and</w:t>
            </w:r>
          </w:p>
          <w:p w14:paraId="2149D8FA" w14:textId="77777777" w:rsidR="00811887" w:rsidRPr="00FD40B8" w:rsidRDefault="00811887" w:rsidP="00486E22">
            <w:pPr>
              <w:pStyle w:val="TableParagraph"/>
              <w:spacing w:before="38" w:line="184" w:lineRule="exact"/>
              <w:ind w:left="146" w:right="132"/>
              <w:jc w:val="center"/>
              <w:rPr>
                <w:rFonts w:ascii="Garamond"/>
                <w:b/>
                <w:color w:val="131727" w:themeColor="text1"/>
                <w:sz w:val="18"/>
              </w:rPr>
            </w:pPr>
            <w:r w:rsidRPr="00FD40B8">
              <w:rPr>
                <w:rFonts w:ascii="Garamond"/>
                <w:b/>
                <w:color w:val="131727" w:themeColor="text1"/>
                <w:sz w:val="18"/>
              </w:rPr>
              <w:t>Housing</w:t>
            </w:r>
            <w:r w:rsidRPr="00FD40B8">
              <w:rPr>
                <w:rFonts w:ascii="Garamond"/>
                <w:b/>
                <w:color w:val="131727" w:themeColor="text1"/>
                <w:spacing w:val="-4"/>
                <w:sz w:val="18"/>
              </w:rPr>
              <w:t xml:space="preserve"> </w:t>
            </w:r>
            <w:r w:rsidRPr="00FD40B8">
              <w:rPr>
                <w:rFonts w:ascii="Garamond"/>
                <w:b/>
                <w:color w:val="131727" w:themeColor="text1"/>
                <w:spacing w:val="-2"/>
                <w:sz w:val="18"/>
              </w:rPr>
              <w:t>(Census)</w:t>
            </w:r>
          </w:p>
        </w:tc>
        <w:tc>
          <w:tcPr>
            <w:tcW w:w="3467" w:type="dxa"/>
            <w:shd w:val="clear" w:color="auto" w:fill="91A9A2"/>
          </w:tcPr>
          <w:p w14:paraId="2915BC4C" w14:textId="77777777" w:rsidR="00811887" w:rsidRPr="00FD40B8" w:rsidRDefault="00811887" w:rsidP="00486E22">
            <w:pPr>
              <w:pStyle w:val="TableParagraph"/>
              <w:spacing w:before="36" w:line="240" w:lineRule="auto"/>
              <w:ind w:left="312"/>
              <w:rPr>
                <w:rFonts w:ascii="Garamond"/>
                <w:b/>
                <w:color w:val="131727" w:themeColor="text1"/>
                <w:sz w:val="18"/>
              </w:rPr>
            </w:pPr>
            <w:r w:rsidRPr="00FD40B8">
              <w:rPr>
                <w:rFonts w:ascii="Garamond"/>
                <w:b/>
                <w:color w:val="131727" w:themeColor="text1"/>
                <w:sz w:val="18"/>
              </w:rPr>
              <w:t>National</w:t>
            </w:r>
            <w:r w:rsidRPr="00FD40B8">
              <w:rPr>
                <w:rFonts w:ascii="Garamond"/>
                <w:b/>
                <w:color w:val="131727" w:themeColor="text1"/>
                <w:spacing w:val="-6"/>
                <w:sz w:val="18"/>
              </w:rPr>
              <w:t xml:space="preserve"> </w:t>
            </w:r>
            <w:r w:rsidRPr="00FD40B8">
              <w:rPr>
                <w:rFonts w:ascii="Garamond"/>
                <w:b/>
                <w:color w:val="131727" w:themeColor="text1"/>
                <w:sz w:val="18"/>
              </w:rPr>
              <w:t>Aboriginal</w:t>
            </w:r>
            <w:r w:rsidRPr="00FD40B8">
              <w:rPr>
                <w:rFonts w:ascii="Garamond"/>
                <w:b/>
                <w:color w:val="131727" w:themeColor="text1"/>
                <w:spacing w:val="-6"/>
                <w:sz w:val="18"/>
              </w:rPr>
              <w:t xml:space="preserve"> </w:t>
            </w:r>
            <w:r w:rsidRPr="00FD40B8">
              <w:rPr>
                <w:rFonts w:ascii="Garamond"/>
                <w:b/>
                <w:color w:val="131727" w:themeColor="text1"/>
                <w:sz w:val="18"/>
              </w:rPr>
              <w:t>and</w:t>
            </w:r>
            <w:r w:rsidRPr="00FD40B8">
              <w:rPr>
                <w:rFonts w:ascii="Garamond"/>
                <w:b/>
                <w:color w:val="131727" w:themeColor="text1"/>
                <w:spacing w:val="-2"/>
                <w:sz w:val="18"/>
              </w:rPr>
              <w:t xml:space="preserve"> </w:t>
            </w:r>
            <w:r w:rsidRPr="00FD40B8">
              <w:rPr>
                <w:rFonts w:ascii="Garamond"/>
                <w:b/>
                <w:color w:val="131727" w:themeColor="text1"/>
                <w:sz w:val="18"/>
              </w:rPr>
              <w:t>Torres</w:t>
            </w:r>
            <w:r w:rsidRPr="00FD40B8">
              <w:rPr>
                <w:rFonts w:ascii="Garamond"/>
                <w:b/>
                <w:color w:val="131727" w:themeColor="text1"/>
                <w:spacing w:val="-1"/>
                <w:sz w:val="18"/>
              </w:rPr>
              <w:t xml:space="preserve"> </w:t>
            </w:r>
            <w:r w:rsidRPr="00FD40B8">
              <w:rPr>
                <w:rFonts w:ascii="Garamond"/>
                <w:b/>
                <w:color w:val="131727" w:themeColor="text1"/>
                <w:spacing w:val="-2"/>
                <w:sz w:val="18"/>
              </w:rPr>
              <w:t>Strait</w:t>
            </w:r>
          </w:p>
          <w:p w14:paraId="41E58268" w14:textId="77777777" w:rsidR="00811887" w:rsidRPr="00FD40B8" w:rsidRDefault="00811887" w:rsidP="00486E22">
            <w:pPr>
              <w:pStyle w:val="TableParagraph"/>
              <w:spacing w:before="38" w:line="184" w:lineRule="exact"/>
              <w:ind w:left="374"/>
              <w:rPr>
                <w:rFonts w:ascii="Garamond"/>
                <w:b/>
                <w:color w:val="131727" w:themeColor="text1"/>
                <w:sz w:val="18"/>
              </w:rPr>
            </w:pPr>
            <w:r w:rsidRPr="00FD40B8">
              <w:rPr>
                <w:rFonts w:ascii="Garamond"/>
                <w:b/>
                <w:color w:val="131727" w:themeColor="text1"/>
                <w:sz w:val="18"/>
              </w:rPr>
              <w:t>Islander</w:t>
            </w:r>
            <w:r w:rsidRPr="00FD40B8">
              <w:rPr>
                <w:rFonts w:ascii="Garamond"/>
                <w:b/>
                <w:color w:val="131727" w:themeColor="text1"/>
                <w:spacing w:val="-7"/>
                <w:sz w:val="18"/>
              </w:rPr>
              <w:t xml:space="preserve"> </w:t>
            </w:r>
            <w:r w:rsidRPr="00FD40B8">
              <w:rPr>
                <w:rFonts w:ascii="Garamond"/>
                <w:b/>
                <w:color w:val="131727" w:themeColor="text1"/>
                <w:sz w:val="18"/>
              </w:rPr>
              <w:t>Health</w:t>
            </w:r>
            <w:r w:rsidRPr="00FD40B8">
              <w:rPr>
                <w:rFonts w:ascii="Garamond"/>
                <w:b/>
                <w:color w:val="131727" w:themeColor="text1"/>
                <w:spacing w:val="-6"/>
                <w:sz w:val="18"/>
              </w:rPr>
              <w:t xml:space="preserve"> </w:t>
            </w:r>
            <w:r w:rsidRPr="00FD40B8">
              <w:rPr>
                <w:rFonts w:ascii="Garamond"/>
                <w:b/>
                <w:color w:val="131727" w:themeColor="text1"/>
                <w:sz w:val="18"/>
              </w:rPr>
              <w:t>Survey</w:t>
            </w:r>
            <w:r w:rsidRPr="00FD40B8">
              <w:rPr>
                <w:rFonts w:ascii="Garamond"/>
                <w:b/>
                <w:color w:val="131727" w:themeColor="text1"/>
                <w:spacing w:val="-6"/>
                <w:sz w:val="18"/>
              </w:rPr>
              <w:t xml:space="preserve"> </w:t>
            </w:r>
            <w:r w:rsidRPr="00FD40B8">
              <w:rPr>
                <w:rFonts w:ascii="Garamond"/>
                <w:b/>
                <w:color w:val="131727" w:themeColor="text1"/>
                <w:spacing w:val="-2"/>
                <w:sz w:val="18"/>
              </w:rPr>
              <w:t>(NATSIHS)</w:t>
            </w:r>
          </w:p>
        </w:tc>
        <w:tc>
          <w:tcPr>
            <w:tcW w:w="3202" w:type="dxa"/>
            <w:shd w:val="clear" w:color="auto" w:fill="91A9A2"/>
          </w:tcPr>
          <w:p w14:paraId="1CC89E9C" w14:textId="77777777" w:rsidR="00811887" w:rsidRPr="00FD40B8" w:rsidRDefault="00811887" w:rsidP="00486E22">
            <w:pPr>
              <w:pStyle w:val="TableParagraph"/>
              <w:spacing w:before="36" w:line="240" w:lineRule="auto"/>
              <w:ind w:left="22" w:right="7"/>
              <w:jc w:val="center"/>
              <w:rPr>
                <w:rFonts w:ascii="Garamond"/>
                <w:b/>
                <w:color w:val="131727" w:themeColor="text1"/>
                <w:sz w:val="18"/>
              </w:rPr>
            </w:pPr>
            <w:r w:rsidRPr="00FD40B8">
              <w:rPr>
                <w:rFonts w:ascii="Garamond"/>
                <w:b/>
                <w:color w:val="131727" w:themeColor="text1"/>
                <w:sz w:val="18"/>
              </w:rPr>
              <w:t>National</w:t>
            </w:r>
            <w:r w:rsidRPr="00FD40B8">
              <w:rPr>
                <w:rFonts w:ascii="Garamond"/>
                <w:b/>
                <w:color w:val="131727" w:themeColor="text1"/>
                <w:spacing w:val="-6"/>
                <w:sz w:val="18"/>
              </w:rPr>
              <w:t xml:space="preserve"> </w:t>
            </w:r>
            <w:r w:rsidRPr="00FD40B8">
              <w:rPr>
                <w:rFonts w:ascii="Garamond"/>
                <w:b/>
                <w:color w:val="131727" w:themeColor="text1"/>
                <w:sz w:val="18"/>
              </w:rPr>
              <w:t>Aboriginal</w:t>
            </w:r>
            <w:r w:rsidRPr="00FD40B8">
              <w:rPr>
                <w:rFonts w:ascii="Garamond"/>
                <w:b/>
                <w:color w:val="131727" w:themeColor="text1"/>
                <w:spacing w:val="-6"/>
                <w:sz w:val="18"/>
              </w:rPr>
              <w:t xml:space="preserve"> </w:t>
            </w:r>
            <w:r w:rsidRPr="00FD40B8">
              <w:rPr>
                <w:rFonts w:ascii="Garamond"/>
                <w:b/>
                <w:color w:val="131727" w:themeColor="text1"/>
                <w:sz w:val="18"/>
              </w:rPr>
              <w:t>and</w:t>
            </w:r>
            <w:r w:rsidRPr="00FD40B8">
              <w:rPr>
                <w:rFonts w:ascii="Garamond"/>
                <w:b/>
                <w:color w:val="131727" w:themeColor="text1"/>
                <w:spacing w:val="-2"/>
                <w:sz w:val="18"/>
              </w:rPr>
              <w:t xml:space="preserve"> </w:t>
            </w:r>
            <w:r w:rsidRPr="00FD40B8">
              <w:rPr>
                <w:rFonts w:ascii="Garamond"/>
                <w:b/>
                <w:color w:val="131727" w:themeColor="text1"/>
                <w:sz w:val="18"/>
              </w:rPr>
              <w:t>Torres</w:t>
            </w:r>
            <w:r w:rsidRPr="00FD40B8">
              <w:rPr>
                <w:rFonts w:ascii="Garamond"/>
                <w:b/>
                <w:color w:val="131727" w:themeColor="text1"/>
                <w:spacing w:val="-1"/>
                <w:sz w:val="18"/>
              </w:rPr>
              <w:t xml:space="preserve"> </w:t>
            </w:r>
            <w:r w:rsidRPr="00FD40B8">
              <w:rPr>
                <w:rFonts w:ascii="Garamond"/>
                <w:b/>
                <w:color w:val="131727" w:themeColor="text1"/>
                <w:spacing w:val="-2"/>
                <w:sz w:val="18"/>
              </w:rPr>
              <w:t>Strait</w:t>
            </w:r>
          </w:p>
          <w:p w14:paraId="57797D71" w14:textId="77777777" w:rsidR="00811887" w:rsidRPr="00FD40B8" w:rsidRDefault="00811887" w:rsidP="00486E22">
            <w:pPr>
              <w:pStyle w:val="TableParagraph"/>
              <w:spacing w:before="38" w:line="184" w:lineRule="exact"/>
              <w:ind w:left="22" w:right="4"/>
              <w:jc w:val="center"/>
              <w:rPr>
                <w:rFonts w:ascii="Garamond"/>
                <w:b/>
                <w:color w:val="131727" w:themeColor="text1"/>
                <w:sz w:val="18"/>
              </w:rPr>
            </w:pPr>
            <w:r w:rsidRPr="00FD40B8">
              <w:rPr>
                <w:rFonts w:ascii="Garamond"/>
                <w:b/>
                <w:color w:val="131727" w:themeColor="text1"/>
                <w:sz w:val="18"/>
              </w:rPr>
              <w:t>Islander</w:t>
            </w:r>
            <w:r w:rsidRPr="00FD40B8">
              <w:rPr>
                <w:rFonts w:ascii="Garamond"/>
                <w:b/>
                <w:color w:val="131727" w:themeColor="text1"/>
                <w:spacing w:val="-7"/>
                <w:sz w:val="18"/>
              </w:rPr>
              <w:t xml:space="preserve"> </w:t>
            </w:r>
            <w:r w:rsidRPr="00FD40B8">
              <w:rPr>
                <w:rFonts w:ascii="Garamond"/>
                <w:b/>
                <w:color w:val="131727" w:themeColor="text1"/>
                <w:sz w:val="18"/>
              </w:rPr>
              <w:t>Social</w:t>
            </w:r>
            <w:r w:rsidRPr="00FD40B8">
              <w:rPr>
                <w:rFonts w:ascii="Garamond"/>
                <w:b/>
                <w:color w:val="131727" w:themeColor="text1"/>
                <w:spacing w:val="-5"/>
                <w:sz w:val="18"/>
              </w:rPr>
              <w:t xml:space="preserve"> </w:t>
            </w:r>
            <w:r w:rsidRPr="00FD40B8">
              <w:rPr>
                <w:rFonts w:ascii="Garamond"/>
                <w:b/>
                <w:color w:val="131727" w:themeColor="text1"/>
                <w:sz w:val="18"/>
              </w:rPr>
              <w:t>Survey</w:t>
            </w:r>
            <w:r w:rsidRPr="00FD40B8">
              <w:rPr>
                <w:rFonts w:ascii="Garamond"/>
                <w:b/>
                <w:color w:val="131727" w:themeColor="text1"/>
                <w:spacing w:val="-1"/>
                <w:sz w:val="18"/>
              </w:rPr>
              <w:t xml:space="preserve"> </w:t>
            </w:r>
            <w:r w:rsidRPr="00FD40B8">
              <w:rPr>
                <w:rFonts w:ascii="Garamond"/>
                <w:b/>
                <w:color w:val="131727" w:themeColor="text1"/>
                <w:spacing w:val="-2"/>
                <w:sz w:val="18"/>
              </w:rPr>
              <w:t>(NATSISS)</w:t>
            </w:r>
          </w:p>
        </w:tc>
        <w:tc>
          <w:tcPr>
            <w:tcW w:w="3207" w:type="dxa"/>
            <w:shd w:val="clear" w:color="auto" w:fill="91A9A2"/>
          </w:tcPr>
          <w:p w14:paraId="6ACE4FC9" w14:textId="77777777" w:rsidR="00811887" w:rsidRPr="00FD40B8" w:rsidRDefault="00811887" w:rsidP="00486E22">
            <w:pPr>
              <w:pStyle w:val="TableParagraph"/>
              <w:spacing w:before="156" w:line="240" w:lineRule="auto"/>
              <w:ind w:left="254"/>
              <w:rPr>
                <w:rFonts w:ascii="Garamond"/>
                <w:b/>
                <w:color w:val="131727" w:themeColor="text1"/>
                <w:sz w:val="18"/>
              </w:rPr>
            </w:pPr>
            <w:r w:rsidRPr="00FD40B8">
              <w:rPr>
                <w:rFonts w:ascii="Garamond"/>
                <w:b/>
                <w:color w:val="131727" w:themeColor="text1"/>
                <w:sz w:val="18"/>
              </w:rPr>
              <w:t>Census</w:t>
            </w:r>
            <w:r w:rsidRPr="00FD40B8">
              <w:rPr>
                <w:rFonts w:ascii="Garamond"/>
                <w:b/>
                <w:color w:val="131727" w:themeColor="text1"/>
                <w:spacing w:val="-6"/>
                <w:sz w:val="18"/>
              </w:rPr>
              <w:t xml:space="preserve"> </w:t>
            </w:r>
            <w:r w:rsidRPr="00FD40B8">
              <w:rPr>
                <w:rFonts w:ascii="Garamond"/>
                <w:b/>
                <w:color w:val="131727" w:themeColor="text1"/>
                <w:sz w:val="18"/>
              </w:rPr>
              <w:t>Estimates</w:t>
            </w:r>
            <w:r w:rsidRPr="00FD40B8">
              <w:rPr>
                <w:rFonts w:ascii="Garamond"/>
                <w:b/>
                <w:color w:val="131727" w:themeColor="text1"/>
                <w:spacing w:val="-5"/>
                <w:sz w:val="18"/>
              </w:rPr>
              <w:t xml:space="preserve"> </w:t>
            </w:r>
            <w:r w:rsidRPr="00FD40B8">
              <w:rPr>
                <w:rFonts w:ascii="Garamond"/>
                <w:b/>
                <w:color w:val="131727" w:themeColor="text1"/>
                <w:sz w:val="18"/>
              </w:rPr>
              <w:t>of</w:t>
            </w:r>
            <w:r w:rsidRPr="00FD40B8">
              <w:rPr>
                <w:rFonts w:ascii="Garamond"/>
                <w:b/>
                <w:color w:val="131727" w:themeColor="text1"/>
                <w:spacing w:val="-3"/>
                <w:sz w:val="18"/>
              </w:rPr>
              <w:t xml:space="preserve"> </w:t>
            </w:r>
            <w:r w:rsidRPr="00FD40B8">
              <w:rPr>
                <w:rFonts w:ascii="Garamond"/>
                <w:b/>
                <w:color w:val="131727" w:themeColor="text1"/>
                <w:spacing w:val="-2"/>
                <w:sz w:val="18"/>
              </w:rPr>
              <w:t>Homelessness</w:t>
            </w:r>
          </w:p>
        </w:tc>
      </w:tr>
      <w:tr w:rsidR="00811887" w:rsidRPr="00FD40B8" w14:paraId="685AD239" w14:textId="77777777" w:rsidTr="00486E22">
        <w:trPr>
          <w:trHeight w:val="719"/>
        </w:trPr>
        <w:tc>
          <w:tcPr>
            <w:tcW w:w="1546" w:type="dxa"/>
            <w:shd w:val="clear" w:color="auto" w:fill="91A9A2"/>
          </w:tcPr>
          <w:p w14:paraId="796A1756" w14:textId="77777777" w:rsidR="00811887" w:rsidRPr="00FD40B8" w:rsidRDefault="00811887" w:rsidP="00486E22">
            <w:pPr>
              <w:pStyle w:val="TableParagraph"/>
              <w:spacing w:line="240" w:lineRule="auto"/>
              <w:rPr>
                <w:rFonts w:ascii="Times New Roman"/>
                <w:color w:val="131727" w:themeColor="text1"/>
                <w:sz w:val="16"/>
              </w:rPr>
            </w:pPr>
          </w:p>
        </w:tc>
        <w:tc>
          <w:tcPr>
            <w:tcW w:w="2751" w:type="dxa"/>
            <w:shd w:val="clear" w:color="auto" w:fill="EEF1F4"/>
          </w:tcPr>
          <w:p w14:paraId="760E35D3" w14:textId="77777777" w:rsidR="00811887" w:rsidRPr="00FD40B8" w:rsidRDefault="00811887" w:rsidP="00486E22">
            <w:pPr>
              <w:pStyle w:val="TableParagraph"/>
              <w:spacing w:line="240" w:lineRule="auto"/>
              <w:rPr>
                <w:rFonts w:ascii="Times New Roman"/>
                <w:color w:val="131727" w:themeColor="text1"/>
                <w:sz w:val="16"/>
              </w:rPr>
            </w:pPr>
          </w:p>
        </w:tc>
        <w:tc>
          <w:tcPr>
            <w:tcW w:w="3467" w:type="dxa"/>
            <w:shd w:val="clear" w:color="auto" w:fill="EEF1F4"/>
          </w:tcPr>
          <w:p w14:paraId="1A33DBF6" w14:textId="77777777" w:rsidR="00811887" w:rsidRPr="00FD40B8" w:rsidRDefault="00811887" w:rsidP="00811887">
            <w:pPr>
              <w:pStyle w:val="TableParagraph"/>
              <w:numPr>
                <w:ilvl w:val="0"/>
                <w:numId w:val="54"/>
              </w:numPr>
              <w:tabs>
                <w:tab w:val="left" w:pos="830"/>
              </w:tabs>
              <w:spacing w:line="240" w:lineRule="atLeast"/>
              <w:ind w:right="157"/>
              <w:rPr>
                <w:color w:val="131727" w:themeColor="text1"/>
                <w:sz w:val="18"/>
              </w:rPr>
            </w:pPr>
            <w:r w:rsidRPr="00FD40B8">
              <w:rPr>
                <w:color w:val="131727" w:themeColor="text1"/>
                <w:w w:val="110"/>
                <w:sz w:val="18"/>
              </w:rPr>
              <w:t>Does not</w:t>
            </w:r>
            <w:r w:rsidRPr="00FD40B8">
              <w:rPr>
                <w:color w:val="131727" w:themeColor="text1"/>
                <w:spacing w:val="-3"/>
                <w:w w:val="110"/>
                <w:sz w:val="18"/>
              </w:rPr>
              <w:t xml:space="preserve"> </w:t>
            </w:r>
            <w:r w:rsidRPr="00FD40B8">
              <w:rPr>
                <w:color w:val="131727" w:themeColor="text1"/>
                <w:w w:val="110"/>
                <w:sz w:val="18"/>
              </w:rPr>
              <w:t>include</w:t>
            </w:r>
            <w:r w:rsidRPr="00FD40B8">
              <w:rPr>
                <w:color w:val="131727" w:themeColor="text1"/>
                <w:spacing w:val="-4"/>
                <w:w w:val="110"/>
                <w:sz w:val="18"/>
              </w:rPr>
              <w:t xml:space="preserve"> </w:t>
            </w:r>
            <w:r w:rsidRPr="00FD40B8">
              <w:rPr>
                <w:color w:val="131727" w:themeColor="text1"/>
                <w:w w:val="110"/>
                <w:sz w:val="18"/>
              </w:rPr>
              <w:t xml:space="preserve">questions on </w:t>
            </w:r>
            <w:r w:rsidRPr="00FD40B8">
              <w:rPr>
                <w:color w:val="131727" w:themeColor="text1"/>
                <w:spacing w:val="-2"/>
                <w:w w:val="110"/>
                <w:sz w:val="18"/>
              </w:rPr>
              <w:t>community services/infrastructure</w:t>
            </w:r>
          </w:p>
        </w:tc>
        <w:tc>
          <w:tcPr>
            <w:tcW w:w="3202" w:type="dxa"/>
            <w:shd w:val="clear" w:color="auto" w:fill="EEF1F4"/>
          </w:tcPr>
          <w:p w14:paraId="528A2D08" w14:textId="77777777" w:rsidR="00811887" w:rsidRPr="00FD40B8" w:rsidRDefault="00811887" w:rsidP="00486E22">
            <w:pPr>
              <w:pStyle w:val="TableParagraph"/>
              <w:spacing w:line="240" w:lineRule="auto"/>
              <w:rPr>
                <w:rFonts w:ascii="Times New Roman"/>
                <w:color w:val="131727" w:themeColor="text1"/>
                <w:sz w:val="16"/>
              </w:rPr>
            </w:pPr>
          </w:p>
        </w:tc>
        <w:tc>
          <w:tcPr>
            <w:tcW w:w="3207" w:type="dxa"/>
            <w:shd w:val="clear" w:color="auto" w:fill="EEF1F4"/>
          </w:tcPr>
          <w:p w14:paraId="19EE5C62" w14:textId="77777777" w:rsidR="00811887" w:rsidRPr="00FD40B8" w:rsidRDefault="00811887" w:rsidP="00486E22">
            <w:pPr>
              <w:pStyle w:val="TableParagraph"/>
              <w:spacing w:line="240" w:lineRule="auto"/>
              <w:rPr>
                <w:rFonts w:ascii="Times New Roman"/>
                <w:color w:val="131727" w:themeColor="text1"/>
                <w:sz w:val="16"/>
              </w:rPr>
            </w:pPr>
          </w:p>
        </w:tc>
      </w:tr>
    </w:tbl>
    <w:p w14:paraId="7F3FBE81" w14:textId="77777777" w:rsidR="00811887" w:rsidRPr="00FD40B8" w:rsidRDefault="00811887" w:rsidP="00811887">
      <w:pPr>
        <w:pStyle w:val="BodyText"/>
        <w:spacing w:before="12"/>
        <w:rPr>
          <w:color w:val="131727" w:themeColor="text1"/>
          <w:sz w:val="21"/>
        </w:rPr>
      </w:pPr>
    </w:p>
    <w:p w14:paraId="4B7C46FC" w14:textId="77777777" w:rsidR="00811887" w:rsidRPr="00FD40B8" w:rsidRDefault="00811887" w:rsidP="00811887">
      <w:pPr>
        <w:ind w:left="136"/>
        <w:rPr>
          <w:rFonts w:ascii="Book Antiqua"/>
          <w:b/>
          <w:color w:val="131727" w:themeColor="text1"/>
          <w:sz w:val="14"/>
        </w:rPr>
      </w:pPr>
      <w:r w:rsidRPr="00FD40B8">
        <w:rPr>
          <w:rFonts w:ascii="Book Antiqua"/>
          <w:b/>
          <w:color w:val="131727" w:themeColor="text1"/>
          <w:sz w:val="21"/>
        </w:rPr>
        <w:t>Table</w:t>
      </w:r>
      <w:r w:rsidRPr="00FD40B8">
        <w:rPr>
          <w:rFonts w:ascii="Book Antiqua"/>
          <w:b/>
          <w:color w:val="131727" w:themeColor="text1"/>
          <w:spacing w:val="-6"/>
          <w:sz w:val="21"/>
        </w:rPr>
        <w:t xml:space="preserve"> </w:t>
      </w:r>
      <w:r w:rsidRPr="00FD40B8">
        <w:rPr>
          <w:rFonts w:ascii="Book Antiqua"/>
          <w:b/>
          <w:color w:val="131727" w:themeColor="text1"/>
          <w:sz w:val="21"/>
        </w:rPr>
        <w:t>B2.</w:t>
      </w:r>
      <w:r w:rsidRPr="00FD40B8">
        <w:rPr>
          <w:rFonts w:ascii="Book Antiqua"/>
          <w:b/>
          <w:color w:val="131727" w:themeColor="text1"/>
          <w:spacing w:val="-6"/>
          <w:sz w:val="21"/>
        </w:rPr>
        <w:t xml:space="preserve"> </w:t>
      </w:r>
      <w:r w:rsidRPr="00FD40B8">
        <w:rPr>
          <w:rFonts w:ascii="Book Antiqua"/>
          <w:b/>
          <w:color w:val="131727" w:themeColor="text1"/>
          <w:sz w:val="21"/>
        </w:rPr>
        <w:t>Aboriginal</w:t>
      </w:r>
      <w:r w:rsidRPr="00FD40B8">
        <w:rPr>
          <w:rFonts w:ascii="Book Antiqua"/>
          <w:b/>
          <w:color w:val="131727" w:themeColor="text1"/>
          <w:spacing w:val="-5"/>
          <w:sz w:val="21"/>
        </w:rPr>
        <w:t xml:space="preserve"> </w:t>
      </w:r>
      <w:r w:rsidRPr="00FD40B8">
        <w:rPr>
          <w:rFonts w:ascii="Book Antiqua"/>
          <w:b/>
          <w:color w:val="131727" w:themeColor="text1"/>
          <w:sz w:val="21"/>
        </w:rPr>
        <w:t>and</w:t>
      </w:r>
      <w:r w:rsidRPr="00FD40B8">
        <w:rPr>
          <w:rFonts w:ascii="Book Antiqua"/>
          <w:b/>
          <w:color w:val="131727" w:themeColor="text1"/>
          <w:spacing w:val="-5"/>
          <w:sz w:val="21"/>
        </w:rPr>
        <w:t xml:space="preserve"> </w:t>
      </w:r>
      <w:r w:rsidRPr="00FD40B8">
        <w:rPr>
          <w:rFonts w:ascii="Book Antiqua"/>
          <w:b/>
          <w:color w:val="131727" w:themeColor="text1"/>
          <w:sz w:val="21"/>
        </w:rPr>
        <w:t>Torres</w:t>
      </w:r>
      <w:r w:rsidRPr="00FD40B8">
        <w:rPr>
          <w:rFonts w:ascii="Book Antiqua"/>
          <w:b/>
          <w:color w:val="131727" w:themeColor="text1"/>
          <w:spacing w:val="-8"/>
          <w:sz w:val="21"/>
        </w:rPr>
        <w:t xml:space="preserve"> </w:t>
      </w:r>
      <w:r w:rsidRPr="00FD40B8">
        <w:rPr>
          <w:rFonts w:ascii="Book Antiqua"/>
          <w:b/>
          <w:color w:val="131727" w:themeColor="text1"/>
          <w:sz w:val="21"/>
        </w:rPr>
        <w:t>Strait</w:t>
      </w:r>
      <w:r w:rsidRPr="00FD40B8">
        <w:rPr>
          <w:rFonts w:ascii="Book Antiqua"/>
          <w:b/>
          <w:color w:val="131727" w:themeColor="text1"/>
          <w:spacing w:val="-5"/>
          <w:sz w:val="21"/>
        </w:rPr>
        <w:t xml:space="preserve"> </w:t>
      </w:r>
      <w:r w:rsidRPr="00FD40B8">
        <w:rPr>
          <w:rFonts w:ascii="Book Antiqua"/>
          <w:b/>
          <w:color w:val="131727" w:themeColor="text1"/>
          <w:sz w:val="21"/>
        </w:rPr>
        <w:t>Islander</w:t>
      </w:r>
      <w:r w:rsidRPr="00FD40B8">
        <w:rPr>
          <w:rFonts w:ascii="Book Antiqua"/>
          <w:b/>
          <w:color w:val="131727" w:themeColor="text1"/>
          <w:spacing w:val="-6"/>
          <w:sz w:val="21"/>
        </w:rPr>
        <w:t xml:space="preserve"> </w:t>
      </w:r>
      <w:r w:rsidRPr="00FD40B8">
        <w:rPr>
          <w:rFonts w:ascii="Book Antiqua"/>
          <w:b/>
          <w:color w:val="131727" w:themeColor="text1"/>
          <w:sz w:val="21"/>
        </w:rPr>
        <w:t>housing</w:t>
      </w:r>
      <w:r w:rsidRPr="00FD40B8">
        <w:rPr>
          <w:rFonts w:ascii="Book Antiqua"/>
          <w:b/>
          <w:color w:val="131727" w:themeColor="text1"/>
          <w:spacing w:val="-4"/>
          <w:sz w:val="21"/>
        </w:rPr>
        <w:t xml:space="preserve"> </w:t>
      </w:r>
      <w:r w:rsidRPr="00FD40B8">
        <w:rPr>
          <w:rFonts w:ascii="Book Antiqua"/>
          <w:b/>
          <w:color w:val="131727" w:themeColor="text1"/>
          <w:sz w:val="21"/>
        </w:rPr>
        <w:t>and</w:t>
      </w:r>
      <w:r w:rsidRPr="00FD40B8">
        <w:rPr>
          <w:rFonts w:ascii="Book Antiqua"/>
          <w:b/>
          <w:color w:val="131727" w:themeColor="text1"/>
          <w:spacing w:val="-9"/>
          <w:sz w:val="21"/>
        </w:rPr>
        <w:t xml:space="preserve"> </w:t>
      </w:r>
      <w:r w:rsidRPr="00FD40B8">
        <w:rPr>
          <w:rFonts w:ascii="Book Antiqua"/>
          <w:b/>
          <w:color w:val="131727" w:themeColor="text1"/>
          <w:sz w:val="21"/>
        </w:rPr>
        <w:t>community</w:t>
      </w:r>
      <w:r w:rsidRPr="00FD40B8">
        <w:rPr>
          <w:rFonts w:ascii="Book Antiqua"/>
          <w:b/>
          <w:color w:val="131727" w:themeColor="text1"/>
          <w:spacing w:val="-4"/>
          <w:sz w:val="21"/>
        </w:rPr>
        <w:t xml:space="preserve"> </w:t>
      </w:r>
      <w:r w:rsidRPr="00FD40B8">
        <w:rPr>
          <w:rFonts w:ascii="Book Antiqua"/>
          <w:b/>
          <w:color w:val="131727" w:themeColor="text1"/>
          <w:sz w:val="21"/>
        </w:rPr>
        <w:t>infrastructure</w:t>
      </w:r>
      <w:r w:rsidRPr="00FD40B8">
        <w:rPr>
          <w:rFonts w:ascii="Book Antiqua"/>
          <w:b/>
          <w:color w:val="131727" w:themeColor="text1"/>
          <w:spacing w:val="-11"/>
          <w:sz w:val="21"/>
        </w:rPr>
        <w:t xml:space="preserve"> </w:t>
      </w:r>
      <w:r w:rsidRPr="00FD40B8">
        <w:rPr>
          <w:rFonts w:ascii="Book Antiqua"/>
          <w:b/>
          <w:color w:val="131727" w:themeColor="text1"/>
          <w:sz w:val="21"/>
        </w:rPr>
        <w:t>topics</w:t>
      </w:r>
      <w:r w:rsidRPr="00FD40B8">
        <w:rPr>
          <w:rFonts w:ascii="Book Antiqua"/>
          <w:b/>
          <w:color w:val="131727" w:themeColor="text1"/>
          <w:spacing w:val="-4"/>
          <w:sz w:val="21"/>
        </w:rPr>
        <w:t xml:space="preserve"> </w:t>
      </w:r>
      <w:r w:rsidRPr="00FD40B8">
        <w:rPr>
          <w:rFonts w:ascii="Book Antiqua"/>
          <w:b/>
          <w:color w:val="131727" w:themeColor="text1"/>
          <w:sz w:val="21"/>
        </w:rPr>
        <w:t>available</w:t>
      </w:r>
      <w:r w:rsidRPr="00FD40B8">
        <w:rPr>
          <w:rFonts w:ascii="Book Antiqua"/>
          <w:b/>
          <w:color w:val="131727" w:themeColor="text1"/>
          <w:spacing w:val="-6"/>
          <w:sz w:val="21"/>
        </w:rPr>
        <w:t xml:space="preserve"> </w:t>
      </w:r>
      <w:r w:rsidRPr="00FD40B8">
        <w:rPr>
          <w:rFonts w:ascii="Book Antiqua"/>
          <w:b/>
          <w:color w:val="131727" w:themeColor="text1"/>
          <w:sz w:val="21"/>
        </w:rPr>
        <w:t>in</w:t>
      </w:r>
      <w:r w:rsidRPr="00FD40B8">
        <w:rPr>
          <w:rFonts w:ascii="Book Antiqua"/>
          <w:b/>
          <w:color w:val="131727" w:themeColor="text1"/>
          <w:spacing w:val="-6"/>
          <w:sz w:val="21"/>
        </w:rPr>
        <w:t xml:space="preserve"> </w:t>
      </w:r>
      <w:r w:rsidRPr="00FD40B8">
        <w:rPr>
          <w:rFonts w:ascii="Book Antiqua"/>
          <w:b/>
          <w:color w:val="131727" w:themeColor="text1"/>
          <w:sz w:val="21"/>
        </w:rPr>
        <w:t>ABS</w:t>
      </w:r>
      <w:r w:rsidRPr="00FD40B8">
        <w:rPr>
          <w:rFonts w:ascii="Book Antiqua"/>
          <w:b/>
          <w:color w:val="131727" w:themeColor="text1"/>
          <w:spacing w:val="-9"/>
          <w:sz w:val="21"/>
        </w:rPr>
        <w:t xml:space="preserve"> </w:t>
      </w:r>
      <w:r w:rsidRPr="00FD40B8">
        <w:rPr>
          <w:rFonts w:ascii="Book Antiqua"/>
          <w:b/>
          <w:color w:val="131727" w:themeColor="text1"/>
          <w:spacing w:val="-2"/>
          <w:sz w:val="21"/>
        </w:rPr>
        <w:t>sources</w:t>
      </w:r>
      <w:hyperlink w:anchor="_bookmark112" w:history="1">
        <w:r w:rsidRPr="00FD40B8">
          <w:rPr>
            <w:rFonts w:ascii="Book Antiqua"/>
            <w:b/>
            <w:color w:val="131727" w:themeColor="text1"/>
            <w:spacing w:val="-2"/>
            <w:position w:val="5"/>
            <w:sz w:val="14"/>
          </w:rPr>
          <w:t>89</w:t>
        </w:r>
      </w:hyperlink>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1"/>
        <w:gridCol w:w="1071"/>
        <w:gridCol w:w="1201"/>
        <w:gridCol w:w="1124"/>
        <w:gridCol w:w="2780"/>
      </w:tblGrid>
      <w:tr w:rsidR="00811887" w:rsidRPr="00FD40B8" w14:paraId="4667C07C" w14:textId="77777777" w:rsidTr="00486E22">
        <w:trPr>
          <w:trHeight w:val="407"/>
        </w:trPr>
        <w:tc>
          <w:tcPr>
            <w:tcW w:w="7721" w:type="dxa"/>
            <w:shd w:val="clear" w:color="auto" w:fill="91A9A2"/>
          </w:tcPr>
          <w:p w14:paraId="79BC0F94" w14:textId="77777777" w:rsidR="00811887" w:rsidRPr="00FD40B8" w:rsidRDefault="00811887" w:rsidP="00486E22">
            <w:pPr>
              <w:pStyle w:val="TableParagraph"/>
              <w:spacing w:line="240" w:lineRule="auto"/>
              <w:rPr>
                <w:rFonts w:ascii="Times New Roman"/>
                <w:color w:val="131727" w:themeColor="text1"/>
                <w:sz w:val="16"/>
              </w:rPr>
            </w:pPr>
          </w:p>
        </w:tc>
        <w:tc>
          <w:tcPr>
            <w:tcW w:w="1071" w:type="dxa"/>
            <w:shd w:val="clear" w:color="auto" w:fill="91A9A2"/>
          </w:tcPr>
          <w:p w14:paraId="3EAE9F65" w14:textId="77777777" w:rsidR="00811887" w:rsidRPr="00FD40B8" w:rsidRDefault="00811887" w:rsidP="00486E22">
            <w:pPr>
              <w:pStyle w:val="TableParagraph"/>
              <w:spacing w:line="189" w:lineRule="exact"/>
              <w:ind w:left="253"/>
              <w:rPr>
                <w:rFonts w:ascii="Garamond"/>
                <w:b/>
                <w:color w:val="131727" w:themeColor="text1"/>
                <w:sz w:val="18"/>
              </w:rPr>
            </w:pPr>
            <w:r w:rsidRPr="00FD40B8">
              <w:rPr>
                <w:rFonts w:ascii="Garamond"/>
                <w:b/>
                <w:color w:val="131727" w:themeColor="text1"/>
                <w:spacing w:val="-2"/>
                <w:sz w:val="18"/>
              </w:rPr>
              <w:t>Census</w:t>
            </w:r>
          </w:p>
          <w:p w14:paraId="4C25BEA2" w14:textId="77777777" w:rsidR="00811887" w:rsidRPr="00FD40B8" w:rsidRDefault="00811887" w:rsidP="00486E22">
            <w:pPr>
              <w:pStyle w:val="TableParagraph"/>
              <w:spacing w:before="4" w:line="195" w:lineRule="exact"/>
              <w:ind w:left="306"/>
              <w:rPr>
                <w:rFonts w:ascii="Garamond"/>
                <w:b/>
                <w:color w:val="131727" w:themeColor="text1"/>
                <w:sz w:val="18"/>
              </w:rPr>
            </w:pPr>
            <w:r w:rsidRPr="00FD40B8">
              <w:rPr>
                <w:rFonts w:ascii="Garamond"/>
                <w:b/>
                <w:color w:val="131727" w:themeColor="text1"/>
                <w:spacing w:val="-2"/>
                <w:sz w:val="18"/>
              </w:rPr>
              <w:t>(2021)</w:t>
            </w:r>
          </w:p>
        </w:tc>
        <w:tc>
          <w:tcPr>
            <w:tcW w:w="1201" w:type="dxa"/>
            <w:shd w:val="clear" w:color="auto" w:fill="91A9A2"/>
          </w:tcPr>
          <w:p w14:paraId="5F0F17A1" w14:textId="77777777" w:rsidR="00811887" w:rsidRPr="00FD40B8" w:rsidRDefault="00811887" w:rsidP="00486E22">
            <w:pPr>
              <w:pStyle w:val="TableParagraph"/>
              <w:spacing w:line="189" w:lineRule="exact"/>
              <w:ind w:left="190"/>
              <w:rPr>
                <w:rFonts w:ascii="Garamond"/>
                <w:b/>
                <w:color w:val="131727" w:themeColor="text1"/>
                <w:sz w:val="18"/>
              </w:rPr>
            </w:pPr>
            <w:r w:rsidRPr="00FD40B8">
              <w:rPr>
                <w:rFonts w:ascii="Garamond"/>
                <w:b/>
                <w:color w:val="131727" w:themeColor="text1"/>
                <w:spacing w:val="-2"/>
                <w:sz w:val="18"/>
              </w:rPr>
              <w:t>NATSIHS</w:t>
            </w:r>
          </w:p>
          <w:p w14:paraId="610A5FF7" w14:textId="77777777" w:rsidR="00811887" w:rsidRPr="00FD40B8" w:rsidRDefault="00811887" w:rsidP="00486E22">
            <w:pPr>
              <w:pStyle w:val="TableParagraph"/>
              <w:spacing w:before="4" w:line="195" w:lineRule="exact"/>
              <w:ind w:left="262"/>
              <w:rPr>
                <w:rFonts w:ascii="Garamond"/>
                <w:b/>
                <w:color w:val="131727" w:themeColor="text1"/>
                <w:sz w:val="18"/>
              </w:rPr>
            </w:pPr>
            <w:r w:rsidRPr="00FD40B8">
              <w:rPr>
                <w:rFonts w:ascii="Garamond"/>
                <w:b/>
                <w:color w:val="131727" w:themeColor="text1"/>
                <w:spacing w:val="-2"/>
                <w:sz w:val="18"/>
              </w:rPr>
              <w:t>(2018-</w:t>
            </w:r>
            <w:r w:rsidRPr="00FD40B8">
              <w:rPr>
                <w:rFonts w:ascii="Garamond"/>
                <w:b/>
                <w:color w:val="131727" w:themeColor="text1"/>
                <w:spacing w:val="-5"/>
                <w:sz w:val="18"/>
              </w:rPr>
              <w:t>19)</w:t>
            </w:r>
          </w:p>
        </w:tc>
        <w:tc>
          <w:tcPr>
            <w:tcW w:w="1124" w:type="dxa"/>
            <w:shd w:val="clear" w:color="auto" w:fill="91A9A2"/>
          </w:tcPr>
          <w:p w14:paraId="661076D2" w14:textId="77777777" w:rsidR="00811887" w:rsidRPr="00FD40B8" w:rsidRDefault="00811887" w:rsidP="00486E22">
            <w:pPr>
              <w:pStyle w:val="TableParagraph"/>
              <w:spacing w:line="189" w:lineRule="exact"/>
              <w:ind w:left="185"/>
              <w:rPr>
                <w:rFonts w:ascii="Garamond"/>
                <w:b/>
                <w:color w:val="131727" w:themeColor="text1"/>
                <w:sz w:val="18"/>
              </w:rPr>
            </w:pPr>
            <w:r w:rsidRPr="00FD40B8">
              <w:rPr>
                <w:rFonts w:ascii="Garamond"/>
                <w:b/>
                <w:color w:val="131727" w:themeColor="text1"/>
                <w:spacing w:val="-2"/>
                <w:sz w:val="18"/>
              </w:rPr>
              <w:t>NATSISS</w:t>
            </w:r>
          </w:p>
          <w:p w14:paraId="20AB4C4E" w14:textId="77777777" w:rsidR="00811887" w:rsidRPr="00FD40B8" w:rsidRDefault="00811887" w:rsidP="00486E22">
            <w:pPr>
              <w:pStyle w:val="TableParagraph"/>
              <w:spacing w:before="4" w:line="195" w:lineRule="exact"/>
              <w:ind w:left="224"/>
              <w:rPr>
                <w:rFonts w:ascii="Garamond"/>
                <w:b/>
                <w:color w:val="131727" w:themeColor="text1"/>
                <w:sz w:val="18"/>
              </w:rPr>
            </w:pPr>
            <w:r w:rsidRPr="00FD40B8">
              <w:rPr>
                <w:rFonts w:ascii="Garamond"/>
                <w:b/>
                <w:color w:val="131727" w:themeColor="text1"/>
                <w:spacing w:val="-2"/>
                <w:sz w:val="18"/>
              </w:rPr>
              <w:t>(2014-</w:t>
            </w:r>
            <w:r w:rsidRPr="00FD40B8">
              <w:rPr>
                <w:rFonts w:ascii="Garamond"/>
                <w:b/>
                <w:color w:val="131727" w:themeColor="text1"/>
                <w:spacing w:val="-5"/>
                <w:sz w:val="18"/>
              </w:rPr>
              <w:t>15)</w:t>
            </w:r>
          </w:p>
        </w:tc>
        <w:tc>
          <w:tcPr>
            <w:tcW w:w="2780" w:type="dxa"/>
            <w:shd w:val="clear" w:color="auto" w:fill="91A9A2"/>
          </w:tcPr>
          <w:p w14:paraId="669B0308" w14:textId="77777777" w:rsidR="00811887" w:rsidRPr="00FD40B8" w:rsidRDefault="00811887" w:rsidP="00486E22">
            <w:pPr>
              <w:pStyle w:val="TableParagraph"/>
              <w:spacing w:line="189" w:lineRule="exact"/>
              <w:ind w:left="607"/>
              <w:rPr>
                <w:rFonts w:ascii="Garamond"/>
                <w:b/>
                <w:color w:val="131727" w:themeColor="text1"/>
                <w:sz w:val="18"/>
              </w:rPr>
            </w:pPr>
            <w:r w:rsidRPr="00FD40B8">
              <w:rPr>
                <w:rFonts w:ascii="Garamond"/>
                <w:b/>
                <w:color w:val="131727" w:themeColor="text1"/>
                <w:sz w:val="18"/>
              </w:rPr>
              <w:t>Census</w:t>
            </w:r>
            <w:r w:rsidRPr="00FD40B8">
              <w:rPr>
                <w:rFonts w:ascii="Garamond"/>
                <w:b/>
                <w:color w:val="131727" w:themeColor="text1"/>
                <w:spacing w:val="-6"/>
                <w:sz w:val="18"/>
              </w:rPr>
              <w:t xml:space="preserve"> </w:t>
            </w:r>
            <w:r w:rsidRPr="00FD40B8">
              <w:rPr>
                <w:rFonts w:ascii="Garamond"/>
                <w:b/>
                <w:color w:val="131727" w:themeColor="text1"/>
                <w:sz w:val="18"/>
              </w:rPr>
              <w:t>Estimates</w:t>
            </w:r>
            <w:r w:rsidRPr="00FD40B8">
              <w:rPr>
                <w:rFonts w:ascii="Garamond"/>
                <w:b/>
                <w:color w:val="131727" w:themeColor="text1"/>
                <w:spacing w:val="-5"/>
                <w:sz w:val="18"/>
              </w:rPr>
              <w:t xml:space="preserve"> of</w:t>
            </w:r>
          </w:p>
          <w:p w14:paraId="63D03AAC" w14:textId="77777777" w:rsidR="00811887" w:rsidRPr="00FD40B8" w:rsidRDefault="00811887" w:rsidP="00486E22">
            <w:pPr>
              <w:pStyle w:val="TableParagraph"/>
              <w:spacing w:before="4" w:line="195" w:lineRule="exact"/>
              <w:ind w:left="588"/>
              <w:rPr>
                <w:rFonts w:ascii="Garamond"/>
                <w:b/>
                <w:color w:val="131727" w:themeColor="text1"/>
                <w:sz w:val="18"/>
              </w:rPr>
            </w:pPr>
            <w:r w:rsidRPr="00FD40B8">
              <w:rPr>
                <w:rFonts w:ascii="Garamond"/>
                <w:b/>
                <w:color w:val="131727" w:themeColor="text1"/>
                <w:sz w:val="18"/>
              </w:rPr>
              <w:t>Homelessness</w:t>
            </w:r>
            <w:r w:rsidRPr="00FD40B8">
              <w:rPr>
                <w:rFonts w:ascii="Garamond"/>
                <w:b/>
                <w:color w:val="131727" w:themeColor="text1"/>
                <w:spacing w:val="-4"/>
                <w:sz w:val="18"/>
              </w:rPr>
              <w:t xml:space="preserve"> </w:t>
            </w:r>
            <w:r w:rsidRPr="00FD40B8">
              <w:rPr>
                <w:rFonts w:ascii="Garamond"/>
                <w:b/>
                <w:color w:val="131727" w:themeColor="text1"/>
                <w:spacing w:val="-2"/>
                <w:sz w:val="18"/>
              </w:rPr>
              <w:t>(2021)</w:t>
            </w:r>
          </w:p>
        </w:tc>
      </w:tr>
      <w:tr w:rsidR="00811887" w:rsidRPr="00FD40B8" w14:paraId="40D00461" w14:textId="77777777" w:rsidTr="00486E22">
        <w:trPr>
          <w:trHeight w:val="201"/>
        </w:trPr>
        <w:tc>
          <w:tcPr>
            <w:tcW w:w="13897" w:type="dxa"/>
            <w:gridSpan w:val="5"/>
            <w:shd w:val="clear" w:color="auto" w:fill="AFCAC7"/>
          </w:tcPr>
          <w:p w14:paraId="15503362" w14:textId="77777777" w:rsidR="00811887" w:rsidRPr="00FD40B8" w:rsidRDefault="00811887" w:rsidP="00486E22">
            <w:pPr>
              <w:pStyle w:val="TableParagraph"/>
              <w:spacing w:line="181" w:lineRule="exact"/>
              <w:ind w:left="105"/>
              <w:rPr>
                <w:rFonts w:ascii="Garamond"/>
                <w:b/>
                <w:color w:val="131727" w:themeColor="text1"/>
                <w:sz w:val="18"/>
              </w:rPr>
            </w:pPr>
            <w:r w:rsidRPr="00FD40B8">
              <w:rPr>
                <w:rFonts w:ascii="Garamond"/>
                <w:b/>
                <w:color w:val="131727" w:themeColor="text1"/>
                <w:spacing w:val="-2"/>
                <w:sz w:val="18"/>
              </w:rPr>
              <w:t>HOUSING</w:t>
            </w:r>
          </w:p>
        </w:tc>
      </w:tr>
      <w:tr w:rsidR="00811887" w:rsidRPr="00FD40B8" w14:paraId="2A71E440" w14:textId="77777777" w:rsidTr="00486E22">
        <w:trPr>
          <w:trHeight w:val="239"/>
        </w:trPr>
        <w:tc>
          <w:tcPr>
            <w:tcW w:w="7721" w:type="dxa"/>
            <w:shd w:val="clear" w:color="auto" w:fill="EEF1F4"/>
          </w:tcPr>
          <w:p w14:paraId="0744C58C"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Dwelling</w:t>
            </w:r>
            <w:r w:rsidRPr="00FD40B8">
              <w:rPr>
                <w:color w:val="131727" w:themeColor="text1"/>
                <w:spacing w:val="7"/>
                <w:w w:val="105"/>
                <w:sz w:val="17"/>
              </w:rPr>
              <w:t xml:space="preserve"> </w:t>
            </w:r>
            <w:r w:rsidRPr="00FD40B8">
              <w:rPr>
                <w:color w:val="131727" w:themeColor="text1"/>
                <w:spacing w:val="-2"/>
                <w:w w:val="105"/>
                <w:sz w:val="17"/>
              </w:rPr>
              <w:t>structure</w:t>
            </w:r>
          </w:p>
        </w:tc>
        <w:tc>
          <w:tcPr>
            <w:tcW w:w="1071" w:type="dxa"/>
            <w:shd w:val="clear" w:color="auto" w:fill="EEF1F4"/>
          </w:tcPr>
          <w:p w14:paraId="745B4A32"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6D3A6529"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7447BF9E"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7F8EF59F"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29D48731" w14:textId="77777777" w:rsidTr="00486E22">
        <w:trPr>
          <w:trHeight w:val="240"/>
        </w:trPr>
        <w:tc>
          <w:tcPr>
            <w:tcW w:w="7721" w:type="dxa"/>
          </w:tcPr>
          <w:p w14:paraId="6E4E3F18"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Household</w:t>
            </w:r>
            <w:r w:rsidRPr="00FD40B8">
              <w:rPr>
                <w:color w:val="131727" w:themeColor="text1"/>
                <w:spacing w:val="5"/>
                <w:w w:val="110"/>
                <w:sz w:val="17"/>
              </w:rPr>
              <w:t xml:space="preserve"> </w:t>
            </w:r>
            <w:r w:rsidRPr="00FD40B8">
              <w:rPr>
                <w:color w:val="131727" w:themeColor="text1"/>
                <w:spacing w:val="-2"/>
                <w:w w:val="110"/>
                <w:sz w:val="17"/>
              </w:rPr>
              <w:t>composition</w:t>
            </w:r>
          </w:p>
        </w:tc>
        <w:tc>
          <w:tcPr>
            <w:tcW w:w="1071" w:type="dxa"/>
          </w:tcPr>
          <w:p w14:paraId="4AD75F60"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4372AFD4"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21D03C92"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4CB07DBD"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5212443E" w14:textId="77777777" w:rsidTr="00486E22">
        <w:trPr>
          <w:trHeight w:val="239"/>
        </w:trPr>
        <w:tc>
          <w:tcPr>
            <w:tcW w:w="7721" w:type="dxa"/>
            <w:shd w:val="clear" w:color="auto" w:fill="EEF1F4"/>
          </w:tcPr>
          <w:p w14:paraId="595319DF"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Family</w:t>
            </w:r>
            <w:r w:rsidRPr="00FD40B8">
              <w:rPr>
                <w:color w:val="131727" w:themeColor="text1"/>
                <w:spacing w:val="22"/>
                <w:w w:val="105"/>
                <w:sz w:val="17"/>
              </w:rPr>
              <w:t xml:space="preserve"> </w:t>
            </w:r>
            <w:r w:rsidRPr="00FD40B8">
              <w:rPr>
                <w:color w:val="131727" w:themeColor="text1"/>
                <w:w w:val="105"/>
                <w:sz w:val="17"/>
              </w:rPr>
              <w:t>household</w:t>
            </w:r>
            <w:r w:rsidRPr="00FD40B8">
              <w:rPr>
                <w:color w:val="131727" w:themeColor="text1"/>
                <w:spacing w:val="24"/>
                <w:w w:val="105"/>
                <w:sz w:val="17"/>
              </w:rPr>
              <w:t xml:space="preserve"> </w:t>
            </w:r>
            <w:r w:rsidRPr="00FD40B8">
              <w:rPr>
                <w:color w:val="131727" w:themeColor="text1"/>
                <w:spacing w:val="-2"/>
                <w:w w:val="105"/>
                <w:sz w:val="17"/>
              </w:rPr>
              <w:t>composition</w:t>
            </w:r>
          </w:p>
        </w:tc>
        <w:tc>
          <w:tcPr>
            <w:tcW w:w="1071" w:type="dxa"/>
            <w:shd w:val="clear" w:color="auto" w:fill="EEF1F4"/>
          </w:tcPr>
          <w:p w14:paraId="64146D41"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7EB0505E"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4D082CB8"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4DA87160"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12A91FD8" w14:textId="77777777" w:rsidTr="00486E22">
        <w:trPr>
          <w:trHeight w:val="239"/>
        </w:trPr>
        <w:tc>
          <w:tcPr>
            <w:tcW w:w="7721" w:type="dxa"/>
          </w:tcPr>
          <w:p w14:paraId="21D0EC98"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Number</w:t>
            </w:r>
            <w:r w:rsidRPr="00FD40B8">
              <w:rPr>
                <w:color w:val="131727" w:themeColor="text1"/>
                <w:spacing w:val="2"/>
                <w:w w:val="110"/>
                <w:sz w:val="17"/>
              </w:rPr>
              <w:t xml:space="preserve"> </w:t>
            </w:r>
            <w:r w:rsidRPr="00FD40B8">
              <w:rPr>
                <w:color w:val="131727" w:themeColor="text1"/>
                <w:w w:val="110"/>
                <w:sz w:val="17"/>
              </w:rPr>
              <w:t>of</w:t>
            </w:r>
            <w:r w:rsidRPr="00FD40B8">
              <w:rPr>
                <w:color w:val="131727" w:themeColor="text1"/>
                <w:spacing w:val="3"/>
                <w:w w:val="110"/>
                <w:sz w:val="17"/>
              </w:rPr>
              <w:t xml:space="preserve"> </w:t>
            </w:r>
            <w:r w:rsidRPr="00FD40B8">
              <w:rPr>
                <w:color w:val="131727" w:themeColor="text1"/>
                <w:w w:val="110"/>
                <w:sz w:val="17"/>
              </w:rPr>
              <w:t>persons</w:t>
            </w:r>
            <w:r w:rsidRPr="00FD40B8">
              <w:rPr>
                <w:color w:val="131727" w:themeColor="text1"/>
                <w:spacing w:val="-1"/>
                <w:w w:val="110"/>
                <w:sz w:val="17"/>
              </w:rPr>
              <w:t xml:space="preserve"> </w:t>
            </w:r>
            <w:r w:rsidRPr="00FD40B8">
              <w:rPr>
                <w:color w:val="131727" w:themeColor="text1"/>
                <w:w w:val="110"/>
                <w:sz w:val="17"/>
              </w:rPr>
              <w:t>in</w:t>
            </w:r>
            <w:r w:rsidRPr="00FD40B8">
              <w:rPr>
                <w:color w:val="131727" w:themeColor="text1"/>
                <w:spacing w:val="2"/>
                <w:w w:val="110"/>
                <w:sz w:val="17"/>
              </w:rPr>
              <w:t xml:space="preserve"> </w:t>
            </w:r>
            <w:r w:rsidRPr="00FD40B8">
              <w:rPr>
                <w:color w:val="131727" w:themeColor="text1"/>
                <w:spacing w:val="-2"/>
                <w:w w:val="110"/>
                <w:sz w:val="17"/>
              </w:rPr>
              <w:t>household</w:t>
            </w:r>
          </w:p>
        </w:tc>
        <w:tc>
          <w:tcPr>
            <w:tcW w:w="1071" w:type="dxa"/>
          </w:tcPr>
          <w:p w14:paraId="67115689"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1F31C56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536DB42A"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32A58341"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4C2513DC" w14:textId="77777777" w:rsidTr="00486E22">
        <w:trPr>
          <w:trHeight w:val="239"/>
        </w:trPr>
        <w:tc>
          <w:tcPr>
            <w:tcW w:w="7721" w:type="dxa"/>
            <w:shd w:val="clear" w:color="auto" w:fill="EEF1F4"/>
          </w:tcPr>
          <w:p w14:paraId="7D376307"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Tenure</w:t>
            </w:r>
            <w:r w:rsidRPr="00FD40B8">
              <w:rPr>
                <w:color w:val="131727" w:themeColor="text1"/>
                <w:spacing w:val="21"/>
                <w:w w:val="105"/>
                <w:sz w:val="17"/>
              </w:rPr>
              <w:t xml:space="preserve"> </w:t>
            </w:r>
            <w:r w:rsidRPr="00FD40B8">
              <w:rPr>
                <w:color w:val="131727" w:themeColor="text1"/>
                <w:spacing w:val="-4"/>
                <w:w w:val="105"/>
                <w:sz w:val="17"/>
              </w:rPr>
              <w:t>type</w:t>
            </w:r>
          </w:p>
        </w:tc>
        <w:tc>
          <w:tcPr>
            <w:tcW w:w="1071" w:type="dxa"/>
            <w:shd w:val="clear" w:color="auto" w:fill="EEF1F4"/>
          </w:tcPr>
          <w:p w14:paraId="50DF0146"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1640AC7B"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4A259A3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1F99036C"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352B40ED" w14:textId="77777777" w:rsidTr="00486E22">
        <w:trPr>
          <w:trHeight w:val="239"/>
        </w:trPr>
        <w:tc>
          <w:tcPr>
            <w:tcW w:w="7721" w:type="dxa"/>
          </w:tcPr>
          <w:p w14:paraId="4577BFA7"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Landlord</w:t>
            </w:r>
            <w:r w:rsidRPr="00FD40B8">
              <w:rPr>
                <w:color w:val="131727" w:themeColor="text1"/>
                <w:spacing w:val="9"/>
                <w:w w:val="110"/>
                <w:sz w:val="17"/>
              </w:rPr>
              <w:t xml:space="preserve"> </w:t>
            </w:r>
            <w:r w:rsidRPr="00FD40B8">
              <w:rPr>
                <w:color w:val="131727" w:themeColor="text1"/>
                <w:spacing w:val="-4"/>
                <w:w w:val="110"/>
                <w:sz w:val="17"/>
              </w:rPr>
              <w:t>type</w:t>
            </w:r>
          </w:p>
        </w:tc>
        <w:tc>
          <w:tcPr>
            <w:tcW w:w="1071" w:type="dxa"/>
          </w:tcPr>
          <w:p w14:paraId="1E00569E"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0E07A2EC"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5602021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261600D9"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7A2909CB" w14:textId="77777777" w:rsidTr="00486E22">
        <w:trPr>
          <w:trHeight w:val="244"/>
        </w:trPr>
        <w:tc>
          <w:tcPr>
            <w:tcW w:w="7721" w:type="dxa"/>
            <w:shd w:val="clear" w:color="auto" w:fill="EEF1F4"/>
          </w:tcPr>
          <w:p w14:paraId="5766917F" w14:textId="77777777" w:rsidR="00811887" w:rsidRPr="00FD40B8" w:rsidRDefault="00811887" w:rsidP="00486E22">
            <w:pPr>
              <w:pStyle w:val="TableParagraph"/>
              <w:spacing w:before="23" w:line="202" w:lineRule="exact"/>
              <w:ind w:left="105"/>
              <w:rPr>
                <w:color w:val="131727" w:themeColor="text1"/>
                <w:sz w:val="17"/>
              </w:rPr>
            </w:pPr>
            <w:r w:rsidRPr="00FD40B8">
              <w:rPr>
                <w:color w:val="131727" w:themeColor="text1"/>
                <w:w w:val="110"/>
                <w:sz w:val="17"/>
              </w:rPr>
              <w:t>Number</w:t>
            </w:r>
            <w:r w:rsidRPr="00FD40B8">
              <w:rPr>
                <w:color w:val="131727" w:themeColor="text1"/>
                <w:spacing w:val="-3"/>
                <w:w w:val="110"/>
                <w:sz w:val="17"/>
              </w:rPr>
              <w:t xml:space="preserve"> </w:t>
            </w:r>
            <w:r w:rsidRPr="00FD40B8">
              <w:rPr>
                <w:color w:val="131727" w:themeColor="text1"/>
                <w:w w:val="110"/>
                <w:sz w:val="17"/>
              </w:rPr>
              <w:t>of</w:t>
            </w:r>
            <w:r w:rsidRPr="00FD40B8">
              <w:rPr>
                <w:color w:val="131727" w:themeColor="text1"/>
                <w:spacing w:val="-2"/>
                <w:w w:val="110"/>
                <w:sz w:val="17"/>
              </w:rPr>
              <w:t xml:space="preserve"> bedrooms</w:t>
            </w:r>
          </w:p>
        </w:tc>
        <w:tc>
          <w:tcPr>
            <w:tcW w:w="1071" w:type="dxa"/>
            <w:shd w:val="clear" w:color="auto" w:fill="EEF1F4"/>
          </w:tcPr>
          <w:p w14:paraId="14E8A755" w14:textId="77777777" w:rsidR="00811887" w:rsidRPr="00FD40B8" w:rsidRDefault="00811887" w:rsidP="00486E22">
            <w:pPr>
              <w:pStyle w:val="TableParagraph"/>
              <w:spacing w:before="23"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3C681476" w14:textId="77777777" w:rsidR="00811887" w:rsidRPr="00FD40B8" w:rsidRDefault="00811887" w:rsidP="00486E22">
            <w:pPr>
              <w:pStyle w:val="TableParagraph"/>
              <w:spacing w:before="23"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7FE5CFA0" w14:textId="77777777" w:rsidR="00811887" w:rsidRPr="00FD40B8" w:rsidRDefault="00811887" w:rsidP="00486E22">
            <w:pPr>
              <w:pStyle w:val="TableParagraph"/>
              <w:spacing w:before="23"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2E5B2862" w14:textId="77777777" w:rsidR="00811887" w:rsidRPr="00FD40B8" w:rsidRDefault="00811887" w:rsidP="00486E22">
            <w:pPr>
              <w:pStyle w:val="TableParagraph"/>
              <w:spacing w:before="23" w:line="202" w:lineRule="exact"/>
              <w:ind w:left="103"/>
              <w:rPr>
                <w:color w:val="131727" w:themeColor="text1"/>
                <w:sz w:val="17"/>
              </w:rPr>
            </w:pPr>
            <w:r w:rsidRPr="00FD40B8">
              <w:rPr>
                <w:color w:val="131727" w:themeColor="text1"/>
                <w:spacing w:val="-10"/>
                <w:w w:val="105"/>
                <w:sz w:val="17"/>
              </w:rPr>
              <w:t>Y</w:t>
            </w:r>
          </w:p>
        </w:tc>
      </w:tr>
      <w:tr w:rsidR="00811887" w:rsidRPr="00FD40B8" w14:paraId="0971FC88" w14:textId="77777777" w:rsidTr="00486E22">
        <w:trPr>
          <w:trHeight w:val="239"/>
        </w:trPr>
        <w:tc>
          <w:tcPr>
            <w:tcW w:w="7721" w:type="dxa"/>
          </w:tcPr>
          <w:p w14:paraId="1369BAEB"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Canadian</w:t>
            </w:r>
            <w:r w:rsidRPr="00FD40B8">
              <w:rPr>
                <w:color w:val="131727" w:themeColor="text1"/>
                <w:spacing w:val="34"/>
                <w:w w:val="105"/>
                <w:sz w:val="17"/>
              </w:rPr>
              <w:t xml:space="preserve"> </w:t>
            </w:r>
            <w:r w:rsidRPr="00FD40B8">
              <w:rPr>
                <w:color w:val="131727" w:themeColor="text1"/>
                <w:w w:val="105"/>
                <w:sz w:val="17"/>
              </w:rPr>
              <w:t>National</w:t>
            </w:r>
            <w:r w:rsidRPr="00FD40B8">
              <w:rPr>
                <w:color w:val="131727" w:themeColor="text1"/>
                <w:spacing w:val="33"/>
                <w:w w:val="105"/>
                <w:sz w:val="17"/>
              </w:rPr>
              <w:t xml:space="preserve"> </w:t>
            </w:r>
            <w:r w:rsidRPr="00FD40B8">
              <w:rPr>
                <w:color w:val="131727" w:themeColor="text1"/>
                <w:w w:val="105"/>
                <w:sz w:val="17"/>
              </w:rPr>
              <w:t>Occupancy</w:t>
            </w:r>
            <w:r w:rsidRPr="00FD40B8">
              <w:rPr>
                <w:color w:val="131727" w:themeColor="text1"/>
                <w:spacing w:val="32"/>
                <w:w w:val="105"/>
                <w:sz w:val="17"/>
              </w:rPr>
              <w:t xml:space="preserve"> </w:t>
            </w:r>
            <w:r w:rsidRPr="00FD40B8">
              <w:rPr>
                <w:color w:val="131727" w:themeColor="text1"/>
                <w:w w:val="105"/>
                <w:sz w:val="17"/>
              </w:rPr>
              <w:t>Standard/</w:t>
            </w:r>
            <w:r w:rsidRPr="00FD40B8">
              <w:rPr>
                <w:color w:val="131727" w:themeColor="text1"/>
                <w:spacing w:val="33"/>
                <w:w w:val="105"/>
                <w:sz w:val="17"/>
              </w:rPr>
              <w:t xml:space="preserve"> </w:t>
            </w:r>
            <w:r w:rsidRPr="00FD40B8">
              <w:rPr>
                <w:color w:val="131727" w:themeColor="text1"/>
                <w:w w:val="105"/>
                <w:sz w:val="17"/>
              </w:rPr>
              <w:t>Housing</w:t>
            </w:r>
            <w:r w:rsidRPr="00FD40B8">
              <w:rPr>
                <w:color w:val="131727" w:themeColor="text1"/>
                <w:spacing w:val="29"/>
                <w:w w:val="105"/>
                <w:sz w:val="17"/>
              </w:rPr>
              <w:t xml:space="preserve"> </w:t>
            </w:r>
            <w:r w:rsidRPr="00FD40B8">
              <w:rPr>
                <w:color w:val="131727" w:themeColor="text1"/>
                <w:spacing w:val="-2"/>
                <w:w w:val="105"/>
                <w:sz w:val="17"/>
              </w:rPr>
              <w:t>Suitability</w:t>
            </w:r>
          </w:p>
        </w:tc>
        <w:tc>
          <w:tcPr>
            <w:tcW w:w="1071" w:type="dxa"/>
          </w:tcPr>
          <w:p w14:paraId="5A347ABF"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2A55E62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3C6A3351"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513F6E29"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167978C4" w14:textId="77777777" w:rsidTr="00486E22">
        <w:trPr>
          <w:trHeight w:val="239"/>
        </w:trPr>
        <w:tc>
          <w:tcPr>
            <w:tcW w:w="7721" w:type="dxa"/>
            <w:shd w:val="clear" w:color="auto" w:fill="EEF1F4"/>
          </w:tcPr>
          <w:p w14:paraId="74F19484"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Equivalised</w:t>
            </w:r>
            <w:r w:rsidRPr="00FD40B8">
              <w:rPr>
                <w:color w:val="131727" w:themeColor="text1"/>
                <w:spacing w:val="23"/>
                <w:w w:val="105"/>
                <w:sz w:val="17"/>
              </w:rPr>
              <w:t xml:space="preserve"> </w:t>
            </w:r>
            <w:r w:rsidRPr="00FD40B8">
              <w:rPr>
                <w:color w:val="131727" w:themeColor="text1"/>
                <w:w w:val="105"/>
                <w:sz w:val="17"/>
              </w:rPr>
              <w:t>total</w:t>
            </w:r>
            <w:r w:rsidRPr="00FD40B8">
              <w:rPr>
                <w:color w:val="131727" w:themeColor="text1"/>
                <w:spacing w:val="24"/>
                <w:w w:val="105"/>
                <w:sz w:val="17"/>
              </w:rPr>
              <w:t xml:space="preserve"> </w:t>
            </w:r>
            <w:r w:rsidRPr="00FD40B8">
              <w:rPr>
                <w:color w:val="131727" w:themeColor="text1"/>
                <w:w w:val="105"/>
                <w:sz w:val="17"/>
              </w:rPr>
              <w:t>household</w:t>
            </w:r>
            <w:r w:rsidRPr="00FD40B8">
              <w:rPr>
                <w:color w:val="131727" w:themeColor="text1"/>
                <w:spacing w:val="25"/>
                <w:w w:val="105"/>
                <w:sz w:val="17"/>
              </w:rPr>
              <w:t xml:space="preserve"> </w:t>
            </w:r>
            <w:r w:rsidRPr="00FD40B8">
              <w:rPr>
                <w:color w:val="131727" w:themeColor="text1"/>
                <w:w w:val="105"/>
                <w:sz w:val="17"/>
              </w:rPr>
              <w:t>income</w:t>
            </w:r>
            <w:r w:rsidRPr="00FD40B8">
              <w:rPr>
                <w:color w:val="131727" w:themeColor="text1"/>
                <w:spacing w:val="22"/>
                <w:w w:val="105"/>
                <w:sz w:val="17"/>
              </w:rPr>
              <w:t xml:space="preserve"> </w:t>
            </w:r>
            <w:r w:rsidRPr="00FD40B8">
              <w:rPr>
                <w:color w:val="131727" w:themeColor="text1"/>
                <w:spacing w:val="-2"/>
                <w:w w:val="105"/>
                <w:sz w:val="17"/>
              </w:rPr>
              <w:t>(weekly)</w:t>
            </w:r>
          </w:p>
        </w:tc>
        <w:tc>
          <w:tcPr>
            <w:tcW w:w="1071" w:type="dxa"/>
            <w:shd w:val="clear" w:color="auto" w:fill="EEF1F4"/>
          </w:tcPr>
          <w:p w14:paraId="72DB851C"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6A8E786F"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76AF1E8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37320F15"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05D7C2F1" w14:textId="77777777" w:rsidTr="00486E22">
        <w:trPr>
          <w:trHeight w:val="239"/>
        </w:trPr>
        <w:tc>
          <w:tcPr>
            <w:tcW w:w="7721" w:type="dxa"/>
          </w:tcPr>
          <w:p w14:paraId="4D1AAC67"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Rent</w:t>
            </w:r>
            <w:r w:rsidRPr="00FD40B8">
              <w:rPr>
                <w:color w:val="131727" w:themeColor="text1"/>
                <w:spacing w:val="10"/>
                <w:w w:val="105"/>
                <w:sz w:val="17"/>
              </w:rPr>
              <w:t xml:space="preserve"> </w:t>
            </w:r>
            <w:r w:rsidRPr="00FD40B8">
              <w:rPr>
                <w:color w:val="131727" w:themeColor="text1"/>
                <w:spacing w:val="-2"/>
                <w:w w:val="105"/>
                <w:sz w:val="17"/>
              </w:rPr>
              <w:t>(weekly)</w:t>
            </w:r>
          </w:p>
        </w:tc>
        <w:tc>
          <w:tcPr>
            <w:tcW w:w="1071" w:type="dxa"/>
          </w:tcPr>
          <w:p w14:paraId="1354C3E9"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35EC88FA"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tcPr>
          <w:p w14:paraId="4E4FB5A9"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62F9023D"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4D3996CC" w14:textId="77777777" w:rsidTr="00486E22">
        <w:trPr>
          <w:trHeight w:val="239"/>
        </w:trPr>
        <w:tc>
          <w:tcPr>
            <w:tcW w:w="7721" w:type="dxa"/>
            <w:shd w:val="clear" w:color="auto" w:fill="EEF1F4"/>
          </w:tcPr>
          <w:p w14:paraId="415E56CA"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Mortgage</w:t>
            </w:r>
            <w:r w:rsidRPr="00FD40B8">
              <w:rPr>
                <w:color w:val="131727" w:themeColor="text1"/>
                <w:spacing w:val="25"/>
                <w:w w:val="105"/>
                <w:sz w:val="17"/>
              </w:rPr>
              <w:t xml:space="preserve"> </w:t>
            </w:r>
            <w:r w:rsidRPr="00FD40B8">
              <w:rPr>
                <w:color w:val="131727" w:themeColor="text1"/>
                <w:w w:val="105"/>
                <w:sz w:val="17"/>
              </w:rPr>
              <w:t>Repayments</w:t>
            </w:r>
            <w:r w:rsidRPr="00FD40B8">
              <w:rPr>
                <w:color w:val="131727" w:themeColor="text1"/>
                <w:spacing w:val="23"/>
                <w:w w:val="105"/>
                <w:sz w:val="17"/>
              </w:rPr>
              <w:t xml:space="preserve"> </w:t>
            </w:r>
            <w:r w:rsidRPr="00FD40B8">
              <w:rPr>
                <w:color w:val="131727" w:themeColor="text1"/>
                <w:spacing w:val="-2"/>
                <w:w w:val="105"/>
                <w:sz w:val="17"/>
              </w:rPr>
              <w:t>(monthly)</w:t>
            </w:r>
          </w:p>
        </w:tc>
        <w:tc>
          <w:tcPr>
            <w:tcW w:w="1071" w:type="dxa"/>
            <w:shd w:val="clear" w:color="auto" w:fill="EEF1F4"/>
          </w:tcPr>
          <w:p w14:paraId="5B3468E9"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04A99135"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shd w:val="clear" w:color="auto" w:fill="EEF1F4"/>
          </w:tcPr>
          <w:p w14:paraId="78345A91"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0B837559"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75BFBF0B" w14:textId="77777777" w:rsidTr="00486E22">
        <w:trPr>
          <w:trHeight w:val="240"/>
        </w:trPr>
        <w:tc>
          <w:tcPr>
            <w:tcW w:w="7721" w:type="dxa"/>
          </w:tcPr>
          <w:p w14:paraId="355AE42E"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Household</w:t>
            </w:r>
            <w:r w:rsidRPr="00FD40B8">
              <w:rPr>
                <w:color w:val="131727" w:themeColor="text1"/>
                <w:spacing w:val="13"/>
                <w:w w:val="105"/>
                <w:sz w:val="17"/>
              </w:rPr>
              <w:t xml:space="preserve"> </w:t>
            </w:r>
            <w:r w:rsidRPr="00FD40B8">
              <w:rPr>
                <w:color w:val="131727" w:themeColor="text1"/>
                <w:w w:val="105"/>
                <w:sz w:val="17"/>
              </w:rPr>
              <w:t>facilities</w:t>
            </w:r>
            <w:r w:rsidRPr="00FD40B8">
              <w:rPr>
                <w:color w:val="131727" w:themeColor="text1"/>
                <w:spacing w:val="11"/>
                <w:w w:val="105"/>
                <w:sz w:val="17"/>
              </w:rPr>
              <w:t xml:space="preserve"> </w:t>
            </w:r>
            <w:r w:rsidRPr="00FD40B8">
              <w:rPr>
                <w:color w:val="131727" w:themeColor="text1"/>
                <w:w w:val="105"/>
                <w:sz w:val="17"/>
              </w:rPr>
              <w:t>that</w:t>
            </w:r>
            <w:r w:rsidRPr="00FD40B8">
              <w:rPr>
                <w:color w:val="131727" w:themeColor="text1"/>
                <w:spacing w:val="14"/>
                <w:w w:val="105"/>
                <w:sz w:val="17"/>
              </w:rPr>
              <w:t xml:space="preserve"> </w:t>
            </w:r>
            <w:r w:rsidRPr="00FD40B8">
              <w:rPr>
                <w:color w:val="131727" w:themeColor="text1"/>
                <w:w w:val="105"/>
                <w:sz w:val="17"/>
              </w:rPr>
              <w:t>are</w:t>
            </w:r>
            <w:r w:rsidRPr="00FD40B8">
              <w:rPr>
                <w:color w:val="131727" w:themeColor="text1"/>
                <w:spacing w:val="11"/>
                <w:w w:val="105"/>
                <w:sz w:val="17"/>
              </w:rPr>
              <w:t xml:space="preserve"> </w:t>
            </w:r>
            <w:r w:rsidRPr="00FD40B8">
              <w:rPr>
                <w:color w:val="131727" w:themeColor="text1"/>
                <w:w w:val="105"/>
                <w:sz w:val="17"/>
              </w:rPr>
              <w:t>not</w:t>
            </w:r>
            <w:r w:rsidRPr="00FD40B8">
              <w:rPr>
                <w:color w:val="131727" w:themeColor="text1"/>
                <w:spacing w:val="14"/>
                <w:w w:val="105"/>
                <w:sz w:val="17"/>
              </w:rPr>
              <w:t xml:space="preserve"> </w:t>
            </w:r>
            <w:r w:rsidRPr="00FD40B8">
              <w:rPr>
                <w:color w:val="131727" w:themeColor="text1"/>
                <w:w w:val="105"/>
                <w:sz w:val="17"/>
              </w:rPr>
              <w:t>available</w:t>
            </w:r>
            <w:r w:rsidRPr="00FD40B8">
              <w:rPr>
                <w:color w:val="131727" w:themeColor="text1"/>
                <w:spacing w:val="11"/>
                <w:w w:val="105"/>
                <w:sz w:val="17"/>
              </w:rPr>
              <w:t xml:space="preserve"> </w:t>
            </w:r>
            <w:r w:rsidRPr="00FD40B8">
              <w:rPr>
                <w:color w:val="131727" w:themeColor="text1"/>
                <w:w w:val="105"/>
                <w:sz w:val="17"/>
              </w:rPr>
              <w:t>or</w:t>
            </w:r>
            <w:r w:rsidRPr="00FD40B8">
              <w:rPr>
                <w:color w:val="131727" w:themeColor="text1"/>
                <w:spacing w:val="14"/>
                <w:w w:val="105"/>
                <w:sz w:val="17"/>
              </w:rPr>
              <w:t xml:space="preserve"> </w:t>
            </w:r>
            <w:r w:rsidRPr="00FD40B8">
              <w:rPr>
                <w:color w:val="131727" w:themeColor="text1"/>
                <w:w w:val="105"/>
                <w:sz w:val="17"/>
              </w:rPr>
              <w:t>that</w:t>
            </w:r>
            <w:r w:rsidRPr="00FD40B8">
              <w:rPr>
                <w:color w:val="131727" w:themeColor="text1"/>
                <w:spacing w:val="14"/>
                <w:w w:val="105"/>
                <w:sz w:val="17"/>
              </w:rPr>
              <w:t xml:space="preserve"> </w:t>
            </w:r>
            <w:r w:rsidRPr="00FD40B8">
              <w:rPr>
                <w:color w:val="131727" w:themeColor="text1"/>
                <w:w w:val="105"/>
                <w:sz w:val="17"/>
              </w:rPr>
              <w:t>do</w:t>
            </w:r>
            <w:r w:rsidRPr="00FD40B8">
              <w:rPr>
                <w:color w:val="131727" w:themeColor="text1"/>
                <w:spacing w:val="15"/>
                <w:w w:val="105"/>
                <w:sz w:val="17"/>
              </w:rPr>
              <w:t xml:space="preserve"> </w:t>
            </w:r>
            <w:r w:rsidRPr="00FD40B8">
              <w:rPr>
                <w:color w:val="131727" w:themeColor="text1"/>
                <w:w w:val="105"/>
                <w:sz w:val="17"/>
              </w:rPr>
              <w:t>not</w:t>
            </w:r>
            <w:r w:rsidRPr="00FD40B8">
              <w:rPr>
                <w:color w:val="131727" w:themeColor="text1"/>
                <w:spacing w:val="14"/>
                <w:w w:val="105"/>
                <w:sz w:val="17"/>
              </w:rPr>
              <w:t xml:space="preserve"> </w:t>
            </w:r>
            <w:r w:rsidRPr="00FD40B8">
              <w:rPr>
                <w:color w:val="131727" w:themeColor="text1"/>
                <w:spacing w:val="-4"/>
                <w:w w:val="105"/>
                <w:sz w:val="17"/>
              </w:rPr>
              <w:t>work</w:t>
            </w:r>
          </w:p>
        </w:tc>
        <w:tc>
          <w:tcPr>
            <w:tcW w:w="1071" w:type="dxa"/>
          </w:tcPr>
          <w:p w14:paraId="7AF08AE7"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tcPr>
          <w:p w14:paraId="790DCA15"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210E85BC"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452D4BBF"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265E4B56" w14:textId="77777777" w:rsidTr="00486E22">
        <w:trPr>
          <w:trHeight w:val="239"/>
        </w:trPr>
        <w:tc>
          <w:tcPr>
            <w:tcW w:w="7721" w:type="dxa"/>
            <w:shd w:val="clear" w:color="auto" w:fill="EEF1F4"/>
          </w:tcPr>
          <w:p w14:paraId="5810EEF9"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Types</w:t>
            </w:r>
            <w:r w:rsidRPr="00FD40B8">
              <w:rPr>
                <w:color w:val="131727" w:themeColor="text1"/>
                <w:spacing w:val="-5"/>
                <w:w w:val="110"/>
                <w:sz w:val="17"/>
              </w:rPr>
              <w:t xml:space="preserve"> </w:t>
            </w:r>
            <w:r w:rsidRPr="00FD40B8">
              <w:rPr>
                <w:color w:val="131727" w:themeColor="text1"/>
                <w:w w:val="110"/>
                <w:sz w:val="17"/>
              </w:rPr>
              <w:t>of repairs</w:t>
            </w:r>
            <w:r w:rsidRPr="00FD40B8">
              <w:rPr>
                <w:color w:val="131727" w:themeColor="text1"/>
                <w:spacing w:val="-5"/>
                <w:w w:val="110"/>
                <w:sz w:val="17"/>
              </w:rPr>
              <w:t xml:space="preserve"> </w:t>
            </w:r>
            <w:r w:rsidRPr="00FD40B8">
              <w:rPr>
                <w:color w:val="131727" w:themeColor="text1"/>
                <w:w w:val="110"/>
                <w:sz w:val="17"/>
              </w:rPr>
              <w:t>or</w:t>
            </w:r>
            <w:r w:rsidRPr="00FD40B8">
              <w:rPr>
                <w:color w:val="131727" w:themeColor="text1"/>
                <w:spacing w:val="-1"/>
                <w:w w:val="110"/>
                <w:sz w:val="17"/>
              </w:rPr>
              <w:t xml:space="preserve"> </w:t>
            </w:r>
            <w:r w:rsidRPr="00FD40B8">
              <w:rPr>
                <w:color w:val="131727" w:themeColor="text1"/>
                <w:w w:val="110"/>
                <w:sz w:val="17"/>
              </w:rPr>
              <w:t>maintenance</w:t>
            </w:r>
            <w:r w:rsidRPr="00FD40B8">
              <w:rPr>
                <w:color w:val="131727" w:themeColor="text1"/>
                <w:spacing w:val="-4"/>
                <w:w w:val="110"/>
                <w:sz w:val="17"/>
              </w:rPr>
              <w:t xml:space="preserve"> </w:t>
            </w:r>
            <w:r w:rsidRPr="00FD40B8">
              <w:rPr>
                <w:color w:val="131727" w:themeColor="text1"/>
                <w:w w:val="110"/>
                <w:sz w:val="17"/>
              </w:rPr>
              <w:t>carried</w:t>
            </w:r>
            <w:r w:rsidRPr="00FD40B8">
              <w:rPr>
                <w:color w:val="131727" w:themeColor="text1"/>
                <w:spacing w:val="-2"/>
                <w:w w:val="110"/>
                <w:sz w:val="17"/>
              </w:rPr>
              <w:t xml:space="preserve"> </w:t>
            </w:r>
            <w:r w:rsidRPr="00FD40B8">
              <w:rPr>
                <w:color w:val="131727" w:themeColor="text1"/>
                <w:w w:val="110"/>
                <w:sz w:val="17"/>
              </w:rPr>
              <w:t>out</w:t>
            </w:r>
            <w:r w:rsidRPr="00FD40B8">
              <w:rPr>
                <w:color w:val="131727" w:themeColor="text1"/>
                <w:spacing w:val="-1"/>
                <w:w w:val="110"/>
                <w:sz w:val="17"/>
              </w:rPr>
              <w:t xml:space="preserve"> </w:t>
            </w:r>
            <w:r w:rsidRPr="00FD40B8">
              <w:rPr>
                <w:color w:val="131727" w:themeColor="text1"/>
                <w:w w:val="110"/>
                <w:sz w:val="17"/>
              </w:rPr>
              <w:t>in</w:t>
            </w:r>
            <w:r w:rsidRPr="00FD40B8">
              <w:rPr>
                <w:color w:val="131727" w:themeColor="text1"/>
                <w:spacing w:val="-2"/>
                <w:w w:val="110"/>
                <w:sz w:val="17"/>
              </w:rPr>
              <w:t xml:space="preserve"> </w:t>
            </w:r>
            <w:r w:rsidRPr="00FD40B8">
              <w:rPr>
                <w:color w:val="131727" w:themeColor="text1"/>
                <w:w w:val="110"/>
                <w:sz w:val="17"/>
              </w:rPr>
              <w:t>last</w:t>
            </w:r>
            <w:r w:rsidRPr="00FD40B8">
              <w:rPr>
                <w:color w:val="131727" w:themeColor="text1"/>
                <w:spacing w:val="-2"/>
                <w:w w:val="110"/>
                <w:sz w:val="17"/>
              </w:rPr>
              <w:t xml:space="preserve"> </w:t>
            </w:r>
            <w:r w:rsidRPr="00FD40B8">
              <w:rPr>
                <w:color w:val="131727" w:themeColor="text1"/>
                <w:w w:val="110"/>
                <w:sz w:val="17"/>
              </w:rPr>
              <w:t>12</w:t>
            </w:r>
            <w:r w:rsidRPr="00FD40B8">
              <w:rPr>
                <w:color w:val="131727" w:themeColor="text1"/>
                <w:spacing w:val="2"/>
                <w:w w:val="110"/>
                <w:sz w:val="17"/>
              </w:rPr>
              <w:t xml:space="preserve"> </w:t>
            </w:r>
            <w:r w:rsidRPr="00FD40B8">
              <w:rPr>
                <w:color w:val="131727" w:themeColor="text1"/>
                <w:spacing w:val="-2"/>
                <w:w w:val="110"/>
                <w:sz w:val="17"/>
              </w:rPr>
              <w:t>months</w:t>
            </w:r>
          </w:p>
        </w:tc>
        <w:tc>
          <w:tcPr>
            <w:tcW w:w="1071" w:type="dxa"/>
            <w:shd w:val="clear" w:color="auto" w:fill="EEF1F4"/>
          </w:tcPr>
          <w:p w14:paraId="1CACA88A"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shd w:val="clear" w:color="auto" w:fill="EEF1F4"/>
          </w:tcPr>
          <w:p w14:paraId="26CA870F"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42AC0485"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5C363363"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31564077" w14:textId="77777777" w:rsidTr="00486E22">
        <w:trPr>
          <w:trHeight w:val="239"/>
        </w:trPr>
        <w:tc>
          <w:tcPr>
            <w:tcW w:w="7721" w:type="dxa"/>
          </w:tcPr>
          <w:p w14:paraId="0A7CEB13"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Types</w:t>
            </w:r>
            <w:r w:rsidRPr="00FD40B8">
              <w:rPr>
                <w:color w:val="131727" w:themeColor="text1"/>
                <w:spacing w:val="14"/>
                <w:w w:val="105"/>
                <w:sz w:val="17"/>
              </w:rPr>
              <w:t xml:space="preserve"> </w:t>
            </w:r>
            <w:r w:rsidRPr="00FD40B8">
              <w:rPr>
                <w:color w:val="131727" w:themeColor="text1"/>
                <w:w w:val="105"/>
                <w:sz w:val="17"/>
              </w:rPr>
              <w:t>of</w:t>
            </w:r>
            <w:r w:rsidRPr="00FD40B8">
              <w:rPr>
                <w:color w:val="131727" w:themeColor="text1"/>
                <w:spacing w:val="19"/>
                <w:w w:val="105"/>
                <w:sz w:val="17"/>
              </w:rPr>
              <w:t xml:space="preserve"> </w:t>
            </w:r>
            <w:r w:rsidRPr="00FD40B8">
              <w:rPr>
                <w:color w:val="131727" w:themeColor="text1"/>
                <w:w w:val="105"/>
                <w:sz w:val="17"/>
              </w:rPr>
              <w:t>major</w:t>
            </w:r>
            <w:r w:rsidRPr="00FD40B8">
              <w:rPr>
                <w:color w:val="131727" w:themeColor="text1"/>
                <w:spacing w:val="18"/>
                <w:w w:val="105"/>
                <w:sz w:val="17"/>
              </w:rPr>
              <w:t xml:space="preserve"> </w:t>
            </w:r>
            <w:r w:rsidRPr="00FD40B8">
              <w:rPr>
                <w:color w:val="131727" w:themeColor="text1"/>
                <w:w w:val="105"/>
                <w:sz w:val="17"/>
              </w:rPr>
              <w:t>structural</w:t>
            </w:r>
            <w:r w:rsidRPr="00FD40B8">
              <w:rPr>
                <w:color w:val="131727" w:themeColor="text1"/>
                <w:spacing w:val="17"/>
                <w:w w:val="105"/>
                <w:sz w:val="17"/>
              </w:rPr>
              <w:t xml:space="preserve"> </w:t>
            </w:r>
            <w:r w:rsidRPr="00FD40B8">
              <w:rPr>
                <w:color w:val="131727" w:themeColor="text1"/>
                <w:spacing w:val="-2"/>
                <w:w w:val="105"/>
                <w:sz w:val="17"/>
              </w:rPr>
              <w:t>problems</w:t>
            </w:r>
          </w:p>
        </w:tc>
        <w:tc>
          <w:tcPr>
            <w:tcW w:w="1071" w:type="dxa"/>
          </w:tcPr>
          <w:p w14:paraId="755300A8"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tcPr>
          <w:p w14:paraId="0C4D152F"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04327223"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1E5155D3"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775B71F5" w14:textId="77777777" w:rsidTr="00486E22">
        <w:trPr>
          <w:trHeight w:val="239"/>
        </w:trPr>
        <w:tc>
          <w:tcPr>
            <w:tcW w:w="7721" w:type="dxa"/>
            <w:shd w:val="clear" w:color="auto" w:fill="EEF1F4"/>
          </w:tcPr>
          <w:p w14:paraId="54F3F3A4"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Number</w:t>
            </w:r>
            <w:r w:rsidRPr="00FD40B8">
              <w:rPr>
                <w:color w:val="131727" w:themeColor="text1"/>
                <w:spacing w:val="20"/>
                <w:w w:val="105"/>
                <w:sz w:val="17"/>
              </w:rPr>
              <w:t xml:space="preserve"> </w:t>
            </w:r>
            <w:r w:rsidRPr="00FD40B8">
              <w:rPr>
                <w:color w:val="131727" w:themeColor="text1"/>
                <w:w w:val="105"/>
                <w:sz w:val="17"/>
              </w:rPr>
              <w:t>of</w:t>
            </w:r>
            <w:r w:rsidRPr="00FD40B8">
              <w:rPr>
                <w:color w:val="131727" w:themeColor="text1"/>
                <w:spacing w:val="22"/>
                <w:w w:val="105"/>
                <w:sz w:val="17"/>
              </w:rPr>
              <w:t xml:space="preserve"> </w:t>
            </w:r>
            <w:r w:rsidRPr="00FD40B8">
              <w:rPr>
                <w:color w:val="131727" w:themeColor="text1"/>
                <w:w w:val="105"/>
                <w:sz w:val="17"/>
              </w:rPr>
              <w:t>major</w:t>
            </w:r>
            <w:r w:rsidRPr="00FD40B8">
              <w:rPr>
                <w:color w:val="131727" w:themeColor="text1"/>
                <w:spacing w:val="21"/>
                <w:w w:val="105"/>
                <w:sz w:val="17"/>
              </w:rPr>
              <w:t xml:space="preserve"> </w:t>
            </w:r>
            <w:r w:rsidRPr="00FD40B8">
              <w:rPr>
                <w:color w:val="131727" w:themeColor="text1"/>
                <w:w w:val="105"/>
                <w:sz w:val="17"/>
              </w:rPr>
              <w:t>structural</w:t>
            </w:r>
            <w:r w:rsidRPr="00FD40B8">
              <w:rPr>
                <w:color w:val="131727" w:themeColor="text1"/>
                <w:spacing w:val="19"/>
                <w:w w:val="105"/>
                <w:sz w:val="17"/>
              </w:rPr>
              <w:t xml:space="preserve"> </w:t>
            </w:r>
            <w:r w:rsidRPr="00FD40B8">
              <w:rPr>
                <w:color w:val="131727" w:themeColor="text1"/>
                <w:spacing w:val="-2"/>
                <w:w w:val="105"/>
                <w:sz w:val="17"/>
              </w:rPr>
              <w:t>problems</w:t>
            </w:r>
          </w:p>
        </w:tc>
        <w:tc>
          <w:tcPr>
            <w:tcW w:w="1071" w:type="dxa"/>
            <w:shd w:val="clear" w:color="auto" w:fill="EEF1F4"/>
          </w:tcPr>
          <w:p w14:paraId="2DD6AF53"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shd w:val="clear" w:color="auto" w:fill="EEF1F4"/>
          </w:tcPr>
          <w:p w14:paraId="2010C757"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3EBC1352"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503E0BE7"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371AE60B" w14:textId="77777777" w:rsidTr="00486E22">
        <w:trPr>
          <w:trHeight w:val="239"/>
        </w:trPr>
        <w:tc>
          <w:tcPr>
            <w:tcW w:w="7721" w:type="dxa"/>
          </w:tcPr>
          <w:p w14:paraId="0A2FCA6E"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Whether</w:t>
            </w:r>
            <w:r w:rsidRPr="00FD40B8">
              <w:rPr>
                <w:color w:val="131727" w:themeColor="text1"/>
                <w:spacing w:val="-5"/>
                <w:w w:val="110"/>
                <w:sz w:val="17"/>
              </w:rPr>
              <w:t xml:space="preserve"> </w:t>
            </w:r>
            <w:r w:rsidRPr="00FD40B8">
              <w:rPr>
                <w:color w:val="131727" w:themeColor="text1"/>
                <w:w w:val="110"/>
                <w:sz w:val="17"/>
              </w:rPr>
              <w:t>household</w:t>
            </w:r>
            <w:r w:rsidRPr="00FD40B8">
              <w:rPr>
                <w:color w:val="131727" w:themeColor="text1"/>
                <w:spacing w:val="-5"/>
                <w:w w:val="110"/>
                <w:sz w:val="17"/>
              </w:rPr>
              <w:t xml:space="preserve"> </w:t>
            </w:r>
            <w:r w:rsidRPr="00FD40B8">
              <w:rPr>
                <w:color w:val="131727" w:themeColor="text1"/>
                <w:w w:val="110"/>
                <w:sz w:val="17"/>
              </w:rPr>
              <w:t>living</w:t>
            </w:r>
            <w:r w:rsidRPr="00FD40B8">
              <w:rPr>
                <w:color w:val="131727" w:themeColor="text1"/>
                <w:spacing w:val="-8"/>
                <w:w w:val="110"/>
                <w:sz w:val="17"/>
              </w:rPr>
              <w:t xml:space="preserve"> </w:t>
            </w:r>
            <w:r w:rsidRPr="00FD40B8">
              <w:rPr>
                <w:color w:val="131727" w:themeColor="text1"/>
                <w:w w:val="110"/>
                <w:sz w:val="17"/>
              </w:rPr>
              <w:t>in</w:t>
            </w:r>
            <w:r w:rsidRPr="00FD40B8">
              <w:rPr>
                <w:color w:val="131727" w:themeColor="text1"/>
                <w:spacing w:val="-4"/>
                <w:w w:val="110"/>
                <w:sz w:val="17"/>
              </w:rPr>
              <w:t xml:space="preserve"> </w:t>
            </w:r>
            <w:r w:rsidRPr="00FD40B8">
              <w:rPr>
                <w:color w:val="131727" w:themeColor="text1"/>
                <w:w w:val="110"/>
                <w:sz w:val="17"/>
              </w:rPr>
              <w:t>house</w:t>
            </w:r>
            <w:r w:rsidRPr="00FD40B8">
              <w:rPr>
                <w:color w:val="131727" w:themeColor="text1"/>
                <w:spacing w:val="-7"/>
                <w:w w:val="110"/>
                <w:sz w:val="17"/>
              </w:rPr>
              <w:t xml:space="preserve"> </w:t>
            </w:r>
            <w:r w:rsidRPr="00FD40B8">
              <w:rPr>
                <w:color w:val="131727" w:themeColor="text1"/>
                <w:w w:val="110"/>
                <w:sz w:val="17"/>
              </w:rPr>
              <w:t>of</w:t>
            </w:r>
            <w:r w:rsidRPr="00FD40B8">
              <w:rPr>
                <w:color w:val="131727" w:themeColor="text1"/>
                <w:spacing w:val="-4"/>
                <w:w w:val="110"/>
                <w:sz w:val="17"/>
              </w:rPr>
              <w:t xml:space="preserve"> </w:t>
            </w:r>
            <w:r w:rsidRPr="00FD40B8">
              <w:rPr>
                <w:color w:val="131727" w:themeColor="text1"/>
                <w:w w:val="110"/>
                <w:sz w:val="17"/>
              </w:rPr>
              <w:t>an</w:t>
            </w:r>
            <w:r w:rsidRPr="00FD40B8">
              <w:rPr>
                <w:color w:val="131727" w:themeColor="text1"/>
                <w:spacing w:val="-5"/>
                <w:w w:val="110"/>
                <w:sz w:val="17"/>
              </w:rPr>
              <w:t xml:space="preserve"> </w:t>
            </w:r>
            <w:r w:rsidRPr="00FD40B8">
              <w:rPr>
                <w:color w:val="131727" w:themeColor="text1"/>
                <w:w w:val="110"/>
                <w:sz w:val="17"/>
              </w:rPr>
              <w:t>acceptable</w:t>
            </w:r>
            <w:r w:rsidRPr="00FD40B8">
              <w:rPr>
                <w:color w:val="131727" w:themeColor="text1"/>
                <w:spacing w:val="-6"/>
                <w:w w:val="110"/>
                <w:sz w:val="17"/>
              </w:rPr>
              <w:t xml:space="preserve"> </w:t>
            </w:r>
            <w:r w:rsidRPr="00FD40B8">
              <w:rPr>
                <w:color w:val="131727" w:themeColor="text1"/>
                <w:spacing w:val="-2"/>
                <w:w w:val="110"/>
                <w:sz w:val="17"/>
              </w:rPr>
              <w:t>standard</w:t>
            </w:r>
          </w:p>
        </w:tc>
        <w:tc>
          <w:tcPr>
            <w:tcW w:w="1071" w:type="dxa"/>
          </w:tcPr>
          <w:p w14:paraId="66758C57"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tcPr>
          <w:p w14:paraId="4695D027"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tcPr>
          <w:p w14:paraId="7C5F4D3E"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6F2344FF"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452BE043" w14:textId="77777777" w:rsidTr="00486E22">
        <w:trPr>
          <w:trHeight w:val="240"/>
        </w:trPr>
        <w:tc>
          <w:tcPr>
            <w:tcW w:w="7721" w:type="dxa"/>
          </w:tcPr>
          <w:p w14:paraId="1DF81422"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Satisfaction</w:t>
            </w:r>
            <w:r w:rsidRPr="00FD40B8">
              <w:rPr>
                <w:color w:val="131727" w:themeColor="text1"/>
                <w:spacing w:val="18"/>
                <w:w w:val="105"/>
                <w:sz w:val="17"/>
              </w:rPr>
              <w:t xml:space="preserve"> </w:t>
            </w:r>
            <w:r w:rsidRPr="00FD40B8">
              <w:rPr>
                <w:color w:val="131727" w:themeColor="text1"/>
                <w:w w:val="105"/>
                <w:sz w:val="17"/>
              </w:rPr>
              <w:t>with</w:t>
            </w:r>
            <w:r w:rsidRPr="00FD40B8">
              <w:rPr>
                <w:color w:val="131727" w:themeColor="text1"/>
                <w:spacing w:val="19"/>
                <w:w w:val="105"/>
                <w:sz w:val="17"/>
              </w:rPr>
              <w:t xml:space="preserve"> </w:t>
            </w:r>
            <w:r w:rsidRPr="00FD40B8">
              <w:rPr>
                <w:color w:val="131727" w:themeColor="text1"/>
                <w:w w:val="105"/>
                <w:sz w:val="17"/>
              </w:rPr>
              <w:t>services</w:t>
            </w:r>
            <w:r w:rsidRPr="00FD40B8">
              <w:rPr>
                <w:color w:val="131727" w:themeColor="text1"/>
                <w:spacing w:val="14"/>
                <w:w w:val="105"/>
                <w:sz w:val="17"/>
              </w:rPr>
              <w:t xml:space="preserve"> </w:t>
            </w:r>
            <w:r w:rsidRPr="00FD40B8">
              <w:rPr>
                <w:color w:val="131727" w:themeColor="text1"/>
                <w:w w:val="105"/>
                <w:sz w:val="17"/>
              </w:rPr>
              <w:t>provided</w:t>
            </w:r>
            <w:r w:rsidRPr="00FD40B8">
              <w:rPr>
                <w:color w:val="131727" w:themeColor="text1"/>
                <w:spacing w:val="24"/>
                <w:w w:val="105"/>
                <w:sz w:val="17"/>
              </w:rPr>
              <w:t xml:space="preserve"> </w:t>
            </w:r>
            <w:r w:rsidRPr="00FD40B8">
              <w:rPr>
                <w:color w:val="131727" w:themeColor="text1"/>
                <w:w w:val="105"/>
                <w:sz w:val="17"/>
              </w:rPr>
              <w:t>by</w:t>
            </w:r>
            <w:r w:rsidRPr="00FD40B8">
              <w:rPr>
                <w:color w:val="131727" w:themeColor="text1"/>
                <w:spacing w:val="16"/>
                <w:w w:val="105"/>
                <w:sz w:val="17"/>
              </w:rPr>
              <w:t xml:space="preserve"> </w:t>
            </w:r>
            <w:r w:rsidRPr="00FD40B8">
              <w:rPr>
                <w:color w:val="131727" w:themeColor="text1"/>
                <w:w w:val="105"/>
                <w:sz w:val="17"/>
              </w:rPr>
              <w:t>public</w:t>
            </w:r>
            <w:r w:rsidRPr="00FD40B8">
              <w:rPr>
                <w:color w:val="131727" w:themeColor="text1"/>
                <w:spacing w:val="19"/>
                <w:w w:val="105"/>
                <w:sz w:val="17"/>
              </w:rPr>
              <w:t xml:space="preserve"> </w:t>
            </w:r>
            <w:r w:rsidRPr="00FD40B8">
              <w:rPr>
                <w:color w:val="131727" w:themeColor="text1"/>
                <w:w w:val="105"/>
                <w:sz w:val="17"/>
              </w:rPr>
              <w:t>housing</w:t>
            </w:r>
            <w:r w:rsidRPr="00FD40B8">
              <w:rPr>
                <w:color w:val="131727" w:themeColor="text1"/>
                <w:spacing w:val="21"/>
                <w:w w:val="105"/>
                <w:sz w:val="17"/>
              </w:rPr>
              <w:t xml:space="preserve"> </w:t>
            </w:r>
            <w:r w:rsidRPr="00FD40B8">
              <w:rPr>
                <w:color w:val="131727" w:themeColor="text1"/>
                <w:w w:val="105"/>
                <w:sz w:val="17"/>
              </w:rPr>
              <w:t>service</w:t>
            </w:r>
            <w:r w:rsidRPr="00FD40B8">
              <w:rPr>
                <w:color w:val="131727" w:themeColor="text1"/>
                <w:spacing w:val="16"/>
                <w:w w:val="105"/>
                <w:sz w:val="17"/>
              </w:rPr>
              <w:t xml:space="preserve"> </w:t>
            </w:r>
            <w:r w:rsidRPr="00FD40B8">
              <w:rPr>
                <w:color w:val="131727" w:themeColor="text1"/>
                <w:spacing w:val="-2"/>
                <w:w w:val="105"/>
                <w:sz w:val="17"/>
              </w:rPr>
              <w:t>provider</w:t>
            </w:r>
          </w:p>
        </w:tc>
        <w:tc>
          <w:tcPr>
            <w:tcW w:w="1071" w:type="dxa"/>
          </w:tcPr>
          <w:p w14:paraId="5129118D"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tcPr>
          <w:p w14:paraId="2F9326B7"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tcPr>
          <w:p w14:paraId="3B4101D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tcPr>
          <w:p w14:paraId="47EF5F67"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r w:rsidR="00811887" w:rsidRPr="00FD40B8" w14:paraId="17FE0402" w14:textId="77777777" w:rsidTr="00486E22">
        <w:trPr>
          <w:trHeight w:val="239"/>
        </w:trPr>
        <w:tc>
          <w:tcPr>
            <w:tcW w:w="7721" w:type="dxa"/>
            <w:shd w:val="clear" w:color="auto" w:fill="EEF1F4"/>
          </w:tcPr>
          <w:p w14:paraId="3F474F1E"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Dwelling</w:t>
            </w:r>
            <w:r w:rsidRPr="00FD40B8">
              <w:rPr>
                <w:color w:val="131727" w:themeColor="text1"/>
                <w:spacing w:val="7"/>
                <w:w w:val="105"/>
                <w:sz w:val="17"/>
              </w:rPr>
              <w:t xml:space="preserve"> </w:t>
            </w:r>
            <w:r w:rsidRPr="00FD40B8">
              <w:rPr>
                <w:color w:val="131727" w:themeColor="text1"/>
                <w:spacing w:val="-4"/>
                <w:w w:val="105"/>
                <w:sz w:val="17"/>
              </w:rPr>
              <w:t>Type</w:t>
            </w:r>
          </w:p>
        </w:tc>
        <w:tc>
          <w:tcPr>
            <w:tcW w:w="1071" w:type="dxa"/>
            <w:shd w:val="clear" w:color="auto" w:fill="EEF1F4"/>
          </w:tcPr>
          <w:p w14:paraId="2DB31781"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4A996F07"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shd w:val="clear" w:color="auto" w:fill="EEF1F4"/>
          </w:tcPr>
          <w:p w14:paraId="7B453E19"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2780" w:type="dxa"/>
            <w:shd w:val="clear" w:color="auto" w:fill="EEF1F4"/>
          </w:tcPr>
          <w:p w14:paraId="2A6C4E21"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2801D87A" w14:textId="77777777" w:rsidTr="00486E22">
        <w:trPr>
          <w:trHeight w:val="244"/>
        </w:trPr>
        <w:tc>
          <w:tcPr>
            <w:tcW w:w="7721" w:type="dxa"/>
          </w:tcPr>
          <w:p w14:paraId="06EC872A" w14:textId="77777777" w:rsidR="00811887" w:rsidRPr="00FD40B8" w:rsidRDefault="00811887" w:rsidP="00486E22">
            <w:pPr>
              <w:pStyle w:val="TableParagraph"/>
              <w:spacing w:before="23" w:line="202" w:lineRule="exact"/>
              <w:ind w:left="105"/>
              <w:rPr>
                <w:color w:val="131727" w:themeColor="text1"/>
                <w:sz w:val="17"/>
              </w:rPr>
            </w:pPr>
            <w:r w:rsidRPr="00FD40B8">
              <w:rPr>
                <w:color w:val="131727" w:themeColor="text1"/>
                <w:w w:val="105"/>
                <w:sz w:val="17"/>
              </w:rPr>
              <w:t>Type</w:t>
            </w:r>
            <w:r w:rsidRPr="00FD40B8">
              <w:rPr>
                <w:color w:val="131727" w:themeColor="text1"/>
                <w:spacing w:val="15"/>
                <w:w w:val="105"/>
                <w:sz w:val="17"/>
              </w:rPr>
              <w:t xml:space="preserve"> </w:t>
            </w:r>
            <w:r w:rsidRPr="00FD40B8">
              <w:rPr>
                <w:color w:val="131727" w:themeColor="text1"/>
                <w:w w:val="105"/>
                <w:sz w:val="17"/>
              </w:rPr>
              <w:t>of</w:t>
            </w:r>
            <w:r w:rsidRPr="00FD40B8">
              <w:rPr>
                <w:color w:val="131727" w:themeColor="text1"/>
                <w:spacing w:val="14"/>
                <w:w w:val="105"/>
                <w:sz w:val="17"/>
              </w:rPr>
              <w:t xml:space="preserve"> </w:t>
            </w:r>
            <w:r w:rsidRPr="00FD40B8">
              <w:rPr>
                <w:color w:val="131727" w:themeColor="text1"/>
                <w:w w:val="105"/>
                <w:sz w:val="17"/>
              </w:rPr>
              <w:t>non-private</w:t>
            </w:r>
            <w:r w:rsidRPr="00FD40B8">
              <w:rPr>
                <w:color w:val="131727" w:themeColor="text1"/>
                <w:spacing w:val="10"/>
                <w:w w:val="105"/>
                <w:sz w:val="17"/>
              </w:rPr>
              <w:t xml:space="preserve"> </w:t>
            </w:r>
            <w:r w:rsidRPr="00FD40B8">
              <w:rPr>
                <w:color w:val="131727" w:themeColor="text1"/>
                <w:spacing w:val="-2"/>
                <w:w w:val="105"/>
                <w:sz w:val="17"/>
              </w:rPr>
              <w:t>dwelling</w:t>
            </w:r>
          </w:p>
        </w:tc>
        <w:tc>
          <w:tcPr>
            <w:tcW w:w="1071" w:type="dxa"/>
          </w:tcPr>
          <w:p w14:paraId="3B09FFD8" w14:textId="77777777" w:rsidR="00811887" w:rsidRPr="00FD40B8" w:rsidRDefault="00811887" w:rsidP="00486E22">
            <w:pPr>
              <w:pStyle w:val="TableParagraph"/>
              <w:spacing w:before="23" w:line="202" w:lineRule="exact"/>
              <w:ind w:left="105"/>
              <w:rPr>
                <w:color w:val="131727" w:themeColor="text1"/>
                <w:sz w:val="17"/>
              </w:rPr>
            </w:pPr>
            <w:r w:rsidRPr="00FD40B8">
              <w:rPr>
                <w:color w:val="131727" w:themeColor="text1"/>
                <w:spacing w:val="-10"/>
                <w:w w:val="105"/>
                <w:sz w:val="17"/>
              </w:rPr>
              <w:t>Y</w:t>
            </w:r>
          </w:p>
        </w:tc>
        <w:tc>
          <w:tcPr>
            <w:tcW w:w="1201" w:type="dxa"/>
          </w:tcPr>
          <w:p w14:paraId="09A8D40B" w14:textId="77777777" w:rsidR="00811887" w:rsidRPr="00FD40B8" w:rsidRDefault="00811887" w:rsidP="00486E22">
            <w:pPr>
              <w:pStyle w:val="TableParagraph"/>
              <w:spacing w:before="23" w:line="202" w:lineRule="exact"/>
              <w:ind w:left="104"/>
              <w:rPr>
                <w:color w:val="131727" w:themeColor="text1"/>
                <w:sz w:val="17"/>
              </w:rPr>
            </w:pPr>
            <w:r w:rsidRPr="00FD40B8">
              <w:rPr>
                <w:color w:val="131727" w:themeColor="text1"/>
                <w:spacing w:val="-10"/>
                <w:w w:val="110"/>
                <w:sz w:val="17"/>
              </w:rPr>
              <w:t>N</w:t>
            </w:r>
          </w:p>
        </w:tc>
        <w:tc>
          <w:tcPr>
            <w:tcW w:w="1124" w:type="dxa"/>
          </w:tcPr>
          <w:p w14:paraId="2CDB63EB" w14:textId="77777777" w:rsidR="00811887" w:rsidRPr="00FD40B8" w:rsidRDefault="00811887" w:rsidP="00486E22">
            <w:pPr>
              <w:pStyle w:val="TableParagraph"/>
              <w:spacing w:before="23" w:line="202" w:lineRule="exact"/>
              <w:ind w:left="104"/>
              <w:rPr>
                <w:color w:val="131727" w:themeColor="text1"/>
                <w:sz w:val="17"/>
              </w:rPr>
            </w:pPr>
            <w:r w:rsidRPr="00FD40B8">
              <w:rPr>
                <w:color w:val="131727" w:themeColor="text1"/>
                <w:spacing w:val="-10"/>
                <w:w w:val="110"/>
                <w:sz w:val="17"/>
              </w:rPr>
              <w:t>N</w:t>
            </w:r>
          </w:p>
        </w:tc>
        <w:tc>
          <w:tcPr>
            <w:tcW w:w="2780" w:type="dxa"/>
          </w:tcPr>
          <w:p w14:paraId="7794F181" w14:textId="77777777" w:rsidR="00811887" w:rsidRPr="00FD40B8" w:rsidRDefault="00811887" w:rsidP="00486E22">
            <w:pPr>
              <w:pStyle w:val="TableParagraph"/>
              <w:spacing w:before="23" w:line="202" w:lineRule="exact"/>
              <w:ind w:left="103"/>
              <w:rPr>
                <w:color w:val="131727" w:themeColor="text1"/>
                <w:sz w:val="17"/>
              </w:rPr>
            </w:pPr>
            <w:r w:rsidRPr="00FD40B8">
              <w:rPr>
                <w:color w:val="131727" w:themeColor="text1"/>
                <w:spacing w:val="-10"/>
                <w:w w:val="105"/>
                <w:sz w:val="17"/>
              </w:rPr>
              <w:t>Y</w:t>
            </w:r>
          </w:p>
        </w:tc>
      </w:tr>
      <w:tr w:rsidR="00811887" w:rsidRPr="00FD40B8" w14:paraId="46D464CE" w14:textId="77777777" w:rsidTr="00486E22">
        <w:trPr>
          <w:trHeight w:val="239"/>
        </w:trPr>
        <w:tc>
          <w:tcPr>
            <w:tcW w:w="7721" w:type="dxa"/>
            <w:shd w:val="clear" w:color="auto" w:fill="EEF1F4"/>
          </w:tcPr>
          <w:p w14:paraId="69DA8879"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Relationship</w:t>
            </w:r>
            <w:r w:rsidRPr="00FD40B8">
              <w:rPr>
                <w:color w:val="131727" w:themeColor="text1"/>
                <w:spacing w:val="-9"/>
                <w:w w:val="110"/>
                <w:sz w:val="17"/>
              </w:rPr>
              <w:t xml:space="preserve"> </w:t>
            </w:r>
            <w:r w:rsidRPr="00FD40B8">
              <w:rPr>
                <w:color w:val="131727" w:themeColor="text1"/>
                <w:w w:val="110"/>
                <w:sz w:val="17"/>
              </w:rPr>
              <w:t>in</w:t>
            </w:r>
            <w:r w:rsidRPr="00FD40B8">
              <w:rPr>
                <w:color w:val="131727" w:themeColor="text1"/>
                <w:spacing w:val="-9"/>
                <w:w w:val="110"/>
                <w:sz w:val="17"/>
              </w:rPr>
              <w:t xml:space="preserve"> </w:t>
            </w:r>
            <w:r w:rsidRPr="00FD40B8">
              <w:rPr>
                <w:color w:val="131727" w:themeColor="text1"/>
                <w:spacing w:val="-2"/>
                <w:w w:val="110"/>
                <w:sz w:val="17"/>
              </w:rPr>
              <w:t>household</w:t>
            </w:r>
          </w:p>
        </w:tc>
        <w:tc>
          <w:tcPr>
            <w:tcW w:w="1071" w:type="dxa"/>
            <w:shd w:val="clear" w:color="auto" w:fill="EEF1F4"/>
          </w:tcPr>
          <w:p w14:paraId="7FB28715"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shd w:val="clear" w:color="auto" w:fill="EEF1F4"/>
          </w:tcPr>
          <w:p w14:paraId="7EF53DDD"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1124" w:type="dxa"/>
            <w:shd w:val="clear" w:color="auto" w:fill="EEF1F4"/>
          </w:tcPr>
          <w:p w14:paraId="215356A0"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05"/>
                <w:sz w:val="17"/>
              </w:rPr>
              <w:t>Y</w:t>
            </w:r>
          </w:p>
        </w:tc>
        <w:tc>
          <w:tcPr>
            <w:tcW w:w="2780" w:type="dxa"/>
            <w:shd w:val="clear" w:color="auto" w:fill="EEF1F4"/>
          </w:tcPr>
          <w:p w14:paraId="152EFE09"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17D49C04" w14:textId="77777777" w:rsidTr="00486E22">
        <w:trPr>
          <w:trHeight w:val="240"/>
        </w:trPr>
        <w:tc>
          <w:tcPr>
            <w:tcW w:w="7721" w:type="dxa"/>
          </w:tcPr>
          <w:p w14:paraId="5D2BFBE4"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Count</w:t>
            </w:r>
            <w:r w:rsidRPr="00FD40B8">
              <w:rPr>
                <w:color w:val="131727" w:themeColor="text1"/>
                <w:spacing w:val="22"/>
                <w:w w:val="105"/>
                <w:sz w:val="17"/>
              </w:rPr>
              <w:t xml:space="preserve"> </w:t>
            </w:r>
            <w:r w:rsidRPr="00FD40B8">
              <w:rPr>
                <w:color w:val="131727" w:themeColor="text1"/>
                <w:w w:val="105"/>
                <w:sz w:val="17"/>
              </w:rPr>
              <w:t>of</w:t>
            </w:r>
            <w:r w:rsidRPr="00FD40B8">
              <w:rPr>
                <w:color w:val="131727" w:themeColor="text1"/>
                <w:spacing w:val="24"/>
                <w:w w:val="105"/>
                <w:sz w:val="17"/>
              </w:rPr>
              <w:t xml:space="preserve"> </w:t>
            </w:r>
            <w:r w:rsidRPr="00FD40B8">
              <w:rPr>
                <w:color w:val="131727" w:themeColor="text1"/>
                <w:w w:val="105"/>
                <w:sz w:val="17"/>
              </w:rPr>
              <w:t>persons</w:t>
            </w:r>
            <w:r w:rsidRPr="00FD40B8">
              <w:rPr>
                <w:color w:val="131727" w:themeColor="text1"/>
                <w:spacing w:val="19"/>
                <w:w w:val="105"/>
                <w:sz w:val="17"/>
              </w:rPr>
              <w:t xml:space="preserve"> </w:t>
            </w:r>
            <w:r w:rsidRPr="00FD40B8">
              <w:rPr>
                <w:color w:val="131727" w:themeColor="text1"/>
                <w:w w:val="105"/>
                <w:sz w:val="17"/>
              </w:rPr>
              <w:t>temporarily</w:t>
            </w:r>
            <w:r w:rsidRPr="00FD40B8">
              <w:rPr>
                <w:color w:val="131727" w:themeColor="text1"/>
                <w:spacing w:val="19"/>
                <w:w w:val="105"/>
                <w:sz w:val="17"/>
              </w:rPr>
              <w:t xml:space="preserve"> </w:t>
            </w:r>
            <w:r w:rsidRPr="00FD40B8">
              <w:rPr>
                <w:color w:val="131727" w:themeColor="text1"/>
                <w:w w:val="105"/>
                <w:sz w:val="17"/>
              </w:rPr>
              <w:t>absent</w:t>
            </w:r>
            <w:r w:rsidRPr="00FD40B8">
              <w:rPr>
                <w:color w:val="131727" w:themeColor="text1"/>
                <w:spacing w:val="23"/>
                <w:w w:val="105"/>
                <w:sz w:val="17"/>
              </w:rPr>
              <w:t xml:space="preserve"> </w:t>
            </w:r>
            <w:r w:rsidRPr="00FD40B8">
              <w:rPr>
                <w:color w:val="131727" w:themeColor="text1"/>
                <w:w w:val="105"/>
                <w:sz w:val="17"/>
              </w:rPr>
              <w:t>from</w:t>
            </w:r>
            <w:r w:rsidRPr="00FD40B8">
              <w:rPr>
                <w:color w:val="131727" w:themeColor="text1"/>
                <w:spacing w:val="21"/>
                <w:w w:val="105"/>
                <w:sz w:val="17"/>
              </w:rPr>
              <w:t xml:space="preserve"> </w:t>
            </w:r>
            <w:r w:rsidRPr="00FD40B8">
              <w:rPr>
                <w:color w:val="131727" w:themeColor="text1"/>
                <w:spacing w:val="-2"/>
                <w:w w:val="105"/>
                <w:sz w:val="17"/>
              </w:rPr>
              <w:t>household</w:t>
            </w:r>
          </w:p>
        </w:tc>
        <w:tc>
          <w:tcPr>
            <w:tcW w:w="1071" w:type="dxa"/>
          </w:tcPr>
          <w:p w14:paraId="7B6B377C"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05"/>
                <w:sz w:val="17"/>
              </w:rPr>
              <w:t>Y</w:t>
            </w:r>
          </w:p>
        </w:tc>
        <w:tc>
          <w:tcPr>
            <w:tcW w:w="1201" w:type="dxa"/>
          </w:tcPr>
          <w:p w14:paraId="5B3C9232"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tcPr>
          <w:p w14:paraId="3DC175A2"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2780" w:type="dxa"/>
          </w:tcPr>
          <w:p w14:paraId="41CAB027"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0FC66E17" w14:textId="77777777" w:rsidTr="00486E22">
        <w:trPr>
          <w:trHeight w:val="239"/>
        </w:trPr>
        <w:tc>
          <w:tcPr>
            <w:tcW w:w="7721" w:type="dxa"/>
            <w:shd w:val="clear" w:color="auto" w:fill="EEF1F4"/>
          </w:tcPr>
          <w:p w14:paraId="527202BE"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10"/>
                <w:sz w:val="17"/>
              </w:rPr>
              <w:t>Type</w:t>
            </w:r>
            <w:r w:rsidRPr="00FD40B8">
              <w:rPr>
                <w:color w:val="131727" w:themeColor="text1"/>
                <w:spacing w:val="-7"/>
                <w:w w:val="110"/>
                <w:sz w:val="17"/>
              </w:rPr>
              <w:t xml:space="preserve"> </w:t>
            </w:r>
            <w:r w:rsidRPr="00FD40B8">
              <w:rPr>
                <w:color w:val="131727" w:themeColor="text1"/>
                <w:w w:val="110"/>
                <w:sz w:val="17"/>
              </w:rPr>
              <w:t>of</w:t>
            </w:r>
            <w:r w:rsidRPr="00FD40B8">
              <w:rPr>
                <w:color w:val="131727" w:themeColor="text1"/>
                <w:spacing w:val="-7"/>
                <w:w w:val="110"/>
                <w:sz w:val="17"/>
              </w:rPr>
              <w:t xml:space="preserve"> </w:t>
            </w:r>
            <w:r w:rsidRPr="00FD40B8">
              <w:rPr>
                <w:color w:val="131727" w:themeColor="text1"/>
                <w:spacing w:val="-2"/>
                <w:w w:val="110"/>
                <w:sz w:val="17"/>
              </w:rPr>
              <w:t>homelessness</w:t>
            </w:r>
          </w:p>
        </w:tc>
        <w:tc>
          <w:tcPr>
            <w:tcW w:w="1071" w:type="dxa"/>
            <w:shd w:val="clear" w:color="auto" w:fill="EEF1F4"/>
          </w:tcPr>
          <w:p w14:paraId="7AE02330"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shd w:val="clear" w:color="auto" w:fill="EEF1F4"/>
          </w:tcPr>
          <w:p w14:paraId="03B2E56C"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shd w:val="clear" w:color="auto" w:fill="EEF1F4"/>
          </w:tcPr>
          <w:p w14:paraId="011812D1"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2780" w:type="dxa"/>
            <w:shd w:val="clear" w:color="auto" w:fill="EEF1F4"/>
          </w:tcPr>
          <w:p w14:paraId="13968058"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05"/>
                <w:sz w:val="17"/>
              </w:rPr>
              <w:t>Y</w:t>
            </w:r>
          </w:p>
        </w:tc>
      </w:tr>
      <w:tr w:rsidR="00811887" w:rsidRPr="00FD40B8" w14:paraId="48D9C401" w14:textId="77777777" w:rsidTr="00486E22">
        <w:trPr>
          <w:trHeight w:val="201"/>
        </w:trPr>
        <w:tc>
          <w:tcPr>
            <w:tcW w:w="13897" w:type="dxa"/>
            <w:gridSpan w:val="5"/>
            <w:shd w:val="clear" w:color="auto" w:fill="AFCAC7"/>
          </w:tcPr>
          <w:p w14:paraId="4A7A1739" w14:textId="77777777" w:rsidR="00811887" w:rsidRPr="00FD40B8" w:rsidRDefault="00811887" w:rsidP="00486E22">
            <w:pPr>
              <w:pStyle w:val="TableParagraph"/>
              <w:spacing w:line="181" w:lineRule="exact"/>
              <w:ind w:left="105"/>
              <w:rPr>
                <w:rFonts w:ascii="Garamond"/>
                <w:b/>
                <w:color w:val="131727" w:themeColor="text1"/>
                <w:sz w:val="18"/>
              </w:rPr>
            </w:pPr>
            <w:r w:rsidRPr="00FD40B8">
              <w:rPr>
                <w:rFonts w:ascii="Garamond"/>
                <w:b/>
                <w:color w:val="131727" w:themeColor="text1"/>
                <w:sz w:val="18"/>
              </w:rPr>
              <w:t>COMMUNITY</w:t>
            </w:r>
            <w:r w:rsidRPr="00FD40B8">
              <w:rPr>
                <w:rFonts w:ascii="Garamond"/>
                <w:b/>
                <w:color w:val="131727" w:themeColor="text1"/>
                <w:spacing w:val="-7"/>
                <w:sz w:val="18"/>
              </w:rPr>
              <w:t xml:space="preserve"> </w:t>
            </w:r>
            <w:r w:rsidRPr="00FD40B8">
              <w:rPr>
                <w:rFonts w:ascii="Garamond"/>
                <w:b/>
                <w:color w:val="131727" w:themeColor="text1"/>
                <w:spacing w:val="-2"/>
                <w:sz w:val="18"/>
              </w:rPr>
              <w:t>INFRASTRUCTURE</w:t>
            </w:r>
          </w:p>
        </w:tc>
      </w:tr>
      <w:tr w:rsidR="00811887" w:rsidRPr="00FD40B8" w14:paraId="07FA4791" w14:textId="77777777" w:rsidTr="00486E22">
        <w:trPr>
          <w:trHeight w:val="239"/>
        </w:trPr>
        <w:tc>
          <w:tcPr>
            <w:tcW w:w="7721" w:type="dxa"/>
          </w:tcPr>
          <w:p w14:paraId="654137DF"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w w:val="105"/>
                <w:sz w:val="17"/>
              </w:rPr>
              <w:t xml:space="preserve">Water </w:t>
            </w:r>
            <w:r w:rsidRPr="00FD40B8">
              <w:rPr>
                <w:color w:val="131727" w:themeColor="text1"/>
                <w:spacing w:val="-2"/>
                <w:w w:val="105"/>
                <w:sz w:val="17"/>
              </w:rPr>
              <w:t>supply</w:t>
            </w:r>
          </w:p>
        </w:tc>
        <w:tc>
          <w:tcPr>
            <w:tcW w:w="1071" w:type="dxa"/>
          </w:tcPr>
          <w:p w14:paraId="12095A3B" w14:textId="77777777" w:rsidR="00811887" w:rsidRPr="00FD40B8" w:rsidRDefault="00811887" w:rsidP="00486E22">
            <w:pPr>
              <w:pStyle w:val="TableParagraph"/>
              <w:spacing w:before="18" w:line="202" w:lineRule="exact"/>
              <w:ind w:left="105"/>
              <w:rPr>
                <w:color w:val="131727" w:themeColor="text1"/>
                <w:sz w:val="17"/>
              </w:rPr>
            </w:pPr>
            <w:r w:rsidRPr="00FD40B8">
              <w:rPr>
                <w:color w:val="131727" w:themeColor="text1"/>
                <w:spacing w:val="-10"/>
                <w:w w:val="110"/>
                <w:sz w:val="17"/>
              </w:rPr>
              <w:t>N</w:t>
            </w:r>
          </w:p>
        </w:tc>
        <w:tc>
          <w:tcPr>
            <w:tcW w:w="1201" w:type="dxa"/>
          </w:tcPr>
          <w:p w14:paraId="0BD73259" w14:textId="77777777" w:rsidR="00811887" w:rsidRPr="00FD40B8" w:rsidRDefault="00811887" w:rsidP="00486E22">
            <w:pPr>
              <w:pStyle w:val="TableParagraph"/>
              <w:spacing w:before="18" w:line="202" w:lineRule="exact"/>
              <w:ind w:left="104"/>
              <w:rPr>
                <w:color w:val="131727" w:themeColor="text1"/>
                <w:sz w:val="17"/>
              </w:rPr>
            </w:pPr>
            <w:r w:rsidRPr="00FD40B8">
              <w:rPr>
                <w:color w:val="131727" w:themeColor="text1"/>
                <w:spacing w:val="-10"/>
                <w:w w:val="110"/>
                <w:sz w:val="17"/>
              </w:rPr>
              <w:t>N</w:t>
            </w:r>
          </w:p>
        </w:tc>
        <w:tc>
          <w:tcPr>
            <w:tcW w:w="1124" w:type="dxa"/>
          </w:tcPr>
          <w:p w14:paraId="59B33A8D" w14:textId="77777777" w:rsidR="00811887" w:rsidRPr="00FD40B8" w:rsidRDefault="00811887" w:rsidP="00486E22">
            <w:pPr>
              <w:pStyle w:val="TableParagraph"/>
              <w:spacing w:before="48" w:line="153" w:lineRule="auto"/>
              <w:ind w:left="104"/>
              <w:rPr>
                <w:color w:val="131727" w:themeColor="text1"/>
                <w:sz w:val="11"/>
              </w:rPr>
            </w:pPr>
            <w:r w:rsidRPr="00FD40B8">
              <w:rPr>
                <w:color w:val="131727" w:themeColor="text1"/>
                <w:spacing w:val="-5"/>
                <w:w w:val="110"/>
                <w:position w:val="-5"/>
                <w:sz w:val="17"/>
              </w:rPr>
              <w:t>Y</w:t>
            </w:r>
            <w:hyperlink w:anchor="_bookmark113" w:history="1">
              <w:r w:rsidRPr="00FD40B8">
                <w:rPr>
                  <w:color w:val="131727" w:themeColor="text1"/>
                  <w:spacing w:val="-5"/>
                  <w:w w:val="110"/>
                  <w:sz w:val="11"/>
                </w:rPr>
                <w:t>90</w:t>
              </w:r>
            </w:hyperlink>
          </w:p>
        </w:tc>
        <w:tc>
          <w:tcPr>
            <w:tcW w:w="2780" w:type="dxa"/>
          </w:tcPr>
          <w:p w14:paraId="4BDA123B" w14:textId="77777777" w:rsidR="00811887" w:rsidRPr="00FD40B8" w:rsidRDefault="00811887" w:rsidP="00486E22">
            <w:pPr>
              <w:pStyle w:val="TableParagraph"/>
              <w:spacing w:before="18" w:line="202" w:lineRule="exact"/>
              <w:ind w:left="103"/>
              <w:rPr>
                <w:color w:val="131727" w:themeColor="text1"/>
                <w:sz w:val="17"/>
              </w:rPr>
            </w:pPr>
            <w:r w:rsidRPr="00FD40B8">
              <w:rPr>
                <w:color w:val="131727" w:themeColor="text1"/>
                <w:spacing w:val="-10"/>
                <w:w w:val="110"/>
                <w:sz w:val="17"/>
              </w:rPr>
              <w:t>N</w:t>
            </w:r>
          </w:p>
        </w:tc>
      </w:tr>
    </w:tbl>
    <w:p w14:paraId="279828E5" w14:textId="77777777" w:rsidR="00811887" w:rsidRPr="00FD40B8" w:rsidRDefault="00811887" w:rsidP="00811887">
      <w:pPr>
        <w:pStyle w:val="BodyText"/>
        <w:spacing w:before="37"/>
        <w:rPr>
          <w:rFonts w:ascii="Book Antiqua"/>
          <w:b/>
          <w:color w:val="131727" w:themeColor="text1"/>
        </w:rPr>
      </w:pPr>
      <w:r w:rsidRPr="00FD40B8">
        <w:rPr>
          <w:noProof/>
          <w:color w:val="131727" w:themeColor="text1"/>
        </w:rPr>
        <mc:AlternateContent>
          <mc:Choice Requires="wps">
            <w:drawing>
              <wp:anchor distT="0" distB="0" distL="0" distR="0" simplePos="0" relativeHeight="251772928" behindDoc="1" locked="0" layoutInCell="1" allowOverlap="1" wp14:anchorId="399445CE" wp14:editId="0846B752">
                <wp:simplePos x="0" y="0"/>
                <wp:positionH relativeFrom="page">
                  <wp:posOffset>899464</wp:posOffset>
                </wp:positionH>
                <wp:positionV relativeFrom="paragraph">
                  <wp:posOffset>192322</wp:posOffset>
                </wp:positionV>
                <wp:extent cx="1829435" cy="6350"/>
                <wp:effectExtent l="0" t="0" r="0" b="0"/>
                <wp:wrapTopAndBottom/>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81C7B" id="Graphic 232" o:spid="_x0000_s1026" alt="&quot;&quot;" style="position:absolute;margin-left:70.8pt;margin-top:15.15pt;width:144.05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" path="m1829435,l,,,6095r1829435,l1829435,xe" fillcolor="black" stroked="f">
                <v:path arrowok="t"/>
                <w10:wrap type="topAndBottom" anchorx="page"/>
              </v:shape>
            </w:pict>
          </mc:Fallback>
        </mc:AlternateContent>
      </w:r>
    </w:p>
    <w:p w14:paraId="13659AE8" w14:textId="77777777" w:rsidR="00811887" w:rsidRPr="00FD40B8" w:rsidRDefault="00811887" w:rsidP="00811887">
      <w:pPr>
        <w:spacing w:before="119"/>
        <w:ind w:left="136"/>
        <w:rPr>
          <w:color w:val="131727" w:themeColor="text1"/>
          <w:sz w:val="16"/>
        </w:rPr>
      </w:pPr>
      <w:bookmarkStart w:id="223" w:name="_bookmark112"/>
      <w:bookmarkEnd w:id="223"/>
      <w:r w:rsidRPr="00FD40B8">
        <w:rPr>
          <w:color w:val="131727" w:themeColor="text1"/>
          <w:w w:val="105"/>
          <w:position w:val="6"/>
          <w:sz w:val="10"/>
        </w:rPr>
        <w:t>89</w:t>
      </w:r>
      <w:r w:rsidRPr="00FD40B8">
        <w:rPr>
          <w:color w:val="131727" w:themeColor="text1"/>
          <w:spacing w:val="34"/>
          <w:w w:val="105"/>
          <w:position w:val="6"/>
          <w:sz w:val="10"/>
        </w:rPr>
        <w:t xml:space="preserve"> </w:t>
      </w:r>
      <w:r w:rsidRPr="00FD40B8">
        <w:rPr>
          <w:color w:val="131727" w:themeColor="text1"/>
          <w:w w:val="105"/>
          <w:sz w:val="16"/>
        </w:rPr>
        <w:t>ABS</w:t>
      </w:r>
      <w:r w:rsidRPr="00FD40B8">
        <w:rPr>
          <w:color w:val="131727" w:themeColor="text1"/>
          <w:spacing w:val="19"/>
          <w:w w:val="105"/>
          <w:sz w:val="16"/>
        </w:rPr>
        <w:t xml:space="preserve"> </w:t>
      </w:r>
      <w:r w:rsidRPr="00FD40B8">
        <w:rPr>
          <w:color w:val="131727" w:themeColor="text1"/>
          <w:w w:val="105"/>
          <w:sz w:val="16"/>
        </w:rPr>
        <w:t>2022.</w:t>
      </w:r>
      <w:r w:rsidRPr="00FD40B8">
        <w:rPr>
          <w:color w:val="131727" w:themeColor="text1"/>
          <w:spacing w:val="21"/>
          <w:w w:val="105"/>
          <w:sz w:val="16"/>
        </w:rPr>
        <w:t xml:space="preserve"> </w:t>
      </w:r>
      <w:r w:rsidRPr="00FD40B8">
        <w:rPr>
          <w:color w:val="131727" w:themeColor="text1"/>
          <w:w w:val="105"/>
          <w:sz w:val="16"/>
        </w:rPr>
        <w:t>Housing</w:t>
      </w:r>
      <w:r w:rsidRPr="00FD40B8">
        <w:rPr>
          <w:color w:val="131727" w:themeColor="text1"/>
          <w:spacing w:val="19"/>
          <w:w w:val="105"/>
          <w:sz w:val="16"/>
        </w:rPr>
        <w:t xml:space="preserve"> </w:t>
      </w:r>
      <w:r w:rsidRPr="00FD40B8">
        <w:rPr>
          <w:color w:val="131727" w:themeColor="text1"/>
          <w:w w:val="105"/>
          <w:sz w:val="16"/>
        </w:rPr>
        <w:t>Statistics</w:t>
      </w:r>
      <w:r w:rsidRPr="00FD40B8">
        <w:rPr>
          <w:color w:val="131727" w:themeColor="text1"/>
          <w:spacing w:val="18"/>
          <w:w w:val="105"/>
          <w:sz w:val="16"/>
        </w:rPr>
        <w:t xml:space="preserve"> </w:t>
      </w:r>
      <w:r w:rsidRPr="00FD40B8">
        <w:rPr>
          <w:color w:val="131727" w:themeColor="text1"/>
          <w:w w:val="105"/>
          <w:sz w:val="16"/>
        </w:rPr>
        <w:t>for</w:t>
      </w:r>
      <w:r w:rsidRPr="00FD40B8">
        <w:rPr>
          <w:color w:val="131727" w:themeColor="text1"/>
          <w:spacing w:val="21"/>
          <w:w w:val="105"/>
          <w:sz w:val="16"/>
        </w:rPr>
        <w:t xml:space="preserve"> </w:t>
      </w:r>
      <w:r w:rsidRPr="00FD40B8">
        <w:rPr>
          <w:color w:val="131727" w:themeColor="text1"/>
          <w:w w:val="105"/>
          <w:sz w:val="16"/>
        </w:rPr>
        <w:t>Aboriginal</w:t>
      </w:r>
      <w:r w:rsidRPr="00FD40B8">
        <w:rPr>
          <w:color w:val="131727" w:themeColor="text1"/>
          <w:spacing w:val="17"/>
          <w:w w:val="105"/>
          <w:sz w:val="16"/>
        </w:rPr>
        <w:t xml:space="preserve"> </w:t>
      </w:r>
      <w:r w:rsidRPr="00FD40B8">
        <w:rPr>
          <w:color w:val="131727" w:themeColor="text1"/>
          <w:w w:val="105"/>
          <w:sz w:val="16"/>
        </w:rPr>
        <w:t>and</w:t>
      </w:r>
      <w:r w:rsidRPr="00FD40B8">
        <w:rPr>
          <w:color w:val="131727" w:themeColor="text1"/>
          <w:spacing w:val="22"/>
          <w:w w:val="105"/>
          <w:sz w:val="16"/>
        </w:rPr>
        <w:t xml:space="preserve"> </w:t>
      </w:r>
      <w:r w:rsidRPr="00FD40B8">
        <w:rPr>
          <w:color w:val="131727" w:themeColor="text1"/>
          <w:w w:val="105"/>
          <w:sz w:val="16"/>
        </w:rPr>
        <w:t>Torres</w:t>
      </w:r>
      <w:r w:rsidRPr="00FD40B8">
        <w:rPr>
          <w:color w:val="131727" w:themeColor="text1"/>
          <w:spacing w:val="18"/>
          <w:w w:val="105"/>
          <w:sz w:val="16"/>
        </w:rPr>
        <w:t xml:space="preserve"> </w:t>
      </w:r>
      <w:r w:rsidRPr="00FD40B8">
        <w:rPr>
          <w:color w:val="131727" w:themeColor="text1"/>
          <w:w w:val="105"/>
          <w:sz w:val="16"/>
        </w:rPr>
        <w:t>Strait</w:t>
      </w:r>
      <w:r w:rsidRPr="00FD40B8">
        <w:rPr>
          <w:color w:val="131727" w:themeColor="text1"/>
          <w:spacing w:val="20"/>
          <w:w w:val="105"/>
          <w:sz w:val="16"/>
        </w:rPr>
        <w:t xml:space="preserve"> </w:t>
      </w:r>
      <w:r w:rsidRPr="00FD40B8">
        <w:rPr>
          <w:color w:val="131727" w:themeColor="text1"/>
          <w:w w:val="105"/>
          <w:sz w:val="16"/>
        </w:rPr>
        <w:t>Islander</w:t>
      </w:r>
      <w:r w:rsidRPr="00FD40B8">
        <w:rPr>
          <w:color w:val="131727" w:themeColor="text1"/>
          <w:spacing w:val="21"/>
          <w:w w:val="105"/>
          <w:sz w:val="16"/>
        </w:rPr>
        <w:t xml:space="preserve"> </w:t>
      </w:r>
      <w:r w:rsidRPr="00FD40B8">
        <w:rPr>
          <w:color w:val="131727" w:themeColor="text1"/>
          <w:w w:val="105"/>
          <w:sz w:val="16"/>
        </w:rPr>
        <w:t>Peoples</w:t>
      </w:r>
      <w:r w:rsidRPr="00FD40B8">
        <w:rPr>
          <w:color w:val="131727" w:themeColor="text1"/>
          <w:spacing w:val="18"/>
          <w:w w:val="105"/>
          <w:sz w:val="16"/>
        </w:rPr>
        <w:t xml:space="preserve"> </w:t>
      </w:r>
      <w:r w:rsidRPr="00FD40B8">
        <w:rPr>
          <w:color w:val="131727" w:themeColor="text1"/>
          <w:w w:val="105"/>
          <w:sz w:val="16"/>
        </w:rPr>
        <w:t>methodology</w:t>
      </w:r>
      <w:r w:rsidRPr="00FD40B8">
        <w:rPr>
          <w:color w:val="131727" w:themeColor="text1"/>
          <w:spacing w:val="19"/>
          <w:w w:val="105"/>
          <w:sz w:val="16"/>
        </w:rPr>
        <w:t xml:space="preserve"> </w:t>
      </w:r>
      <w:r w:rsidRPr="00FD40B8">
        <w:rPr>
          <w:color w:val="131727" w:themeColor="text1"/>
          <w:w w:val="105"/>
          <w:sz w:val="16"/>
        </w:rPr>
        <w:t>adapted</w:t>
      </w:r>
      <w:r w:rsidRPr="00FD40B8">
        <w:rPr>
          <w:color w:val="131727" w:themeColor="text1"/>
          <w:spacing w:val="23"/>
          <w:w w:val="105"/>
          <w:sz w:val="16"/>
        </w:rPr>
        <w:t xml:space="preserve"> </w:t>
      </w:r>
      <w:r w:rsidRPr="00FD40B8">
        <w:rPr>
          <w:color w:val="131727" w:themeColor="text1"/>
          <w:w w:val="105"/>
          <w:sz w:val="16"/>
        </w:rPr>
        <w:t>with</w:t>
      </w:r>
      <w:r w:rsidRPr="00FD40B8">
        <w:rPr>
          <w:color w:val="131727" w:themeColor="text1"/>
          <w:spacing w:val="23"/>
          <w:w w:val="105"/>
          <w:sz w:val="16"/>
        </w:rPr>
        <w:t xml:space="preserve"> </w:t>
      </w:r>
      <w:r w:rsidRPr="00FD40B8">
        <w:rPr>
          <w:color w:val="131727" w:themeColor="text1"/>
          <w:w w:val="105"/>
          <w:sz w:val="16"/>
        </w:rPr>
        <w:t>modifications</w:t>
      </w:r>
      <w:r w:rsidRPr="00FD40B8">
        <w:rPr>
          <w:color w:val="131727" w:themeColor="text1"/>
          <w:spacing w:val="19"/>
          <w:w w:val="105"/>
          <w:sz w:val="16"/>
        </w:rPr>
        <w:t xml:space="preserve"> </w:t>
      </w:r>
      <w:r w:rsidRPr="00FD40B8">
        <w:rPr>
          <w:color w:val="131727" w:themeColor="text1"/>
          <w:w w:val="105"/>
          <w:sz w:val="16"/>
        </w:rPr>
        <w:t>by</w:t>
      </w:r>
      <w:r w:rsidRPr="00FD40B8">
        <w:rPr>
          <w:color w:val="131727" w:themeColor="text1"/>
          <w:spacing w:val="19"/>
          <w:w w:val="105"/>
          <w:sz w:val="16"/>
        </w:rPr>
        <w:t xml:space="preserve"> </w:t>
      </w:r>
      <w:r w:rsidRPr="00FD40B8">
        <w:rPr>
          <w:color w:val="131727" w:themeColor="text1"/>
          <w:w w:val="105"/>
          <w:sz w:val="16"/>
        </w:rPr>
        <w:t>Equity</w:t>
      </w:r>
      <w:r w:rsidRPr="00FD40B8">
        <w:rPr>
          <w:color w:val="131727" w:themeColor="text1"/>
          <w:spacing w:val="18"/>
          <w:w w:val="105"/>
          <w:sz w:val="16"/>
        </w:rPr>
        <w:t xml:space="preserve"> </w:t>
      </w:r>
      <w:r w:rsidRPr="00FD40B8">
        <w:rPr>
          <w:color w:val="131727" w:themeColor="text1"/>
          <w:spacing w:val="-2"/>
          <w:w w:val="105"/>
          <w:sz w:val="16"/>
        </w:rPr>
        <w:t>Economics.</w:t>
      </w:r>
    </w:p>
    <w:p w14:paraId="3BF47539" w14:textId="77777777" w:rsidR="00811887" w:rsidRPr="00FD40B8" w:rsidRDefault="00811887" w:rsidP="00811887">
      <w:pPr>
        <w:spacing w:before="22" w:line="266" w:lineRule="auto"/>
        <w:ind w:left="136"/>
        <w:rPr>
          <w:color w:val="131727" w:themeColor="text1"/>
          <w:sz w:val="16"/>
        </w:rPr>
      </w:pPr>
      <w:bookmarkStart w:id="224" w:name="_bookmark113"/>
      <w:bookmarkEnd w:id="224"/>
      <w:r w:rsidRPr="00FD40B8">
        <w:rPr>
          <w:color w:val="131727" w:themeColor="text1"/>
          <w:w w:val="110"/>
          <w:position w:val="6"/>
          <w:sz w:val="10"/>
        </w:rPr>
        <w:lastRenderedPageBreak/>
        <w:t>90</w:t>
      </w:r>
      <w:r w:rsidRPr="00FD40B8">
        <w:rPr>
          <w:color w:val="131727" w:themeColor="text1"/>
          <w:spacing w:val="14"/>
          <w:w w:val="110"/>
          <w:position w:val="6"/>
          <w:sz w:val="10"/>
        </w:rPr>
        <w:t xml:space="preserve"> </w:t>
      </w:r>
      <w:r w:rsidRPr="00FD40B8">
        <w:rPr>
          <w:color w:val="131727" w:themeColor="text1"/>
          <w:w w:val="110"/>
          <w:sz w:val="16"/>
        </w:rPr>
        <w:t>NATSISS asks</w:t>
      </w:r>
      <w:r w:rsidRPr="00FD40B8">
        <w:rPr>
          <w:color w:val="131727" w:themeColor="text1"/>
          <w:spacing w:val="-2"/>
          <w:w w:val="110"/>
          <w:sz w:val="16"/>
        </w:rPr>
        <w:t xml:space="preserve"> </w:t>
      </w:r>
      <w:r w:rsidRPr="00FD40B8">
        <w:rPr>
          <w:color w:val="131727" w:themeColor="text1"/>
          <w:w w:val="110"/>
          <w:sz w:val="16"/>
        </w:rPr>
        <w:t>if an individual</w:t>
      </w:r>
      <w:r w:rsidRPr="00FD40B8">
        <w:rPr>
          <w:color w:val="131727" w:themeColor="text1"/>
          <w:spacing w:val="-3"/>
          <w:w w:val="110"/>
          <w:sz w:val="16"/>
        </w:rPr>
        <w:t xml:space="preserve"> </w:t>
      </w:r>
      <w:r w:rsidRPr="00FD40B8">
        <w:rPr>
          <w:color w:val="131727" w:themeColor="text1"/>
          <w:w w:val="110"/>
          <w:sz w:val="16"/>
        </w:rPr>
        <w:t>has</w:t>
      </w:r>
      <w:r w:rsidRPr="00FD40B8">
        <w:rPr>
          <w:color w:val="131727" w:themeColor="text1"/>
          <w:spacing w:val="-2"/>
          <w:w w:val="110"/>
          <w:sz w:val="16"/>
        </w:rPr>
        <w:t xml:space="preserve"> </w:t>
      </w:r>
      <w:r w:rsidRPr="00FD40B8">
        <w:rPr>
          <w:color w:val="131727" w:themeColor="text1"/>
          <w:w w:val="110"/>
          <w:sz w:val="16"/>
        </w:rPr>
        <w:t>problems</w:t>
      </w:r>
      <w:r w:rsidRPr="00FD40B8">
        <w:rPr>
          <w:color w:val="131727" w:themeColor="text1"/>
          <w:spacing w:val="-2"/>
          <w:w w:val="110"/>
          <w:sz w:val="16"/>
        </w:rPr>
        <w:t xml:space="preserve"> </w:t>
      </w:r>
      <w:r w:rsidRPr="00FD40B8">
        <w:rPr>
          <w:color w:val="131727" w:themeColor="text1"/>
          <w:w w:val="110"/>
          <w:sz w:val="16"/>
        </w:rPr>
        <w:t>accessing</w:t>
      </w:r>
      <w:r w:rsidRPr="00FD40B8">
        <w:rPr>
          <w:color w:val="131727" w:themeColor="text1"/>
          <w:spacing w:val="-2"/>
          <w:w w:val="110"/>
          <w:sz w:val="16"/>
        </w:rPr>
        <w:t xml:space="preserve"> </w:t>
      </w:r>
      <w:r w:rsidRPr="00FD40B8">
        <w:rPr>
          <w:color w:val="131727" w:themeColor="text1"/>
          <w:w w:val="110"/>
          <w:sz w:val="16"/>
        </w:rPr>
        <w:t>power,</w:t>
      </w:r>
      <w:r w:rsidRPr="00FD40B8">
        <w:rPr>
          <w:color w:val="131727" w:themeColor="text1"/>
          <w:spacing w:val="-1"/>
          <w:w w:val="110"/>
          <w:sz w:val="16"/>
        </w:rPr>
        <w:t xml:space="preserve"> </w:t>
      </w:r>
      <w:r w:rsidRPr="00FD40B8">
        <w:rPr>
          <w:color w:val="131727" w:themeColor="text1"/>
          <w:w w:val="110"/>
          <w:sz w:val="16"/>
        </w:rPr>
        <w:t>water, or gas</w:t>
      </w:r>
      <w:r w:rsidRPr="00FD40B8">
        <w:rPr>
          <w:color w:val="131727" w:themeColor="text1"/>
          <w:spacing w:val="-2"/>
          <w:w w:val="110"/>
          <w:sz w:val="16"/>
        </w:rPr>
        <w:t xml:space="preserve"> </w:t>
      </w:r>
      <w:r w:rsidRPr="00FD40B8">
        <w:rPr>
          <w:color w:val="131727" w:themeColor="text1"/>
          <w:w w:val="110"/>
          <w:sz w:val="16"/>
        </w:rPr>
        <w:t>providers</w:t>
      </w:r>
      <w:r w:rsidRPr="00FD40B8">
        <w:rPr>
          <w:color w:val="131727" w:themeColor="text1"/>
          <w:spacing w:val="-2"/>
          <w:w w:val="110"/>
          <w:sz w:val="16"/>
        </w:rPr>
        <w:t xml:space="preserve"> </w:t>
      </w:r>
      <w:r w:rsidRPr="00FD40B8">
        <w:rPr>
          <w:color w:val="131727" w:themeColor="text1"/>
          <w:w w:val="110"/>
          <w:sz w:val="16"/>
        </w:rPr>
        <w:t>in a single</w:t>
      </w:r>
      <w:r w:rsidRPr="00FD40B8">
        <w:rPr>
          <w:color w:val="131727" w:themeColor="text1"/>
          <w:spacing w:val="-1"/>
          <w:w w:val="110"/>
          <w:sz w:val="16"/>
        </w:rPr>
        <w:t xml:space="preserve"> </w:t>
      </w:r>
      <w:r w:rsidRPr="00FD40B8">
        <w:rPr>
          <w:color w:val="131727" w:themeColor="text1"/>
          <w:w w:val="110"/>
          <w:sz w:val="16"/>
        </w:rPr>
        <w:t>question. It</w:t>
      </w:r>
      <w:r w:rsidRPr="00FD40B8">
        <w:rPr>
          <w:color w:val="131727" w:themeColor="text1"/>
          <w:spacing w:val="-1"/>
          <w:w w:val="110"/>
          <w:sz w:val="16"/>
        </w:rPr>
        <w:t xml:space="preserve"> </w:t>
      </w:r>
      <w:r w:rsidRPr="00FD40B8">
        <w:rPr>
          <w:color w:val="131727" w:themeColor="text1"/>
          <w:w w:val="110"/>
          <w:sz w:val="16"/>
        </w:rPr>
        <w:t>also</w:t>
      </w:r>
      <w:r w:rsidRPr="00FD40B8">
        <w:rPr>
          <w:color w:val="131727" w:themeColor="text1"/>
          <w:spacing w:val="-2"/>
          <w:w w:val="110"/>
          <w:sz w:val="16"/>
        </w:rPr>
        <w:t xml:space="preserve"> </w:t>
      </w:r>
      <w:r w:rsidRPr="00FD40B8">
        <w:rPr>
          <w:color w:val="131727" w:themeColor="text1"/>
          <w:w w:val="110"/>
          <w:sz w:val="16"/>
        </w:rPr>
        <w:t>asks</w:t>
      </w:r>
      <w:r w:rsidRPr="00FD40B8">
        <w:rPr>
          <w:color w:val="131727" w:themeColor="text1"/>
          <w:spacing w:val="-2"/>
          <w:w w:val="110"/>
          <w:sz w:val="16"/>
        </w:rPr>
        <w:t xml:space="preserve"> </w:t>
      </w:r>
      <w:r w:rsidRPr="00FD40B8">
        <w:rPr>
          <w:color w:val="131727" w:themeColor="text1"/>
          <w:w w:val="110"/>
          <w:sz w:val="16"/>
        </w:rPr>
        <w:t>the</w:t>
      </w:r>
      <w:r w:rsidRPr="00FD40B8">
        <w:rPr>
          <w:color w:val="131727" w:themeColor="text1"/>
          <w:spacing w:val="-1"/>
          <w:w w:val="110"/>
          <w:sz w:val="16"/>
        </w:rPr>
        <w:t xml:space="preserve"> </w:t>
      </w:r>
      <w:r w:rsidRPr="00FD40B8">
        <w:rPr>
          <w:color w:val="131727" w:themeColor="text1"/>
          <w:w w:val="110"/>
          <w:sz w:val="16"/>
        </w:rPr>
        <w:t>type of barriers (e.g. no</w:t>
      </w:r>
      <w:r w:rsidRPr="00FD40B8">
        <w:rPr>
          <w:color w:val="131727" w:themeColor="text1"/>
          <w:spacing w:val="-2"/>
          <w:w w:val="110"/>
          <w:sz w:val="16"/>
        </w:rPr>
        <w:t xml:space="preserve"> </w:t>
      </w:r>
      <w:r w:rsidRPr="00FD40B8">
        <w:rPr>
          <w:color w:val="131727" w:themeColor="text1"/>
          <w:w w:val="110"/>
          <w:sz w:val="16"/>
        </w:rPr>
        <w:t>or inadequate</w:t>
      </w:r>
      <w:r w:rsidRPr="00FD40B8">
        <w:rPr>
          <w:color w:val="131727" w:themeColor="text1"/>
          <w:spacing w:val="-1"/>
          <w:w w:val="110"/>
          <w:sz w:val="16"/>
        </w:rPr>
        <w:t xml:space="preserve"> </w:t>
      </w:r>
      <w:r w:rsidRPr="00FD40B8">
        <w:rPr>
          <w:color w:val="131727" w:themeColor="text1"/>
          <w:w w:val="110"/>
          <w:sz w:val="16"/>
        </w:rPr>
        <w:t>services</w:t>
      </w:r>
      <w:r w:rsidRPr="00FD40B8">
        <w:rPr>
          <w:color w:val="131727" w:themeColor="text1"/>
          <w:spacing w:val="-2"/>
          <w:w w:val="110"/>
          <w:sz w:val="16"/>
        </w:rPr>
        <w:t xml:space="preserve"> </w:t>
      </w:r>
      <w:r w:rsidRPr="00FD40B8">
        <w:rPr>
          <w:color w:val="131727" w:themeColor="text1"/>
          <w:w w:val="110"/>
          <w:sz w:val="16"/>
        </w:rPr>
        <w:t>in the</w:t>
      </w:r>
      <w:r w:rsidRPr="00FD40B8">
        <w:rPr>
          <w:color w:val="131727" w:themeColor="text1"/>
          <w:spacing w:val="-1"/>
          <w:w w:val="110"/>
          <w:sz w:val="16"/>
        </w:rPr>
        <w:t xml:space="preserve"> </w:t>
      </w:r>
      <w:r w:rsidRPr="00FD40B8">
        <w:rPr>
          <w:color w:val="131727" w:themeColor="text1"/>
          <w:w w:val="110"/>
          <w:sz w:val="16"/>
        </w:rPr>
        <w:t>area,</w:t>
      </w:r>
      <w:r w:rsidRPr="00FD40B8">
        <w:rPr>
          <w:color w:val="131727" w:themeColor="text1"/>
          <w:spacing w:val="-1"/>
          <w:w w:val="110"/>
          <w:sz w:val="16"/>
        </w:rPr>
        <w:t xml:space="preserve"> </w:t>
      </w:r>
      <w:r w:rsidRPr="00FD40B8">
        <w:rPr>
          <w:color w:val="131727" w:themeColor="text1"/>
          <w:w w:val="110"/>
          <w:sz w:val="16"/>
        </w:rPr>
        <w:t>costs,</w:t>
      </w:r>
      <w:r w:rsidRPr="00FD40B8">
        <w:rPr>
          <w:color w:val="131727" w:themeColor="text1"/>
          <w:spacing w:val="-1"/>
          <w:w w:val="110"/>
          <w:sz w:val="16"/>
        </w:rPr>
        <w:t xml:space="preserve"> </w:t>
      </w:r>
      <w:r w:rsidRPr="00FD40B8">
        <w:rPr>
          <w:color w:val="131727" w:themeColor="text1"/>
          <w:w w:val="110"/>
          <w:sz w:val="16"/>
        </w:rPr>
        <w:t>poor</w:t>
      </w:r>
      <w:r w:rsidRPr="00FD40B8">
        <w:rPr>
          <w:color w:val="131727" w:themeColor="text1"/>
          <w:spacing w:val="40"/>
          <w:w w:val="110"/>
          <w:sz w:val="16"/>
        </w:rPr>
        <w:t xml:space="preserve"> </w:t>
      </w:r>
      <w:r w:rsidRPr="00FD40B8">
        <w:rPr>
          <w:color w:val="131727" w:themeColor="text1"/>
          <w:w w:val="110"/>
          <w:sz w:val="16"/>
        </w:rPr>
        <w:t>customer service)</w:t>
      </w:r>
    </w:p>
    <w:p w14:paraId="2C41D55D" w14:textId="77777777" w:rsidR="00811887" w:rsidRPr="00FD40B8" w:rsidRDefault="00811887" w:rsidP="00811887">
      <w:pPr>
        <w:spacing w:line="266" w:lineRule="auto"/>
        <w:rPr>
          <w:color w:val="131727" w:themeColor="text1"/>
          <w:sz w:val="16"/>
        </w:rPr>
        <w:sectPr w:rsidR="00811887" w:rsidRPr="00FD40B8" w:rsidSect="00811887">
          <w:pgSz w:w="16840" w:h="11910" w:orient="landscape"/>
          <w:pgMar w:top="1220" w:right="1120" w:bottom="1080" w:left="1280" w:header="0" w:footer="880" w:gutter="0"/>
          <w:cols w:space="720"/>
        </w:sectPr>
      </w:pPr>
    </w:p>
    <w:p w14:paraId="74A31976" w14:textId="77777777" w:rsidR="00811887" w:rsidRPr="00FD40B8" w:rsidRDefault="00811887" w:rsidP="00811887">
      <w:pPr>
        <w:pStyle w:val="BodyText"/>
        <w:rPr>
          <w:color w:val="131727" w:themeColor="text1"/>
          <w:sz w:val="2"/>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21"/>
        <w:gridCol w:w="1071"/>
        <w:gridCol w:w="1201"/>
        <w:gridCol w:w="1124"/>
        <w:gridCol w:w="2780"/>
      </w:tblGrid>
      <w:tr w:rsidR="00811887" w:rsidRPr="00FD40B8" w14:paraId="349525DF" w14:textId="77777777" w:rsidTr="00486E22">
        <w:trPr>
          <w:trHeight w:val="239"/>
        </w:trPr>
        <w:tc>
          <w:tcPr>
            <w:tcW w:w="7721" w:type="dxa"/>
          </w:tcPr>
          <w:p w14:paraId="3014CB6A"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spacing w:val="-2"/>
                <w:w w:val="110"/>
                <w:sz w:val="17"/>
              </w:rPr>
              <w:t>Sewage</w:t>
            </w:r>
          </w:p>
        </w:tc>
        <w:tc>
          <w:tcPr>
            <w:tcW w:w="1071" w:type="dxa"/>
          </w:tcPr>
          <w:p w14:paraId="28CC6B9D"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spacing w:val="-10"/>
                <w:w w:val="110"/>
                <w:sz w:val="17"/>
              </w:rPr>
              <w:t>N</w:t>
            </w:r>
          </w:p>
        </w:tc>
        <w:tc>
          <w:tcPr>
            <w:tcW w:w="1201" w:type="dxa"/>
          </w:tcPr>
          <w:p w14:paraId="4549322A" w14:textId="77777777" w:rsidR="00811887" w:rsidRPr="00FD40B8" w:rsidRDefault="00811887" w:rsidP="00486E22">
            <w:pPr>
              <w:pStyle w:val="TableParagraph"/>
              <w:spacing w:before="30" w:line="190" w:lineRule="exact"/>
              <w:ind w:left="104"/>
              <w:rPr>
                <w:color w:val="131727" w:themeColor="text1"/>
                <w:sz w:val="17"/>
              </w:rPr>
            </w:pPr>
            <w:r w:rsidRPr="00FD40B8">
              <w:rPr>
                <w:color w:val="131727" w:themeColor="text1"/>
                <w:spacing w:val="-10"/>
                <w:w w:val="110"/>
                <w:sz w:val="17"/>
              </w:rPr>
              <w:t>N</w:t>
            </w:r>
          </w:p>
        </w:tc>
        <w:tc>
          <w:tcPr>
            <w:tcW w:w="1124" w:type="dxa"/>
          </w:tcPr>
          <w:p w14:paraId="24163DB7" w14:textId="77777777" w:rsidR="00811887" w:rsidRPr="00FD40B8" w:rsidRDefault="00811887" w:rsidP="00486E22">
            <w:pPr>
              <w:pStyle w:val="TableParagraph"/>
              <w:spacing w:before="30" w:line="190" w:lineRule="exact"/>
              <w:ind w:left="104"/>
              <w:rPr>
                <w:color w:val="131727" w:themeColor="text1"/>
                <w:sz w:val="17"/>
              </w:rPr>
            </w:pPr>
            <w:r w:rsidRPr="00FD40B8">
              <w:rPr>
                <w:color w:val="131727" w:themeColor="text1"/>
                <w:spacing w:val="-10"/>
                <w:w w:val="110"/>
                <w:sz w:val="17"/>
              </w:rPr>
              <w:t>N</w:t>
            </w:r>
          </w:p>
        </w:tc>
        <w:tc>
          <w:tcPr>
            <w:tcW w:w="2780" w:type="dxa"/>
          </w:tcPr>
          <w:p w14:paraId="044A61C3" w14:textId="77777777" w:rsidR="00811887" w:rsidRPr="00FD40B8" w:rsidRDefault="00811887" w:rsidP="00486E22">
            <w:pPr>
              <w:pStyle w:val="TableParagraph"/>
              <w:spacing w:before="30" w:line="190" w:lineRule="exact"/>
              <w:ind w:left="103"/>
              <w:rPr>
                <w:color w:val="131727" w:themeColor="text1"/>
                <w:sz w:val="17"/>
              </w:rPr>
            </w:pPr>
            <w:r w:rsidRPr="00FD40B8">
              <w:rPr>
                <w:color w:val="131727" w:themeColor="text1"/>
                <w:spacing w:val="-10"/>
                <w:w w:val="110"/>
                <w:sz w:val="17"/>
              </w:rPr>
              <w:t>N</w:t>
            </w:r>
          </w:p>
        </w:tc>
      </w:tr>
      <w:tr w:rsidR="00811887" w:rsidRPr="00FD40B8" w14:paraId="65505A0C" w14:textId="77777777" w:rsidTr="00486E22">
        <w:trPr>
          <w:trHeight w:val="240"/>
        </w:trPr>
        <w:tc>
          <w:tcPr>
            <w:tcW w:w="7721" w:type="dxa"/>
          </w:tcPr>
          <w:p w14:paraId="58DAA00C"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w w:val="105"/>
                <w:sz w:val="17"/>
              </w:rPr>
              <w:t>Power</w:t>
            </w:r>
            <w:r w:rsidRPr="00FD40B8">
              <w:rPr>
                <w:color w:val="131727" w:themeColor="text1"/>
                <w:spacing w:val="11"/>
                <w:w w:val="110"/>
                <w:sz w:val="17"/>
              </w:rPr>
              <w:t xml:space="preserve"> </w:t>
            </w:r>
            <w:r w:rsidRPr="00FD40B8">
              <w:rPr>
                <w:color w:val="131727" w:themeColor="text1"/>
                <w:spacing w:val="-2"/>
                <w:w w:val="110"/>
                <w:sz w:val="17"/>
              </w:rPr>
              <w:t>supply</w:t>
            </w:r>
          </w:p>
        </w:tc>
        <w:tc>
          <w:tcPr>
            <w:tcW w:w="1071" w:type="dxa"/>
          </w:tcPr>
          <w:p w14:paraId="563AC380"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spacing w:val="-10"/>
                <w:w w:val="110"/>
                <w:sz w:val="17"/>
              </w:rPr>
              <w:t>N</w:t>
            </w:r>
          </w:p>
        </w:tc>
        <w:tc>
          <w:tcPr>
            <w:tcW w:w="1201" w:type="dxa"/>
          </w:tcPr>
          <w:p w14:paraId="276AE8DB" w14:textId="77777777" w:rsidR="00811887" w:rsidRPr="00FD40B8" w:rsidRDefault="00811887" w:rsidP="00486E22">
            <w:pPr>
              <w:pStyle w:val="TableParagraph"/>
              <w:spacing w:before="60" w:line="153" w:lineRule="auto"/>
              <w:ind w:left="104"/>
              <w:rPr>
                <w:color w:val="131727" w:themeColor="text1"/>
                <w:sz w:val="11"/>
              </w:rPr>
            </w:pPr>
            <w:r w:rsidRPr="00FD40B8">
              <w:rPr>
                <w:color w:val="131727" w:themeColor="text1"/>
                <w:spacing w:val="-5"/>
                <w:w w:val="110"/>
                <w:position w:val="-5"/>
                <w:sz w:val="17"/>
              </w:rPr>
              <w:t>N</w:t>
            </w:r>
            <w:hyperlink w:anchor="_bookmark114" w:history="1">
              <w:r w:rsidRPr="00FD40B8">
                <w:rPr>
                  <w:color w:val="131727" w:themeColor="text1"/>
                  <w:spacing w:val="-5"/>
                  <w:w w:val="110"/>
                  <w:sz w:val="11"/>
                </w:rPr>
                <w:t>91</w:t>
              </w:r>
            </w:hyperlink>
          </w:p>
        </w:tc>
        <w:tc>
          <w:tcPr>
            <w:tcW w:w="1124" w:type="dxa"/>
          </w:tcPr>
          <w:p w14:paraId="4B73EDDA" w14:textId="77777777" w:rsidR="00811887" w:rsidRPr="00FD40B8" w:rsidRDefault="00811887" w:rsidP="00486E22">
            <w:pPr>
              <w:pStyle w:val="TableParagraph"/>
              <w:spacing w:before="60" w:line="153" w:lineRule="auto"/>
              <w:ind w:left="104"/>
              <w:rPr>
                <w:color w:val="131727" w:themeColor="text1"/>
                <w:sz w:val="11"/>
              </w:rPr>
            </w:pPr>
            <w:r w:rsidRPr="00FD40B8">
              <w:rPr>
                <w:color w:val="131727" w:themeColor="text1"/>
                <w:spacing w:val="-5"/>
                <w:w w:val="110"/>
                <w:position w:val="-5"/>
                <w:sz w:val="17"/>
              </w:rPr>
              <w:t>Y</w:t>
            </w:r>
            <w:r w:rsidRPr="00FD40B8">
              <w:rPr>
                <w:color w:val="131727" w:themeColor="text1"/>
                <w:spacing w:val="-5"/>
                <w:w w:val="110"/>
                <w:sz w:val="11"/>
              </w:rPr>
              <w:t>26</w:t>
            </w:r>
          </w:p>
        </w:tc>
        <w:tc>
          <w:tcPr>
            <w:tcW w:w="2780" w:type="dxa"/>
          </w:tcPr>
          <w:p w14:paraId="3978AB4C" w14:textId="77777777" w:rsidR="00811887" w:rsidRPr="00FD40B8" w:rsidRDefault="00811887" w:rsidP="00486E22">
            <w:pPr>
              <w:pStyle w:val="TableParagraph"/>
              <w:spacing w:before="30" w:line="190" w:lineRule="exact"/>
              <w:ind w:left="103"/>
              <w:rPr>
                <w:color w:val="131727" w:themeColor="text1"/>
                <w:sz w:val="17"/>
              </w:rPr>
            </w:pPr>
            <w:r w:rsidRPr="00FD40B8">
              <w:rPr>
                <w:color w:val="131727" w:themeColor="text1"/>
                <w:spacing w:val="-10"/>
                <w:w w:val="110"/>
                <w:sz w:val="17"/>
              </w:rPr>
              <w:t>N</w:t>
            </w:r>
          </w:p>
        </w:tc>
      </w:tr>
      <w:tr w:rsidR="00811887" w:rsidRPr="00FD40B8" w14:paraId="24F07A89" w14:textId="77777777" w:rsidTr="00486E22">
        <w:trPr>
          <w:trHeight w:val="239"/>
        </w:trPr>
        <w:tc>
          <w:tcPr>
            <w:tcW w:w="7721" w:type="dxa"/>
          </w:tcPr>
          <w:p w14:paraId="569B7D96"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w w:val="105"/>
                <w:sz w:val="17"/>
              </w:rPr>
              <w:t>Community</w:t>
            </w:r>
            <w:r w:rsidRPr="00FD40B8">
              <w:rPr>
                <w:color w:val="131727" w:themeColor="text1"/>
                <w:spacing w:val="29"/>
                <w:w w:val="105"/>
                <w:sz w:val="17"/>
              </w:rPr>
              <w:t xml:space="preserve"> </w:t>
            </w:r>
            <w:r w:rsidRPr="00FD40B8">
              <w:rPr>
                <w:color w:val="131727" w:themeColor="text1"/>
                <w:spacing w:val="-2"/>
                <w:w w:val="105"/>
                <w:sz w:val="17"/>
              </w:rPr>
              <w:t>infrastructure</w:t>
            </w:r>
          </w:p>
        </w:tc>
        <w:tc>
          <w:tcPr>
            <w:tcW w:w="1071" w:type="dxa"/>
          </w:tcPr>
          <w:p w14:paraId="262DCDAB"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spacing w:val="-10"/>
                <w:w w:val="110"/>
                <w:sz w:val="17"/>
              </w:rPr>
              <w:t>N</w:t>
            </w:r>
          </w:p>
        </w:tc>
        <w:tc>
          <w:tcPr>
            <w:tcW w:w="1201" w:type="dxa"/>
          </w:tcPr>
          <w:p w14:paraId="4637DB5C" w14:textId="77777777" w:rsidR="00811887" w:rsidRPr="00FD40B8" w:rsidRDefault="00811887" w:rsidP="00486E22">
            <w:pPr>
              <w:pStyle w:val="TableParagraph"/>
              <w:spacing w:before="30" w:line="190" w:lineRule="exact"/>
              <w:ind w:left="104"/>
              <w:rPr>
                <w:color w:val="131727" w:themeColor="text1"/>
                <w:sz w:val="17"/>
              </w:rPr>
            </w:pPr>
            <w:r w:rsidRPr="00FD40B8">
              <w:rPr>
                <w:color w:val="131727" w:themeColor="text1"/>
                <w:spacing w:val="-10"/>
                <w:w w:val="110"/>
                <w:sz w:val="17"/>
              </w:rPr>
              <w:t>N</w:t>
            </w:r>
          </w:p>
        </w:tc>
        <w:tc>
          <w:tcPr>
            <w:tcW w:w="1124" w:type="dxa"/>
          </w:tcPr>
          <w:p w14:paraId="67E721C6" w14:textId="77777777" w:rsidR="00811887" w:rsidRPr="00FD40B8" w:rsidRDefault="00811887" w:rsidP="00486E22">
            <w:pPr>
              <w:pStyle w:val="TableParagraph"/>
              <w:spacing w:before="60" w:line="153" w:lineRule="auto"/>
              <w:ind w:left="104"/>
              <w:rPr>
                <w:color w:val="131727" w:themeColor="text1"/>
                <w:sz w:val="11"/>
              </w:rPr>
            </w:pPr>
            <w:r w:rsidRPr="00FD40B8">
              <w:rPr>
                <w:color w:val="131727" w:themeColor="text1"/>
                <w:spacing w:val="-5"/>
                <w:w w:val="110"/>
                <w:position w:val="-5"/>
                <w:sz w:val="17"/>
              </w:rPr>
              <w:t>Y</w:t>
            </w:r>
            <w:hyperlink w:anchor="_bookmark115" w:history="1">
              <w:r w:rsidRPr="00FD40B8">
                <w:rPr>
                  <w:color w:val="131727" w:themeColor="text1"/>
                  <w:spacing w:val="-5"/>
                  <w:w w:val="110"/>
                  <w:sz w:val="11"/>
                </w:rPr>
                <w:t>92</w:t>
              </w:r>
            </w:hyperlink>
          </w:p>
        </w:tc>
        <w:tc>
          <w:tcPr>
            <w:tcW w:w="2780" w:type="dxa"/>
          </w:tcPr>
          <w:p w14:paraId="2907A277" w14:textId="77777777" w:rsidR="00811887" w:rsidRPr="00FD40B8" w:rsidRDefault="00811887" w:rsidP="00486E22">
            <w:pPr>
              <w:pStyle w:val="TableParagraph"/>
              <w:spacing w:before="30" w:line="190" w:lineRule="exact"/>
              <w:ind w:left="103"/>
              <w:rPr>
                <w:color w:val="131727" w:themeColor="text1"/>
                <w:sz w:val="17"/>
              </w:rPr>
            </w:pPr>
            <w:r w:rsidRPr="00FD40B8">
              <w:rPr>
                <w:color w:val="131727" w:themeColor="text1"/>
                <w:spacing w:val="-10"/>
                <w:w w:val="110"/>
                <w:sz w:val="17"/>
              </w:rPr>
              <w:t>N</w:t>
            </w:r>
          </w:p>
        </w:tc>
      </w:tr>
      <w:tr w:rsidR="00811887" w:rsidRPr="00FD40B8" w14:paraId="5BDC40D2" w14:textId="77777777" w:rsidTr="00486E22">
        <w:trPr>
          <w:trHeight w:val="239"/>
        </w:trPr>
        <w:tc>
          <w:tcPr>
            <w:tcW w:w="7721" w:type="dxa"/>
          </w:tcPr>
          <w:p w14:paraId="3899A24D"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w w:val="105"/>
                <w:sz w:val="17"/>
              </w:rPr>
              <w:t>Access</w:t>
            </w:r>
            <w:r w:rsidRPr="00FD40B8">
              <w:rPr>
                <w:color w:val="131727" w:themeColor="text1"/>
                <w:spacing w:val="13"/>
                <w:w w:val="105"/>
                <w:sz w:val="17"/>
              </w:rPr>
              <w:t xml:space="preserve"> </w:t>
            </w:r>
            <w:r w:rsidRPr="00FD40B8">
              <w:rPr>
                <w:color w:val="131727" w:themeColor="text1"/>
                <w:w w:val="105"/>
                <w:sz w:val="17"/>
              </w:rPr>
              <w:t>to</w:t>
            </w:r>
            <w:r w:rsidRPr="00FD40B8">
              <w:rPr>
                <w:color w:val="131727" w:themeColor="text1"/>
                <w:spacing w:val="12"/>
                <w:w w:val="105"/>
                <w:sz w:val="17"/>
              </w:rPr>
              <w:t xml:space="preserve"> </w:t>
            </w:r>
            <w:r w:rsidRPr="00FD40B8">
              <w:rPr>
                <w:color w:val="131727" w:themeColor="text1"/>
                <w:w w:val="105"/>
                <w:sz w:val="17"/>
              </w:rPr>
              <w:t>key</w:t>
            </w:r>
            <w:r w:rsidRPr="00FD40B8">
              <w:rPr>
                <w:color w:val="131727" w:themeColor="text1"/>
                <w:spacing w:val="15"/>
                <w:w w:val="105"/>
                <w:sz w:val="17"/>
              </w:rPr>
              <w:t xml:space="preserve"> </w:t>
            </w:r>
            <w:r w:rsidRPr="00FD40B8">
              <w:rPr>
                <w:color w:val="131727" w:themeColor="text1"/>
                <w:w w:val="105"/>
                <w:sz w:val="17"/>
              </w:rPr>
              <w:t>services</w:t>
            </w:r>
            <w:r w:rsidRPr="00FD40B8">
              <w:rPr>
                <w:color w:val="131727" w:themeColor="text1"/>
                <w:spacing w:val="8"/>
                <w:w w:val="105"/>
                <w:sz w:val="17"/>
              </w:rPr>
              <w:t xml:space="preserve"> </w:t>
            </w:r>
            <w:r w:rsidRPr="00FD40B8">
              <w:rPr>
                <w:color w:val="131727" w:themeColor="text1"/>
                <w:w w:val="105"/>
                <w:sz w:val="17"/>
              </w:rPr>
              <w:t>(e.g.</w:t>
            </w:r>
            <w:r w:rsidRPr="00FD40B8">
              <w:rPr>
                <w:color w:val="131727" w:themeColor="text1"/>
                <w:spacing w:val="8"/>
                <w:w w:val="105"/>
                <w:sz w:val="17"/>
              </w:rPr>
              <w:t xml:space="preserve"> </w:t>
            </w:r>
            <w:r w:rsidRPr="00FD40B8">
              <w:rPr>
                <w:color w:val="131727" w:themeColor="text1"/>
                <w:spacing w:val="-2"/>
                <w:w w:val="105"/>
                <w:sz w:val="17"/>
              </w:rPr>
              <w:t>medical)</w:t>
            </w:r>
          </w:p>
        </w:tc>
        <w:tc>
          <w:tcPr>
            <w:tcW w:w="1071" w:type="dxa"/>
          </w:tcPr>
          <w:p w14:paraId="78F43737" w14:textId="77777777" w:rsidR="00811887" w:rsidRPr="00FD40B8" w:rsidRDefault="00811887" w:rsidP="00486E22">
            <w:pPr>
              <w:pStyle w:val="TableParagraph"/>
              <w:spacing w:before="30" w:line="190" w:lineRule="exact"/>
              <w:ind w:left="105"/>
              <w:rPr>
                <w:color w:val="131727" w:themeColor="text1"/>
                <w:sz w:val="17"/>
              </w:rPr>
            </w:pPr>
            <w:r w:rsidRPr="00FD40B8">
              <w:rPr>
                <w:color w:val="131727" w:themeColor="text1"/>
                <w:spacing w:val="-10"/>
                <w:w w:val="110"/>
                <w:sz w:val="17"/>
              </w:rPr>
              <w:t>N</w:t>
            </w:r>
          </w:p>
        </w:tc>
        <w:tc>
          <w:tcPr>
            <w:tcW w:w="1201" w:type="dxa"/>
          </w:tcPr>
          <w:p w14:paraId="4BF7319D" w14:textId="77777777" w:rsidR="00811887" w:rsidRPr="00FD40B8" w:rsidRDefault="00811887" w:rsidP="00486E22">
            <w:pPr>
              <w:pStyle w:val="TableParagraph"/>
              <w:spacing w:before="30" w:line="190" w:lineRule="exact"/>
              <w:ind w:left="104"/>
              <w:rPr>
                <w:color w:val="131727" w:themeColor="text1"/>
                <w:sz w:val="17"/>
              </w:rPr>
            </w:pPr>
            <w:r w:rsidRPr="00FD40B8">
              <w:rPr>
                <w:color w:val="131727" w:themeColor="text1"/>
                <w:spacing w:val="-10"/>
                <w:w w:val="110"/>
                <w:sz w:val="17"/>
              </w:rPr>
              <w:t>N</w:t>
            </w:r>
          </w:p>
        </w:tc>
        <w:tc>
          <w:tcPr>
            <w:tcW w:w="1124" w:type="dxa"/>
          </w:tcPr>
          <w:p w14:paraId="65373EF5" w14:textId="77777777" w:rsidR="00811887" w:rsidRPr="00FD40B8" w:rsidRDefault="00811887" w:rsidP="00486E22">
            <w:pPr>
              <w:pStyle w:val="TableParagraph"/>
              <w:spacing w:before="60" w:line="153" w:lineRule="auto"/>
              <w:ind w:left="104"/>
              <w:rPr>
                <w:color w:val="131727" w:themeColor="text1"/>
                <w:sz w:val="11"/>
              </w:rPr>
            </w:pPr>
            <w:r w:rsidRPr="00FD40B8">
              <w:rPr>
                <w:color w:val="131727" w:themeColor="text1"/>
                <w:spacing w:val="-5"/>
                <w:w w:val="110"/>
                <w:position w:val="-5"/>
                <w:sz w:val="17"/>
              </w:rPr>
              <w:t>Y</w:t>
            </w:r>
            <w:hyperlink w:anchor="_bookmark116" w:history="1">
              <w:r w:rsidRPr="00FD40B8">
                <w:rPr>
                  <w:color w:val="131727" w:themeColor="text1"/>
                  <w:spacing w:val="-5"/>
                  <w:w w:val="110"/>
                  <w:sz w:val="11"/>
                </w:rPr>
                <w:t>93</w:t>
              </w:r>
            </w:hyperlink>
          </w:p>
        </w:tc>
        <w:tc>
          <w:tcPr>
            <w:tcW w:w="2780" w:type="dxa"/>
          </w:tcPr>
          <w:p w14:paraId="13771E90" w14:textId="77777777" w:rsidR="00811887" w:rsidRPr="00FD40B8" w:rsidRDefault="00811887" w:rsidP="00486E22">
            <w:pPr>
              <w:pStyle w:val="TableParagraph"/>
              <w:spacing w:before="30" w:line="190" w:lineRule="exact"/>
              <w:ind w:left="103"/>
              <w:rPr>
                <w:color w:val="131727" w:themeColor="text1"/>
                <w:sz w:val="17"/>
              </w:rPr>
            </w:pPr>
            <w:r w:rsidRPr="00FD40B8">
              <w:rPr>
                <w:color w:val="131727" w:themeColor="text1"/>
                <w:spacing w:val="-10"/>
                <w:w w:val="110"/>
                <w:sz w:val="17"/>
              </w:rPr>
              <w:t>N</w:t>
            </w:r>
          </w:p>
        </w:tc>
      </w:tr>
    </w:tbl>
    <w:p w14:paraId="2BAF8F35" w14:textId="77777777" w:rsidR="00811887" w:rsidRPr="00FD40B8" w:rsidRDefault="00811887" w:rsidP="00811887">
      <w:pPr>
        <w:pStyle w:val="BodyText"/>
        <w:rPr>
          <w:color w:val="131727" w:themeColor="text1"/>
        </w:rPr>
      </w:pPr>
    </w:p>
    <w:p w14:paraId="0915B2B5" w14:textId="77777777" w:rsidR="00811887" w:rsidRPr="00FD40B8" w:rsidRDefault="00811887" w:rsidP="00811887">
      <w:pPr>
        <w:pStyle w:val="BodyText"/>
        <w:rPr>
          <w:color w:val="131727" w:themeColor="text1"/>
        </w:rPr>
      </w:pPr>
    </w:p>
    <w:p w14:paraId="2075840D" w14:textId="77777777" w:rsidR="00811887" w:rsidRPr="00FD40B8" w:rsidRDefault="00811887" w:rsidP="00811887">
      <w:pPr>
        <w:pStyle w:val="BodyText"/>
        <w:rPr>
          <w:color w:val="131727" w:themeColor="text1"/>
        </w:rPr>
      </w:pPr>
    </w:p>
    <w:p w14:paraId="5757A656" w14:textId="77777777" w:rsidR="00811887" w:rsidRPr="00FD40B8" w:rsidRDefault="00811887" w:rsidP="00811887">
      <w:pPr>
        <w:pStyle w:val="BodyText"/>
        <w:rPr>
          <w:color w:val="131727" w:themeColor="text1"/>
        </w:rPr>
      </w:pPr>
    </w:p>
    <w:p w14:paraId="5895133F" w14:textId="77777777" w:rsidR="00811887" w:rsidRPr="00FD40B8" w:rsidRDefault="00811887" w:rsidP="00811887">
      <w:pPr>
        <w:pStyle w:val="BodyText"/>
        <w:rPr>
          <w:color w:val="131727" w:themeColor="text1"/>
        </w:rPr>
      </w:pPr>
    </w:p>
    <w:p w14:paraId="6A104834" w14:textId="77777777" w:rsidR="00811887" w:rsidRPr="00FD40B8" w:rsidRDefault="00811887" w:rsidP="00811887">
      <w:pPr>
        <w:pStyle w:val="BodyText"/>
        <w:rPr>
          <w:color w:val="131727" w:themeColor="text1"/>
        </w:rPr>
      </w:pPr>
    </w:p>
    <w:p w14:paraId="0DAED773" w14:textId="77777777" w:rsidR="00811887" w:rsidRPr="00FD40B8" w:rsidRDefault="00811887" w:rsidP="00811887">
      <w:pPr>
        <w:pStyle w:val="BodyText"/>
        <w:rPr>
          <w:color w:val="131727" w:themeColor="text1"/>
        </w:rPr>
      </w:pPr>
    </w:p>
    <w:p w14:paraId="078C011E" w14:textId="77777777" w:rsidR="00811887" w:rsidRPr="00FD40B8" w:rsidRDefault="00811887" w:rsidP="00811887">
      <w:pPr>
        <w:pStyle w:val="BodyText"/>
        <w:rPr>
          <w:color w:val="131727" w:themeColor="text1"/>
        </w:rPr>
      </w:pPr>
    </w:p>
    <w:p w14:paraId="21138111" w14:textId="77777777" w:rsidR="00811887" w:rsidRPr="00FD40B8" w:rsidRDefault="00811887" w:rsidP="00811887">
      <w:pPr>
        <w:pStyle w:val="BodyText"/>
        <w:rPr>
          <w:color w:val="131727" w:themeColor="text1"/>
        </w:rPr>
      </w:pPr>
    </w:p>
    <w:p w14:paraId="044B2041" w14:textId="77777777" w:rsidR="00811887" w:rsidRPr="00FD40B8" w:rsidRDefault="00811887" w:rsidP="00811887">
      <w:pPr>
        <w:pStyle w:val="BodyText"/>
        <w:rPr>
          <w:color w:val="131727" w:themeColor="text1"/>
        </w:rPr>
      </w:pPr>
    </w:p>
    <w:p w14:paraId="5120FE22" w14:textId="77777777" w:rsidR="00811887" w:rsidRPr="00FD40B8" w:rsidRDefault="00811887" w:rsidP="00811887">
      <w:pPr>
        <w:pStyle w:val="BodyText"/>
        <w:rPr>
          <w:color w:val="131727" w:themeColor="text1"/>
        </w:rPr>
      </w:pPr>
    </w:p>
    <w:p w14:paraId="79C231BE" w14:textId="77777777" w:rsidR="00811887" w:rsidRPr="00FD40B8" w:rsidRDefault="00811887" w:rsidP="00811887">
      <w:pPr>
        <w:pStyle w:val="BodyText"/>
        <w:rPr>
          <w:color w:val="131727" w:themeColor="text1"/>
        </w:rPr>
      </w:pPr>
    </w:p>
    <w:p w14:paraId="29FB4C99" w14:textId="77777777" w:rsidR="00811887" w:rsidRPr="00FD40B8" w:rsidRDefault="00811887" w:rsidP="00811887">
      <w:pPr>
        <w:pStyle w:val="BodyText"/>
        <w:rPr>
          <w:color w:val="131727" w:themeColor="text1"/>
        </w:rPr>
      </w:pPr>
    </w:p>
    <w:p w14:paraId="28B645C0" w14:textId="77777777" w:rsidR="00811887" w:rsidRPr="00FD40B8" w:rsidRDefault="00811887" w:rsidP="00811887">
      <w:pPr>
        <w:pStyle w:val="BodyText"/>
        <w:rPr>
          <w:color w:val="131727" w:themeColor="text1"/>
        </w:rPr>
      </w:pPr>
    </w:p>
    <w:p w14:paraId="739EAB1E" w14:textId="77777777" w:rsidR="00811887" w:rsidRPr="00FD40B8" w:rsidRDefault="00811887" w:rsidP="00811887">
      <w:pPr>
        <w:pStyle w:val="BodyText"/>
        <w:rPr>
          <w:color w:val="131727" w:themeColor="text1"/>
        </w:rPr>
      </w:pPr>
    </w:p>
    <w:p w14:paraId="29178BF8" w14:textId="77777777" w:rsidR="00811887" w:rsidRPr="00FD40B8" w:rsidRDefault="00811887" w:rsidP="00811887">
      <w:pPr>
        <w:pStyle w:val="BodyText"/>
        <w:rPr>
          <w:color w:val="131727" w:themeColor="text1"/>
        </w:rPr>
      </w:pPr>
    </w:p>
    <w:p w14:paraId="07617C7E" w14:textId="77777777" w:rsidR="00811887" w:rsidRPr="00FD40B8" w:rsidRDefault="00811887" w:rsidP="00811887">
      <w:pPr>
        <w:pStyle w:val="BodyText"/>
        <w:rPr>
          <w:color w:val="131727" w:themeColor="text1"/>
        </w:rPr>
      </w:pPr>
    </w:p>
    <w:p w14:paraId="41F1A79E" w14:textId="77777777" w:rsidR="00811887" w:rsidRPr="00FD40B8" w:rsidRDefault="00811887" w:rsidP="00811887">
      <w:pPr>
        <w:pStyle w:val="BodyText"/>
        <w:rPr>
          <w:color w:val="131727" w:themeColor="text1"/>
        </w:rPr>
      </w:pPr>
    </w:p>
    <w:p w14:paraId="6EB83AED" w14:textId="77777777" w:rsidR="00811887" w:rsidRPr="00FD40B8" w:rsidRDefault="00811887" w:rsidP="00811887">
      <w:pPr>
        <w:pStyle w:val="BodyText"/>
        <w:rPr>
          <w:color w:val="131727" w:themeColor="text1"/>
        </w:rPr>
      </w:pPr>
    </w:p>
    <w:p w14:paraId="2CB990D5" w14:textId="77777777" w:rsidR="00811887" w:rsidRPr="00FD40B8" w:rsidRDefault="00811887" w:rsidP="00811887">
      <w:pPr>
        <w:pStyle w:val="BodyText"/>
        <w:rPr>
          <w:color w:val="131727" w:themeColor="text1"/>
        </w:rPr>
      </w:pPr>
    </w:p>
    <w:p w14:paraId="65F6033C" w14:textId="77777777" w:rsidR="00811887" w:rsidRPr="00FD40B8" w:rsidRDefault="00811887" w:rsidP="00811887">
      <w:pPr>
        <w:pStyle w:val="BodyText"/>
        <w:rPr>
          <w:color w:val="131727" w:themeColor="text1"/>
        </w:rPr>
      </w:pPr>
    </w:p>
    <w:p w14:paraId="29E6F60E" w14:textId="77777777" w:rsidR="00811887" w:rsidRPr="00FD40B8" w:rsidRDefault="00811887" w:rsidP="00811887">
      <w:pPr>
        <w:pStyle w:val="BodyText"/>
        <w:rPr>
          <w:color w:val="131727" w:themeColor="text1"/>
        </w:rPr>
      </w:pPr>
    </w:p>
    <w:p w14:paraId="1C7A4816" w14:textId="77777777" w:rsidR="00811887" w:rsidRPr="00FD40B8" w:rsidRDefault="00811887" w:rsidP="00811887">
      <w:pPr>
        <w:pStyle w:val="BodyText"/>
        <w:rPr>
          <w:color w:val="131727" w:themeColor="text1"/>
        </w:rPr>
      </w:pPr>
    </w:p>
    <w:p w14:paraId="1A2C3508" w14:textId="77777777" w:rsidR="00811887" w:rsidRPr="00FD40B8" w:rsidRDefault="00811887" w:rsidP="00811887">
      <w:pPr>
        <w:pStyle w:val="BodyText"/>
        <w:rPr>
          <w:color w:val="131727" w:themeColor="text1"/>
        </w:rPr>
      </w:pPr>
    </w:p>
    <w:p w14:paraId="2CFB40DC" w14:textId="77777777" w:rsidR="00811887" w:rsidRPr="00FD40B8" w:rsidRDefault="00811887" w:rsidP="00811887">
      <w:pPr>
        <w:pStyle w:val="BodyText"/>
        <w:rPr>
          <w:color w:val="131727" w:themeColor="text1"/>
        </w:rPr>
      </w:pPr>
    </w:p>
    <w:p w14:paraId="3DF4004E" w14:textId="77777777" w:rsidR="00811887" w:rsidRPr="00FD40B8" w:rsidRDefault="00811887" w:rsidP="00811887">
      <w:pPr>
        <w:pStyle w:val="BodyText"/>
        <w:rPr>
          <w:color w:val="131727" w:themeColor="text1"/>
        </w:rPr>
      </w:pPr>
    </w:p>
    <w:p w14:paraId="54BC75A5" w14:textId="77777777" w:rsidR="00811887" w:rsidRPr="00FD40B8" w:rsidRDefault="00811887" w:rsidP="00811887">
      <w:pPr>
        <w:pStyle w:val="BodyText"/>
        <w:rPr>
          <w:color w:val="131727" w:themeColor="text1"/>
        </w:rPr>
      </w:pPr>
    </w:p>
    <w:p w14:paraId="5CFA1574" w14:textId="77777777" w:rsidR="00811887" w:rsidRPr="00FD40B8" w:rsidRDefault="00811887" w:rsidP="00811887">
      <w:pPr>
        <w:pStyle w:val="BodyText"/>
        <w:rPr>
          <w:color w:val="131727" w:themeColor="text1"/>
        </w:rPr>
      </w:pPr>
    </w:p>
    <w:p w14:paraId="0115ED2B" w14:textId="77777777" w:rsidR="00811887" w:rsidRPr="00FD40B8" w:rsidRDefault="00811887" w:rsidP="00811887">
      <w:pPr>
        <w:pStyle w:val="BodyText"/>
        <w:rPr>
          <w:color w:val="131727" w:themeColor="text1"/>
        </w:rPr>
      </w:pPr>
    </w:p>
    <w:p w14:paraId="41383EEC" w14:textId="77777777" w:rsidR="00811887" w:rsidRPr="00FD40B8" w:rsidRDefault="00811887" w:rsidP="00811887">
      <w:pPr>
        <w:pStyle w:val="BodyText"/>
        <w:rPr>
          <w:color w:val="131727" w:themeColor="text1"/>
        </w:rPr>
      </w:pPr>
    </w:p>
    <w:p w14:paraId="25D2B556" w14:textId="77777777" w:rsidR="00811887" w:rsidRPr="00FD40B8" w:rsidRDefault="00811887" w:rsidP="00811887">
      <w:pPr>
        <w:pStyle w:val="BodyText"/>
        <w:spacing w:before="44"/>
        <w:rPr>
          <w:color w:val="131727" w:themeColor="text1"/>
        </w:rPr>
      </w:pPr>
      <w:r w:rsidRPr="00FD40B8">
        <w:rPr>
          <w:noProof/>
          <w:color w:val="131727" w:themeColor="text1"/>
        </w:rPr>
        <mc:AlternateContent>
          <mc:Choice Requires="wps">
            <w:drawing>
              <wp:anchor distT="0" distB="0" distL="0" distR="0" simplePos="0" relativeHeight="251773952" behindDoc="1" locked="0" layoutInCell="1" allowOverlap="1" wp14:anchorId="1BF38335" wp14:editId="67FD477E">
                <wp:simplePos x="0" y="0"/>
                <wp:positionH relativeFrom="page">
                  <wp:posOffset>899464</wp:posOffset>
                </wp:positionH>
                <wp:positionV relativeFrom="paragraph">
                  <wp:posOffset>198226</wp:posOffset>
                </wp:positionV>
                <wp:extent cx="1829435" cy="6350"/>
                <wp:effectExtent l="0" t="0" r="0" b="0"/>
                <wp:wrapTopAndBottom/>
                <wp:docPr id="233" name="Graphic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2DF86B" id="Graphic 233" o:spid="_x0000_s1026" alt="&quot;&quot;" style="position:absolute;margin-left:70.8pt;margin-top:15.6pt;width:144.05pt;height:.5pt;z-index:-2515425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" path="m1829435,l,,,6095r1829435,l1829435,xe" fillcolor="black" stroked="f">
                <v:path arrowok="t"/>
                <w10:wrap type="topAndBottom" anchorx="page"/>
              </v:shape>
            </w:pict>
          </mc:Fallback>
        </mc:AlternateContent>
      </w:r>
    </w:p>
    <w:p w14:paraId="1F835BC4" w14:textId="77777777" w:rsidR="00811887" w:rsidRPr="00FD40B8" w:rsidRDefault="00811887" w:rsidP="00811887">
      <w:pPr>
        <w:spacing w:before="119"/>
        <w:ind w:left="136"/>
        <w:rPr>
          <w:color w:val="131727" w:themeColor="text1"/>
          <w:sz w:val="16"/>
        </w:rPr>
      </w:pPr>
      <w:bookmarkStart w:id="225" w:name="_bookmark114"/>
      <w:bookmarkEnd w:id="225"/>
      <w:r w:rsidRPr="00FD40B8">
        <w:rPr>
          <w:color w:val="131727" w:themeColor="text1"/>
          <w:w w:val="110"/>
          <w:position w:val="6"/>
          <w:sz w:val="10"/>
        </w:rPr>
        <w:t>91</w:t>
      </w:r>
      <w:r w:rsidRPr="00FD40B8">
        <w:rPr>
          <w:color w:val="131727" w:themeColor="text1"/>
          <w:spacing w:val="11"/>
          <w:w w:val="110"/>
          <w:position w:val="6"/>
          <w:sz w:val="10"/>
        </w:rPr>
        <w:t xml:space="preserve"> </w:t>
      </w:r>
      <w:r w:rsidRPr="00FD40B8">
        <w:rPr>
          <w:color w:val="131727" w:themeColor="text1"/>
          <w:w w:val="110"/>
          <w:sz w:val="16"/>
        </w:rPr>
        <w:t>NATSIHS</w:t>
      </w:r>
      <w:r w:rsidRPr="00FD40B8">
        <w:rPr>
          <w:color w:val="131727" w:themeColor="text1"/>
          <w:spacing w:val="-4"/>
          <w:w w:val="110"/>
          <w:sz w:val="16"/>
        </w:rPr>
        <w:t xml:space="preserve"> </w:t>
      </w:r>
      <w:r w:rsidRPr="00FD40B8">
        <w:rPr>
          <w:color w:val="131727" w:themeColor="text1"/>
          <w:w w:val="110"/>
          <w:sz w:val="16"/>
        </w:rPr>
        <w:t>includes</w:t>
      </w:r>
      <w:r w:rsidRPr="00FD40B8">
        <w:rPr>
          <w:color w:val="131727" w:themeColor="text1"/>
          <w:spacing w:val="-4"/>
          <w:w w:val="110"/>
          <w:sz w:val="16"/>
        </w:rPr>
        <w:t xml:space="preserve"> </w:t>
      </w:r>
      <w:r w:rsidRPr="00FD40B8">
        <w:rPr>
          <w:color w:val="131727" w:themeColor="text1"/>
          <w:w w:val="110"/>
          <w:sz w:val="16"/>
        </w:rPr>
        <w:t>whether</w:t>
      </w:r>
      <w:r w:rsidRPr="00FD40B8">
        <w:rPr>
          <w:color w:val="131727" w:themeColor="text1"/>
          <w:spacing w:val="-3"/>
          <w:w w:val="110"/>
          <w:sz w:val="16"/>
        </w:rPr>
        <w:t xml:space="preserve"> </w:t>
      </w:r>
      <w:r w:rsidRPr="00FD40B8">
        <w:rPr>
          <w:color w:val="131727" w:themeColor="text1"/>
          <w:w w:val="110"/>
          <w:sz w:val="16"/>
        </w:rPr>
        <w:t>household</w:t>
      </w:r>
      <w:r w:rsidRPr="00FD40B8">
        <w:rPr>
          <w:color w:val="131727" w:themeColor="text1"/>
          <w:spacing w:val="-2"/>
          <w:w w:val="110"/>
          <w:sz w:val="16"/>
        </w:rPr>
        <w:t xml:space="preserve"> </w:t>
      </w:r>
      <w:r w:rsidRPr="00FD40B8">
        <w:rPr>
          <w:color w:val="131727" w:themeColor="text1"/>
          <w:w w:val="110"/>
          <w:sz w:val="16"/>
        </w:rPr>
        <w:t>power</w:t>
      </w:r>
      <w:r w:rsidRPr="00FD40B8">
        <w:rPr>
          <w:color w:val="131727" w:themeColor="text1"/>
          <w:spacing w:val="1"/>
          <w:w w:val="110"/>
          <w:sz w:val="16"/>
        </w:rPr>
        <w:t xml:space="preserve"> </w:t>
      </w:r>
      <w:r w:rsidRPr="00FD40B8">
        <w:rPr>
          <w:color w:val="131727" w:themeColor="text1"/>
          <w:w w:val="110"/>
          <w:sz w:val="16"/>
        </w:rPr>
        <w:t>or</w:t>
      </w:r>
      <w:r w:rsidRPr="00FD40B8">
        <w:rPr>
          <w:color w:val="131727" w:themeColor="text1"/>
          <w:spacing w:val="-3"/>
          <w:w w:val="110"/>
          <w:sz w:val="16"/>
        </w:rPr>
        <w:t xml:space="preserve"> </w:t>
      </w:r>
      <w:r w:rsidRPr="00FD40B8">
        <w:rPr>
          <w:color w:val="131727" w:themeColor="text1"/>
          <w:w w:val="110"/>
          <w:sz w:val="16"/>
        </w:rPr>
        <w:t>fuel</w:t>
      </w:r>
      <w:r w:rsidRPr="00FD40B8">
        <w:rPr>
          <w:color w:val="131727" w:themeColor="text1"/>
          <w:spacing w:val="-5"/>
          <w:w w:val="110"/>
          <w:sz w:val="16"/>
        </w:rPr>
        <w:t xml:space="preserve"> </w:t>
      </w:r>
      <w:r w:rsidRPr="00FD40B8">
        <w:rPr>
          <w:color w:val="131727" w:themeColor="text1"/>
          <w:w w:val="110"/>
          <w:sz w:val="16"/>
        </w:rPr>
        <w:t>is</w:t>
      </w:r>
      <w:r w:rsidRPr="00FD40B8">
        <w:rPr>
          <w:color w:val="131727" w:themeColor="text1"/>
          <w:spacing w:val="-5"/>
          <w:w w:val="110"/>
          <w:sz w:val="16"/>
        </w:rPr>
        <w:t xml:space="preserve"> </w:t>
      </w:r>
      <w:r w:rsidRPr="00FD40B8">
        <w:rPr>
          <w:color w:val="131727" w:themeColor="text1"/>
          <w:w w:val="110"/>
          <w:sz w:val="16"/>
        </w:rPr>
        <w:t>not</w:t>
      </w:r>
      <w:r w:rsidRPr="00FD40B8">
        <w:rPr>
          <w:color w:val="131727" w:themeColor="text1"/>
          <w:spacing w:val="-3"/>
          <w:w w:val="110"/>
          <w:sz w:val="16"/>
        </w:rPr>
        <w:t xml:space="preserve"> </w:t>
      </w:r>
      <w:r w:rsidRPr="00FD40B8">
        <w:rPr>
          <w:color w:val="131727" w:themeColor="text1"/>
          <w:w w:val="110"/>
          <w:sz w:val="16"/>
        </w:rPr>
        <w:t>working,</w:t>
      </w:r>
      <w:r w:rsidRPr="00FD40B8">
        <w:rPr>
          <w:color w:val="131727" w:themeColor="text1"/>
          <w:spacing w:val="-4"/>
          <w:w w:val="110"/>
          <w:sz w:val="16"/>
        </w:rPr>
        <w:t xml:space="preserve"> </w:t>
      </w:r>
      <w:r w:rsidRPr="00FD40B8">
        <w:rPr>
          <w:color w:val="131727" w:themeColor="text1"/>
          <w:w w:val="110"/>
          <w:sz w:val="16"/>
        </w:rPr>
        <w:t>which</w:t>
      </w:r>
      <w:r w:rsidRPr="00FD40B8">
        <w:rPr>
          <w:color w:val="131727" w:themeColor="text1"/>
          <w:spacing w:val="-1"/>
          <w:w w:val="110"/>
          <w:sz w:val="16"/>
        </w:rPr>
        <w:t xml:space="preserve"> </w:t>
      </w:r>
      <w:r w:rsidRPr="00FD40B8">
        <w:rPr>
          <w:color w:val="131727" w:themeColor="text1"/>
          <w:w w:val="110"/>
          <w:sz w:val="16"/>
        </w:rPr>
        <w:t>includes</w:t>
      </w:r>
      <w:r w:rsidRPr="00FD40B8">
        <w:rPr>
          <w:color w:val="131727" w:themeColor="text1"/>
          <w:spacing w:val="-5"/>
          <w:w w:val="110"/>
          <w:sz w:val="16"/>
        </w:rPr>
        <w:t xml:space="preserve"> </w:t>
      </w:r>
      <w:r w:rsidRPr="00FD40B8">
        <w:rPr>
          <w:color w:val="131727" w:themeColor="text1"/>
          <w:w w:val="110"/>
          <w:sz w:val="16"/>
        </w:rPr>
        <w:t>when</w:t>
      </w:r>
      <w:r w:rsidRPr="00FD40B8">
        <w:rPr>
          <w:color w:val="131727" w:themeColor="text1"/>
          <w:spacing w:val="-1"/>
          <w:w w:val="110"/>
          <w:sz w:val="16"/>
        </w:rPr>
        <w:t xml:space="preserve"> </w:t>
      </w:r>
      <w:r w:rsidRPr="00FD40B8">
        <w:rPr>
          <w:color w:val="131727" w:themeColor="text1"/>
          <w:w w:val="110"/>
          <w:sz w:val="16"/>
        </w:rPr>
        <w:t>there</w:t>
      </w:r>
      <w:r w:rsidRPr="00FD40B8">
        <w:rPr>
          <w:color w:val="131727" w:themeColor="text1"/>
          <w:spacing w:val="-4"/>
          <w:w w:val="110"/>
          <w:sz w:val="16"/>
        </w:rPr>
        <w:t xml:space="preserve"> </w:t>
      </w:r>
      <w:r w:rsidRPr="00FD40B8">
        <w:rPr>
          <w:color w:val="131727" w:themeColor="text1"/>
          <w:w w:val="110"/>
          <w:sz w:val="16"/>
        </w:rPr>
        <w:t>is</w:t>
      </w:r>
      <w:r w:rsidRPr="00FD40B8">
        <w:rPr>
          <w:color w:val="131727" w:themeColor="text1"/>
          <w:spacing w:val="-5"/>
          <w:w w:val="110"/>
          <w:sz w:val="16"/>
        </w:rPr>
        <w:t xml:space="preserve"> </w:t>
      </w:r>
      <w:r w:rsidRPr="00FD40B8">
        <w:rPr>
          <w:color w:val="131727" w:themeColor="text1"/>
          <w:w w:val="110"/>
          <w:sz w:val="16"/>
        </w:rPr>
        <w:t>no</w:t>
      </w:r>
      <w:r w:rsidRPr="00FD40B8">
        <w:rPr>
          <w:color w:val="131727" w:themeColor="text1"/>
          <w:spacing w:val="-4"/>
          <w:w w:val="110"/>
          <w:sz w:val="16"/>
        </w:rPr>
        <w:t xml:space="preserve"> </w:t>
      </w:r>
      <w:r w:rsidRPr="00FD40B8">
        <w:rPr>
          <w:color w:val="131727" w:themeColor="text1"/>
          <w:w w:val="110"/>
          <w:sz w:val="16"/>
        </w:rPr>
        <w:t>supply</w:t>
      </w:r>
      <w:r w:rsidRPr="00FD40B8">
        <w:rPr>
          <w:color w:val="131727" w:themeColor="text1"/>
          <w:spacing w:val="-4"/>
          <w:w w:val="110"/>
          <w:sz w:val="16"/>
        </w:rPr>
        <w:t xml:space="preserve"> </w:t>
      </w:r>
      <w:r w:rsidRPr="00FD40B8">
        <w:rPr>
          <w:color w:val="131727" w:themeColor="text1"/>
          <w:w w:val="110"/>
          <w:sz w:val="16"/>
        </w:rPr>
        <w:t>to</w:t>
      </w:r>
      <w:r w:rsidRPr="00FD40B8">
        <w:rPr>
          <w:color w:val="131727" w:themeColor="text1"/>
          <w:spacing w:val="-4"/>
          <w:w w:val="110"/>
          <w:sz w:val="16"/>
        </w:rPr>
        <w:t xml:space="preserve"> </w:t>
      </w:r>
      <w:r w:rsidRPr="00FD40B8">
        <w:rPr>
          <w:color w:val="131727" w:themeColor="text1"/>
          <w:w w:val="110"/>
          <w:sz w:val="16"/>
        </w:rPr>
        <w:t>the</w:t>
      </w:r>
      <w:r w:rsidRPr="00FD40B8">
        <w:rPr>
          <w:color w:val="131727" w:themeColor="text1"/>
          <w:spacing w:val="-4"/>
          <w:w w:val="110"/>
          <w:sz w:val="16"/>
        </w:rPr>
        <w:t xml:space="preserve"> </w:t>
      </w:r>
      <w:r w:rsidRPr="00FD40B8">
        <w:rPr>
          <w:color w:val="131727" w:themeColor="text1"/>
          <w:spacing w:val="-2"/>
          <w:w w:val="110"/>
          <w:sz w:val="16"/>
        </w:rPr>
        <w:t>household.</w:t>
      </w:r>
    </w:p>
    <w:p w14:paraId="0D643889" w14:textId="77777777" w:rsidR="00811887" w:rsidRPr="00FD40B8" w:rsidRDefault="00811887" w:rsidP="00811887">
      <w:pPr>
        <w:spacing w:before="22"/>
        <w:ind w:left="136"/>
        <w:rPr>
          <w:color w:val="131727" w:themeColor="text1"/>
          <w:sz w:val="16"/>
        </w:rPr>
      </w:pPr>
      <w:bookmarkStart w:id="226" w:name="_bookmark115"/>
      <w:bookmarkEnd w:id="226"/>
      <w:r w:rsidRPr="00FD40B8">
        <w:rPr>
          <w:color w:val="131727" w:themeColor="text1"/>
          <w:w w:val="110"/>
          <w:position w:val="6"/>
          <w:sz w:val="10"/>
        </w:rPr>
        <w:t>92</w:t>
      </w:r>
      <w:r w:rsidRPr="00FD40B8">
        <w:rPr>
          <w:color w:val="131727" w:themeColor="text1"/>
          <w:spacing w:val="14"/>
          <w:w w:val="110"/>
          <w:position w:val="6"/>
          <w:sz w:val="10"/>
        </w:rPr>
        <w:t xml:space="preserve"> </w:t>
      </w:r>
      <w:r w:rsidRPr="00FD40B8">
        <w:rPr>
          <w:color w:val="131727" w:themeColor="text1"/>
          <w:w w:val="110"/>
          <w:sz w:val="16"/>
        </w:rPr>
        <w:t>For</w:t>
      </w:r>
      <w:r w:rsidRPr="00FD40B8">
        <w:rPr>
          <w:color w:val="131727" w:themeColor="text1"/>
          <w:spacing w:val="1"/>
          <w:w w:val="110"/>
          <w:sz w:val="16"/>
        </w:rPr>
        <w:t xml:space="preserve"> </w:t>
      </w:r>
      <w:r w:rsidRPr="00FD40B8">
        <w:rPr>
          <w:color w:val="131727" w:themeColor="text1"/>
          <w:w w:val="110"/>
          <w:sz w:val="16"/>
        </w:rPr>
        <w:t>discrete remote</w:t>
      </w:r>
      <w:r w:rsidRPr="00FD40B8">
        <w:rPr>
          <w:color w:val="131727" w:themeColor="text1"/>
          <w:spacing w:val="-1"/>
          <w:w w:val="110"/>
          <w:sz w:val="16"/>
        </w:rPr>
        <w:t xml:space="preserve"> </w:t>
      </w:r>
      <w:r w:rsidRPr="00FD40B8">
        <w:rPr>
          <w:color w:val="131727" w:themeColor="text1"/>
          <w:w w:val="110"/>
          <w:sz w:val="16"/>
        </w:rPr>
        <w:t>communities</w:t>
      </w:r>
      <w:r w:rsidRPr="00FD40B8">
        <w:rPr>
          <w:color w:val="131727" w:themeColor="text1"/>
          <w:spacing w:val="-1"/>
          <w:w w:val="110"/>
          <w:sz w:val="16"/>
        </w:rPr>
        <w:t xml:space="preserve"> </w:t>
      </w:r>
      <w:r w:rsidRPr="00FD40B8">
        <w:rPr>
          <w:color w:val="131727" w:themeColor="text1"/>
          <w:w w:val="110"/>
          <w:sz w:val="16"/>
        </w:rPr>
        <w:t>NATSISS asks</w:t>
      </w:r>
      <w:r w:rsidRPr="00FD40B8">
        <w:rPr>
          <w:color w:val="131727" w:themeColor="text1"/>
          <w:spacing w:val="-2"/>
          <w:w w:val="110"/>
          <w:sz w:val="16"/>
        </w:rPr>
        <w:t xml:space="preserve"> </w:t>
      </w:r>
      <w:r w:rsidRPr="00FD40B8">
        <w:rPr>
          <w:color w:val="131727" w:themeColor="text1"/>
          <w:w w:val="110"/>
          <w:sz w:val="16"/>
        </w:rPr>
        <w:t>some questions</w:t>
      </w:r>
      <w:r w:rsidRPr="00FD40B8">
        <w:rPr>
          <w:color w:val="131727" w:themeColor="text1"/>
          <w:spacing w:val="-2"/>
          <w:w w:val="110"/>
          <w:sz w:val="16"/>
        </w:rPr>
        <w:t xml:space="preserve"> </w:t>
      </w:r>
      <w:r w:rsidRPr="00FD40B8">
        <w:rPr>
          <w:color w:val="131727" w:themeColor="text1"/>
          <w:w w:val="110"/>
          <w:sz w:val="16"/>
        </w:rPr>
        <w:t>on</w:t>
      </w:r>
      <w:r w:rsidRPr="00FD40B8">
        <w:rPr>
          <w:color w:val="131727" w:themeColor="text1"/>
          <w:spacing w:val="3"/>
          <w:w w:val="110"/>
          <w:sz w:val="16"/>
        </w:rPr>
        <w:t xml:space="preserve"> </w:t>
      </w:r>
      <w:r w:rsidRPr="00FD40B8">
        <w:rPr>
          <w:color w:val="131727" w:themeColor="text1"/>
          <w:w w:val="110"/>
          <w:sz w:val="16"/>
        </w:rPr>
        <w:t>sporting,</w:t>
      </w:r>
      <w:r w:rsidRPr="00FD40B8">
        <w:rPr>
          <w:color w:val="131727" w:themeColor="text1"/>
          <w:spacing w:val="-1"/>
          <w:w w:val="110"/>
          <w:sz w:val="16"/>
        </w:rPr>
        <w:t xml:space="preserve"> </w:t>
      </w:r>
      <w:r w:rsidRPr="00FD40B8">
        <w:rPr>
          <w:color w:val="131727" w:themeColor="text1"/>
          <w:w w:val="110"/>
          <w:sz w:val="16"/>
        </w:rPr>
        <w:t>medical</w:t>
      </w:r>
      <w:r w:rsidRPr="00FD40B8">
        <w:rPr>
          <w:color w:val="131727" w:themeColor="text1"/>
          <w:spacing w:val="-2"/>
          <w:w w:val="110"/>
          <w:sz w:val="16"/>
        </w:rPr>
        <w:t xml:space="preserve"> </w:t>
      </w:r>
      <w:r w:rsidRPr="00FD40B8">
        <w:rPr>
          <w:color w:val="131727" w:themeColor="text1"/>
          <w:w w:val="110"/>
          <w:sz w:val="16"/>
        </w:rPr>
        <w:t>and</w:t>
      </w:r>
      <w:r w:rsidRPr="00FD40B8">
        <w:rPr>
          <w:color w:val="131727" w:themeColor="text1"/>
          <w:spacing w:val="2"/>
          <w:w w:val="110"/>
          <w:sz w:val="16"/>
        </w:rPr>
        <w:t xml:space="preserve"> </w:t>
      </w:r>
      <w:r w:rsidRPr="00FD40B8">
        <w:rPr>
          <w:color w:val="131727" w:themeColor="text1"/>
          <w:w w:val="110"/>
          <w:sz w:val="16"/>
        </w:rPr>
        <w:t>other services</w:t>
      </w:r>
      <w:r w:rsidRPr="00FD40B8">
        <w:rPr>
          <w:color w:val="131727" w:themeColor="text1"/>
          <w:spacing w:val="-1"/>
          <w:w w:val="110"/>
          <w:sz w:val="16"/>
        </w:rPr>
        <w:t xml:space="preserve"> </w:t>
      </w:r>
      <w:r w:rsidRPr="00FD40B8">
        <w:rPr>
          <w:color w:val="131727" w:themeColor="text1"/>
          <w:w w:val="110"/>
          <w:sz w:val="16"/>
        </w:rPr>
        <w:t>and</w:t>
      </w:r>
      <w:r w:rsidRPr="00FD40B8">
        <w:rPr>
          <w:color w:val="131727" w:themeColor="text1"/>
          <w:spacing w:val="1"/>
          <w:w w:val="110"/>
          <w:sz w:val="16"/>
        </w:rPr>
        <w:t xml:space="preserve"> </w:t>
      </w:r>
      <w:r w:rsidRPr="00FD40B8">
        <w:rPr>
          <w:color w:val="131727" w:themeColor="text1"/>
          <w:w w:val="110"/>
          <w:sz w:val="16"/>
        </w:rPr>
        <w:t>public</w:t>
      </w:r>
      <w:r w:rsidRPr="00FD40B8">
        <w:rPr>
          <w:color w:val="131727" w:themeColor="text1"/>
          <w:spacing w:val="2"/>
          <w:w w:val="110"/>
          <w:sz w:val="16"/>
        </w:rPr>
        <w:t xml:space="preserve"> </w:t>
      </w:r>
      <w:r w:rsidRPr="00FD40B8">
        <w:rPr>
          <w:color w:val="131727" w:themeColor="text1"/>
          <w:spacing w:val="-2"/>
          <w:w w:val="110"/>
          <w:sz w:val="16"/>
        </w:rPr>
        <w:t>facilities.</w:t>
      </w:r>
    </w:p>
    <w:p w14:paraId="58D99A70" w14:textId="77777777" w:rsidR="00811887" w:rsidRPr="00FD40B8" w:rsidRDefault="00811887" w:rsidP="00811887">
      <w:pPr>
        <w:spacing w:before="18"/>
        <w:ind w:left="136"/>
        <w:rPr>
          <w:color w:val="131727" w:themeColor="text1"/>
          <w:sz w:val="16"/>
        </w:rPr>
      </w:pPr>
      <w:bookmarkStart w:id="227" w:name="_bookmark116"/>
      <w:bookmarkEnd w:id="227"/>
      <w:r w:rsidRPr="00FD40B8">
        <w:rPr>
          <w:color w:val="131727" w:themeColor="text1"/>
          <w:w w:val="110"/>
          <w:position w:val="6"/>
          <w:sz w:val="10"/>
        </w:rPr>
        <w:lastRenderedPageBreak/>
        <w:t>93</w:t>
      </w:r>
      <w:r w:rsidRPr="00FD40B8">
        <w:rPr>
          <w:color w:val="131727" w:themeColor="text1"/>
          <w:spacing w:val="11"/>
          <w:w w:val="110"/>
          <w:position w:val="6"/>
          <w:sz w:val="10"/>
        </w:rPr>
        <w:t xml:space="preserve"> </w:t>
      </w:r>
      <w:r w:rsidRPr="00FD40B8">
        <w:rPr>
          <w:color w:val="131727" w:themeColor="text1"/>
          <w:w w:val="110"/>
          <w:sz w:val="16"/>
        </w:rPr>
        <w:t>NATSISS</w:t>
      </w:r>
      <w:r w:rsidRPr="00FD40B8">
        <w:rPr>
          <w:color w:val="131727" w:themeColor="text1"/>
          <w:spacing w:val="-2"/>
          <w:w w:val="110"/>
          <w:sz w:val="16"/>
        </w:rPr>
        <w:t xml:space="preserve"> </w:t>
      </w:r>
      <w:r w:rsidRPr="00FD40B8">
        <w:rPr>
          <w:color w:val="131727" w:themeColor="text1"/>
          <w:w w:val="110"/>
          <w:sz w:val="16"/>
        </w:rPr>
        <w:t>asks</w:t>
      </w:r>
      <w:r w:rsidRPr="00FD40B8">
        <w:rPr>
          <w:color w:val="131727" w:themeColor="text1"/>
          <w:spacing w:val="-5"/>
          <w:w w:val="110"/>
          <w:sz w:val="16"/>
        </w:rPr>
        <w:t xml:space="preserve"> </w:t>
      </w:r>
      <w:r w:rsidRPr="00FD40B8">
        <w:rPr>
          <w:color w:val="131727" w:themeColor="text1"/>
          <w:w w:val="110"/>
          <w:sz w:val="16"/>
        </w:rPr>
        <w:t>if</w:t>
      </w:r>
      <w:r w:rsidRPr="00FD40B8">
        <w:rPr>
          <w:color w:val="131727" w:themeColor="text1"/>
          <w:spacing w:val="-2"/>
          <w:w w:val="110"/>
          <w:sz w:val="16"/>
        </w:rPr>
        <w:t xml:space="preserve"> </w:t>
      </w:r>
      <w:r w:rsidRPr="00FD40B8">
        <w:rPr>
          <w:color w:val="131727" w:themeColor="text1"/>
          <w:w w:val="110"/>
          <w:sz w:val="16"/>
        </w:rPr>
        <w:t>an</w:t>
      </w:r>
      <w:r w:rsidRPr="00FD40B8">
        <w:rPr>
          <w:color w:val="131727" w:themeColor="text1"/>
          <w:spacing w:val="-1"/>
          <w:w w:val="110"/>
          <w:sz w:val="16"/>
        </w:rPr>
        <w:t xml:space="preserve"> </w:t>
      </w:r>
      <w:r w:rsidRPr="00FD40B8">
        <w:rPr>
          <w:color w:val="131727" w:themeColor="text1"/>
          <w:w w:val="110"/>
          <w:sz w:val="16"/>
        </w:rPr>
        <w:t>individual</w:t>
      </w:r>
      <w:r w:rsidRPr="00FD40B8">
        <w:rPr>
          <w:color w:val="131727" w:themeColor="text1"/>
          <w:spacing w:val="-5"/>
          <w:w w:val="110"/>
          <w:sz w:val="16"/>
        </w:rPr>
        <w:t xml:space="preserve"> </w:t>
      </w:r>
      <w:r w:rsidRPr="00FD40B8">
        <w:rPr>
          <w:color w:val="131727" w:themeColor="text1"/>
          <w:w w:val="110"/>
          <w:sz w:val="16"/>
        </w:rPr>
        <w:t>has</w:t>
      </w:r>
      <w:r w:rsidRPr="00FD40B8">
        <w:rPr>
          <w:color w:val="131727" w:themeColor="text1"/>
          <w:spacing w:val="-4"/>
          <w:w w:val="110"/>
          <w:sz w:val="16"/>
        </w:rPr>
        <w:t xml:space="preserve"> </w:t>
      </w:r>
      <w:r w:rsidRPr="00FD40B8">
        <w:rPr>
          <w:color w:val="131727" w:themeColor="text1"/>
          <w:w w:val="110"/>
          <w:sz w:val="16"/>
        </w:rPr>
        <w:t>problems</w:t>
      </w:r>
      <w:r w:rsidRPr="00FD40B8">
        <w:rPr>
          <w:color w:val="131727" w:themeColor="text1"/>
          <w:spacing w:val="-5"/>
          <w:w w:val="110"/>
          <w:sz w:val="16"/>
        </w:rPr>
        <w:t xml:space="preserve"> </w:t>
      </w:r>
      <w:r w:rsidRPr="00FD40B8">
        <w:rPr>
          <w:color w:val="131727" w:themeColor="text1"/>
          <w:w w:val="110"/>
          <w:sz w:val="16"/>
        </w:rPr>
        <w:t>accessing services</w:t>
      </w:r>
      <w:r w:rsidRPr="00FD40B8">
        <w:rPr>
          <w:color w:val="131727" w:themeColor="text1"/>
          <w:spacing w:val="-4"/>
          <w:w w:val="110"/>
          <w:sz w:val="16"/>
        </w:rPr>
        <w:t xml:space="preserve"> </w:t>
      </w:r>
      <w:r w:rsidRPr="00FD40B8">
        <w:rPr>
          <w:color w:val="131727" w:themeColor="text1"/>
          <w:w w:val="110"/>
          <w:sz w:val="16"/>
        </w:rPr>
        <w:t>(e.g.</w:t>
      </w:r>
      <w:r w:rsidRPr="00FD40B8">
        <w:rPr>
          <w:color w:val="131727" w:themeColor="text1"/>
          <w:spacing w:val="-3"/>
          <w:w w:val="110"/>
          <w:sz w:val="16"/>
        </w:rPr>
        <w:t xml:space="preserve"> </w:t>
      </w:r>
      <w:r w:rsidRPr="00FD40B8">
        <w:rPr>
          <w:color w:val="131727" w:themeColor="text1"/>
          <w:w w:val="110"/>
          <w:sz w:val="16"/>
        </w:rPr>
        <w:t>hospitals,</w:t>
      </w:r>
      <w:r w:rsidRPr="00FD40B8">
        <w:rPr>
          <w:color w:val="131727" w:themeColor="text1"/>
          <w:spacing w:val="-3"/>
          <w:w w:val="110"/>
          <w:sz w:val="16"/>
        </w:rPr>
        <w:t xml:space="preserve"> </w:t>
      </w:r>
      <w:r w:rsidRPr="00FD40B8">
        <w:rPr>
          <w:color w:val="131727" w:themeColor="text1"/>
          <w:w w:val="110"/>
          <w:sz w:val="16"/>
        </w:rPr>
        <w:t>banks,</w:t>
      </w:r>
      <w:r w:rsidRPr="00FD40B8">
        <w:rPr>
          <w:color w:val="131727" w:themeColor="text1"/>
          <w:spacing w:val="-4"/>
          <w:w w:val="110"/>
          <w:sz w:val="16"/>
        </w:rPr>
        <w:t xml:space="preserve"> </w:t>
      </w:r>
      <w:r w:rsidRPr="00FD40B8">
        <w:rPr>
          <w:color w:val="131727" w:themeColor="text1"/>
          <w:w w:val="110"/>
          <w:sz w:val="16"/>
        </w:rPr>
        <w:t>etc).</w:t>
      </w:r>
      <w:r w:rsidRPr="00FD40B8">
        <w:rPr>
          <w:color w:val="131727" w:themeColor="text1"/>
          <w:spacing w:val="-2"/>
          <w:w w:val="110"/>
          <w:sz w:val="16"/>
        </w:rPr>
        <w:t xml:space="preserve"> </w:t>
      </w:r>
      <w:r w:rsidRPr="00FD40B8">
        <w:rPr>
          <w:color w:val="131727" w:themeColor="text1"/>
          <w:w w:val="110"/>
          <w:sz w:val="16"/>
        </w:rPr>
        <w:t>It</w:t>
      </w:r>
      <w:r w:rsidRPr="00FD40B8">
        <w:rPr>
          <w:color w:val="131727" w:themeColor="text1"/>
          <w:spacing w:val="-4"/>
          <w:w w:val="110"/>
          <w:sz w:val="16"/>
        </w:rPr>
        <w:t xml:space="preserve"> </w:t>
      </w:r>
      <w:r w:rsidRPr="00FD40B8">
        <w:rPr>
          <w:color w:val="131727" w:themeColor="text1"/>
          <w:w w:val="110"/>
          <w:sz w:val="16"/>
        </w:rPr>
        <w:t>also</w:t>
      </w:r>
      <w:r w:rsidRPr="00FD40B8">
        <w:rPr>
          <w:color w:val="131727" w:themeColor="text1"/>
          <w:spacing w:val="-4"/>
          <w:w w:val="110"/>
          <w:sz w:val="16"/>
        </w:rPr>
        <w:t xml:space="preserve"> </w:t>
      </w:r>
      <w:r w:rsidRPr="00FD40B8">
        <w:rPr>
          <w:color w:val="131727" w:themeColor="text1"/>
          <w:w w:val="110"/>
          <w:sz w:val="16"/>
        </w:rPr>
        <w:t>asks</w:t>
      </w:r>
      <w:r w:rsidRPr="00FD40B8">
        <w:rPr>
          <w:color w:val="131727" w:themeColor="text1"/>
          <w:spacing w:val="-4"/>
          <w:w w:val="110"/>
          <w:sz w:val="16"/>
        </w:rPr>
        <w:t xml:space="preserve"> </w:t>
      </w:r>
      <w:r w:rsidRPr="00FD40B8">
        <w:rPr>
          <w:color w:val="131727" w:themeColor="text1"/>
          <w:w w:val="110"/>
          <w:sz w:val="16"/>
        </w:rPr>
        <w:t>the</w:t>
      </w:r>
      <w:r w:rsidRPr="00FD40B8">
        <w:rPr>
          <w:color w:val="131727" w:themeColor="text1"/>
          <w:spacing w:val="-4"/>
          <w:w w:val="110"/>
          <w:sz w:val="16"/>
        </w:rPr>
        <w:t xml:space="preserve"> </w:t>
      </w:r>
      <w:r w:rsidRPr="00FD40B8">
        <w:rPr>
          <w:color w:val="131727" w:themeColor="text1"/>
          <w:w w:val="110"/>
          <w:sz w:val="16"/>
        </w:rPr>
        <w:t>type</w:t>
      </w:r>
      <w:r w:rsidRPr="00FD40B8">
        <w:rPr>
          <w:color w:val="131727" w:themeColor="text1"/>
          <w:spacing w:val="-3"/>
          <w:w w:val="110"/>
          <w:sz w:val="16"/>
        </w:rPr>
        <w:t xml:space="preserve"> </w:t>
      </w:r>
      <w:r w:rsidRPr="00FD40B8">
        <w:rPr>
          <w:color w:val="131727" w:themeColor="text1"/>
          <w:w w:val="110"/>
          <w:sz w:val="16"/>
        </w:rPr>
        <w:t>of</w:t>
      </w:r>
      <w:r w:rsidRPr="00FD40B8">
        <w:rPr>
          <w:color w:val="131727" w:themeColor="text1"/>
          <w:spacing w:val="-3"/>
          <w:w w:val="110"/>
          <w:sz w:val="16"/>
        </w:rPr>
        <w:t xml:space="preserve"> </w:t>
      </w:r>
      <w:r w:rsidRPr="00FD40B8">
        <w:rPr>
          <w:color w:val="131727" w:themeColor="text1"/>
          <w:w w:val="110"/>
          <w:sz w:val="16"/>
        </w:rPr>
        <w:t>barriers</w:t>
      </w:r>
      <w:r w:rsidRPr="00FD40B8">
        <w:rPr>
          <w:color w:val="131727" w:themeColor="text1"/>
          <w:spacing w:val="7"/>
          <w:w w:val="110"/>
          <w:sz w:val="16"/>
        </w:rPr>
        <w:t xml:space="preserve"> </w:t>
      </w:r>
      <w:r w:rsidRPr="00FD40B8">
        <w:rPr>
          <w:color w:val="131727" w:themeColor="text1"/>
          <w:w w:val="110"/>
          <w:sz w:val="16"/>
        </w:rPr>
        <w:t>(e.g.</w:t>
      </w:r>
      <w:r w:rsidRPr="00FD40B8">
        <w:rPr>
          <w:color w:val="131727" w:themeColor="text1"/>
          <w:spacing w:val="-2"/>
          <w:w w:val="110"/>
          <w:sz w:val="16"/>
        </w:rPr>
        <w:t xml:space="preserve"> </w:t>
      </w:r>
      <w:r w:rsidRPr="00FD40B8">
        <w:rPr>
          <w:color w:val="131727" w:themeColor="text1"/>
          <w:w w:val="110"/>
          <w:sz w:val="16"/>
        </w:rPr>
        <w:t>no</w:t>
      </w:r>
      <w:r w:rsidRPr="00FD40B8">
        <w:rPr>
          <w:color w:val="131727" w:themeColor="text1"/>
          <w:spacing w:val="-5"/>
          <w:w w:val="110"/>
          <w:sz w:val="16"/>
        </w:rPr>
        <w:t xml:space="preserve"> </w:t>
      </w:r>
      <w:r w:rsidRPr="00FD40B8">
        <w:rPr>
          <w:color w:val="131727" w:themeColor="text1"/>
          <w:w w:val="110"/>
          <w:sz w:val="16"/>
        </w:rPr>
        <w:t>or</w:t>
      </w:r>
      <w:r w:rsidRPr="00FD40B8">
        <w:rPr>
          <w:color w:val="131727" w:themeColor="text1"/>
          <w:spacing w:val="-2"/>
          <w:w w:val="110"/>
          <w:sz w:val="16"/>
        </w:rPr>
        <w:t xml:space="preserve"> </w:t>
      </w:r>
      <w:r w:rsidRPr="00FD40B8">
        <w:rPr>
          <w:color w:val="131727" w:themeColor="text1"/>
          <w:w w:val="110"/>
          <w:sz w:val="16"/>
        </w:rPr>
        <w:t>inadequate</w:t>
      </w:r>
      <w:r w:rsidRPr="00FD40B8">
        <w:rPr>
          <w:color w:val="131727" w:themeColor="text1"/>
          <w:spacing w:val="-4"/>
          <w:w w:val="110"/>
          <w:sz w:val="16"/>
        </w:rPr>
        <w:t xml:space="preserve"> </w:t>
      </w:r>
      <w:r w:rsidRPr="00FD40B8">
        <w:rPr>
          <w:color w:val="131727" w:themeColor="text1"/>
          <w:w w:val="110"/>
          <w:sz w:val="16"/>
        </w:rPr>
        <w:t>services</w:t>
      </w:r>
      <w:r w:rsidRPr="00FD40B8">
        <w:rPr>
          <w:color w:val="131727" w:themeColor="text1"/>
          <w:spacing w:val="-4"/>
          <w:w w:val="110"/>
          <w:sz w:val="16"/>
        </w:rPr>
        <w:t xml:space="preserve"> </w:t>
      </w:r>
      <w:r w:rsidRPr="00FD40B8">
        <w:rPr>
          <w:color w:val="131727" w:themeColor="text1"/>
          <w:w w:val="110"/>
          <w:sz w:val="16"/>
        </w:rPr>
        <w:t>in</w:t>
      </w:r>
      <w:r w:rsidRPr="00FD40B8">
        <w:rPr>
          <w:color w:val="131727" w:themeColor="text1"/>
          <w:spacing w:val="-1"/>
          <w:w w:val="110"/>
          <w:sz w:val="16"/>
        </w:rPr>
        <w:t xml:space="preserve"> </w:t>
      </w:r>
      <w:r w:rsidRPr="00FD40B8">
        <w:rPr>
          <w:color w:val="131727" w:themeColor="text1"/>
          <w:w w:val="110"/>
          <w:sz w:val="16"/>
        </w:rPr>
        <w:t>the</w:t>
      </w:r>
      <w:r w:rsidRPr="00FD40B8">
        <w:rPr>
          <w:color w:val="131727" w:themeColor="text1"/>
          <w:spacing w:val="-3"/>
          <w:w w:val="110"/>
          <w:sz w:val="16"/>
        </w:rPr>
        <w:t xml:space="preserve"> </w:t>
      </w:r>
      <w:r w:rsidRPr="00FD40B8">
        <w:rPr>
          <w:color w:val="131727" w:themeColor="text1"/>
          <w:w w:val="110"/>
          <w:sz w:val="16"/>
        </w:rPr>
        <w:t>area,</w:t>
      </w:r>
      <w:r w:rsidRPr="00FD40B8">
        <w:rPr>
          <w:color w:val="131727" w:themeColor="text1"/>
          <w:spacing w:val="-4"/>
          <w:w w:val="110"/>
          <w:sz w:val="16"/>
        </w:rPr>
        <w:t xml:space="preserve"> </w:t>
      </w:r>
      <w:r w:rsidRPr="00FD40B8">
        <w:rPr>
          <w:color w:val="131727" w:themeColor="text1"/>
          <w:w w:val="110"/>
          <w:sz w:val="16"/>
        </w:rPr>
        <w:t>costs,</w:t>
      </w:r>
      <w:r w:rsidRPr="00FD40B8">
        <w:rPr>
          <w:color w:val="131727" w:themeColor="text1"/>
          <w:spacing w:val="-3"/>
          <w:w w:val="110"/>
          <w:sz w:val="16"/>
        </w:rPr>
        <w:t xml:space="preserve"> </w:t>
      </w:r>
      <w:r w:rsidRPr="00FD40B8">
        <w:rPr>
          <w:color w:val="131727" w:themeColor="text1"/>
          <w:w w:val="110"/>
          <w:sz w:val="16"/>
        </w:rPr>
        <w:t>poor</w:t>
      </w:r>
      <w:r w:rsidRPr="00FD40B8">
        <w:rPr>
          <w:color w:val="131727" w:themeColor="text1"/>
          <w:spacing w:val="-3"/>
          <w:w w:val="110"/>
          <w:sz w:val="16"/>
        </w:rPr>
        <w:t xml:space="preserve"> </w:t>
      </w:r>
      <w:r w:rsidRPr="00FD40B8">
        <w:rPr>
          <w:color w:val="131727" w:themeColor="text1"/>
          <w:w w:val="110"/>
          <w:sz w:val="16"/>
        </w:rPr>
        <w:t>customer</w:t>
      </w:r>
      <w:r w:rsidRPr="00FD40B8">
        <w:rPr>
          <w:color w:val="131727" w:themeColor="text1"/>
          <w:spacing w:val="-2"/>
          <w:w w:val="110"/>
          <w:sz w:val="16"/>
        </w:rPr>
        <w:t xml:space="preserve"> service)</w:t>
      </w:r>
    </w:p>
    <w:p w14:paraId="2F069D25" w14:textId="77777777" w:rsidR="00811887" w:rsidRPr="00FD40B8" w:rsidRDefault="00811887" w:rsidP="00811887">
      <w:pPr>
        <w:rPr>
          <w:color w:val="131727" w:themeColor="text1"/>
          <w:sz w:val="16"/>
        </w:rPr>
        <w:sectPr w:rsidR="00811887" w:rsidRPr="00FD40B8" w:rsidSect="00811887">
          <w:pgSz w:w="16840" w:h="11910" w:orient="landscape"/>
          <w:pgMar w:top="1220" w:right="1120" w:bottom="1080" w:left="1280" w:header="0" w:footer="880" w:gutter="0"/>
          <w:cols w:space="720"/>
        </w:sectPr>
      </w:pPr>
    </w:p>
    <w:p w14:paraId="2BC761D8" w14:textId="77777777" w:rsidR="00811887" w:rsidRPr="00FD40B8" w:rsidRDefault="00811887" w:rsidP="00811887">
      <w:pPr>
        <w:spacing w:before="85"/>
        <w:ind w:left="148"/>
        <w:rPr>
          <w:rFonts w:ascii="Book Antiqua"/>
          <w:b/>
          <w:i/>
          <w:color w:val="131727" w:themeColor="text1"/>
        </w:rPr>
      </w:pPr>
      <w:r w:rsidRPr="00FD40B8">
        <w:rPr>
          <w:rFonts w:ascii="Book Antiqua"/>
          <w:b/>
          <w:i/>
          <w:color w:val="131727" w:themeColor="text1"/>
        </w:rPr>
        <w:lastRenderedPageBreak/>
        <w:t>Appendix</w:t>
      </w:r>
      <w:r w:rsidRPr="00FD40B8">
        <w:rPr>
          <w:rFonts w:ascii="Book Antiqua"/>
          <w:b/>
          <w:i/>
          <w:color w:val="131727" w:themeColor="text1"/>
          <w:spacing w:val="-2"/>
        </w:rPr>
        <w:t xml:space="preserve"> </w:t>
      </w:r>
      <w:r w:rsidRPr="00FD40B8">
        <w:rPr>
          <w:rFonts w:ascii="Book Antiqua"/>
          <w:b/>
          <w:i/>
          <w:color w:val="131727" w:themeColor="text1"/>
          <w:spacing w:val="-5"/>
        </w:rPr>
        <w:t>G.</w:t>
      </w:r>
    </w:p>
    <w:p w14:paraId="1B01674C" w14:textId="77777777" w:rsidR="00811887" w:rsidRPr="00FD40B8" w:rsidRDefault="00811887" w:rsidP="00811887">
      <w:pPr>
        <w:pStyle w:val="BodyText"/>
        <w:spacing w:before="8"/>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74976" behindDoc="1" locked="0" layoutInCell="1" allowOverlap="1" wp14:anchorId="7AAC924C" wp14:editId="49757288">
                <wp:simplePos x="0" y="0"/>
                <wp:positionH relativeFrom="page">
                  <wp:posOffset>774496</wp:posOffset>
                </wp:positionH>
                <wp:positionV relativeFrom="paragraph">
                  <wp:posOffset>74025</wp:posOffset>
                </wp:positionV>
                <wp:extent cx="6016625" cy="6350"/>
                <wp:effectExtent l="0" t="0" r="0" b="0"/>
                <wp:wrapTopAndBottom/>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6350"/>
                        </a:xfrm>
                        <a:custGeom>
                          <a:avLst/>
                          <a:gdLst/>
                          <a:ahLst/>
                          <a:cxnLst/>
                          <a:rect l="l" t="t" r="r" b="b"/>
                          <a:pathLst>
                            <a:path w="6016625" h="6350">
                              <a:moveTo>
                                <a:pt x="6016117" y="0"/>
                              </a:moveTo>
                              <a:lnTo>
                                <a:pt x="0" y="0"/>
                              </a:lnTo>
                              <a:lnTo>
                                <a:pt x="0" y="6096"/>
                              </a:lnTo>
                              <a:lnTo>
                                <a:pt x="6016117" y="6096"/>
                              </a:lnTo>
                              <a:lnTo>
                                <a:pt x="60161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52CB1FF1" id="Graphic 237" o:spid="_x0000_s1026" alt="&quot;&quot;" style="position:absolute;margin-left:61pt;margin-top:5.85pt;width:473.75pt;height:.5pt;z-index:-251541504;visibility:visible;mso-wrap-style:square;mso-wrap-distance-left:0;mso-wrap-distance-top:0;mso-wrap-distance-right:0;mso-wrap-distance-bottom:0;mso-position-horizontal:absolute;mso-position-horizontal-relative:page;mso-position-vertical:absolute;mso-position-vertical-relative:text;v-text-anchor:top" coordsize="60166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" path="m6016117,l,,,6096r6016117,l6016117,xe" fillcolor="#4d665b" stroked="f">
                <v:path arrowok="t"/>
                <w10:wrap type="topAndBottom" anchorx="page"/>
              </v:shape>
            </w:pict>
          </mc:Fallback>
        </mc:AlternateContent>
      </w:r>
    </w:p>
    <w:p w14:paraId="1FE4A18F" w14:textId="77777777" w:rsidR="00811887" w:rsidRPr="00FD40B8" w:rsidRDefault="00811887" w:rsidP="00811887">
      <w:pPr>
        <w:pStyle w:val="BodyText"/>
        <w:spacing w:before="37"/>
        <w:rPr>
          <w:rFonts w:ascii="Book Antiqua"/>
          <w:b/>
          <w:i/>
          <w:color w:val="131727" w:themeColor="text1"/>
          <w:sz w:val="22"/>
        </w:rPr>
      </w:pPr>
    </w:p>
    <w:p w14:paraId="2116A159" w14:textId="77777777" w:rsidR="00811887" w:rsidRPr="00FD40B8" w:rsidRDefault="00811887" w:rsidP="00811887">
      <w:pPr>
        <w:pStyle w:val="Heading2"/>
        <w:ind w:left="148"/>
        <w:rPr>
          <w:color w:val="131727" w:themeColor="text1"/>
        </w:rPr>
      </w:pPr>
      <w:bookmarkStart w:id="228" w:name="_bookmark117"/>
      <w:bookmarkEnd w:id="228"/>
      <w:r w:rsidRPr="00FD40B8">
        <w:rPr>
          <w:color w:val="131727" w:themeColor="text1"/>
        </w:rPr>
        <w:t>The</w:t>
      </w:r>
      <w:r w:rsidRPr="00FD40B8">
        <w:rPr>
          <w:color w:val="131727" w:themeColor="text1"/>
          <w:spacing w:val="77"/>
        </w:rPr>
        <w:t xml:space="preserve"> </w:t>
      </w:r>
      <w:r w:rsidRPr="00FD40B8">
        <w:rPr>
          <w:color w:val="131727" w:themeColor="text1"/>
        </w:rPr>
        <w:t>Community</w:t>
      </w:r>
      <w:r w:rsidRPr="00FD40B8">
        <w:rPr>
          <w:color w:val="131727" w:themeColor="text1"/>
          <w:spacing w:val="37"/>
          <w:w w:val="150"/>
        </w:rPr>
        <w:t xml:space="preserve"> </w:t>
      </w:r>
      <w:r w:rsidRPr="00FD40B8">
        <w:rPr>
          <w:color w:val="131727" w:themeColor="text1"/>
        </w:rPr>
        <w:t>Housing</w:t>
      </w:r>
      <w:r w:rsidRPr="00FD40B8">
        <w:rPr>
          <w:color w:val="131727" w:themeColor="text1"/>
          <w:spacing w:val="37"/>
          <w:w w:val="150"/>
        </w:rPr>
        <w:t xml:space="preserve"> </w:t>
      </w:r>
      <w:r w:rsidRPr="00FD40B8">
        <w:rPr>
          <w:color w:val="131727" w:themeColor="text1"/>
        </w:rPr>
        <w:t>Infrastructure</w:t>
      </w:r>
      <w:r w:rsidRPr="00FD40B8">
        <w:rPr>
          <w:color w:val="131727" w:themeColor="text1"/>
          <w:spacing w:val="35"/>
          <w:w w:val="150"/>
        </w:rPr>
        <w:t xml:space="preserve"> </w:t>
      </w:r>
      <w:r w:rsidRPr="00FD40B8">
        <w:rPr>
          <w:color w:val="131727" w:themeColor="text1"/>
        </w:rPr>
        <w:t>Needs</w:t>
      </w:r>
      <w:r w:rsidRPr="00FD40B8">
        <w:rPr>
          <w:color w:val="131727" w:themeColor="text1"/>
          <w:spacing w:val="80"/>
        </w:rPr>
        <w:t xml:space="preserve"> </w:t>
      </w:r>
      <w:r w:rsidRPr="00FD40B8">
        <w:rPr>
          <w:color w:val="131727" w:themeColor="text1"/>
          <w:spacing w:val="-2"/>
        </w:rPr>
        <w:t>Survey</w:t>
      </w:r>
    </w:p>
    <w:p w14:paraId="7C38A839" w14:textId="77777777" w:rsidR="00811887" w:rsidRPr="00FD40B8" w:rsidRDefault="00811887" w:rsidP="00811887">
      <w:pPr>
        <w:spacing w:before="115" w:line="225" w:lineRule="auto"/>
        <w:ind w:left="148" w:right="158"/>
        <w:rPr>
          <w:rFonts w:ascii="Book Antiqua"/>
          <w:b/>
          <w:i/>
          <w:color w:val="131727" w:themeColor="text1"/>
          <w:sz w:val="14"/>
        </w:rPr>
      </w:pPr>
      <w:r w:rsidRPr="00FD40B8">
        <w:rPr>
          <w:rFonts w:ascii="Book Antiqua"/>
          <w:b/>
          <w:i/>
          <w:color w:val="131727" w:themeColor="text1"/>
        </w:rPr>
        <w:t>Based</w:t>
      </w:r>
      <w:r w:rsidRPr="00FD40B8">
        <w:rPr>
          <w:rFonts w:ascii="Book Antiqua"/>
          <w:b/>
          <w:i/>
          <w:color w:val="131727" w:themeColor="text1"/>
          <w:spacing w:val="-4"/>
        </w:rPr>
        <w:t xml:space="preserve"> </w:t>
      </w:r>
      <w:r w:rsidRPr="00FD40B8">
        <w:rPr>
          <w:rFonts w:ascii="Book Antiqua"/>
          <w:b/>
          <w:i/>
          <w:color w:val="131727" w:themeColor="text1"/>
        </w:rPr>
        <w:t>on</w:t>
      </w:r>
      <w:r w:rsidRPr="00FD40B8">
        <w:rPr>
          <w:rFonts w:ascii="Book Antiqua"/>
          <w:b/>
          <w:i/>
          <w:color w:val="131727" w:themeColor="text1"/>
          <w:spacing w:val="-4"/>
        </w:rPr>
        <w:t xml:space="preserve"> </w:t>
      </w:r>
      <w:r w:rsidRPr="00FD40B8">
        <w:rPr>
          <w:rFonts w:ascii="Book Antiqua"/>
          <w:b/>
          <w:i/>
          <w:color w:val="131727" w:themeColor="text1"/>
        </w:rPr>
        <w:t>publicly</w:t>
      </w:r>
      <w:r w:rsidRPr="00FD40B8">
        <w:rPr>
          <w:rFonts w:ascii="Book Antiqua"/>
          <w:b/>
          <w:i/>
          <w:color w:val="131727" w:themeColor="text1"/>
          <w:spacing w:val="-4"/>
        </w:rPr>
        <w:t xml:space="preserve"> </w:t>
      </w:r>
      <w:r w:rsidRPr="00FD40B8">
        <w:rPr>
          <w:rFonts w:ascii="Book Antiqua"/>
          <w:b/>
          <w:i/>
          <w:color w:val="131727" w:themeColor="text1"/>
        </w:rPr>
        <w:t>available</w:t>
      </w:r>
      <w:r w:rsidRPr="00FD40B8">
        <w:rPr>
          <w:rFonts w:ascii="Book Antiqua"/>
          <w:b/>
          <w:i/>
          <w:color w:val="131727" w:themeColor="text1"/>
          <w:spacing w:val="-3"/>
        </w:rPr>
        <w:t xml:space="preserve"> </w:t>
      </w:r>
      <w:r w:rsidRPr="00FD40B8">
        <w:rPr>
          <w:rFonts w:ascii="Book Antiqua"/>
          <w:b/>
          <w:i/>
          <w:color w:val="131727" w:themeColor="text1"/>
        </w:rPr>
        <w:t>information</w:t>
      </w:r>
      <w:r w:rsidRPr="00FD40B8">
        <w:rPr>
          <w:rFonts w:ascii="Book Antiqua"/>
          <w:b/>
          <w:i/>
          <w:color w:val="131727" w:themeColor="text1"/>
          <w:spacing w:val="-4"/>
        </w:rPr>
        <w:t xml:space="preserve"> </w:t>
      </w:r>
      <w:r w:rsidRPr="00FD40B8">
        <w:rPr>
          <w:rFonts w:ascii="Book Antiqua"/>
          <w:b/>
          <w:i/>
          <w:color w:val="131727" w:themeColor="text1"/>
        </w:rPr>
        <w:t>largely</w:t>
      </w:r>
      <w:r w:rsidRPr="00FD40B8">
        <w:rPr>
          <w:rFonts w:ascii="Book Antiqua"/>
          <w:b/>
          <w:i/>
          <w:color w:val="131727" w:themeColor="text1"/>
          <w:spacing w:val="-4"/>
        </w:rPr>
        <w:t xml:space="preserve"> </w:t>
      </w:r>
      <w:r w:rsidRPr="00FD40B8">
        <w:rPr>
          <w:rFonts w:ascii="Book Antiqua"/>
          <w:b/>
          <w:i/>
          <w:color w:val="131727" w:themeColor="text1"/>
        </w:rPr>
        <w:t>from</w:t>
      </w:r>
      <w:r w:rsidRPr="00FD40B8">
        <w:rPr>
          <w:rFonts w:ascii="Book Antiqua"/>
          <w:b/>
          <w:i/>
          <w:color w:val="131727" w:themeColor="text1"/>
          <w:spacing w:val="-3"/>
        </w:rPr>
        <w:t xml:space="preserve"> </w:t>
      </w:r>
      <w:r w:rsidRPr="00FD40B8">
        <w:rPr>
          <w:rFonts w:ascii="Book Antiqua"/>
          <w:b/>
          <w:i/>
          <w:color w:val="131727" w:themeColor="text1"/>
        </w:rPr>
        <w:t>the</w:t>
      </w:r>
      <w:r w:rsidRPr="00FD40B8">
        <w:rPr>
          <w:rFonts w:ascii="Book Antiqua"/>
          <w:b/>
          <w:i/>
          <w:color w:val="131727" w:themeColor="text1"/>
          <w:spacing w:val="-3"/>
        </w:rPr>
        <w:t xml:space="preserve"> </w:t>
      </w:r>
      <w:r w:rsidRPr="00FD40B8">
        <w:rPr>
          <w:rFonts w:ascii="Book Antiqua"/>
          <w:b/>
          <w:i/>
          <w:color w:val="131727" w:themeColor="text1"/>
        </w:rPr>
        <w:t>ABS,</w:t>
      </w:r>
      <w:r w:rsidRPr="00FD40B8">
        <w:rPr>
          <w:rFonts w:ascii="Book Antiqua"/>
          <w:b/>
          <w:i/>
          <w:color w:val="131727" w:themeColor="text1"/>
          <w:spacing w:val="-4"/>
        </w:rPr>
        <w:t xml:space="preserve"> </w:t>
      </w:r>
      <w:r w:rsidRPr="00FD40B8">
        <w:rPr>
          <w:rFonts w:ascii="Book Antiqua"/>
          <w:b/>
          <w:i/>
          <w:color w:val="131727" w:themeColor="text1"/>
        </w:rPr>
        <w:t>the</w:t>
      </w:r>
      <w:r w:rsidRPr="00FD40B8">
        <w:rPr>
          <w:rFonts w:ascii="Book Antiqua"/>
          <w:b/>
          <w:i/>
          <w:color w:val="131727" w:themeColor="text1"/>
          <w:spacing w:val="-3"/>
        </w:rPr>
        <w:t xml:space="preserve"> </w:t>
      </w:r>
      <w:r w:rsidRPr="00FD40B8">
        <w:rPr>
          <w:rFonts w:ascii="Book Antiqua"/>
          <w:b/>
          <w:i/>
          <w:color w:val="131727" w:themeColor="text1"/>
        </w:rPr>
        <w:t>following</w:t>
      </w:r>
      <w:r w:rsidRPr="00FD40B8">
        <w:rPr>
          <w:rFonts w:ascii="Book Antiqua"/>
          <w:b/>
          <w:i/>
          <w:color w:val="131727" w:themeColor="text1"/>
          <w:spacing w:val="-6"/>
        </w:rPr>
        <w:t xml:space="preserve"> </w:t>
      </w:r>
      <w:r w:rsidRPr="00FD40B8">
        <w:rPr>
          <w:rFonts w:ascii="Book Antiqua"/>
          <w:b/>
          <w:i/>
          <w:color w:val="131727" w:themeColor="text1"/>
        </w:rPr>
        <w:t>appendix</w:t>
      </w:r>
      <w:r w:rsidRPr="00FD40B8">
        <w:rPr>
          <w:rFonts w:ascii="Book Antiqua"/>
          <w:b/>
          <w:i/>
          <w:color w:val="131727" w:themeColor="text1"/>
          <w:spacing w:val="-6"/>
        </w:rPr>
        <w:t xml:space="preserve"> </w:t>
      </w:r>
      <w:r w:rsidRPr="00FD40B8">
        <w:rPr>
          <w:rFonts w:ascii="Book Antiqua"/>
          <w:b/>
          <w:i/>
          <w:color w:val="131727" w:themeColor="text1"/>
        </w:rPr>
        <w:t>provides an overview of the Community Housing and Infrastructure Needs Survey, including its scope and methodology.</w:t>
      </w:r>
      <w:r w:rsidRPr="00FD40B8">
        <w:rPr>
          <w:rFonts w:ascii="Book Antiqua"/>
          <w:b/>
          <w:i/>
          <w:color w:val="131727" w:themeColor="text1"/>
          <w:spacing w:val="-2"/>
        </w:rPr>
        <w:t xml:space="preserve"> </w:t>
      </w:r>
      <w:hyperlink w:anchor="_bookmark118" w:history="1">
        <w:r w:rsidRPr="00FD40B8">
          <w:rPr>
            <w:rFonts w:ascii="Book Antiqua"/>
            <w:b/>
            <w:i/>
            <w:color w:val="131727" w:themeColor="text1"/>
            <w:position w:val="6"/>
            <w:sz w:val="14"/>
          </w:rPr>
          <w:t>94</w:t>
        </w:r>
      </w:hyperlink>
    </w:p>
    <w:p w14:paraId="249A8B32" w14:textId="77777777" w:rsidR="00811887" w:rsidRPr="00FD40B8" w:rsidRDefault="00811887" w:rsidP="00811887">
      <w:pPr>
        <w:pStyle w:val="Heading9"/>
        <w:spacing w:before="121"/>
        <w:ind w:left="148"/>
        <w:rPr>
          <w:color w:val="131727" w:themeColor="text1"/>
        </w:rPr>
      </w:pPr>
      <w:r w:rsidRPr="00FD40B8">
        <w:rPr>
          <w:color w:val="131727" w:themeColor="text1"/>
          <w:spacing w:val="20"/>
          <w:w w:val="80"/>
        </w:rPr>
        <w:t>OVER</w:t>
      </w:r>
      <w:r w:rsidRPr="00FD40B8">
        <w:rPr>
          <w:color w:val="131727" w:themeColor="text1"/>
          <w:spacing w:val="-22"/>
          <w:w w:val="80"/>
        </w:rPr>
        <w:t xml:space="preserve"> </w:t>
      </w:r>
      <w:r w:rsidRPr="00FD40B8">
        <w:rPr>
          <w:color w:val="131727" w:themeColor="text1"/>
          <w:spacing w:val="18"/>
          <w:w w:val="80"/>
        </w:rPr>
        <w:t>VIE</w:t>
      </w:r>
      <w:r w:rsidRPr="00FD40B8">
        <w:rPr>
          <w:color w:val="131727" w:themeColor="text1"/>
          <w:spacing w:val="-21"/>
          <w:w w:val="80"/>
        </w:rPr>
        <w:t xml:space="preserve"> </w:t>
      </w:r>
      <w:r w:rsidRPr="00FD40B8">
        <w:rPr>
          <w:color w:val="131727" w:themeColor="text1"/>
          <w:spacing w:val="-10"/>
          <w:w w:val="80"/>
        </w:rPr>
        <w:t>W</w:t>
      </w:r>
    </w:p>
    <w:p w14:paraId="57DAB3A3" w14:textId="77777777" w:rsidR="00811887" w:rsidRPr="00FD40B8" w:rsidRDefault="00811887" w:rsidP="00811887">
      <w:pPr>
        <w:pStyle w:val="BodyText"/>
        <w:spacing w:before="57" w:line="268" w:lineRule="auto"/>
        <w:ind w:left="148" w:right="243"/>
        <w:rPr>
          <w:color w:val="131727" w:themeColor="text1"/>
        </w:rPr>
      </w:pPr>
      <w:r w:rsidRPr="00FD40B8">
        <w:rPr>
          <w:color w:val="131727" w:themeColor="text1"/>
          <w:w w:val="110"/>
        </w:rPr>
        <w:t>The first</w:t>
      </w:r>
      <w:r w:rsidRPr="00FD40B8">
        <w:rPr>
          <w:color w:val="131727" w:themeColor="text1"/>
          <w:spacing w:val="-2"/>
          <w:w w:val="110"/>
        </w:rPr>
        <w:t xml:space="preserve"> </w:t>
      </w:r>
      <w:r w:rsidRPr="00FD40B8">
        <w:rPr>
          <w:color w:val="131727" w:themeColor="text1"/>
          <w:w w:val="110"/>
        </w:rPr>
        <w:t>CHINS occurred</w:t>
      </w:r>
      <w:r w:rsidRPr="00FD40B8">
        <w:rPr>
          <w:color w:val="131727" w:themeColor="text1"/>
          <w:spacing w:val="-2"/>
          <w:w w:val="110"/>
        </w:rPr>
        <w:t xml:space="preserve"> </w:t>
      </w:r>
      <w:r w:rsidRPr="00FD40B8">
        <w:rPr>
          <w:color w:val="131727" w:themeColor="text1"/>
          <w:w w:val="110"/>
        </w:rPr>
        <w:t>in</w:t>
      </w:r>
      <w:r w:rsidRPr="00FD40B8">
        <w:rPr>
          <w:color w:val="131727" w:themeColor="text1"/>
          <w:spacing w:val="-1"/>
          <w:w w:val="110"/>
        </w:rPr>
        <w:t xml:space="preserve"> </w:t>
      </w:r>
      <w:r w:rsidRPr="00FD40B8">
        <w:rPr>
          <w:color w:val="131727" w:themeColor="text1"/>
          <w:w w:val="110"/>
        </w:rPr>
        <w:t>1999,</w:t>
      </w:r>
      <w:r w:rsidRPr="00FD40B8">
        <w:rPr>
          <w:color w:val="131727" w:themeColor="text1"/>
          <w:spacing w:val="-2"/>
          <w:w w:val="110"/>
        </w:rPr>
        <w:t xml:space="preserve"> </w:t>
      </w:r>
      <w:r w:rsidRPr="00FD40B8">
        <w:rPr>
          <w:color w:val="131727" w:themeColor="text1"/>
          <w:w w:val="110"/>
        </w:rPr>
        <w:t>and again</w:t>
      </w:r>
      <w:r w:rsidRPr="00FD40B8">
        <w:rPr>
          <w:color w:val="131727" w:themeColor="text1"/>
          <w:spacing w:val="-1"/>
          <w:w w:val="110"/>
        </w:rPr>
        <w:t xml:space="preserve"> </w:t>
      </w:r>
      <w:r w:rsidRPr="00FD40B8">
        <w:rPr>
          <w:color w:val="131727" w:themeColor="text1"/>
          <w:w w:val="110"/>
        </w:rPr>
        <w:t>in 2001 and 2006.</w:t>
      </w:r>
      <w:r w:rsidRPr="00FD40B8">
        <w:rPr>
          <w:color w:val="131727" w:themeColor="text1"/>
          <w:spacing w:val="-2"/>
          <w:w w:val="110"/>
        </w:rPr>
        <w:t xml:space="preserve"> </w:t>
      </w:r>
      <w:r w:rsidRPr="00FD40B8">
        <w:rPr>
          <w:color w:val="131727" w:themeColor="text1"/>
          <w:w w:val="110"/>
        </w:rPr>
        <w:t>Although</w:t>
      </w:r>
      <w:r w:rsidRPr="00FD40B8">
        <w:rPr>
          <w:color w:val="131727" w:themeColor="text1"/>
          <w:spacing w:val="-1"/>
          <w:w w:val="110"/>
        </w:rPr>
        <w:t xml:space="preserve"> </w:t>
      </w:r>
      <w:r w:rsidRPr="00FD40B8">
        <w:rPr>
          <w:color w:val="131727" w:themeColor="text1"/>
          <w:w w:val="110"/>
        </w:rPr>
        <w:t>called a</w:t>
      </w:r>
      <w:r w:rsidRPr="00FD40B8">
        <w:rPr>
          <w:color w:val="131727" w:themeColor="text1"/>
          <w:spacing w:val="-3"/>
          <w:w w:val="110"/>
        </w:rPr>
        <w:t xml:space="preserve"> </w:t>
      </w:r>
      <w:r w:rsidRPr="00FD40B8">
        <w:rPr>
          <w:color w:val="131727" w:themeColor="text1"/>
          <w:w w:val="110"/>
        </w:rPr>
        <w:t>survey, the CHINS was designed as a complete enumeration of all discrete Indigenous communities in Australia that were occupied between the survey periods or were intended to be reoccupied within 12 months, and of all Indigenous Housing Organisations (IHOs) managing housing for Aboriginal and Torres Strait Islander peoples,</w:t>
      </w:r>
      <w:r w:rsidRPr="00FD40B8">
        <w:rPr>
          <w:color w:val="131727" w:themeColor="text1"/>
          <w:spacing w:val="-5"/>
          <w:w w:val="110"/>
        </w:rPr>
        <w:t xml:space="preserve"> </w:t>
      </w:r>
      <w:r w:rsidRPr="00FD40B8">
        <w:rPr>
          <w:color w:val="131727" w:themeColor="text1"/>
          <w:w w:val="110"/>
        </w:rPr>
        <w:t>whether</w:t>
      </w:r>
      <w:r w:rsidRPr="00FD40B8">
        <w:rPr>
          <w:color w:val="131727" w:themeColor="text1"/>
          <w:spacing w:val="-2"/>
          <w:w w:val="110"/>
        </w:rPr>
        <w:t xml:space="preserve"> </w:t>
      </w:r>
      <w:r w:rsidRPr="00FD40B8">
        <w:rPr>
          <w:color w:val="131727" w:themeColor="text1"/>
          <w:w w:val="110"/>
        </w:rPr>
        <w:t>in discrete</w:t>
      </w:r>
      <w:r w:rsidRPr="00FD40B8">
        <w:rPr>
          <w:color w:val="131727" w:themeColor="text1"/>
          <w:spacing w:val="-1"/>
          <w:w w:val="110"/>
        </w:rPr>
        <w:t xml:space="preserve"> </w:t>
      </w:r>
      <w:r w:rsidRPr="00FD40B8">
        <w:rPr>
          <w:color w:val="131727" w:themeColor="text1"/>
          <w:w w:val="110"/>
        </w:rPr>
        <w:t>communities</w:t>
      </w:r>
      <w:r w:rsidRPr="00FD40B8">
        <w:rPr>
          <w:color w:val="131727" w:themeColor="text1"/>
          <w:spacing w:val="-3"/>
          <w:w w:val="110"/>
        </w:rPr>
        <w:t xml:space="preserve"> </w:t>
      </w:r>
      <w:r w:rsidRPr="00FD40B8">
        <w:rPr>
          <w:color w:val="131727" w:themeColor="text1"/>
          <w:w w:val="110"/>
        </w:rPr>
        <w:t>or</w:t>
      </w:r>
      <w:r w:rsidRPr="00FD40B8">
        <w:rPr>
          <w:color w:val="131727" w:themeColor="text1"/>
          <w:spacing w:val="-2"/>
          <w:w w:val="110"/>
        </w:rPr>
        <w:t xml:space="preserve"> </w:t>
      </w:r>
      <w:r w:rsidRPr="00FD40B8">
        <w:rPr>
          <w:color w:val="131727" w:themeColor="text1"/>
          <w:w w:val="110"/>
        </w:rPr>
        <w:t>not.</w:t>
      </w:r>
      <w:r w:rsidRPr="00FD40B8">
        <w:rPr>
          <w:color w:val="131727" w:themeColor="text1"/>
          <w:spacing w:val="-1"/>
          <w:w w:val="110"/>
        </w:rPr>
        <w:t xml:space="preserve"> </w:t>
      </w:r>
      <w:r w:rsidRPr="00FD40B8">
        <w:rPr>
          <w:color w:val="131727" w:themeColor="text1"/>
          <w:w w:val="110"/>
        </w:rPr>
        <w:t>This included</w:t>
      </w:r>
      <w:r w:rsidRPr="00FD40B8">
        <w:rPr>
          <w:color w:val="131727" w:themeColor="text1"/>
          <w:spacing w:val="-5"/>
          <w:w w:val="110"/>
        </w:rPr>
        <w:t xml:space="preserve"> </w:t>
      </w:r>
      <w:r w:rsidRPr="00FD40B8">
        <w:rPr>
          <w:color w:val="131727" w:themeColor="text1"/>
          <w:w w:val="110"/>
        </w:rPr>
        <w:t>organisations and</w:t>
      </w:r>
      <w:r w:rsidRPr="00FD40B8">
        <w:rPr>
          <w:color w:val="131727" w:themeColor="text1"/>
          <w:spacing w:val="-5"/>
          <w:w w:val="110"/>
        </w:rPr>
        <w:t xml:space="preserve"> </w:t>
      </w:r>
      <w:r w:rsidRPr="00FD40B8">
        <w:rPr>
          <w:color w:val="131727" w:themeColor="text1"/>
          <w:w w:val="110"/>
        </w:rPr>
        <w:t>communities located in urban, rural, and remote areas in all states and territories of Australia.</w:t>
      </w:r>
    </w:p>
    <w:p w14:paraId="7C2A5013" w14:textId="77777777" w:rsidR="00811887" w:rsidRPr="00FD40B8" w:rsidRDefault="00811887" w:rsidP="00811887">
      <w:pPr>
        <w:pStyle w:val="Heading9"/>
        <w:spacing w:before="139"/>
        <w:ind w:left="148"/>
        <w:rPr>
          <w:color w:val="131727" w:themeColor="text1"/>
        </w:rPr>
      </w:pPr>
      <w:r w:rsidRPr="00FD40B8">
        <w:rPr>
          <w:color w:val="131727" w:themeColor="text1"/>
          <w:spacing w:val="22"/>
          <w:w w:val="75"/>
        </w:rPr>
        <w:t>OBJEC</w:t>
      </w:r>
      <w:r w:rsidRPr="00FD40B8">
        <w:rPr>
          <w:color w:val="131727" w:themeColor="text1"/>
          <w:spacing w:val="-11"/>
          <w:w w:val="75"/>
        </w:rPr>
        <w:t xml:space="preserve"> </w:t>
      </w:r>
      <w:r w:rsidRPr="00FD40B8">
        <w:rPr>
          <w:color w:val="131727" w:themeColor="text1"/>
          <w:spacing w:val="13"/>
          <w:w w:val="75"/>
        </w:rPr>
        <w:t>TI</w:t>
      </w:r>
      <w:r w:rsidRPr="00FD40B8">
        <w:rPr>
          <w:color w:val="131727" w:themeColor="text1"/>
          <w:spacing w:val="-14"/>
          <w:w w:val="75"/>
        </w:rPr>
        <w:t xml:space="preserve"> </w:t>
      </w:r>
      <w:r w:rsidRPr="00FD40B8">
        <w:rPr>
          <w:color w:val="131727" w:themeColor="text1"/>
          <w:spacing w:val="9"/>
          <w:w w:val="75"/>
        </w:rPr>
        <w:t>VE</w:t>
      </w:r>
    </w:p>
    <w:p w14:paraId="7E4EDD43" w14:textId="77777777" w:rsidR="00811887" w:rsidRPr="00FD40B8" w:rsidRDefault="00811887" w:rsidP="00811887">
      <w:pPr>
        <w:spacing w:before="57" w:line="268" w:lineRule="auto"/>
        <w:ind w:left="148" w:right="158"/>
        <w:rPr>
          <w:color w:val="131727" w:themeColor="text1"/>
          <w:sz w:val="21"/>
        </w:rPr>
      </w:pPr>
      <w:r w:rsidRPr="00FD40B8">
        <w:rPr>
          <w:color w:val="131727" w:themeColor="text1"/>
          <w:w w:val="110"/>
          <w:sz w:val="21"/>
        </w:rPr>
        <w:t>The CHINS was designed to collect data which would assist in the evaluation of policies and programs aimed at improving the housing conditions and infrastructure services of discrete Indigenous</w:t>
      </w:r>
      <w:r w:rsidRPr="00FD40B8">
        <w:rPr>
          <w:color w:val="131727" w:themeColor="text1"/>
          <w:spacing w:val="-2"/>
          <w:w w:val="110"/>
          <w:sz w:val="21"/>
        </w:rPr>
        <w:t xml:space="preserve"> </w:t>
      </w:r>
      <w:r w:rsidRPr="00FD40B8">
        <w:rPr>
          <w:color w:val="131727" w:themeColor="text1"/>
          <w:w w:val="110"/>
          <w:sz w:val="21"/>
        </w:rPr>
        <w:t>communities</w:t>
      </w:r>
      <w:r w:rsidRPr="00FD40B8">
        <w:rPr>
          <w:color w:val="131727" w:themeColor="text1"/>
          <w:spacing w:val="-2"/>
          <w:w w:val="110"/>
          <w:sz w:val="21"/>
        </w:rPr>
        <w:t xml:space="preserve"> </w:t>
      </w:r>
      <w:r w:rsidRPr="00FD40B8">
        <w:rPr>
          <w:color w:val="131727" w:themeColor="text1"/>
          <w:w w:val="110"/>
          <w:sz w:val="21"/>
        </w:rPr>
        <w:t>and</w:t>
      </w:r>
      <w:r w:rsidRPr="00FD40B8">
        <w:rPr>
          <w:color w:val="131727" w:themeColor="text1"/>
          <w:spacing w:val="-4"/>
          <w:w w:val="110"/>
          <w:sz w:val="21"/>
        </w:rPr>
        <w:t xml:space="preserve"> </w:t>
      </w:r>
      <w:r w:rsidRPr="00FD40B8">
        <w:rPr>
          <w:color w:val="131727" w:themeColor="text1"/>
          <w:w w:val="110"/>
          <w:sz w:val="21"/>
        </w:rPr>
        <w:t>other</w:t>
      </w:r>
      <w:r w:rsidRPr="00FD40B8">
        <w:rPr>
          <w:color w:val="131727" w:themeColor="text1"/>
          <w:spacing w:val="-4"/>
          <w:w w:val="110"/>
          <w:sz w:val="21"/>
        </w:rPr>
        <w:t xml:space="preserve"> </w:t>
      </w:r>
      <w:r w:rsidRPr="00FD40B8">
        <w:rPr>
          <w:color w:val="131727" w:themeColor="text1"/>
          <w:w w:val="110"/>
          <w:sz w:val="21"/>
        </w:rPr>
        <w:t>community-managed</w:t>
      </w:r>
      <w:r w:rsidRPr="00FD40B8">
        <w:rPr>
          <w:color w:val="131727" w:themeColor="text1"/>
          <w:spacing w:val="-4"/>
          <w:w w:val="110"/>
          <w:sz w:val="21"/>
        </w:rPr>
        <w:t xml:space="preserve"> </w:t>
      </w:r>
      <w:r w:rsidRPr="00FD40B8">
        <w:rPr>
          <w:color w:val="131727" w:themeColor="text1"/>
          <w:w w:val="110"/>
          <w:sz w:val="21"/>
        </w:rPr>
        <w:t>housing.</w:t>
      </w:r>
      <w:r w:rsidRPr="00FD40B8">
        <w:rPr>
          <w:color w:val="131727" w:themeColor="text1"/>
          <w:spacing w:val="-2"/>
          <w:w w:val="110"/>
          <w:sz w:val="21"/>
        </w:rPr>
        <w:t xml:space="preserve"> </w:t>
      </w:r>
      <w:r w:rsidRPr="00FD40B8">
        <w:rPr>
          <w:color w:val="131727" w:themeColor="text1"/>
          <w:w w:val="110"/>
          <w:sz w:val="21"/>
        </w:rPr>
        <w:t>Specifically,</w:t>
      </w:r>
      <w:r w:rsidRPr="00FD40B8">
        <w:rPr>
          <w:color w:val="131727" w:themeColor="text1"/>
          <w:spacing w:val="-3"/>
          <w:w w:val="110"/>
          <w:sz w:val="21"/>
        </w:rPr>
        <w:t xml:space="preserve"> </w:t>
      </w:r>
      <w:r w:rsidRPr="00FD40B8">
        <w:rPr>
          <w:color w:val="131727" w:themeColor="text1"/>
          <w:w w:val="110"/>
          <w:sz w:val="21"/>
        </w:rPr>
        <w:t>it</w:t>
      </w:r>
      <w:r w:rsidRPr="00FD40B8">
        <w:rPr>
          <w:color w:val="131727" w:themeColor="text1"/>
          <w:spacing w:val="-3"/>
          <w:w w:val="110"/>
          <w:sz w:val="21"/>
        </w:rPr>
        <w:t xml:space="preserve"> </w:t>
      </w:r>
      <w:r w:rsidRPr="00FD40B8">
        <w:rPr>
          <w:color w:val="131727" w:themeColor="text1"/>
          <w:w w:val="110"/>
          <w:sz w:val="21"/>
        </w:rPr>
        <w:t>sought</w:t>
      </w:r>
      <w:r w:rsidRPr="00FD40B8">
        <w:rPr>
          <w:color w:val="131727" w:themeColor="text1"/>
          <w:spacing w:val="-3"/>
          <w:w w:val="110"/>
          <w:sz w:val="21"/>
        </w:rPr>
        <w:t xml:space="preserve"> </w:t>
      </w:r>
      <w:r w:rsidRPr="00FD40B8">
        <w:rPr>
          <w:color w:val="131727" w:themeColor="text1"/>
          <w:w w:val="110"/>
          <w:sz w:val="21"/>
        </w:rPr>
        <w:t>to</w:t>
      </w:r>
      <w:r w:rsidRPr="00FD40B8">
        <w:rPr>
          <w:color w:val="131727" w:themeColor="text1"/>
          <w:spacing w:val="-3"/>
          <w:w w:val="110"/>
          <w:sz w:val="21"/>
        </w:rPr>
        <w:t xml:space="preserve"> </w:t>
      </w:r>
      <w:r w:rsidRPr="00FD40B8">
        <w:rPr>
          <w:color w:val="131727" w:themeColor="text1"/>
          <w:w w:val="110"/>
          <w:sz w:val="21"/>
        </w:rPr>
        <w:t>underpin policy decisions, program development, and targeting of Commonwealth and State and Territory Government funding to discrete Aboriginal and Torres Strait Islander communities most in need.</w:t>
      </w:r>
    </w:p>
    <w:p w14:paraId="328B56FD" w14:textId="77777777" w:rsidR="00811887" w:rsidRPr="00FD40B8" w:rsidRDefault="00811887" w:rsidP="00811887">
      <w:pPr>
        <w:spacing w:before="235" w:line="268" w:lineRule="auto"/>
        <w:ind w:left="148" w:right="158"/>
        <w:rPr>
          <w:color w:val="131727" w:themeColor="text1"/>
          <w:sz w:val="21"/>
        </w:rPr>
      </w:pPr>
      <w:r w:rsidRPr="00FD40B8">
        <w:rPr>
          <w:color w:val="131727" w:themeColor="text1"/>
          <w:w w:val="110"/>
          <w:sz w:val="21"/>
        </w:rPr>
        <w:t>CHINS also sought to provide performance information to assist in the support and evaluation of IHOs and inform regional housing policy and program development. Similarly,</w:t>
      </w:r>
      <w:r w:rsidRPr="00FD40B8">
        <w:rPr>
          <w:color w:val="131727" w:themeColor="text1"/>
          <w:spacing w:val="-1"/>
          <w:w w:val="110"/>
          <w:sz w:val="21"/>
        </w:rPr>
        <w:t xml:space="preserve"> </w:t>
      </w:r>
      <w:r w:rsidRPr="00FD40B8">
        <w:rPr>
          <w:color w:val="131727" w:themeColor="text1"/>
          <w:w w:val="110"/>
          <w:sz w:val="21"/>
        </w:rPr>
        <w:t>information collected regarding access to health facilities and</w:t>
      </w:r>
      <w:r w:rsidRPr="00FD40B8">
        <w:rPr>
          <w:color w:val="131727" w:themeColor="text1"/>
          <w:spacing w:val="-1"/>
          <w:w w:val="110"/>
          <w:sz w:val="21"/>
        </w:rPr>
        <w:t xml:space="preserve"> </w:t>
      </w:r>
      <w:r w:rsidRPr="00FD40B8">
        <w:rPr>
          <w:color w:val="131727" w:themeColor="text1"/>
          <w:w w:val="110"/>
          <w:sz w:val="21"/>
        </w:rPr>
        <w:t>services and</w:t>
      </w:r>
      <w:r w:rsidRPr="00FD40B8">
        <w:rPr>
          <w:color w:val="131727" w:themeColor="text1"/>
          <w:spacing w:val="-1"/>
          <w:w w:val="110"/>
          <w:sz w:val="21"/>
        </w:rPr>
        <w:t xml:space="preserve"> </w:t>
      </w:r>
      <w:r w:rsidRPr="00FD40B8">
        <w:rPr>
          <w:color w:val="131727" w:themeColor="text1"/>
          <w:w w:val="110"/>
          <w:sz w:val="21"/>
        </w:rPr>
        <w:t>exposure</w:t>
      </w:r>
      <w:r w:rsidRPr="00FD40B8">
        <w:rPr>
          <w:color w:val="131727" w:themeColor="text1"/>
          <w:spacing w:val="-1"/>
          <w:w w:val="110"/>
          <w:sz w:val="21"/>
        </w:rPr>
        <w:t xml:space="preserve"> </w:t>
      </w:r>
      <w:r w:rsidRPr="00FD40B8">
        <w:rPr>
          <w:color w:val="131727" w:themeColor="text1"/>
          <w:w w:val="110"/>
          <w:sz w:val="21"/>
        </w:rPr>
        <w:t>to environmental health risks,</w:t>
      </w:r>
      <w:r w:rsidRPr="00FD40B8">
        <w:rPr>
          <w:color w:val="131727" w:themeColor="text1"/>
          <w:spacing w:val="-2"/>
          <w:w w:val="110"/>
          <w:sz w:val="21"/>
        </w:rPr>
        <w:t xml:space="preserve"> </w:t>
      </w:r>
      <w:r w:rsidRPr="00FD40B8">
        <w:rPr>
          <w:color w:val="131727" w:themeColor="text1"/>
          <w:w w:val="110"/>
          <w:sz w:val="21"/>
        </w:rPr>
        <w:t>sought to inform health policy at various government and non-government levels.</w:t>
      </w:r>
    </w:p>
    <w:p w14:paraId="2695074C" w14:textId="77777777" w:rsidR="00811887" w:rsidRPr="00FD40B8" w:rsidRDefault="00811887" w:rsidP="00811887">
      <w:pPr>
        <w:spacing w:before="234" w:line="268" w:lineRule="auto"/>
        <w:ind w:left="148"/>
        <w:rPr>
          <w:color w:val="131727" w:themeColor="text1"/>
          <w:sz w:val="21"/>
        </w:rPr>
      </w:pPr>
      <w:r w:rsidRPr="00FD40B8">
        <w:rPr>
          <w:color w:val="131727" w:themeColor="text1"/>
          <w:w w:val="110"/>
          <w:sz w:val="21"/>
        </w:rPr>
        <w:t>Finally, CHINS data sought to contribute to the national dataset on Indigenous housing and community infrastructure. The 2001 collection was conducted just prior to the 2001 Census of Population and Housing to enable the combination</w:t>
      </w:r>
      <w:r w:rsidRPr="00FD40B8">
        <w:rPr>
          <w:color w:val="131727" w:themeColor="text1"/>
          <w:spacing w:val="-2"/>
          <w:w w:val="110"/>
          <w:sz w:val="21"/>
        </w:rPr>
        <w:t xml:space="preserve"> </w:t>
      </w:r>
      <w:r w:rsidRPr="00FD40B8">
        <w:rPr>
          <w:color w:val="131727" w:themeColor="text1"/>
          <w:w w:val="110"/>
          <w:sz w:val="21"/>
        </w:rPr>
        <w:t xml:space="preserve">of CHINS and Census data during statistical </w:t>
      </w:r>
      <w:r w:rsidRPr="00FD40B8">
        <w:rPr>
          <w:color w:val="131727" w:themeColor="text1"/>
          <w:spacing w:val="-2"/>
          <w:w w:val="110"/>
          <w:sz w:val="21"/>
        </w:rPr>
        <w:t>analysis.</w:t>
      </w:r>
    </w:p>
    <w:p w14:paraId="3E45AADA" w14:textId="77777777" w:rsidR="00811887" w:rsidRPr="00FD40B8" w:rsidRDefault="00811887" w:rsidP="00811887">
      <w:pPr>
        <w:spacing w:before="240"/>
        <w:ind w:left="148"/>
        <w:rPr>
          <w:color w:val="131727" w:themeColor="text1"/>
          <w:sz w:val="21"/>
        </w:rPr>
      </w:pP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2006</w:t>
      </w:r>
      <w:r w:rsidRPr="00FD40B8">
        <w:rPr>
          <w:color w:val="131727" w:themeColor="text1"/>
          <w:spacing w:val="-2"/>
          <w:w w:val="110"/>
          <w:sz w:val="21"/>
        </w:rPr>
        <w:t xml:space="preserve"> </w:t>
      </w:r>
      <w:r w:rsidRPr="00FD40B8">
        <w:rPr>
          <w:color w:val="131727" w:themeColor="text1"/>
          <w:w w:val="110"/>
          <w:sz w:val="21"/>
        </w:rPr>
        <w:t>CHINS</w:t>
      </w:r>
      <w:r w:rsidRPr="00FD40B8">
        <w:rPr>
          <w:color w:val="131727" w:themeColor="text1"/>
          <w:spacing w:val="-1"/>
          <w:w w:val="110"/>
          <w:sz w:val="21"/>
        </w:rPr>
        <w:t xml:space="preserve"> </w:t>
      </w:r>
      <w:r w:rsidRPr="00FD40B8">
        <w:rPr>
          <w:color w:val="131727" w:themeColor="text1"/>
          <w:w w:val="110"/>
          <w:sz w:val="21"/>
        </w:rPr>
        <w:t>aimed</w:t>
      </w:r>
      <w:r w:rsidRPr="00FD40B8">
        <w:rPr>
          <w:color w:val="131727" w:themeColor="text1"/>
          <w:spacing w:val="-2"/>
          <w:w w:val="110"/>
          <w:sz w:val="21"/>
        </w:rPr>
        <w:t xml:space="preserve"> </w:t>
      </w:r>
      <w:r w:rsidRPr="00FD40B8">
        <w:rPr>
          <w:color w:val="131727" w:themeColor="text1"/>
          <w:w w:val="110"/>
          <w:sz w:val="21"/>
        </w:rPr>
        <w:t>to provide</w:t>
      </w:r>
      <w:r w:rsidRPr="00FD40B8">
        <w:rPr>
          <w:color w:val="131727" w:themeColor="text1"/>
          <w:spacing w:val="-2"/>
          <w:w w:val="110"/>
          <w:sz w:val="21"/>
        </w:rPr>
        <w:t xml:space="preserve"> </w:t>
      </w:r>
      <w:r w:rsidRPr="00FD40B8">
        <w:rPr>
          <w:color w:val="131727" w:themeColor="text1"/>
          <w:w w:val="110"/>
          <w:sz w:val="21"/>
        </w:rPr>
        <w:t>information which</w:t>
      </w:r>
      <w:r w:rsidRPr="00FD40B8">
        <w:rPr>
          <w:color w:val="131727" w:themeColor="text1"/>
          <w:spacing w:val="-1"/>
          <w:w w:val="110"/>
          <w:sz w:val="21"/>
        </w:rPr>
        <w:t xml:space="preserve"> </w:t>
      </w:r>
      <w:r w:rsidRPr="00FD40B8">
        <w:rPr>
          <w:color w:val="131727" w:themeColor="text1"/>
          <w:w w:val="110"/>
          <w:sz w:val="21"/>
        </w:rPr>
        <w:t>could</w:t>
      </w:r>
      <w:r w:rsidRPr="00FD40B8">
        <w:rPr>
          <w:color w:val="131727" w:themeColor="text1"/>
          <w:spacing w:val="-2"/>
          <w:w w:val="110"/>
          <w:sz w:val="21"/>
        </w:rPr>
        <w:t xml:space="preserve"> </w:t>
      </w:r>
      <w:r w:rsidRPr="00FD40B8">
        <w:rPr>
          <w:color w:val="131727" w:themeColor="text1"/>
          <w:w w:val="110"/>
          <w:sz w:val="21"/>
        </w:rPr>
        <w:t>be</w:t>
      </w:r>
      <w:r w:rsidRPr="00FD40B8">
        <w:rPr>
          <w:color w:val="131727" w:themeColor="text1"/>
          <w:spacing w:val="-2"/>
          <w:w w:val="110"/>
          <w:sz w:val="21"/>
        </w:rPr>
        <w:t xml:space="preserve"> </w:t>
      </w:r>
      <w:r w:rsidRPr="00FD40B8">
        <w:rPr>
          <w:color w:val="131727" w:themeColor="text1"/>
          <w:w w:val="110"/>
          <w:sz w:val="21"/>
        </w:rPr>
        <w:t>used</w:t>
      </w:r>
      <w:r w:rsidRPr="00FD40B8">
        <w:rPr>
          <w:color w:val="131727" w:themeColor="text1"/>
          <w:spacing w:val="-2"/>
          <w:w w:val="110"/>
          <w:sz w:val="21"/>
        </w:rPr>
        <w:t xml:space="preserve"> </w:t>
      </w:r>
      <w:r w:rsidRPr="00FD40B8">
        <w:rPr>
          <w:color w:val="131727" w:themeColor="text1"/>
          <w:spacing w:val="-5"/>
          <w:w w:val="110"/>
          <w:sz w:val="21"/>
        </w:rPr>
        <w:t>to:</w:t>
      </w:r>
    </w:p>
    <w:p w14:paraId="11B84889" w14:textId="77777777" w:rsidR="00811887" w:rsidRPr="00FD40B8" w:rsidRDefault="00811887" w:rsidP="00811887">
      <w:pPr>
        <w:pStyle w:val="ListParagraph"/>
        <w:widowControl w:val="0"/>
        <w:numPr>
          <w:ilvl w:val="0"/>
          <w:numId w:val="53"/>
        </w:numPr>
        <w:tabs>
          <w:tab w:val="left" w:pos="868"/>
        </w:tabs>
        <w:autoSpaceDE w:val="0"/>
        <w:autoSpaceDN w:val="0"/>
        <w:spacing w:before="255" w:after="0" w:line="266" w:lineRule="auto"/>
        <w:ind w:right="406"/>
        <w:contextualSpacing w:val="0"/>
        <w:rPr>
          <w:color w:val="131727" w:themeColor="text1"/>
          <w:sz w:val="21"/>
        </w:rPr>
      </w:pPr>
      <w:r w:rsidRPr="00FD40B8">
        <w:rPr>
          <w:color w:val="131727" w:themeColor="text1"/>
          <w:w w:val="110"/>
          <w:sz w:val="21"/>
        </w:rPr>
        <w:t>evaluate</w:t>
      </w:r>
      <w:r w:rsidRPr="00FD40B8">
        <w:rPr>
          <w:color w:val="131727" w:themeColor="text1"/>
          <w:spacing w:val="-5"/>
          <w:w w:val="110"/>
          <w:sz w:val="21"/>
        </w:rPr>
        <w:t xml:space="preserve"> </w:t>
      </w:r>
      <w:r w:rsidRPr="00FD40B8">
        <w:rPr>
          <w:color w:val="131727" w:themeColor="text1"/>
          <w:w w:val="110"/>
          <w:sz w:val="21"/>
        </w:rPr>
        <w:t>the</w:t>
      </w:r>
      <w:r w:rsidRPr="00FD40B8">
        <w:rPr>
          <w:color w:val="131727" w:themeColor="text1"/>
          <w:spacing w:val="-5"/>
          <w:w w:val="110"/>
          <w:sz w:val="21"/>
        </w:rPr>
        <w:t xml:space="preserve"> </w:t>
      </w:r>
      <w:r w:rsidRPr="00FD40B8">
        <w:rPr>
          <w:color w:val="131727" w:themeColor="text1"/>
          <w:w w:val="110"/>
          <w:sz w:val="21"/>
        </w:rPr>
        <w:t>current</w:t>
      </w:r>
      <w:r w:rsidRPr="00FD40B8">
        <w:rPr>
          <w:color w:val="131727" w:themeColor="text1"/>
          <w:spacing w:val="-3"/>
          <w:w w:val="110"/>
          <w:sz w:val="21"/>
        </w:rPr>
        <w:t xml:space="preserve"> </w:t>
      </w:r>
      <w:r w:rsidRPr="00FD40B8">
        <w:rPr>
          <w:color w:val="131727" w:themeColor="text1"/>
          <w:w w:val="110"/>
          <w:sz w:val="21"/>
        </w:rPr>
        <w:t>condition</w:t>
      </w:r>
      <w:r w:rsidRPr="00FD40B8">
        <w:rPr>
          <w:color w:val="131727" w:themeColor="text1"/>
          <w:spacing w:val="-4"/>
          <w:w w:val="110"/>
          <w:sz w:val="21"/>
        </w:rPr>
        <w:t xml:space="preserve"> </w:t>
      </w:r>
      <w:r w:rsidRPr="00FD40B8">
        <w:rPr>
          <w:color w:val="131727" w:themeColor="text1"/>
          <w:w w:val="110"/>
          <w:sz w:val="21"/>
        </w:rPr>
        <w:t>and</w:t>
      </w:r>
      <w:r w:rsidRPr="00FD40B8">
        <w:rPr>
          <w:color w:val="131727" w:themeColor="text1"/>
          <w:spacing w:val="-5"/>
          <w:w w:val="110"/>
          <w:sz w:val="21"/>
        </w:rPr>
        <w:t xml:space="preserve"> </w:t>
      </w:r>
      <w:r w:rsidRPr="00FD40B8">
        <w:rPr>
          <w:color w:val="131727" w:themeColor="text1"/>
          <w:w w:val="110"/>
          <w:sz w:val="21"/>
        </w:rPr>
        <w:t>adequacy</w:t>
      </w:r>
      <w:r w:rsidRPr="00FD40B8">
        <w:rPr>
          <w:color w:val="131727" w:themeColor="text1"/>
          <w:spacing w:val="-5"/>
          <w:w w:val="110"/>
          <w:sz w:val="21"/>
        </w:rPr>
        <w:t xml:space="preserve"> </w:t>
      </w:r>
      <w:r w:rsidRPr="00FD40B8">
        <w:rPr>
          <w:color w:val="131727" w:themeColor="text1"/>
          <w:w w:val="110"/>
          <w:sz w:val="21"/>
        </w:rPr>
        <w:t>of</w:t>
      </w:r>
      <w:r w:rsidRPr="00FD40B8">
        <w:rPr>
          <w:color w:val="131727" w:themeColor="text1"/>
          <w:spacing w:val="-5"/>
          <w:w w:val="110"/>
          <w:sz w:val="21"/>
        </w:rPr>
        <w:t xml:space="preserve"> </w:t>
      </w:r>
      <w:r w:rsidRPr="00FD40B8">
        <w:rPr>
          <w:color w:val="131727" w:themeColor="text1"/>
          <w:w w:val="110"/>
          <w:sz w:val="21"/>
        </w:rPr>
        <w:t>the</w:t>
      </w:r>
      <w:r w:rsidRPr="00FD40B8">
        <w:rPr>
          <w:color w:val="131727" w:themeColor="text1"/>
          <w:spacing w:val="-5"/>
          <w:w w:val="110"/>
          <w:sz w:val="21"/>
        </w:rPr>
        <w:t xml:space="preserve"> </w:t>
      </w:r>
      <w:r w:rsidRPr="00FD40B8">
        <w:rPr>
          <w:color w:val="131727" w:themeColor="text1"/>
          <w:w w:val="110"/>
          <w:sz w:val="21"/>
        </w:rPr>
        <w:t>infrastructure</w:t>
      </w:r>
      <w:r w:rsidRPr="00FD40B8">
        <w:rPr>
          <w:color w:val="131727" w:themeColor="text1"/>
          <w:spacing w:val="-5"/>
          <w:w w:val="110"/>
          <w:sz w:val="21"/>
        </w:rPr>
        <w:t xml:space="preserve"> </w:t>
      </w:r>
      <w:r w:rsidRPr="00FD40B8">
        <w:rPr>
          <w:color w:val="131727" w:themeColor="text1"/>
          <w:w w:val="110"/>
          <w:sz w:val="21"/>
        </w:rPr>
        <w:t>and</w:t>
      </w:r>
      <w:r w:rsidRPr="00FD40B8">
        <w:rPr>
          <w:color w:val="131727" w:themeColor="text1"/>
          <w:spacing w:val="-5"/>
          <w:w w:val="110"/>
          <w:sz w:val="21"/>
        </w:rPr>
        <w:t xml:space="preserve"> </w:t>
      </w:r>
      <w:r w:rsidRPr="00FD40B8">
        <w:rPr>
          <w:color w:val="131727" w:themeColor="text1"/>
          <w:w w:val="110"/>
          <w:sz w:val="21"/>
        </w:rPr>
        <w:t>facilities</w:t>
      </w:r>
      <w:r w:rsidRPr="00FD40B8">
        <w:rPr>
          <w:color w:val="131727" w:themeColor="text1"/>
          <w:spacing w:val="-2"/>
          <w:w w:val="110"/>
          <w:sz w:val="21"/>
        </w:rPr>
        <w:t xml:space="preserve"> </w:t>
      </w:r>
      <w:r w:rsidRPr="00FD40B8">
        <w:rPr>
          <w:color w:val="131727" w:themeColor="text1"/>
          <w:w w:val="110"/>
          <w:sz w:val="21"/>
        </w:rPr>
        <w:t>in</w:t>
      </w:r>
      <w:r w:rsidRPr="00FD40B8">
        <w:rPr>
          <w:color w:val="131727" w:themeColor="text1"/>
          <w:spacing w:val="-4"/>
          <w:w w:val="110"/>
          <w:sz w:val="21"/>
        </w:rPr>
        <w:t xml:space="preserve"> </w:t>
      </w:r>
      <w:r w:rsidRPr="00FD40B8">
        <w:rPr>
          <w:color w:val="131727" w:themeColor="text1"/>
          <w:w w:val="110"/>
          <w:sz w:val="21"/>
        </w:rPr>
        <w:t>discrete Indigenous communities, and the housing stock provided to Aboriginal and Torres Strait Islander peoples by Indigenous organisations</w:t>
      </w:r>
    </w:p>
    <w:p w14:paraId="65C3735A" w14:textId="77777777" w:rsidR="00811887" w:rsidRPr="00FD40B8" w:rsidRDefault="00811887" w:rsidP="00811887">
      <w:pPr>
        <w:pStyle w:val="ListParagraph"/>
        <w:widowControl w:val="0"/>
        <w:numPr>
          <w:ilvl w:val="0"/>
          <w:numId w:val="53"/>
        </w:numPr>
        <w:tabs>
          <w:tab w:val="left" w:pos="868"/>
        </w:tabs>
        <w:autoSpaceDE w:val="0"/>
        <w:autoSpaceDN w:val="0"/>
        <w:spacing w:after="0" w:line="264" w:lineRule="auto"/>
        <w:ind w:right="361"/>
        <w:contextualSpacing w:val="0"/>
        <w:rPr>
          <w:color w:val="131727" w:themeColor="text1"/>
          <w:sz w:val="21"/>
        </w:rPr>
      </w:pPr>
      <w:r w:rsidRPr="00FD40B8">
        <w:rPr>
          <w:color w:val="131727" w:themeColor="text1"/>
          <w:w w:val="110"/>
          <w:sz w:val="21"/>
        </w:rPr>
        <w:t xml:space="preserve">identify the housing related income and expenditure of Indigenous Housing Organisations </w:t>
      </w:r>
      <w:r w:rsidRPr="00FD40B8">
        <w:rPr>
          <w:color w:val="131727" w:themeColor="text1"/>
          <w:spacing w:val="-2"/>
          <w:w w:val="110"/>
          <w:sz w:val="21"/>
        </w:rPr>
        <w:t>(IHOs)</w:t>
      </w:r>
    </w:p>
    <w:p w14:paraId="162D3DC2" w14:textId="77777777" w:rsidR="00811887" w:rsidRPr="00FD40B8" w:rsidRDefault="00811887" w:rsidP="00811887">
      <w:pPr>
        <w:pStyle w:val="ListParagraph"/>
        <w:widowControl w:val="0"/>
        <w:numPr>
          <w:ilvl w:val="0"/>
          <w:numId w:val="53"/>
        </w:numPr>
        <w:tabs>
          <w:tab w:val="left" w:pos="868"/>
        </w:tabs>
        <w:autoSpaceDE w:val="0"/>
        <w:autoSpaceDN w:val="0"/>
        <w:spacing w:after="0" w:line="264" w:lineRule="auto"/>
        <w:ind w:right="785"/>
        <w:contextualSpacing w:val="0"/>
        <w:rPr>
          <w:color w:val="131727" w:themeColor="text1"/>
          <w:sz w:val="21"/>
        </w:rPr>
      </w:pPr>
      <w:r w:rsidRPr="00FD40B8">
        <w:rPr>
          <w:color w:val="131727" w:themeColor="text1"/>
          <w:w w:val="110"/>
          <w:sz w:val="21"/>
        </w:rPr>
        <w:t>contribute</w:t>
      </w:r>
      <w:r w:rsidRPr="00FD40B8">
        <w:rPr>
          <w:color w:val="131727" w:themeColor="text1"/>
          <w:spacing w:val="-3"/>
          <w:w w:val="110"/>
          <w:sz w:val="21"/>
        </w:rPr>
        <w:t xml:space="preserve"> </w:t>
      </w:r>
      <w:r w:rsidRPr="00FD40B8">
        <w:rPr>
          <w:color w:val="131727" w:themeColor="text1"/>
          <w:w w:val="110"/>
          <w:sz w:val="21"/>
        </w:rPr>
        <w:t>toward</w:t>
      </w:r>
      <w:r w:rsidRPr="00FD40B8">
        <w:rPr>
          <w:color w:val="131727" w:themeColor="text1"/>
          <w:spacing w:val="-4"/>
          <w:w w:val="110"/>
          <w:sz w:val="21"/>
        </w:rPr>
        <w:t xml:space="preserve"> </w:t>
      </w:r>
      <w:r w:rsidRPr="00FD40B8">
        <w:rPr>
          <w:color w:val="131727" w:themeColor="text1"/>
          <w:w w:val="110"/>
          <w:sz w:val="21"/>
        </w:rPr>
        <w:t>estimates of</w:t>
      </w:r>
      <w:r w:rsidRPr="00FD40B8">
        <w:rPr>
          <w:color w:val="131727" w:themeColor="text1"/>
          <w:spacing w:val="-3"/>
          <w:w w:val="110"/>
          <w:sz w:val="21"/>
        </w:rPr>
        <w:t xml:space="preserve"> </w:t>
      </w:r>
      <w:r w:rsidRPr="00FD40B8">
        <w:rPr>
          <w:color w:val="131727" w:themeColor="text1"/>
          <w:w w:val="110"/>
          <w:sz w:val="21"/>
        </w:rPr>
        <w:t>the</w:t>
      </w:r>
      <w:r w:rsidRPr="00FD40B8">
        <w:rPr>
          <w:color w:val="131727" w:themeColor="text1"/>
          <w:spacing w:val="-3"/>
          <w:w w:val="110"/>
          <w:sz w:val="21"/>
        </w:rPr>
        <w:t xml:space="preserve"> </w:t>
      </w:r>
      <w:r w:rsidRPr="00FD40B8">
        <w:rPr>
          <w:color w:val="131727" w:themeColor="text1"/>
          <w:w w:val="110"/>
          <w:sz w:val="21"/>
        </w:rPr>
        <w:t>cost</w:t>
      </w:r>
      <w:r w:rsidRPr="00FD40B8">
        <w:rPr>
          <w:color w:val="131727" w:themeColor="text1"/>
          <w:spacing w:val="-1"/>
          <w:w w:val="110"/>
          <w:sz w:val="21"/>
        </w:rPr>
        <w:t xml:space="preserve"> </w:t>
      </w:r>
      <w:r w:rsidRPr="00FD40B8">
        <w:rPr>
          <w:color w:val="131727" w:themeColor="text1"/>
          <w:w w:val="110"/>
          <w:sz w:val="21"/>
        </w:rPr>
        <w:t>of</w:t>
      </w:r>
      <w:r w:rsidRPr="00FD40B8">
        <w:rPr>
          <w:color w:val="131727" w:themeColor="text1"/>
          <w:spacing w:val="-3"/>
          <w:w w:val="110"/>
          <w:sz w:val="21"/>
        </w:rPr>
        <w:t xml:space="preserve"> </w:t>
      </w:r>
      <w:r w:rsidRPr="00FD40B8">
        <w:rPr>
          <w:color w:val="131727" w:themeColor="text1"/>
          <w:w w:val="110"/>
          <w:sz w:val="21"/>
        </w:rPr>
        <w:t>upgrading</w:t>
      </w:r>
      <w:r w:rsidRPr="00FD40B8">
        <w:rPr>
          <w:color w:val="131727" w:themeColor="text1"/>
          <w:spacing w:val="-2"/>
          <w:w w:val="110"/>
          <w:sz w:val="21"/>
        </w:rPr>
        <w:t xml:space="preserve"> </w:t>
      </w:r>
      <w:r w:rsidRPr="00FD40B8">
        <w:rPr>
          <w:color w:val="131727" w:themeColor="text1"/>
          <w:w w:val="110"/>
          <w:sz w:val="21"/>
        </w:rPr>
        <w:t>and/or</w:t>
      </w:r>
      <w:r w:rsidRPr="00FD40B8">
        <w:rPr>
          <w:color w:val="131727" w:themeColor="text1"/>
          <w:spacing w:val="-3"/>
          <w:w w:val="110"/>
          <w:sz w:val="21"/>
        </w:rPr>
        <w:t xml:space="preserve"> </w:t>
      </w:r>
      <w:r w:rsidRPr="00FD40B8">
        <w:rPr>
          <w:color w:val="131727" w:themeColor="text1"/>
          <w:w w:val="110"/>
          <w:sz w:val="21"/>
        </w:rPr>
        <w:t>establishing</w:t>
      </w:r>
      <w:r w:rsidRPr="00FD40B8">
        <w:rPr>
          <w:color w:val="131727" w:themeColor="text1"/>
          <w:spacing w:val="-2"/>
          <w:w w:val="110"/>
          <w:sz w:val="21"/>
        </w:rPr>
        <w:t xml:space="preserve"> </w:t>
      </w:r>
      <w:r w:rsidRPr="00FD40B8">
        <w:rPr>
          <w:color w:val="131727" w:themeColor="text1"/>
          <w:w w:val="110"/>
          <w:sz w:val="21"/>
        </w:rPr>
        <w:t>housing</w:t>
      </w:r>
      <w:r w:rsidRPr="00FD40B8">
        <w:rPr>
          <w:color w:val="131727" w:themeColor="text1"/>
          <w:spacing w:val="-2"/>
          <w:w w:val="110"/>
          <w:sz w:val="21"/>
        </w:rPr>
        <w:t xml:space="preserve"> </w:t>
      </w:r>
      <w:r w:rsidRPr="00FD40B8">
        <w:rPr>
          <w:color w:val="131727" w:themeColor="text1"/>
          <w:w w:val="110"/>
          <w:sz w:val="21"/>
        </w:rPr>
        <w:t>and infrastructure</w:t>
      </w:r>
      <w:r w:rsidRPr="00FD40B8">
        <w:rPr>
          <w:color w:val="131727" w:themeColor="text1"/>
          <w:spacing w:val="-4"/>
          <w:w w:val="110"/>
          <w:sz w:val="21"/>
        </w:rPr>
        <w:t xml:space="preserve"> </w:t>
      </w:r>
      <w:r w:rsidRPr="00FD40B8">
        <w:rPr>
          <w:color w:val="131727" w:themeColor="text1"/>
          <w:w w:val="110"/>
          <w:sz w:val="21"/>
        </w:rPr>
        <w:t>in</w:t>
      </w:r>
      <w:r w:rsidRPr="00FD40B8">
        <w:rPr>
          <w:color w:val="131727" w:themeColor="text1"/>
          <w:spacing w:val="-3"/>
          <w:w w:val="110"/>
          <w:sz w:val="21"/>
        </w:rPr>
        <w:t xml:space="preserve"> </w:t>
      </w:r>
      <w:r w:rsidRPr="00FD40B8">
        <w:rPr>
          <w:color w:val="131727" w:themeColor="text1"/>
          <w:w w:val="110"/>
          <w:sz w:val="21"/>
        </w:rPr>
        <w:t>discrete</w:t>
      </w:r>
      <w:r w:rsidRPr="00FD40B8">
        <w:rPr>
          <w:color w:val="131727" w:themeColor="text1"/>
          <w:spacing w:val="-4"/>
          <w:w w:val="110"/>
          <w:sz w:val="21"/>
        </w:rPr>
        <w:t xml:space="preserve"> </w:t>
      </w:r>
      <w:r w:rsidRPr="00FD40B8">
        <w:rPr>
          <w:color w:val="131727" w:themeColor="text1"/>
          <w:w w:val="110"/>
          <w:sz w:val="21"/>
        </w:rPr>
        <w:t>Indigenous</w:t>
      </w:r>
      <w:r w:rsidRPr="00FD40B8">
        <w:rPr>
          <w:color w:val="131727" w:themeColor="text1"/>
          <w:spacing w:val="-1"/>
          <w:w w:val="110"/>
          <w:sz w:val="21"/>
        </w:rPr>
        <w:t xml:space="preserve"> </w:t>
      </w:r>
      <w:r w:rsidRPr="00FD40B8">
        <w:rPr>
          <w:color w:val="131727" w:themeColor="text1"/>
          <w:w w:val="110"/>
          <w:sz w:val="21"/>
        </w:rPr>
        <w:t>communities</w:t>
      </w:r>
      <w:r w:rsidRPr="00FD40B8">
        <w:rPr>
          <w:color w:val="131727" w:themeColor="text1"/>
          <w:spacing w:val="-1"/>
          <w:w w:val="110"/>
          <w:sz w:val="21"/>
        </w:rPr>
        <w:t xml:space="preserve"> </w:t>
      </w:r>
      <w:r w:rsidRPr="00FD40B8">
        <w:rPr>
          <w:color w:val="131727" w:themeColor="text1"/>
          <w:w w:val="110"/>
          <w:sz w:val="21"/>
        </w:rPr>
        <w:t>to</w:t>
      </w:r>
      <w:r w:rsidRPr="00FD40B8">
        <w:rPr>
          <w:color w:val="131727" w:themeColor="text1"/>
          <w:spacing w:val="-2"/>
          <w:w w:val="110"/>
          <w:sz w:val="21"/>
        </w:rPr>
        <w:t xml:space="preserve"> </w:t>
      </w:r>
      <w:r w:rsidRPr="00FD40B8">
        <w:rPr>
          <w:color w:val="131727" w:themeColor="text1"/>
          <w:w w:val="110"/>
          <w:sz w:val="21"/>
        </w:rPr>
        <w:t>meet</w:t>
      </w:r>
      <w:r w:rsidRPr="00FD40B8">
        <w:rPr>
          <w:color w:val="131727" w:themeColor="text1"/>
          <w:spacing w:val="-2"/>
          <w:w w:val="110"/>
          <w:sz w:val="21"/>
        </w:rPr>
        <w:t xml:space="preserve"> </w:t>
      </w:r>
      <w:r w:rsidRPr="00FD40B8">
        <w:rPr>
          <w:color w:val="131727" w:themeColor="text1"/>
          <w:w w:val="110"/>
          <w:sz w:val="21"/>
        </w:rPr>
        <w:t>with</w:t>
      </w:r>
      <w:r w:rsidRPr="00FD40B8">
        <w:rPr>
          <w:color w:val="131727" w:themeColor="text1"/>
          <w:spacing w:val="-3"/>
          <w:w w:val="110"/>
          <w:sz w:val="21"/>
        </w:rPr>
        <w:t xml:space="preserve"> </w:t>
      </w:r>
      <w:r w:rsidRPr="00FD40B8">
        <w:rPr>
          <w:color w:val="131727" w:themeColor="text1"/>
          <w:w w:val="110"/>
          <w:sz w:val="21"/>
        </w:rPr>
        <w:t>benchmark</w:t>
      </w:r>
      <w:r w:rsidRPr="00FD40B8">
        <w:rPr>
          <w:color w:val="131727" w:themeColor="text1"/>
          <w:spacing w:val="-5"/>
          <w:w w:val="110"/>
          <w:sz w:val="21"/>
        </w:rPr>
        <w:t xml:space="preserve"> </w:t>
      </w:r>
      <w:r w:rsidRPr="00FD40B8">
        <w:rPr>
          <w:color w:val="131727" w:themeColor="text1"/>
          <w:w w:val="110"/>
          <w:sz w:val="21"/>
        </w:rPr>
        <w:t>standards</w:t>
      </w:r>
    </w:p>
    <w:p w14:paraId="60A6EAD4" w14:textId="77777777" w:rsidR="00811887" w:rsidRPr="00FD40B8" w:rsidRDefault="00811887" w:rsidP="00811887">
      <w:pPr>
        <w:pStyle w:val="ListParagraph"/>
        <w:widowControl w:val="0"/>
        <w:numPr>
          <w:ilvl w:val="0"/>
          <w:numId w:val="53"/>
        </w:numPr>
        <w:tabs>
          <w:tab w:val="left" w:pos="868"/>
        </w:tabs>
        <w:autoSpaceDE w:val="0"/>
        <w:autoSpaceDN w:val="0"/>
        <w:spacing w:after="0" w:line="268" w:lineRule="auto"/>
        <w:ind w:right="229"/>
        <w:contextualSpacing w:val="0"/>
        <w:rPr>
          <w:color w:val="131727" w:themeColor="text1"/>
          <w:sz w:val="21"/>
        </w:rPr>
      </w:pPr>
      <w:r w:rsidRPr="00FD40B8">
        <w:rPr>
          <w:color w:val="131727" w:themeColor="text1"/>
          <w:w w:val="110"/>
          <w:sz w:val="21"/>
        </w:rPr>
        <w:t>assist in</w:t>
      </w:r>
      <w:r w:rsidRPr="00FD40B8">
        <w:rPr>
          <w:color w:val="131727" w:themeColor="text1"/>
          <w:spacing w:val="-1"/>
          <w:w w:val="110"/>
          <w:sz w:val="21"/>
        </w:rPr>
        <w:t xml:space="preserve"> </w:t>
      </w: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process of</w:t>
      </w:r>
      <w:r w:rsidRPr="00FD40B8">
        <w:rPr>
          <w:color w:val="131727" w:themeColor="text1"/>
          <w:spacing w:val="-2"/>
          <w:w w:val="110"/>
          <w:sz w:val="21"/>
        </w:rPr>
        <w:t xml:space="preserve"> </w:t>
      </w:r>
      <w:r w:rsidRPr="00FD40B8">
        <w:rPr>
          <w:color w:val="131727" w:themeColor="text1"/>
          <w:w w:val="110"/>
          <w:sz w:val="21"/>
        </w:rPr>
        <w:t>planning</w:t>
      </w:r>
      <w:r w:rsidRPr="00FD40B8">
        <w:rPr>
          <w:color w:val="131727" w:themeColor="text1"/>
          <w:spacing w:val="-1"/>
          <w:w w:val="110"/>
          <w:sz w:val="21"/>
        </w:rPr>
        <w:t xml:space="preserve"> </w:t>
      </w:r>
      <w:r w:rsidRPr="00FD40B8">
        <w:rPr>
          <w:color w:val="131727" w:themeColor="text1"/>
          <w:w w:val="110"/>
          <w:sz w:val="21"/>
        </w:rPr>
        <w:t>future</w:t>
      </w:r>
      <w:r w:rsidRPr="00FD40B8">
        <w:rPr>
          <w:color w:val="131727" w:themeColor="text1"/>
          <w:spacing w:val="-2"/>
          <w:w w:val="110"/>
          <w:sz w:val="21"/>
        </w:rPr>
        <w:t xml:space="preserve"> </w:t>
      </w:r>
      <w:r w:rsidRPr="00FD40B8">
        <w:rPr>
          <w:color w:val="131727" w:themeColor="text1"/>
          <w:w w:val="110"/>
          <w:sz w:val="21"/>
        </w:rPr>
        <w:t>development in</w:t>
      </w:r>
      <w:r w:rsidRPr="00FD40B8">
        <w:rPr>
          <w:color w:val="131727" w:themeColor="text1"/>
          <w:spacing w:val="-1"/>
          <w:w w:val="110"/>
          <w:sz w:val="21"/>
        </w:rPr>
        <w:t xml:space="preserve"> </w:t>
      </w:r>
      <w:r w:rsidRPr="00FD40B8">
        <w:rPr>
          <w:color w:val="131727" w:themeColor="text1"/>
          <w:w w:val="110"/>
          <w:sz w:val="21"/>
        </w:rPr>
        <w:t>Aboriginal</w:t>
      </w:r>
      <w:r w:rsidRPr="00FD40B8">
        <w:rPr>
          <w:color w:val="131727" w:themeColor="text1"/>
          <w:spacing w:val="-1"/>
          <w:w w:val="110"/>
          <w:sz w:val="21"/>
        </w:rPr>
        <w:t xml:space="preserve"> </w:t>
      </w:r>
      <w:r w:rsidRPr="00FD40B8">
        <w:rPr>
          <w:color w:val="131727" w:themeColor="text1"/>
          <w:w w:val="110"/>
          <w:sz w:val="21"/>
        </w:rPr>
        <w:t>and</w:t>
      </w:r>
      <w:r w:rsidRPr="00FD40B8">
        <w:rPr>
          <w:color w:val="131727" w:themeColor="text1"/>
          <w:spacing w:val="-2"/>
          <w:w w:val="110"/>
          <w:sz w:val="21"/>
        </w:rPr>
        <w:t xml:space="preserve"> </w:t>
      </w:r>
      <w:r w:rsidRPr="00FD40B8">
        <w:rPr>
          <w:color w:val="131727" w:themeColor="text1"/>
          <w:w w:val="110"/>
          <w:sz w:val="21"/>
        </w:rPr>
        <w:t xml:space="preserve">Torres Strait Islander </w:t>
      </w:r>
      <w:r w:rsidRPr="00FD40B8">
        <w:rPr>
          <w:color w:val="131727" w:themeColor="text1"/>
          <w:spacing w:val="-2"/>
          <w:w w:val="110"/>
          <w:sz w:val="21"/>
        </w:rPr>
        <w:t>communities.</w:t>
      </w:r>
    </w:p>
    <w:p w14:paraId="7E8BBF6C" w14:textId="77777777" w:rsidR="00811887" w:rsidRPr="00FD40B8" w:rsidRDefault="00811887" w:rsidP="00811887">
      <w:pPr>
        <w:pStyle w:val="BodyText"/>
        <w:rPr>
          <w:color w:val="131727" w:themeColor="text1"/>
        </w:rPr>
      </w:pPr>
    </w:p>
    <w:p w14:paraId="523B8E77" w14:textId="77777777" w:rsidR="00811887" w:rsidRPr="00FD40B8" w:rsidRDefault="00811887" w:rsidP="00811887">
      <w:pPr>
        <w:pStyle w:val="BodyText"/>
        <w:rPr>
          <w:color w:val="131727" w:themeColor="text1"/>
        </w:rPr>
      </w:pPr>
    </w:p>
    <w:p w14:paraId="51D54B5D" w14:textId="77777777" w:rsidR="00811887" w:rsidRPr="00FD40B8" w:rsidRDefault="00811887" w:rsidP="00811887">
      <w:pPr>
        <w:pStyle w:val="BodyText"/>
        <w:rPr>
          <w:color w:val="131727" w:themeColor="text1"/>
        </w:rPr>
      </w:pPr>
    </w:p>
    <w:p w14:paraId="7EB90A58" w14:textId="77777777" w:rsidR="00811887" w:rsidRPr="00FD40B8" w:rsidRDefault="00811887" w:rsidP="00811887">
      <w:pPr>
        <w:pStyle w:val="BodyText"/>
        <w:spacing w:before="57"/>
        <w:rPr>
          <w:color w:val="131727" w:themeColor="text1"/>
        </w:rPr>
      </w:pPr>
      <w:r w:rsidRPr="00FD40B8">
        <w:rPr>
          <w:noProof/>
          <w:color w:val="131727" w:themeColor="text1"/>
        </w:rPr>
        <mc:AlternateContent>
          <mc:Choice Requires="wps">
            <w:drawing>
              <wp:anchor distT="0" distB="0" distL="0" distR="0" simplePos="0" relativeHeight="251776000" behindDoc="1" locked="0" layoutInCell="1" allowOverlap="1" wp14:anchorId="39B7AE3D" wp14:editId="56A4240A">
                <wp:simplePos x="0" y="0"/>
                <wp:positionH relativeFrom="page">
                  <wp:posOffset>792784</wp:posOffset>
                </wp:positionH>
                <wp:positionV relativeFrom="paragraph">
                  <wp:posOffset>206894</wp:posOffset>
                </wp:positionV>
                <wp:extent cx="1830070" cy="6350"/>
                <wp:effectExtent l="0" t="0" r="0" b="0"/>
                <wp:wrapTopAndBottom/>
                <wp:docPr id="238" name="Graphic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DFE599" id="Graphic 238" o:spid="_x0000_s1026" alt="&quot;&quot;" style="position:absolute;margin-left:62.4pt;margin-top:16.3pt;width:144.1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" path="m1829689,l,,,6095r1829689,l1829689,xe" fillcolor="black" stroked="f">
                <v:path arrowok="t"/>
                <w10:wrap type="topAndBottom" anchorx="page"/>
              </v:shape>
            </w:pict>
          </mc:Fallback>
        </mc:AlternateContent>
      </w:r>
    </w:p>
    <w:p w14:paraId="1BCED0D3" w14:textId="77777777" w:rsidR="00811887" w:rsidRPr="00FD40B8" w:rsidRDefault="00811887" w:rsidP="00811887">
      <w:pPr>
        <w:spacing w:before="118"/>
        <w:ind w:left="148"/>
        <w:rPr>
          <w:color w:val="131727" w:themeColor="text1"/>
          <w:sz w:val="16"/>
        </w:rPr>
      </w:pPr>
      <w:bookmarkStart w:id="229" w:name="_bookmark118"/>
      <w:bookmarkEnd w:id="229"/>
      <w:r w:rsidRPr="00FD40B8">
        <w:rPr>
          <w:color w:val="131727" w:themeColor="text1"/>
          <w:w w:val="105"/>
          <w:position w:val="6"/>
          <w:sz w:val="10"/>
        </w:rPr>
        <w:lastRenderedPageBreak/>
        <w:t>94</w:t>
      </w:r>
      <w:r w:rsidRPr="00FD40B8">
        <w:rPr>
          <w:color w:val="131727" w:themeColor="text1"/>
          <w:spacing w:val="32"/>
          <w:w w:val="105"/>
          <w:position w:val="6"/>
          <w:sz w:val="10"/>
        </w:rPr>
        <w:t xml:space="preserve"> </w:t>
      </w:r>
      <w:r w:rsidRPr="00FD40B8">
        <w:rPr>
          <w:color w:val="131727" w:themeColor="text1"/>
          <w:w w:val="105"/>
          <w:sz w:val="16"/>
        </w:rPr>
        <w:t>ABS</w:t>
      </w:r>
      <w:r w:rsidRPr="00FD40B8">
        <w:rPr>
          <w:color w:val="131727" w:themeColor="text1"/>
          <w:spacing w:val="17"/>
          <w:w w:val="105"/>
          <w:sz w:val="16"/>
        </w:rPr>
        <w:t xml:space="preserve"> </w:t>
      </w:r>
      <w:r w:rsidRPr="00FD40B8">
        <w:rPr>
          <w:color w:val="131727" w:themeColor="text1"/>
          <w:w w:val="105"/>
          <w:sz w:val="16"/>
        </w:rPr>
        <w:t>(2007).</w:t>
      </w:r>
      <w:r w:rsidRPr="00FD40B8">
        <w:rPr>
          <w:color w:val="131727" w:themeColor="text1"/>
          <w:spacing w:val="19"/>
          <w:w w:val="105"/>
          <w:sz w:val="16"/>
        </w:rPr>
        <w:t xml:space="preserve"> </w:t>
      </w:r>
      <w:r w:rsidRPr="00FD40B8">
        <w:rPr>
          <w:color w:val="131727" w:themeColor="text1"/>
          <w:w w:val="105"/>
          <w:sz w:val="16"/>
        </w:rPr>
        <w:t>Housing</w:t>
      </w:r>
      <w:r w:rsidRPr="00FD40B8">
        <w:rPr>
          <w:color w:val="131727" w:themeColor="text1"/>
          <w:spacing w:val="16"/>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Infrastructure</w:t>
      </w:r>
      <w:r w:rsidRPr="00FD40B8">
        <w:rPr>
          <w:color w:val="131727" w:themeColor="text1"/>
          <w:spacing w:val="18"/>
          <w:w w:val="105"/>
          <w:sz w:val="16"/>
        </w:rPr>
        <w:t xml:space="preserve"> </w:t>
      </w:r>
      <w:r w:rsidRPr="00FD40B8">
        <w:rPr>
          <w:color w:val="131727" w:themeColor="text1"/>
          <w:w w:val="105"/>
          <w:sz w:val="16"/>
        </w:rPr>
        <w:t>in</w:t>
      </w:r>
      <w:r w:rsidRPr="00FD40B8">
        <w:rPr>
          <w:color w:val="131727" w:themeColor="text1"/>
          <w:spacing w:val="15"/>
          <w:w w:val="105"/>
          <w:sz w:val="16"/>
        </w:rPr>
        <w:t xml:space="preserve"> </w:t>
      </w:r>
      <w:r w:rsidRPr="00FD40B8">
        <w:rPr>
          <w:color w:val="131727" w:themeColor="text1"/>
          <w:w w:val="105"/>
          <w:sz w:val="16"/>
        </w:rPr>
        <w:t>Aboriginal</w:t>
      </w:r>
      <w:r w:rsidRPr="00FD40B8">
        <w:rPr>
          <w:color w:val="131727" w:themeColor="text1"/>
          <w:spacing w:val="15"/>
          <w:w w:val="105"/>
          <w:sz w:val="16"/>
        </w:rPr>
        <w:t xml:space="preserve"> </w:t>
      </w:r>
      <w:r w:rsidRPr="00FD40B8">
        <w:rPr>
          <w:color w:val="131727" w:themeColor="text1"/>
          <w:w w:val="105"/>
          <w:sz w:val="16"/>
        </w:rPr>
        <w:t>and</w:t>
      </w:r>
      <w:r w:rsidRPr="00FD40B8">
        <w:rPr>
          <w:color w:val="131727" w:themeColor="text1"/>
          <w:spacing w:val="20"/>
          <w:w w:val="105"/>
          <w:sz w:val="16"/>
        </w:rPr>
        <w:t xml:space="preserve"> </w:t>
      </w:r>
      <w:r w:rsidRPr="00FD40B8">
        <w:rPr>
          <w:color w:val="131727" w:themeColor="text1"/>
          <w:w w:val="105"/>
          <w:sz w:val="16"/>
        </w:rPr>
        <w:t>Torres</w:t>
      </w:r>
      <w:r w:rsidRPr="00FD40B8">
        <w:rPr>
          <w:color w:val="131727" w:themeColor="text1"/>
          <w:spacing w:val="16"/>
          <w:w w:val="105"/>
          <w:sz w:val="16"/>
        </w:rPr>
        <w:t xml:space="preserve"> </w:t>
      </w:r>
      <w:r w:rsidRPr="00FD40B8">
        <w:rPr>
          <w:color w:val="131727" w:themeColor="text1"/>
          <w:w w:val="105"/>
          <w:sz w:val="16"/>
        </w:rPr>
        <w:t>Strait</w:t>
      </w:r>
      <w:r w:rsidRPr="00FD40B8">
        <w:rPr>
          <w:color w:val="131727" w:themeColor="text1"/>
          <w:spacing w:val="17"/>
          <w:w w:val="105"/>
          <w:sz w:val="16"/>
        </w:rPr>
        <w:t xml:space="preserve"> </w:t>
      </w:r>
      <w:r w:rsidRPr="00FD40B8">
        <w:rPr>
          <w:color w:val="131727" w:themeColor="text1"/>
          <w:w w:val="105"/>
          <w:sz w:val="16"/>
        </w:rPr>
        <w:t>Islander</w:t>
      </w:r>
      <w:r w:rsidRPr="00FD40B8">
        <w:rPr>
          <w:color w:val="131727" w:themeColor="text1"/>
          <w:spacing w:val="19"/>
          <w:w w:val="105"/>
          <w:sz w:val="16"/>
        </w:rPr>
        <w:t xml:space="preserve"> </w:t>
      </w:r>
      <w:r w:rsidRPr="00FD40B8">
        <w:rPr>
          <w:color w:val="131727" w:themeColor="text1"/>
          <w:w w:val="105"/>
          <w:sz w:val="16"/>
        </w:rPr>
        <w:t>Communities,</w:t>
      </w:r>
      <w:r w:rsidRPr="00FD40B8">
        <w:rPr>
          <w:color w:val="131727" w:themeColor="text1"/>
          <w:spacing w:val="18"/>
          <w:w w:val="105"/>
          <w:sz w:val="16"/>
        </w:rPr>
        <w:t xml:space="preserve"> </w:t>
      </w:r>
      <w:r w:rsidRPr="00FD40B8">
        <w:rPr>
          <w:color w:val="131727" w:themeColor="text1"/>
          <w:w w:val="105"/>
          <w:sz w:val="16"/>
        </w:rPr>
        <w:t>Australia,</w:t>
      </w:r>
      <w:r w:rsidRPr="00FD40B8">
        <w:rPr>
          <w:color w:val="131727" w:themeColor="text1"/>
          <w:spacing w:val="17"/>
          <w:w w:val="105"/>
          <w:sz w:val="16"/>
        </w:rPr>
        <w:t xml:space="preserve"> </w:t>
      </w:r>
      <w:r w:rsidRPr="00FD40B8">
        <w:rPr>
          <w:color w:val="131727" w:themeColor="text1"/>
          <w:w w:val="105"/>
          <w:sz w:val="16"/>
        </w:rPr>
        <w:t>2006.</w:t>
      </w:r>
      <w:r w:rsidRPr="00FD40B8">
        <w:rPr>
          <w:color w:val="131727" w:themeColor="text1"/>
          <w:spacing w:val="19"/>
          <w:w w:val="105"/>
          <w:sz w:val="16"/>
        </w:rPr>
        <w:t xml:space="preserve"> </w:t>
      </w:r>
      <w:r w:rsidRPr="00FD40B8">
        <w:rPr>
          <w:color w:val="131727" w:themeColor="text1"/>
          <w:w w:val="105"/>
          <w:sz w:val="16"/>
        </w:rPr>
        <w:t>Cat</w:t>
      </w:r>
      <w:r w:rsidRPr="00FD40B8">
        <w:rPr>
          <w:color w:val="131727" w:themeColor="text1"/>
          <w:spacing w:val="17"/>
          <w:w w:val="105"/>
          <w:sz w:val="16"/>
        </w:rPr>
        <w:t xml:space="preserve"> </w:t>
      </w:r>
      <w:r w:rsidRPr="00FD40B8">
        <w:rPr>
          <w:color w:val="131727" w:themeColor="text1"/>
          <w:w w:val="105"/>
          <w:sz w:val="16"/>
        </w:rPr>
        <w:t>no.</w:t>
      </w:r>
      <w:r w:rsidRPr="00FD40B8">
        <w:rPr>
          <w:color w:val="131727" w:themeColor="text1"/>
          <w:spacing w:val="19"/>
          <w:w w:val="105"/>
          <w:sz w:val="16"/>
        </w:rPr>
        <w:t xml:space="preserve"> </w:t>
      </w:r>
      <w:r w:rsidRPr="00FD40B8">
        <w:rPr>
          <w:color w:val="131727" w:themeColor="text1"/>
          <w:spacing w:val="-2"/>
          <w:w w:val="105"/>
          <w:sz w:val="16"/>
        </w:rPr>
        <w:t>4710.0.</w:t>
      </w:r>
    </w:p>
    <w:p w14:paraId="682DF60F" w14:textId="77777777" w:rsidR="00811887" w:rsidRPr="00FD40B8" w:rsidRDefault="00811887" w:rsidP="00811887">
      <w:pPr>
        <w:rPr>
          <w:color w:val="131727" w:themeColor="text1"/>
          <w:sz w:val="16"/>
        </w:rPr>
        <w:sectPr w:rsidR="00811887" w:rsidRPr="00FD40B8" w:rsidSect="00811887">
          <w:footerReference w:type="default" r:id="rId133"/>
          <w:pgSz w:w="11910" w:h="16840"/>
          <w:pgMar w:top="1680" w:right="1100" w:bottom="1000" w:left="1100" w:header="0" w:footer="805" w:gutter="0"/>
          <w:cols w:space="720"/>
        </w:sectPr>
      </w:pPr>
    </w:p>
    <w:p w14:paraId="46457B42" w14:textId="77777777" w:rsidR="00811887" w:rsidRPr="00FD40B8" w:rsidRDefault="00811887" w:rsidP="00811887">
      <w:pPr>
        <w:pStyle w:val="Heading9"/>
        <w:spacing w:before="66"/>
        <w:ind w:left="148"/>
        <w:rPr>
          <w:color w:val="131727" w:themeColor="text1"/>
        </w:rPr>
      </w:pPr>
      <w:r w:rsidRPr="00FD40B8">
        <w:rPr>
          <w:color w:val="131727" w:themeColor="text1"/>
          <w:spacing w:val="17"/>
          <w:w w:val="85"/>
        </w:rPr>
        <w:lastRenderedPageBreak/>
        <w:t>GOV</w:t>
      </w:r>
      <w:r w:rsidRPr="00FD40B8">
        <w:rPr>
          <w:color w:val="131727" w:themeColor="text1"/>
          <w:spacing w:val="-31"/>
          <w:w w:val="85"/>
        </w:rPr>
        <w:t xml:space="preserve"> </w:t>
      </w:r>
      <w:r w:rsidRPr="00FD40B8">
        <w:rPr>
          <w:color w:val="131727" w:themeColor="text1"/>
          <w:spacing w:val="19"/>
          <w:w w:val="85"/>
        </w:rPr>
        <w:t>ERN</w:t>
      </w:r>
      <w:r w:rsidRPr="00FD40B8">
        <w:rPr>
          <w:color w:val="131727" w:themeColor="text1"/>
          <w:spacing w:val="-29"/>
          <w:w w:val="85"/>
        </w:rPr>
        <w:t xml:space="preserve"> </w:t>
      </w:r>
      <w:r w:rsidRPr="00FD40B8">
        <w:rPr>
          <w:color w:val="131727" w:themeColor="text1"/>
          <w:spacing w:val="18"/>
          <w:w w:val="85"/>
        </w:rPr>
        <w:t>ANC</w:t>
      </w:r>
      <w:r w:rsidRPr="00FD40B8">
        <w:rPr>
          <w:color w:val="131727" w:themeColor="text1"/>
          <w:spacing w:val="-31"/>
          <w:w w:val="85"/>
        </w:rPr>
        <w:t xml:space="preserve"> </w:t>
      </w:r>
      <w:r w:rsidRPr="00FD40B8">
        <w:rPr>
          <w:color w:val="131727" w:themeColor="text1"/>
          <w:spacing w:val="-10"/>
          <w:w w:val="85"/>
        </w:rPr>
        <w:t>E</w:t>
      </w:r>
    </w:p>
    <w:p w14:paraId="72967CB3" w14:textId="77777777" w:rsidR="00811887" w:rsidRPr="00FD40B8" w:rsidRDefault="00811887" w:rsidP="00811887">
      <w:pPr>
        <w:spacing w:before="57" w:line="268" w:lineRule="auto"/>
        <w:ind w:left="148" w:right="243"/>
        <w:rPr>
          <w:color w:val="131727" w:themeColor="text1"/>
          <w:sz w:val="21"/>
        </w:rPr>
      </w:pPr>
      <w:r w:rsidRPr="00FD40B8">
        <w:rPr>
          <w:color w:val="131727" w:themeColor="text1"/>
          <w:w w:val="110"/>
          <w:sz w:val="21"/>
        </w:rPr>
        <w:t>The ABS was responsible for conducting CHINS. The 1999 and 2001CHINS were conducted on</w:t>
      </w:r>
      <w:r w:rsidRPr="00FD40B8">
        <w:rPr>
          <w:color w:val="131727" w:themeColor="text1"/>
          <w:spacing w:val="40"/>
          <w:w w:val="110"/>
          <w:sz w:val="21"/>
        </w:rPr>
        <w:t xml:space="preserve"> </w:t>
      </w:r>
      <w:r w:rsidRPr="00FD40B8">
        <w:rPr>
          <w:color w:val="131727" w:themeColor="text1"/>
          <w:w w:val="110"/>
          <w:sz w:val="21"/>
        </w:rPr>
        <w:t>behalf of the Aboriginal and Torres Strait Islander Commission (ATSIC) and under the authority of the Aboriginal and Torres Strait Islander Commission Act 1989; and the 2006 CHINS was conducted on behalf of the then Department of Families, Community Services and Indigenous Affairs (now Department of Social Services).</w:t>
      </w:r>
    </w:p>
    <w:p w14:paraId="123AC42F" w14:textId="77777777" w:rsidR="00811887" w:rsidRPr="00FD40B8" w:rsidRDefault="00811887" w:rsidP="00811887">
      <w:pPr>
        <w:spacing w:before="235" w:line="268" w:lineRule="auto"/>
        <w:ind w:left="148" w:right="164"/>
        <w:rPr>
          <w:color w:val="131727" w:themeColor="text1"/>
          <w:sz w:val="21"/>
        </w:rPr>
      </w:pPr>
      <w:r w:rsidRPr="00FD40B8">
        <w:rPr>
          <w:color w:val="131727" w:themeColor="text1"/>
          <w:w w:val="110"/>
          <w:sz w:val="21"/>
        </w:rPr>
        <w:t>An</w:t>
      </w:r>
      <w:r w:rsidRPr="00FD40B8">
        <w:rPr>
          <w:color w:val="131727" w:themeColor="text1"/>
          <w:spacing w:val="-1"/>
          <w:w w:val="110"/>
          <w:sz w:val="21"/>
        </w:rPr>
        <w:t xml:space="preserve"> </w:t>
      </w:r>
      <w:r w:rsidRPr="00FD40B8">
        <w:rPr>
          <w:color w:val="131727" w:themeColor="text1"/>
          <w:w w:val="110"/>
          <w:sz w:val="21"/>
        </w:rPr>
        <w:t>Advisory</w:t>
      </w:r>
      <w:r w:rsidRPr="00FD40B8">
        <w:rPr>
          <w:color w:val="131727" w:themeColor="text1"/>
          <w:spacing w:val="-3"/>
          <w:w w:val="110"/>
          <w:sz w:val="21"/>
        </w:rPr>
        <w:t xml:space="preserve"> </w:t>
      </w:r>
      <w:r w:rsidRPr="00FD40B8">
        <w:rPr>
          <w:color w:val="131727" w:themeColor="text1"/>
          <w:w w:val="110"/>
          <w:sz w:val="21"/>
        </w:rPr>
        <w:t>Group</w:t>
      </w:r>
      <w:r w:rsidRPr="00FD40B8">
        <w:rPr>
          <w:color w:val="131727" w:themeColor="text1"/>
          <w:spacing w:val="-2"/>
          <w:w w:val="110"/>
          <w:sz w:val="21"/>
        </w:rPr>
        <w:t xml:space="preserve"> </w:t>
      </w:r>
      <w:r w:rsidRPr="00FD40B8">
        <w:rPr>
          <w:color w:val="131727" w:themeColor="text1"/>
          <w:w w:val="110"/>
          <w:sz w:val="21"/>
        </w:rPr>
        <w:t>for</w:t>
      </w:r>
      <w:r w:rsidRPr="00FD40B8">
        <w:rPr>
          <w:color w:val="131727" w:themeColor="text1"/>
          <w:spacing w:val="-2"/>
          <w:w w:val="110"/>
          <w:sz w:val="21"/>
        </w:rPr>
        <w:t xml:space="preserve"> </w:t>
      </w: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2006</w:t>
      </w:r>
      <w:r w:rsidRPr="00FD40B8">
        <w:rPr>
          <w:color w:val="131727" w:themeColor="text1"/>
          <w:spacing w:val="-2"/>
          <w:w w:val="110"/>
          <w:sz w:val="21"/>
        </w:rPr>
        <w:t xml:space="preserve"> </w:t>
      </w:r>
      <w:r w:rsidRPr="00FD40B8">
        <w:rPr>
          <w:color w:val="131727" w:themeColor="text1"/>
          <w:w w:val="110"/>
          <w:sz w:val="21"/>
        </w:rPr>
        <w:t>CHINS</w:t>
      </w:r>
      <w:r w:rsidRPr="00FD40B8">
        <w:rPr>
          <w:color w:val="131727" w:themeColor="text1"/>
          <w:spacing w:val="-1"/>
          <w:w w:val="110"/>
          <w:sz w:val="21"/>
        </w:rPr>
        <w:t xml:space="preserve"> </w:t>
      </w:r>
      <w:r w:rsidRPr="00FD40B8">
        <w:rPr>
          <w:color w:val="131727" w:themeColor="text1"/>
          <w:w w:val="110"/>
          <w:sz w:val="21"/>
        </w:rPr>
        <w:t>was established</w:t>
      </w:r>
      <w:r w:rsidRPr="00FD40B8">
        <w:rPr>
          <w:color w:val="131727" w:themeColor="text1"/>
          <w:spacing w:val="-3"/>
          <w:w w:val="110"/>
          <w:sz w:val="21"/>
        </w:rPr>
        <w:t xml:space="preserve"> </w:t>
      </w:r>
      <w:r w:rsidRPr="00FD40B8">
        <w:rPr>
          <w:color w:val="131727" w:themeColor="text1"/>
          <w:w w:val="110"/>
          <w:sz w:val="21"/>
        </w:rPr>
        <w:t>to guide</w:t>
      </w:r>
      <w:r w:rsidRPr="00FD40B8">
        <w:rPr>
          <w:color w:val="131727" w:themeColor="text1"/>
          <w:spacing w:val="-2"/>
          <w:w w:val="110"/>
          <w:sz w:val="21"/>
        </w:rPr>
        <w:t xml:space="preserve"> </w:t>
      </w: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development of</w:t>
      </w:r>
      <w:r w:rsidRPr="00FD40B8">
        <w:rPr>
          <w:color w:val="131727" w:themeColor="text1"/>
          <w:spacing w:val="-2"/>
          <w:w w:val="110"/>
          <w:sz w:val="21"/>
        </w:rPr>
        <w:t xml:space="preserve"> </w:t>
      </w: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survey. The Advisory Group comprised representatives from relevant government departments, information committees and research institutions who provided guidance in determining priorities for new content and in reducing content.</w:t>
      </w:r>
    </w:p>
    <w:p w14:paraId="7384FAF0" w14:textId="77777777" w:rsidR="00811887" w:rsidRPr="00FD40B8" w:rsidRDefault="00811887" w:rsidP="00811887">
      <w:pPr>
        <w:pStyle w:val="Heading9"/>
        <w:spacing w:before="228"/>
        <w:ind w:left="148"/>
        <w:rPr>
          <w:color w:val="131727" w:themeColor="text1"/>
        </w:rPr>
      </w:pPr>
      <w:r w:rsidRPr="00FD40B8">
        <w:rPr>
          <w:color w:val="131727" w:themeColor="text1"/>
          <w:w w:val="75"/>
        </w:rPr>
        <w:t>S</w:t>
      </w:r>
      <w:r w:rsidRPr="00FD40B8">
        <w:rPr>
          <w:color w:val="131727" w:themeColor="text1"/>
          <w:spacing w:val="-24"/>
          <w:w w:val="75"/>
        </w:rPr>
        <w:t xml:space="preserve"> </w:t>
      </w:r>
      <w:r w:rsidRPr="00FD40B8">
        <w:rPr>
          <w:color w:val="131727" w:themeColor="text1"/>
          <w:w w:val="75"/>
        </w:rPr>
        <w:t>C</w:t>
      </w:r>
      <w:r w:rsidRPr="00FD40B8">
        <w:rPr>
          <w:color w:val="131727" w:themeColor="text1"/>
          <w:spacing w:val="-24"/>
          <w:w w:val="75"/>
        </w:rPr>
        <w:t xml:space="preserve"> </w:t>
      </w:r>
      <w:r w:rsidRPr="00FD40B8">
        <w:rPr>
          <w:color w:val="131727" w:themeColor="text1"/>
          <w:spacing w:val="13"/>
          <w:w w:val="75"/>
        </w:rPr>
        <w:t>OPE</w:t>
      </w:r>
    </w:p>
    <w:p w14:paraId="4F9BCE69" w14:textId="77777777" w:rsidR="00811887" w:rsidRPr="00FD40B8" w:rsidRDefault="00811887" w:rsidP="00811887">
      <w:pPr>
        <w:spacing w:before="57"/>
        <w:ind w:left="148"/>
        <w:rPr>
          <w:color w:val="131727" w:themeColor="text1"/>
          <w:sz w:val="21"/>
        </w:rPr>
      </w:pP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primary</w:t>
      </w:r>
      <w:r w:rsidRPr="00FD40B8">
        <w:rPr>
          <w:color w:val="131727" w:themeColor="text1"/>
          <w:spacing w:val="-2"/>
          <w:w w:val="110"/>
          <w:sz w:val="21"/>
        </w:rPr>
        <w:t xml:space="preserve"> </w:t>
      </w:r>
      <w:r w:rsidRPr="00FD40B8">
        <w:rPr>
          <w:color w:val="131727" w:themeColor="text1"/>
          <w:w w:val="110"/>
          <w:sz w:val="21"/>
        </w:rPr>
        <w:t>topics</w:t>
      </w:r>
      <w:r w:rsidRPr="00FD40B8">
        <w:rPr>
          <w:color w:val="131727" w:themeColor="text1"/>
          <w:spacing w:val="1"/>
          <w:w w:val="110"/>
          <w:sz w:val="21"/>
        </w:rPr>
        <w:t xml:space="preserve"> </w:t>
      </w:r>
      <w:r w:rsidRPr="00FD40B8">
        <w:rPr>
          <w:color w:val="131727" w:themeColor="text1"/>
          <w:w w:val="110"/>
          <w:sz w:val="21"/>
        </w:rPr>
        <w:t>covered</w:t>
      </w:r>
      <w:r w:rsidRPr="00FD40B8">
        <w:rPr>
          <w:color w:val="131727" w:themeColor="text1"/>
          <w:spacing w:val="-1"/>
          <w:w w:val="110"/>
          <w:sz w:val="21"/>
        </w:rPr>
        <w:t xml:space="preserve"> </w:t>
      </w:r>
      <w:r w:rsidRPr="00FD40B8">
        <w:rPr>
          <w:color w:val="131727" w:themeColor="text1"/>
          <w:w w:val="110"/>
          <w:sz w:val="21"/>
        </w:rPr>
        <w:t>by</w:t>
      </w:r>
      <w:r w:rsidRPr="00FD40B8">
        <w:rPr>
          <w:color w:val="131727" w:themeColor="text1"/>
          <w:spacing w:val="-1"/>
          <w:w w:val="110"/>
          <w:sz w:val="21"/>
        </w:rPr>
        <w:t xml:space="preserve"> </w:t>
      </w:r>
      <w:r w:rsidRPr="00FD40B8">
        <w:rPr>
          <w:color w:val="131727" w:themeColor="text1"/>
          <w:w w:val="110"/>
          <w:sz w:val="21"/>
        </w:rPr>
        <w:t>CHINS</w:t>
      </w:r>
      <w:r w:rsidRPr="00FD40B8">
        <w:rPr>
          <w:color w:val="131727" w:themeColor="text1"/>
          <w:spacing w:val="-1"/>
          <w:w w:val="110"/>
          <w:sz w:val="21"/>
        </w:rPr>
        <w:t xml:space="preserve"> </w:t>
      </w:r>
      <w:r w:rsidRPr="00FD40B8">
        <w:rPr>
          <w:color w:val="131727" w:themeColor="text1"/>
          <w:spacing w:val="-2"/>
          <w:w w:val="110"/>
          <w:sz w:val="21"/>
        </w:rPr>
        <w:t>includes:</w:t>
      </w:r>
    </w:p>
    <w:p w14:paraId="274A6A7D" w14:textId="77777777" w:rsidR="00811887" w:rsidRPr="00FD40B8" w:rsidRDefault="00811887" w:rsidP="00811887">
      <w:pPr>
        <w:pStyle w:val="ListParagraph"/>
        <w:widowControl w:val="0"/>
        <w:numPr>
          <w:ilvl w:val="0"/>
          <w:numId w:val="53"/>
        </w:numPr>
        <w:tabs>
          <w:tab w:val="left" w:pos="868"/>
        </w:tabs>
        <w:autoSpaceDE w:val="0"/>
        <w:autoSpaceDN w:val="0"/>
        <w:spacing w:before="20" w:after="0" w:line="266" w:lineRule="auto"/>
        <w:ind w:right="393"/>
        <w:contextualSpacing w:val="0"/>
        <w:rPr>
          <w:color w:val="131727" w:themeColor="text1"/>
          <w:sz w:val="21"/>
        </w:rPr>
      </w:pPr>
      <w:r w:rsidRPr="00FD40B8">
        <w:rPr>
          <w:color w:val="131727" w:themeColor="text1"/>
          <w:w w:val="110"/>
          <w:sz w:val="21"/>
        </w:rPr>
        <w:t>details of the current housing stock, dwelling management and selected income and expenditure</w:t>
      </w:r>
      <w:r w:rsidRPr="00FD40B8">
        <w:rPr>
          <w:color w:val="131727" w:themeColor="text1"/>
          <w:spacing w:val="-2"/>
          <w:w w:val="110"/>
          <w:sz w:val="21"/>
        </w:rPr>
        <w:t xml:space="preserve"> </w:t>
      </w:r>
      <w:r w:rsidRPr="00FD40B8">
        <w:rPr>
          <w:color w:val="131727" w:themeColor="text1"/>
          <w:w w:val="110"/>
          <w:sz w:val="21"/>
        </w:rPr>
        <w:t>arrangements of</w:t>
      </w:r>
      <w:r w:rsidRPr="00FD40B8">
        <w:rPr>
          <w:color w:val="131727" w:themeColor="text1"/>
          <w:spacing w:val="-2"/>
          <w:w w:val="110"/>
          <w:sz w:val="21"/>
        </w:rPr>
        <w:t xml:space="preserve"> </w:t>
      </w:r>
      <w:r w:rsidRPr="00FD40B8">
        <w:rPr>
          <w:color w:val="131727" w:themeColor="text1"/>
          <w:w w:val="110"/>
          <w:sz w:val="21"/>
        </w:rPr>
        <w:t>Indigenous organisations that provide</w:t>
      </w:r>
      <w:r w:rsidRPr="00FD40B8">
        <w:rPr>
          <w:color w:val="131727" w:themeColor="text1"/>
          <w:spacing w:val="-2"/>
          <w:w w:val="110"/>
          <w:sz w:val="21"/>
        </w:rPr>
        <w:t xml:space="preserve"> </w:t>
      </w:r>
      <w:r w:rsidRPr="00FD40B8">
        <w:rPr>
          <w:color w:val="131727" w:themeColor="text1"/>
          <w:w w:val="110"/>
          <w:sz w:val="21"/>
        </w:rPr>
        <w:t>housing</w:t>
      </w:r>
      <w:r w:rsidRPr="00FD40B8">
        <w:rPr>
          <w:color w:val="131727" w:themeColor="text1"/>
          <w:spacing w:val="-1"/>
          <w:w w:val="110"/>
          <w:sz w:val="21"/>
        </w:rPr>
        <w:t xml:space="preserve"> </w:t>
      </w:r>
      <w:r w:rsidRPr="00FD40B8">
        <w:rPr>
          <w:color w:val="131727" w:themeColor="text1"/>
          <w:w w:val="110"/>
          <w:sz w:val="21"/>
        </w:rPr>
        <w:t>to Aboriginal and Torres Strait Islander peoples</w:t>
      </w:r>
    </w:p>
    <w:p w14:paraId="6CE3F6CE" w14:textId="77777777" w:rsidR="00811887" w:rsidRPr="00FD40B8" w:rsidRDefault="00811887" w:rsidP="00811887">
      <w:pPr>
        <w:pStyle w:val="ListParagraph"/>
        <w:widowControl w:val="0"/>
        <w:numPr>
          <w:ilvl w:val="0"/>
          <w:numId w:val="53"/>
        </w:numPr>
        <w:tabs>
          <w:tab w:val="left" w:pos="868"/>
        </w:tabs>
        <w:autoSpaceDE w:val="0"/>
        <w:autoSpaceDN w:val="0"/>
        <w:spacing w:after="0" w:line="266" w:lineRule="auto"/>
        <w:ind w:right="364"/>
        <w:contextualSpacing w:val="0"/>
        <w:rPr>
          <w:color w:val="131727" w:themeColor="text1"/>
          <w:sz w:val="21"/>
        </w:rPr>
      </w:pPr>
      <w:r w:rsidRPr="00FD40B8">
        <w:rPr>
          <w:color w:val="131727" w:themeColor="text1"/>
          <w:w w:val="110"/>
          <w:sz w:val="21"/>
        </w:rPr>
        <w:t>details of housing and related infrastructure in discrete Indigenous communities such as water</w:t>
      </w:r>
      <w:r w:rsidRPr="00FD40B8">
        <w:rPr>
          <w:color w:val="131727" w:themeColor="text1"/>
          <w:spacing w:val="-11"/>
          <w:w w:val="110"/>
          <w:sz w:val="21"/>
        </w:rPr>
        <w:t xml:space="preserve"> </w:t>
      </w:r>
      <w:r w:rsidRPr="00FD40B8">
        <w:rPr>
          <w:color w:val="131727" w:themeColor="text1"/>
          <w:w w:val="110"/>
          <w:sz w:val="21"/>
        </w:rPr>
        <w:t>quality</w:t>
      </w:r>
      <w:r w:rsidRPr="00FD40B8">
        <w:rPr>
          <w:color w:val="131727" w:themeColor="text1"/>
          <w:spacing w:val="-10"/>
          <w:w w:val="110"/>
          <w:sz w:val="21"/>
        </w:rPr>
        <w:t xml:space="preserve"> </w:t>
      </w:r>
      <w:r w:rsidRPr="00FD40B8">
        <w:rPr>
          <w:color w:val="131727" w:themeColor="text1"/>
          <w:w w:val="110"/>
          <w:sz w:val="21"/>
        </w:rPr>
        <w:t>and</w:t>
      </w:r>
      <w:r w:rsidRPr="00FD40B8">
        <w:rPr>
          <w:color w:val="131727" w:themeColor="text1"/>
          <w:spacing w:val="-10"/>
          <w:w w:val="110"/>
          <w:sz w:val="21"/>
        </w:rPr>
        <w:t xml:space="preserve"> </w:t>
      </w:r>
      <w:r w:rsidRPr="00FD40B8">
        <w:rPr>
          <w:color w:val="131727" w:themeColor="text1"/>
          <w:w w:val="110"/>
          <w:sz w:val="21"/>
        </w:rPr>
        <w:t>supply,</w:t>
      </w:r>
      <w:r w:rsidRPr="00FD40B8">
        <w:rPr>
          <w:color w:val="131727" w:themeColor="text1"/>
          <w:spacing w:val="-11"/>
          <w:w w:val="110"/>
          <w:sz w:val="21"/>
        </w:rPr>
        <w:t xml:space="preserve"> </w:t>
      </w:r>
      <w:r w:rsidRPr="00FD40B8">
        <w:rPr>
          <w:color w:val="131727" w:themeColor="text1"/>
          <w:w w:val="110"/>
          <w:sz w:val="21"/>
        </w:rPr>
        <w:t>electricity</w:t>
      </w:r>
      <w:r w:rsidRPr="00FD40B8">
        <w:rPr>
          <w:color w:val="131727" w:themeColor="text1"/>
          <w:spacing w:val="-14"/>
          <w:w w:val="110"/>
          <w:sz w:val="21"/>
        </w:rPr>
        <w:t xml:space="preserve"> </w:t>
      </w:r>
      <w:r w:rsidRPr="00FD40B8">
        <w:rPr>
          <w:color w:val="131727" w:themeColor="text1"/>
          <w:w w:val="110"/>
          <w:sz w:val="21"/>
        </w:rPr>
        <w:t>supply,</w:t>
      </w:r>
      <w:r w:rsidRPr="00FD40B8">
        <w:rPr>
          <w:color w:val="131727" w:themeColor="text1"/>
          <w:spacing w:val="-10"/>
          <w:w w:val="110"/>
          <w:sz w:val="21"/>
        </w:rPr>
        <w:t xml:space="preserve"> </w:t>
      </w:r>
      <w:r w:rsidRPr="00FD40B8">
        <w:rPr>
          <w:color w:val="131727" w:themeColor="text1"/>
          <w:w w:val="110"/>
          <w:sz w:val="21"/>
        </w:rPr>
        <w:t>sewerage</w:t>
      </w:r>
      <w:r w:rsidRPr="00FD40B8">
        <w:rPr>
          <w:color w:val="131727" w:themeColor="text1"/>
          <w:spacing w:val="-10"/>
          <w:w w:val="110"/>
          <w:sz w:val="21"/>
        </w:rPr>
        <w:t xml:space="preserve"> </w:t>
      </w:r>
      <w:r w:rsidRPr="00FD40B8">
        <w:rPr>
          <w:color w:val="131727" w:themeColor="text1"/>
          <w:w w:val="110"/>
          <w:sz w:val="21"/>
        </w:rPr>
        <w:t>systems,</w:t>
      </w:r>
      <w:r w:rsidRPr="00FD40B8">
        <w:rPr>
          <w:color w:val="131727" w:themeColor="text1"/>
          <w:spacing w:val="-11"/>
          <w:w w:val="110"/>
          <w:sz w:val="21"/>
        </w:rPr>
        <w:t xml:space="preserve"> </w:t>
      </w:r>
      <w:r w:rsidRPr="00FD40B8">
        <w:rPr>
          <w:color w:val="131727" w:themeColor="text1"/>
          <w:w w:val="110"/>
          <w:sz w:val="21"/>
        </w:rPr>
        <w:t>drainage,</w:t>
      </w:r>
      <w:r w:rsidRPr="00FD40B8">
        <w:rPr>
          <w:color w:val="131727" w:themeColor="text1"/>
          <w:spacing w:val="-11"/>
          <w:w w:val="110"/>
          <w:sz w:val="21"/>
        </w:rPr>
        <w:t xml:space="preserve"> </w:t>
      </w:r>
      <w:r w:rsidRPr="00FD40B8">
        <w:rPr>
          <w:color w:val="131727" w:themeColor="text1"/>
          <w:w w:val="110"/>
          <w:sz w:val="21"/>
        </w:rPr>
        <w:t>rubbish</w:t>
      </w:r>
      <w:r w:rsidRPr="00FD40B8">
        <w:rPr>
          <w:color w:val="131727" w:themeColor="text1"/>
          <w:spacing w:val="-9"/>
          <w:w w:val="110"/>
          <w:sz w:val="21"/>
        </w:rPr>
        <w:t xml:space="preserve"> </w:t>
      </w:r>
      <w:r w:rsidRPr="00FD40B8">
        <w:rPr>
          <w:color w:val="131727" w:themeColor="text1"/>
          <w:w w:val="110"/>
          <w:sz w:val="21"/>
        </w:rPr>
        <w:t>collection and disposal</w:t>
      </w:r>
    </w:p>
    <w:p w14:paraId="00801BED" w14:textId="77777777" w:rsidR="00811887" w:rsidRPr="00FD40B8" w:rsidRDefault="00811887" w:rsidP="00811887">
      <w:pPr>
        <w:pStyle w:val="ListParagraph"/>
        <w:widowControl w:val="0"/>
        <w:numPr>
          <w:ilvl w:val="0"/>
          <w:numId w:val="53"/>
        </w:numPr>
        <w:tabs>
          <w:tab w:val="left" w:pos="868"/>
        </w:tabs>
        <w:autoSpaceDE w:val="0"/>
        <w:autoSpaceDN w:val="0"/>
        <w:spacing w:after="0" w:line="268" w:lineRule="auto"/>
        <w:ind w:right="347"/>
        <w:contextualSpacing w:val="0"/>
        <w:rPr>
          <w:color w:val="131727" w:themeColor="text1"/>
          <w:sz w:val="21"/>
        </w:rPr>
      </w:pPr>
      <w:r w:rsidRPr="00FD40B8">
        <w:rPr>
          <w:color w:val="131727" w:themeColor="text1"/>
          <w:w w:val="110"/>
          <w:sz w:val="21"/>
        </w:rPr>
        <w:t>details</w:t>
      </w:r>
      <w:r w:rsidRPr="00FD40B8">
        <w:rPr>
          <w:color w:val="131727" w:themeColor="text1"/>
          <w:spacing w:val="-4"/>
          <w:w w:val="110"/>
          <w:sz w:val="21"/>
        </w:rPr>
        <w:t xml:space="preserve"> </w:t>
      </w:r>
      <w:r w:rsidRPr="00FD40B8">
        <w:rPr>
          <w:color w:val="131727" w:themeColor="text1"/>
          <w:w w:val="110"/>
          <w:sz w:val="21"/>
        </w:rPr>
        <w:t>of</w:t>
      </w:r>
      <w:r w:rsidRPr="00FD40B8">
        <w:rPr>
          <w:color w:val="131727" w:themeColor="text1"/>
          <w:spacing w:val="-8"/>
          <w:w w:val="110"/>
          <w:sz w:val="21"/>
        </w:rPr>
        <w:t xml:space="preserve"> </w:t>
      </w:r>
      <w:r w:rsidRPr="00FD40B8">
        <w:rPr>
          <w:color w:val="131727" w:themeColor="text1"/>
          <w:w w:val="110"/>
          <w:sz w:val="21"/>
        </w:rPr>
        <w:t>facilities</w:t>
      </w:r>
      <w:r w:rsidRPr="00FD40B8">
        <w:rPr>
          <w:color w:val="131727" w:themeColor="text1"/>
          <w:spacing w:val="-5"/>
          <w:w w:val="110"/>
          <w:sz w:val="21"/>
        </w:rPr>
        <w:t xml:space="preserve"> </w:t>
      </w:r>
      <w:r w:rsidRPr="00FD40B8">
        <w:rPr>
          <w:color w:val="131727" w:themeColor="text1"/>
          <w:w w:val="110"/>
          <w:sz w:val="21"/>
        </w:rPr>
        <w:t>available</w:t>
      </w:r>
      <w:r w:rsidRPr="00FD40B8">
        <w:rPr>
          <w:color w:val="131727" w:themeColor="text1"/>
          <w:spacing w:val="-8"/>
          <w:w w:val="110"/>
          <w:sz w:val="21"/>
        </w:rPr>
        <w:t xml:space="preserve"> </w:t>
      </w:r>
      <w:r w:rsidRPr="00FD40B8">
        <w:rPr>
          <w:color w:val="131727" w:themeColor="text1"/>
          <w:w w:val="110"/>
          <w:sz w:val="21"/>
        </w:rPr>
        <w:t>such</w:t>
      </w:r>
      <w:r w:rsidRPr="00FD40B8">
        <w:rPr>
          <w:color w:val="131727" w:themeColor="text1"/>
          <w:spacing w:val="-7"/>
          <w:w w:val="110"/>
          <w:sz w:val="21"/>
        </w:rPr>
        <w:t xml:space="preserve"> </w:t>
      </w:r>
      <w:r w:rsidRPr="00FD40B8">
        <w:rPr>
          <w:color w:val="131727" w:themeColor="text1"/>
          <w:w w:val="110"/>
          <w:sz w:val="21"/>
        </w:rPr>
        <w:t>as</w:t>
      </w:r>
      <w:r w:rsidRPr="00FD40B8">
        <w:rPr>
          <w:color w:val="131727" w:themeColor="text1"/>
          <w:spacing w:val="-5"/>
          <w:w w:val="110"/>
          <w:sz w:val="21"/>
        </w:rPr>
        <w:t xml:space="preserve"> </w:t>
      </w:r>
      <w:r w:rsidRPr="00FD40B8">
        <w:rPr>
          <w:color w:val="131727" w:themeColor="text1"/>
          <w:w w:val="110"/>
          <w:sz w:val="21"/>
        </w:rPr>
        <w:t>transport,</w:t>
      </w:r>
      <w:r w:rsidRPr="00FD40B8">
        <w:rPr>
          <w:color w:val="131727" w:themeColor="text1"/>
          <w:spacing w:val="-9"/>
          <w:w w:val="110"/>
          <w:sz w:val="21"/>
        </w:rPr>
        <w:t xml:space="preserve"> </w:t>
      </w:r>
      <w:r w:rsidRPr="00FD40B8">
        <w:rPr>
          <w:color w:val="131727" w:themeColor="text1"/>
          <w:w w:val="110"/>
          <w:sz w:val="21"/>
        </w:rPr>
        <w:t>communication,</w:t>
      </w:r>
      <w:r w:rsidRPr="00FD40B8">
        <w:rPr>
          <w:color w:val="131727" w:themeColor="text1"/>
          <w:spacing w:val="-9"/>
          <w:w w:val="110"/>
          <w:sz w:val="21"/>
        </w:rPr>
        <w:t xml:space="preserve"> </w:t>
      </w:r>
      <w:r w:rsidRPr="00FD40B8">
        <w:rPr>
          <w:color w:val="131727" w:themeColor="text1"/>
          <w:w w:val="110"/>
          <w:sz w:val="21"/>
        </w:rPr>
        <w:t>education,</w:t>
      </w:r>
      <w:r w:rsidRPr="00FD40B8">
        <w:rPr>
          <w:color w:val="131727" w:themeColor="text1"/>
          <w:spacing w:val="-9"/>
          <w:w w:val="110"/>
          <w:sz w:val="21"/>
        </w:rPr>
        <w:t xml:space="preserve"> </w:t>
      </w:r>
      <w:r w:rsidRPr="00FD40B8">
        <w:rPr>
          <w:color w:val="131727" w:themeColor="text1"/>
          <w:w w:val="110"/>
          <w:sz w:val="21"/>
        </w:rPr>
        <w:t>sport</w:t>
      </w:r>
      <w:r w:rsidRPr="00FD40B8">
        <w:rPr>
          <w:color w:val="131727" w:themeColor="text1"/>
          <w:spacing w:val="-7"/>
          <w:w w:val="110"/>
          <w:sz w:val="21"/>
        </w:rPr>
        <w:t xml:space="preserve"> </w:t>
      </w:r>
      <w:r w:rsidRPr="00FD40B8">
        <w:rPr>
          <w:color w:val="131727" w:themeColor="text1"/>
          <w:w w:val="110"/>
          <w:sz w:val="21"/>
        </w:rPr>
        <w:t>and</w:t>
      </w:r>
      <w:r w:rsidRPr="00FD40B8">
        <w:rPr>
          <w:color w:val="131727" w:themeColor="text1"/>
          <w:spacing w:val="-8"/>
          <w:w w:val="110"/>
          <w:sz w:val="21"/>
        </w:rPr>
        <w:t xml:space="preserve"> </w:t>
      </w:r>
      <w:r w:rsidRPr="00FD40B8">
        <w:rPr>
          <w:color w:val="131727" w:themeColor="text1"/>
          <w:w w:val="110"/>
          <w:sz w:val="21"/>
        </w:rPr>
        <w:t>health services, in discrete Indigenous communities.</w:t>
      </w:r>
    </w:p>
    <w:p w14:paraId="4DBBF38B" w14:textId="77777777" w:rsidR="00811887" w:rsidRPr="00FD40B8" w:rsidRDefault="00811887" w:rsidP="00811887">
      <w:pPr>
        <w:spacing w:line="264" w:lineRule="auto"/>
        <w:ind w:left="148"/>
        <w:rPr>
          <w:color w:val="131727" w:themeColor="text1"/>
          <w:sz w:val="21"/>
        </w:rPr>
      </w:pP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following</w:t>
      </w:r>
      <w:r w:rsidRPr="00FD40B8">
        <w:rPr>
          <w:color w:val="131727" w:themeColor="text1"/>
          <w:spacing w:val="-1"/>
          <w:w w:val="110"/>
          <w:sz w:val="21"/>
        </w:rPr>
        <w:t xml:space="preserve"> </w:t>
      </w:r>
      <w:r w:rsidRPr="00FD40B8">
        <w:rPr>
          <w:color w:val="131727" w:themeColor="text1"/>
          <w:w w:val="110"/>
          <w:sz w:val="21"/>
        </w:rPr>
        <w:t>organisations and</w:t>
      </w:r>
      <w:r w:rsidRPr="00FD40B8">
        <w:rPr>
          <w:color w:val="131727" w:themeColor="text1"/>
          <w:spacing w:val="-2"/>
          <w:w w:val="110"/>
          <w:sz w:val="21"/>
        </w:rPr>
        <w:t xml:space="preserve"> </w:t>
      </w:r>
      <w:r w:rsidRPr="00FD40B8">
        <w:rPr>
          <w:color w:val="131727" w:themeColor="text1"/>
          <w:w w:val="110"/>
          <w:sz w:val="21"/>
        </w:rPr>
        <w:t>instances were</w:t>
      </w:r>
      <w:r w:rsidRPr="00FD40B8">
        <w:rPr>
          <w:color w:val="131727" w:themeColor="text1"/>
          <w:spacing w:val="-2"/>
          <w:w w:val="110"/>
          <w:sz w:val="21"/>
        </w:rPr>
        <w:t xml:space="preserve"> </w:t>
      </w:r>
      <w:r w:rsidRPr="00FD40B8">
        <w:rPr>
          <w:color w:val="131727" w:themeColor="text1"/>
          <w:w w:val="110"/>
          <w:sz w:val="21"/>
        </w:rPr>
        <w:t>generally</w:t>
      </w:r>
      <w:r w:rsidRPr="00FD40B8">
        <w:rPr>
          <w:color w:val="131727" w:themeColor="text1"/>
          <w:spacing w:val="-2"/>
          <w:w w:val="110"/>
          <w:sz w:val="21"/>
        </w:rPr>
        <w:t xml:space="preserve"> </w:t>
      </w:r>
      <w:r w:rsidRPr="00FD40B8">
        <w:rPr>
          <w:color w:val="131727" w:themeColor="text1"/>
          <w:w w:val="110"/>
          <w:sz w:val="21"/>
        </w:rPr>
        <w:t>considered</w:t>
      </w:r>
      <w:r w:rsidRPr="00FD40B8">
        <w:rPr>
          <w:color w:val="131727" w:themeColor="text1"/>
          <w:spacing w:val="-2"/>
          <w:w w:val="110"/>
          <w:sz w:val="21"/>
        </w:rPr>
        <w:t xml:space="preserve"> </w:t>
      </w:r>
      <w:r w:rsidRPr="00FD40B8">
        <w:rPr>
          <w:color w:val="131727" w:themeColor="text1"/>
          <w:w w:val="110"/>
          <w:sz w:val="21"/>
        </w:rPr>
        <w:t>to be</w:t>
      </w:r>
      <w:r w:rsidRPr="00FD40B8">
        <w:rPr>
          <w:color w:val="131727" w:themeColor="text1"/>
          <w:spacing w:val="-2"/>
          <w:w w:val="110"/>
          <w:sz w:val="21"/>
        </w:rPr>
        <w:t xml:space="preserve"> </w:t>
      </w:r>
      <w:r w:rsidRPr="00FD40B8">
        <w:rPr>
          <w:color w:val="131727" w:themeColor="text1"/>
          <w:w w:val="110"/>
          <w:sz w:val="21"/>
        </w:rPr>
        <w:t>out of</w:t>
      </w:r>
      <w:r w:rsidRPr="00FD40B8">
        <w:rPr>
          <w:color w:val="131727" w:themeColor="text1"/>
          <w:spacing w:val="-7"/>
          <w:w w:val="110"/>
          <w:sz w:val="21"/>
        </w:rPr>
        <w:t xml:space="preserve"> </w:t>
      </w:r>
      <w:r w:rsidRPr="00FD40B8">
        <w:rPr>
          <w:color w:val="131727" w:themeColor="text1"/>
          <w:w w:val="110"/>
          <w:sz w:val="21"/>
        </w:rPr>
        <w:t>scope,</w:t>
      </w:r>
      <w:r w:rsidRPr="00FD40B8">
        <w:rPr>
          <w:color w:val="131727" w:themeColor="text1"/>
          <w:spacing w:val="-3"/>
          <w:w w:val="110"/>
          <w:sz w:val="21"/>
        </w:rPr>
        <w:t xml:space="preserve"> </w:t>
      </w:r>
      <w:r w:rsidRPr="00FD40B8">
        <w:rPr>
          <w:color w:val="131727" w:themeColor="text1"/>
          <w:w w:val="110"/>
          <w:sz w:val="21"/>
        </w:rPr>
        <w:t>and,</w:t>
      </w:r>
      <w:r w:rsidRPr="00FD40B8">
        <w:rPr>
          <w:color w:val="131727" w:themeColor="text1"/>
          <w:spacing w:val="-3"/>
          <w:w w:val="110"/>
          <w:sz w:val="21"/>
        </w:rPr>
        <w:t xml:space="preserve"> </w:t>
      </w:r>
      <w:r w:rsidRPr="00FD40B8">
        <w:rPr>
          <w:color w:val="131727" w:themeColor="text1"/>
          <w:w w:val="110"/>
          <w:sz w:val="21"/>
        </w:rPr>
        <w:t>as a result, data were not collected:</w:t>
      </w:r>
    </w:p>
    <w:p w14:paraId="3E7AE7ED" w14:textId="77777777" w:rsidR="00811887" w:rsidRPr="00FD40B8" w:rsidRDefault="00811887" w:rsidP="00811887">
      <w:pPr>
        <w:pStyle w:val="ListParagraph"/>
        <w:widowControl w:val="0"/>
        <w:numPr>
          <w:ilvl w:val="0"/>
          <w:numId w:val="53"/>
        </w:numPr>
        <w:tabs>
          <w:tab w:val="left" w:pos="868"/>
        </w:tabs>
        <w:autoSpaceDE w:val="0"/>
        <w:autoSpaceDN w:val="0"/>
        <w:spacing w:after="0" w:line="264" w:lineRule="exact"/>
        <w:ind w:hanging="360"/>
        <w:contextualSpacing w:val="0"/>
        <w:rPr>
          <w:color w:val="131727" w:themeColor="text1"/>
          <w:sz w:val="21"/>
        </w:rPr>
      </w:pPr>
      <w:r w:rsidRPr="00FD40B8">
        <w:rPr>
          <w:color w:val="131727" w:themeColor="text1"/>
          <w:w w:val="110"/>
          <w:sz w:val="21"/>
        </w:rPr>
        <w:t>organisations</w:t>
      </w:r>
      <w:r w:rsidRPr="00FD40B8">
        <w:rPr>
          <w:color w:val="131727" w:themeColor="text1"/>
          <w:spacing w:val="-8"/>
          <w:w w:val="110"/>
          <w:sz w:val="21"/>
        </w:rPr>
        <w:t xml:space="preserve"> </w:t>
      </w:r>
      <w:r w:rsidRPr="00FD40B8">
        <w:rPr>
          <w:color w:val="131727" w:themeColor="text1"/>
          <w:w w:val="110"/>
          <w:sz w:val="21"/>
        </w:rPr>
        <w:t>which</w:t>
      </w:r>
      <w:r w:rsidRPr="00FD40B8">
        <w:rPr>
          <w:color w:val="131727" w:themeColor="text1"/>
          <w:spacing w:val="-8"/>
          <w:w w:val="110"/>
          <w:sz w:val="21"/>
        </w:rPr>
        <w:t xml:space="preserve"> </w:t>
      </w:r>
      <w:r w:rsidRPr="00FD40B8">
        <w:rPr>
          <w:color w:val="131727" w:themeColor="text1"/>
          <w:w w:val="110"/>
          <w:sz w:val="21"/>
        </w:rPr>
        <w:t>were</w:t>
      </w:r>
      <w:r w:rsidRPr="00FD40B8">
        <w:rPr>
          <w:color w:val="131727" w:themeColor="text1"/>
          <w:spacing w:val="-10"/>
          <w:w w:val="110"/>
          <w:sz w:val="21"/>
        </w:rPr>
        <w:t xml:space="preserve"> </w:t>
      </w:r>
      <w:r w:rsidRPr="00FD40B8">
        <w:rPr>
          <w:color w:val="131727" w:themeColor="text1"/>
          <w:w w:val="110"/>
          <w:sz w:val="21"/>
        </w:rPr>
        <w:t>in</w:t>
      </w:r>
      <w:r w:rsidRPr="00FD40B8">
        <w:rPr>
          <w:color w:val="131727" w:themeColor="text1"/>
          <w:spacing w:val="-8"/>
          <w:w w:val="110"/>
          <w:sz w:val="21"/>
        </w:rPr>
        <w:t xml:space="preserve"> </w:t>
      </w:r>
      <w:r w:rsidRPr="00FD40B8">
        <w:rPr>
          <w:color w:val="131727" w:themeColor="text1"/>
          <w:w w:val="110"/>
          <w:sz w:val="21"/>
        </w:rPr>
        <w:t>liquidation</w:t>
      </w:r>
      <w:r w:rsidRPr="00FD40B8">
        <w:rPr>
          <w:color w:val="131727" w:themeColor="text1"/>
          <w:spacing w:val="-9"/>
          <w:w w:val="110"/>
          <w:sz w:val="21"/>
        </w:rPr>
        <w:t xml:space="preserve"> </w:t>
      </w:r>
      <w:r w:rsidRPr="00FD40B8">
        <w:rPr>
          <w:color w:val="131727" w:themeColor="text1"/>
          <w:w w:val="110"/>
          <w:sz w:val="21"/>
        </w:rPr>
        <w:t>or</w:t>
      </w:r>
      <w:r w:rsidRPr="00FD40B8">
        <w:rPr>
          <w:color w:val="131727" w:themeColor="text1"/>
          <w:spacing w:val="-10"/>
          <w:w w:val="110"/>
          <w:sz w:val="21"/>
        </w:rPr>
        <w:t xml:space="preserve"> </w:t>
      </w:r>
      <w:r w:rsidRPr="00FD40B8">
        <w:rPr>
          <w:color w:val="131727" w:themeColor="text1"/>
          <w:w w:val="110"/>
          <w:sz w:val="21"/>
        </w:rPr>
        <w:t>receivership</w:t>
      </w:r>
      <w:r w:rsidRPr="00FD40B8">
        <w:rPr>
          <w:color w:val="131727" w:themeColor="text1"/>
          <w:spacing w:val="-9"/>
          <w:w w:val="110"/>
          <w:sz w:val="21"/>
        </w:rPr>
        <w:t xml:space="preserve"> </w:t>
      </w:r>
      <w:r w:rsidRPr="00FD40B8">
        <w:rPr>
          <w:color w:val="131727" w:themeColor="text1"/>
          <w:w w:val="110"/>
          <w:sz w:val="21"/>
        </w:rPr>
        <w:t>at</w:t>
      </w:r>
      <w:r w:rsidRPr="00FD40B8">
        <w:rPr>
          <w:color w:val="131727" w:themeColor="text1"/>
          <w:spacing w:val="-8"/>
          <w:w w:val="110"/>
          <w:sz w:val="21"/>
        </w:rPr>
        <w:t xml:space="preserve"> </w:t>
      </w:r>
      <w:r w:rsidRPr="00FD40B8">
        <w:rPr>
          <w:color w:val="131727" w:themeColor="text1"/>
          <w:w w:val="110"/>
          <w:sz w:val="21"/>
        </w:rPr>
        <w:t>the</w:t>
      </w:r>
      <w:r w:rsidRPr="00FD40B8">
        <w:rPr>
          <w:color w:val="131727" w:themeColor="text1"/>
          <w:spacing w:val="-10"/>
          <w:w w:val="110"/>
          <w:sz w:val="21"/>
        </w:rPr>
        <w:t xml:space="preserve"> </w:t>
      </w:r>
      <w:r w:rsidRPr="00FD40B8">
        <w:rPr>
          <w:color w:val="131727" w:themeColor="text1"/>
          <w:w w:val="110"/>
          <w:sz w:val="21"/>
        </w:rPr>
        <w:t>time</w:t>
      </w:r>
      <w:r w:rsidRPr="00FD40B8">
        <w:rPr>
          <w:color w:val="131727" w:themeColor="text1"/>
          <w:spacing w:val="-9"/>
          <w:w w:val="110"/>
          <w:sz w:val="21"/>
        </w:rPr>
        <w:t xml:space="preserve"> </w:t>
      </w:r>
      <w:r w:rsidRPr="00FD40B8">
        <w:rPr>
          <w:color w:val="131727" w:themeColor="text1"/>
          <w:w w:val="110"/>
          <w:sz w:val="21"/>
        </w:rPr>
        <w:t>of</w:t>
      </w:r>
      <w:r w:rsidRPr="00FD40B8">
        <w:rPr>
          <w:color w:val="131727" w:themeColor="text1"/>
          <w:spacing w:val="-10"/>
          <w:w w:val="110"/>
          <w:sz w:val="21"/>
        </w:rPr>
        <w:t xml:space="preserve"> </w:t>
      </w:r>
      <w:r w:rsidRPr="00FD40B8">
        <w:rPr>
          <w:color w:val="131727" w:themeColor="text1"/>
          <w:spacing w:val="-2"/>
          <w:w w:val="110"/>
          <w:sz w:val="21"/>
        </w:rPr>
        <w:t>enumeration</w:t>
      </w:r>
    </w:p>
    <w:p w14:paraId="0C203888" w14:textId="77777777" w:rsidR="00811887" w:rsidRPr="00FD40B8" w:rsidRDefault="00811887" w:rsidP="00811887">
      <w:pPr>
        <w:pStyle w:val="ListParagraph"/>
        <w:widowControl w:val="0"/>
        <w:numPr>
          <w:ilvl w:val="0"/>
          <w:numId w:val="53"/>
        </w:numPr>
        <w:tabs>
          <w:tab w:val="left" w:pos="868"/>
        </w:tabs>
        <w:autoSpaceDE w:val="0"/>
        <w:autoSpaceDN w:val="0"/>
        <w:spacing w:before="2" w:after="0"/>
        <w:ind w:hanging="360"/>
        <w:contextualSpacing w:val="0"/>
        <w:rPr>
          <w:color w:val="131727" w:themeColor="text1"/>
          <w:sz w:val="21"/>
        </w:rPr>
      </w:pPr>
      <w:r w:rsidRPr="00FD40B8">
        <w:rPr>
          <w:color w:val="131727" w:themeColor="text1"/>
          <w:w w:val="110"/>
          <w:sz w:val="21"/>
        </w:rPr>
        <w:t>government</w:t>
      </w:r>
      <w:r w:rsidRPr="00FD40B8">
        <w:rPr>
          <w:color w:val="131727" w:themeColor="text1"/>
          <w:spacing w:val="-4"/>
          <w:w w:val="110"/>
          <w:sz w:val="21"/>
        </w:rPr>
        <w:t xml:space="preserve"> </w:t>
      </w:r>
      <w:r w:rsidRPr="00FD40B8">
        <w:rPr>
          <w:color w:val="131727" w:themeColor="text1"/>
          <w:w w:val="110"/>
          <w:sz w:val="21"/>
        </w:rPr>
        <w:t>departments</w:t>
      </w:r>
      <w:r w:rsidRPr="00FD40B8">
        <w:rPr>
          <w:color w:val="131727" w:themeColor="text1"/>
          <w:spacing w:val="-2"/>
          <w:w w:val="110"/>
          <w:sz w:val="21"/>
        </w:rPr>
        <w:t xml:space="preserve"> </w:t>
      </w:r>
      <w:r w:rsidRPr="00FD40B8">
        <w:rPr>
          <w:color w:val="131727" w:themeColor="text1"/>
          <w:w w:val="110"/>
          <w:sz w:val="21"/>
        </w:rPr>
        <w:t>that</w:t>
      </w:r>
      <w:r w:rsidRPr="00FD40B8">
        <w:rPr>
          <w:color w:val="131727" w:themeColor="text1"/>
          <w:spacing w:val="-4"/>
          <w:w w:val="110"/>
          <w:sz w:val="21"/>
        </w:rPr>
        <w:t xml:space="preserve"> </w:t>
      </w:r>
      <w:r w:rsidRPr="00FD40B8">
        <w:rPr>
          <w:color w:val="131727" w:themeColor="text1"/>
          <w:w w:val="110"/>
          <w:sz w:val="21"/>
        </w:rPr>
        <w:t>manage</w:t>
      </w:r>
      <w:r w:rsidRPr="00FD40B8">
        <w:rPr>
          <w:color w:val="131727" w:themeColor="text1"/>
          <w:spacing w:val="-5"/>
          <w:w w:val="110"/>
          <w:sz w:val="21"/>
        </w:rPr>
        <w:t xml:space="preserve"> </w:t>
      </w:r>
      <w:r w:rsidRPr="00FD40B8">
        <w:rPr>
          <w:color w:val="131727" w:themeColor="text1"/>
          <w:w w:val="110"/>
          <w:sz w:val="21"/>
        </w:rPr>
        <w:t>Indigenous</w:t>
      </w:r>
      <w:r w:rsidRPr="00FD40B8">
        <w:rPr>
          <w:color w:val="131727" w:themeColor="text1"/>
          <w:spacing w:val="-7"/>
          <w:w w:val="110"/>
          <w:sz w:val="21"/>
        </w:rPr>
        <w:t xml:space="preserve"> </w:t>
      </w:r>
      <w:r w:rsidRPr="00FD40B8">
        <w:rPr>
          <w:color w:val="131727" w:themeColor="text1"/>
          <w:spacing w:val="-2"/>
          <w:w w:val="110"/>
          <w:sz w:val="21"/>
        </w:rPr>
        <w:t>housing</w:t>
      </w:r>
    </w:p>
    <w:p w14:paraId="4B256D2E" w14:textId="77777777" w:rsidR="00811887" w:rsidRPr="00FD40B8" w:rsidRDefault="00811887" w:rsidP="00811887">
      <w:pPr>
        <w:pStyle w:val="ListParagraph"/>
        <w:widowControl w:val="0"/>
        <w:numPr>
          <w:ilvl w:val="0"/>
          <w:numId w:val="53"/>
        </w:numPr>
        <w:tabs>
          <w:tab w:val="left" w:pos="868"/>
        </w:tabs>
        <w:autoSpaceDE w:val="0"/>
        <w:autoSpaceDN w:val="0"/>
        <w:spacing w:before="21" w:after="0" w:line="264" w:lineRule="auto"/>
        <w:ind w:right="1058"/>
        <w:contextualSpacing w:val="0"/>
        <w:rPr>
          <w:color w:val="131727" w:themeColor="text1"/>
          <w:sz w:val="21"/>
        </w:rPr>
      </w:pPr>
      <w:r w:rsidRPr="00FD40B8">
        <w:rPr>
          <w:color w:val="131727" w:themeColor="text1"/>
          <w:w w:val="110"/>
          <w:sz w:val="21"/>
        </w:rPr>
        <w:t>communities found</w:t>
      </w:r>
      <w:r w:rsidRPr="00FD40B8">
        <w:rPr>
          <w:color w:val="131727" w:themeColor="text1"/>
          <w:spacing w:val="-2"/>
          <w:w w:val="110"/>
          <w:sz w:val="21"/>
        </w:rPr>
        <w:t xml:space="preserve"> </w:t>
      </w:r>
      <w:r w:rsidRPr="00FD40B8">
        <w:rPr>
          <w:color w:val="131727" w:themeColor="text1"/>
          <w:w w:val="110"/>
          <w:sz w:val="21"/>
        </w:rPr>
        <w:t>to be</w:t>
      </w:r>
      <w:r w:rsidRPr="00FD40B8">
        <w:rPr>
          <w:color w:val="131727" w:themeColor="text1"/>
          <w:spacing w:val="-2"/>
          <w:w w:val="110"/>
          <w:sz w:val="21"/>
        </w:rPr>
        <w:t xml:space="preserve"> </w:t>
      </w:r>
      <w:r w:rsidRPr="00FD40B8">
        <w:rPr>
          <w:color w:val="131727" w:themeColor="text1"/>
          <w:w w:val="110"/>
          <w:sz w:val="21"/>
        </w:rPr>
        <w:t>unoccupied</w:t>
      </w:r>
      <w:r w:rsidRPr="00FD40B8">
        <w:rPr>
          <w:color w:val="131727" w:themeColor="text1"/>
          <w:spacing w:val="-2"/>
          <w:w w:val="110"/>
          <w:sz w:val="21"/>
        </w:rPr>
        <w:t xml:space="preserve"> </w:t>
      </w:r>
      <w:r w:rsidRPr="00FD40B8">
        <w:rPr>
          <w:color w:val="131727" w:themeColor="text1"/>
          <w:w w:val="110"/>
          <w:sz w:val="21"/>
        </w:rPr>
        <w:t>at the</w:t>
      </w:r>
      <w:r w:rsidRPr="00FD40B8">
        <w:rPr>
          <w:color w:val="131727" w:themeColor="text1"/>
          <w:spacing w:val="-2"/>
          <w:w w:val="110"/>
          <w:sz w:val="21"/>
        </w:rPr>
        <w:t xml:space="preserve"> </w:t>
      </w:r>
      <w:r w:rsidRPr="00FD40B8">
        <w:rPr>
          <w:color w:val="131727" w:themeColor="text1"/>
          <w:w w:val="110"/>
          <w:sz w:val="21"/>
        </w:rPr>
        <w:t>time</w:t>
      </w:r>
      <w:r w:rsidRPr="00FD40B8">
        <w:rPr>
          <w:color w:val="131727" w:themeColor="text1"/>
          <w:spacing w:val="-2"/>
          <w:w w:val="110"/>
          <w:sz w:val="21"/>
        </w:rPr>
        <w:t xml:space="preserve"> </w:t>
      </w:r>
      <w:r w:rsidRPr="00FD40B8">
        <w:rPr>
          <w:color w:val="131727" w:themeColor="text1"/>
          <w:w w:val="110"/>
          <w:sz w:val="21"/>
        </w:rPr>
        <w:t>of</w:t>
      </w:r>
      <w:r w:rsidRPr="00FD40B8">
        <w:rPr>
          <w:color w:val="131727" w:themeColor="text1"/>
          <w:spacing w:val="-2"/>
          <w:w w:val="110"/>
          <w:sz w:val="21"/>
        </w:rPr>
        <w:t xml:space="preserve"> </w:t>
      </w: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CHINS</w:t>
      </w:r>
      <w:r w:rsidRPr="00FD40B8">
        <w:rPr>
          <w:color w:val="131727" w:themeColor="text1"/>
          <w:spacing w:val="-1"/>
          <w:w w:val="110"/>
          <w:sz w:val="21"/>
        </w:rPr>
        <w:t xml:space="preserve"> </w:t>
      </w:r>
      <w:r w:rsidRPr="00FD40B8">
        <w:rPr>
          <w:color w:val="131727" w:themeColor="text1"/>
          <w:w w:val="110"/>
          <w:sz w:val="21"/>
        </w:rPr>
        <w:t>and</w:t>
      </w:r>
      <w:r w:rsidRPr="00FD40B8">
        <w:rPr>
          <w:color w:val="131727" w:themeColor="text1"/>
          <w:spacing w:val="-2"/>
          <w:w w:val="110"/>
          <w:sz w:val="21"/>
        </w:rPr>
        <w:t xml:space="preserve"> </w:t>
      </w:r>
      <w:r w:rsidRPr="00FD40B8">
        <w:rPr>
          <w:color w:val="131727" w:themeColor="text1"/>
          <w:w w:val="110"/>
          <w:sz w:val="21"/>
        </w:rPr>
        <w:t>which</w:t>
      </w:r>
      <w:r w:rsidRPr="00FD40B8">
        <w:rPr>
          <w:color w:val="131727" w:themeColor="text1"/>
          <w:spacing w:val="-1"/>
          <w:w w:val="110"/>
          <w:sz w:val="21"/>
        </w:rPr>
        <w:t xml:space="preserve"> </w:t>
      </w:r>
      <w:r w:rsidRPr="00FD40B8">
        <w:rPr>
          <w:color w:val="131727" w:themeColor="text1"/>
          <w:w w:val="110"/>
          <w:sz w:val="21"/>
        </w:rPr>
        <w:t>were</w:t>
      </w:r>
      <w:r w:rsidRPr="00FD40B8">
        <w:rPr>
          <w:color w:val="131727" w:themeColor="text1"/>
          <w:spacing w:val="-2"/>
          <w:w w:val="110"/>
          <w:sz w:val="21"/>
        </w:rPr>
        <w:t xml:space="preserve"> </w:t>
      </w:r>
      <w:r w:rsidRPr="00FD40B8">
        <w:rPr>
          <w:color w:val="131727" w:themeColor="text1"/>
          <w:w w:val="110"/>
          <w:sz w:val="21"/>
        </w:rPr>
        <w:t>not expected to be reoccupied within the following 12 months.</w:t>
      </w:r>
    </w:p>
    <w:p w14:paraId="75DA6B41" w14:textId="77777777" w:rsidR="00811887" w:rsidRPr="00FD40B8" w:rsidRDefault="00811887" w:rsidP="00811887">
      <w:pPr>
        <w:pStyle w:val="BodyText"/>
        <w:spacing w:before="39"/>
        <w:rPr>
          <w:color w:val="131727" w:themeColor="text1"/>
          <w:sz w:val="21"/>
        </w:rPr>
      </w:pPr>
    </w:p>
    <w:p w14:paraId="57518BE1" w14:textId="77777777" w:rsidR="00811887" w:rsidRPr="00FD40B8" w:rsidRDefault="00811887" w:rsidP="00811887">
      <w:pPr>
        <w:ind w:left="148"/>
        <w:rPr>
          <w:color w:val="131727" w:themeColor="text1"/>
          <w:sz w:val="21"/>
        </w:rPr>
      </w:pP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main</w:t>
      </w:r>
      <w:r w:rsidRPr="00FD40B8">
        <w:rPr>
          <w:color w:val="131727" w:themeColor="text1"/>
          <w:spacing w:val="-1"/>
          <w:w w:val="110"/>
          <w:sz w:val="21"/>
        </w:rPr>
        <w:t xml:space="preserve"> </w:t>
      </w:r>
      <w:r w:rsidRPr="00FD40B8">
        <w:rPr>
          <w:color w:val="131727" w:themeColor="text1"/>
          <w:w w:val="110"/>
          <w:sz w:val="21"/>
        </w:rPr>
        <w:t>outputs</w:t>
      </w:r>
      <w:r w:rsidRPr="00FD40B8">
        <w:rPr>
          <w:color w:val="131727" w:themeColor="text1"/>
          <w:spacing w:val="2"/>
          <w:w w:val="110"/>
          <w:sz w:val="21"/>
        </w:rPr>
        <w:t xml:space="preserve"> </w:t>
      </w:r>
      <w:r w:rsidRPr="00FD40B8">
        <w:rPr>
          <w:color w:val="131727" w:themeColor="text1"/>
          <w:w w:val="110"/>
          <w:sz w:val="21"/>
        </w:rPr>
        <w:t>sought from CHINS are</w:t>
      </w:r>
      <w:r w:rsidRPr="00FD40B8">
        <w:rPr>
          <w:color w:val="131727" w:themeColor="text1"/>
          <w:spacing w:val="-2"/>
          <w:w w:val="110"/>
          <w:sz w:val="21"/>
        </w:rPr>
        <w:t xml:space="preserve"> </w:t>
      </w:r>
      <w:r w:rsidRPr="00FD40B8">
        <w:rPr>
          <w:color w:val="131727" w:themeColor="text1"/>
          <w:w w:val="110"/>
          <w:sz w:val="21"/>
        </w:rPr>
        <w:t>set</w:t>
      </w:r>
      <w:r w:rsidRPr="00FD40B8">
        <w:rPr>
          <w:color w:val="131727" w:themeColor="text1"/>
          <w:spacing w:val="-4"/>
          <w:w w:val="110"/>
          <w:sz w:val="21"/>
        </w:rPr>
        <w:t xml:space="preserve"> </w:t>
      </w:r>
      <w:r w:rsidRPr="00FD40B8">
        <w:rPr>
          <w:color w:val="131727" w:themeColor="text1"/>
          <w:w w:val="110"/>
          <w:sz w:val="21"/>
        </w:rPr>
        <w:t>out in</w:t>
      </w:r>
      <w:r w:rsidRPr="00FD40B8">
        <w:rPr>
          <w:color w:val="131727" w:themeColor="text1"/>
          <w:spacing w:val="-5"/>
          <w:w w:val="110"/>
          <w:sz w:val="21"/>
        </w:rPr>
        <w:t xml:space="preserve"> </w:t>
      </w:r>
      <w:r w:rsidRPr="00FD40B8">
        <w:rPr>
          <w:color w:val="131727" w:themeColor="text1"/>
          <w:w w:val="110"/>
          <w:sz w:val="21"/>
        </w:rPr>
        <w:t>Table</w:t>
      </w:r>
      <w:r w:rsidRPr="00FD40B8">
        <w:rPr>
          <w:color w:val="131727" w:themeColor="text1"/>
          <w:spacing w:val="-2"/>
          <w:w w:val="110"/>
          <w:sz w:val="21"/>
        </w:rPr>
        <w:t xml:space="preserve"> </w:t>
      </w:r>
      <w:r w:rsidRPr="00FD40B8">
        <w:rPr>
          <w:color w:val="131727" w:themeColor="text1"/>
          <w:w w:val="110"/>
          <w:sz w:val="21"/>
        </w:rPr>
        <w:t>A.1</w:t>
      </w:r>
      <w:r w:rsidRPr="00FD40B8">
        <w:rPr>
          <w:color w:val="131727" w:themeColor="text1"/>
          <w:spacing w:val="-2"/>
          <w:w w:val="110"/>
          <w:sz w:val="21"/>
        </w:rPr>
        <w:t xml:space="preserve"> below.</w:t>
      </w:r>
    </w:p>
    <w:p w14:paraId="6E702CE6" w14:textId="77777777" w:rsidR="00811887" w:rsidRPr="00FD40B8" w:rsidRDefault="00811887" w:rsidP="00811887">
      <w:pPr>
        <w:spacing w:before="226"/>
        <w:ind w:left="148"/>
        <w:rPr>
          <w:rFonts w:ascii="Book Antiqua"/>
          <w:b/>
          <w:color w:val="131727" w:themeColor="text1"/>
          <w:sz w:val="21"/>
        </w:rPr>
      </w:pPr>
      <w:r w:rsidRPr="00FD40B8">
        <w:rPr>
          <w:rFonts w:ascii="Book Antiqua"/>
          <w:b/>
          <w:color w:val="131727" w:themeColor="text1"/>
          <w:sz w:val="21"/>
        </w:rPr>
        <w:t>Table</w:t>
      </w:r>
      <w:r w:rsidRPr="00FD40B8">
        <w:rPr>
          <w:rFonts w:ascii="Book Antiqua"/>
          <w:b/>
          <w:color w:val="131727" w:themeColor="text1"/>
          <w:spacing w:val="-7"/>
          <w:sz w:val="21"/>
        </w:rPr>
        <w:t xml:space="preserve"> </w:t>
      </w:r>
      <w:r w:rsidRPr="00FD40B8">
        <w:rPr>
          <w:rFonts w:ascii="Book Antiqua"/>
          <w:b/>
          <w:color w:val="131727" w:themeColor="text1"/>
          <w:sz w:val="21"/>
        </w:rPr>
        <w:t>A1.</w:t>
      </w:r>
      <w:r w:rsidRPr="00FD40B8">
        <w:rPr>
          <w:rFonts w:ascii="Book Antiqua"/>
          <w:b/>
          <w:color w:val="131727" w:themeColor="text1"/>
          <w:spacing w:val="-4"/>
          <w:sz w:val="21"/>
        </w:rPr>
        <w:t xml:space="preserve"> </w:t>
      </w:r>
      <w:r w:rsidRPr="00FD40B8">
        <w:rPr>
          <w:rFonts w:ascii="Book Antiqua"/>
          <w:b/>
          <w:color w:val="131727" w:themeColor="text1"/>
          <w:sz w:val="21"/>
        </w:rPr>
        <w:t>Main</w:t>
      </w:r>
      <w:r w:rsidRPr="00FD40B8">
        <w:rPr>
          <w:rFonts w:ascii="Book Antiqua"/>
          <w:b/>
          <w:color w:val="131727" w:themeColor="text1"/>
          <w:spacing w:val="-8"/>
          <w:sz w:val="21"/>
        </w:rPr>
        <w:t xml:space="preserve"> </w:t>
      </w:r>
      <w:r w:rsidRPr="00FD40B8">
        <w:rPr>
          <w:rFonts w:ascii="Book Antiqua"/>
          <w:b/>
          <w:color w:val="131727" w:themeColor="text1"/>
          <w:sz w:val="21"/>
        </w:rPr>
        <w:t>outputs</w:t>
      </w:r>
      <w:r w:rsidRPr="00FD40B8">
        <w:rPr>
          <w:rFonts w:ascii="Book Antiqua"/>
          <w:b/>
          <w:color w:val="131727" w:themeColor="text1"/>
          <w:spacing w:val="-7"/>
          <w:sz w:val="21"/>
        </w:rPr>
        <w:t xml:space="preserve"> </w:t>
      </w:r>
      <w:r w:rsidRPr="00FD40B8">
        <w:rPr>
          <w:rFonts w:ascii="Book Antiqua"/>
          <w:b/>
          <w:color w:val="131727" w:themeColor="text1"/>
          <w:sz w:val="21"/>
        </w:rPr>
        <w:t>(variables)</w:t>
      </w:r>
      <w:r w:rsidRPr="00FD40B8">
        <w:rPr>
          <w:rFonts w:ascii="Book Antiqua"/>
          <w:b/>
          <w:color w:val="131727" w:themeColor="text1"/>
          <w:spacing w:val="-9"/>
          <w:sz w:val="21"/>
        </w:rPr>
        <w:t xml:space="preserve"> </w:t>
      </w:r>
      <w:r w:rsidRPr="00FD40B8">
        <w:rPr>
          <w:rFonts w:ascii="Book Antiqua"/>
          <w:b/>
          <w:color w:val="131727" w:themeColor="text1"/>
          <w:sz w:val="21"/>
        </w:rPr>
        <w:t>collected</w:t>
      </w:r>
      <w:r w:rsidRPr="00FD40B8">
        <w:rPr>
          <w:rFonts w:ascii="Book Antiqua"/>
          <w:b/>
          <w:color w:val="131727" w:themeColor="text1"/>
          <w:spacing w:val="-4"/>
          <w:sz w:val="21"/>
        </w:rPr>
        <w:t xml:space="preserve"> </w:t>
      </w:r>
      <w:r w:rsidRPr="00FD40B8">
        <w:rPr>
          <w:rFonts w:ascii="Book Antiqua"/>
          <w:b/>
          <w:color w:val="131727" w:themeColor="text1"/>
          <w:sz w:val="21"/>
        </w:rPr>
        <w:t>by</w:t>
      </w:r>
      <w:r w:rsidRPr="00FD40B8">
        <w:rPr>
          <w:rFonts w:ascii="Book Antiqua"/>
          <w:b/>
          <w:color w:val="131727" w:themeColor="text1"/>
          <w:spacing w:val="-2"/>
          <w:sz w:val="21"/>
        </w:rPr>
        <w:t xml:space="preserve"> CHINS</w:t>
      </w:r>
    </w:p>
    <w:p w14:paraId="60775E8D" w14:textId="77777777" w:rsidR="00811887" w:rsidRPr="00FD40B8" w:rsidRDefault="00811887" w:rsidP="00811887">
      <w:pPr>
        <w:pStyle w:val="BodyText"/>
        <w:spacing w:before="4"/>
        <w:rPr>
          <w:rFonts w:ascii="Book Antiqua"/>
          <w:b/>
          <w:color w:val="131727" w:themeColor="text1"/>
          <w:sz w:val="5"/>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6521"/>
      </w:tblGrid>
      <w:tr w:rsidR="00811887" w:rsidRPr="00FD40B8" w14:paraId="667B6501" w14:textId="77777777" w:rsidTr="00486E22">
        <w:trPr>
          <w:trHeight w:val="302"/>
        </w:trPr>
        <w:tc>
          <w:tcPr>
            <w:tcW w:w="2834" w:type="dxa"/>
            <w:shd w:val="clear" w:color="auto" w:fill="91A9A2"/>
          </w:tcPr>
          <w:p w14:paraId="5E732FBF" w14:textId="77777777" w:rsidR="00811887" w:rsidRPr="00FD40B8" w:rsidRDefault="00811887" w:rsidP="00486E22">
            <w:pPr>
              <w:pStyle w:val="TableParagraph"/>
              <w:spacing w:line="240" w:lineRule="auto"/>
              <w:ind w:left="110"/>
              <w:rPr>
                <w:rFonts w:ascii="Garamond"/>
                <w:b/>
                <w:color w:val="131727" w:themeColor="text1"/>
                <w:sz w:val="20"/>
              </w:rPr>
            </w:pPr>
            <w:r w:rsidRPr="00FD40B8">
              <w:rPr>
                <w:rFonts w:ascii="Garamond"/>
                <w:b/>
                <w:color w:val="131727" w:themeColor="text1"/>
                <w:spacing w:val="-2"/>
                <w:sz w:val="20"/>
              </w:rPr>
              <w:t>Output</w:t>
            </w:r>
          </w:p>
        </w:tc>
        <w:tc>
          <w:tcPr>
            <w:tcW w:w="6521" w:type="dxa"/>
            <w:shd w:val="clear" w:color="auto" w:fill="91A9A2"/>
          </w:tcPr>
          <w:p w14:paraId="03FB9B24" w14:textId="77777777" w:rsidR="00811887" w:rsidRPr="00FD40B8" w:rsidRDefault="00811887" w:rsidP="00486E22">
            <w:pPr>
              <w:pStyle w:val="TableParagraph"/>
              <w:spacing w:line="240" w:lineRule="auto"/>
              <w:ind w:left="104"/>
              <w:rPr>
                <w:rFonts w:ascii="Garamond"/>
                <w:b/>
                <w:color w:val="131727" w:themeColor="text1"/>
                <w:sz w:val="20"/>
              </w:rPr>
            </w:pPr>
            <w:r w:rsidRPr="00FD40B8">
              <w:rPr>
                <w:rFonts w:ascii="Garamond"/>
                <w:b/>
                <w:color w:val="131727" w:themeColor="text1"/>
                <w:spacing w:val="-2"/>
                <w:sz w:val="20"/>
              </w:rPr>
              <w:t>Disaggregation</w:t>
            </w:r>
          </w:p>
        </w:tc>
      </w:tr>
      <w:tr w:rsidR="00811887" w:rsidRPr="00FD40B8" w14:paraId="51648A7B" w14:textId="77777777" w:rsidTr="00486E22">
        <w:trPr>
          <w:trHeight w:val="297"/>
        </w:trPr>
        <w:tc>
          <w:tcPr>
            <w:tcW w:w="2834" w:type="dxa"/>
            <w:shd w:val="clear" w:color="auto" w:fill="D5DFDB"/>
          </w:tcPr>
          <w:p w14:paraId="26DEC8A8"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Applicable</w:t>
            </w:r>
            <w:r w:rsidRPr="00FD40B8">
              <w:rPr>
                <w:rFonts w:ascii="Garamond"/>
                <w:color w:val="131727" w:themeColor="text1"/>
                <w:spacing w:val="-5"/>
                <w:sz w:val="18"/>
              </w:rPr>
              <w:t xml:space="preserve"> </w:t>
            </w:r>
            <w:r w:rsidRPr="00FD40B8">
              <w:rPr>
                <w:rFonts w:ascii="Garamond"/>
                <w:color w:val="131727" w:themeColor="text1"/>
                <w:spacing w:val="-2"/>
                <w:sz w:val="18"/>
              </w:rPr>
              <w:t>population</w:t>
            </w:r>
          </w:p>
        </w:tc>
        <w:tc>
          <w:tcPr>
            <w:tcW w:w="6521" w:type="dxa"/>
          </w:tcPr>
          <w:p w14:paraId="4BC4A11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Demographics</w:t>
            </w:r>
            <w:r w:rsidRPr="00FD40B8">
              <w:rPr>
                <w:color w:val="131727" w:themeColor="text1"/>
                <w:spacing w:val="-10"/>
                <w:w w:val="110"/>
                <w:sz w:val="18"/>
              </w:rPr>
              <w:t xml:space="preserve"> </w:t>
            </w:r>
            <w:r w:rsidRPr="00FD40B8">
              <w:rPr>
                <w:color w:val="131727" w:themeColor="text1"/>
                <w:w w:val="110"/>
                <w:sz w:val="18"/>
              </w:rPr>
              <w:t>(state,</w:t>
            </w:r>
            <w:r w:rsidRPr="00FD40B8">
              <w:rPr>
                <w:color w:val="131727" w:themeColor="text1"/>
                <w:spacing w:val="-11"/>
                <w:w w:val="110"/>
                <w:sz w:val="18"/>
              </w:rPr>
              <w:t xml:space="preserve"> </w:t>
            </w:r>
            <w:r w:rsidRPr="00FD40B8">
              <w:rPr>
                <w:color w:val="131727" w:themeColor="text1"/>
                <w:spacing w:val="-2"/>
                <w:w w:val="110"/>
                <w:sz w:val="18"/>
              </w:rPr>
              <w:t>remoteness)</w:t>
            </w:r>
          </w:p>
        </w:tc>
      </w:tr>
      <w:tr w:rsidR="00811887" w:rsidRPr="00FD40B8" w14:paraId="0E07FFDD" w14:textId="77777777" w:rsidTr="00486E22">
        <w:trPr>
          <w:trHeight w:val="302"/>
        </w:trPr>
        <w:tc>
          <w:tcPr>
            <w:tcW w:w="2834" w:type="dxa"/>
            <w:vMerge w:val="restart"/>
            <w:shd w:val="clear" w:color="auto" w:fill="D5DFDB"/>
          </w:tcPr>
          <w:p w14:paraId="19216116" w14:textId="77777777" w:rsidR="00811887" w:rsidRPr="00FD40B8" w:rsidRDefault="00811887" w:rsidP="00486E22">
            <w:pPr>
              <w:pStyle w:val="TableParagraph"/>
              <w:spacing w:before="36" w:line="285" w:lineRule="auto"/>
              <w:ind w:left="110"/>
              <w:rPr>
                <w:rFonts w:ascii="Garamond"/>
                <w:color w:val="131727" w:themeColor="text1"/>
                <w:sz w:val="18"/>
              </w:rPr>
            </w:pPr>
            <w:r w:rsidRPr="00FD40B8">
              <w:rPr>
                <w:rFonts w:ascii="Garamond"/>
                <w:color w:val="131727" w:themeColor="text1"/>
                <w:sz w:val="18"/>
              </w:rPr>
              <w:t>Permanent</w:t>
            </w:r>
            <w:r w:rsidRPr="00FD40B8">
              <w:rPr>
                <w:rFonts w:ascii="Garamond"/>
                <w:color w:val="131727" w:themeColor="text1"/>
                <w:spacing w:val="-12"/>
                <w:sz w:val="18"/>
              </w:rPr>
              <w:t xml:space="preserve"> </w:t>
            </w:r>
            <w:r w:rsidRPr="00FD40B8">
              <w:rPr>
                <w:rFonts w:ascii="Garamond"/>
                <w:color w:val="131727" w:themeColor="text1"/>
                <w:sz w:val="18"/>
              </w:rPr>
              <w:t>dwellings</w:t>
            </w:r>
            <w:r w:rsidRPr="00FD40B8">
              <w:rPr>
                <w:rFonts w:ascii="Garamond"/>
                <w:color w:val="131727" w:themeColor="text1"/>
                <w:spacing w:val="-11"/>
                <w:sz w:val="18"/>
              </w:rPr>
              <w:t xml:space="preserve"> </w:t>
            </w:r>
            <w:r w:rsidRPr="00FD40B8">
              <w:rPr>
                <w:rFonts w:ascii="Garamond"/>
                <w:color w:val="131727" w:themeColor="text1"/>
                <w:sz w:val="18"/>
              </w:rPr>
              <w:t>(by</w:t>
            </w:r>
            <w:r w:rsidRPr="00FD40B8">
              <w:rPr>
                <w:rFonts w:ascii="Garamond"/>
                <w:color w:val="131727" w:themeColor="text1"/>
                <w:spacing w:val="-11"/>
                <w:sz w:val="18"/>
              </w:rPr>
              <w:t xml:space="preserve"> </w:t>
            </w:r>
            <w:r w:rsidRPr="00FD40B8">
              <w:rPr>
                <w:rFonts w:ascii="Garamond"/>
                <w:color w:val="131727" w:themeColor="text1"/>
                <w:sz w:val="18"/>
              </w:rPr>
              <w:t xml:space="preserve">remoteness, </w:t>
            </w:r>
            <w:r w:rsidRPr="00FD40B8">
              <w:rPr>
                <w:rFonts w:ascii="Garamond"/>
                <w:color w:val="131727" w:themeColor="text1"/>
                <w:spacing w:val="-2"/>
                <w:sz w:val="18"/>
              </w:rPr>
              <w:t>state/territory)</w:t>
            </w:r>
          </w:p>
        </w:tc>
        <w:tc>
          <w:tcPr>
            <w:tcW w:w="6521" w:type="dxa"/>
          </w:tcPr>
          <w:p w14:paraId="309638A6"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Number of</w:t>
            </w:r>
            <w:r w:rsidRPr="00FD40B8">
              <w:rPr>
                <w:color w:val="131727" w:themeColor="text1"/>
                <w:spacing w:val="3"/>
                <w:w w:val="110"/>
                <w:sz w:val="18"/>
              </w:rPr>
              <w:t xml:space="preserve"> </w:t>
            </w:r>
            <w:r w:rsidRPr="00FD40B8">
              <w:rPr>
                <w:color w:val="131727" w:themeColor="text1"/>
                <w:spacing w:val="-2"/>
                <w:w w:val="110"/>
                <w:sz w:val="18"/>
              </w:rPr>
              <w:t>bedrooms</w:t>
            </w:r>
          </w:p>
        </w:tc>
      </w:tr>
      <w:tr w:rsidR="00811887" w:rsidRPr="00FD40B8" w14:paraId="76450CD8" w14:textId="77777777" w:rsidTr="00486E22">
        <w:trPr>
          <w:trHeight w:val="297"/>
        </w:trPr>
        <w:tc>
          <w:tcPr>
            <w:tcW w:w="2834" w:type="dxa"/>
            <w:vMerge/>
            <w:tcBorders>
              <w:top w:val="nil"/>
            </w:tcBorders>
            <w:shd w:val="clear" w:color="auto" w:fill="D5DFDB"/>
          </w:tcPr>
          <w:p w14:paraId="63EF86AB" w14:textId="77777777" w:rsidR="00811887" w:rsidRPr="00FD40B8" w:rsidRDefault="00811887" w:rsidP="00486E22">
            <w:pPr>
              <w:rPr>
                <w:color w:val="131727" w:themeColor="text1"/>
                <w:sz w:val="2"/>
                <w:szCs w:val="2"/>
              </w:rPr>
            </w:pPr>
          </w:p>
        </w:tc>
        <w:tc>
          <w:tcPr>
            <w:tcW w:w="6521" w:type="dxa"/>
          </w:tcPr>
          <w:p w14:paraId="770E2F9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Structure</w:t>
            </w:r>
            <w:r w:rsidRPr="00FD40B8">
              <w:rPr>
                <w:color w:val="131727" w:themeColor="text1"/>
                <w:spacing w:val="-9"/>
                <w:w w:val="110"/>
                <w:sz w:val="18"/>
              </w:rPr>
              <w:t xml:space="preserve"> </w:t>
            </w:r>
            <w:r w:rsidRPr="00FD40B8">
              <w:rPr>
                <w:color w:val="131727" w:themeColor="text1"/>
                <w:w w:val="110"/>
                <w:sz w:val="18"/>
              </w:rPr>
              <w:t>(e.g.</w:t>
            </w:r>
            <w:r w:rsidRPr="00FD40B8">
              <w:rPr>
                <w:color w:val="131727" w:themeColor="text1"/>
                <w:spacing w:val="-10"/>
                <w:w w:val="110"/>
                <w:sz w:val="18"/>
              </w:rPr>
              <w:t xml:space="preserve"> </w:t>
            </w:r>
            <w:r w:rsidRPr="00FD40B8">
              <w:rPr>
                <w:color w:val="131727" w:themeColor="text1"/>
                <w:w w:val="110"/>
                <w:sz w:val="18"/>
              </w:rPr>
              <w:t>house,</w:t>
            </w:r>
            <w:r w:rsidRPr="00FD40B8">
              <w:rPr>
                <w:color w:val="131727" w:themeColor="text1"/>
                <w:spacing w:val="-9"/>
                <w:w w:val="110"/>
                <w:sz w:val="18"/>
              </w:rPr>
              <w:t xml:space="preserve"> </w:t>
            </w:r>
            <w:r w:rsidRPr="00FD40B8">
              <w:rPr>
                <w:color w:val="131727" w:themeColor="text1"/>
                <w:spacing w:val="-4"/>
                <w:w w:val="110"/>
                <w:sz w:val="18"/>
              </w:rPr>
              <w:t>unit)</w:t>
            </w:r>
          </w:p>
        </w:tc>
      </w:tr>
      <w:tr w:rsidR="00811887" w:rsidRPr="00FD40B8" w14:paraId="32CF980B" w14:textId="77777777" w:rsidTr="00486E22">
        <w:trPr>
          <w:trHeight w:val="301"/>
        </w:trPr>
        <w:tc>
          <w:tcPr>
            <w:tcW w:w="2834" w:type="dxa"/>
            <w:vMerge/>
            <w:tcBorders>
              <w:top w:val="nil"/>
            </w:tcBorders>
            <w:shd w:val="clear" w:color="auto" w:fill="D5DFDB"/>
          </w:tcPr>
          <w:p w14:paraId="520ABBDE" w14:textId="77777777" w:rsidR="00811887" w:rsidRPr="00FD40B8" w:rsidRDefault="00811887" w:rsidP="00486E22">
            <w:pPr>
              <w:rPr>
                <w:color w:val="131727" w:themeColor="text1"/>
                <w:sz w:val="2"/>
                <w:szCs w:val="2"/>
              </w:rPr>
            </w:pPr>
          </w:p>
        </w:tc>
        <w:tc>
          <w:tcPr>
            <w:tcW w:w="6521" w:type="dxa"/>
          </w:tcPr>
          <w:p w14:paraId="00D6282B"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Acquisition</w:t>
            </w:r>
            <w:r w:rsidRPr="00FD40B8">
              <w:rPr>
                <w:color w:val="131727" w:themeColor="text1"/>
                <w:spacing w:val="-10"/>
                <w:w w:val="110"/>
                <w:sz w:val="18"/>
              </w:rPr>
              <w:t xml:space="preserve"> </w:t>
            </w:r>
            <w:r w:rsidRPr="00FD40B8">
              <w:rPr>
                <w:color w:val="131727" w:themeColor="text1"/>
                <w:w w:val="110"/>
                <w:sz w:val="18"/>
              </w:rPr>
              <w:t>+</w:t>
            </w:r>
            <w:r w:rsidRPr="00FD40B8">
              <w:rPr>
                <w:color w:val="131727" w:themeColor="text1"/>
                <w:spacing w:val="-7"/>
                <w:w w:val="110"/>
                <w:sz w:val="18"/>
              </w:rPr>
              <w:t xml:space="preserve"> </w:t>
            </w:r>
            <w:r w:rsidRPr="00FD40B8">
              <w:rPr>
                <w:color w:val="131727" w:themeColor="text1"/>
                <w:spacing w:val="-2"/>
                <w:w w:val="110"/>
                <w:sz w:val="18"/>
              </w:rPr>
              <w:t>disposals</w:t>
            </w:r>
          </w:p>
        </w:tc>
      </w:tr>
      <w:tr w:rsidR="00811887" w:rsidRPr="00FD40B8" w14:paraId="4E075839" w14:textId="77777777" w:rsidTr="00486E22">
        <w:trPr>
          <w:trHeight w:val="302"/>
        </w:trPr>
        <w:tc>
          <w:tcPr>
            <w:tcW w:w="2834" w:type="dxa"/>
            <w:vMerge/>
            <w:tcBorders>
              <w:top w:val="nil"/>
            </w:tcBorders>
            <w:shd w:val="clear" w:color="auto" w:fill="D5DFDB"/>
          </w:tcPr>
          <w:p w14:paraId="6108AE18" w14:textId="77777777" w:rsidR="00811887" w:rsidRPr="00FD40B8" w:rsidRDefault="00811887" w:rsidP="00486E22">
            <w:pPr>
              <w:rPr>
                <w:color w:val="131727" w:themeColor="text1"/>
                <w:sz w:val="2"/>
                <w:szCs w:val="2"/>
              </w:rPr>
            </w:pPr>
          </w:p>
        </w:tc>
        <w:tc>
          <w:tcPr>
            <w:tcW w:w="6521" w:type="dxa"/>
          </w:tcPr>
          <w:p w14:paraId="250BBABB"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Unoccupied</w:t>
            </w:r>
            <w:r w:rsidRPr="00FD40B8">
              <w:rPr>
                <w:color w:val="131727" w:themeColor="text1"/>
                <w:spacing w:val="-7"/>
                <w:w w:val="110"/>
                <w:sz w:val="18"/>
              </w:rPr>
              <w:t xml:space="preserve"> </w:t>
            </w:r>
            <w:r w:rsidRPr="00FD40B8">
              <w:rPr>
                <w:color w:val="131727" w:themeColor="text1"/>
                <w:w w:val="110"/>
                <w:sz w:val="18"/>
              </w:rPr>
              <w:t>dwellings</w:t>
            </w:r>
            <w:r w:rsidRPr="00FD40B8">
              <w:rPr>
                <w:color w:val="131727" w:themeColor="text1"/>
                <w:spacing w:val="-7"/>
                <w:w w:val="110"/>
                <w:sz w:val="18"/>
              </w:rPr>
              <w:t xml:space="preserve"> </w:t>
            </w:r>
            <w:r w:rsidRPr="00FD40B8">
              <w:rPr>
                <w:color w:val="131727" w:themeColor="text1"/>
                <w:w w:val="110"/>
                <w:sz w:val="18"/>
              </w:rPr>
              <w:t>(and</w:t>
            </w:r>
            <w:r w:rsidRPr="00FD40B8">
              <w:rPr>
                <w:color w:val="131727" w:themeColor="text1"/>
                <w:spacing w:val="-10"/>
                <w:w w:val="110"/>
                <w:sz w:val="18"/>
              </w:rPr>
              <w:t xml:space="preserve"> </w:t>
            </w:r>
            <w:r w:rsidRPr="00FD40B8">
              <w:rPr>
                <w:color w:val="131727" w:themeColor="text1"/>
                <w:spacing w:val="-2"/>
                <w:w w:val="110"/>
                <w:sz w:val="18"/>
              </w:rPr>
              <w:t>reasons)</w:t>
            </w:r>
          </w:p>
        </w:tc>
      </w:tr>
      <w:tr w:rsidR="00811887" w:rsidRPr="00FD40B8" w14:paraId="56C04F53" w14:textId="77777777" w:rsidTr="00486E22">
        <w:trPr>
          <w:trHeight w:val="297"/>
        </w:trPr>
        <w:tc>
          <w:tcPr>
            <w:tcW w:w="2834" w:type="dxa"/>
            <w:vMerge/>
            <w:tcBorders>
              <w:top w:val="nil"/>
            </w:tcBorders>
            <w:shd w:val="clear" w:color="auto" w:fill="D5DFDB"/>
          </w:tcPr>
          <w:p w14:paraId="0AD056B5" w14:textId="77777777" w:rsidR="00811887" w:rsidRPr="00FD40B8" w:rsidRDefault="00811887" w:rsidP="00486E22">
            <w:pPr>
              <w:rPr>
                <w:color w:val="131727" w:themeColor="text1"/>
                <w:sz w:val="2"/>
                <w:szCs w:val="2"/>
              </w:rPr>
            </w:pPr>
          </w:p>
        </w:tc>
        <w:tc>
          <w:tcPr>
            <w:tcW w:w="6521" w:type="dxa"/>
          </w:tcPr>
          <w:p w14:paraId="759B029E"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w w:val="110"/>
                <w:sz w:val="18"/>
              </w:rPr>
              <w:t>Condition</w:t>
            </w:r>
            <w:r w:rsidRPr="00FD40B8">
              <w:rPr>
                <w:color w:val="131727" w:themeColor="text1"/>
                <w:spacing w:val="-5"/>
                <w:w w:val="110"/>
                <w:sz w:val="18"/>
              </w:rPr>
              <w:t xml:space="preserve"> </w:t>
            </w:r>
            <w:r w:rsidRPr="00FD40B8">
              <w:rPr>
                <w:color w:val="131727" w:themeColor="text1"/>
                <w:w w:val="110"/>
                <w:sz w:val="18"/>
              </w:rPr>
              <w:t>(minor</w:t>
            </w:r>
            <w:r w:rsidRPr="00FD40B8">
              <w:rPr>
                <w:color w:val="131727" w:themeColor="text1"/>
                <w:spacing w:val="-3"/>
                <w:w w:val="110"/>
                <w:sz w:val="18"/>
              </w:rPr>
              <w:t xml:space="preserve"> </w:t>
            </w:r>
            <w:r w:rsidRPr="00FD40B8">
              <w:rPr>
                <w:color w:val="131727" w:themeColor="text1"/>
                <w:w w:val="110"/>
                <w:sz w:val="18"/>
              </w:rPr>
              <w:t>or</w:t>
            </w:r>
            <w:r w:rsidRPr="00FD40B8">
              <w:rPr>
                <w:color w:val="131727" w:themeColor="text1"/>
                <w:spacing w:val="-3"/>
                <w:w w:val="110"/>
                <w:sz w:val="18"/>
              </w:rPr>
              <w:t xml:space="preserve"> </w:t>
            </w:r>
            <w:r w:rsidRPr="00FD40B8">
              <w:rPr>
                <w:color w:val="131727" w:themeColor="text1"/>
                <w:w w:val="110"/>
                <w:sz w:val="18"/>
              </w:rPr>
              <w:t>no</w:t>
            </w:r>
            <w:r w:rsidRPr="00FD40B8">
              <w:rPr>
                <w:color w:val="131727" w:themeColor="text1"/>
                <w:spacing w:val="-8"/>
                <w:w w:val="110"/>
                <w:sz w:val="18"/>
              </w:rPr>
              <w:t xml:space="preserve"> </w:t>
            </w:r>
            <w:r w:rsidRPr="00FD40B8">
              <w:rPr>
                <w:color w:val="131727" w:themeColor="text1"/>
                <w:w w:val="110"/>
                <w:sz w:val="18"/>
              </w:rPr>
              <w:t>repairs,</w:t>
            </w:r>
            <w:r w:rsidRPr="00FD40B8">
              <w:rPr>
                <w:color w:val="131727" w:themeColor="text1"/>
                <w:spacing w:val="-8"/>
                <w:w w:val="110"/>
                <w:sz w:val="18"/>
              </w:rPr>
              <w:t xml:space="preserve"> </w:t>
            </w:r>
            <w:r w:rsidRPr="00FD40B8">
              <w:rPr>
                <w:color w:val="131727" w:themeColor="text1"/>
                <w:w w:val="110"/>
                <w:sz w:val="18"/>
              </w:rPr>
              <w:t>major</w:t>
            </w:r>
            <w:r w:rsidRPr="00FD40B8">
              <w:rPr>
                <w:color w:val="131727" w:themeColor="text1"/>
                <w:spacing w:val="-6"/>
                <w:w w:val="110"/>
                <w:sz w:val="18"/>
              </w:rPr>
              <w:t xml:space="preserve"> </w:t>
            </w:r>
            <w:r w:rsidRPr="00FD40B8">
              <w:rPr>
                <w:color w:val="131727" w:themeColor="text1"/>
                <w:w w:val="110"/>
                <w:sz w:val="18"/>
              </w:rPr>
              <w:t>repairs,</w:t>
            </w:r>
            <w:r w:rsidRPr="00FD40B8">
              <w:rPr>
                <w:color w:val="131727" w:themeColor="text1"/>
                <w:spacing w:val="-8"/>
                <w:w w:val="110"/>
                <w:sz w:val="18"/>
              </w:rPr>
              <w:t xml:space="preserve"> </w:t>
            </w:r>
            <w:r w:rsidRPr="00FD40B8">
              <w:rPr>
                <w:color w:val="131727" w:themeColor="text1"/>
                <w:spacing w:val="-2"/>
                <w:w w:val="110"/>
                <w:sz w:val="18"/>
              </w:rPr>
              <w:t>replacement)</w:t>
            </w:r>
          </w:p>
        </w:tc>
      </w:tr>
      <w:tr w:rsidR="00811887" w:rsidRPr="00FD40B8" w14:paraId="367E79CE" w14:textId="77777777" w:rsidTr="00486E22">
        <w:trPr>
          <w:trHeight w:val="302"/>
        </w:trPr>
        <w:tc>
          <w:tcPr>
            <w:tcW w:w="2834" w:type="dxa"/>
            <w:shd w:val="clear" w:color="auto" w:fill="D5DFDB"/>
          </w:tcPr>
          <w:p w14:paraId="2AAFFA98"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Average</w:t>
            </w:r>
            <w:r w:rsidRPr="00FD40B8">
              <w:rPr>
                <w:rFonts w:ascii="Garamond"/>
                <w:color w:val="131727" w:themeColor="text1"/>
                <w:spacing w:val="-4"/>
                <w:sz w:val="18"/>
              </w:rPr>
              <w:t xml:space="preserve"> </w:t>
            </w:r>
            <w:r w:rsidRPr="00FD40B8">
              <w:rPr>
                <w:rFonts w:ascii="Garamond"/>
                <w:color w:val="131727" w:themeColor="text1"/>
                <w:sz w:val="18"/>
              </w:rPr>
              <w:t>weekly</w:t>
            </w:r>
            <w:r w:rsidRPr="00FD40B8">
              <w:rPr>
                <w:rFonts w:ascii="Garamond"/>
                <w:color w:val="131727" w:themeColor="text1"/>
                <w:spacing w:val="-4"/>
                <w:sz w:val="18"/>
              </w:rPr>
              <w:t xml:space="preserve"> rent</w:t>
            </w:r>
          </w:p>
        </w:tc>
        <w:tc>
          <w:tcPr>
            <w:tcW w:w="6521" w:type="dxa"/>
          </w:tcPr>
          <w:p w14:paraId="3C2D7216" w14:textId="77777777" w:rsidR="00811887" w:rsidRPr="00FD40B8" w:rsidRDefault="00811887" w:rsidP="00486E22">
            <w:pPr>
              <w:pStyle w:val="TableParagraph"/>
              <w:spacing w:line="240" w:lineRule="auto"/>
              <w:rPr>
                <w:rFonts w:ascii="Times New Roman"/>
                <w:color w:val="131727" w:themeColor="text1"/>
                <w:sz w:val="20"/>
              </w:rPr>
            </w:pPr>
          </w:p>
        </w:tc>
      </w:tr>
      <w:tr w:rsidR="00811887" w:rsidRPr="00FD40B8" w14:paraId="05EF5727" w14:textId="77777777" w:rsidTr="00486E22">
        <w:trPr>
          <w:trHeight w:val="297"/>
        </w:trPr>
        <w:tc>
          <w:tcPr>
            <w:tcW w:w="2834" w:type="dxa"/>
            <w:shd w:val="clear" w:color="auto" w:fill="D5DFDB"/>
          </w:tcPr>
          <w:p w14:paraId="2D139613"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Income</w:t>
            </w:r>
            <w:r w:rsidRPr="00FD40B8">
              <w:rPr>
                <w:rFonts w:ascii="Garamond"/>
                <w:color w:val="131727" w:themeColor="text1"/>
                <w:spacing w:val="-1"/>
                <w:sz w:val="18"/>
              </w:rPr>
              <w:t xml:space="preserve"> </w:t>
            </w:r>
            <w:r w:rsidRPr="00FD40B8">
              <w:rPr>
                <w:rFonts w:ascii="Garamond"/>
                <w:color w:val="131727" w:themeColor="text1"/>
                <w:sz w:val="18"/>
              </w:rPr>
              <w:t>(amount,</w:t>
            </w:r>
            <w:r w:rsidRPr="00FD40B8">
              <w:rPr>
                <w:rFonts w:ascii="Garamond"/>
                <w:color w:val="131727" w:themeColor="text1"/>
                <w:spacing w:val="-7"/>
                <w:sz w:val="18"/>
              </w:rPr>
              <w:t xml:space="preserve"> </w:t>
            </w:r>
            <w:r w:rsidRPr="00FD40B8">
              <w:rPr>
                <w:rFonts w:ascii="Garamond"/>
                <w:color w:val="131727" w:themeColor="text1"/>
                <w:spacing w:val="-2"/>
                <w:sz w:val="18"/>
              </w:rPr>
              <w:t>source)</w:t>
            </w:r>
          </w:p>
        </w:tc>
        <w:tc>
          <w:tcPr>
            <w:tcW w:w="6521" w:type="dxa"/>
          </w:tcPr>
          <w:p w14:paraId="63712041" w14:textId="77777777" w:rsidR="00811887" w:rsidRPr="00FD40B8" w:rsidRDefault="00811887" w:rsidP="00486E22">
            <w:pPr>
              <w:pStyle w:val="TableParagraph"/>
              <w:spacing w:line="240" w:lineRule="auto"/>
              <w:rPr>
                <w:rFonts w:ascii="Times New Roman"/>
                <w:color w:val="131727" w:themeColor="text1"/>
                <w:sz w:val="20"/>
              </w:rPr>
            </w:pPr>
          </w:p>
        </w:tc>
      </w:tr>
      <w:tr w:rsidR="00811887" w:rsidRPr="00FD40B8" w14:paraId="6EE076A2" w14:textId="77777777" w:rsidTr="00486E22">
        <w:trPr>
          <w:trHeight w:val="301"/>
        </w:trPr>
        <w:tc>
          <w:tcPr>
            <w:tcW w:w="2834" w:type="dxa"/>
            <w:shd w:val="clear" w:color="auto" w:fill="D5DFDB"/>
          </w:tcPr>
          <w:p w14:paraId="49EF181B"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Expenditure</w:t>
            </w:r>
            <w:r w:rsidRPr="00FD40B8">
              <w:rPr>
                <w:rFonts w:ascii="Garamond"/>
                <w:color w:val="131727" w:themeColor="text1"/>
                <w:spacing w:val="-5"/>
                <w:sz w:val="18"/>
              </w:rPr>
              <w:t xml:space="preserve"> </w:t>
            </w:r>
            <w:r w:rsidRPr="00FD40B8">
              <w:rPr>
                <w:rFonts w:ascii="Garamond"/>
                <w:color w:val="131727" w:themeColor="text1"/>
                <w:sz w:val="18"/>
              </w:rPr>
              <w:t>(amount,</w:t>
            </w:r>
            <w:r w:rsidRPr="00FD40B8">
              <w:rPr>
                <w:rFonts w:ascii="Garamond"/>
                <w:color w:val="131727" w:themeColor="text1"/>
                <w:spacing w:val="-7"/>
                <w:sz w:val="18"/>
              </w:rPr>
              <w:t xml:space="preserve"> </w:t>
            </w:r>
            <w:r w:rsidRPr="00FD40B8">
              <w:rPr>
                <w:rFonts w:ascii="Garamond"/>
                <w:color w:val="131727" w:themeColor="text1"/>
                <w:spacing w:val="-2"/>
                <w:sz w:val="18"/>
              </w:rPr>
              <w:t>type)</w:t>
            </w:r>
          </w:p>
        </w:tc>
        <w:tc>
          <w:tcPr>
            <w:tcW w:w="6521" w:type="dxa"/>
          </w:tcPr>
          <w:p w14:paraId="747CB2B3" w14:textId="77777777" w:rsidR="00811887" w:rsidRPr="00FD40B8" w:rsidRDefault="00811887" w:rsidP="00486E22">
            <w:pPr>
              <w:pStyle w:val="TableParagraph"/>
              <w:spacing w:line="240" w:lineRule="auto"/>
              <w:rPr>
                <w:rFonts w:ascii="Times New Roman"/>
                <w:color w:val="131727" w:themeColor="text1"/>
                <w:sz w:val="20"/>
              </w:rPr>
            </w:pPr>
          </w:p>
        </w:tc>
      </w:tr>
      <w:tr w:rsidR="00811887" w:rsidRPr="00FD40B8" w14:paraId="2A147DAC" w14:textId="77777777" w:rsidTr="00486E22">
        <w:trPr>
          <w:trHeight w:val="297"/>
        </w:trPr>
        <w:tc>
          <w:tcPr>
            <w:tcW w:w="2834" w:type="dxa"/>
            <w:shd w:val="clear" w:color="auto" w:fill="D5DFDB"/>
          </w:tcPr>
          <w:p w14:paraId="34341D90"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Repairs</w:t>
            </w:r>
            <w:r w:rsidRPr="00FD40B8">
              <w:rPr>
                <w:rFonts w:ascii="Garamond"/>
                <w:color w:val="131727" w:themeColor="text1"/>
                <w:spacing w:val="-3"/>
                <w:sz w:val="18"/>
              </w:rPr>
              <w:t xml:space="preserve"> </w:t>
            </w:r>
            <w:r w:rsidRPr="00FD40B8">
              <w:rPr>
                <w:rFonts w:ascii="Garamond"/>
                <w:color w:val="131727" w:themeColor="text1"/>
                <w:sz w:val="18"/>
              </w:rPr>
              <w:t>and</w:t>
            </w:r>
            <w:r w:rsidRPr="00FD40B8">
              <w:rPr>
                <w:rFonts w:ascii="Garamond"/>
                <w:color w:val="131727" w:themeColor="text1"/>
                <w:spacing w:val="-6"/>
                <w:sz w:val="18"/>
              </w:rPr>
              <w:t xml:space="preserve"> </w:t>
            </w:r>
            <w:r w:rsidRPr="00FD40B8">
              <w:rPr>
                <w:rFonts w:ascii="Garamond"/>
                <w:color w:val="131727" w:themeColor="text1"/>
                <w:sz w:val="18"/>
              </w:rPr>
              <w:t>maintenance</w:t>
            </w:r>
            <w:r w:rsidRPr="00FD40B8">
              <w:rPr>
                <w:rFonts w:ascii="Garamond"/>
                <w:color w:val="131727" w:themeColor="text1"/>
                <w:spacing w:val="-7"/>
                <w:sz w:val="18"/>
              </w:rPr>
              <w:t xml:space="preserve"> </w:t>
            </w:r>
            <w:r w:rsidRPr="00FD40B8">
              <w:rPr>
                <w:rFonts w:ascii="Garamond"/>
                <w:color w:val="131727" w:themeColor="text1"/>
                <w:spacing w:val="-2"/>
                <w:sz w:val="18"/>
              </w:rPr>
              <w:t>expenditure</w:t>
            </w:r>
          </w:p>
        </w:tc>
        <w:tc>
          <w:tcPr>
            <w:tcW w:w="6521" w:type="dxa"/>
          </w:tcPr>
          <w:p w14:paraId="4E5EE8C4" w14:textId="77777777" w:rsidR="00811887" w:rsidRPr="00FD40B8" w:rsidRDefault="00811887" w:rsidP="00486E22">
            <w:pPr>
              <w:pStyle w:val="TableParagraph"/>
              <w:spacing w:line="240" w:lineRule="auto"/>
              <w:rPr>
                <w:rFonts w:ascii="Times New Roman"/>
                <w:color w:val="131727" w:themeColor="text1"/>
                <w:sz w:val="20"/>
              </w:rPr>
            </w:pPr>
          </w:p>
        </w:tc>
      </w:tr>
      <w:tr w:rsidR="00811887" w:rsidRPr="00FD40B8" w14:paraId="790B3FB0" w14:textId="77777777" w:rsidTr="00486E22">
        <w:trPr>
          <w:trHeight w:val="302"/>
        </w:trPr>
        <w:tc>
          <w:tcPr>
            <w:tcW w:w="2834" w:type="dxa"/>
            <w:shd w:val="clear" w:color="auto" w:fill="D5DFDB"/>
          </w:tcPr>
          <w:p w14:paraId="6F25FA7C" w14:textId="77777777" w:rsidR="00811887" w:rsidRPr="00FD40B8" w:rsidRDefault="00811887" w:rsidP="00486E22">
            <w:pPr>
              <w:pStyle w:val="TableParagraph"/>
              <w:spacing w:before="3" w:line="240" w:lineRule="auto"/>
              <w:ind w:left="110"/>
              <w:rPr>
                <w:rFonts w:ascii="Garamond"/>
                <w:color w:val="131727" w:themeColor="text1"/>
                <w:sz w:val="18"/>
              </w:rPr>
            </w:pPr>
            <w:r w:rsidRPr="00FD40B8">
              <w:rPr>
                <w:rFonts w:ascii="Garamond"/>
                <w:color w:val="131727" w:themeColor="text1"/>
                <w:sz w:val="18"/>
              </w:rPr>
              <w:t>Demographics</w:t>
            </w:r>
            <w:r w:rsidRPr="00FD40B8">
              <w:rPr>
                <w:rFonts w:ascii="Garamond"/>
                <w:color w:val="131727" w:themeColor="text1"/>
                <w:spacing w:val="-4"/>
                <w:sz w:val="18"/>
              </w:rPr>
              <w:t xml:space="preserve"> </w:t>
            </w:r>
            <w:r w:rsidRPr="00FD40B8">
              <w:rPr>
                <w:rFonts w:ascii="Garamond"/>
                <w:color w:val="131727" w:themeColor="text1"/>
                <w:sz w:val="18"/>
              </w:rPr>
              <w:t>(state,</w:t>
            </w:r>
            <w:r w:rsidRPr="00FD40B8">
              <w:rPr>
                <w:rFonts w:ascii="Garamond"/>
                <w:color w:val="131727" w:themeColor="text1"/>
                <w:spacing w:val="-9"/>
                <w:sz w:val="18"/>
              </w:rPr>
              <w:t xml:space="preserve"> </w:t>
            </w:r>
            <w:r w:rsidRPr="00FD40B8">
              <w:rPr>
                <w:rFonts w:ascii="Garamond"/>
                <w:color w:val="131727" w:themeColor="text1"/>
                <w:spacing w:val="-2"/>
                <w:sz w:val="18"/>
              </w:rPr>
              <w:t>remoteness)</w:t>
            </w:r>
          </w:p>
        </w:tc>
        <w:tc>
          <w:tcPr>
            <w:tcW w:w="6521" w:type="dxa"/>
          </w:tcPr>
          <w:p w14:paraId="1F07606F" w14:textId="77777777" w:rsidR="00811887" w:rsidRPr="00FD40B8" w:rsidRDefault="00811887" w:rsidP="00486E22">
            <w:pPr>
              <w:pStyle w:val="TableParagraph"/>
              <w:spacing w:before="25" w:line="240" w:lineRule="auto"/>
              <w:ind w:left="104"/>
              <w:rPr>
                <w:color w:val="131727" w:themeColor="text1"/>
                <w:sz w:val="18"/>
              </w:rPr>
            </w:pPr>
            <w:r w:rsidRPr="00FD40B8">
              <w:rPr>
                <w:color w:val="131727" w:themeColor="text1"/>
                <w:spacing w:val="-2"/>
                <w:w w:val="110"/>
                <w:sz w:val="18"/>
              </w:rPr>
              <w:t>Location</w:t>
            </w:r>
          </w:p>
        </w:tc>
      </w:tr>
      <w:tr w:rsidR="00811887" w:rsidRPr="00FD40B8" w14:paraId="1CC38B1D" w14:textId="77777777" w:rsidTr="00486E22">
        <w:trPr>
          <w:trHeight w:val="301"/>
        </w:trPr>
        <w:tc>
          <w:tcPr>
            <w:tcW w:w="2834" w:type="dxa"/>
            <w:vMerge w:val="restart"/>
            <w:shd w:val="clear" w:color="auto" w:fill="D5DFDB"/>
          </w:tcPr>
          <w:p w14:paraId="3F973A13"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pacing w:val="-2"/>
                <w:sz w:val="18"/>
              </w:rPr>
              <w:t>Population</w:t>
            </w:r>
          </w:p>
        </w:tc>
        <w:tc>
          <w:tcPr>
            <w:tcW w:w="6521" w:type="dxa"/>
          </w:tcPr>
          <w:p w14:paraId="279BBD8D"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4"/>
                <w:w w:val="110"/>
                <w:sz w:val="18"/>
              </w:rPr>
              <w:t>Size</w:t>
            </w:r>
          </w:p>
        </w:tc>
      </w:tr>
      <w:tr w:rsidR="00811887" w:rsidRPr="00FD40B8" w14:paraId="6D179C64" w14:textId="77777777" w:rsidTr="00486E22">
        <w:trPr>
          <w:trHeight w:val="297"/>
        </w:trPr>
        <w:tc>
          <w:tcPr>
            <w:tcW w:w="2834" w:type="dxa"/>
            <w:vMerge/>
            <w:tcBorders>
              <w:top w:val="nil"/>
            </w:tcBorders>
            <w:shd w:val="clear" w:color="auto" w:fill="D5DFDB"/>
          </w:tcPr>
          <w:p w14:paraId="14BC968E" w14:textId="77777777" w:rsidR="00811887" w:rsidRPr="00FD40B8" w:rsidRDefault="00811887" w:rsidP="00486E22">
            <w:pPr>
              <w:rPr>
                <w:color w:val="131727" w:themeColor="text1"/>
                <w:sz w:val="2"/>
                <w:szCs w:val="2"/>
              </w:rPr>
            </w:pPr>
          </w:p>
        </w:tc>
        <w:tc>
          <w:tcPr>
            <w:tcW w:w="6521" w:type="dxa"/>
          </w:tcPr>
          <w:p w14:paraId="21E86FD9"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Change</w:t>
            </w:r>
            <w:r w:rsidRPr="00FD40B8">
              <w:rPr>
                <w:color w:val="131727" w:themeColor="text1"/>
                <w:spacing w:val="4"/>
                <w:w w:val="110"/>
                <w:sz w:val="18"/>
              </w:rPr>
              <w:t xml:space="preserve"> </w:t>
            </w:r>
            <w:r w:rsidRPr="00FD40B8">
              <w:rPr>
                <w:color w:val="131727" w:themeColor="text1"/>
                <w:w w:val="110"/>
                <w:sz w:val="18"/>
              </w:rPr>
              <w:t>in</w:t>
            </w:r>
            <w:r w:rsidRPr="00FD40B8">
              <w:rPr>
                <w:color w:val="131727" w:themeColor="text1"/>
                <w:spacing w:val="2"/>
                <w:w w:val="110"/>
                <w:sz w:val="18"/>
              </w:rPr>
              <w:t xml:space="preserve"> </w:t>
            </w:r>
            <w:r w:rsidRPr="00FD40B8">
              <w:rPr>
                <w:color w:val="131727" w:themeColor="text1"/>
                <w:spacing w:val="-2"/>
                <w:w w:val="110"/>
                <w:sz w:val="18"/>
              </w:rPr>
              <w:t>population</w:t>
            </w:r>
          </w:p>
        </w:tc>
      </w:tr>
      <w:tr w:rsidR="00811887" w:rsidRPr="00FD40B8" w14:paraId="5292DA1D" w14:textId="77777777" w:rsidTr="00486E22">
        <w:trPr>
          <w:trHeight w:val="301"/>
        </w:trPr>
        <w:tc>
          <w:tcPr>
            <w:tcW w:w="2834" w:type="dxa"/>
            <w:vMerge/>
            <w:tcBorders>
              <w:top w:val="nil"/>
            </w:tcBorders>
            <w:shd w:val="clear" w:color="auto" w:fill="D5DFDB"/>
          </w:tcPr>
          <w:p w14:paraId="3DD789E3" w14:textId="77777777" w:rsidR="00811887" w:rsidRPr="00FD40B8" w:rsidRDefault="00811887" w:rsidP="00486E22">
            <w:pPr>
              <w:rPr>
                <w:color w:val="131727" w:themeColor="text1"/>
                <w:sz w:val="2"/>
                <w:szCs w:val="2"/>
              </w:rPr>
            </w:pPr>
          </w:p>
        </w:tc>
        <w:tc>
          <w:tcPr>
            <w:tcW w:w="6521" w:type="dxa"/>
          </w:tcPr>
          <w:p w14:paraId="10D19020"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Reasons</w:t>
            </w:r>
            <w:r w:rsidRPr="00FD40B8">
              <w:rPr>
                <w:color w:val="131727" w:themeColor="text1"/>
                <w:spacing w:val="2"/>
                <w:w w:val="110"/>
                <w:sz w:val="18"/>
              </w:rPr>
              <w:t xml:space="preserve"> </w:t>
            </w:r>
            <w:r w:rsidRPr="00FD40B8">
              <w:rPr>
                <w:color w:val="131727" w:themeColor="text1"/>
                <w:w w:val="110"/>
                <w:sz w:val="18"/>
              </w:rPr>
              <w:t>for</w:t>
            </w:r>
            <w:r w:rsidRPr="00FD40B8">
              <w:rPr>
                <w:color w:val="131727" w:themeColor="text1"/>
                <w:spacing w:val="7"/>
                <w:w w:val="110"/>
                <w:sz w:val="18"/>
              </w:rPr>
              <w:t xml:space="preserve"> </w:t>
            </w:r>
            <w:r w:rsidRPr="00FD40B8">
              <w:rPr>
                <w:color w:val="131727" w:themeColor="text1"/>
                <w:spacing w:val="-2"/>
                <w:w w:val="110"/>
                <w:sz w:val="18"/>
              </w:rPr>
              <w:t>change</w:t>
            </w:r>
          </w:p>
        </w:tc>
      </w:tr>
    </w:tbl>
    <w:p w14:paraId="66C6771B" w14:textId="77777777" w:rsidR="00811887" w:rsidRPr="00FD40B8" w:rsidRDefault="00811887" w:rsidP="00811887">
      <w:pPr>
        <w:rPr>
          <w:color w:val="131727" w:themeColor="text1"/>
          <w:sz w:val="18"/>
        </w:rPr>
        <w:sectPr w:rsidR="00811887" w:rsidRPr="00FD40B8" w:rsidSect="00811887">
          <w:pgSz w:w="11910" w:h="16840"/>
          <w:pgMar w:top="1260" w:right="1100" w:bottom="1488" w:left="1100" w:header="0" w:footer="805"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6521"/>
      </w:tblGrid>
      <w:tr w:rsidR="00811887" w:rsidRPr="00FD40B8" w14:paraId="4A1E842B" w14:textId="77777777" w:rsidTr="00486E22">
        <w:trPr>
          <w:trHeight w:val="302"/>
        </w:trPr>
        <w:tc>
          <w:tcPr>
            <w:tcW w:w="2834" w:type="dxa"/>
            <w:shd w:val="clear" w:color="auto" w:fill="91A9A2"/>
          </w:tcPr>
          <w:p w14:paraId="66D42837" w14:textId="77777777" w:rsidR="00811887" w:rsidRPr="00FD40B8" w:rsidRDefault="00811887" w:rsidP="00486E22">
            <w:pPr>
              <w:pStyle w:val="TableParagraph"/>
              <w:spacing w:line="240" w:lineRule="auto"/>
              <w:ind w:left="110"/>
              <w:rPr>
                <w:rFonts w:ascii="Garamond"/>
                <w:b/>
                <w:color w:val="131727" w:themeColor="text1"/>
                <w:sz w:val="20"/>
              </w:rPr>
            </w:pPr>
            <w:r w:rsidRPr="00FD40B8">
              <w:rPr>
                <w:rFonts w:ascii="Garamond"/>
                <w:b/>
                <w:color w:val="131727" w:themeColor="text1"/>
                <w:spacing w:val="-2"/>
                <w:sz w:val="20"/>
              </w:rPr>
              <w:lastRenderedPageBreak/>
              <w:t>Output</w:t>
            </w:r>
          </w:p>
        </w:tc>
        <w:tc>
          <w:tcPr>
            <w:tcW w:w="6521" w:type="dxa"/>
            <w:shd w:val="clear" w:color="auto" w:fill="91A9A2"/>
          </w:tcPr>
          <w:p w14:paraId="7417A4E9" w14:textId="77777777" w:rsidR="00811887" w:rsidRPr="00FD40B8" w:rsidRDefault="00811887" w:rsidP="00486E22">
            <w:pPr>
              <w:pStyle w:val="TableParagraph"/>
              <w:spacing w:line="240" w:lineRule="auto"/>
              <w:ind w:left="104"/>
              <w:rPr>
                <w:rFonts w:ascii="Garamond"/>
                <w:b/>
                <w:color w:val="131727" w:themeColor="text1"/>
                <w:sz w:val="20"/>
              </w:rPr>
            </w:pPr>
            <w:r w:rsidRPr="00FD40B8">
              <w:rPr>
                <w:rFonts w:ascii="Garamond"/>
                <w:b/>
                <w:color w:val="131727" w:themeColor="text1"/>
                <w:spacing w:val="-2"/>
                <w:sz w:val="20"/>
              </w:rPr>
              <w:t>Disaggregation</w:t>
            </w:r>
          </w:p>
        </w:tc>
      </w:tr>
      <w:tr w:rsidR="00811887" w:rsidRPr="00FD40B8" w14:paraId="1B715005" w14:textId="77777777" w:rsidTr="00486E22">
        <w:trPr>
          <w:trHeight w:val="302"/>
        </w:trPr>
        <w:tc>
          <w:tcPr>
            <w:tcW w:w="2834" w:type="dxa"/>
            <w:shd w:val="clear" w:color="auto" w:fill="D5DFDB"/>
          </w:tcPr>
          <w:p w14:paraId="0FC1337A" w14:textId="77777777" w:rsidR="00811887" w:rsidRPr="00FD40B8" w:rsidRDefault="00811887" w:rsidP="00486E22">
            <w:pPr>
              <w:pStyle w:val="TableParagraph"/>
              <w:spacing w:line="240" w:lineRule="auto"/>
              <w:rPr>
                <w:rFonts w:ascii="Times New Roman"/>
                <w:color w:val="131727" w:themeColor="text1"/>
                <w:sz w:val="18"/>
              </w:rPr>
            </w:pPr>
          </w:p>
        </w:tc>
        <w:tc>
          <w:tcPr>
            <w:tcW w:w="6521" w:type="dxa"/>
          </w:tcPr>
          <w:p w14:paraId="01E0783C"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By</w:t>
            </w:r>
            <w:r w:rsidRPr="00FD40B8">
              <w:rPr>
                <w:color w:val="131727" w:themeColor="text1"/>
                <w:spacing w:val="-1"/>
                <w:w w:val="110"/>
                <w:sz w:val="18"/>
              </w:rPr>
              <w:t xml:space="preserve"> </w:t>
            </w:r>
            <w:r w:rsidRPr="00FD40B8">
              <w:rPr>
                <w:color w:val="131727" w:themeColor="text1"/>
                <w:spacing w:val="-2"/>
                <w:w w:val="110"/>
                <w:sz w:val="18"/>
              </w:rPr>
              <w:t>remoteness</w:t>
            </w:r>
          </w:p>
        </w:tc>
      </w:tr>
      <w:tr w:rsidR="00811887" w:rsidRPr="00FD40B8" w14:paraId="399B0484" w14:textId="77777777" w:rsidTr="00486E22">
        <w:trPr>
          <w:trHeight w:val="297"/>
        </w:trPr>
        <w:tc>
          <w:tcPr>
            <w:tcW w:w="2834" w:type="dxa"/>
            <w:vMerge w:val="restart"/>
            <w:shd w:val="clear" w:color="auto" w:fill="D5DFDB"/>
          </w:tcPr>
          <w:p w14:paraId="65178876" w14:textId="77777777" w:rsidR="00811887" w:rsidRPr="00FD40B8" w:rsidRDefault="00811887" w:rsidP="00486E22">
            <w:pPr>
              <w:pStyle w:val="TableParagraph"/>
              <w:spacing w:before="36" w:line="240" w:lineRule="auto"/>
              <w:ind w:left="110"/>
              <w:rPr>
                <w:rFonts w:ascii="Garamond"/>
                <w:color w:val="131727" w:themeColor="text1"/>
                <w:sz w:val="18"/>
              </w:rPr>
            </w:pPr>
            <w:r w:rsidRPr="00FD40B8">
              <w:rPr>
                <w:rFonts w:ascii="Garamond"/>
                <w:color w:val="131727" w:themeColor="text1"/>
                <w:sz w:val="18"/>
              </w:rPr>
              <w:t>Community</w:t>
            </w:r>
            <w:r w:rsidRPr="00FD40B8">
              <w:rPr>
                <w:rFonts w:ascii="Garamond"/>
                <w:color w:val="131727" w:themeColor="text1"/>
                <w:spacing w:val="-7"/>
                <w:sz w:val="18"/>
              </w:rPr>
              <w:t xml:space="preserve"> </w:t>
            </w:r>
            <w:r w:rsidRPr="00FD40B8">
              <w:rPr>
                <w:rFonts w:ascii="Garamond"/>
                <w:color w:val="131727" w:themeColor="text1"/>
                <w:spacing w:val="-2"/>
                <w:sz w:val="18"/>
              </w:rPr>
              <w:t>Housing</w:t>
            </w:r>
          </w:p>
        </w:tc>
        <w:tc>
          <w:tcPr>
            <w:tcW w:w="6521" w:type="dxa"/>
          </w:tcPr>
          <w:p w14:paraId="52DB13FF"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Permanent</w:t>
            </w:r>
            <w:r w:rsidRPr="00FD40B8">
              <w:rPr>
                <w:color w:val="131727" w:themeColor="text1"/>
                <w:spacing w:val="-5"/>
                <w:w w:val="110"/>
                <w:sz w:val="18"/>
              </w:rPr>
              <w:t xml:space="preserve"> </w:t>
            </w:r>
            <w:r w:rsidRPr="00FD40B8">
              <w:rPr>
                <w:color w:val="131727" w:themeColor="text1"/>
                <w:spacing w:val="-2"/>
                <w:w w:val="110"/>
                <w:sz w:val="18"/>
              </w:rPr>
              <w:t>dwellings</w:t>
            </w:r>
          </w:p>
        </w:tc>
      </w:tr>
      <w:tr w:rsidR="00811887" w:rsidRPr="00FD40B8" w14:paraId="76F7E443" w14:textId="77777777" w:rsidTr="00486E22">
        <w:trPr>
          <w:trHeight w:val="302"/>
        </w:trPr>
        <w:tc>
          <w:tcPr>
            <w:tcW w:w="2834" w:type="dxa"/>
            <w:vMerge/>
            <w:tcBorders>
              <w:top w:val="nil"/>
            </w:tcBorders>
            <w:shd w:val="clear" w:color="auto" w:fill="D5DFDB"/>
          </w:tcPr>
          <w:p w14:paraId="0B08FE7E" w14:textId="77777777" w:rsidR="00811887" w:rsidRPr="00FD40B8" w:rsidRDefault="00811887" w:rsidP="00486E22">
            <w:pPr>
              <w:rPr>
                <w:color w:val="131727" w:themeColor="text1"/>
                <w:sz w:val="2"/>
                <w:szCs w:val="2"/>
              </w:rPr>
            </w:pPr>
          </w:p>
        </w:tc>
        <w:tc>
          <w:tcPr>
            <w:tcW w:w="6521" w:type="dxa"/>
          </w:tcPr>
          <w:p w14:paraId="7317E6A3"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w w:val="110"/>
                <w:sz w:val="18"/>
              </w:rPr>
              <w:t>Temporary</w:t>
            </w:r>
            <w:r w:rsidRPr="00FD40B8">
              <w:rPr>
                <w:color w:val="131727" w:themeColor="text1"/>
                <w:spacing w:val="-6"/>
                <w:w w:val="110"/>
                <w:sz w:val="18"/>
              </w:rPr>
              <w:t xml:space="preserve"> </w:t>
            </w:r>
            <w:r w:rsidRPr="00FD40B8">
              <w:rPr>
                <w:color w:val="131727" w:themeColor="text1"/>
                <w:spacing w:val="-2"/>
                <w:w w:val="110"/>
                <w:sz w:val="18"/>
              </w:rPr>
              <w:t>dwellings</w:t>
            </w:r>
          </w:p>
        </w:tc>
      </w:tr>
      <w:tr w:rsidR="00811887" w:rsidRPr="00FD40B8" w14:paraId="0414A1B1" w14:textId="77777777" w:rsidTr="00486E22">
        <w:trPr>
          <w:trHeight w:val="297"/>
        </w:trPr>
        <w:tc>
          <w:tcPr>
            <w:tcW w:w="2834" w:type="dxa"/>
            <w:vMerge/>
            <w:tcBorders>
              <w:top w:val="nil"/>
            </w:tcBorders>
            <w:shd w:val="clear" w:color="auto" w:fill="D5DFDB"/>
          </w:tcPr>
          <w:p w14:paraId="1EFCD1A8" w14:textId="77777777" w:rsidR="00811887" w:rsidRPr="00FD40B8" w:rsidRDefault="00811887" w:rsidP="00486E22">
            <w:pPr>
              <w:rPr>
                <w:color w:val="131727" w:themeColor="text1"/>
                <w:sz w:val="2"/>
                <w:szCs w:val="2"/>
              </w:rPr>
            </w:pPr>
          </w:p>
        </w:tc>
        <w:tc>
          <w:tcPr>
            <w:tcW w:w="6521" w:type="dxa"/>
          </w:tcPr>
          <w:p w14:paraId="6403E27C"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Condition</w:t>
            </w:r>
            <w:r w:rsidRPr="00FD40B8">
              <w:rPr>
                <w:color w:val="131727" w:themeColor="text1"/>
                <w:spacing w:val="-1"/>
                <w:w w:val="110"/>
                <w:sz w:val="18"/>
              </w:rPr>
              <w:t xml:space="preserve"> </w:t>
            </w:r>
            <w:r w:rsidRPr="00FD40B8">
              <w:rPr>
                <w:color w:val="131727" w:themeColor="text1"/>
                <w:w w:val="110"/>
                <w:sz w:val="18"/>
              </w:rPr>
              <w:t>–</w:t>
            </w:r>
            <w:r w:rsidRPr="00FD40B8">
              <w:rPr>
                <w:color w:val="131727" w:themeColor="text1"/>
                <w:spacing w:val="-3"/>
                <w:w w:val="110"/>
                <w:sz w:val="18"/>
              </w:rPr>
              <w:t xml:space="preserve"> </w:t>
            </w:r>
            <w:r w:rsidRPr="00FD40B8">
              <w:rPr>
                <w:color w:val="131727" w:themeColor="text1"/>
                <w:w w:val="110"/>
                <w:sz w:val="18"/>
              </w:rPr>
              <w:t>minor</w:t>
            </w:r>
            <w:r w:rsidRPr="00FD40B8">
              <w:rPr>
                <w:color w:val="131727" w:themeColor="text1"/>
                <w:spacing w:val="-2"/>
                <w:w w:val="110"/>
                <w:sz w:val="18"/>
              </w:rPr>
              <w:t xml:space="preserve"> </w:t>
            </w:r>
            <w:r w:rsidRPr="00FD40B8">
              <w:rPr>
                <w:color w:val="131727" w:themeColor="text1"/>
                <w:w w:val="110"/>
                <w:sz w:val="18"/>
              </w:rPr>
              <w:t>or</w:t>
            </w:r>
            <w:r w:rsidRPr="00FD40B8">
              <w:rPr>
                <w:color w:val="131727" w:themeColor="text1"/>
                <w:spacing w:val="2"/>
                <w:w w:val="110"/>
                <w:sz w:val="18"/>
              </w:rPr>
              <w:t xml:space="preserve"> </w:t>
            </w:r>
            <w:r w:rsidRPr="00FD40B8">
              <w:rPr>
                <w:color w:val="131727" w:themeColor="text1"/>
                <w:w w:val="110"/>
                <w:sz w:val="18"/>
              </w:rPr>
              <w:t>no</w:t>
            </w:r>
            <w:r w:rsidRPr="00FD40B8">
              <w:rPr>
                <w:color w:val="131727" w:themeColor="text1"/>
                <w:spacing w:val="-4"/>
                <w:w w:val="110"/>
                <w:sz w:val="18"/>
              </w:rPr>
              <w:t xml:space="preserve"> </w:t>
            </w:r>
            <w:r w:rsidRPr="00FD40B8">
              <w:rPr>
                <w:color w:val="131727" w:themeColor="text1"/>
                <w:w w:val="110"/>
                <w:sz w:val="18"/>
              </w:rPr>
              <w:t>repairs</w:t>
            </w:r>
            <w:r w:rsidRPr="00FD40B8">
              <w:rPr>
                <w:color w:val="131727" w:themeColor="text1"/>
                <w:spacing w:val="-2"/>
                <w:w w:val="110"/>
                <w:sz w:val="18"/>
              </w:rPr>
              <w:t xml:space="preserve"> needed</w:t>
            </w:r>
          </w:p>
        </w:tc>
      </w:tr>
      <w:tr w:rsidR="00811887" w:rsidRPr="00FD40B8" w14:paraId="3049F327" w14:textId="77777777" w:rsidTr="00486E22">
        <w:trPr>
          <w:trHeight w:val="302"/>
        </w:trPr>
        <w:tc>
          <w:tcPr>
            <w:tcW w:w="2834" w:type="dxa"/>
            <w:vMerge/>
            <w:tcBorders>
              <w:top w:val="nil"/>
            </w:tcBorders>
            <w:shd w:val="clear" w:color="auto" w:fill="D5DFDB"/>
          </w:tcPr>
          <w:p w14:paraId="268BB355" w14:textId="77777777" w:rsidR="00811887" w:rsidRPr="00FD40B8" w:rsidRDefault="00811887" w:rsidP="00486E22">
            <w:pPr>
              <w:rPr>
                <w:color w:val="131727" w:themeColor="text1"/>
                <w:sz w:val="2"/>
                <w:szCs w:val="2"/>
              </w:rPr>
            </w:pPr>
          </w:p>
        </w:tc>
        <w:tc>
          <w:tcPr>
            <w:tcW w:w="6521" w:type="dxa"/>
          </w:tcPr>
          <w:p w14:paraId="586B87E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Condition</w:t>
            </w:r>
            <w:r w:rsidRPr="00FD40B8">
              <w:rPr>
                <w:color w:val="131727" w:themeColor="text1"/>
                <w:spacing w:val="-3"/>
                <w:w w:val="110"/>
                <w:sz w:val="18"/>
              </w:rPr>
              <w:t xml:space="preserve"> </w:t>
            </w:r>
            <w:r w:rsidRPr="00FD40B8">
              <w:rPr>
                <w:color w:val="131727" w:themeColor="text1"/>
                <w:w w:val="110"/>
                <w:sz w:val="18"/>
              </w:rPr>
              <w:t>–</w:t>
            </w:r>
            <w:r w:rsidRPr="00FD40B8">
              <w:rPr>
                <w:color w:val="131727" w:themeColor="text1"/>
                <w:spacing w:val="-6"/>
                <w:w w:val="110"/>
                <w:sz w:val="18"/>
              </w:rPr>
              <w:t xml:space="preserve"> </w:t>
            </w:r>
            <w:r w:rsidRPr="00FD40B8">
              <w:rPr>
                <w:color w:val="131727" w:themeColor="text1"/>
                <w:w w:val="110"/>
                <w:sz w:val="18"/>
              </w:rPr>
              <w:t>major</w:t>
            </w:r>
            <w:r w:rsidRPr="00FD40B8">
              <w:rPr>
                <w:color w:val="131727" w:themeColor="text1"/>
                <w:spacing w:val="-5"/>
                <w:w w:val="110"/>
                <w:sz w:val="18"/>
              </w:rPr>
              <w:t xml:space="preserve"> </w:t>
            </w:r>
            <w:r w:rsidRPr="00FD40B8">
              <w:rPr>
                <w:color w:val="131727" w:themeColor="text1"/>
                <w:w w:val="110"/>
                <w:sz w:val="18"/>
              </w:rPr>
              <w:t xml:space="preserve">repairs </w:t>
            </w:r>
            <w:r w:rsidRPr="00FD40B8">
              <w:rPr>
                <w:color w:val="131727" w:themeColor="text1"/>
                <w:spacing w:val="-2"/>
                <w:w w:val="110"/>
                <w:sz w:val="18"/>
              </w:rPr>
              <w:t>needed</w:t>
            </w:r>
          </w:p>
        </w:tc>
      </w:tr>
      <w:tr w:rsidR="00811887" w:rsidRPr="00FD40B8" w14:paraId="66D04989" w14:textId="77777777" w:rsidTr="00486E22">
        <w:trPr>
          <w:trHeight w:val="297"/>
        </w:trPr>
        <w:tc>
          <w:tcPr>
            <w:tcW w:w="2834" w:type="dxa"/>
            <w:vMerge/>
            <w:tcBorders>
              <w:top w:val="nil"/>
            </w:tcBorders>
            <w:shd w:val="clear" w:color="auto" w:fill="D5DFDB"/>
          </w:tcPr>
          <w:p w14:paraId="2001DC29" w14:textId="77777777" w:rsidR="00811887" w:rsidRPr="00FD40B8" w:rsidRDefault="00811887" w:rsidP="00486E22">
            <w:pPr>
              <w:rPr>
                <w:color w:val="131727" w:themeColor="text1"/>
                <w:sz w:val="2"/>
                <w:szCs w:val="2"/>
              </w:rPr>
            </w:pPr>
          </w:p>
        </w:tc>
        <w:tc>
          <w:tcPr>
            <w:tcW w:w="6521" w:type="dxa"/>
          </w:tcPr>
          <w:p w14:paraId="0267E531"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Condition</w:t>
            </w:r>
            <w:r w:rsidRPr="00FD40B8">
              <w:rPr>
                <w:color w:val="131727" w:themeColor="text1"/>
                <w:spacing w:val="-7"/>
                <w:w w:val="110"/>
                <w:sz w:val="18"/>
              </w:rPr>
              <w:t xml:space="preserve"> </w:t>
            </w:r>
            <w:r w:rsidRPr="00FD40B8">
              <w:rPr>
                <w:color w:val="131727" w:themeColor="text1"/>
                <w:w w:val="110"/>
                <w:sz w:val="18"/>
              </w:rPr>
              <w:t>–</w:t>
            </w:r>
            <w:r w:rsidRPr="00FD40B8">
              <w:rPr>
                <w:color w:val="131727" w:themeColor="text1"/>
                <w:spacing w:val="-9"/>
                <w:w w:val="110"/>
                <w:sz w:val="18"/>
              </w:rPr>
              <w:t xml:space="preserve"> </w:t>
            </w:r>
            <w:r w:rsidRPr="00FD40B8">
              <w:rPr>
                <w:color w:val="131727" w:themeColor="text1"/>
                <w:w w:val="110"/>
                <w:sz w:val="18"/>
              </w:rPr>
              <w:t>replacement</w:t>
            </w:r>
            <w:r w:rsidRPr="00FD40B8">
              <w:rPr>
                <w:color w:val="131727" w:themeColor="text1"/>
                <w:spacing w:val="-5"/>
                <w:w w:val="110"/>
                <w:sz w:val="18"/>
              </w:rPr>
              <w:t xml:space="preserve"> </w:t>
            </w:r>
            <w:r w:rsidRPr="00FD40B8">
              <w:rPr>
                <w:color w:val="131727" w:themeColor="text1"/>
                <w:spacing w:val="-2"/>
                <w:w w:val="110"/>
                <w:sz w:val="18"/>
              </w:rPr>
              <w:t>needed</w:t>
            </w:r>
          </w:p>
        </w:tc>
      </w:tr>
      <w:tr w:rsidR="00811887" w:rsidRPr="00FD40B8" w14:paraId="5510CD2C" w14:textId="77777777" w:rsidTr="00486E22">
        <w:trPr>
          <w:trHeight w:val="302"/>
        </w:trPr>
        <w:tc>
          <w:tcPr>
            <w:tcW w:w="2834" w:type="dxa"/>
            <w:vMerge/>
            <w:tcBorders>
              <w:top w:val="nil"/>
            </w:tcBorders>
            <w:shd w:val="clear" w:color="auto" w:fill="D5DFDB"/>
          </w:tcPr>
          <w:p w14:paraId="5FA20A93" w14:textId="77777777" w:rsidR="00811887" w:rsidRPr="00FD40B8" w:rsidRDefault="00811887" w:rsidP="00486E22">
            <w:pPr>
              <w:rPr>
                <w:color w:val="131727" w:themeColor="text1"/>
                <w:sz w:val="2"/>
                <w:szCs w:val="2"/>
              </w:rPr>
            </w:pPr>
          </w:p>
        </w:tc>
        <w:tc>
          <w:tcPr>
            <w:tcW w:w="6521" w:type="dxa"/>
          </w:tcPr>
          <w:p w14:paraId="667C9945" w14:textId="77777777" w:rsidR="00811887" w:rsidRPr="00FD40B8" w:rsidRDefault="00811887" w:rsidP="00486E22">
            <w:pPr>
              <w:pStyle w:val="TableParagraph"/>
              <w:spacing w:before="25" w:line="240" w:lineRule="auto"/>
              <w:ind w:left="104"/>
              <w:rPr>
                <w:color w:val="131727" w:themeColor="text1"/>
                <w:sz w:val="18"/>
              </w:rPr>
            </w:pPr>
            <w:r w:rsidRPr="00FD40B8">
              <w:rPr>
                <w:color w:val="131727" w:themeColor="text1"/>
                <w:w w:val="110"/>
                <w:sz w:val="18"/>
              </w:rPr>
              <w:t>Number</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4"/>
                <w:w w:val="110"/>
                <w:sz w:val="18"/>
              </w:rPr>
              <w:t xml:space="preserve"> </w:t>
            </w:r>
            <w:r w:rsidRPr="00FD40B8">
              <w:rPr>
                <w:color w:val="131727" w:themeColor="text1"/>
                <w:w w:val="110"/>
                <w:sz w:val="18"/>
              </w:rPr>
              <w:t>people</w:t>
            </w:r>
            <w:r w:rsidRPr="00FD40B8">
              <w:rPr>
                <w:color w:val="131727" w:themeColor="text1"/>
                <w:spacing w:val="-6"/>
                <w:w w:val="110"/>
                <w:sz w:val="18"/>
              </w:rPr>
              <w:t xml:space="preserve"> </w:t>
            </w:r>
            <w:r w:rsidRPr="00FD40B8">
              <w:rPr>
                <w:color w:val="131727" w:themeColor="text1"/>
                <w:w w:val="110"/>
                <w:sz w:val="18"/>
              </w:rPr>
              <w:t>living</w:t>
            </w:r>
            <w:r w:rsidRPr="00FD40B8">
              <w:rPr>
                <w:color w:val="131727" w:themeColor="text1"/>
                <w:spacing w:val="-6"/>
                <w:w w:val="110"/>
                <w:sz w:val="18"/>
              </w:rPr>
              <w:t xml:space="preserve"> </w:t>
            </w:r>
            <w:r w:rsidRPr="00FD40B8">
              <w:rPr>
                <w:color w:val="131727" w:themeColor="text1"/>
                <w:w w:val="110"/>
                <w:sz w:val="18"/>
              </w:rPr>
              <w:t>in</w:t>
            </w:r>
            <w:r w:rsidRPr="00FD40B8">
              <w:rPr>
                <w:color w:val="131727" w:themeColor="text1"/>
                <w:spacing w:val="-7"/>
                <w:w w:val="110"/>
                <w:sz w:val="18"/>
              </w:rPr>
              <w:t xml:space="preserve"> </w:t>
            </w:r>
            <w:r w:rsidRPr="00FD40B8">
              <w:rPr>
                <w:color w:val="131727" w:themeColor="text1"/>
                <w:spacing w:val="-2"/>
                <w:w w:val="110"/>
                <w:sz w:val="18"/>
              </w:rPr>
              <w:t>dwellings</w:t>
            </w:r>
          </w:p>
        </w:tc>
      </w:tr>
      <w:tr w:rsidR="00811887" w:rsidRPr="00FD40B8" w14:paraId="5840BCCD" w14:textId="77777777" w:rsidTr="00486E22">
        <w:trPr>
          <w:trHeight w:val="302"/>
        </w:trPr>
        <w:tc>
          <w:tcPr>
            <w:tcW w:w="2834" w:type="dxa"/>
            <w:vMerge/>
            <w:tcBorders>
              <w:top w:val="nil"/>
            </w:tcBorders>
            <w:shd w:val="clear" w:color="auto" w:fill="D5DFDB"/>
          </w:tcPr>
          <w:p w14:paraId="009BFA6A" w14:textId="77777777" w:rsidR="00811887" w:rsidRPr="00FD40B8" w:rsidRDefault="00811887" w:rsidP="00486E22">
            <w:pPr>
              <w:rPr>
                <w:color w:val="131727" w:themeColor="text1"/>
                <w:sz w:val="2"/>
                <w:szCs w:val="2"/>
              </w:rPr>
            </w:pPr>
          </w:p>
        </w:tc>
        <w:tc>
          <w:tcPr>
            <w:tcW w:w="6521" w:type="dxa"/>
          </w:tcPr>
          <w:p w14:paraId="7AE2576C"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Proportion</w:t>
            </w:r>
            <w:r w:rsidRPr="00FD40B8">
              <w:rPr>
                <w:color w:val="131727" w:themeColor="text1"/>
                <w:spacing w:val="-4"/>
                <w:w w:val="110"/>
                <w:sz w:val="18"/>
              </w:rPr>
              <w:t xml:space="preserve"> </w:t>
            </w:r>
            <w:r w:rsidRPr="00FD40B8">
              <w:rPr>
                <w:color w:val="131727" w:themeColor="text1"/>
                <w:w w:val="110"/>
                <w:sz w:val="18"/>
              </w:rPr>
              <w:t>managed by</w:t>
            </w:r>
            <w:r w:rsidRPr="00FD40B8">
              <w:rPr>
                <w:color w:val="131727" w:themeColor="text1"/>
                <w:spacing w:val="-4"/>
                <w:w w:val="110"/>
                <w:sz w:val="18"/>
              </w:rPr>
              <w:t xml:space="preserve"> IHOs</w:t>
            </w:r>
          </w:p>
        </w:tc>
      </w:tr>
      <w:tr w:rsidR="00811887" w:rsidRPr="00FD40B8" w14:paraId="3449C7F0" w14:textId="77777777" w:rsidTr="00486E22">
        <w:trPr>
          <w:trHeight w:val="297"/>
        </w:trPr>
        <w:tc>
          <w:tcPr>
            <w:tcW w:w="2834" w:type="dxa"/>
            <w:vMerge w:val="restart"/>
            <w:shd w:val="clear" w:color="auto" w:fill="D5DFDB"/>
          </w:tcPr>
          <w:p w14:paraId="4697DF83" w14:textId="77777777" w:rsidR="00811887" w:rsidRPr="00FD40B8" w:rsidRDefault="00811887" w:rsidP="00486E22">
            <w:pPr>
              <w:pStyle w:val="TableParagraph"/>
              <w:spacing w:before="36" w:line="240" w:lineRule="auto"/>
              <w:ind w:left="110"/>
              <w:rPr>
                <w:rFonts w:ascii="Garamond"/>
                <w:color w:val="131727" w:themeColor="text1"/>
                <w:sz w:val="18"/>
              </w:rPr>
            </w:pPr>
            <w:r w:rsidRPr="00FD40B8">
              <w:rPr>
                <w:rFonts w:ascii="Garamond"/>
                <w:color w:val="131727" w:themeColor="text1"/>
                <w:spacing w:val="-2"/>
                <w:sz w:val="18"/>
              </w:rPr>
              <w:t>Education</w:t>
            </w:r>
          </w:p>
        </w:tc>
        <w:tc>
          <w:tcPr>
            <w:tcW w:w="6521" w:type="dxa"/>
          </w:tcPr>
          <w:p w14:paraId="4B6672A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Primary</w:t>
            </w:r>
            <w:r w:rsidRPr="00FD40B8">
              <w:rPr>
                <w:color w:val="131727" w:themeColor="text1"/>
                <w:spacing w:val="-6"/>
                <w:w w:val="110"/>
                <w:sz w:val="18"/>
              </w:rPr>
              <w:t xml:space="preserve"> </w:t>
            </w:r>
            <w:r w:rsidRPr="00FD40B8">
              <w:rPr>
                <w:color w:val="131727" w:themeColor="text1"/>
                <w:w w:val="110"/>
                <w:sz w:val="18"/>
              </w:rPr>
              <w:t>school</w:t>
            </w:r>
            <w:r w:rsidRPr="00FD40B8">
              <w:rPr>
                <w:color w:val="131727" w:themeColor="text1"/>
                <w:spacing w:val="2"/>
                <w:w w:val="110"/>
                <w:sz w:val="18"/>
              </w:rPr>
              <w:t xml:space="preserve"> </w:t>
            </w:r>
            <w:r w:rsidRPr="00FD40B8">
              <w:rPr>
                <w:color w:val="131727" w:themeColor="text1"/>
                <w:w w:val="110"/>
                <w:sz w:val="18"/>
              </w:rPr>
              <w:t>(access</w:t>
            </w:r>
            <w:r w:rsidRPr="00FD40B8">
              <w:rPr>
                <w:color w:val="131727" w:themeColor="text1"/>
                <w:spacing w:val="3"/>
                <w:w w:val="110"/>
                <w:sz w:val="18"/>
              </w:rPr>
              <w:t xml:space="preserve"> </w:t>
            </w:r>
            <w:r w:rsidRPr="00FD40B8">
              <w:rPr>
                <w:color w:val="131727" w:themeColor="text1"/>
                <w:w w:val="110"/>
                <w:sz w:val="18"/>
              </w:rPr>
              <w:t>and</w:t>
            </w:r>
            <w:r w:rsidRPr="00FD40B8">
              <w:rPr>
                <w:color w:val="131727" w:themeColor="text1"/>
                <w:spacing w:val="2"/>
                <w:w w:val="110"/>
                <w:sz w:val="18"/>
              </w:rPr>
              <w:t xml:space="preserve"> </w:t>
            </w:r>
            <w:r w:rsidRPr="00FD40B8">
              <w:rPr>
                <w:color w:val="131727" w:themeColor="text1"/>
                <w:spacing w:val="-2"/>
                <w:w w:val="110"/>
                <w:sz w:val="18"/>
              </w:rPr>
              <w:t>location)</w:t>
            </w:r>
          </w:p>
        </w:tc>
      </w:tr>
      <w:tr w:rsidR="00811887" w:rsidRPr="00FD40B8" w14:paraId="2FFBB392" w14:textId="77777777" w:rsidTr="00486E22">
        <w:trPr>
          <w:trHeight w:val="302"/>
        </w:trPr>
        <w:tc>
          <w:tcPr>
            <w:tcW w:w="2834" w:type="dxa"/>
            <w:vMerge/>
            <w:tcBorders>
              <w:top w:val="nil"/>
            </w:tcBorders>
            <w:shd w:val="clear" w:color="auto" w:fill="D5DFDB"/>
          </w:tcPr>
          <w:p w14:paraId="0D881669" w14:textId="77777777" w:rsidR="00811887" w:rsidRPr="00FD40B8" w:rsidRDefault="00811887" w:rsidP="00486E22">
            <w:pPr>
              <w:rPr>
                <w:color w:val="131727" w:themeColor="text1"/>
                <w:sz w:val="2"/>
                <w:szCs w:val="2"/>
              </w:rPr>
            </w:pPr>
          </w:p>
        </w:tc>
        <w:tc>
          <w:tcPr>
            <w:tcW w:w="6521" w:type="dxa"/>
          </w:tcPr>
          <w:p w14:paraId="38D073E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Secondary</w:t>
            </w:r>
            <w:r w:rsidRPr="00FD40B8">
              <w:rPr>
                <w:color w:val="131727" w:themeColor="text1"/>
                <w:spacing w:val="-6"/>
                <w:w w:val="110"/>
                <w:sz w:val="18"/>
              </w:rPr>
              <w:t xml:space="preserve"> </w:t>
            </w:r>
            <w:r w:rsidRPr="00FD40B8">
              <w:rPr>
                <w:color w:val="131727" w:themeColor="text1"/>
                <w:w w:val="110"/>
                <w:sz w:val="18"/>
              </w:rPr>
              <w:t>school</w:t>
            </w:r>
            <w:r w:rsidRPr="00FD40B8">
              <w:rPr>
                <w:color w:val="131727" w:themeColor="text1"/>
                <w:spacing w:val="2"/>
                <w:w w:val="110"/>
                <w:sz w:val="18"/>
              </w:rPr>
              <w:t xml:space="preserve"> </w:t>
            </w:r>
            <w:r w:rsidRPr="00FD40B8">
              <w:rPr>
                <w:color w:val="131727" w:themeColor="text1"/>
                <w:w w:val="110"/>
                <w:sz w:val="18"/>
              </w:rPr>
              <w:t>(y10</w:t>
            </w:r>
            <w:r w:rsidRPr="00FD40B8">
              <w:rPr>
                <w:color w:val="131727" w:themeColor="text1"/>
                <w:spacing w:val="2"/>
                <w:w w:val="110"/>
                <w:sz w:val="18"/>
              </w:rPr>
              <w:t xml:space="preserve"> </w:t>
            </w:r>
            <w:r w:rsidRPr="00FD40B8">
              <w:rPr>
                <w:color w:val="131727" w:themeColor="text1"/>
                <w:w w:val="110"/>
                <w:sz w:val="18"/>
              </w:rPr>
              <w:t>or</w:t>
            </w:r>
            <w:r w:rsidRPr="00FD40B8">
              <w:rPr>
                <w:color w:val="131727" w:themeColor="text1"/>
                <w:spacing w:val="-2"/>
                <w:w w:val="110"/>
                <w:sz w:val="18"/>
              </w:rPr>
              <w:t xml:space="preserve"> </w:t>
            </w:r>
            <w:r w:rsidRPr="00FD40B8">
              <w:rPr>
                <w:color w:val="131727" w:themeColor="text1"/>
                <w:w w:val="110"/>
                <w:sz w:val="18"/>
              </w:rPr>
              <w:t>y12, access</w:t>
            </w:r>
            <w:r w:rsidRPr="00FD40B8">
              <w:rPr>
                <w:color w:val="131727" w:themeColor="text1"/>
                <w:spacing w:val="2"/>
                <w:w w:val="110"/>
                <w:sz w:val="18"/>
              </w:rPr>
              <w:t xml:space="preserve"> </w:t>
            </w:r>
            <w:r w:rsidRPr="00FD40B8">
              <w:rPr>
                <w:color w:val="131727" w:themeColor="text1"/>
                <w:w w:val="110"/>
                <w:sz w:val="18"/>
              </w:rPr>
              <w:t>and</w:t>
            </w:r>
            <w:r w:rsidRPr="00FD40B8">
              <w:rPr>
                <w:color w:val="131727" w:themeColor="text1"/>
                <w:spacing w:val="-2"/>
                <w:w w:val="110"/>
                <w:sz w:val="18"/>
              </w:rPr>
              <w:t xml:space="preserve"> location)</w:t>
            </w:r>
          </w:p>
        </w:tc>
      </w:tr>
      <w:tr w:rsidR="00811887" w:rsidRPr="00FD40B8" w14:paraId="29722959" w14:textId="77777777" w:rsidTr="00486E22">
        <w:trPr>
          <w:trHeight w:val="489"/>
        </w:trPr>
        <w:tc>
          <w:tcPr>
            <w:tcW w:w="2834" w:type="dxa"/>
            <w:vMerge/>
            <w:tcBorders>
              <w:top w:val="nil"/>
            </w:tcBorders>
            <w:shd w:val="clear" w:color="auto" w:fill="D5DFDB"/>
          </w:tcPr>
          <w:p w14:paraId="6624C087" w14:textId="77777777" w:rsidR="00811887" w:rsidRPr="00FD40B8" w:rsidRDefault="00811887" w:rsidP="00486E22">
            <w:pPr>
              <w:rPr>
                <w:color w:val="131727" w:themeColor="text1"/>
                <w:sz w:val="2"/>
                <w:szCs w:val="2"/>
              </w:rPr>
            </w:pPr>
          </w:p>
        </w:tc>
        <w:tc>
          <w:tcPr>
            <w:tcW w:w="6521" w:type="dxa"/>
          </w:tcPr>
          <w:p w14:paraId="2AFAE8BD"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Other</w:t>
            </w:r>
            <w:r w:rsidRPr="00FD40B8">
              <w:rPr>
                <w:color w:val="131727" w:themeColor="text1"/>
                <w:spacing w:val="3"/>
                <w:w w:val="110"/>
                <w:sz w:val="18"/>
              </w:rPr>
              <w:t xml:space="preserve"> </w:t>
            </w:r>
            <w:r w:rsidRPr="00FD40B8">
              <w:rPr>
                <w:color w:val="131727" w:themeColor="text1"/>
                <w:spacing w:val="-2"/>
                <w:w w:val="110"/>
                <w:sz w:val="18"/>
              </w:rPr>
              <w:t>education</w:t>
            </w:r>
            <w:r w:rsidRPr="00FD40B8">
              <w:rPr>
                <w:color w:val="131727" w:themeColor="text1"/>
                <w:spacing w:val="2"/>
                <w:w w:val="110"/>
                <w:sz w:val="18"/>
              </w:rPr>
              <w:t xml:space="preserve"> </w:t>
            </w:r>
            <w:r w:rsidRPr="00FD40B8">
              <w:rPr>
                <w:color w:val="131727" w:themeColor="text1"/>
                <w:spacing w:val="-2"/>
                <w:w w:val="110"/>
                <w:sz w:val="18"/>
              </w:rPr>
              <w:t>facilities</w:t>
            </w:r>
            <w:r w:rsidRPr="00FD40B8">
              <w:rPr>
                <w:color w:val="131727" w:themeColor="text1"/>
                <w:spacing w:val="5"/>
                <w:w w:val="110"/>
                <w:sz w:val="18"/>
              </w:rPr>
              <w:t xml:space="preserve"> </w:t>
            </w:r>
            <w:r w:rsidRPr="00FD40B8">
              <w:rPr>
                <w:color w:val="131727" w:themeColor="text1"/>
                <w:spacing w:val="-2"/>
                <w:w w:val="110"/>
                <w:sz w:val="18"/>
              </w:rPr>
              <w:t>(pre-primary,</w:t>
            </w:r>
            <w:r w:rsidRPr="00FD40B8">
              <w:rPr>
                <w:color w:val="131727" w:themeColor="text1"/>
                <w:spacing w:val="3"/>
                <w:w w:val="110"/>
                <w:sz w:val="18"/>
              </w:rPr>
              <w:t xml:space="preserve"> </w:t>
            </w:r>
            <w:r w:rsidRPr="00FD40B8">
              <w:rPr>
                <w:color w:val="131727" w:themeColor="text1"/>
                <w:spacing w:val="-2"/>
                <w:w w:val="110"/>
                <w:sz w:val="18"/>
              </w:rPr>
              <w:t>homework</w:t>
            </w:r>
            <w:r w:rsidRPr="00FD40B8">
              <w:rPr>
                <w:color w:val="131727" w:themeColor="text1"/>
                <w:spacing w:val="2"/>
                <w:w w:val="110"/>
                <w:sz w:val="18"/>
              </w:rPr>
              <w:t xml:space="preserve"> </w:t>
            </w:r>
            <w:r w:rsidRPr="00FD40B8">
              <w:rPr>
                <w:color w:val="131727" w:themeColor="text1"/>
                <w:spacing w:val="-2"/>
                <w:w w:val="110"/>
                <w:sz w:val="18"/>
              </w:rPr>
              <w:t>centre,</w:t>
            </w:r>
            <w:r w:rsidRPr="00FD40B8">
              <w:rPr>
                <w:color w:val="131727" w:themeColor="text1"/>
                <w:spacing w:val="3"/>
                <w:w w:val="110"/>
                <w:sz w:val="18"/>
              </w:rPr>
              <w:t xml:space="preserve"> </w:t>
            </w:r>
            <w:r w:rsidRPr="00FD40B8">
              <w:rPr>
                <w:color w:val="131727" w:themeColor="text1"/>
                <w:spacing w:val="-2"/>
                <w:w w:val="110"/>
                <w:sz w:val="18"/>
              </w:rPr>
              <w:t>TAFE</w:t>
            </w:r>
            <w:r w:rsidRPr="00FD40B8">
              <w:rPr>
                <w:color w:val="131727" w:themeColor="text1"/>
                <w:spacing w:val="3"/>
                <w:w w:val="110"/>
                <w:sz w:val="18"/>
              </w:rPr>
              <w:t xml:space="preserve"> </w:t>
            </w:r>
            <w:r w:rsidRPr="00FD40B8">
              <w:rPr>
                <w:color w:val="131727" w:themeColor="text1"/>
                <w:spacing w:val="-2"/>
                <w:w w:val="110"/>
                <w:sz w:val="18"/>
              </w:rPr>
              <w:t>courses,</w:t>
            </w:r>
            <w:r w:rsidRPr="00FD40B8">
              <w:rPr>
                <w:color w:val="131727" w:themeColor="text1"/>
                <w:spacing w:val="3"/>
                <w:w w:val="110"/>
                <w:sz w:val="18"/>
              </w:rPr>
              <w:t xml:space="preserve"> </w:t>
            </w:r>
            <w:r w:rsidRPr="00FD40B8">
              <w:rPr>
                <w:color w:val="131727" w:themeColor="text1"/>
                <w:spacing w:val="-2"/>
                <w:w w:val="110"/>
                <w:sz w:val="18"/>
              </w:rPr>
              <w:t>Adult</w:t>
            </w:r>
          </w:p>
          <w:p w14:paraId="76BF7180" w14:textId="77777777" w:rsidR="00811887" w:rsidRPr="00FD40B8" w:rsidRDefault="00811887" w:rsidP="00486E22">
            <w:pPr>
              <w:pStyle w:val="TableParagraph"/>
              <w:spacing w:before="25" w:line="204" w:lineRule="exact"/>
              <w:ind w:left="104"/>
              <w:rPr>
                <w:color w:val="131727" w:themeColor="text1"/>
                <w:sz w:val="18"/>
              </w:rPr>
            </w:pPr>
            <w:r w:rsidRPr="00FD40B8">
              <w:rPr>
                <w:color w:val="131727" w:themeColor="text1"/>
                <w:w w:val="105"/>
                <w:sz w:val="18"/>
              </w:rPr>
              <w:t>education,</w:t>
            </w:r>
            <w:r w:rsidRPr="00FD40B8">
              <w:rPr>
                <w:color w:val="131727" w:themeColor="text1"/>
                <w:spacing w:val="29"/>
                <w:w w:val="105"/>
                <w:sz w:val="18"/>
              </w:rPr>
              <w:t xml:space="preserve"> </w:t>
            </w:r>
            <w:r w:rsidRPr="00FD40B8">
              <w:rPr>
                <w:color w:val="131727" w:themeColor="text1"/>
                <w:spacing w:val="-2"/>
                <w:w w:val="105"/>
                <w:sz w:val="18"/>
              </w:rPr>
              <w:t>other)</w:t>
            </w:r>
          </w:p>
        </w:tc>
      </w:tr>
      <w:tr w:rsidR="00811887" w:rsidRPr="00FD40B8" w14:paraId="3DED1838" w14:textId="77777777" w:rsidTr="00486E22">
        <w:trPr>
          <w:trHeight w:val="301"/>
        </w:trPr>
        <w:tc>
          <w:tcPr>
            <w:tcW w:w="2834" w:type="dxa"/>
            <w:vMerge w:val="restart"/>
            <w:shd w:val="clear" w:color="auto" w:fill="D5DFDB"/>
          </w:tcPr>
          <w:p w14:paraId="1BA8F9E6"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pacing w:val="-2"/>
                <w:sz w:val="18"/>
              </w:rPr>
              <w:t>Health</w:t>
            </w:r>
          </w:p>
        </w:tc>
        <w:tc>
          <w:tcPr>
            <w:tcW w:w="6521" w:type="dxa"/>
          </w:tcPr>
          <w:p w14:paraId="3C87B9BB"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Access</w:t>
            </w:r>
            <w:r w:rsidRPr="00FD40B8">
              <w:rPr>
                <w:color w:val="131727" w:themeColor="text1"/>
                <w:spacing w:val="3"/>
                <w:w w:val="110"/>
                <w:sz w:val="18"/>
              </w:rPr>
              <w:t xml:space="preserve"> </w:t>
            </w:r>
            <w:r w:rsidRPr="00FD40B8">
              <w:rPr>
                <w:color w:val="131727" w:themeColor="text1"/>
                <w:w w:val="110"/>
                <w:sz w:val="18"/>
              </w:rPr>
              <w:t>to</w:t>
            </w:r>
            <w:r w:rsidRPr="00FD40B8">
              <w:rPr>
                <w:color w:val="131727" w:themeColor="text1"/>
                <w:spacing w:val="6"/>
                <w:w w:val="110"/>
                <w:sz w:val="18"/>
              </w:rPr>
              <w:t xml:space="preserve"> </w:t>
            </w:r>
            <w:r w:rsidRPr="00FD40B8">
              <w:rPr>
                <w:color w:val="131727" w:themeColor="text1"/>
                <w:spacing w:val="-2"/>
                <w:w w:val="110"/>
                <w:sz w:val="18"/>
              </w:rPr>
              <w:t>Hospital/location</w:t>
            </w:r>
          </w:p>
        </w:tc>
      </w:tr>
      <w:tr w:rsidR="00811887" w:rsidRPr="00FD40B8" w14:paraId="42F1BCCB" w14:textId="77777777" w:rsidTr="00486E22">
        <w:trPr>
          <w:trHeight w:val="297"/>
        </w:trPr>
        <w:tc>
          <w:tcPr>
            <w:tcW w:w="2834" w:type="dxa"/>
            <w:vMerge/>
            <w:tcBorders>
              <w:top w:val="nil"/>
            </w:tcBorders>
            <w:shd w:val="clear" w:color="auto" w:fill="D5DFDB"/>
          </w:tcPr>
          <w:p w14:paraId="4BC6FBA7" w14:textId="77777777" w:rsidR="00811887" w:rsidRPr="00FD40B8" w:rsidRDefault="00811887" w:rsidP="00486E22">
            <w:pPr>
              <w:rPr>
                <w:color w:val="131727" w:themeColor="text1"/>
                <w:sz w:val="2"/>
                <w:szCs w:val="2"/>
              </w:rPr>
            </w:pPr>
          </w:p>
        </w:tc>
        <w:tc>
          <w:tcPr>
            <w:tcW w:w="6521" w:type="dxa"/>
          </w:tcPr>
          <w:p w14:paraId="2BB1114F"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w w:val="110"/>
                <w:sz w:val="18"/>
              </w:rPr>
              <w:t>Access</w:t>
            </w:r>
            <w:r w:rsidRPr="00FD40B8">
              <w:rPr>
                <w:color w:val="131727" w:themeColor="text1"/>
                <w:spacing w:val="-7"/>
                <w:w w:val="110"/>
                <w:sz w:val="18"/>
              </w:rPr>
              <w:t xml:space="preserve"> </w:t>
            </w:r>
            <w:r w:rsidRPr="00FD40B8">
              <w:rPr>
                <w:color w:val="131727" w:themeColor="text1"/>
                <w:w w:val="110"/>
                <w:sz w:val="18"/>
              </w:rPr>
              <w:t>to</w:t>
            </w:r>
            <w:r w:rsidRPr="00FD40B8">
              <w:rPr>
                <w:color w:val="131727" w:themeColor="text1"/>
                <w:spacing w:val="-9"/>
                <w:w w:val="110"/>
                <w:sz w:val="18"/>
              </w:rPr>
              <w:t xml:space="preserve"> </w:t>
            </w:r>
            <w:r w:rsidRPr="00FD40B8">
              <w:rPr>
                <w:color w:val="131727" w:themeColor="text1"/>
                <w:w w:val="110"/>
                <w:sz w:val="18"/>
              </w:rPr>
              <w:t>Aboriginal</w:t>
            </w:r>
            <w:r w:rsidRPr="00FD40B8">
              <w:rPr>
                <w:color w:val="131727" w:themeColor="text1"/>
                <w:spacing w:val="-5"/>
                <w:w w:val="110"/>
                <w:sz w:val="18"/>
              </w:rPr>
              <w:t xml:space="preserve"> </w:t>
            </w:r>
            <w:r w:rsidRPr="00FD40B8">
              <w:rPr>
                <w:color w:val="131727" w:themeColor="text1"/>
                <w:w w:val="110"/>
                <w:sz w:val="18"/>
              </w:rPr>
              <w:t>primary</w:t>
            </w:r>
            <w:r w:rsidRPr="00FD40B8">
              <w:rPr>
                <w:color w:val="131727" w:themeColor="text1"/>
                <w:spacing w:val="-6"/>
                <w:w w:val="110"/>
                <w:sz w:val="18"/>
              </w:rPr>
              <w:t xml:space="preserve"> </w:t>
            </w:r>
            <w:r w:rsidRPr="00FD40B8">
              <w:rPr>
                <w:color w:val="131727" w:themeColor="text1"/>
                <w:w w:val="110"/>
                <w:sz w:val="18"/>
              </w:rPr>
              <w:t>healthcare</w:t>
            </w:r>
            <w:r w:rsidRPr="00FD40B8">
              <w:rPr>
                <w:color w:val="131727" w:themeColor="text1"/>
                <w:spacing w:val="-3"/>
                <w:w w:val="110"/>
                <w:sz w:val="18"/>
              </w:rPr>
              <w:t xml:space="preserve"> </w:t>
            </w:r>
            <w:r w:rsidRPr="00FD40B8">
              <w:rPr>
                <w:color w:val="131727" w:themeColor="text1"/>
                <w:spacing w:val="-2"/>
                <w:w w:val="110"/>
                <w:sz w:val="18"/>
              </w:rPr>
              <w:t>centre/location</w:t>
            </w:r>
          </w:p>
        </w:tc>
      </w:tr>
      <w:tr w:rsidR="00811887" w:rsidRPr="00FD40B8" w14:paraId="097376B1" w14:textId="77777777" w:rsidTr="00486E22">
        <w:trPr>
          <w:trHeight w:val="302"/>
        </w:trPr>
        <w:tc>
          <w:tcPr>
            <w:tcW w:w="2834" w:type="dxa"/>
            <w:vMerge/>
            <w:tcBorders>
              <w:top w:val="nil"/>
            </w:tcBorders>
            <w:shd w:val="clear" w:color="auto" w:fill="D5DFDB"/>
          </w:tcPr>
          <w:p w14:paraId="4EE4A152" w14:textId="77777777" w:rsidR="00811887" w:rsidRPr="00FD40B8" w:rsidRDefault="00811887" w:rsidP="00486E22">
            <w:pPr>
              <w:rPr>
                <w:color w:val="131727" w:themeColor="text1"/>
                <w:sz w:val="2"/>
                <w:szCs w:val="2"/>
              </w:rPr>
            </w:pPr>
          </w:p>
        </w:tc>
        <w:tc>
          <w:tcPr>
            <w:tcW w:w="6521" w:type="dxa"/>
          </w:tcPr>
          <w:p w14:paraId="340D9E02"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Access</w:t>
            </w:r>
            <w:r w:rsidRPr="00FD40B8">
              <w:rPr>
                <w:color w:val="131727" w:themeColor="text1"/>
                <w:spacing w:val="-11"/>
                <w:w w:val="110"/>
                <w:sz w:val="18"/>
              </w:rPr>
              <w:t xml:space="preserve"> </w:t>
            </w:r>
            <w:r w:rsidRPr="00FD40B8">
              <w:rPr>
                <w:color w:val="131727" w:themeColor="text1"/>
                <w:w w:val="110"/>
                <w:sz w:val="18"/>
              </w:rPr>
              <w:t>to</w:t>
            </w:r>
            <w:r w:rsidRPr="00FD40B8">
              <w:rPr>
                <w:color w:val="131727" w:themeColor="text1"/>
                <w:spacing w:val="-10"/>
                <w:w w:val="110"/>
                <w:sz w:val="18"/>
              </w:rPr>
              <w:t xml:space="preserve"> </w:t>
            </w:r>
            <w:r w:rsidRPr="00FD40B8">
              <w:rPr>
                <w:color w:val="131727" w:themeColor="text1"/>
                <w:w w:val="110"/>
                <w:sz w:val="18"/>
              </w:rPr>
              <w:t>Community</w:t>
            </w:r>
            <w:r w:rsidRPr="00FD40B8">
              <w:rPr>
                <w:color w:val="131727" w:themeColor="text1"/>
                <w:spacing w:val="-8"/>
                <w:w w:val="110"/>
                <w:sz w:val="18"/>
              </w:rPr>
              <w:t xml:space="preserve"> </w:t>
            </w:r>
            <w:r w:rsidRPr="00FD40B8">
              <w:rPr>
                <w:color w:val="131727" w:themeColor="text1"/>
                <w:w w:val="110"/>
                <w:sz w:val="18"/>
              </w:rPr>
              <w:t>state/funded</w:t>
            </w:r>
            <w:r w:rsidRPr="00FD40B8">
              <w:rPr>
                <w:color w:val="131727" w:themeColor="text1"/>
                <w:spacing w:val="-4"/>
                <w:w w:val="110"/>
                <w:sz w:val="18"/>
              </w:rPr>
              <w:t xml:space="preserve"> </w:t>
            </w:r>
            <w:r w:rsidRPr="00FD40B8">
              <w:rPr>
                <w:color w:val="131727" w:themeColor="text1"/>
                <w:w w:val="110"/>
                <w:sz w:val="18"/>
              </w:rPr>
              <w:t>health</w:t>
            </w:r>
            <w:r w:rsidRPr="00FD40B8">
              <w:rPr>
                <w:color w:val="131727" w:themeColor="text1"/>
                <w:spacing w:val="-6"/>
                <w:w w:val="110"/>
                <w:sz w:val="18"/>
              </w:rPr>
              <w:t xml:space="preserve"> </w:t>
            </w:r>
            <w:r w:rsidRPr="00FD40B8">
              <w:rPr>
                <w:color w:val="131727" w:themeColor="text1"/>
                <w:spacing w:val="-2"/>
                <w:w w:val="110"/>
                <w:sz w:val="18"/>
              </w:rPr>
              <w:t>centre/location</w:t>
            </w:r>
          </w:p>
        </w:tc>
      </w:tr>
      <w:tr w:rsidR="00811887" w:rsidRPr="00FD40B8" w14:paraId="2FB7C73A" w14:textId="77777777" w:rsidTr="00486E22">
        <w:trPr>
          <w:trHeight w:val="297"/>
        </w:trPr>
        <w:tc>
          <w:tcPr>
            <w:tcW w:w="2834" w:type="dxa"/>
            <w:vMerge/>
            <w:tcBorders>
              <w:top w:val="nil"/>
            </w:tcBorders>
            <w:shd w:val="clear" w:color="auto" w:fill="D5DFDB"/>
          </w:tcPr>
          <w:p w14:paraId="2D9D0E1D" w14:textId="77777777" w:rsidR="00811887" w:rsidRPr="00FD40B8" w:rsidRDefault="00811887" w:rsidP="00486E22">
            <w:pPr>
              <w:rPr>
                <w:color w:val="131727" w:themeColor="text1"/>
                <w:sz w:val="2"/>
                <w:szCs w:val="2"/>
              </w:rPr>
            </w:pPr>
          </w:p>
        </w:tc>
        <w:tc>
          <w:tcPr>
            <w:tcW w:w="6521" w:type="dxa"/>
          </w:tcPr>
          <w:p w14:paraId="7D332FA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Access</w:t>
            </w:r>
            <w:r w:rsidRPr="00FD40B8">
              <w:rPr>
                <w:color w:val="131727" w:themeColor="text1"/>
                <w:spacing w:val="-7"/>
                <w:w w:val="110"/>
                <w:sz w:val="18"/>
              </w:rPr>
              <w:t xml:space="preserve"> </w:t>
            </w:r>
            <w:r w:rsidRPr="00FD40B8">
              <w:rPr>
                <w:color w:val="131727" w:themeColor="text1"/>
                <w:w w:val="110"/>
                <w:sz w:val="18"/>
              </w:rPr>
              <w:t>to</w:t>
            </w:r>
            <w:r w:rsidRPr="00FD40B8">
              <w:rPr>
                <w:color w:val="131727" w:themeColor="text1"/>
                <w:spacing w:val="-8"/>
                <w:w w:val="110"/>
                <w:sz w:val="18"/>
              </w:rPr>
              <w:t xml:space="preserve"> </w:t>
            </w:r>
            <w:r w:rsidRPr="00FD40B8">
              <w:rPr>
                <w:color w:val="131727" w:themeColor="text1"/>
                <w:w w:val="110"/>
                <w:sz w:val="18"/>
              </w:rPr>
              <w:t>Medical</w:t>
            </w:r>
            <w:r w:rsidRPr="00FD40B8">
              <w:rPr>
                <w:color w:val="131727" w:themeColor="text1"/>
                <w:spacing w:val="-6"/>
                <w:w w:val="110"/>
                <w:sz w:val="18"/>
              </w:rPr>
              <w:t xml:space="preserve"> </w:t>
            </w:r>
            <w:r w:rsidRPr="00FD40B8">
              <w:rPr>
                <w:color w:val="131727" w:themeColor="text1"/>
                <w:w w:val="110"/>
                <w:sz w:val="18"/>
              </w:rPr>
              <w:t>Emergency</w:t>
            </w:r>
            <w:r w:rsidRPr="00FD40B8">
              <w:rPr>
                <w:color w:val="131727" w:themeColor="text1"/>
                <w:spacing w:val="-6"/>
                <w:w w:val="110"/>
                <w:sz w:val="18"/>
              </w:rPr>
              <w:t xml:space="preserve"> </w:t>
            </w:r>
            <w:r w:rsidRPr="00FD40B8">
              <w:rPr>
                <w:color w:val="131727" w:themeColor="text1"/>
                <w:w w:val="110"/>
                <w:sz w:val="18"/>
              </w:rPr>
              <w:t>Air</w:t>
            </w:r>
            <w:r w:rsidRPr="00FD40B8">
              <w:rPr>
                <w:color w:val="131727" w:themeColor="text1"/>
                <w:spacing w:val="-6"/>
                <w:w w:val="110"/>
                <w:sz w:val="18"/>
              </w:rPr>
              <w:t xml:space="preserve"> </w:t>
            </w:r>
            <w:r w:rsidRPr="00FD40B8">
              <w:rPr>
                <w:color w:val="131727" w:themeColor="text1"/>
                <w:w w:val="110"/>
                <w:sz w:val="18"/>
              </w:rPr>
              <w:t>Services</w:t>
            </w:r>
            <w:r w:rsidRPr="00FD40B8">
              <w:rPr>
                <w:color w:val="131727" w:themeColor="text1"/>
                <w:spacing w:val="-7"/>
                <w:w w:val="110"/>
                <w:sz w:val="18"/>
              </w:rPr>
              <w:t xml:space="preserve"> </w:t>
            </w:r>
            <w:r w:rsidRPr="00FD40B8">
              <w:rPr>
                <w:color w:val="131727" w:themeColor="text1"/>
                <w:w w:val="110"/>
                <w:sz w:val="18"/>
              </w:rPr>
              <w:t>(distance</w:t>
            </w:r>
            <w:r w:rsidRPr="00FD40B8">
              <w:rPr>
                <w:color w:val="131727" w:themeColor="text1"/>
                <w:spacing w:val="-7"/>
                <w:w w:val="110"/>
                <w:sz w:val="18"/>
              </w:rPr>
              <w:t xml:space="preserve"> </w:t>
            </w:r>
            <w:r w:rsidRPr="00FD40B8">
              <w:rPr>
                <w:color w:val="131727" w:themeColor="text1"/>
                <w:w w:val="110"/>
                <w:sz w:val="18"/>
              </w:rPr>
              <w:t>to</w:t>
            </w:r>
            <w:r w:rsidRPr="00FD40B8">
              <w:rPr>
                <w:color w:val="131727" w:themeColor="text1"/>
                <w:spacing w:val="-5"/>
                <w:w w:val="110"/>
                <w:sz w:val="18"/>
              </w:rPr>
              <w:t xml:space="preserve"> </w:t>
            </w:r>
            <w:r w:rsidRPr="00FD40B8">
              <w:rPr>
                <w:color w:val="131727" w:themeColor="text1"/>
                <w:spacing w:val="-2"/>
                <w:w w:val="110"/>
                <w:sz w:val="18"/>
              </w:rPr>
              <w:t>hospital)</w:t>
            </w:r>
          </w:p>
        </w:tc>
      </w:tr>
      <w:tr w:rsidR="00811887" w:rsidRPr="00FD40B8" w14:paraId="2C6A36C1" w14:textId="77777777" w:rsidTr="00486E22">
        <w:trPr>
          <w:trHeight w:val="493"/>
        </w:trPr>
        <w:tc>
          <w:tcPr>
            <w:tcW w:w="2834" w:type="dxa"/>
            <w:vMerge/>
            <w:tcBorders>
              <w:top w:val="nil"/>
            </w:tcBorders>
            <w:shd w:val="clear" w:color="auto" w:fill="D5DFDB"/>
          </w:tcPr>
          <w:p w14:paraId="3862C055" w14:textId="77777777" w:rsidR="00811887" w:rsidRPr="00FD40B8" w:rsidRDefault="00811887" w:rsidP="00486E22">
            <w:pPr>
              <w:rPr>
                <w:color w:val="131727" w:themeColor="text1"/>
                <w:sz w:val="2"/>
                <w:szCs w:val="2"/>
              </w:rPr>
            </w:pPr>
          </w:p>
        </w:tc>
        <w:tc>
          <w:tcPr>
            <w:tcW w:w="6521" w:type="dxa"/>
          </w:tcPr>
          <w:p w14:paraId="3F794290"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Access</w:t>
            </w:r>
            <w:r w:rsidRPr="00FD40B8">
              <w:rPr>
                <w:color w:val="131727" w:themeColor="text1"/>
                <w:spacing w:val="-12"/>
                <w:w w:val="110"/>
                <w:sz w:val="18"/>
              </w:rPr>
              <w:t xml:space="preserve"> </w:t>
            </w:r>
            <w:r w:rsidRPr="00FD40B8">
              <w:rPr>
                <w:color w:val="131727" w:themeColor="text1"/>
                <w:w w:val="110"/>
                <w:sz w:val="18"/>
              </w:rPr>
              <w:t>to</w:t>
            </w:r>
            <w:r w:rsidRPr="00FD40B8">
              <w:rPr>
                <w:color w:val="131727" w:themeColor="text1"/>
                <w:spacing w:val="-11"/>
                <w:w w:val="110"/>
                <w:sz w:val="18"/>
              </w:rPr>
              <w:t xml:space="preserve"> </w:t>
            </w:r>
            <w:r w:rsidRPr="00FD40B8">
              <w:rPr>
                <w:color w:val="131727" w:themeColor="text1"/>
                <w:w w:val="110"/>
                <w:sz w:val="18"/>
              </w:rPr>
              <w:t>medical</w:t>
            </w:r>
            <w:r w:rsidRPr="00FD40B8">
              <w:rPr>
                <w:color w:val="131727" w:themeColor="text1"/>
                <w:spacing w:val="-10"/>
                <w:w w:val="110"/>
                <w:sz w:val="18"/>
              </w:rPr>
              <w:t xml:space="preserve"> </w:t>
            </w:r>
            <w:r w:rsidRPr="00FD40B8">
              <w:rPr>
                <w:color w:val="131727" w:themeColor="text1"/>
                <w:w w:val="110"/>
                <w:sz w:val="18"/>
              </w:rPr>
              <w:t>professionals</w:t>
            </w:r>
            <w:r w:rsidRPr="00FD40B8">
              <w:rPr>
                <w:color w:val="131727" w:themeColor="text1"/>
                <w:spacing w:val="-7"/>
                <w:w w:val="110"/>
                <w:sz w:val="18"/>
              </w:rPr>
              <w:t xml:space="preserve"> </w:t>
            </w:r>
            <w:r w:rsidRPr="00FD40B8">
              <w:rPr>
                <w:color w:val="131727" w:themeColor="text1"/>
                <w:w w:val="110"/>
                <w:sz w:val="18"/>
              </w:rPr>
              <w:t>and</w:t>
            </w:r>
            <w:r w:rsidRPr="00FD40B8">
              <w:rPr>
                <w:color w:val="131727" w:themeColor="text1"/>
                <w:spacing w:val="-6"/>
                <w:w w:val="110"/>
                <w:sz w:val="18"/>
              </w:rPr>
              <w:t xml:space="preserve"> </w:t>
            </w:r>
            <w:r w:rsidRPr="00FD40B8">
              <w:rPr>
                <w:color w:val="131727" w:themeColor="text1"/>
                <w:w w:val="110"/>
                <w:sz w:val="18"/>
              </w:rPr>
              <w:t>frequency</w:t>
            </w:r>
            <w:r w:rsidRPr="00FD40B8">
              <w:rPr>
                <w:color w:val="131727" w:themeColor="text1"/>
                <w:spacing w:val="-10"/>
                <w:w w:val="110"/>
                <w:sz w:val="18"/>
              </w:rPr>
              <w:t xml:space="preserve"> </w:t>
            </w:r>
            <w:r w:rsidRPr="00FD40B8">
              <w:rPr>
                <w:color w:val="131727" w:themeColor="text1"/>
                <w:w w:val="110"/>
                <w:sz w:val="18"/>
              </w:rPr>
              <w:t>(male/female</w:t>
            </w:r>
            <w:r w:rsidRPr="00FD40B8">
              <w:rPr>
                <w:color w:val="131727" w:themeColor="text1"/>
                <w:spacing w:val="-11"/>
                <w:w w:val="110"/>
                <w:sz w:val="18"/>
              </w:rPr>
              <w:t xml:space="preserve"> </w:t>
            </w:r>
            <w:r w:rsidRPr="00FD40B8">
              <w:rPr>
                <w:color w:val="131727" w:themeColor="text1"/>
                <w:w w:val="110"/>
                <w:sz w:val="18"/>
              </w:rPr>
              <w:t>Aboriginal</w:t>
            </w:r>
            <w:r w:rsidRPr="00FD40B8">
              <w:rPr>
                <w:color w:val="131727" w:themeColor="text1"/>
                <w:spacing w:val="-6"/>
                <w:w w:val="110"/>
                <w:sz w:val="18"/>
              </w:rPr>
              <w:t xml:space="preserve"> </w:t>
            </w:r>
            <w:r w:rsidRPr="00FD40B8">
              <w:rPr>
                <w:color w:val="131727" w:themeColor="text1"/>
                <w:spacing w:val="-2"/>
                <w:w w:val="110"/>
                <w:sz w:val="18"/>
              </w:rPr>
              <w:t>health</w:t>
            </w:r>
          </w:p>
          <w:p w14:paraId="29FB654E" w14:textId="77777777" w:rsidR="00811887" w:rsidRPr="00FD40B8" w:rsidRDefault="00811887" w:rsidP="00486E22">
            <w:pPr>
              <w:pStyle w:val="TableParagraph"/>
              <w:spacing w:before="30" w:line="204" w:lineRule="exact"/>
              <w:ind w:left="104"/>
              <w:rPr>
                <w:color w:val="131727" w:themeColor="text1"/>
                <w:sz w:val="18"/>
              </w:rPr>
            </w:pPr>
            <w:r w:rsidRPr="00FD40B8">
              <w:rPr>
                <w:color w:val="131727" w:themeColor="text1"/>
                <w:spacing w:val="-2"/>
                <w:w w:val="110"/>
                <w:sz w:val="18"/>
              </w:rPr>
              <w:t>worker,</w:t>
            </w:r>
            <w:r w:rsidRPr="00FD40B8">
              <w:rPr>
                <w:color w:val="131727" w:themeColor="text1"/>
                <w:spacing w:val="1"/>
                <w:w w:val="110"/>
                <w:sz w:val="18"/>
              </w:rPr>
              <w:t xml:space="preserve"> </w:t>
            </w:r>
            <w:r w:rsidRPr="00FD40B8">
              <w:rPr>
                <w:color w:val="131727" w:themeColor="text1"/>
                <w:spacing w:val="-2"/>
                <w:w w:val="110"/>
                <w:sz w:val="18"/>
              </w:rPr>
              <w:t>registered</w:t>
            </w:r>
            <w:r w:rsidRPr="00FD40B8">
              <w:rPr>
                <w:color w:val="131727" w:themeColor="text1"/>
                <w:spacing w:val="9"/>
                <w:w w:val="110"/>
                <w:sz w:val="18"/>
              </w:rPr>
              <w:t xml:space="preserve"> </w:t>
            </w:r>
            <w:r w:rsidRPr="00FD40B8">
              <w:rPr>
                <w:color w:val="131727" w:themeColor="text1"/>
                <w:spacing w:val="-2"/>
                <w:w w:val="110"/>
                <w:sz w:val="18"/>
              </w:rPr>
              <w:t>nurse,</w:t>
            </w:r>
            <w:r w:rsidRPr="00FD40B8">
              <w:rPr>
                <w:color w:val="131727" w:themeColor="text1"/>
                <w:spacing w:val="1"/>
                <w:w w:val="110"/>
                <w:sz w:val="18"/>
              </w:rPr>
              <w:t xml:space="preserve"> </w:t>
            </w:r>
            <w:r w:rsidRPr="00FD40B8">
              <w:rPr>
                <w:color w:val="131727" w:themeColor="text1"/>
                <w:spacing w:val="-2"/>
                <w:w w:val="110"/>
                <w:sz w:val="18"/>
              </w:rPr>
              <w:t>doctor)</w:t>
            </w:r>
          </w:p>
        </w:tc>
      </w:tr>
      <w:tr w:rsidR="00811887" w:rsidRPr="00FD40B8" w14:paraId="51FC0F84" w14:textId="77777777" w:rsidTr="00486E22">
        <w:trPr>
          <w:trHeight w:val="297"/>
        </w:trPr>
        <w:tc>
          <w:tcPr>
            <w:tcW w:w="2834" w:type="dxa"/>
            <w:shd w:val="clear" w:color="auto" w:fill="D5DFDB"/>
          </w:tcPr>
          <w:p w14:paraId="01C366A7"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Rubbish</w:t>
            </w:r>
            <w:r w:rsidRPr="00FD40B8">
              <w:rPr>
                <w:rFonts w:ascii="Garamond"/>
                <w:color w:val="131727" w:themeColor="text1"/>
                <w:spacing w:val="-5"/>
                <w:sz w:val="18"/>
              </w:rPr>
              <w:t xml:space="preserve"> </w:t>
            </w:r>
            <w:r w:rsidRPr="00FD40B8">
              <w:rPr>
                <w:rFonts w:ascii="Garamond"/>
                <w:color w:val="131727" w:themeColor="text1"/>
                <w:spacing w:val="-2"/>
                <w:sz w:val="18"/>
              </w:rPr>
              <w:t>collection</w:t>
            </w:r>
          </w:p>
        </w:tc>
        <w:tc>
          <w:tcPr>
            <w:tcW w:w="6521" w:type="dxa"/>
          </w:tcPr>
          <w:p w14:paraId="4045D4A8"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Community</w:t>
            </w:r>
            <w:r w:rsidRPr="00FD40B8">
              <w:rPr>
                <w:color w:val="131727" w:themeColor="text1"/>
                <w:spacing w:val="-1"/>
                <w:w w:val="110"/>
                <w:sz w:val="18"/>
              </w:rPr>
              <w:t xml:space="preserve"> </w:t>
            </w:r>
            <w:r w:rsidRPr="00FD40B8">
              <w:rPr>
                <w:color w:val="131727" w:themeColor="text1"/>
                <w:w w:val="110"/>
                <w:sz w:val="18"/>
              </w:rPr>
              <w:t>has</w:t>
            </w:r>
            <w:r w:rsidRPr="00FD40B8">
              <w:rPr>
                <w:color w:val="131727" w:themeColor="text1"/>
                <w:spacing w:val="3"/>
                <w:w w:val="110"/>
                <w:sz w:val="18"/>
              </w:rPr>
              <w:t xml:space="preserve"> </w:t>
            </w:r>
            <w:r w:rsidRPr="00FD40B8">
              <w:rPr>
                <w:color w:val="131727" w:themeColor="text1"/>
                <w:w w:val="110"/>
                <w:sz w:val="18"/>
              </w:rPr>
              <w:t>organised</w:t>
            </w:r>
            <w:r w:rsidRPr="00FD40B8">
              <w:rPr>
                <w:color w:val="131727" w:themeColor="text1"/>
                <w:spacing w:val="-1"/>
                <w:w w:val="110"/>
                <w:sz w:val="18"/>
              </w:rPr>
              <w:t xml:space="preserve"> </w:t>
            </w:r>
            <w:r w:rsidRPr="00FD40B8">
              <w:rPr>
                <w:color w:val="131727" w:themeColor="text1"/>
                <w:spacing w:val="-2"/>
                <w:w w:val="110"/>
                <w:sz w:val="18"/>
              </w:rPr>
              <w:t>collection</w:t>
            </w:r>
          </w:p>
        </w:tc>
      </w:tr>
      <w:tr w:rsidR="00811887" w:rsidRPr="00FD40B8" w14:paraId="4D5112F6" w14:textId="77777777" w:rsidTr="00486E22">
        <w:trPr>
          <w:trHeight w:val="302"/>
        </w:trPr>
        <w:tc>
          <w:tcPr>
            <w:tcW w:w="2834" w:type="dxa"/>
            <w:vMerge w:val="restart"/>
            <w:shd w:val="clear" w:color="auto" w:fill="D5DFDB"/>
          </w:tcPr>
          <w:p w14:paraId="4DEC2DAB" w14:textId="77777777" w:rsidR="00811887" w:rsidRPr="00FD40B8" w:rsidRDefault="00811887" w:rsidP="00486E22">
            <w:pPr>
              <w:pStyle w:val="TableParagraph"/>
              <w:spacing w:before="37" w:line="240" w:lineRule="auto"/>
              <w:ind w:left="110"/>
              <w:rPr>
                <w:rFonts w:ascii="Garamond"/>
                <w:color w:val="131727" w:themeColor="text1"/>
                <w:sz w:val="18"/>
              </w:rPr>
            </w:pPr>
            <w:r w:rsidRPr="00FD40B8">
              <w:rPr>
                <w:rFonts w:ascii="Garamond"/>
                <w:color w:val="131727" w:themeColor="text1"/>
                <w:spacing w:val="-2"/>
                <w:sz w:val="18"/>
              </w:rPr>
              <w:t>Telecommunications</w:t>
            </w:r>
          </w:p>
        </w:tc>
        <w:tc>
          <w:tcPr>
            <w:tcW w:w="6521" w:type="dxa"/>
          </w:tcPr>
          <w:p w14:paraId="78A0D67B"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w w:val="105"/>
                <w:sz w:val="18"/>
              </w:rPr>
              <w:t>Community</w:t>
            </w:r>
            <w:r w:rsidRPr="00FD40B8">
              <w:rPr>
                <w:color w:val="131727" w:themeColor="text1"/>
                <w:spacing w:val="34"/>
                <w:w w:val="105"/>
                <w:sz w:val="18"/>
              </w:rPr>
              <w:t xml:space="preserve"> </w:t>
            </w:r>
            <w:r w:rsidRPr="00FD40B8">
              <w:rPr>
                <w:color w:val="131727" w:themeColor="text1"/>
                <w:spacing w:val="-2"/>
                <w:w w:val="105"/>
                <w:sz w:val="18"/>
              </w:rPr>
              <w:t>Satellite</w:t>
            </w:r>
          </w:p>
        </w:tc>
      </w:tr>
      <w:tr w:rsidR="00811887" w:rsidRPr="00FD40B8" w14:paraId="600F77C4" w14:textId="77777777" w:rsidTr="00486E22">
        <w:trPr>
          <w:trHeight w:val="297"/>
        </w:trPr>
        <w:tc>
          <w:tcPr>
            <w:tcW w:w="2834" w:type="dxa"/>
            <w:vMerge/>
            <w:tcBorders>
              <w:top w:val="nil"/>
            </w:tcBorders>
            <w:shd w:val="clear" w:color="auto" w:fill="D5DFDB"/>
          </w:tcPr>
          <w:p w14:paraId="3A513EF6" w14:textId="77777777" w:rsidR="00811887" w:rsidRPr="00FD40B8" w:rsidRDefault="00811887" w:rsidP="00486E22">
            <w:pPr>
              <w:rPr>
                <w:color w:val="131727" w:themeColor="text1"/>
                <w:sz w:val="2"/>
                <w:szCs w:val="2"/>
              </w:rPr>
            </w:pPr>
          </w:p>
        </w:tc>
        <w:tc>
          <w:tcPr>
            <w:tcW w:w="6521" w:type="dxa"/>
          </w:tcPr>
          <w:p w14:paraId="59E923CE"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05"/>
                <w:sz w:val="18"/>
              </w:rPr>
              <w:t>Broadcasts</w:t>
            </w:r>
            <w:r w:rsidRPr="00FD40B8">
              <w:rPr>
                <w:color w:val="131727" w:themeColor="text1"/>
                <w:spacing w:val="33"/>
                <w:w w:val="105"/>
                <w:sz w:val="18"/>
              </w:rPr>
              <w:t xml:space="preserve"> </w:t>
            </w:r>
            <w:r w:rsidRPr="00FD40B8">
              <w:rPr>
                <w:color w:val="131727" w:themeColor="text1"/>
                <w:w w:val="105"/>
                <w:sz w:val="18"/>
              </w:rPr>
              <w:t>(radio,</w:t>
            </w:r>
            <w:r w:rsidRPr="00FD40B8">
              <w:rPr>
                <w:color w:val="131727" w:themeColor="text1"/>
                <w:spacing w:val="22"/>
                <w:w w:val="105"/>
                <w:sz w:val="18"/>
              </w:rPr>
              <w:t xml:space="preserve"> </w:t>
            </w:r>
            <w:r w:rsidRPr="00FD40B8">
              <w:rPr>
                <w:color w:val="131727" w:themeColor="text1"/>
                <w:spacing w:val="-5"/>
                <w:w w:val="105"/>
                <w:sz w:val="18"/>
              </w:rPr>
              <w:t>TV)</w:t>
            </w:r>
          </w:p>
        </w:tc>
      </w:tr>
      <w:tr w:rsidR="00811887" w:rsidRPr="00FD40B8" w14:paraId="518267E1" w14:textId="77777777" w:rsidTr="00486E22">
        <w:trPr>
          <w:trHeight w:val="302"/>
        </w:trPr>
        <w:tc>
          <w:tcPr>
            <w:tcW w:w="2834" w:type="dxa"/>
            <w:vMerge/>
            <w:tcBorders>
              <w:top w:val="nil"/>
            </w:tcBorders>
            <w:shd w:val="clear" w:color="auto" w:fill="D5DFDB"/>
          </w:tcPr>
          <w:p w14:paraId="4C72838D" w14:textId="77777777" w:rsidR="00811887" w:rsidRPr="00FD40B8" w:rsidRDefault="00811887" w:rsidP="00486E22">
            <w:pPr>
              <w:rPr>
                <w:color w:val="131727" w:themeColor="text1"/>
                <w:sz w:val="2"/>
                <w:szCs w:val="2"/>
              </w:rPr>
            </w:pPr>
          </w:p>
        </w:tc>
        <w:tc>
          <w:tcPr>
            <w:tcW w:w="6521" w:type="dxa"/>
          </w:tcPr>
          <w:p w14:paraId="602DA0E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Public</w:t>
            </w:r>
            <w:r w:rsidRPr="00FD40B8">
              <w:rPr>
                <w:color w:val="131727" w:themeColor="text1"/>
                <w:spacing w:val="-5"/>
                <w:w w:val="110"/>
                <w:sz w:val="18"/>
              </w:rPr>
              <w:t xml:space="preserve"> </w:t>
            </w:r>
            <w:r w:rsidRPr="00FD40B8">
              <w:rPr>
                <w:color w:val="131727" w:themeColor="text1"/>
                <w:w w:val="110"/>
                <w:sz w:val="18"/>
              </w:rPr>
              <w:t>telephone access (access,</w:t>
            </w:r>
            <w:r w:rsidRPr="00FD40B8">
              <w:rPr>
                <w:color w:val="131727" w:themeColor="text1"/>
                <w:spacing w:val="-1"/>
                <w:w w:val="110"/>
                <w:sz w:val="18"/>
              </w:rPr>
              <w:t xml:space="preserve"> </w:t>
            </w:r>
            <w:r w:rsidRPr="00FD40B8">
              <w:rPr>
                <w:color w:val="131727" w:themeColor="text1"/>
                <w:spacing w:val="-2"/>
                <w:w w:val="110"/>
                <w:sz w:val="18"/>
              </w:rPr>
              <w:t>number)</w:t>
            </w:r>
          </w:p>
        </w:tc>
      </w:tr>
      <w:tr w:rsidR="00811887" w:rsidRPr="00FD40B8" w14:paraId="65B390D2" w14:textId="77777777" w:rsidTr="00486E22">
        <w:trPr>
          <w:trHeight w:val="302"/>
        </w:trPr>
        <w:tc>
          <w:tcPr>
            <w:tcW w:w="2834" w:type="dxa"/>
            <w:vMerge/>
            <w:tcBorders>
              <w:top w:val="nil"/>
            </w:tcBorders>
            <w:shd w:val="clear" w:color="auto" w:fill="D5DFDB"/>
          </w:tcPr>
          <w:p w14:paraId="12D7F1CA" w14:textId="77777777" w:rsidR="00811887" w:rsidRPr="00FD40B8" w:rsidRDefault="00811887" w:rsidP="00486E22">
            <w:pPr>
              <w:rPr>
                <w:color w:val="131727" w:themeColor="text1"/>
                <w:sz w:val="2"/>
                <w:szCs w:val="2"/>
              </w:rPr>
            </w:pPr>
          </w:p>
        </w:tc>
        <w:tc>
          <w:tcPr>
            <w:tcW w:w="6521" w:type="dxa"/>
          </w:tcPr>
          <w:p w14:paraId="01639E11"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Public</w:t>
            </w:r>
            <w:r w:rsidRPr="00FD40B8">
              <w:rPr>
                <w:color w:val="131727" w:themeColor="text1"/>
                <w:spacing w:val="-8"/>
                <w:w w:val="110"/>
                <w:sz w:val="18"/>
              </w:rPr>
              <w:t xml:space="preserve"> </w:t>
            </w:r>
            <w:r w:rsidRPr="00FD40B8">
              <w:rPr>
                <w:color w:val="131727" w:themeColor="text1"/>
                <w:w w:val="110"/>
                <w:sz w:val="18"/>
              </w:rPr>
              <w:t>internet</w:t>
            </w:r>
            <w:r w:rsidRPr="00FD40B8">
              <w:rPr>
                <w:color w:val="131727" w:themeColor="text1"/>
                <w:spacing w:val="-3"/>
                <w:w w:val="110"/>
                <w:sz w:val="18"/>
              </w:rPr>
              <w:t xml:space="preserve"> </w:t>
            </w:r>
            <w:r w:rsidRPr="00FD40B8">
              <w:rPr>
                <w:color w:val="131727" w:themeColor="text1"/>
                <w:w w:val="110"/>
                <w:sz w:val="18"/>
              </w:rPr>
              <w:t>access</w:t>
            </w:r>
            <w:r w:rsidRPr="00FD40B8">
              <w:rPr>
                <w:color w:val="131727" w:themeColor="text1"/>
                <w:spacing w:val="-2"/>
                <w:w w:val="110"/>
                <w:sz w:val="18"/>
              </w:rPr>
              <w:t xml:space="preserve"> </w:t>
            </w:r>
            <w:r w:rsidRPr="00FD40B8">
              <w:rPr>
                <w:color w:val="131727" w:themeColor="text1"/>
                <w:w w:val="110"/>
                <w:sz w:val="18"/>
              </w:rPr>
              <w:t>(access,</w:t>
            </w:r>
            <w:r w:rsidRPr="00FD40B8">
              <w:rPr>
                <w:color w:val="131727" w:themeColor="text1"/>
                <w:spacing w:val="-4"/>
                <w:w w:val="110"/>
                <w:sz w:val="18"/>
              </w:rPr>
              <w:t xml:space="preserve"> </w:t>
            </w:r>
            <w:r w:rsidRPr="00FD40B8">
              <w:rPr>
                <w:color w:val="131727" w:themeColor="text1"/>
                <w:w w:val="110"/>
                <w:sz w:val="18"/>
              </w:rPr>
              <w:t>number,</w:t>
            </w:r>
            <w:r w:rsidRPr="00FD40B8">
              <w:rPr>
                <w:color w:val="131727" w:themeColor="text1"/>
                <w:spacing w:val="-9"/>
                <w:w w:val="110"/>
                <w:sz w:val="18"/>
              </w:rPr>
              <w:t xml:space="preserve"> </w:t>
            </w:r>
            <w:r w:rsidRPr="00FD40B8">
              <w:rPr>
                <w:color w:val="131727" w:themeColor="text1"/>
                <w:spacing w:val="-2"/>
                <w:w w:val="110"/>
                <w:sz w:val="18"/>
              </w:rPr>
              <w:t>location)</w:t>
            </w:r>
          </w:p>
        </w:tc>
      </w:tr>
      <w:tr w:rsidR="00811887" w:rsidRPr="00FD40B8" w14:paraId="7597A3B4" w14:textId="77777777" w:rsidTr="00486E22">
        <w:trPr>
          <w:trHeight w:val="297"/>
        </w:trPr>
        <w:tc>
          <w:tcPr>
            <w:tcW w:w="2834" w:type="dxa"/>
            <w:vMerge/>
            <w:tcBorders>
              <w:top w:val="nil"/>
            </w:tcBorders>
            <w:shd w:val="clear" w:color="auto" w:fill="D5DFDB"/>
          </w:tcPr>
          <w:p w14:paraId="34C7AD4B" w14:textId="77777777" w:rsidR="00811887" w:rsidRPr="00FD40B8" w:rsidRDefault="00811887" w:rsidP="00486E22">
            <w:pPr>
              <w:rPr>
                <w:color w:val="131727" w:themeColor="text1"/>
                <w:sz w:val="2"/>
                <w:szCs w:val="2"/>
              </w:rPr>
            </w:pPr>
          </w:p>
        </w:tc>
        <w:tc>
          <w:tcPr>
            <w:tcW w:w="6521" w:type="dxa"/>
          </w:tcPr>
          <w:p w14:paraId="6B4FF5D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Other</w:t>
            </w:r>
            <w:r w:rsidRPr="00FD40B8">
              <w:rPr>
                <w:color w:val="131727" w:themeColor="text1"/>
                <w:spacing w:val="1"/>
                <w:w w:val="115"/>
                <w:sz w:val="18"/>
              </w:rPr>
              <w:t xml:space="preserve"> </w:t>
            </w:r>
            <w:r w:rsidRPr="00FD40B8">
              <w:rPr>
                <w:color w:val="131727" w:themeColor="text1"/>
                <w:spacing w:val="-2"/>
                <w:w w:val="115"/>
                <w:sz w:val="18"/>
              </w:rPr>
              <w:t>access</w:t>
            </w:r>
          </w:p>
        </w:tc>
      </w:tr>
      <w:tr w:rsidR="00811887" w:rsidRPr="00FD40B8" w14:paraId="709A3BD5" w14:textId="77777777" w:rsidTr="00486E22">
        <w:trPr>
          <w:trHeight w:val="302"/>
        </w:trPr>
        <w:tc>
          <w:tcPr>
            <w:tcW w:w="2834" w:type="dxa"/>
            <w:vMerge/>
            <w:tcBorders>
              <w:top w:val="nil"/>
            </w:tcBorders>
            <w:shd w:val="clear" w:color="auto" w:fill="D5DFDB"/>
          </w:tcPr>
          <w:p w14:paraId="557025CD" w14:textId="77777777" w:rsidR="00811887" w:rsidRPr="00FD40B8" w:rsidRDefault="00811887" w:rsidP="00486E22">
            <w:pPr>
              <w:rPr>
                <w:color w:val="131727" w:themeColor="text1"/>
                <w:sz w:val="2"/>
                <w:szCs w:val="2"/>
              </w:rPr>
            </w:pPr>
          </w:p>
        </w:tc>
        <w:tc>
          <w:tcPr>
            <w:tcW w:w="6521" w:type="dxa"/>
          </w:tcPr>
          <w:p w14:paraId="4A671B97"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05"/>
                <w:sz w:val="18"/>
              </w:rPr>
              <w:t>Affordability</w:t>
            </w:r>
          </w:p>
        </w:tc>
      </w:tr>
      <w:tr w:rsidR="00811887" w:rsidRPr="00FD40B8" w14:paraId="4656A66F" w14:textId="77777777" w:rsidTr="00486E22">
        <w:trPr>
          <w:trHeight w:val="297"/>
        </w:trPr>
        <w:tc>
          <w:tcPr>
            <w:tcW w:w="2834" w:type="dxa"/>
            <w:vMerge/>
            <w:tcBorders>
              <w:top w:val="nil"/>
            </w:tcBorders>
            <w:shd w:val="clear" w:color="auto" w:fill="D5DFDB"/>
          </w:tcPr>
          <w:p w14:paraId="67F63B42" w14:textId="77777777" w:rsidR="00811887" w:rsidRPr="00FD40B8" w:rsidRDefault="00811887" w:rsidP="00486E22">
            <w:pPr>
              <w:rPr>
                <w:color w:val="131727" w:themeColor="text1"/>
                <w:sz w:val="2"/>
                <w:szCs w:val="2"/>
              </w:rPr>
            </w:pPr>
          </w:p>
        </w:tc>
        <w:tc>
          <w:tcPr>
            <w:tcW w:w="6521" w:type="dxa"/>
          </w:tcPr>
          <w:p w14:paraId="6C4C4DEE"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05"/>
                <w:sz w:val="18"/>
              </w:rPr>
              <w:t>Digital</w:t>
            </w:r>
            <w:r w:rsidRPr="00FD40B8">
              <w:rPr>
                <w:color w:val="131727" w:themeColor="text1"/>
                <w:spacing w:val="12"/>
                <w:w w:val="105"/>
                <w:sz w:val="18"/>
              </w:rPr>
              <w:t xml:space="preserve"> </w:t>
            </w:r>
            <w:r w:rsidRPr="00FD40B8">
              <w:rPr>
                <w:color w:val="131727" w:themeColor="text1"/>
                <w:spacing w:val="-2"/>
                <w:w w:val="105"/>
                <w:sz w:val="18"/>
              </w:rPr>
              <w:t>ability</w:t>
            </w:r>
          </w:p>
        </w:tc>
      </w:tr>
      <w:tr w:rsidR="00811887" w:rsidRPr="00FD40B8" w14:paraId="24B8900F" w14:textId="77777777" w:rsidTr="00486E22">
        <w:trPr>
          <w:trHeight w:val="1795"/>
        </w:trPr>
        <w:tc>
          <w:tcPr>
            <w:tcW w:w="2834" w:type="dxa"/>
            <w:vMerge w:val="restart"/>
            <w:shd w:val="clear" w:color="auto" w:fill="D5DFDB"/>
          </w:tcPr>
          <w:p w14:paraId="053BDDA6"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Water</w:t>
            </w:r>
            <w:r w:rsidRPr="00FD40B8">
              <w:rPr>
                <w:rFonts w:ascii="Garamond"/>
                <w:color w:val="131727" w:themeColor="text1"/>
                <w:spacing w:val="1"/>
                <w:sz w:val="18"/>
              </w:rPr>
              <w:t xml:space="preserve"> </w:t>
            </w:r>
            <w:r w:rsidRPr="00FD40B8">
              <w:rPr>
                <w:rFonts w:ascii="Garamond"/>
                <w:color w:val="131727" w:themeColor="text1"/>
                <w:spacing w:val="-2"/>
                <w:sz w:val="18"/>
              </w:rPr>
              <w:t>supply</w:t>
            </w:r>
          </w:p>
        </w:tc>
        <w:tc>
          <w:tcPr>
            <w:tcW w:w="6521" w:type="dxa"/>
          </w:tcPr>
          <w:p w14:paraId="64B2DD4E"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Type/source</w:t>
            </w:r>
          </w:p>
          <w:p w14:paraId="3CE0D56C" w14:textId="77777777" w:rsidR="00811887" w:rsidRPr="00FD40B8" w:rsidRDefault="00811887" w:rsidP="00811887">
            <w:pPr>
              <w:pStyle w:val="TableParagraph"/>
              <w:numPr>
                <w:ilvl w:val="0"/>
                <w:numId w:val="52"/>
              </w:numPr>
              <w:tabs>
                <w:tab w:val="left" w:pos="464"/>
              </w:tabs>
              <w:spacing w:before="25" w:line="240" w:lineRule="auto"/>
              <w:rPr>
                <w:color w:val="131727" w:themeColor="text1"/>
                <w:sz w:val="18"/>
              </w:rPr>
            </w:pPr>
            <w:r w:rsidRPr="00FD40B8">
              <w:rPr>
                <w:color w:val="131727" w:themeColor="text1"/>
                <w:w w:val="110"/>
                <w:sz w:val="18"/>
              </w:rPr>
              <w:t>Bore</w:t>
            </w:r>
            <w:r w:rsidRPr="00FD40B8">
              <w:rPr>
                <w:color w:val="131727" w:themeColor="text1"/>
                <w:spacing w:val="6"/>
                <w:w w:val="110"/>
                <w:sz w:val="18"/>
              </w:rPr>
              <w:t xml:space="preserve"> </w:t>
            </w:r>
            <w:r w:rsidRPr="00FD40B8">
              <w:rPr>
                <w:color w:val="131727" w:themeColor="text1"/>
                <w:spacing w:val="-4"/>
                <w:w w:val="110"/>
                <w:sz w:val="18"/>
              </w:rPr>
              <w:t>water</w:t>
            </w:r>
          </w:p>
          <w:p w14:paraId="18687324" w14:textId="77777777" w:rsidR="00811887" w:rsidRPr="00FD40B8" w:rsidRDefault="00811887" w:rsidP="00811887">
            <w:pPr>
              <w:pStyle w:val="TableParagraph"/>
              <w:numPr>
                <w:ilvl w:val="0"/>
                <w:numId w:val="52"/>
              </w:numPr>
              <w:tabs>
                <w:tab w:val="left" w:pos="464"/>
              </w:tabs>
              <w:spacing w:before="49" w:line="240" w:lineRule="auto"/>
              <w:rPr>
                <w:color w:val="131727" w:themeColor="text1"/>
                <w:sz w:val="18"/>
              </w:rPr>
            </w:pPr>
            <w:r w:rsidRPr="00FD40B8">
              <w:rPr>
                <w:color w:val="131727" w:themeColor="text1"/>
                <w:w w:val="105"/>
                <w:sz w:val="18"/>
              </w:rPr>
              <w:t>Rainwater</w:t>
            </w:r>
            <w:r w:rsidRPr="00FD40B8">
              <w:rPr>
                <w:color w:val="131727" w:themeColor="text1"/>
                <w:spacing w:val="17"/>
                <w:w w:val="105"/>
                <w:sz w:val="18"/>
              </w:rPr>
              <w:t xml:space="preserve"> </w:t>
            </w:r>
            <w:r w:rsidRPr="00FD40B8">
              <w:rPr>
                <w:color w:val="131727" w:themeColor="text1"/>
                <w:spacing w:val="-2"/>
                <w:w w:val="105"/>
                <w:sz w:val="18"/>
              </w:rPr>
              <w:t>tank(s)</w:t>
            </w:r>
          </w:p>
          <w:p w14:paraId="7A15FCEC" w14:textId="77777777" w:rsidR="00811887" w:rsidRPr="00FD40B8" w:rsidRDefault="00811887" w:rsidP="00811887">
            <w:pPr>
              <w:pStyle w:val="TableParagraph"/>
              <w:numPr>
                <w:ilvl w:val="0"/>
                <w:numId w:val="52"/>
              </w:numPr>
              <w:tabs>
                <w:tab w:val="left" w:pos="464"/>
              </w:tabs>
              <w:spacing w:before="45" w:line="240" w:lineRule="auto"/>
              <w:rPr>
                <w:color w:val="131727" w:themeColor="text1"/>
                <w:sz w:val="18"/>
              </w:rPr>
            </w:pPr>
            <w:r w:rsidRPr="00FD40B8">
              <w:rPr>
                <w:color w:val="131727" w:themeColor="text1"/>
                <w:spacing w:val="-2"/>
                <w:w w:val="110"/>
                <w:sz w:val="18"/>
              </w:rPr>
              <w:t>River/reservoir</w:t>
            </w:r>
          </w:p>
          <w:p w14:paraId="3894E990" w14:textId="77777777" w:rsidR="00811887" w:rsidRPr="00FD40B8" w:rsidRDefault="00811887" w:rsidP="00811887">
            <w:pPr>
              <w:pStyle w:val="TableParagraph"/>
              <w:numPr>
                <w:ilvl w:val="0"/>
                <w:numId w:val="52"/>
              </w:numPr>
              <w:tabs>
                <w:tab w:val="left" w:pos="464"/>
              </w:tabs>
              <w:spacing w:before="44" w:line="240" w:lineRule="auto"/>
              <w:rPr>
                <w:color w:val="131727" w:themeColor="text1"/>
                <w:sz w:val="18"/>
              </w:rPr>
            </w:pPr>
            <w:r w:rsidRPr="00FD40B8">
              <w:rPr>
                <w:color w:val="131727" w:themeColor="text1"/>
                <w:spacing w:val="-2"/>
                <w:w w:val="110"/>
                <w:sz w:val="18"/>
              </w:rPr>
              <w:t>Well</w:t>
            </w:r>
            <w:r w:rsidRPr="00FD40B8">
              <w:rPr>
                <w:color w:val="131727" w:themeColor="text1"/>
                <w:spacing w:val="-4"/>
                <w:w w:val="110"/>
                <w:sz w:val="18"/>
              </w:rPr>
              <w:t xml:space="preserve"> </w:t>
            </w:r>
            <w:r w:rsidRPr="00FD40B8">
              <w:rPr>
                <w:color w:val="131727" w:themeColor="text1"/>
                <w:spacing w:val="-2"/>
                <w:w w:val="110"/>
                <w:sz w:val="18"/>
              </w:rPr>
              <w:t>or</w:t>
            </w:r>
            <w:r w:rsidRPr="00FD40B8">
              <w:rPr>
                <w:color w:val="131727" w:themeColor="text1"/>
                <w:spacing w:val="-8"/>
                <w:w w:val="110"/>
                <w:sz w:val="18"/>
              </w:rPr>
              <w:t xml:space="preserve"> </w:t>
            </w:r>
            <w:r w:rsidRPr="00FD40B8">
              <w:rPr>
                <w:color w:val="131727" w:themeColor="text1"/>
                <w:spacing w:val="-2"/>
                <w:w w:val="110"/>
                <w:sz w:val="18"/>
              </w:rPr>
              <w:t>spring</w:t>
            </w:r>
          </w:p>
          <w:p w14:paraId="43D10EA8" w14:textId="77777777" w:rsidR="00811887" w:rsidRPr="00FD40B8" w:rsidRDefault="00811887" w:rsidP="00811887">
            <w:pPr>
              <w:pStyle w:val="TableParagraph"/>
              <w:numPr>
                <w:ilvl w:val="0"/>
                <w:numId w:val="52"/>
              </w:numPr>
              <w:tabs>
                <w:tab w:val="left" w:pos="464"/>
              </w:tabs>
              <w:spacing w:before="45" w:line="240" w:lineRule="auto"/>
              <w:rPr>
                <w:color w:val="131727" w:themeColor="text1"/>
                <w:sz w:val="18"/>
              </w:rPr>
            </w:pPr>
            <w:r w:rsidRPr="00FD40B8">
              <w:rPr>
                <w:color w:val="131727" w:themeColor="text1"/>
                <w:w w:val="110"/>
                <w:sz w:val="18"/>
              </w:rPr>
              <w:t>Carted</w:t>
            </w:r>
            <w:r w:rsidRPr="00FD40B8">
              <w:rPr>
                <w:color w:val="131727" w:themeColor="text1"/>
                <w:spacing w:val="6"/>
                <w:w w:val="110"/>
                <w:sz w:val="18"/>
              </w:rPr>
              <w:t xml:space="preserve"> </w:t>
            </w:r>
            <w:r w:rsidRPr="00FD40B8">
              <w:rPr>
                <w:color w:val="131727" w:themeColor="text1"/>
                <w:spacing w:val="-4"/>
                <w:w w:val="110"/>
                <w:sz w:val="18"/>
              </w:rPr>
              <w:t>water</w:t>
            </w:r>
          </w:p>
          <w:p w14:paraId="462C1899" w14:textId="77777777" w:rsidR="00811887" w:rsidRPr="00FD40B8" w:rsidRDefault="00811887" w:rsidP="00811887">
            <w:pPr>
              <w:pStyle w:val="TableParagraph"/>
              <w:numPr>
                <w:ilvl w:val="0"/>
                <w:numId w:val="52"/>
              </w:numPr>
              <w:tabs>
                <w:tab w:val="left" w:pos="464"/>
              </w:tabs>
              <w:spacing w:before="25" w:line="204" w:lineRule="exact"/>
              <w:rPr>
                <w:color w:val="131727" w:themeColor="text1"/>
                <w:sz w:val="18"/>
              </w:rPr>
            </w:pPr>
            <w:r w:rsidRPr="00FD40B8">
              <w:rPr>
                <w:color w:val="131727" w:themeColor="text1"/>
                <w:w w:val="110"/>
                <w:sz w:val="18"/>
              </w:rPr>
              <w:t>Other</w:t>
            </w:r>
            <w:r w:rsidRPr="00FD40B8">
              <w:rPr>
                <w:color w:val="131727" w:themeColor="text1"/>
                <w:spacing w:val="-4"/>
                <w:w w:val="110"/>
                <w:sz w:val="18"/>
              </w:rPr>
              <w:t xml:space="preserve"> </w:t>
            </w:r>
            <w:r w:rsidRPr="00FD40B8">
              <w:rPr>
                <w:color w:val="131727" w:themeColor="text1"/>
                <w:w w:val="110"/>
                <w:sz w:val="18"/>
              </w:rPr>
              <w:t>organised</w:t>
            </w:r>
            <w:r w:rsidRPr="00FD40B8">
              <w:rPr>
                <w:color w:val="131727" w:themeColor="text1"/>
                <w:spacing w:val="-2"/>
                <w:w w:val="110"/>
                <w:sz w:val="18"/>
              </w:rPr>
              <w:t xml:space="preserve"> </w:t>
            </w:r>
            <w:r w:rsidRPr="00FD40B8">
              <w:rPr>
                <w:color w:val="131727" w:themeColor="text1"/>
                <w:w w:val="110"/>
                <w:sz w:val="18"/>
              </w:rPr>
              <w:t>water</w:t>
            </w:r>
            <w:r w:rsidRPr="00FD40B8">
              <w:rPr>
                <w:color w:val="131727" w:themeColor="text1"/>
                <w:spacing w:val="-6"/>
                <w:w w:val="110"/>
                <w:sz w:val="18"/>
              </w:rPr>
              <w:t xml:space="preserve"> </w:t>
            </w:r>
            <w:r w:rsidRPr="00FD40B8">
              <w:rPr>
                <w:color w:val="131727" w:themeColor="text1"/>
                <w:spacing w:val="-2"/>
                <w:w w:val="110"/>
                <w:sz w:val="18"/>
              </w:rPr>
              <w:t>supply</w:t>
            </w:r>
          </w:p>
        </w:tc>
      </w:tr>
      <w:tr w:rsidR="00811887" w:rsidRPr="00FD40B8" w14:paraId="29D34138" w14:textId="77777777" w:rsidTr="00486E22">
        <w:trPr>
          <w:trHeight w:val="733"/>
        </w:trPr>
        <w:tc>
          <w:tcPr>
            <w:tcW w:w="2834" w:type="dxa"/>
            <w:vMerge/>
            <w:tcBorders>
              <w:top w:val="nil"/>
            </w:tcBorders>
            <w:shd w:val="clear" w:color="auto" w:fill="D5DFDB"/>
          </w:tcPr>
          <w:p w14:paraId="577B4732" w14:textId="77777777" w:rsidR="00811887" w:rsidRPr="00FD40B8" w:rsidRDefault="00811887" w:rsidP="00486E22">
            <w:pPr>
              <w:rPr>
                <w:color w:val="131727" w:themeColor="text1"/>
                <w:sz w:val="2"/>
                <w:szCs w:val="2"/>
              </w:rPr>
            </w:pPr>
          </w:p>
        </w:tc>
        <w:tc>
          <w:tcPr>
            <w:tcW w:w="6521" w:type="dxa"/>
          </w:tcPr>
          <w:p w14:paraId="2F672866"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Water</w:t>
            </w:r>
            <w:r w:rsidRPr="00FD40B8">
              <w:rPr>
                <w:color w:val="131727" w:themeColor="text1"/>
                <w:spacing w:val="-12"/>
                <w:w w:val="110"/>
                <w:sz w:val="18"/>
              </w:rPr>
              <w:t xml:space="preserve"> </w:t>
            </w:r>
            <w:r w:rsidRPr="00FD40B8">
              <w:rPr>
                <w:color w:val="131727" w:themeColor="text1"/>
                <w:w w:val="110"/>
                <w:sz w:val="18"/>
              </w:rPr>
              <w:t>sent</w:t>
            </w:r>
            <w:r w:rsidRPr="00FD40B8">
              <w:rPr>
                <w:color w:val="131727" w:themeColor="text1"/>
                <w:spacing w:val="-9"/>
                <w:w w:val="110"/>
                <w:sz w:val="18"/>
              </w:rPr>
              <w:t xml:space="preserve"> </w:t>
            </w:r>
            <w:r w:rsidRPr="00FD40B8">
              <w:rPr>
                <w:color w:val="131727" w:themeColor="text1"/>
                <w:w w:val="110"/>
                <w:sz w:val="18"/>
              </w:rPr>
              <w:t>away</w:t>
            </w:r>
            <w:r w:rsidRPr="00FD40B8">
              <w:rPr>
                <w:color w:val="131727" w:themeColor="text1"/>
                <w:spacing w:val="-11"/>
                <w:w w:val="110"/>
                <w:sz w:val="18"/>
              </w:rPr>
              <w:t xml:space="preserve"> </w:t>
            </w:r>
            <w:r w:rsidRPr="00FD40B8">
              <w:rPr>
                <w:color w:val="131727" w:themeColor="text1"/>
                <w:w w:val="110"/>
                <w:sz w:val="18"/>
              </w:rPr>
              <w:t>for</w:t>
            </w:r>
            <w:r w:rsidRPr="00FD40B8">
              <w:rPr>
                <w:color w:val="131727" w:themeColor="text1"/>
                <w:spacing w:val="-12"/>
                <w:w w:val="110"/>
                <w:sz w:val="18"/>
              </w:rPr>
              <w:t xml:space="preserve"> </w:t>
            </w:r>
            <w:r w:rsidRPr="00FD40B8">
              <w:rPr>
                <w:color w:val="131727" w:themeColor="text1"/>
                <w:spacing w:val="-2"/>
                <w:w w:val="110"/>
                <w:sz w:val="18"/>
              </w:rPr>
              <w:t>testing</w:t>
            </w:r>
          </w:p>
          <w:p w14:paraId="2385A5BA" w14:textId="77777777" w:rsidR="00811887" w:rsidRPr="00FD40B8" w:rsidRDefault="00811887" w:rsidP="00811887">
            <w:pPr>
              <w:pStyle w:val="TableParagraph"/>
              <w:numPr>
                <w:ilvl w:val="0"/>
                <w:numId w:val="51"/>
              </w:numPr>
              <w:tabs>
                <w:tab w:val="left" w:pos="464"/>
              </w:tabs>
              <w:spacing w:before="25" w:line="240" w:lineRule="auto"/>
              <w:rPr>
                <w:color w:val="131727" w:themeColor="text1"/>
                <w:sz w:val="18"/>
              </w:rPr>
            </w:pPr>
            <w:r w:rsidRPr="00FD40B8">
              <w:rPr>
                <w:color w:val="131727" w:themeColor="text1"/>
                <w:spacing w:val="-2"/>
                <w:w w:val="110"/>
                <w:sz w:val="18"/>
              </w:rPr>
              <w:t>Failed</w:t>
            </w:r>
          </w:p>
          <w:p w14:paraId="59338DC9" w14:textId="77777777" w:rsidR="00811887" w:rsidRPr="00FD40B8" w:rsidRDefault="00811887" w:rsidP="00811887">
            <w:pPr>
              <w:pStyle w:val="TableParagraph"/>
              <w:numPr>
                <w:ilvl w:val="0"/>
                <w:numId w:val="51"/>
              </w:numPr>
              <w:tabs>
                <w:tab w:val="left" w:pos="464"/>
              </w:tabs>
              <w:spacing w:before="25" w:line="204" w:lineRule="exact"/>
              <w:rPr>
                <w:color w:val="131727" w:themeColor="text1"/>
                <w:sz w:val="18"/>
              </w:rPr>
            </w:pPr>
            <w:r w:rsidRPr="00FD40B8">
              <w:rPr>
                <w:color w:val="131727" w:themeColor="text1"/>
                <w:w w:val="105"/>
                <w:sz w:val="18"/>
              </w:rPr>
              <w:t>Did</w:t>
            </w:r>
            <w:r w:rsidRPr="00FD40B8">
              <w:rPr>
                <w:color w:val="131727" w:themeColor="text1"/>
                <w:spacing w:val="18"/>
                <w:w w:val="105"/>
                <w:sz w:val="18"/>
              </w:rPr>
              <w:t xml:space="preserve"> </w:t>
            </w:r>
            <w:r w:rsidRPr="00FD40B8">
              <w:rPr>
                <w:color w:val="131727" w:themeColor="text1"/>
                <w:w w:val="105"/>
                <w:sz w:val="18"/>
              </w:rPr>
              <w:t>not</w:t>
            </w:r>
            <w:r w:rsidRPr="00FD40B8">
              <w:rPr>
                <w:color w:val="131727" w:themeColor="text1"/>
                <w:spacing w:val="11"/>
                <w:w w:val="105"/>
                <w:sz w:val="18"/>
              </w:rPr>
              <w:t xml:space="preserve"> </w:t>
            </w:r>
            <w:r w:rsidRPr="00FD40B8">
              <w:rPr>
                <w:color w:val="131727" w:themeColor="text1"/>
                <w:spacing w:val="-4"/>
                <w:w w:val="105"/>
                <w:sz w:val="18"/>
              </w:rPr>
              <w:t>fail</w:t>
            </w:r>
          </w:p>
        </w:tc>
      </w:tr>
      <w:tr w:rsidR="00811887" w:rsidRPr="00FD40B8" w14:paraId="3C4F0A8F" w14:textId="77777777" w:rsidTr="00486E22">
        <w:trPr>
          <w:trHeight w:val="1814"/>
        </w:trPr>
        <w:tc>
          <w:tcPr>
            <w:tcW w:w="2834" w:type="dxa"/>
            <w:vMerge/>
            <w:tcBorders>
              <w:top w:val="nil"/>
            </w:tcBorders>
            <w:shd w:val="clear" w:color="auto" w:fill="D5DFDB"/>
          </w:tcPr>
          <w:p w14:paraId="2879DC15" w14:textId="77777777" w:rsidR="00811887" w:rsidRPr="00FD40B8" w:rsidRDefault="00811887" w:rsidP="00486E22">
            <w:pPr>
              <w:rPr>
                <w:color w:val="131727" w:themeColor="text1"/>
                <w:sz w:val="2"/>
                <w:szCs w:val="2"/>
              </w:rPr>
            </w:pPr>
          </w:p>
        </w:tc>
        <w:tc>
          <w:tcPr>
            <w:tcW w:w="6521" w:type="dxa"/>
          </w:tcPr>
          <w:p w14:paraId="65FCEA31"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05"/>
                <w:sz w:val="18"/>
              </w:rPr>
              <w:t>Treatment/type</w:t>
            </w:r>
            <w:r w:rsidRPr="00FD40B8">
              <w:rPr>
                <w:color w:val="131727" w:themeColor="text1"/>
                <w:spacing w:val="13"/>
                <w:w w:val="105"/>
                <w:sz w:val="18"/>
              </w:rPr>
              <w:t xml:space="preserve"> </w:t>
            </w:r>
            <w:r w:rsidRPr="00FD40B8">
              <w:rPr>
                <w:color w:val="131727" w:themeColor="text1"/>
                <w:w w:val="105"/>
                <w:sz w:val="18"/>
              </w:rPr>
              <w:t>of</w:t>
            </w:r>
            <w:r w:rsidRPr="00FD40B8">
              <w:rPr>
                <w:color w:val="131727" w:themeColor="text1"/>
                <w:spacing w:val="5"/>
                <w:w w:val="105"/>
                <w:sz w:val="18"/>
              </w:rPr>
              <w:t xml:space="preserve"> </w:t>
            </w:r>
            <w:r w:rsidRPr="00FD40B8">
              <w:rPr>
                <w:color w:val="131727" w:themeColor="text1"/>
                <w:spacing w:val="-2"/>
                <w:w w:val="105"/>
                <w:sz w:val="18"/>
              </w:rPr>
              <w:t>treatment</w:t>
            </w:r>
          </w:p>
          <w:p w14:paraId="32B14E77" w14:textId="77777777" w:rsidR="00811887" w:rsidRPr="00FD40B8" w:rsidRDefault="00811887" w:rsidP="00811887">
            <w:pPr>
              <w:pStyle w:val="TableParagraph"/>
              <w:numPr>
                <w:ilvl w:val="0"/>
                <w:numId w:val="50"/>
              </w:numPr>
              <w:tabs>
                <w:tab w:val="left" w:pos="464"/>
              </w:tabs>
              <w:spacing w:before="26" w:line="240" w:lineRule="auto"/>
              <w:rPr>
                <w:color w:val="131727" w:themeColor="text1"/>
                <w:sz w:val="18"/>
              </w:rPr>
            </w:pPr>
            <w:r w:rsidRPr="00FD40B8">
              <w:rPr>
                <w:color w:val="131727" w:themeColor="text1"/>
                <w:spacing w:val="-2"/>
                <w:w w:val="110"/>
                <w:sz w:val="18"/>
              </w:rPr>
              <w:t>Disinfectants</w:t>
            </w:r>
          </w:p>
          <w:p w14:paraId="571BFDF3" w14:textId="77777777" w:rsidR="00811887" w:rsidRPr="00FD40B8" w:rsidRDefault="00811887" w:rsidP="00811887">
            <w:pPr>
              <w:pStyle w:val="TableParagraph"/>
              <w:numPr>
                <w:ilvl w:val="0"/>
                <w:numId w:val="50"/>
              </w:numPr>
              <w:tabs>
                <w:tab w:val="left" w:pos="464"/>
              </w:tabs>
              <w:spacing w:before="49" w:line="240" w:lineRule="auto"/>
              <w:rPr>
                <w:color w:val="131727" w:themeColor="text1"/>
                <w:sz w:val="18"/>
              </w:rPr>
            </w:pPr>
            <w:r w:rsidRPr="00FD40B8">
              <w:rPr>
                <w:color w:val="131727" w:themeColor="text1"/>
                <w:w w:val="105"/>
                <w:sz w:val="18"/>
              </w:rPr>
              <w:t>Direct</w:t>
            </w:r>
            <w:r w:rsidRPr="00FD40B8">
              <w:rPr>
                <w:color w:val="131727" w:themeColor="text1"/>
                <w:spacing w:val="20"/>
                <w:w w:val="105"/>
                <w:sz w:val="18"/>
              </w:rPr>
              <w:t xml:space="preserve"> </w:t>
            </w:r>
            <w:r w:rsidRPr="00FD40B8">
              <w:rPr>
                <w:color w:val="131727" w:themeColor="text1"/>
                <w:spacing w:val="-2"/>
                <w:w w:val="105"/>
                <w:sz w:val="18"/>
              </w:rPr>
              <w:t>filtration</w:t>
            </w:r>
          </w:p>
          <w:p w14:paraId="67EA417F" w14:textId="77777777" w:rsidR="00811887" w:rsidRPr="00FD40B8" w:rsidRDefault="00811887" w:rsidP="00811887">
            <w:pPr>
              <w:pStyle w:val="TableParagraph"/>
              <w:numPr>
                <w:ilvl w:val="0"/>
                <w:numId w:val="50"/>
              </w:numPr>
              <w:tabs>
                <w:tab w:val="left" w:pos="464"/>
              </w:tabs>
              <w:spacing w:before="44" w:line="240" w:lineRule="auto"/>
              <w:rPr>
                <w:color w:val="131727" w:themeColor="text1"/>
                <w:sz w:val="18"/>
              </w:rPr>
            </w:pPr>
            <w:r w:rsidRPr="00FD40B8">
              <w:rPr>
                <w:color w:val="131727" w:themeColor="text1"/>
                <w:w w:val="110"/>
                <w:sz w:val="18"/>
              </w:rPr>
              <w:t>Sedimentation</w:t>
            </w:r>
            <w:r w:rsidRPr="00FD40B8">
              <w:rPr>
                <w:color w:val="131727" w:themeColor="text1"/>
                <w:spacing w:val="-6"/>
                <w:w w:val="110"/>
                <w:sz w:val="18"/>
              </w:rPr>
              <w:t xml:space="preserve"> </w:t>
            </w:r>
            <w:r w:rsidRPr="00FD40B8">
              <w:rPr>
                <w:color w:val="131727" w:themeColor="text1"/>
                <w:w w:val="110"/>
                <w:sz w:val="18"/>
              </w:rPr>
              <w:t>or</w:t>
            </w:r>
            <w:r w:rsidRPr="00FD40B8">
              <w:rPr>
                <w:color w:val="131727" w:themeColor="text1"/>
                <w:spacing w:val="-4"/>
                <w:w w:val="110"/>
                <w:sz w:val="18"/>
              </w:rPr>
              <w:t xml:space="preserve"> </w:t>
            </w:r>
            <w:r w:rsidRPr="00FD40B8">
              <w:rPr>
                <w:color w:val="131727" w:themeColor="text1"/>
                <w:spacing w:val="-2"/>
                <w:w w:val="110"/>
                <w:sz w:val="18"/>
              </w:rPr>
              <w:t>filtration</w:t>
            </w:r>
          </w:p>
          <w:p w14:paraId="20DF8665" w14:textId="77777777" w:rsidR="00811887" w:rsidRPr="00FD40B8" w:rsidRDefault="00811887" w:rsidP="00811887">
            <w:pPr>
              <w:pStyle w:val="TableParagraph"/>
              <w:numPr>
                <w:ilvl w:val="0"/>
                <w:numId w:val="50"/>
              </w:numPr>
              <w:tabs>
                <w:tab w:val="left" w:pos="464"/>
              </w:tabs>
              <w:spacing w:before="44" w:line="240" w:lineRule="auto"/>
              <w:rPr>
                <w:color w:val="131727" w:themeColor="text1"/>
                <w:sz w:val="18"/>
              </w:rPr>
            </w:pPr>
            <w:r w:rsidRPr="00FD40B8">
              <w:rPr>
                <w:color w:val="131727" w:themeColor="text1"/>
                <w:spacing w:val="-2"/>
                <w:w w:val="110"/>
                <w:sz w:val="18"/>
              </w:rPr>
              <w:t>Aeration</w:t>
            </w:r>
          </w:p>
          <w:p w14:paraId="3A33A1B1" w14:textId="77777777" w:rsidR="00811887" w:rsidRPr="00FD40B8" w:rsidRDefault="00811887" w:rsidP="00811887">
            <w:pPr>
              <w:pStyle w:val="TableParagraph"/>
              <w:numPr>
                <w:ilvl w:val="0"/>
                <w:numId w:val="50"/>
              </w:numPr>
              <w:tabs>
                <w:tab w:val="left" w:pos="464"/>
              </w:tabs>
              <w:spacing w:before="44" w:line="240" w:lineRule="auto"/>
              <w:rPr>
                <w:color w:val="131727" w:themeColor="text1"/>
                <w:sz w:val="18"/>
              </w:rPr>
            </w:pPr>
            <w:r w:rsidRPr="00FD40B8">
              <w:rPr>
                <w:color w:val="131727" w:themeColor="text1"/>
                <w:w w:val="105"/>
                <w:sz w:val="18"/>
              </w:rPr>
              <w:t>Activated</w:t>
            </w:r>
            <w:r w:rsidRPr="00FD40B8">
              <w:rPr>
                <w:color w:val="131727" w:themeColor="text1"/>
                <w:spacing w:val="5"/>
                <w:w w:val="110"/>
                <w:sz w:val="18"/>
              </w:rPr>
              <w:t xml:space="preserve"> </w:t>
            </w:r>
            <w:r w:rsidRPr="00FD40B8">
              <w:rPr>
                <w:color w:val="131727" w:themeColor="text1"/>
                <w:spacing w:val="-2"/>
                <w:w w:val="110"/>
                <w:sz w:val="18"/>
              </w:rPr>
              <w:t>carbon</w:t>
            </w:r>
          </w:p>
          <w:p w14:paraId="69CEC456" w14:textId="77777777" w:rsidR="00811887" w:rsidRPr="00FD40B8" w:rsidRDefault="00811887" w:rsidP="00811887">
            <w:pPr>
              <w:pStyle w:val="TableParagraph"/>
              <w:numPr>
                <w:ilvl w:val="0"/>
                <w:numId w:val="50"/>
              </w:numPr>
              <w:tabs>
                <w:tab w:val="left" w:pos="464"/>
              </w:tabs>
              <w:spacing w:before="45" w:line="204" w:lineRule="exact"/>
              <w:rPr>
                <w:color w:val="131727" w:themeColor="text1"/>
                <w:sz w:val="18"/>
              </w:rPr>
            </w:pPr>
            <w:r w:rsidRPr="00FD40B8">
              <w:rPr>
                <w:color w:val="131727" w:themeColor="text1"/>
                <w:w w:val="110"/>
                <w:sz w:val="18"/>
              </w:rPr>
              <w:t>Other</w:t>
            </w:r>
            <w:r w:rsidRPr="00FD40B8">
              <w:rPr>
                <w:color w:val="131727" w:themeColor="text1"/>
                <w:spacing w:val="3"/>
                <w:w w:val="110"/>
                <w:sz w:val="18"/>
              </w:rPr>
              <w:t xml:space="preserve"> </w:t>
            </w:r>
            <w:r w:rsidRPr="00FD40B8">
              <w:rPr>
                <w:color w:val="131727" w:themeColor="text1"/>
                <w:spacing w:val="-2"/>
                <w:w w:val="110"/>
                <w:sz w:val="18"/>
              </w:rPr>
              <w:t>treatments</w:t>
            </w:r>
          </w:p>
        </w:tc>
      </w:tr>
      <w:tr w:rsidR="00811887" w:rsidRPr="00FD40B8" w14:paraId="41B9DDF3" w14:textId="77777777" w:rsidTr="00486E22">
        <w:trPr>
          <w:trHeight w:val="302"/>
        </w:trPr>
        <w:tc>
          <w:tcPr>
            <w:tcW w:w="2834" w:type="dxa"/>
            <w:vMerge/>
            <w:tcBorders>
              <w:top w:val="nil"/>
            </w:tcBorders>
            <w:shd w:val="clear" w:color="auto" w:fill="D5DFDB"/>
          </w:tcPr>
          <w:p w14:paraId="3F54D855" w14:textId="77777777" w:rsidR="00811887" w:rsidRPr="00FD40B8" w:rsidRDefault="00811887" w:rsidP="00486E22">
            <w:pPr>
              <w:rPr>
                <w:color w:val="131727" w:themeColor="text1"/>
                <w:sz w:val="2"/>
                <w:szCs w:val="2"/>
              </w:rPr>
            </w:pPr>
          </w:p>
        </w:tc>
        <w:tc>
          <w:tcPr>
            <w:tcW w:w="6521" w:type="dxa"/>
          </w:tcPr>
          <w:p w14:paraId="34FBFA30"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Water</w:t>
            </w:r>
            <w:r w:rsidRPr="00FD40B8">
              <w:rPr>
                <w:color w:val="131727" w:themeColor="text1"/>
                <w:spacing w:val="-8"/>
                <w:w w:val="110"/>
                <w:sz w:val="18"/>
              </w:rPr>
              <w:t xml:space="preserve"> </w:t>
            </w:r>
            <w:r w:rsidRPr="00FD40B8">
              <w:rPr>
                <w:color w:val="131727" w:themeColor="text1"/>
                <w:w w:val="110"/>
                <w:sz w:val="18"/>
              </w:rPr>
              <w:t>restrictions</w:t>
            </w:r>
            <w:r w:rsidRPr="00FD40B8">
              <w:rPr>
                <w:color w:val="131727" w:themeColor="text1"/>
                <w:spacing w:val="-4"/>
                <w:w w:val="110"/>
                <w:sz w:val="18"/>
              </w:rPr>
              <w:t xml:space="preserve"> </w:t>
            </w:r>
            <w:r w:rsidRPr="00FD40B8">
              <w:rPr>
                <w:color w:val="131727" w:themeColor="text1"/>
                <w:w w:val="110"/>
                <w:sz w:val="18"/>
              </w:rPr>
              <w:t>(by</w:t>
            </w:r>
            <w:r w:rsidRPr="00FD40B8">
              <w:rPr>
                <w:color w:val="131727" w:themeColor="text1"/>
                <w:spacing w:val="-10"/>
                <w:w w:val="110"/>
                <w:sz w:val="18"/>
              </w:rPr>
              <w:t xml:space="preserve"> </w:t>
            </w:r>
            <w:r w:rsidRPr="00FD40B8">
              <w:rPr>
                <w:color w:val="131727" w:themeColor="text1"/>
                <w:w w:val="110"/>
                <w:sz w:val="18"/>
              </w:rPr>
              <w:t>cause</w:t>
            </w:r>
            <w:r w:rsidRPr="00FD40B8">
              <w:rPr>
                <w:color w:val="131727" w:themeColor="text1"/>
                <w:spacing w:val="-5"/>
                <w:w w:val="110"/>
                <w:sz w:val="18"/>
              </w:rPr>
              <w:t xml:space="preserve"> </w:t>
            </w:r>
            <w:r w:rsidRPr="00FD40B8">
              <w:rPr>
                <w:color w:val="131727" w:themeColor="text1"/>
                <w:w w:val="110"/>
                <w:sz w:val="18"/>
              </w:rPr>
              <w:t>and</w:t>
            </w:r>
            <w:r w:rsidRPr="00FD40B8">
              <w:rPr>
                <w:color w:val="131727" w:themeColor="text1"/>
                <w:spacing w:val="-7"/>
                <w:w w:val="110"/>
                <w:sz w:val="18"/>
              </w:rPr>
              <w:t xml:space="preserve"> </w:t>
            </w:r>
            <w:r w:rsidRPr="00FD40B8">
              <w:rPr>
                <w:color w:val="131727" w:themeColor="text1"/>
                <w:spacing w:val="-2"/>
                <w:w w:val="110"/>
                <w:sz w:val="18"/>
              </w:rPr>
              <w:t>frequency)</w:t>
            </w:r>
          </w:p>
        </w:tc>
      </w:tr>
      <w:tr w:rsidR="00811887" w:rsidRPr="00FD40B8" w14:paraId="26E1D7D0" w14:textId="77777777" w:rsidTr="00486E22">
        <w:trPr>
          <w:trHeight w:val="297"/>
        </w:trPr>
        <w:tc>
          <w:tcPr>
            <w:tcW w:w="2834" w:type="dxa"/>
            <w:vMerge/>
            <w:tcBorders>
              <w:top w:val="nil"/>
            </w:tcBorders>
            <w:shd w:val="clear" w:color="auto" w:fill="D5DFDB"/>
          </w:tcPr>
          <w:p w14:paraId="12849D4E" w14:textId="77777777" w:rsidR="00811887" w:rsidRPr="00FD40B8" w:rsidRDefault="00811887" w:rsidP="00486E22">
            <w:pPr>
              <w:rPr>
                <w:color w:val="131727" w:themeColor="text1"/>
                <w:sz w:val="2"/>
                <w:szCs w:val="2"/>
              </w:rPr>
            </w:pPr>
          </w:p>
        </w:tc>
        <w:tc>
          <w:tcPr>
            <w:tcW w:w="6521" w:type="dxa"/>
          </w:tcPr>
          <w:p w14:paraId="04936DA4"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Water</w:t>
            </w:r>
            <w:r w:rsidRPr="00FD40B8">
              <w:rPr>
                <w:color w:val="131727" w:themeColor="text1"/>
                <w:spacing w:val="-8"/>
                <w:w w:val="110"/>
                <w:sz w:val="18"/>
              </w:rPr>
              <w:t xml:space="preserve"> </w:t>
            </w:r>
            <w:r w:rsidRPr="00FD40B8">
              <w:rPr>
                <w:color w:val="131727" w:themeColor="text1"/>
                <w:w w:val="110"/>
                <w:sz w:val="18"/>
              </w:rPr>
              <w:t>interruptions</w:t>
            </w:r>
            <w:r w:rsidRPr="00FD40B8">
              <w:rPr>
                <w:color w:val="131727" w:themeColor="text1"/>
                <w:spacing w:val="-8"/>
                <w:w w:val="110"/>
                <w:sz w:val="18"/>
              </w:rPr>
              <w:t xml:space="preserve"> </w:t>
            </w:r>
            <w:r w:rsidRPr="00FD40B8">
              <w:rPr>
                <w:color w:val="131727" w:themeColor="text1"/>
                <w:w w:val="110"/>
                <w:sz w:val="18"/>
              </w:rPr>
              <w:t>(by</w:t>
            </w:r>
            <w:r w:rsidRPr="00FD40B8">
              <w:rPr>
                <w:color w:val="131727" w:themeColor="text1"/>
                <w:spacing w:val="-7"/>
                <w:w w:val="110"/>
                <w:sz w:val="18"/>
              </w:rPr>
              <w:t xml:space="preserve"> </w:t>
            </w:r>
            <w:r w:rsidRPr="00FD40B8">
              <w:rPr>
                <w:color w:val="131727" w:themeColor="text1"/>
                <w:w w:val="110"/>
                <w:sz w:val="18"/>
              </w:rPr>
              <w:t>cause</w:t>
            </w:r>
            <w:r w:rsidRPr="00FD40B8">
              <w:rPr>
                <w:color w:val="131727" w:themeColor="text1"/>
                <w:spacing w:val="-8"/>
                <w:w w:val="110"/>
                <w:sz w:val="18"/>
              </w:rPr>
              <w:t xml:space="preserve"> </w:t>
            </w:r>
            <w:r w:rsidRPr="00FD40B8">
              <w:rPr>
                <w:color w:val="131727" w:themeColor="text1"/>
                <w:w w:val="110"/>
                <w:sz w:val="18"/>
              </w:rPr>
              <w:t>and</w:t>
            </w:r>
            <w:r w:rsidRPr="00FD40B8">
              <w:rPr>
                <w:color w:val="131727" w:themeColor="text1"/>
                <w:spacing w:val="-4"/>
                <w:w w:val="110"/>
                <w:sz w:val="18"/>
              </w:rPr>
              <w:t xml:space="preserve"> </w:t>
            </w:r>
            <w:r w:rsidRPr="00FD40B8">
              <w:rPr>
                <w:color w:val="131727" w:themeColor="text1"/>
                <w:spacing w:val="-2"/>
                <w:w w:val="110"/>
                <w:sz w:val="18"/>
              </w:rPr>
              <w:t>frequency)</w:t>
            </w:r>
          </w:p>
        </w:tc>
      </w:tr>
      <w:tr w:rsidR="00811887" w:rsidRPr="00FD40B8" w14:paraId="7895EA54" w14:textId="77777777" w:rsidTr="00486E22">
        <w:trPr>
          <w:trHeight w:val="777"/>
        </w:trPr>
        <w:tc>
          <w:tcPr>
            <w:tcW w:w="2834" w:type="dxa"/>
            <w:shd w:val="clear" w:color="auto" w:fill="D5DFDB"/>
          </w:tcPr>
          <w:p w14:paraId="412118FC"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pacing w:val="-2"/>
                <w:sz w:val="18"/>
              </w:rPr>
              <w:t>Electricity</w:t>
            </w:r>
          </w:p>
        </w:tc>
        <w:tc>
          <w:tcPr>
            <w:tcW w:w="6521" w:type="dxa"/>
          </w:tcPr>
          <w:p w14:paraId="2DC84DE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Type/Source</w:t>
            </w:r>
          </w:p>
          <w:p w14:paraId="78611591" w14:textId="77777777" w:rsidR="00811887" w:rsidRPr="00FD40B8" w:rsidRDefault="00811887" w:rsidP="00811887">
            <w:pPr>
              <w:pStyle w:val="TableParagraph"/>
              <w:numPr>
                <w:ilvl w:val="0"/>
                <w:numId w:val="49"/>
              </w:numPr>
              <w:tabs>
                <w:tab w:val="left" w:pos="464"/>
              </w:tabs>
              <w:spacing w:before="25" w:line="240" w:lineRule="auto"/>
              <w:rPr>
                <w:color w:val="131727" w:themeColor="text1"/>
                <w:sz w:val="18"/>
              </w:rPr>
            </w:pPr>
            <w:r w:rsidRPr="00FD40B8">
              <w:rPr>
                <w:color w:val="131727" w:themeColor="text1"/>
                <w:spacing w:val="-2"/>
                <w:w w:val="110"/>
                <w:sz w:val="18"/>
              </w:rPr>
              <w:t>State</w:t>
            </w:r>
            <w:r w:rsidRPr="00FD40B8">
              <w:rPr>
                <w:color w:val="131727" w:themeColor="text1"/>
                <w:w w:val="110"/>
                <w:sz w:val="18"/>
              </w:rPr>
              <w:t xml:space="preserve"> </w:t>
            </w:r>
            <w:r w:rsidRPr="00FD40B8">
              <w:rPr>
                <w:color w:val="131727" w:themeColor="text1"/>
                <w:spacing w:val="-2"/>
                <w:w w:val="110"/>
                <w:sz w:val="18"/>
              </w:rPr>
              <w:t>grid/transmitted</w:t>
            </w:r>
            <w:r w:rsidRPr="00FD40B8">
              <w:rPr>
                <w:color w:val="131727" w:themeColor="text1"/>
                <w:spacing w:val="2"/>
                <w:w w:val="110"/>
                <w:sz w:val="18"/>
              </w:rPr>
              <w:t xml:space="preserve"> </w:t>
            </w:r>
            <w:r w:rsidRPr="00FD40B8">
              <w:rPr>
                <w:color w:val="131727" w:themeColor="text1"/>
                <w:spacing w:val="-2"/>
                <w:w w:val="110"/>
                <w:sz w:val="18"/>
              </w:rPr>
              <w:t>supply</w:t>
            </w:r>
          </w:p>
          <w:p w14:paraId="3F85518A" w14:textId="77777777" w:rsidR="00811887" w:rsidRPr="00FD40B8" w:rsidRDefault="00811887" w:rsidP="00811887">
            <w:pPr>
              <w:pStyle w:val="TableParagraph"/>
              <w:numPr>
                <w:ilvl w:val="0"/>
                <w:numId w:val="49"/>
              </w:numPr>
              <w:tabs>
                <w:tab w:val="left" w:pos="464"/>
              </w:tabs>
              <w:spacing w:before="44" w:line="240" w:lineRule="auto"/>
              <w:rPr>
                <w:color w:val="131727" w:themeColor="text1"/>
                <w:sz w:val="18"/>
              </w:rPr>
            </w:pPr>
            <w:r w:rsidRPr="00FD40B8">
              <w:rPr>
                <w:color w:val="131727" w:themeColor="text1"/>
                <w:w w:val="110"/>
                <w:sz w:val="18"/>
              </w:rPr>
              <w:t>Community</w:t>
            </w:r>
            <w:r w:rsidRPr="00FD40B8">
              <w:rPr>
                <w:color w:val="131727" w:themeColor="text1"/>
                <w:spacing w:val="-11"/>
                <w:w w:val="110"/>
                <w:sz w:val="18"/>
              </w:rPr>
              <w:t xml:space="preserve"> </w:t>
            </w:r>
            <w:r w:rsidRPr="00FD40B8">
              <w:rPr>
                <w:color w:val="131727" w:themeColor="text1"/>
                <w:spacing w:val="-2"/>
                <w:w w:val="110"/>
                <w:sz w:val="18"/>
              </w:rPr>
              <w:t>generators</w:t>
            </w:r>
          </w:p>
        </w:tc>
      </w:tr>
    </w:tbl>
    <w:p w14:paraId="2A4B987F" w14:textId="77777777" w:rsidR="00811887" w:rsidRPr="00FD40B8" w:rsidRDefault="00811887" w:rsidP="00811887">
      <w:pPr>
        <w:rPr>
          <w:color w:val="131727" w:themeColor="text1"/>
          <w:sz w:val="18"/>
        </w:rPr>
        <w:sectPr w:rsidR="00811887" w:rsidRPr="00FD40B8" w:rsidSect="00811887">
          <w:type w:val="continuous"/>
          <w:pgSz w:w="11910" w:h="16840"/>
          <w:pgMar w:top="1380" w:right="1100" w:bottom="1393" w:left="1100" w:header="0" w:footer="805" w:gutter="0"/>
          <w:cols w:space="720"/>
        </w:sect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4"/>
        <w:gridCol w:w="6521"/>
      </w:tblGrid>
      <w:tr w:rsidR="00811887" w:rsidRPr="00FD40B8" w14:paraId="2EBA0696" w14:textId="77777777" w:rsidTr="00486E22">
        <w:trPr>
          <w:trHeight w:val="302"/>
        </w:trPr>
        <w:tc>
          <w:tcPr>
            <w:tcW w:w="2834" w:type="dxa"/>
            <w:shd w:val="clear" w:color="auto" w:fill="91A9A2"/>
          </w:tcPr>
          <w:p w14:paraId="3125FCE8" w14:textId="77777777" w:rsidR="00811887" w:rsidRPr="00FD40B8" w:rsidRDefault="00811887" w:rsidP="00486E22">
            <w:pPr>
              <w:pStyle w:val="TableParagraph"/>
              <w:spacing w:line="240" w:lineRule="auto"/>
              <w:ind w:left="110"/>
              <w:rPr>
                <w:rFonts w:ascii="Garamond"/>
                <w:b/>
                <w:color w:val="131727" w:themeColor="text1"/>
                <w:sz w:val="20"/>
              </w:rPr>
            </w:pPr>
            <w:r w:rsidRPr="00FD40B8">
              <w:rPr>
                <w:rFonts w:ascii="Garamond"/>
                <w:b/>
                <w:color w:val="131727" w:themeColor="text1"/>
                <w:spacing w:val="-2"/>
                <w:sz w:val="20"/>
              </w:rPr>
              <w:lastRenderedPageBreak/>
              <w:t>Output</w:t>
            </w:r>
          </w:p>
        </w:tc>
        <w:tc>
          <w:tcPr>
            <w:tcW w:w="6521" w:type="dxa"/>
            <w:shd w:val="clear" w:color="auto" w:fill="91A9A2"/>
          </w:tcPr>
          <w:p w14:paraId="19640FAC" w14:textId="77777777" w:rsidR="00811887" w:rsidRPr="00FD40B8" w:rsidRDefault="00811887" w:rsidP="00486E22">
            <w:pPr>
              <w:pStyle w:val="TableParagraph"/>
              <w:spacing w:line="240" w:lineRule="auto"/>
              <w:ind w:left="104"/>
              <w:rPr>
                <w:rFonts w:ascii="Garamond"/>
                <w:b/>
                <w:color w:val="131727" w:themeColor="text1"/>
                <w:sz w:val="20"/>
              </w:rPr>
            </w:pPr>
            <w:r w:rsidRPr="00FD40B8">
              <w:rPr>
                <w:rFonts w:ascii="Garamond"/>
                <w:b/>
                <w:color w:val="131727" w:themeColor="text1"/>
                <w:spacing w:val="-2"/>
                <w:sz w:val="20"/>
              </w:rPr>
              <w:t>Disaggregation</w:t>
            </w:r>
          </w:p>
        </w:tc>
      </w:tr>
      <w:tr w:rsidR="00811887" w:rsidRPr="00FD40B8" w14:paraId="688959FE" w14:textId="77777777" w:rsidTr="00486E22">
        <w:trPr>
          <w:trHeight w:val="1569"/>
        </w:trPr>
        <w:tc>
          <w:tcPr>
            <w:tcW w:w="2834" w:type="dxa"/>
            <w:vMerge w:val="restart"/>
            <w:shd w:val="clear" w:color="auto" w:fill="D5DFDB"/>
          </w:tcPr>
          <w:p w14:paraId="319B7ED0" w14:textId="77777777" w:rsidR="00811887" w:rsidRPr="00FD40B8" w:rsidRDefault="00811887" w:rsidP="00486E22">
            <w:pPr>
              <w:pStyle w:val="TableParagraph"/>
              <w:spacing w:line="240" w:lineRule="auto"/>
              <w:rPr>
                <w:rFonts w:ascii="Times New Roman"/>
                <w:color w:val="131727" w:themeColor="text1"/>
                <w:sz w:val="18"/>
              </w:rPr>
            </w:pPr>
          </w:p>
        </w:tc>
        <w:tc>
          <w:tcPr>
            <w:tcW w:w="6521" w:type="dxa"/>
          </w:tcPr>
          <w:p w14:paraId="355CAEA1" w14:textId="77777777" w:rsidR="00811887" w:rsidRPr="00FD40B8" w:rsidRDefault="00811887" w:rsidP="00811887">
            <w:pPr>
              <w:pStyle w:val="TableParagraph"/>
              <w:numPr>
                <w:ilvl w:val="0"/>
                <w:numId w:val="48"/>
              </w:numPr>
              <w:tabs>
                <w:tab w:val="left" w:pos="464"/>
              </w:tabs>
              <w:spacing w:before="20" w:line="240" w:lineRule="auto"/>
              <w:rPr>
                <w:color w:val="131727" w:themeColor="text1"/>
                <w:sz w:val="18"/>
              </w:rPr>
            </w:pPr>
            <w:r w:rsidRPr="00FD40B8">
              <w:rPr>
                <w:color w:val="131727" w:themeColor="text1"/>
                <w:w w:val="110"/>
                <w:sz w:val="18"/>
              </w:rPr>
              <w:t>Domestic</w:t>
            </w:r>
            <w:r w:rsidRPr="00FD40B8">
              <w:rPr>
                <w:color w:val="131727" w:themeColor="text1"/>
                <w:spacing w:val="1"/>
                <w:w w:val="110"/>
                <w:sz w:val="18"/>
              </w:rPr>
              <w:t xml:space="preserve"> </w:t>
            </w:r>
            <w:r w:rsidRPr="00FD40B8">
              <w:rPr>
                <w:color w:val="131727" w:themeColor="text1"/>
                <w:spacing w:val="-2"/>
                <w:w w:val="110"/>
                <w:sz w:val="18"/>
              </w:rPr>
              <w:t>generators</w:t>
            </w:r>
          </w:p>
          <w:p w14:paraId="3FA431C0" w14:textId="77777777" w:rsidR="00811887" w:rsidRPr="00FD40B8" w:rsidRDefault="00811887" w:rsidP="00811887">
            <w:pPr>
              <w:pStyle w:val="TableParagraph"/>
              <w:numPr>
                <w:ilvl w:val="0"/>
                <w:numId w:val="48"/>
              </w:numPr>
              <w:tabs>
                <w:tab w:val="left" w:pos="464"/>
              </w:tabs>
              <w:spacing w:before="44" w:line="240" w:lineRule="auto"/>
              <w:rPr>
                <w:color w:val="131727" w:themeColor="text1"/>
                <w:sz w:val="18"/>
              </w:rPr>
            </w:pPr>
            <w:r w:rsidRPr="00FD40B8">
              <w:rPr>
                <w:color w:val="131727" w:themeColor="text1"/>
                <w:spacing w:val="-4"/>
                <w:w w:val="110"/>
                <w:sz w:val="18"/>
              </w:rPr>
              <w:t>Solar</w:t>
            </w:r>
          </w:p>
          <w:p w14:paraId="191575BC" w14:textId="77777777" w:rsidR="00811887" w:rsidRPr="00FD40B8" w:rsidRDefault="00811887" w:rsidP="00811887">
            <w:pPr>
              <w:pStyle w:val="TableParagraph"/>
              <w:numPr>
                <w:ilvl w:val="0"/>
                <w:numId w:val="48"/>
              </w:numPr>
              <w:tabs>
                <w:tab w:val="left" w:pos="464"/>
              </w:tabs>
              <w:spacing w:before="45" w:line="240" w:lineRule="auto"/>
              <w:rPr>
                <w:color w:val="131727" w:themeColor="text1"/>
                <w:sz w:val="18"/>
              </w:rPr>
            </w:pPr>
            <w:r w:rsidRPr="00FD40B8">
              <w:rPr>
                <w:color w:val="131727" w:themeColor="text1"/>
                <w:w w:val="110"/>
                <w:sz w:val="18"/>
              </w:rPr>
              <w:t>Solar</w:t>
            </w:r>
            <w:r w:rsidRPr="00FD40B8">
              <w:rPr>
                <w:color w:val="131727" w:themeColor="text1"/>
                <w:spacing w:val="6"/>
                <w:w w:val="110"/>
                <w:sz w:val="18"/>
              </w:rPr>
              <w:t xml:space="preserve"> </w:t>
            </w:r>
            <w:r w:rsidRPr="00FD40B8">
              <w:rPr>
                <w:color w:val="131727" w:themeColor="text1"/>
                <w:spacing w:val="-2"/>
                <w:w w:val="110"/>
                <w:sz w:val="18"/>
              </w:rPr>
              <w:t>hybrid</w:t>
            </w:r>
          </w:p>
          <w:p w14:paraId="67525EBF" w14:textId="77777777" w:rsidR="00811887" w:rsidRPr="00FD40B8" w:rsidRDefault="00811887" w:rsidP="00811887">
            <w:pPr>
              <w:pStyle w:val="TableParagraph"/>
              <w:numPr>
                <w:ilvl w:val="0"/>
                <w:numId w:val="48"/>
              </w:numPr>
              <w:tabs>
                <w:tab w:val="left" w:pos="464"/>
              </w:tabs>
              <w:spacing w:before="45" w:line="240" w:lineRule="auto"/>
              <w:rPr>
                <w:color w:val="131727" w:themeColor="text1"/>
                <w:sz w:val="18"/>
              </w:rPr>
            </w:pPr>
            <w:r w:rsidRPr="00FD40B8">
              <w:rPr>
                <w:color w:val="131727" w:themeColor="text1"/>
                <w:spacing w:val="-2"/>
                <w:w w:val="110"/>
                <w:sz w:val="18"/>
              </w:rPr>
              <w:t>Other</w:t>
            </w:r>
            <w:r w:rsidRPr="00FD40B8">
              <w:rPr>
                <w:color w:val="131727" w:themeColor="text1"/>
                <w:spacing w:val="7"/>
                <w:w w:val="110"/>
                <w:sz w:val="18"/>
              </w:rPr>
              <w:t xml:space="preserve"> </w:t>
            </w:r>
            <w:r w:rsidRPr="00FD40B8">
              <w:rPr>
                <w:color w:val="131727" w:themeColor="text1"/>
                <w:spacing w:val="-2"/>
                <w:w w:val="110"/>
                <w:sz w:val="18"/>
              </w:rPr>
              <w:t>organised</w:t>
            </w:r>
            <w:r w:rsidRPr="00FD40B8">
              <w:rPr>
                <w:color w:val="131727" w:themeColor="text1"/>
                <w:spacing w:val="9"/>
                <w:w w:val="110"/>
                <w:sz w:val="18"/>
              </w:rPr>
              <w:t xml:space="preserve"> </w:t>
            </w:r>
            <w:r w:rsidRPr="00FD40B8">
              <w:rPr>
                <w:color w:val="131727" w:themeColor="text1"/>
                <w:spacing w:val="-2"/>
                <w:w w:val="110"/>
                <w:sz w:val="18"/>
              </w:rPr>
              <w:t>electricity</w:t>
            </w:r>
            <w:r w:rsidRPr="00FD40B8">
              <w:rPr>
                <w:color w:val="131727" w:themeColor="text1"/>
                <w:w w:val="110"/>
                <w:sz w:val="18"/>
              </w:rPr>
              <w:t xml:space="preserve"> </w:t>
            </w:r>
            <w:r w:rsidRPr="00FD40B8">
              <w:rPr>
                <w:color w:val="131727" w:themeColor="text1"/>
                <w:spacing w:val="-2"/>
                <w:w w:val="110"/>
                <w:sz w:val="18"/>
              </w:rPr>
              <w:t>supply</w:t>
            </w:r>
          </w:p>
          <w:p w14:paraId="5E09C118" w14:textId="77777777" w:rsidR="00811887" w:rsidRPr="00FD40B8" w:rsidRDefault="00811887" w:rsidP="00811887">
            <w:pPr>
              <w:pStyle w:val="TableParagraph"/>
              <w:numPr>
                <w:ilvl w:val="0"/>
                <w:numId w:val="48"/>
              </w:numPr>
              <w:tabs>
                <w:tab w:val="left" w:pos="512"/>
              </w:tabs>
              <w:spacing w:before="49" w:line="240" w:lineRule="auto"/>
              <w:ind w:left="512" w:hanging="408"/>
              <w:rPr>
                <w:color w:val="131727" w:themeColor="text1"/>
                <w:sz w:val="18"/>
              </w:rPr>
            </w:pPr>
            <w:r w:rsidRPr="00FD40B8">
              <w:rPr>
                <w:color w:val="131727" w:themeColor="text1"/>
                <w:spacing w:val="-2"/>
                <w:w w:val="110"/>
                <w:sz w:val="18"/>
              </w:rPr>
              <w:t>Total</w:t>
            </w:r>
            <w:r w:rsidRPr="00FD40B8">
              <w:rPr>
                <w:color w:val="131727" w:themeColor="text1"/>
                <w:spacing w:val="4"/>
                <w:w w:val="110"/>
                <w:sz w:val="18"/>
              </w:rPr>
              <w:t xml:space="preserve"> </w:t>
            </w:r>
            <w:r w:rsidRPr="00FD40B8">
              <w:rPr>
                <w:color w:val="131727" w:themeColor="text1"/>
                <w:spacing w:val="-2"/>
                <w:w w:val="110"/>
                <w:sz w:val="18"/>
              </w:rPr>
              <w:t>communities</w:t>
            </w:r>
            <w:r w:rsidRPr="00FD40B8">
              <w:rPr>
                <w:color w:val="131727" w:themeColor="text1"/>
                <w:spacing w:val="4"/>
                <w:w w:val="110"/>
                <w:sz w:val="18"/>
              </w:rPr>
              <w:t xml:space="preserve"> </w:t>
            </w:r>
            <w:r w:rsidRPr="00FD40B8">
              <w:rPr>
                <w:color w:val="131727" w:themeColor="text1"/>
                <w:spacing w:val="-2"/>
                <w:w w:val="110"/>
                <w:sz w:val="18"/>
              </w:rPr>
              <w:t>with</w:t>
            </w:r>
            <w:r w:rsidRPr="00FD40B8">
              <w:rPr>
                <w:color w:val="131727" w:themeColor="text1"/>
                <w:spacing w:val="-3"/>
                <w:w w:val="110"/>
                <w:sz w:val="18"/>
              </w:rPr>
              <w:t xml:space="preserve"> </w:t>
            </w:r>
            <w:r w:rsidRPr="00FD40B8">
              <w:rPr>
                <w:color w:val="131727" w:themeColor="text1"/>
                <w:spacing w:val="-2"/>
                <w:w w:val="110"/>
                <w:sz w:val="18"/>
              </w:rPr>
              <w:t>an</w:t>
            </w:r>
            <w:r w:rsidRPr="00FD40B8">
              <w:rPr>
                <w:color w:val="131727" w:themeColor="text1"/>
                <w:spacing w:val="1"/>
                <w:w w:val="110"/>
                <w:sz w:val="18"/>
              </w:rPr>
              <w:t xml:space="preserve"> </w:t>
            </w:r>
            <w:r w:rsidRPr="00FD40B8">
              <w:rPr>
                <w:color w:val="131727" w:themeColor="text1"/>
                <w:spacing w:val="-2"/>
                <w:w w:val="110"/>
                <w:sz w:val="18"/>
              </w:rPr>
              <w:t>organised</w:t>
            </w:r>
            <w:r w:rsidRPr="00FD40B8">
              <w:rPr>
                <w:color w:val="131727" w:themeColor="text1"/>
                <w:spacing w:val="5"/>
                <w:w w:val="110"/>
                <w:sz w:val="18"/>
              </w:rPr>
              <w:t xml:space="preserve"> </w:t>
            </w:r>
            <w:r w:rsidRPr="00FD40B8">
              <w:rPr>
                <w:color w:val="131727" w:themeColor="text1"/>
                <w:spacing w:val="-2"/>
                <w:w w:val="110"/>
                <w:sz w:val="18"/>
              </w:rPr>
              <w:t>electricity</w:t>
            </w:r>
            <w:r w:rsidRPr="00FD40B8">
              <w:rPr>
                <w:color w:val="131727" w:themeColor="text1"/>
                <w:spacing w:val="-4"/>
                <w:w w:val="110"/>
                <w:sz w:val="18"/>
              </w:rPr>
              <w:t xml:space="preserve"> </w:t>
            </w:r>
            <w:r w:rsidRPr="00FD40B8">
              <w:rPr>
                <w:color w:val="131727" w:themeColor="text1"/>
                <w:spacing w:val="-2"/>
                <w:w w:val="110"/>
                <w:sz w:val="18"/>
              </w:rPr>
              <w:t>supply</w:t>
            </w:r>
          </w:p>
          <w:p w14:paraId="37418B4A" w14:textId="77777777" w:rsidR="00811887" w:rsidRPr="00FD40B8" w:rsidRDefault="00811887" w:rsidP="00811887">
            <w:pPr>
              <w:pStyle w:val="TableParagraph"/>
              <w:numPr>
                <w:ilvl w:val="0"/>
                <w:numId w:val="48"/>
              </w:numPr>
              <w:tabs>
                <w:tab w:val="left" w:pos="512"/>
              </w:tabs>
              <w:spacing w:before="44" w:line="204" w:lineRule="exact"/>
              <w:ind w:left="512" w:hanging="408"/>
              <w:rPr>
                <w:color w:val="131727" w:themeColor="text1"/>
                <w:sz w:val="18"/>
              </w:rPr>
            </w:pPr>
            <w:r w:rsidRPr="00FD40B8">
              <w:rPr>
                <w:color w:val="131727" w:themeColor="text1"/>
                <w:spacing w:val="-2"/>
                <w:w w:val="110"/>
                <w:sz w:val="18"/>
              </w:rPr>
              <w:t>Total</w:t>
            </w:r>
            <w:r w:rsidRPr="00FD40B8">
              <w:rPr>
                <w:color w:val="131727" w:themeColor="text1"/>
                <w:spacing w:val="4"/>
                <w:w w:val="110"/>
                <w:sz w:val="18"/>
              </w:rPr>
              <w:t xml:space="preserve"> </w:t>
            </w:r>
            <w:r w:rsidRPr="00FD40B8">
              <w:rPr>
                <w:color w:val="131727" w:themeColor="text1"/>
                <w:spacing w:val="-2"/>
                <w:w w:val="110"/>
                <w:sz w:val="18"/>
              </w:rPr>
              <w:t>communities</w:t>
            </w:r>
            <w:r w:rsidRPr="00FD40B8">
              <w:rPr>
                <w:color w:val="131727" w:themeColor="text1"/>
                <w:spacing w:val="4"/>
                <w:w w:val="110"/>
                <w:sz w:val="18"/>
              </w:rPr>
              <w:t xml:space="preserve"> </w:t>
            </w:r>
            <w:r w:rsidRPr="00FD40B8">
              <w:rPr>
                <w:color w:val="131727" w:themeColor="text1"/>
                <w:spacing w:val="-2"/>
                <w:w w:val="110"/>
                <w:sz w:val="18"/>
              </w:rPr>
              <w:t>with</w:t>
            </w:r>
            <w:r w:rsidRPr="00FD40B8">
              <w:rPr>
                <w:color w:val="131727" w:themeColor="text1"/>
                <w:spacing w:val="1"/>
                <w:w w:val="110"/>
                <w:sz w:val="18"/>
              </w:rPr>
              <w:t xml:space="preserve"> </w:t>
            </w:r>
            <w:r w:rsidRPr="00FD40B8">
              <w:rPr>
                <w:color w:val="131727" w:themeColor="text1"/>
                <w:spacing w:val="-2"/>
                <w:w w:val="110"/>
                <w:sz w:val="18"/>
              </w:rPr>
              <w:t>no</w:t>
            </w:r>
            <w:r w:rsidRPr="00FD40B8">
              <w:rPr>
                <w:color w:val="131727" w:themeColor="text1"/>
                <w:spacing w:val="-3"/>
                <w:w w:val="110"/>
                <w:sz w:val="18"/>
              </w:rPr>
              <w:t xml:space="preserve"> </w:t>
            </w:r>
            <w:r w:rsidRPr="00FD40B8">
              <w:rPr>
                <w:color w:val="131727" w:themeColor="text1"/>
                <w:spacing w:val="-2"/>
                <w:w w:val="110"/>
                <w:sz w:val="18"/>
              </w:rPr>
              <w:t>organised</w:t>
            </w:r>
            <w:r w:rsidRPr="00FD40B8">
              <w:rPr>
                <w:color w:val="131727" w:themeColor="text1"/>
                <w:spacing w:val="5"/>
                <w:w w:val="110"/>
                <w:sz w:val="18"/>
              </w:rPr>
              <w:t xml:space="preserve"> </w:t>
            </w:r>
            <w:r w:rsidRPr="00FD40B8">
              <w:rPr>
                <w:color w:val="131727" w:themeColor="text1"/>
                <w:spacing w:val="-2"/>
                <w:w w:val="110"/>
                <w:sz w:val="18"/>
              </w:rPr>
              <w:t>electricity</w:t>
            </w:r>
            <w:r w:rsidRPr="00FD40B8">
              <w:rPr>
                <w:color w:val="131727" w:themeColor="text1"/>
                <w:spacing w:val="-4"/>
                <w:w w:val="110"/>
                <w:sz w:val="18"/>
              </w:rPr>
              <w:t xml:space="preserve"> </w:t>
            </w:r>
            <w:r w:rsidRPr="00FD40B8">
              <w:rPr>
                <w:color w:val="131727" w:themeColor="text1"/>
                <w:spacing w:val="-2"/>
                <w:w w:val="110"/>
                <w:sz w:val="18"/>
              </w:rPr>
              <w:t>supply</w:t>
            </w:r>
          </w:p>
        </w:tc>
      </w:tr>
      <w:tr w:rsidR="00811887" w:rsidRPr="00FD40B8" w14:paraId="452D177C" w14:textId="77777777" w:rsidTr="00486E22">
        <w:trPr>
          <w:trHeight w:val="297"/>
        </w:trPr>
        <w:tc>
          <w:tcPr>
            <w:tcW w:w="2834" w:type="dxa"/>
            <w:vMerge/>
            <w:tcBorders>
              <w:top w:val="nil"/>
            </w:tcBorders>
            <w:shd w:val="clear" w:color="auto" w:fill="D5DFDB"/>
          </w:tcPr>
          <w:p w14:paraId="784E4361" w14:textId="77777777" w:rsidR="00811887" w:rsidRPr="00FD40B8" w:rsidRDefault="00811887" w:rsidP="00486E22">
            <w:pPr>
              <w:rPr>
                <w:color w:val="131727" w:themeColor="text1"/>
                <w:sz w:val="2"/>
                <w:szCs w:val="2"/>
              </w:rPr>
            </w:pPr>
          </w:p>
        </w:tc>
        <w:tc>
          <w:tcPr>
            <w:tcW w:w="6521" w:type="dxa"/>
          </w:tcPr>
          <w:p w14:paraId="6D7BE5D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Interruptions</w:t>
            </w:r>
            <w:r w:rsidRPr="00FD40B8">
              <w:rPr>
                <w:color w:val="131727" w:themeColor="text1"/>
                <w:spacing w:val="-3"/>
                <w:w w:val="110"/>
                <w:sz w:val="18"/>
              </w:rPr>
              <w:t xml:space="preserve"> </w:t>
            </w:r>
            <w:r w:rsidRPr="00FD40B8">
              <w:rPr>
                <w:color w:val="131727" w:themeColor="text1"/>
                <w:w w:val="110"/>
                <w:sz w:val="18"/>
              </w:rPr>
              <w:t>(by</w:t>
            </w:r>
            <w:r w:rsidRPr="00FD40B8">
              <w:rPr>
                <w:color w:val="131727" w:themeColor="text1"/>
                <w:spacing w:val="-5"/>
                <w:w w:val="110"/>
                <w:sz w:val="18"/>
              </w:rPr>
              <w:t xml:space="preserve"> </w:t>
            </w:r>
            <w:r w:rsidRPr="00FD40B8">
              <w:rPr>
                <w:color w:val="131727" w:themeColor="text1"/>
                <w:w w:val="110"/>
                <w:sz w:val="18"/>
              </w:rPr>
              <w:t>cause</w:t>
            </w:r>
            <w:r w:rsidRPr="00FD40B8">
              <w:rPr>
                <w:color w:val="131727" w:themeColor="text1"/>
                <w:spacing w:val="-3"/>
                <w:w w:val="110"/>
                <w:sz w:val="18"/>
              </w:rPr>
              <w:t xml:space="preserve"> </w:t>
            </w:r>
            <w:r w:rsidRPr="00FD40B8">
              <w:rPr>
                <w:color w:val="131727" w:themeColor="text1"/>
                <w:w w:val="110"/>
                <w:sz w:val="18"/>
              </w:rPr>
              <w:t>and</w:t>
            </w:r>
            <w:r w:rsidRPr="00FD40B8">
              <w:rPr>
                <w:color w:val="131727" w:themeColor="text1"/>
                <w:spacing w:val="-3"/>
                <w:w w:val="110"/>
                <w:sz w:val="18"/>
              </w:rPr>
              <w:t xml:space="preserve"> </w:t>
            </w:r>
            <w:r w:rsidRPr="00FD40B8">
              <w:rPr>
                <w:color w:val="131727" w:themeColor="text1"/>
                <w:spacing w:val="-2"/>
                <w:w w:val="110"/>
                <w:sz w:val="18"/>
              </w:rPr>
              <w:t>frequency)</w:t>
            </w:r>
          </w:p>
        </w:tc>
      </w:tr>
      <w:tr w:rsidR="00811887" w:rsidRPr="00FD40B8" w14:paraId="07334EC4" w14:textId="77777777" w:rsidTr="00486E22">
        <w:trPr>
          <w:trHeight w:val="301"/>
        </w:trPr>
        <w:tc>
          <w:tcPr>
            <w:tcW w:w="2834" w:type="dxa"/>
            <w:vMerge/>
            <w:tcBorders>
              <w:top w:val="nil"/>
            </w:tcBorders>
            <w:shd w:val="clear" w:color="auto" w:fill="D5DFDB"/>
          </w:tcPr>
          <w:p w14:paraId="6DEADAAB" w14:textId="77777777" w:rsidR="00811887" w:rsidRPr="00FD40B8" w:rsidRDefault="00811887" w:rsidP="00486E22">
            <w:pPr>
              <w:rPr>
                <w:color w:val="131727" w:themeColor="text1"/>
                <w:sz w:val="2"/>
                <w:szCs w:val="2"/>
              </w:rPr>
            </w:pPr>
          </w:p>
        </w:tc>
        <w:tc>
          <w:tcPr>
            <w:tcW w:w="6521" w:type="dxa"/>
          </w:tcPr>
          <w:p w14:paraId="65D3BE2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5"/>
                <w:sz w:val="18"/>
              </w:rPr>
              <w:t>Access</w:t>
            </w:r>
          </w:p>
        </w:tc>
      </w:tr>
      <w:tr w:rsidR="00811887" w:rsidRPr="00FD40B8" w14:paraId="4758BB9B" w14:textId="77777777" w:rsidTr="00486E22">
        <w:trPr>
          <w:trHeight w:val="297"/>
        </w:trPr>
        <w:tc>
          <w:tcPr>
            <w:tcW w:w="2834" w:type="dxa"/>
            <w:vMerge w:val="restart"/>
            <w:shd w:val="clear" w:color="auto" w:fill="D5DFDB"/>
          </w:tcPr>
          <w:p w14:paraId="56617232"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pacing w:val="-2"/>
                <w:sz w:val="18"/>
              </w:rPr>
              <w:t>Sewerage</w:t>
            </w:r>
          </w:p>
        </w:tc>
        <w:tc>
          <w:tcPr>
            <w:tcW w:w="6521" w:type="dxa"/>
          </w:tcPr>
          <w:p w14:paraId="7366BC7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4"/>
                <w:w w:val="110"/>
                <w:sz w:val="18"/>
              </w:rPr>
              <w:t>Type</w:t>
            </w:r>
          </w:p>
        </w:tc>
      </w:tr>
      <w:tr w:rsidR="00811887" w:rsidRPr="00FD40B8" w14:paraId="1D68D736" w14:textId="77777777" w:rsidTr="00486E22">
        <w:trPr>
          <w:trHeight w:val="302"/>
        </w:trPr>
        <w:tc>
          <w:tcPr>
            <w:tcW w:w="2834" w:type="dxa"/>
            <w:vMerge/>
            <w:tcBorders>
              <w:top w:val="nil"/>
            </w:tcBorders>
            <w:shd w:val="clear" w:color="auto" w:fill="D5DFDB"/>
          </w:tcPr>
          <w:p w14:paraId="322200C0" w14:textId="77777777" w:rsidR="00811887" w:rsidRPr="00FD40B8" w:rsidRDefault="00811887" w:rsidP="00486E22">
            <w:pPr>
              <w:rPr>
                <w:color w:val="131727" w:themeColor="text1"/>
                <w:sz w:val="2"/>
                <w:szCs w:val="2"/>
              </w:rPr>
            </w:pPr>
          </w:p>
        </w:tc>
        <w:tc>
          <w:tcPr>
            <w:tcW w:w="6521" w:type="dxa"/>
          </w:tcPr>
          <w:p w14:paraId="5D839E9D" w14:textId="77777777" w:rsidR="00811887" w:rsidRPr="00FD40B8" w:rsidRDefault="00811887" w:rsidP="00486E22">
            <w:pPr>
              <w:pStyle w:val="TableParagraph"/>
              <w:spacing w:before="25" w:line="240" w:lineRule="auto"/>
              <w:ind w:left="104"/>
              <w:rPr>
                <w:color w:val="131727" w:themeColor="text1"/>
                <w:sz w:val="18"/>
              </w:rPr>
            </w:pPr>
            <w:r w:rsidRPr="00FD40B8">
              <w:rPr>
                <w:color w:val="131727" w:themeColor="text1"/>
                <w:w w:val="110"/>
                <w:sz w:val="18"/>
              </w:rPr>
              <w:t>Overflows</w:t>
            </w:r>
            <w:r w:rsidRPr="00FD40B8">
              <w:rPr>
                <w:color w:val="131727" w:themeColor="text1"/>
                <w:spacing w:val="-8"/>
                <w:w w:val="110"/>
                <w:sz w:val="18"/>
              </w:rPr>
              <w:t xml:space="preserve"> </w:t>
            </w:r>
            <w:r w:rsidRPr="00FD40B8">
              <w:rPr>
                <w:color w:val="131727" w:themeColor="text1"/>
                <w:w w:val="110"/>
                <w:sz w:val="18"/>
              </w:rPr>
              <w:t>+</w:t>
            </w:r>
            <w:r w:rsidRPr="00FD40B8">
              <w:rPr>
                <w:color w:val="131727" w:themeColor="text1"/>
                <w:spacing w:val="-3"/>
                <w:w w:val="110"/>
                <w:sz w:val="18"/>
              </w:rPr>
              <w:t xml:space="preserve"> </w:t>
            </w:r>
            <w:r w:rsidRPr="00FD40B8">
              <w:rPr>
                <w:color w:val="131727" w:themeColor="text1"/>
                <w:spacing w:val="-2"/>
                <w:w w:val="110"/>
                <w:sz w:val="18"/>
              </w:rPr>
              <w:t>leakages</w:t>
            </w:r>
          </w:p>
        </w:tc>
      </w:tr>
      <w:tr w:rsidR="00811887" w:rsidRPr="00FD40B8" w14:paraId="7E346A2D" w14:textId="77777777" w:rsidTr="00486E22">
        <w:trPr>
          <w:trHeight w:val="301"/>
        </w:trPr>
        <w:tc>
          <w:tcPr>
            <w:tcW w:w="2834" w:type="dxa"/>
            <w:vMerge/>
            <w:tcBorders>
              <w:top w:val="nil"/>
            </w:tcBorders>
            <w:shd w:val="clear" w:color="auto" w:fill="D5DFDB"/>
          </w:tcPr>
          <w:p w14:paraId="5A14F4DA" w14:textId="77777777" w:rsidR="00811887" w:rsidRPr="00FD40B8" w:rsidRDefault="00811887" w:rsidP="00486E22">
            <w:pPr>
              <w:rPr>
                <w:color w:val="131727" w:themeColor="text1"/>
                <w:sz w:val="2"/>
                <w:szCs w:val="2"/>
              </w:rPr>
            </w:pPr>
          </w:p>
        </w:tc>
        <w:tc>
          <w:tcPr>
            <w:tcW w:w="6521" w:type="dxa"/>
          </w:tcPr>
          <w:p w14:paraId="71023EE9"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Frequency</w:t>
            </w:r>
          </w:p>
        </w:tc>
      </w:tr>
      <w:tr w:rsidR="00811887" w:rsidRPr="00FD40B8" w14:paraId="2B3FC972" w14:textId="77777777" w:rsidTr="00486E22">
        <w:trPr>
          <w:trHeight w:val="297"/>
        </w:trPr>
        <w:tc>
          <w:tcPr>
            <w:tcW w:w="2834" w:type="dxa"/>
            <w:shd w:val="clear" w:color="auto" w:fill="D5DFDB"/>
          </w:tcPr>
          <w:p w14:paraId="3BDA322A"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Flooding and</w:t>
            </w:r>
            <w:r w:rsidRPr="00FD40B8">
              <w:rPr>
                <w:rFonts w:ascii="Garamond"/>
                <w:color w:val="131727" w:themeColor="text1"/>
                <w:spacing w:val="-3"/>
                <w:sz w:val="18"/>
              </w:rPr>
              <w:t xml:space="preserve"> </w:t>
            </w:r>
            <w:r w:rsidRPr="00FD40B8">
              <w:rPr>
                <w:rFonts w:ascii="Garamond"/>
                <w:color w:val="131727" w:themeColor="text1"/>
                <w:spacing w:val="-2"/>
                <w:sz w:val="18"/>
              </w:rPr>
              <w:t>Ponding</w:t>
            </w:r>
          </w:p>
        </w:tc>
        <w:tc>
          <w:tcPr>
            <w:tcW w:w="6521" w:type="dxa"/>
          </w:tcPr>
          <w:p w14:paraId="3CC34BCD"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Located/not</w:t>
            </w:r>
            <w:r w:rsidRPr="00FD40B8">
              <w:rPr>
                <w:color w:val="131727" w:themeColor="text1"/>
                <w:spacing w:val="-10"/>
                <w:w w:val="110"/>
                <w:sz w:val="18"/>
              </w:rPr>
              <w:t xml:space="preserve"> </w:t>
            </w:r>
            <w:r w:rsidRPr="00FD40B8">
              <w:rPr>
                <w:color w:val="131727" w:themeColor="text1"/>
                <w:w w:val="110"/>
                <w:sz w:val="18"/>
              </w:rPr>
              <w:t>located</w:t>
            </w:r>
            <w:r w:rsidRPr="00FD40B8">
              <w:rPr>
                <w:color w:val="131727" w:themeColor="text1"/>
                <w:spacing w:val="-9"/>
                <w:w w:val="110"/>
                <w:sz w:val="18"/>
              </w:rPr>
              <w:t xml:space="preserve"> </w:t>
            </w:r>
            <w:r w:rsidRPr="00FD40B8">
              <w:rPr>
                <w:color w:val="131727" w:themeColor="text1"/>
                <w:w w:val="110"/>
                <w:sz w:val="18"/>
              </w:rPr>
              <w:t>in</w:t>
            </w:r>
            <w:r w:rsidRPr="00FD40B8">
              <w:rPr>
                <w:color w:val="131727" w:themeColor="text1"/>
                <w:spacing w:val="-7"/>
                <w:w w:val="110"/>
                <w:sz w:val="18"/>
              </w:rPr>
              <w:t xml:space="preserve"> </w:t>
            </w:r>
            <w:r w:rsidRPr="00FD40B8">
              <w:rPr>
                <w:color w:val="131727" w:themeColor="text1"/>
                <w:spacing w:val="-4"/>
                <w:w w:val="110"/>
                <w:sz w:val="18"/>
              </w:rPr>
              <w:t>town</w:t>
            </w:r>
          </w:p>
        </w:tc>
      </w:tr>
      <w:tr w:rsidR="00811887" w:rsidRPr="00FD40B8" w14:paraId="7495ECDF" w14:textId="77777777" w:rsidTr="00486E22">
        <w:trPr>
          <w:trHeight w:val="301"/>
        </w:trPr>
        <w:tc>
          <w:tcPr>
            <w:tcW w:w="2834" w:type="dxa"/>
            <w:vMerge w:val="restart"/>
            <w:shd w:val="clear" w:color="auto" w:fill="D5DFDB"/>
          </w:tcPr>
          <w:p w14:paraId="491FE950" w14:textId="77777777" w:rsidR="00811887" w:rsidRPr="00FD40B8" w:rsidRDefault="00811887" w:rsidP="00486E22">
            <w:pPr>
              <w:pStyle w:val="TableParagraph"/>
              <w:spacing w:before="36" w:line="240" w:lineRule="auto"/>
              <w:ind w:left="110"/>
              <w:rPr>
                <w:rFonts w:ascii="Garamond"/>
                <w:color w:val="131727" w:themeColor="text1"/>
                <w:sz w:val="18"/>
              </w:rPr>
            </w:pPr>
            <w:r w:rsidRPr="00FD40B8">
              <w:rPr>
                <w:rFonts w:ascii="Garamond"/>
                <w:color w:val="131727" w:themeColor="text1"/>
                <w:sz w:val="18"/>
              </w:rPr>
              <w:t>Transport</w:t>
            </w:r>
            <w:r w:rsidRPr="00FD40B8">
              <w:rPr>
                <w:rFonts w:ascii="Garamond"/>
                <w:color w:val="131727" w:themeColor="text1"/>
                <w:spacing w:val="-1"/>
                <w:sz w:val="18"/>
              </w:rPr>
              <w:t xml:space="preserve"> </w:t>
            </w:r>
            <w:r w:rsidRPr="00FD40B8">
              <w:rPr>
                <w:rFonts w:ascii="Garamond"/>
                <w:color w:val="131727" w:themeColor="text1"/>
                <w:sz w:val="18"/>
              </w:rPr>
              <w:t>and</w:t>
            </w:r>
            <w:r w:rsidRPr="00FD40B8">
              <w:rPr>
                <w:rFonts w:ascii="Garamond"/>
                <w:color w:val="131727" w:themeColor="text1"/>
                <w:spacing w:val="-5"/>
                <w:sz w:val="18"/>
              </w:rPr>
              <w:t xml:space="preserve"> </w:t>
            </w:r>
            <w:r w:rsidRPr="00FD40B8">
              <w:rPr>
                <w:rFonts w:ascii="Garamond"/>
                <w:color w:val="131727" w:themeColor="text1"/>
                <w:sz w:val="18"/>
              </w:rPr>
              <w:t>Community</w:t>
            </w:r>
            <w:r w:rsidRPr="00FD40B8">
              <w:rPr>
                <w:rFonts w:ascii="Garamond"/>
                <w:color w:val="131727" w:themeColor="text1"/>
                <w:spacing w:val="-10"/>
                <w:sz w:val="18"/>
              </w:rPr>
              <w:t xml:space="preserve"> </w:t>
            </w:r>
            <w:r w:rsidRPr="00FD40B8">
              <w:rPr>
                <w:rFonts w:ascii="Garamond"/>
                <w:color w:val="131727" w:themeColor="text1"/>
                <w:spacing w:val="-2"/>
                <w:sz w:val="18"/>
              </w:rPr>
              <w:t>Access</w:t>
            </w:r>
          </w:p>
        </w:tc>
        <w:tc>
          <w:tcPr>
            <w:tcW w:w="6521" w:type="dxa"/>
          </w:tcPr>
          <w:p w14:paraId="6846862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Main</w:t>
            </w:r>
            <w:r w:rsidRPr="00FD40B8">
              <w:rPr>
                <w:color w:val="131727" w:themeColor="text1"/>
                <w:spacing w:val="-12"/>
                <w:w w:val="110"/>
                <w:sz w:val="18"/>
              </w:rPr>
              <w:t xml:space="preserve"> </w:t>
            </w:r>
            <w:r w:rsidRPr="00FD40B8">
              <w:rPr>
                <w:color w:val="131727" w:themeColor="text1"/>
                <w:w w:val="110"/>
                <w:sz w:val="18"/>
              </w:rPr>
              <w:t>mode</w:t>
            </w:r>
            <w:r w:rsidRPr="00FD40B8">
              <w:rPr>
                <w:color w:val="131727" w:themeColor="text1"/>
                <w:spacing w:val="-11"/>
                <w:w w:val="110"/>
                <w:sz w:val="18"/>
              </w:rPr>
              <w:t xml:space="preserve"> </w:t>
            </w:r>
            <w:r w:rsidRPr="00FD40B8">
              <w:rPr>
                <w:color w:val="131727" w:themeColor="text1"/>
                <w:w w:val="110"/>
                <w:sz w:val="18"/>
              </w:rPr>
              <w:t>of</w:t>
            </w:r>
            <w:r w:rsidRPr="00FD40B8">
              <w:rPr>
                <w:color w:val="131727" w:themeColor="text1"/>
                <w:spacing w:val="-11"/>
                <w:w w:val="110"/>
                <w:sz w:val="18"/>
              </w:rPr>
              <w:t xml:space="preserve"> </w:t>
            </w:r>
            <w:r w:rsidRPr="00FD40B8">
              <w:rPr>
                <w:color w:val="131727" w:themeColor="text1"/>
                <w:w w:val="110"/>
                <w:sz w:val="18"/>
              </w:rPr>
              <w:t>transport</w:t>
            </w:r>
            <w:r w:rsidRPr="00FD40B8">
              <w:rPr>
                <w:color w:val="131727" w:themeColor="text1"/>
                <w:spacing w:val="-6"/>
                <w:w w:val="110"/>
                <w:sz w:val="18"/>
              </w:rPr>
              <w:t xml:space="preserve"> </w:t>
            </w:r>
            <w:r w:rsidRPr="00FD40B8">
              <w:rPr>
                <w:color w:val="131727" w:themeColor="text1"/>
                <w:w w:val="110"/>
                <w:sz w:val="18"/>
              </w:rPr>
              <w:t>(road,</w:t>
            </w:r>
            <w:r w:rsidRPr="00FD40B8">
              <w:rPr>
                <w:color w:val="131727" w:themeColor="text1"/>
                <w:spacing w:val="-8"/>
                <w:w w:val="110"/>
                <w:sz w:val="18"/>
              </w:rPr>
              <w:t xml:space="preserve"> </w:t>
            </w:r>
            <w:r w:rsidRPr="00FD40B8">
              <w:rPr>
                <w:color w:val="131727" w:themeColor="text1"/>
                <w:w w:val="110"/>
                <w:sz w:val="18"/>
              </w:rPr>
              <w:t>air,</w:t>
            </w:r>
            <w:r w:rsidRPr="00FD40B8">
              <w:rPr>
                <w:color w:val="131727" w:themeColor="text1"/>
                <w:spacing w:val="-11"/>
                <w:w w:val="110"/>
                <w:sz w:val="18"/>
              </w:rPr>
              <w:t xml:space="preserve"> </w:t>
            </w:r>
            <w:r w:rsidRPr="00FD40B8">
              <w:rPr>
                <w:color w:val="131727" w:themeColor="text1"/>
                <w:spacing w:val="-4"/>
                <w:w w:val="110"/>
                <w:sz w:val="18"/>
              </w:rPr>
              <w:t>sea)</w:t>
            </w:r>
          </w:p>
        </w:tc>
      </w:tr>
      <w:tr w:rsidR="00811887" w:rsidRPr="00FD40B8" w14:paraId="42326895" w14:textId="77777777" w:rsidTr="00486E22">
        <w:trPr>
          <w:trHeight w:val="297"/>
        </w:trPr>
        <w:tc>
          <w:tcPr>
            <w:tcW w:w="2834" w:type="dxa"/>
            <w:vMerge/>
            <w:tcBorders>
              <w:top w:val="nil"/>
            </w:tcBorders>
            <w:shd w:val="clear" w:color="auto" w:fill="D5DFDB"/>
          </w:tcPr>
          <w:p w14:paraId="36AD0B44" w14:textId="77777777" w:rsidR="00811887" w:rsidRPr="00FD40B8" w:rsidRDefault="00811887" w:rsidP="00486E22">
            <w:pPr>
              <w:rPr>
                <w:color w:val="131727" w:themeColor="text1"/>
                <w:sz w:val="2"/>
                <w:szCs w:val="2"/>
              </w:rPr>
            </w:pPr>
          </w:p>
        </w:tc>
        <w:tc>
          <w:tcPr>
            <w:tcW w:w="6521" w:type="dxa"/>
          </w:tcPr>
          <w:p w14:paraId="27960B0B"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05"/>
                <w:sz w:val="18"/>
              </w:rPr>
              <w:t>Method</w:t>
            </w:r>
            <w:r w:rsidRPr="00FD40B8">
              <w:rPr>
                <w:color w:val="131727" w:themeColor="text1"/>
                <w:spacing w:val="8"/>
                <w:w w:val="105"/>
                <w:sz w:val="18"/>
              </w:rPr>
              <w:t xml:space="preserve"> </w:t>
            </w:r>
            <w:r w:rsidRPr="00FD40B8">
              <w:rPr>
                <w:color w:val="131727" w:themeColor="text1"/>
                <w:w w:val="105"/>
                <w:sz w:val="18"/>
              </w:rPr>
              <w:t>(private,</w:t>
            </w:r>
            <w:r w:rsidRPr="00FD40B8">
              <w:rPr>
                <w:color w:val="131727" w:themeColor="text1"/>
                <w:spacing w:val="7"/>
                <w:w w:val="105"/>
                <w:sz w:val="18"/>
              </w:rPr>
              <w:t xml:space="preserve"> </w:t>
            </w:r>
            <w:r w:rsidRPr="00FD40B8">
              <w:rPr>
                <w:color w:val="131727" w:themeColor="text1"/>
                <w:w w:val="105"/>
                <w:sz w:val="18"/>
              </w:rPr>
              <w:t>public,</w:t>
            </w:r>
            <w:r w:rsidRPr="00FD40B8">
              <w:rPr>
                <w:color w:val="131727" w:themeColor="text1"/>
                <w:spacing w:val="1"/>
                <w:w w:val="105"/>
                <w:sz w:val="18"/>
              </w:rPr>
              <w:t xml:space="preserve"> </w:t>
            </w:r>
            <w:r w:rsidRPr="00FD40B8">
              <w:rPr>
                <w:color w:val="131727" w:themeColor="text1"/>
                <w:spacing w:val="-2"/>
                <w:w w:val="105"/>
                <w:sz w:val="18"/>
              </w:rPr>
              <w:t>community)</w:t>
            </w:r>
          </w:p>
        </w:tc>
      </w:tr>
      <w:tr w:rsidR="00811887" w:rsidRPr="00FD40B8" w14:paraId="5319D98F" w14:textId="77777777" w:rsidTr="00486E22">
        <w:trPr>
          <w:trHeight w:val="302"/>
        </w:trPr>
        <w:tc>
          <w:tcPr>
            <w:tcW w:w="2834" w:type="dxa"/>
            <w:vMerge/>
            <w:tcBorders>
              <w:top w:val="nil"/>
            </w:tcBorders>
            <w:shd w:val="clear" w:color="auto" w:fill="D5DFDB"/>
          </w:tcPr>
          <w:p w14:paraId="22E2EFD3" w14:textId="77777777" w:rsidR="00811887" w:rsidRPr="00FD40B8" w:rsidRDefault="00811887" w:rsidP="00486E22">
            <w:pPr>
              <w:rPr>
                <w:color w:val="131727" w:themeColor="text1"/>
                <w:sz w:val="2"/>
                <w:szCs w:val="2"/>
              </w:rPr>
            </w:pPr>
          </w:p>
        </w:tc>
        <w:tc>
          <w:tcPr>
            <w:tcW w:w="6521" w:type="dxa"/>
          </w:tcPr>
          <w:p w14:paraId="7717475E"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spacing w:val="-2"/>
                <w:w w:val="115"/>
                <w:sz w:val="18"/>
              </w:rPr>
              <w:t>Road</w:t>
            </w:r>
            <w:r w:rsidRPr="00FD40B8">
              <w:rPr>
                <w:color w:val="131727" w:themeColor="text1"/>
                <w:spacing w:val="-9"/>
                <w:w w:val="115"/>
                <w:sz w:val="18"/>
              </w:rPr>
              <w:t xml:space="preserve"> </w:t>
            </w:r>
            <w:r w:rsidRPr="00FD40B8">
              <w:rPr>
                <w:color w:val="131727" w:themeColor="text1"/>
                <w:spacing w:val="-2"/>
                <w:w w:val="115"/>
                <w:sz w:val="18"/>
              </w:rPr>
              <w:t>access</w:t>
            </w:r>
          </w:p>
        </w:tc>
      </w:tr>
      <w:tr w:rsidR="00811887" w:rsidRPr="00FD40B8" w14:paraId="3A30C729" w14:textId="77777777" w:rsidTr="00486E22">
        <w:trPr>
          <w:trHeight w:val="301"/>
        </w:trPr>
        <w:tc>
          <w:tcPr>
            <w:tcW w:w="2834" w:type="dxa"/>
            <w:vMerge/>
            <w:tcBorders>
              <w:top w:val="nil"/>
            </w:tcBorders>
            <w:shd w:val="clear" w:color="auto" w:fill="D5DFDB"/>
          </w:tcPr>
          <w:p w14:paraId="21BC18E5" w14:textId="77777777" w:rsidR="00811887" w:rsidRPr="00FD40B8" w:rsidRDefault="00811887" w:rsidP="00486E22">
            <w:pPr>
              <w:rPr>
                <w:color w:val="131727" w:themeColor="text1"/>
                <w:sz w:val="2"/>
                <w:szCs w:val="2"/>
              </w:rPr>
            </w:pPr>
          </w:p>
        </w:tc>
        <w:tc>
          <w:tcPr>
            <w:tcW w:w="6521" w:type="dxa"/>
          </w:tcPr>
          <w:p w14:paraId="4813C9C8"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Airstrip</w:t>
            </w:r>
          </w:p>
        </w:tc>
      </w:tr>
      <w:tr w:rsidR="00811887" w:rsidRPr="00FD40B8" w14:paraId="3B53CFE3" w14:textId="77777777" w:rsidTr="00486E22">
        <w:trPr>
          <w:trHeight w:val="489"/>
        </w:trPr>
        <w:tc>
          <w:tcPr>
            <w:tcW w:w="2834" w:type="dxa"/>
            <w:vMerge/>
            <w:tcBorders>
              <w:top w:val="nil"/>
            </w:tcBorders>
            <w:shd w:val="clear" w:color="auto" w:fill="D5DFDB"/>
          </w:tcPr>
          <w:p w14:paraId="7C555100" w14:textId="77777777" w:rsidR="00811887" w:rsidRPr="00FD40B8" w:rsidRDefault="00811887" w:rsidP="00486E22">
            <w:pPr>
              <w:rPr>
                <w:color w:val="131727" w:themeColor="text1"/>
                <w:sz w:val="2"/>
                <w:szCs w:val="2"/>
              </w:rPr>
            </w:pPr>
          </w:p>
        </w:tc>
        <w:tc>
          <w:tcPr>
            <w:tcW w:w="6521" w:type="dxa"/>
          </w:tcPr>
          <w:p w14:paraId="7011566C"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Accommodation (visitor,</w:t>
            </w:r>
            <w:r w:rsidRPr="00FD40B8">
              <w:rPr>
                <w:color w:val="131727" w:themeColor="text1"/>
                <w:spacing w:val="-1"/>
                <w:w w:val="110"/>
                <w:sz w:val="18"/>
              </w:rPr>
              <w:t xml:space="preserve"> </w:t>
            </w:r>
            <w:r w:rsidRPr="00FD40B8">
              <w:rPr>
                <w:color w:val="131727" w:themeColor="text1"/>
                <w:spacing w:val="-2"/>
                <w:w w:val="110"/>
                <w:sz w:val="18"/>
              </w:rPr>
              <w:t>camping,</w:t>
            </w:r>
            <w:r w:rsidRPr="00FD40B8">
              <w:rPr>
                <w:color w:val="131727" w:themeColor="text1"/>
                <w:spacing w:val="-1"/>
                <w:w w:val="110"/>
                <w:sz w:val="18"/>
              </w:rPr>
              <w:t xml:space="preserve"> </w:t>
            </w:r>
            <w:r w:rsidRPr="00FD40B8">
              <w:rPr>
                <w:color w:val="131727" w:themeColor="text1"/>
                <w:spacing w:val="-2"/>
                <w:w w:val="110"/>
                <w:sz w:val="18"/>
              </w:rPr>
              <w:t>single</w:t>
            </w:r>
            <w:r w:rsidRPr="00FD40B8">
              <w:rPr>
                <w:color w:val="131727" w:themeColor="text1"/>
                <w:spacing w:val="-3"/>
                <w:w w:val="110"/>
                <w:sz w:val="18"/>
              </w:rPr>
              <w:t xml:space="preserve"> </w:t>
            </w:r>
            <w:r w:rsidRPr="00FD40B8">
              <w:rPr>
                <w:color w:val="131727" w:themeColor="text1"/>
                <w:spacing w:val="-2"/>
                <w:w w:val="110"/>
                <w:sz w:val="18"/>
              </w:rPr>
              <w:t>men/women accommodation,</w:t>
            </w:r>
          </w:p>
          <w:p w14:paraId="642D5CF3" w14:textId="77777777" w:rsidR="00811887" w:rsidRPr="00FD40B8" w:rsidRDefault="00811887" w:rsidP="00486E22">
            <w:pPr>
              <w:pStyle w:val="TableParagraph"/>
              <w:spacing w:before="25" w:line="204" w:lineRule="exact"/>
              <w:ind w:left="104"/>
              <w:rPr>
                <w:color w:val="131727" w:themeColor="text1"/>
                <w:sz w:val="18"/>
              </w:rPr>
            </w:pPr>
            <w:r w:rsidRPr="00FD40B8">
              <w:rPr>
                <w:color w:val="131727" w:themeColor="text1"/>
                <w:w w:val="105"/>
                <w:sz w:val="18"/>
              </w:rPr>
              <w:t>disability,</w:t>
            </w:r>
            <w:r w:rsidRPr="00FD40B8">
              <w:rPr>
                <w:color w:val="131727" w:themeColor="text1"/>
                <w:spacing w:val="12"/>
                <w:w w:val="105"/>
                <w:sz w:val="18"/>
              </w:rPr>
              <w:t xml:space="preserve"> </w:t>
            </w:r>
            <w:r w:rsidRPr="00FD40B8">
              <w:rPr>
                <w:color w:val="131727" w:themeColor="text1"/>
                <w:w w:val="105"/>
                <w:sz w:val="18"/>
              </w:rPr>
              <w:t>aged,</w:t>
            </w:r>
            <w:r w:rsidRPr="00FD40B8">
              <w:rPr>
                <w:color w:val="131727" w:themeColor="text1"/>
                <w:spacing w:val="12"/>
                <w:w w:val="105"/>
                <w:sz w:val="18"/>
              </w:rPr>
              <w:t xml:space="preserve"> </w:t>
            </w:r>
            <w:r w:rsidRPr="00FD40B8">
              <w:rPr>
                <w:color w:val="131727" w:themeColor="text1"/>
                <w:w w:val="105"/>
                <w:sz w:val="18"/>
              </w:rPr>
              <w:t>women’s</w:t>
            </w:r>
            <w:r w:rsidRPr="00FD40B8">
              <w:rPr>
                <w:color w:val="131727" w:themeColor="text1"/>
                <w:spacing w:val="15"/>
                <w:w w:val="105"/>
                <w:sz w:val="18"/>
              </w:rPr>
              <w:t xml:space="preserve"> </w:t>
            </w:r>
            <w:r w:rsidRPr="00FD40B8">
              <w:rPr>
                <w:color w:val="131727" w:themeColor="text1"/>
                <w:w w:val="105"/>
                <w:sz w:val="18"/>
              </w:rPr>
              <w:t>refuge,</w:t>
            </w:r>
            <w:r w:rsidRPr="00FD40B8">
              <w:rPr>
                <w:color w:val="131727" w:themeColor="text1"/>
                <w:spacing w:val="7"/>
                <w:w w:val="105"/>
                <w:sz w:val="18"/>
              </w:rPr>
              <w:t xml:space="preserve"> </w:t>
            </w:r>
            <w:r w:rsidRPr="00FD40B8">
              <w:rPr>
                <w:color w:val="131727" w:themeColor="text1"/>
                <w:w w:val="105"/>
                <w:sz w:val="18"/>
              </w:rPr>
              <w:t>contract</w:t>
            </w:r>
            <w:r w:rsidRPr="00FD40B8">
              <w:rPr>
                <w:color w:val="131727" w:themeColor="text1"/>
                <w:spacing w:val="14"/>
                <w:w w:val="105"/>
                <w:sz w:val="18"/>
              </w:rPr>
              <w:t xml:space="preserve"> </w:t>
            </w:r>
            <w:r w:rsidRPr="00FD40B8">
              <w:rPr>
                <w:color w:val="131727" w:themeColor="text1"/>
                <w:w w:val="105"/>
                <w:sz w:val="18"/>
              </w:rPr>
              <w:t>workers,</w:t>
            </w:r>
            <w:r w:rsidRPr="00FD40B8">
              <w:rPr>
                <w:color w:val="131727" w:themeColor="text1"/>
                <w:spacing w:val="13"/>
                <w:w w:val="105"/>
                <w:sz w:val="18"/>
              </w:rPr>
              <w:t xml:space="preserve"> </w:t>
            </w:r>
            <w:r w:rsidRPr="00FD40B8">
              <w:rPr>
                <w:color w:val="131727" w:themeColor="text1"/>
                <w:spacing w:val="-2"/>
                <w:w w:val="105"/>
                <w:sz w:val="18"/>
              </w:rPr>
              <w:t>hostel)</w:t>
            </w:r>
          </w:p>
        </w:tc>
      </w:tr>
      <w:tr w:rsidR="00811887" w:rsidRPr="00FD40B8" w14:paraId="18A7DDA6" w14:textId="77777777" w:rsidTr="00486E22">
        <w:trPr>
          <w:trHeight w:val="734"/>
        </w:trPr>
        <w:tc>
          <w:tcPr>
            <w:tcW w:w="2834" w:type="dxa"/>
            <w:vMerge w:val="restart"/>
            <w:shd w:val="clear" w:color="auto" w:fill="D5DFDB"/>
          </w:tcPr>
          <w:p w14:paraId="195B09BD"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Other</w:t>
            </w:r>
            <w:r w:rsidRPr="00FD40B8">
              <w:rPr>
                <w:rFonts w:ascii="Garamond"/>
                <w:color w:val="131727" w:themeColor="text1"/>
                <w:spacing w:val="1"/>
                <w:sz w:val="18"/>
              </w:rPr>
              <w:t xml:space="preserve"> </w:t>
            </w:r>
            <w:r w:rsidRPr="00FD40B8">
              <w:rPr>
                <w:rFonts w:ascii="Garamond"/>
                <w:color w:val="131727" w:themeColor="text1"/>
                <w:spacing w:val="-2"/>
                <w:sz w:val="18"/>
              </w:rPr>
              <w:t>facilities</w:t>
            </w:r>
          </w:p>
        </w:tc>
        <w:tc>
          <w:tcPr>
            <w:tcW w:w="6521" w:type="dxa"/>
          </w:tcPr>
          <w:p w14:paraId="54915C12" w14:textId="77777777" w:rsidR="00811887" w:rsidRPr="00FD40B8" w:rsidRDefault="00811887" w:rsidP="00486E22">
            <w:pPr>
              <w:pStyle w:val="TableParagraph"/>
              <w:spacing w:before="20" w:line="266" w:lineRule="auto"/>
              <w:ind w:left="104"/>
              <w:rPr>
                <w:color w:val="131727" w:themeColor="text1"/>
                <w:sz w:val="18"/>
              </w:rPr>
            </w:pPr>
            <w:r w:rsidRPr="00FD40B8">
              <w:rPr>
                <w:color w:val="131727" w:themeColor="text1"/>
                <w:w w:val="105"/>
                <w:sz w:val="18"/>
              </w:rPr>
              <w:t>Public facilities (hall/meeting area, administration building, library, arts/cultural centre, store, library, women’s centre, childcare, youth centre, canteen,</w:t>
            </w:r>
          </w:p>
          <w:p w14:paraId="6785F228" w14:textId="77777777" w:rsidR="00811887" w:rsidRPr="00FD40B8" w:rsidRDefault="00811887" w:rsidP="00486E22">
            <w:pPr>
              <w:pStyle w:val="TableParagraph"/>
              <w:spacing w:before="2" w:line="204" w:lineRule="exact"/>
              <w:ind w:left="104"/>
              <w:rPr>
                <w:color w:val="131727" w:themeColor="text1"/>
                <w:sz w:val="18"/>
              </w:rPr>
            </w:pPr>
            <w:r w:rsidRPr="00FD40B8">
              <w:rPr>
                <w:color w:val="131727" w:themeColor="text1"/>
                <w:w w:val="110"/>
                <w:sz w:val="18"/>
              </w:rPr>
              <w:t>broadcasting</w:t>
            </w:r>
            <w:r w:rsidRPr="00FD40B8">
              <w:rPr>
                <w:color w:val="131727" w:themeColor="text1"/>
                <w:spacing w:val="4"/>
                <w:w w:val="110"/>
                <w:sz w:val="18"/>
              </w:rPr>
              <w:t xml:space="preserve"> </w:t>
            </w:r>
            <w:r w:rsidRPr="00FD40B8">
              <w:rPr>
                <w:color w:val="131727" w:themeColor="text1"/>
                <w:spacing w:val="-2"/>
                <w:w w:val="110"/>
                <w:sz w:val="18"/>
              </w:rPr>
              <w:t>facilities)</w:t>
            </w:r>
          </w:p>
        </w:tc>
      </w:tr>
      <w:tr w:rsidR="00811887" w:rsidRPr="00FD40B8" w14:paraId="10935172" w14:textId="77777777" w:rsidTr="00486E22">
        <w:trPr>
          <w:trHeight w:val="489"/>
        </w:trPr>
        <w:tc>
          <w:tcPr>
            <w:tcW w:w="2834" w:type="dxa"/>
            <w:vMerge/>
            <w:tcBorders>
              <w:top w:val="nil"/>
            </w:tcBorders>
            <w:shd w:val="clear" w:color="auto" w:fill="D5DFDB"/>
          </w:tcPr>
          <w:p w14:paraId="7AEED91B" w14:textId="77777777" w:rsidR="00811887" w:rsidRPr="00FD40B8" w:rsidRDefault="00811887" w:rsidP="00486E22">
            <w:pPr>
              <w:rPr>
                <w:color w:val="131727" w:themeColor="text1"/>
                <w:sz w:val="2"/>
                <w:szCs w:val="2"/>
              </w:rPr>
            </w:pPr>
          </w:p>
        </w:tc>
        <w:tc>
          <w:tcPr>
            <w:tcW w:w="6521" w:type="dxa"/>
          </w:tcPr>
          <w:p w14:paraId="380BDCA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Sports</w:t>
            </w:r>
            <w:r w:rsidRPr="00FD40B8">
              <w:rPr>
                <w:color w:val="131727" w:themeColor="text1"/>
                <w:spacing w:val="10"/>
                <w:w w:val="110"/>
                <w:sz w:val="18"/>
              </w:rPr>
              <w:t xml:space="preserve"> </w:t>
            </w:r>
            <w:r w:rsidRPr="00FD40B8">
              <w:rPr>
                <w:color w:val="131727" w:themeColor="text1"/>
                <w:spacing w:val="-2"/>
                <w:w w:val="110"/>
                <w:sz w:val="18"/>
              </w:rPr>
              <w:t>facilities</w:t>
            </w:r>
            <w:r w:rsidRPr="00FD40B8">
              <w:rPr>
                <w:color w:val="131727" w:themeColor="text1"/>
                <w:spacing w:val="11"/>
                <w:w w:val="110"/>
                <w:sz w:val="18"/>
              </w:rPr>
              <w:t xml:space="preserve"> </w:t>
            </w:r>
            <w:r w:rsidRPr="00FD40B8">
              <w:rPr>
                <w:color w:val="131727" w:themeColor="text1"/>
                <w:spacing w:val="-2"/>
                <w:w w:val="110"/>
                <w:sz w:val="18"/>
              </w:rPr>
              <w:t>(sports</w:t>
            </w:r>
            <w:r w:rsidRPr="00FD40B8">
              <w:rPr>
                <w:color w:val="131727" w:themeColor="text1"/>
                <w:spacing w:val="5"/>
                <w:w w:val="110"/>
                <w:sz w:val="18"/>
              </w:rPr>
              <w:t xml:space="preserve"> </w:t>
            </w:r>
            <w:r w:rsidRPr="00FD40B8">
              <w:rPr>
                <w:color w:val="131727" w:themeColor="text1"/>
                <w:spacing w:val="-2"/>
                <w:w w:val="110"/>
                <w:sz w:val="18"/>
              </w:rPr>
              <w:t>grounds,</w:t>
            </w:r>
            <w:r w:rsidRPr="00FD40B8">
              <w:rPr>
                <w:color w:val="131727" w:themeColor="text1"/>
                <w:spacing w:val="3"/>
                <w:w w:val="110"/>
                <w:sz w:val="18"/>
              </w:rPr>
              <w:t xml:space="preserve"> </w:t>
            </w:r>
            <w:r w:rsidRPr="00FD40B8">
              <w:rPr>
                <w:color w:val="131727" w:themeColor="text1"/>
                <w:spacing w:val="-2"/>
                <w:w w:val="110"/>
                <w:sz w:val="18"/>
              </w:rPr>
              <w:t>basketball/netball</w:t>
            </w:r>
            <w:r w:rsidRPr="00FD40B8">
              <w:rPr>
                <w:color w:val="131727" w:themeColor="text1"/>
                <w:spacing w:val="6"/>
                <w:w w:val="110"/>
                <w:sz w:val="18"/>
              </w:rPr>
              <w:t xml:space="preserve"> </w:t>
            </w:r>
            <w:r w:rsidRPr="00FD40B8">
              <w:rPr>
                <w:color w:val="131727" w:themeColor="text1"/>
                <w:spacing w:val="-2"/>
                <w:w w:val="110"/>
                <w:sz w:val="18"/>
              </w:rPr>
              <w:t>courts,</w:t>
            </w:r>
            <w:r w:rsidRPr="00FD40B8">
              <w:rPr>
                <w:color w:val="131727" w:themeColor="text1"/>
                <w:spacing w:val="3"/>
                <w:w w:val="110"/>
                <w:sz w:val="18"/>
              </w:rPr>
              <w:t xml:space="preserve"> </w:t>
            </w:r>
            <w:r w:rsidRPr="00FD40B8">
              <w:rPr>
                <w:color w:val="131727" w:themeColor="text1"/>
                <w:spacing w:val="-2"/>
                <w:w w:val="110"/>
                <w:sz w:val="18"/>
              </w:rPr>
              <w:t>indoor</w:t>
            </w:r>
            <w:r w:rsidRPr="00FD40B8">
              <w:rPr>
                <w:color w:val="131727" w:themeColor="text1"/>
                <w:spacing w:val="5"/>
                <w:w w:val="110"/>
                <w:sz w:val="18"/>
              </w:rPr>
              <w:t xml:space="preserve"> </w:t>
            </w:r>
            <w:r w:rsidRPr="00FD40B8">
              <w:rPr>
                <w:color w:val="131727" w:themeColor="text1"/>
                <w:spacing w:val="-2"/>
                <w:w w:val="110"/>
                <w:sz w:val="18"/>
              </w:rPr>
              <w:t>sporting</w:t>
            </w:r>
          </w:p>
          <w:p w14:paraId="3A1D4957" w14:textId="77777777" w:rsidR="00811887" w:rsidRPr="00FD40B8" w:rsidRDefault="00811887" w:rsidP="00486E22">
            <w:pPr>
              <w:pStyle w:val="TableParagraph"/>
              <w:spacing w:before="25" w:line="204" w:lineRule="exact"/>
              <w:ind w:left="104"/>
              <w:rPr>
                <w:color w:val="131727" w:themeColor="text1"/>
                <w:sz w:val="18"/>
              </w:rPr>
            </w:pPr>
            <w:r w:rsidRPr="00FD40B8">
              <w:rPr>
                <w:color w:val="131727" w:themeColor="text1"/>
                <w:w w:val="105"/>
                <w:sz w:val="18"/>
              </w:rPr>
              <w:t>facilities,</w:t>
            </w:r>
            <w:r w:rsidRPr="00FD40B8">
              <w:rPr>
                <w:color w:val="131727" w:themeColor="text1"/>
                <w:spacing w:val="14"/>
                <w:w w:val="105"/>
                <w:sz w:val="18"/>
              </w:rPr>
              <w:t xml:space="preserve"> </w:t>
            </w:r>
            <w:r w:rsidRPr="00FD40B8">
              <w:rPr>
                <w:color w:val="131727" w:themeColor="text1"/>
                <w:w w:val="105"/>
                <w:sz w:val="18"/>
              </w:rPr>
              <w:t>swimming</w:t>
            </w:r>
            <w:r w:rsidRPr="00FD40B8">
              <w:rPr>
                <w:color w:val="131727" w:themeColor="text1"/>
                <w:spacing w:val="10"/>
                <w:w w:val="105"/>
                <w:sz w:val="18"/>
              </w:rPr>
              <w:t xml:space="preserve"> </w:t>
            </w:r>
            <w:r w:rsidRPr="00FD40B8">
              <w:rPr>
                <w:color w:val="131727" w:themeColor="text1"/>
                <w:w w:val="105"/>
                <w:sz w:val="18"/>
              </w:rPr>
              <w:t>pools,</w:t>
            </w:r>
            <w:r w:rsidRPr="00FD40B8">
              <w:rPr>
                <w:color w:val="131727" w:themeColor="text1"/>
                <w:spacing w:val="8"/>
                <w:w w:val="105"/>
                <w:sz w:val="18"/>
              </w:rPr>
              <w:t xml:space="preserve"> </w:t>
            </w:r>
            <w:r w:rsidRPr="00FD40B8">
              <w:rPr>
                <w:color w:val="131727" w:themeColor="text1"/>
                <w:spacing w:val="-2"/>
                <w:w w:val="105"/>
                <w:sz w:val="18"/>
              </w:rPr>
              <w:t>other)</w:t>
            </w:r>
          </w:p>
        </w:tc>
      </w:tr>
      <w:tr w:rsidR="00811887" w:rsidRPr="00FD40B8" w14:paraId="4C1927BA" w14:textId="77777777" w:rsidTr="00486E22">
        <w:trPr>
          <w:trHeight w:val="301"/>
        </w:trPr>
        <w:tc>
          <w:tcPr>
            <w:tcW w:w="2834" w:type="dxa"/>
            <w:shd w:val="clear" w:color="auto" w:fill="D5DFDB"/>
          </w:tcPr>
          <w:p w14:paraId="7EA836C9"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Community</w:t>
            </w:r>
            <w:r w:rsidRPr="00FD40B8">
              <w:rPr>
                <w:rFonts w:ascii="Garamond"/>
                <w:color w:val="131727" w:themeColor="text1"/>
                <w:spacing w:val="-2"/>
                <w:sz w:val="18"/>
              </w:rPr>
              <w:t xml:space="preserve"> needs</w:t>
            </w:r>
          </w:p>
        </w:tc>
        <w:tc>
          <w:tcPr>
            <w:tcW w:w="6521" w:type="dxa"/>
          </w:tcPr>
          <w:p w14:paraId="164ABBF3"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Communities</w:t>
            </w:r>
            <w:r w:rsidRPr="00FD40B8">
              <w:rPr>
                <w:color w:val="131727" w:themeColor="text1"/>
                <w:spacing w:val="2"/>
                <w:w w:val="110"/>
                <w:sz w:val="18"/>
              </w:rPr>
              <w:t xml:space="preserve"> </w:t>
            </w:r>
            <w:r w:rsidRPr="00FD40B8">
              <w:rPr>
                <w:color w:val="131727" w:themeColor="text1"/>
                <w:w w:val="110"/>
                <w:sz w:val="18"/>
              </w:rPr>
              <w:t>needs</w:t>
            </w:r>
            <w:r w:rsidRPr="00FD40B8">
              <w:rPr>
                <w:color w:val="131727" w:themeColor="text1"/>
                <w:spacing w:val="-2"/>
                <w:w w:val="110"/>
                <w:sz w:val="18"/>
              </w:rPr>
              <w:t xml:space="preserve"> </w:t>
            </w:r>
            <w:r w:rsidRPr="00FD40B8">
              <w:rPr>
                <w:color w:val="131727" w:themeColor="text1"/>
                <w:w w:val="110"/>
                <w:sz w:val="18"/>
              </w:rPr>
              <w:t>plan in</w:t>
            </w:r>
            <w:r w:rsidRPr="00FD40B8">
              <w:rPr>
                <w:color w:val="131727" w:themeColor="text1"/>
                <w:spacing w:val="-5"/>
                <w:w w:val="110"/>
                <w:sz w:val="18"/>
              </w:rPr>
              <w:t xml:space="preserve"> </w:t>
            </w:r>
            <w:r w:rsidRPr="00FD40B8">
              <w:rPr>
                <w:color w:val="131727" w:themeColor="text1"/>
                <w:w w:val="110"/>
                <w:sz w:val="18"/>
              </w:rPr>
              <w:t>place</w:t>
            </w:r>
            <w:r w:rsidRPr="00FD40B8">
              <w:rPr>
                <w:color w:val="131727" w:themeColor="text1"/>
                <w:spacing w:val="-3"/>
                <w:w w:val="110"/>
                <w:sz w:val="18"/>
              </w:rPr>
              <w:t xml:space="preserve"> </w:t>
            </w:r>
            <w:r w:rsidRPr="00FD40B8">
              <w:rPr>
                <w:color w:val="131727" w:themeColor="text1"/>
                <w:w w:val="110"/>
                <w:sz w:val="18"/>
              </w:rPr>
              <w:t>(and</w:t>
            </w:r>
            <w:r w:rsidRPr="00FD40B8">
              <w:rPr>
                <w:color w:val="131727" w:themeColor="text1"/>
                <w:spacing w:val="3"/>
                <w:w w:val="110"/>
                <w:sz w:val="18"/>
              </w:rPr>
              <w:t xml:space="preserve"> </w:t>
            </w:r>
            <w:r w:rsidRPr="00FD40B8">
              <w:rPr>
                <w:color w:val="131727" w:themeColor="text1"/>
                <w:w w:val="110"/>
                <w:sz w:val="18"/>
              </w:rPr>
              <w:t>under</w:t>
            </w:r>
            <w:r w:rsidRPr="00FD40B8">
              <w:rPr>
                <w:color w:val="131727" w:themeColor="text1"/>
                <w:spacing w:val="-2"/>
                <w:w w:val="110"/>
                <w:sz w:val="18"/>
              </w:rPr>
              <w:t xml:space="preserve"> development)</w:t>
            </w:r>
          </w:p>
        </w:tc>
      </w:tr>
      <w:tr w:rsidR="00811887" w:rsidRPr="00FD40B8" w14:paraId="17050C71" w14:textId="77777777" w:rsidTr="00486E22">
        <w:trPr>
          <w:trHeight w:val="297"/>
        </w:trPr>
        <w:tc>
          <w:tcPr>
            <w:tcW w:w="2834" w:type="dxa"/>
            <w:vMerge w:val="restart"/>
            <w:shd w:val="clear" w:color="auto" w:fill="D5DFDB"/>
          </w:tcPr>
          <w:p w14:paraId="7C15EB39" w14:textId="77777777" w:rsidR="00811887" w:rsidRPr="00FD40B8" w:rsidRDefault="00811887" w:rsidP="00486E22">
            <w:pPr>
              <w:pStyle w:val="TableParagraph"/>
              <w:spacing w:line="201" w:lineRule="exact"/>
              <w:ind w:left="110"/>
              <w:rPr>
                <w:rFonts w:ascii="Garamond"/>
                <w:color w:val="131727" w:themeColor="text1"/>
                <w:sz w:val="18"/>
              </w:rPr>
            </w:pPr>
            <w:r w:rsidRPr="00FD40B8">
              <w:rPr>
                <w:rFonts w:ascii="Garamond"/>
                <w:color w:val="131727" w:themeColor="text1"/>
                <w:sz w:val="18"/>
              </w:rPr>
              <w:t>Community</w:t>
            </w:r>
            <w:r w:rsidRPr="00FD40B8">
              <w:rPr>
                <w:rFonts w:ascii="Garamond"/>
                <w:color w:val="131727" w:themeColor="text1"/>
                <w:spacing w:val="-2"/>
                <w:sz w:val="18"/>
              </w:rPr>
              <w:t xml:space="preserve"> </w:t>
            </w:r>
            <w:r w:rsidRPr="00FD40B8">
              <w:rPr>
                <w:rFonts w:ascii="Garamond"/>
                <w:color w:val="131727" w:themeColor="text1"/>
                <w:sz w:val="18"/>
              </w:rPr>
              <w:t>priority</w:t>
            </w:r>
            <w:r w:rsidRPr="00FD40B8">
              <w:rPr>
                <w:rFonts w:ascii="Garamond"/>
                <w:color w:val="131727" w:themeColor="text1"/>
                <w:spacing w:val="-6"/>
                <w:sz w:val="18"/>
              </w:rPr>
              <w:t xml:space="preserve"> </w:t>
            </w:r>
            <w:r w:rsidRPr="00FD40B8">
              <w:rPr>
                <w:rFonts w:ascii="Garamond"/>
                <w:color w:val="131727" w:themeColor="text1"/>
                <w:sz w:val="18"/>
              </w:rPr>
              <w:t>planning</w:t>
            </w:r>
            <w:r w:rsidRPr="00FD40B8">
              <w:rPr>
                <w:rFonts w:ascii="Garamond"/>
                <w:color w:val="131727" w:themeColor="text1"/>
                <w:spacing w:val="-7"/>
                <w:sz w:val="18"/>
              </w:rPr>
              <w:t xml:space="preserve"> </w:t>
            </w:r>
            <w:r w:rsidRPr="00FD40B8">
              <w:rPr>
                <w:rFonts w:ascii="Garamond"/>
                <w:color w:val="131727" w:themeColor="text1"/>
                <w:spacing w:val="-2"/>
                <w:sz w:val="18"/>
              </w:rPr>
              <w:t>needs</w:t>
            </w:r>
          </w:p>
        </w:tc>
        <w:tc>
          <w:tcPr>
            <w:tcW w:w="6521" w:type="dxa"/>
          </w:tcPr>
          <w:p w14:paraId="6FEDF60C"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More</w:t>
            </w:r>
            <w:r w:rsidRPr="00FD40B8">
              <w:rPr>
                <w:color w:val="131727" w:themeColor="text1"/>
                <w:spacing w:val="-11"/>
                <w:w w:val="110"/>
                <w:sz w:val="18"/>
              </w:rPr>
              <w:t xml:space="preserve"> </w:t>
            </w:r>
            <w:r w:rsidRPr="00FD40B8">
              <w:rPr>
                <w:color w:val="131727" w:themeColor="text1"/>
                <w:spacing w:val="-2"/>
                <w:w w:val="110"/>
                <w:sz w:val="18"/>
              </w:rPr>
              <w:t>housing</w:t>
            </w:r>
          </w:p>
        </w:tc>
      </w:tr>
      <w:tr w:rsidR="00811887" w:rsidRPr="00FD40B8" w14:paraId="67A808CA" w14:textId="77777777" w:rsidTr="00486E22">
        <w:trPr>
          <w:trHeight w:val="302"/>
        </w:trPr>
        <w:tc>
          <w:tcPr>
            <w:tcW w:w="2834" w:type="dxa"/>
            <w:vMerge/>
            <w:tcBorders>
              <w:top w:val="nil"/>
            </w:tcBorders>
            <w:shd w:val="clear" w:color="auto" w:fill="D5DFDB"/>
          </w:tcPr>
          <w:p w14:paraId="37BB1C0D" w14:textId="77777777" w:rsidR="00811887" w:rsidRPr="00FD40B8" w:rsidRDefault="00811887" w:rsidP="00486E22">
            <w:pPr>
              <w:rPr>
                <w:color w:val="131727" w:themeColor="text1"/>
                <w:sz w:val="2"/>
                <w:szCs w:val="2"/>
              </w:rPr>
            </w:pPr>
          </w:p>
        </w:tc>
        <w:tc>
          <w:tcPr>
            <w:tcW w:w="6521" w:type="dxa"/>
          </w:tcPr>
          <w:p w14:paraId="202FDFC3" w14:textId="77777777" w:rsidR="00811887" w:rsidRPr="00FD40B8" w:rsidRDefault="00811887" w:rsidP="00486E22">
            <w:pPr>
              <w:pStyle w:val="TableParagraph"/>
              <w:spacing w:before="25" w:line="240" w:lineRule="auto"/>
              <w:ind w:left="104"/>
              <w:rPr>
                <w:color w:val="131727" w:themeColor="text1"/>
                <w:sz w:val="18"/>
              </w:rPr>
            </w:pPr>
            <w:r w:rsidRPr="00FD40B8">
              <w:rPr>
                <w:color w:val="131727" w:themeColor="text1"/>
                <w:w w:val="110"/>
                <w:sz w:val="18"/>
              </w:rPr>
              <w:t>Upgrade</w:t>
            </w:r>
            <w:r w:rsidRPr="00FD40B8">
              <w:rPr>
                <w:color w:val="131727" w:themeColor="text1"/>
                <w:spacing w:val="-3"/>
                <w:w w:val="110"/>
                <w:sz w:val="18"/>
              </w:rPr>
              <w:t xml:space="preserve"> </w:t>
            </w:r>
            <w:r w:rsidRPr="00FD40B8">
              <w:rPr>
                <w:color w:val="131727" w:themeColor="text1"/>
                <w:w w:val="110"/>
                <w:sz w:val="18"/>
              </w:rPr>
              <w:t>to</w:t>
            </w:r>
            <w:r w:rsidRPr="00FD40B8">
              <w:rPr>
                <w:color w:val="131727" w:themeColor="text1"/>
                <w:spacing w:val="-7"/>
                <w:w w:val="110"/>
                <w:sz w:val="18"/>
              </w:rPr>
              <w:t xml:space="preserve"> </w:t>
            </w:r>
            <w:r w:rsidRPr="00FD40B8">
              <w:rPr>
                <w:color w:val="131727" w:themeColor="text1"/>
                <w:w w:val="110"/>
                <w:sz w:val="18"/>
              </w:rPr>
              <w:t>water</w:t>
            </w:r>
            <w:r w:rsidRPr="00FD40B8">
              <w:rPr>
                <w:color w:val="131727" w:themeColor="text1"/>
                <w:spacing w:val="-6"/>
                <w:w w:val="110"/>
                <w:sz w:val="18"/>
              </w:rPr>
              <w:t xml:space="preserve"> </w:t>
            </w:r>
            <w:r w:rsidRPr="00FD40B8">
              <w:rPr>
                <w:color w:val="131727" w:themeColor="text1"/>
                <w:spacing w:val="-2"/>
                <w:w w:val="110"/>
                <w:sz w:val="18"/>
              </w:rPr>
              <w:t>supply</w:t>
            </w:r>
          </w:p>
        </w:tc>
      </w:tr>
      <w:tr w:rsidR="00811887" w:rsidRPr="00FD40B8" w14:paraId="7C89B51F" w14:textId="77777777" w:rsidTr="00486E22">
        <w:trPr>
          <w:trHeight w:val="302"/>
        </w:trPr>
        <w:tc>
          <w:tcPr>
            <w:tcW w:w="2834" w:type="dxa"/>
            <w:vMerge/>
            <w:tcBorders>
              <w:top w:val="nil"/>
            </w:tcBorders>
            <w:shd w:val="clear" w:color="auto" w:fill="D5DFDB"/>
          </w:tcPr>
          <w:p w14:paraId="34661C21" w14:textId="77777777" w:rsidR="00811887" w:rsidRPr="00FD40B8" w:rsidRDefault="00811887" w:rsidP="00486E22">
            <w:pPr>
              <w:rPr>
                <w:color w:val="131727" w:themeColor="text1"/>
                <w:sz w:val="2"/>
                <w:szCs w:val="2"/>
              </w:rPr>
            </w:pPr>
          </w:p>
        </w:tc>
        <w:tc>
          <w:tcPr>
            <w:tcW w:w="6521" w:type="dxa"/>
          </w:tcPr>
          <w:p w14:paraId="4C51E34C" w14:textId="77777777" w:rsidR="00811887" w:rsidRPr="00FD40B8" w:rsidRDefault="00811887" w:rsidP="00486E22">
            <w:pPr>
              <w:pStyle w:val="TableParagraph"/>
              <w:spacing w:before="21" w:line="240" w:lineRule="auto"/>
              <w:ind w:left="104"/>
              <w:rPr>
                <w:color w:val="131727" w:themeColor="text1"/>
                <w:sz w:val="18"/>
              </w:rPr>
            </w:pPr>
            <w:r w:rsidRPr="00FD40B8">
              <w:rPr>
                <w:color w:val="131727" w:themeColor="text1"/>
                <w:spacing w:val="-2"/>
                <w:w w:val="110"/>
                <w:sz w:val="18"/>
              </w:rPr>
              <w:t>Upgrade</w:t>
            </w:r>
            <w:r w:rsidRPr="00FD40B8">
              <w:rPr>
                <w:color w:val="131727" w:themeColor="text1"/>
                <w:spacing w:val="5"/>
                <w:w w:val="110"/>
                <w:sz w:val="18"/>
              </w:rPr>
              <w:t xml:space="preserve"> </w:t>
            </w:r>
            <w:r w:rsidRPr="00FD40B8">
              <w:rPr>
                <w:color w:val="131727" w:themeColor="text1"/>
                <w:spacing w:val="-2"/>
                <w:w w:val="110"/>
                <w:sz w:val="18"/>
              </w:rPr>
              <w:t>to electricity</w:t>
            </w:r>
            <w:r w:rsidRPr="00FD40B8">
              <w:rPr>
                <w:color w:val="131727" w:themeColor="text1"/>
                <w:spacing w:val="2"/>
                <w:w w:val="110"/>
                <w:sz w:val="18"/>
              </w:rPr>
              <w:t xml:space="preserve"> </w:t>
            </w:r>
            <w:r w:rsidRPr="00FD40B8">
              <w:rPr>
                <w:color w:val="131727" w:themeColor="text1"/>
                <w:spacing w:val="-2"/>
                <w:w w:val="110"/>
                <w:sz w:val="18"/>
              </w:rPr>
              <w:t>supply</w:t>
            </w:r>
          </w:p>
        </w:tc>
      </w:tr>
      <w:tr w:rsidR="00811887" w:rsidRPr="00FD40B8" w14:paraId="16524B8B" w14:textId="77777777" w:rsidTr="00486E22">
        <w:trPr>
          <w:trHeight w:val="297"/>
        </w:trPr>
        <w:tc>
          <w:tcPr>
            <w:tcW w:w="2834" w:type="dxa"/>
            <w:vMerge/>
            <w:tcBorders>
              <w:top w:val="nil"/>
            </w:tcBorders>
            <w:shd w:val="clear" w:color="auto" w:fill="D5DFDB"/>
          </w:tcPr>
          <w:p w14:paraId="49F65049" w14:textId="77777777" w:rsidR="00811887" w:rsidRPr="00FD40B8" w:rsidRDefault="00811887" w:rsidP="00486E22">
            <w:pPr>
              <w:rPr>
                <w:color w:val="131727" w:themeColor="text1"/>
                <w:sz w:val="2"/>
                <w:szCs w:val="2"/>
              </w:rPr>
            </w:pPr>
          </w:p>
        </w:tc>
        <w:tc>
          <w:tcPr>
            <w:tcW w:w="6521" w:type="dxa"/>
          </w:tcPr>
          <w:p w14:paraId="0972DB43"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Upgrade</w:t>
            </w:r>
            <w:r w:rsidRPr="00FD40B8">
              <w:rPr>
                <w:color w:val="131727" w:themeColor="text1"/>
                <w:spacing w:val="6"/>
                <w:w w:val="110"/>
                <w:sz w:val="18"/>
              </w:rPr>
              <w:t xml:space="preserve"> </w:t>
            </w:r>
            <w:r w:rsidRPr="00FD40B8">
              <w:rPr>
                <w:color w:val="131727" w:themeColor="text1"/>
                <w:spacing w:val="-2"/>
                <w:w w:val="110"/>
                <w:sz w:val="18"/>
              </w:rPr>
              <w:t>sewerage</w:t>
            </w:r>
          </w:p>
        </w:tc>
      </w:tr>
      <w:tr w:rsidR="00811887" w:rsidRPr="00FD40B8" w14:paraId="75FDB03B" w14:textId="77777777" w:rsidTr="00486E22">
        <w:trPr>
          <w:trHeight w:val="301"/>
        </w:trPr>
        <w:tc>
          <w:tcPr>
            <w:tcW w:w="2834" w:type="dxa"/>
            <w:vMerge/>
            <w:tcBorders>
              <w:top w:val="nil"/>
            </w:tcBorders>
            <w:shd w:val="clear" w:color="auto" w:fill="D5DFDB"/>
          </w:tcPr>
          <w:p w14:paraId="6E28E1CB" w14:textId="77777777" w:rsidR="00811887" w:rsidRPr="00FD40B8" w:rsidRDefault="00811887" w:rsidP="00486E22">
            <w:pPr>
              <w:rPr>
                <w:color w:val="131727" w:themeColor="text1"/>
                <w:sz w:val="2"/>
                <w:szCs w:val="2"/>
              </w:rPr>
            </w:pPr>
          </w:p>
        </w:tc>
        <w:tc>
          <w:tcPr>
            <w:tcW w:w="6521" w:type="dxa"/>
          </w:tcPr>
          <w:p w14:paraId="316B21D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Rubbish</w:t>
            </w:r>
            <w:r w:rsidRPr="00FD40B8">
              <w:rPr>
                <w:color w:val="131727" w:themeColor="text1"/>
                <w:spacing w:val="-3"/>
                <w:w w:val="110"/>
                <w:sz w:val="18"/>
              </w:rPr>
              <w:t xml:space="preserve"> </w:t>
            </w:r>
            <w:r w:rsidRPr="00FD40B8">
              <w:rPr>
                <w:color w:val="131727" w:themeColor="text1"/>
                <w:w w:val="110"/>
                <w:sz w:val="18"/>
              </w:rPr>
              <w:t>collection</w:t>
            </w:r>
            <w:r w:rsidRPr="00FD40B8">
              <w:rPr>
                <w:color w:val="131727" w:themeColor="text1"/>
                <w:spacing w:val="-3"/>
                <w:w w:val="110"/>
                <w:sz w:val="18"/>
              </w:rPr>
              <w:t xml:space="preserve"> </w:t>
            </w:r>
            <w:r w:rsidRPr="00FD40B8">
              <w:rPr>
                <w:color w:val="131727" w:themeColor="text1"/>
                <w:w w:val="110"/>
                <w:sz w:val="18"/>
              </w:rPr>
              <w:t>or</w:t>
            </w:r>
            <w:r w:rsidRPr="00FD40B8">
              <w:rPr>
                <w:color w:val="131727" w:themeColor="text1"/>
                <w:spacing w:val="-5"/>
                <w:w w:val="110"/>
                <w:sz w:val="18"/>
              </w:rPr>
              <w:t xml:space="preserve"> </w:t>
            </w:r>
            <w:r w:rsidRPr="00FD40B8">
              <w:rPr>
                <w:color w:val="131727" w:themeColor="text1"/>
                <w:spacing w:val="-2"/>
                <w:w w:val="110"/>
                <w:sz w:val="18"/>
              </w:rPr>
              <w:t>disposal</w:t>
            </w:r>
          </w:p>
        </w:tc>
      </w:tr>
      <w:tr w:rsidR="00811887" w:rsidRPr="00FD40B8" w14:paraId="008055C7" w14:textId="77777777" w:rsidTr="00486E22">
        <w:trPr>
          <w:trHeight w:val="297"/>
        </w:trPr>
        <w:tc>
          <w:tcPr>
            <w:tcW w:w="2834" w:type="dxa"/>
            <w:vMerge/>
            <w:tcBorders>
              <w:top w:val="nil"/>
            </w:tcBorders>
            <w:shd w:val="clear" w:color="auto" w:fill="D5DFDB"/>
          </w:tcPr>
          <w:p w14:paraId="205ECF0E" w14:textId="77777777" w:rsidR="00811887" w:rsidRPr="00FD40B8" w:rsidRDefault="00811887" w:rsidP="00486E22">
            <w:pPr>
              <w:rPr>
                <w:color w:val="131727" w:themeColor="text1"/>
                <w:sz w:val="2"/>
                <w:szCs w:val="2"/>
              </w:rPr>
            </w:pPr>
          </w:p>
        </w:tc>
        <w:tc>
          <w:tcPr>
            <w:tcW w:w="6521" w:type="dxa"/>
          </w:tcPr>
          <w:p w14:paraId="703A1D3B"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Transport</w:t>
            </w:r>
          </w:p>
        </w:tc>
      </w:tr>
      <w:tr w:rsidR="00811887" w:rsidRPr="00FD40B8" w14:paraId="6CDAE8A0" w14:textId="77777777" w:rsidTr="00486E22">
        <w:trPr>
          <w:trHeight w:val="302"/>
        </w:trPr>
        <w:tc>
          <w:tcPr>
            <w:tcW w:w="2834" w:type="dxa"/>
            <w:vMerge/>
            <w:tcBorders>
              <w:top w:val="nil"/>
            </w:tcBorders>
            <w:shd w:val="clear" w:color="auto" w:fill="D5DFDB"/>
          </w:tcPr>
          <w:p w14:paraId="566751CA" w14:textId="77777777" w:rsidR="00811887" w:rsidRPr="00FD40B8" w:rsidRDefault="00811887" w:rsidP="00486E22">
            <w:pPr>
              <w:rPr>
                <w:color w:val="131727" w:themeColor="text1"/>
                <w:sz w:val="2"/>
                <w:szCs w:val="2"/>
              </w:rPr>
            </w:pPr>
          </w:p>
        </w:tc>
        <w:tc>
          <w:tcPr>
            <w:tcW w:w="6521" w:type="dxa"/>
          </w:tcPr>
          <w:p w14:paraId="54B98973"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05"/>
                <w:sz w:val="18"/>
              </w:rPr>
              <w:t>Communication</w:t>
            </w:r>
            <w:r w:rsidRPr="00FD40B8">
              <w:rPr>
                <w:color w:val="131727" w:themeColor="text1"/>
                <w:spacing w:val="31"/>
                <w:w w:val="105"/>
                <w:sz w:val="18"/>
              </w:rPr>
              <w:t xml:space="preserve"> </w:t>
            </w:r>
            <w:r w:rsidRPr="00FD40B8">
              <w:rPr>
                <w:color w:val="131727" w:themeColor="text1"/>
                <w:spacing w:val="-2"/>
                <w:w w:val="105"/>
                <w:sz w:val="18"/>
              </w:rPr>
              <w:t>facilities</w:t>
            </w:r>
          </w:p>
        </w:tc>
      </w:tr>
      <w:tr w:rsidR="00811887" w:rsidRPr="00FD40B8" w14:paraId="723A6679" w14:textId="77777777" w:rsidTr="00486E22">
        <w:trPr>
          <w:trHeight w:val="302"/>
        </w:trPr>
        <w:tc>
          <w:tcPr>
            <w:tcW w:w="2834" w:type="dxa"/>
            <w:vMerge/>
            <w:tcBorders>
              <w:top w:val="nil"/>
            </w:tcBorders>
            <w:shd w:val="clear" w:color="auto" w:fill="D5DFDB"/>
          </w:tcPr>
          <w:p w14:paraId="251B38E3" w14:textId="77777777" w:rsidR="00811887" w:rsidRPr="00FD40B8" w:rsidRDefault="00811887" w:rsidP="00486E22">
            <w:pPr>
              <w:rPr>
                <w:color w:val="131727" w:themeColor="text1"/>
                <w:sz w:val="2"/>
                <w:szCs w:val="2"/>
              </w:rPr>
            </w:pPr>
          </w:p>
        </w:tc>
        <w:tc>
          <w:tcPr>
            <w:tcW w:w="6521" w:type="dxa"/>
          </w:tcPr>
          <w:p w14:paraId="2062328F"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Education</w:t>
            </w:r>
            <w:r w:rsidRPr="00FD40B8">
              <w:rPr>
                <w:color w:val="131727" w:themeColor="text1"/>
                <w:spacing w:val="1"/>
                <w:w w:val="110"/>
                <w:sz w:val="18"/>
              </w:rPr>
              <w:t xml:space="preserve"> </w:t>
            </w:r>
            <w:r w:rsidRPr="00FD40B8">
              <w:rPr>
                <w:color w:val="131727" w:themeColor="text1"/>
                <w:spacing w:val="-2"/>
                <w:w w:val="110"/>
                <w:sz w:val="18"/>
              </w:rPr>
              <w:t>facilities</w:t>
            </w:r>
          </w:p>
        </w:tc>
      </w:tr>
      <w:tr w:rsidR="00811887" w:rsidRPr="00FD40B8" w14:paraId="09B4D5CD" w14:textId="77777777" w:rsidTr="00486E22">
        <w:trPr>
          <w:trHeight w:val="297"/>
        </w:trPr>
        <w:tc>
          <w:tcPr>
            <w:tcW w:w="2834" w:type="dxa"/>
            <w:vMerge/>
            <w:tcBorders>
              <w:top w:val="nil"/>
            </w:tcBorders>
            <w:shd w:val="clear" w:color="auto" w:fill="D5DFDB"/>
          </w:tcPr>
          <w:p w14:paraId="457A1795" w14:textId="77777777" w:rsidR="00811887" w:rsidRPr="00FD40B8" w:rsidRDefault="00811887" w:rsidP="00486E22">
            <w:pPr>
              <w:rPr>
                <w:color w:val="131727" w:themeColor="text1"/>
                <w:sz w:val="2"/>
                <w:szCs w:val="2"/>
              </w:rPr>
            </w:pPr>
          </w:p>
        </w:tc>
        <w:tc>
          <w:tcPr>
            <w:tcW w:w="6521" w:type="dxa"/>
          </w:tcPr>
          <w:p w14:paraId="77E7910F"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Sports</w:t>
            </w:r>
            <w:r w:rsidRPr="00FD40B8">
              <w:rPr>
                <w:color w:val="131727" w:themeColor="text1"/>
                <w:spacing w:val="13"/>
                <w:w w:val="110"/>
                <w:sz w:val="18"/>
              </w:rPr>
              <w:t xml:space="preserve"> </w:t>
            </w:r>
            <w:r w:rsidRPr="00FD40B8">
              <w:rPr>
                <w:color w:val="131727" w:themeColor="text1"/>
                <w:spacing w:val="-2"/>
                <w:w w:val="110"/>
                <w:sz w:val="18"/>
              </w:rPr>
              <w:t>facilities</w:t>
            </w:r>
          </w:p>
        </w:tc>
      </w:tr>
      <w:tr w:rsidR="00811887" w:rsidRPr="00FD40B8" w14:paraId="2FDE98F3" w14:textId="77777777" w:rsidTr="00486E22">
        <w:trPr>
          <w:trHeight w:val="301"/>
        </w:trPr>
        <w:tc>
          <w:tcPr>
            <w:tcW w:w="2834" w:type="dxa"/>
            <w:vMerge/>
            <w:tcBorders>
              <w:top w:val="nil"/>
            </w:tcBorders>
            <w:shd w:val="clear" w:color="auto" w:fill="D5DFDB"/>
          </w:tcPr>
          <w:p w14:paraId="797ADBEE" w14:textId="77777777" w:rsidR="00811887" w:rsidRPr="00FD40B8" w:rsidRDefault="00811887" w:rsidP="00486E22">
            <w:pPr>
              <w:rPr>
                <w:color w:val="131727" w:themeColor="text1"/>
                <w:sz w:val="2"/>
                <w:szCs w:val="2"/>
              </w:rPr>
            </w:pPr>
          </w:p>
        </w:tc>
        <w:tc>
          <w:tcPr>
            <w:tcW w:w="6521" w:type="dxa"/>
          </w:tcPr>
          <w:p w14:paraId="79543E15"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Health care</w:t>
            </w:r>
            <w:r w:rsidRPr="00FD40B8">
              <w:rPr>
                <w:color w:val="131727" w:themeColor="text1"/>
                <w:spacing w:val="2"/>
                <w:w w:val="110"/>
                <w:sz w:val="18"/>
              </w:rPr>
              <w:t xml:space="preserve"> </w:t>
            </w:r>
            <w:r w:rsidRPr="00FD40B8">
              <w:rPr>
                <w:color w:val="131727" w:themeColor="text1"/>
                <w:spacing w:val="-2"/>
                <w:w w:val="110"/>
                <w:sz w:val="18"/>
              </w:rPr>
              <w:t>facilities</w:t>
            </w:r>
          </w:p>
        </w:tc>
      </w:tr>
      <w:tr w:rsidR="00811887" w:rsidRPr="00FD40B8" w14:paraId="077B758F" w14:textId="77777777" w:rsidTr="00486E22">
        <w:trPr>
          <w:trHeight w:val="297"/>
        </w:trPr>
        <w:tc>
          <w:tcPr>
            <w:tcW w:w="2834" w:type="dxa"/>
            <w:vMerge/>
            <w:tcBorders>
              <w:top w:val="nil"/>
            </w:tcBorders>
            <w:shd w:val="clear" w:color="auto" w:fill="D5DFDB"/>
          </w:tcPr>
          <w:p w14:paraId="099E7CB8" w14:textId="77777777" w:rsidR="00811887" w:rsidRPr="00FD40B8" w:rsidRDefault="00811887" w:rsidP="00486E22">
            <w:pPr>
              <w:rPr>
                <w:color w:val="131727" w:themeColor="text1"/>
                <w:sz w:val="2"/>
                <w:szCs w:val="2"/>
              </w:rPr>
            </w:pPr>
          </w:p>
        </w:tc>
        <w:tc>
          <w:tcPr>
            <w:tcW w:w="6521" w:type="dxa"/>
          </w:tcPr>
          <w:p w14:paraId="20235B8A"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2"/>
                <w:w w:val="110"/>
                <w:sz w:val="18"/>
              </w:rPr>
              <w:t>Animal</w:t>
            </w:r>
            <w:r w:rsidRPr="00FD40B8">
              <w:rPr>
                <w:color w:val="131727" w:themeColor="text1"/>
                <w:spacing w:val="-1"/>
                <w:w w:val="110"/>
                <w:sz w:val="18"/>
              </w:rPr>
              <w:t xml:space="preserve"> </w:t>
            </w:r>
            <w:r w:rsidRPr="00FD40B8">
              <w:rPr>
                <w:color w:val="131727" w:themeColor="text1"/>
                <w:spacing w:val="-2"/>
                <w:w w:val="110"/>
                <w:sz w:val="18"/>
              </w:rPr>
              <w:t>control</w:t>
            </w:r>
          </w:p>
        </w:tc>
      </w:tr>
      <w:tr w:rsidR="00811887" w:rsidRPr="00FD40B8" w14:paraId="65D0FC07" w14:textId="77777777" w:rsidTr="00486E22">
        <w:trPr>
          <w:trHeight w:val="302"/>
        </w:trPr>
        <w:tc>
          <w:tcPr>
            <w:tcW w:w="2834" w:type="dxa"/>
            <w:vMerge/>
            <w:tcBorders>
              <w:top w:val="nil"/>
            </w:tcBorders>
            <w:shd w:val="clear" w:color="auto" w:fill="D5DFDB"/>
          </w:tcPr>
          <w:p w14:paraId="265999CF" w14:textId="77777777" w:rsidR="00811887" w:rsidRPr="00FD40B8" w:rsidRDefault="00811887" w:rsidP="00486E22">
            <w:pPr>
              <w:rPr>
                <w:color w:val="131727" w:themeColor="text1"/>
                <w:sz w:val="2"/>
                <w:szCs w:val="2"/>
              </w:rPr>
            </w:pPr>
          </w:p>
        </w:tc>
        <w:tc>
          <w:tcPr>
            <w:tcW w:w="6521" w:type="dxa"/>
          </w:tcPr>
          <w:p w14:paraId="566E7024"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w w:val="110"/>
                <w:sz w:val="18"/>
              </w:rPr>
              <w:t>Broadcasting</w:t>
            </w:r>
            <w:r w:rsidRPr="00FD40B8">
              <w:rPr>
                <w:color w:val="131727" w:themeColor="text1"/>
                <w:spacing w:val="5"/>
                <w:w w:val="110"/>
                <w:sz w:val="18"/>
              </w:rPr>
              <w:t xml:space="preserve"> </w:t>
            </w:r>
            <w:r w:rsidRPr="00FD40B8">
              <w:rPr>
                <w:color w:val="131727" w:themeColor="text1"/>
                <w:spacing w:val="-2"/>
                <w:w w:val="110"/>
                <w:sz w:val="18"/>
              </w:rPr>
              <w:t>capabilities</w:t>
            </w:r>
          </w:p>
        </w:tc>
      </w:tr>
      <w:tr w:rsidR="00811887" w:rsidRPr="00FD40B8" w14:paraId="3EC551AD" w14:textId="77777777" w:rsidTr="00486E22">
        <w:trPr>
          <w:trHeight w:val="301"/>
        </w:trPr>
        <w:tc>
          <w:tcPr>
            <w:tcW w:w="2834" w:type="dxa"/>
            <w:vMerge/>
            <w:tcBorders>
              <w:top w:val="nil"/>
            </w:tcBorders>
            <w:shd w:val="clear" w:color="auto" w:fill="D5DFDB"/>
          </w:tcPr>
          <w:p w14:paraId="1D61886A" w14:textId="77777777" w:rsidR="00811887" w:rsidRPr="00FD40B8" w:rsidRDefault="00811887" w:rsidP="00486E22">
            <w:pPr>
              <w:rPr>
                <w:color w:val="131727" w:themeColor="text1"/>
                <w:sz w:val="2"/>
                <w:szCs w:val="2"/>
              </w:rPr>
            </w:pPr>
          </w:p>
        </w:tc>
        <w:tc>
          <w:tcPr>
            <w:tcW w:w="6521" w:type="dxa"/>
          </w:tcPr>
          <w:p w14:paraId="41BB0540" w14:textId="77777777" w:rsidR="00811887" w:rsidRPr="00FD40B8" w:rsidRDefault="00811887" w:rsidP="00486E22">
            <w:pPr>
              <w:pStyle w:val="TableParagraph"/>
              <w:spacing w:before="20" w:line="240" w:lineRule="auto"/>
              <w:ind w:left="104"/>
              <w:rPr>
                <w:color w:val="131727" w:themeColor="text1"/>
                <w:sz w:val="18"/>
              </w:rPr>
            </w:pPr>
            <w:r w:rsidRPr="00FD40B8">
              <w:rPr>
                <w:color w:val="131727" w:themeColor="text1"/>
                <w:spacing w:val="-4"/>
                <w:w w:val="110"/>
                <w:sz w:val="18"/>
              </w:rPr>
              <w:t>Other</w:t>
            </w:r>
          </w:p>
        </w:tc>
      </w:tr>
    </w:tbl>
    <w:p w14:paraId="32DB2321" w14:textId="77777777" w:rsidR="00811887" w:rsidRPr="00FD40B8" w:rsidRDefault="00811887" w:rsidP="00811887">
      <w:pPr>
        <w:spacing w:before="172" w:line="268" w:lineRule="auto"/>
        <w:ind w:left="148" w:right="158"/>
        <w:rPr>
          <w:color w:val="131727" w:themeColor="text1"/>
          <w:sz w:val="21"/>
        </w:rPr>
      </w:pPr>
      <w:r w:rsidRPr="00FD40B8">
        <w:rPr>
          <w:color w:val="131727" w:themeColor="text1"/>
          <w:w w:val="110"/>
          <w:sz w:val="21"/>
        </w:rPr>
        <w:t>Whilst there were some changes in</w:t>
      </w:r>
      <w:r w:rsidRPr="00FD40B8">
        <w:rPr>
          <w:color w:val="131727" w:themeColor="text1"/>
          <w:spacing w:val="-1"/>
          <w:w w:val="110"/>
          <w:sz w:val="21"/>
        </w:rPr>
        <w:t xml:space="preserve"> </w:t>
      </w:r>
      <w:r w:rsidRPr="00FD40B8">
        <w:rPr>
          <w:color w:val="131727" w:themeColor="text1"/>
          <w:w w:val="110"/>
          <w:sz w:val="21"/>
        </w:rPr>
        <w:t>scope from each survey, as summarised in Table A2 below, one of</w:t>
      </w:r>
      <w:r w:rsidRPr="00FD40B8">
        <w:rPr>
          <w:color w:val="131727" w:themeColor="text1"/>
          <w:spacing w:val="-6"/>
          <w:w w:val="110"/>
          <w:sz w:val="21"/>
        </w:rPr>
        <w:t xml:space="preserve"> </w:t>
      </w:r>
      <w:r w:rsidRPr="00FD40B8">
        <w:rPr>
          <w:color w:val="131727" w:themeColor="text1"/>
          <w:w w:val="110"/>
          <w:sz w:val="21"/>
        </w:rPr>
        <w:t>the</w:t>
      </w:r>
      <w:r w:rsidRPr="00FD40B8">
        <w:rPr>
          <w:color w:val="131727" w:themeColor="text1"/>
          <w:spacing w:val="-6"/>
          <w:w w:val="110"/>
          <w:sz w:val="21"/>
        </w:rPr>
        <w:t xml:space="preserve"> </w:t>
      </w:r>
      <w:r w:rsidRPr="00FD40B8">
        <w:rPr>
          <w:color w:val="131727" w:themeColor="text1"/>
          <w:w w:val="110"/>
          <w:sz w:val="21"/>
        </w:rPr>
        <w:t>principal</w:t>
      </w:r>
      <w:r w:rsidRPr="00FD40B8">
        <w:rPr>
          <w:color w:val="131727" w:themeColor="text1"/>
          <w:spacing w:val="-5"/>
          <w:w w:val="110"/>
          <w:sz w:val="21"/>
        </w:rPr>
        <w:t xml:space="preserve"> </w:t>
      </w:r>
      <w:r w:rsidRPr="00FD40B8">
        <w:rPr>
          <w:color w:val="131727" w:themeColor="text1"/>
          <w:w w:val="110"/>
          <w:sz w:val="21"/>
        </w:rPr>
        <w:t>information</w:t>
      </w:r>
      <w:r w:rsidRPr="00FD40B8">
        <w:rPr>
          <w:color w:val="131727" w:themeColor="text1"/>
          <w:spacing w:val="-5"/>
          <w:w w:val="110"/>
          <w:sz w:val="21"/>
        </w:rPr>
        <w:t xml:space="preserve"> </w:t>
      </w:r>
      <w:r w:rsidRPr="00FD40B8">
        <w:rPr>
          <w:color w:val="131727" w:themeColor="text1"/>
          <w:w w:val="110"/>
          <w:sz w:val="21"/>
        </w:rPr>
        <w:t>requirements</w:t>
      </w:r>
      <w:r w:rsidRPr="00FD40B8">
        <w:rPr>
          <w:color w:val="131727" w:themeColor="text1"/>
          <w:spacing w:val="-4"/>
          <w:w w:val="110"/>
          <w:sz w:val="21"/>
        </w:rPr>
        <w:t xml:space="preserve"> </w:t>
      </w:r>
      <w:r w:rsidRPr="00FD40B8">
        <w:rPr>
          <w:color w:val="131727" w:themeColor="text1"/>
          <w:w w:val="110"/>
          <w:sz w:val="21"/>
        </w:rPr>
        <w:t>of</w:t>
      </w:r>
      <w:r w:rsidRPr="00FD40B8">
        <w:rPr>
          <w:color w:val="131727" w:themeColor="text1"/>
          <w:spacing w:val="-6"/>
          <w:w w:val="110"/>
          <w:sz w:val="21"/>
        </w:rPr>
        <w:t xml:space="preserve"> </w:t>
      </w:r>
      <w:r w:rsidRPr="00FD40B8">
        <w:rPr>
          <w:color w:val="131727" w:themeColor="text1"/>
          <w:w w:val="110"/>
          <w:sz w:val="21"/>
        </w:rPr>
        <w:t>the</w:t>
      </w:r>
      <w:r w:rsidRPr="00FD40B8">
        <w:rPr>
          <w:color w:val="131727" w:themeColor="text1"/>
          <w:spacing w:val="-6"/>
          <w:w w:val="110"/>
          <w:sz w:val="21"/>
        </w:rPr>
        <w:t xml:space="preserve"> </w:t>
      </w:r>
      <w:r w:rsidRPr="00FD40B8">
        <w:rPr>
          <w:color w:val="131727" w:themeColor="text1"/>
          <w:w w:val="110"/>
          <w:sz w:val="21"/>
        </w:rPr>
        <w:t>2006</w:t>
      </w:r>
      <w:r w:rsidRPr="00FD40B8">
        <w:rPr>
          <w:color w:val="131727" w:themeColor="text1"/>
          <w:spacing w:val="-6"/>
          <w:w w:val="110"/>
          <w:sz w:val="21"/>
        </w:rPr>
        <w:t xml:space="preserve"> </w:t>
      </w:r>
      <w:r w:rsidRPr="00FD40B8">
        <w:rPr>
          <w:color w:val="131727" w:themeColor="text1"/>
          <w:w w:val="110"/>
          <w:sz w:val="21"/>
        </w:rPr>
        <w:t>CHINS</w:t>
      </w:r>
      <w:r w:rsidRPr="00FD40B8">
        <w:rPr>
          <w:color w:val="131727" w:themeColor="text1"/>
          <w:spacing w:val="-5"/>
          <w:w w:val="110"/>
          <w:sz w:val="21"/>
        </w:rPr>
        <w:t xml:space="preserve"> </w:t>
      </w:r>
      <w:r w:rsidRPr="00FD40B8">
        <w:rPr>
          <w:color w:val="131727" w:themeColor="text1"/>
          <w:w w:val="110"/>
          <w:sz w:val="21"/>
        </w:rPr>
        <w:t>was</w:t>
      </w:r>
      <w:r w:rsidRPr="00FD40B8">
        <w:rPr>
          <w:color w:val="131727" w:themeColor="text1"/>
          <w:spacing w:val="-4"/>
          <w:w w:val="110"/>
          <w:sz w:val="21"/>
        </w:rPr>
        <w:t xml:space="preserve"> </w:t>
      </w:r>
      <w:r w:rsidRPr="00FD40B8">
        <w:rPr>
          <w:color w:val="131727" w:themeColor="text1"/>
          <w:w w:val="110"/>
          <w:sz w:val="21"/>
        </w:rPr>
        <w:t>to</w:t>
      </w:r>
      <w:r w:rsidRPr="00FD40B8">
        <w:rPr>
          <w:color w:val="131727" w:themeColor="text1"/>
          <w:spacing w:val="-4"/>
          <w:w w:val="110"/>
          <w:sz w:val="21"/>
        </w:rPr>
        <w:t xml:space="preserve"> </w:t>
      </w:r>
      <w:r w:rsidRPr="00FD40B8">
        <w:rPr>
          <w:color w:val="131727" w:themeColor="text1"/>
          <w:w w:val="110"/>
          <w:sz w:val="21"/>
        </w:rPr>
        <w:t>maintain</w:t>
      </w:r>
      <w:r w:rsidRPr="00FD40B8">
        <w:rPr>
          <w:color w:val="131727" w:themeColor="text1"/>
          <w:spacing w:val="-5"/>
          <w:w w:val="110"/>
          <w:sz w:val="21"/>
        </w:rPr>
        <w:t xml:space="preserve"> </w:t>
      </w:r>
      <w:r w:rsidRPr="00FD40B8">
        <w:rPr>
          <w:color w:val="131727" w:themeColor="text1"/>
          <w:w w:val="110"/>
          <w:sz w:val="21"/>
        </w:rPr>
        <w:t>comparability</w:t>
      </w:r>
      <w:r w:rsidRPr="00FD40B8">
        <w:rPr>
          <w:color w:val="131727" w:themeColor="text1"/>
          <w:spacing w:val="-6"/>
          <w:w w:val="110"/>
          <w:sz w:val="21"/>
        </w:rPr>
        <w:t xml:space="preserve"> </w:t>
      </w:r>
      <w:r w:rsidRPr="00FD40B8">
        <w:rPr>
          <w:color w:val="131727" w:themeColor="text1"/>
          <w:w w:val="110"/>
          <w:sz w:val="21"/>
        </w:rPr>
        <w:t>with</w:t>
      </w:r>
      <w:r w:rsidRPr="00FD40B8">
        <w:rPr>
          <w:color w:val="131727" w:themeColor="text1"/>
          <w:spacing w:val="-5"/>
          <w:w w:val="110"/>
          <w:sz w:val="21"/>
        </w:rPr>
        <w:t xml:space="preserve"> </w:t>
      </w:r>
      <w:r w:rsidRPr="00FD40B8">
        <w:rPr>
          <w:color w:val="131727" w:themeColor="text1"/>
          <w:w w:val="110"/>
          <w:sz w:val="21"/>
        </w:rPr>
        <w:t>the 1999 and 2001 surveys so that the progress of programs implemented since the 1999 collection could be assessed.</w:t>
      </w:r>
    </w:p>
    <w:p w14:paraId="1BDF7531" w14:textId="77777777" w:rsidR="00811887" w:rsidRPr="00FD40B8" w:rsidRDefault="00811887" w:rsidP="00811887">
      <w:pPr>
        <w:spacing w:line="268" w:lineRule="auto"/>
        <w:rPr>
          <w:color w:val="131727" w:themeColor="text1"/>
          <w:sz w:val="21"/>
        </w:rPr>
        <w:sectPr w:rsidR="00811887" w:rsidRPr="00FD40B8" w:rsidSect="00811887">
          <w:type w:val="continuous"/>
          <w:pgSz w:w="11910" w:h="16840"/>
          <w:pgMar w:top="1380" w:right="1100" w:bottom="1000" w:left="1100" w:header="0" w:footer="805" w:gutter="0"/>
          <w:cols w:space="720"/>
        </w:sectPr>
      </w:pPr>
    </w:p>
    <w:p w14:paraId="669FA839" w14:textId="77777777" w:rsidR="00811887" w:rsidRPr="00FD40B8" w:rsidRDefault="00811887" w:rsidP="00811887">
      <w:pPr>
        <w:spacing w:before="83"/>
        <w:ind w:left="148"/>
        <w:rPr>
          <w:rFonts w:ascii="Book Antiqua"/>
          <w:b/>
          <w:color w:val="131727" w:themeColor="text1"/>
          <w:sz w:val="21"/>
        </w:rPr>
      </w:pPr>
      <w:r w:rsidRPr="00FD40B8">
        <w:rPr>
          <w:rFonts w:ascii="Book Antiqua"/>
          <w:b/>
          <w:color w:val="131727" w:themeColor="text1"/>
          <w:sz w:val="21"/>
        </w:rPr>
        <w:lastRenderedPageBreak/>
        <w:t>Table</w:t>
      </w:r>
      <w:r w:rsidRPr="00FD40B8">
        <w:rPr>
          <w:rFonts w:ascii="Book Antiqua"/>
          <w:b/>
          <w:color w:val="131727" w:themeColor="text1"/>
          <w:spacing w:val="-6"/>
          <w:sz w:val="21"/>
        </w:rPr>
        <w:t xml:space="preserve"> </w:t>
      </w:r>
      <w:r w:rsidRPr="00FD40B8">
        <w:rPr>
          <w:rFonts w:ascii="Book Antiqua"/>
          <w:b/>
          <w:color w:val="131727" w:themeColor="text1"/>
          <w:sz w:val="21"/>
        </w:rPr>
        <w:t>A2.</w:t>
      </w:r>
      <w:r w:rsidRPr="00FD40B8">
        <w:rPr>
          <w:rFonts w:ascii="Book Antiqua"/>
          <w:b/>
          <w:color w:val="131727" w:themeColor="text1"/>
          <w:spacing w:val="-4"/>
          <w:sz w:val="21"/>
        </w:rPr>
        <w:t xml:space="preserve"> </w:t>
      </w:r>
      <w:r w:rsidRPr="00FD40B8">
        <w:rPr>
          <w:rFonts w:ascii="Book Antiqua"/>
          <w:b/>
          <w:color w:val="131727" w:themeColor="text1"/>
          <w:sz w:val="21"/>
        </w:rPr>
        <w:t>Scope</w:t>
      </w:r>
      <w:r w:rsidRPr="00FD40B8">
        <w:rPr>
          <w:rFonts w:ascii="Book Antiqua"/>
          <w:b/>
          <w:color w:val="131727" w:themeColor="text1"/>
          <w:spacing w:val="-7"/>
          <w:sz w:val="21"/>
        </w:rPr>
        <w:t xml:space="preserve"> </w:t>
      </w:r>
      <w:r w:rsidRPr="00FD40B8">
        <w:rPr>
          <w:rFonts w:ascii="Book Antiqua"/>
          <w:b/>
          <w:color w:val="131727" w:themeColor="text1"/>
          <w:sz w:val="21"/>
        </w:rPr>
        <w:t>of</w:t>
      </w:r>
      <w:r w:rsidRPr="00FD40B8">
        <w:rPr>
          <w:rFonts w:ascii="Book Antiqua"/>
          <w:b/>
          <w:color w:val="131727" w:themeColor="text1"/>
          <w:spacing w:val="-4"/>
          <w:sz w:val="21"/>
        </w:rPr>
        <w:t xml:space="preserve"> </w:t>
      </w:r>
      <w:r w:rsidRPr="00FD40B8">
        <w:rPr>
          <w:rFonts w:ascii="Book Antiqua"/>
          <w:b/>
          <w:color w:val="131727" w:themeColor="text1"/>
          <w:sz w:val="21"/>
        </w:rPr>
        <w:t>CHINS</w:t>
      </w:r>
      <w:r w:rsidRPr="00FD40B8">
        <w:rPr>
          <w:rFonts w:ascii="Book Antiqua"/>
          <w:b/>
          <w:color w:val="131727" w:themeColor="text1"/>
          <w:spacing w:val="-4"/>
          <w:sz w:val="21"/>
        </w:rPr>
        <w:t xml:space="preserve"> </w:t>
      </w:r>
      <w:r w:rsidRPr="00FD40B8">
        <w:rPr>
          <w:rFonts w:ascii="Book Antiqua"/>
          <w:b/>
          <w:color w:val="131727" w:themeColor="text1"/>
          <w:sz w:val="21"/>
        </w:rPr>
        <w:t>surveys,</w:t>
      </w:r>
      <w:r w:rsidRPr="00FD40B8">
        <w:rPr>
          <w:rFonts w:ascii="Book Antiqua"/>
          <w:b/>
          <w:color w:val="131727" w:themeColor="text1"/>
          <w:spacing w:val="-4"/>
          <w:sz w:val="21"/>
        </w:rPr>
        <w:t xml:space="preserve"> </w:t>
      </w:r>
      <w:r w:rsidRPr="00FD40B8">
        <w:rPr>
          <w:rFonts w:ascii="Book Antiqua"/>
          <w:b/>
          <w:color w:val="131727" w:themeColor="text1"/>
          <w:sz w:val="21"/>
        </w:rPr>
        <w:t>1999,</w:t>
      </w:r>
      <w:r w:rsidRPr="00FD40B8">
        <w:rPr>
          <w:rFonts w:ascii="Book Antiqua"/>
          <w:b/>
          <w:color w:val="131727" w:themeColor="text1"/>
          <w:spacing w:val="-3"/>
          <w:sz w:val="21"/>
        </w:rPr>
        <w:t xml:space="preserve"> </w:t>
      </w:r>
      <w:r w:rsidRPr="00FD40B8">
        <w:rPr>
          <w:rFonts w:ascii="Book Antiqua"/>
          <w:b/>
          <w:color w:val="131727" w:themeColor="text1"/>
          <w:sz w:val="21"/>
        </w:rPr>
        <w:t>2001</w:t>
      </w:r>
      <w:r w:rsidRPr="00FD40B8">
        <w:rPr>
          <w:rFonts w:ascii="Book Antiqua"/>
          <w:b/>
          <w:color w:val="131727" w:themeColor="text1"/>
          <w:spacing w:val="-4"/>
          <w:sz w:val="21"/>
        </w:rPr>
        <w:t xml:space="preserve"> </w:t>
      </w:r>
      <w:r w:rsidRPr="00FD40B8">
        <w:rPr>
          <w:rFonts w:ascii="Book Antiqua"/>
          <w:b/>
          <w:color w:val="131727" w:themeColor="text1"/>
          <w:sz w:val="21"/>
        </w:rPr>
        <w:t>and</w:t>
      </w:r>
      <w:r w:rsidRPr="00FD40B8">
        <w:rPr>
          <w:rFonts w:ascii="Book Antiqua"/>
          <w:b/>
          <w:color w:val="131727" w:themeColor="text1"/>
          <w:spacing w:val="-7"/>
          <w:sz w:val="21"/>
        </w:rPr>
        <w:t xml:space="preserve"> </w:t>
      </w:r>
      <w:r w:rsidRPr="00FD40B8">
        <w:rPr>
          <w:rFonts w:ascii="Book Antiqua"/>
          <w:b/>
          <w:color w:val="131727" w:themeColor="text1"/>
          <w:spacing w:val="-4"/>
          <w:sz w:val="21"/>
        </w:rPr>
        <w:t>2006</w:t>
      </w:r>
    </w:p>
    <w:p w14:paraId="1605813B" w14:textId="77777777" w:rsidR="00811887" w:rsidRPr="00FD40B8" w:rsidRDefault="00811887" w:rsidP="00811887">
      <w:pPr>
        <w:pStyle w:val="BodyText"/>
        <w:spacing w:before="3"/>
        <w:rPr>
          <w:rFonts w:ascii="Book Antiqua"/>
          <w:b/>
          <w:color w:val="131727" w:themeColor="text1"/>
          <w:sz w:val="5"/>
        </w:rPr>
      </w:pPr>
    </w:p>
    <w:tbl>
      <w:tblPr>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8279"/>
      </w:tblGrid>
      <w:tr w:rsidR="00811887" w:rsidRPr="00FD40B8" w14:paraId="16C03260" w14:textId="77777777" w:rsidTr="00486E22">
        <w:trPr>
          <w:trHeight w:val="239"/>
        </w:trPr>
        <w:tc>
          <w:tcPr>
            <w:tcW w:w="1129" w:type="dxa"/>
            <w:shd w:val="clear" w:color="auto" w:fill="91A9A2"/>
          </w:tcPr>
          <w:p w14:paraId="6C3B64D6" w14:textId="77777777" w:rsidR="00811887" w:rsidRPr="00FD40B8" w:rsidRDefault="00811887" w:rsidP="00486E22">
            <w:pPr>
              <w:pStyle w:val="TableParagraph"/>
              <w:spacing w:before="11" w:line="209" w:lineRule="exact"/>
              <w:ind w:left="105"/>
              <w:rPr>
                <w:rFonts w:ascii="Garamond"/>
                <w:b/>
                <w:color w:val="131727" w:themeColor="text1"/>
                <w:sz w:val="21"/>
              </w:rPr>
            </w:pPr>
            <w:r w:rsidRPr="00FD40B8">
              <w:rPr>
                <w:rFonts w:ascii="Garamond"/>
                <w:b/>
                <w:color w:val="131727" w:themeColor="text1"/>
                <w:spacing w:val="-4"/>
                <w:sz w:val="21"/>
              </w:rPr>
              <w:t>Year</w:t>
            </w:r>
          </w:p>
        </w:tc>
        <w:tc>
          <w:tcPr>
            <w:tcW w:w="8279" w:type="dxa"/>
            <w:shd w:val="clear" w:color="auto" w:fill="91A9A2"/>
          </w:tcPr>
          <w:p w14:paraId="3D984C9F" w14:textId="77777777" w:rsidR="00811887" w:rsidRPr="00FD40B8" w:rsidRDefault="00811887" w:rsidP="00486E22">
            <w:pPr>
              <w:pStyle w:val="TableParagraph"/>
              <w:spacing w:before="11" w:line="209" w:lineRule="exact"/>
              <w:ind w:left="109"/>
              <w:rPr>
                <w:rFonts w:ascii="Garamond"/>
                <w:b/>
                <w:color w:val="131727" w:themeColor="text1"/>
                <w:sz w:val="21"/>
              </w:rPr>
            </w:pPr>
            <w:r w:rsidRPr="00FD40B8">
              <w:rPr>
                <w:rFonts w:ascii="Garamond"/>
                <w:b/>
                <w:color w:val="131727" w:themeColor="text1"/>
                <w:sz w:val="21"/>
              </w:rPr>
              <w:t>Numbers</w:t>
            </w:r>
            <w:r w:rsidRPr="00FD40B8">
              <w:rPr>
                <w:rFonts w:ascii="Garamond"/>
                <w:b/>
                <w:color w:val="131727" w:themeColor="text1"/>
                <w:spacing w:val="-8"/>
                <w:sz w:val="21"/>
              </w:rPr>
              <w:t xml:space="preserve"> </w:t>
            </w:r>
            <w:r w:rsidRPr="00FD40B8">
              <w:rPr>
                <w:rFonts w:ascii="Garamond"/>
                <w:b/>
                <w:color w:val="131727" w:themeColor="text1"/>
                <w:sz w:val="21"/>
              </w:rPr>
              <w:t>of</w:t>
            </w:r>
            <w:r w:rsidRPr="00FD40B8">
              <w:rPr>
                <w:rFonts w:ascii="Garamond"/>
                <w:b/>
                <w:color w:val="131727" w:themeColor="text1"/>
                <w:spacing w:val="-7"/>
                <w:sz w:val="21"/>
              </w:rPr>
              <w:t xml:space="preserve"> </w:t>
            </w:r>
            <w:r w:rsidRPr="00FD40B8">
              <w:rPr>
                <w:rFonts w:ascii="Garamond"/>
                <w:b/>
                <w:color w:val="131727" w:themeColor="text1"/>
                <w:sz w:val="21"/>
              </w:rPr>
              <w:t>IHOs</w:t>
            </w:r>
            <w:r w:rsidRPr="00FD40B8">
              <w:rPr>
                <w:rFonts w:ascii="Garamond"/>
                <w:b/>
                <w:color w:val="131727" w:themeColor="text1"/>
                <w:spacing w:val="-7"/>
                <w:sz w:val="21"/>
              </w:rPr>
              <w:t xml:space="preserve"> </w:t>
            </w:r>
            <w:r w:rsidRPr="00FD40B8">
              <w:rPr>
                <w:rFonts w:ascii="Garamond"/>
                <w:b/>
                <w:color w:val="131727" w:themeColor="text1"/>
                <w:sz w:val="21"/>
              </w:rPr>
              <w:t>and</w:t>
            </w:r>
            <w:r w:rsidRPr="00FD40B8">
              <w:rPr>
                <w:rFonts w:ascii="Garamond"/>
                <w:b/>
                <w:color w:val="131727" w:themeColor="text1"/>
                <w:spacing w:val="-8"/>
                <w:sz w:val="21"/>
              </w:rPr>
              <w:t xml:space="preserve"> </w:t>
            </w:r>
            <w:r w:rsidRPr="00FD40B8">
              <w:rPr>
                <w:rFonts w:ascii="Garamond"/>
                <w:b/>
                <w:color w:val="131727" w:themeColor="text1"/>
                <w:sz w:val="21"/>
              </w:rPr>
              <w:t>discrete</w:t>
            </w:r>
            <w:r w:rsidRPr="00FD40B8">
              <w:rPr>
                <w:rFonts w:ascii="Garamond"/>
                <w:b/>
                <w:color w:val="131727" w:themeColor="text1"/>
                <w:spacing w:val="-6"/>
                <w:sz w:val="21"/>
              </w:rPr>
              <w:t xml:space="preserve"> </w:t>
            </w:r>
            <w:r w:rsidRPr="00FD40B8">
              <w:rPr>
                <w:rFonts w:ascii="Garamond"/>
                <w:b/>
                <w:color w:val="131727" w:themeColor="text1"/>
                <w:sz w:val="21"/>
              </w:rPr>
              <w:t>Indigenous</w:t>
            </w:r>
            <w:r w:rsidRPr="00FD40B8">
              <w:rPr>
                <w:rFonts w:ascii="Garamond"/>
                <w:b/>
                <w:color w:val="131727" w:themeColor="text1"/>
                <w:spacing w:val="-8"/>
                <w:sz w:val="21"/>
              </w:rPr>
              <w:t xml:space="preserve"> </w:t>
            </w:r>
            <w:r w:rsidRPr="00FD40B8">
              <w:rPr>
                <w:rFonts w:ascii="Garamond"/>
                <w:b/>
                <w:color w:val="131727" w:themeColor="text1"/>
                <w:sz w:val="21"/>
              </w:rPr>
              <w:t>communities</w:t>
            </w:r>
            <w:r w:rsidRPr="00FD40B8">
              <w:rPr>
                <w:rFonts w:ascii="Garamond"/>
                <w:b/>
                <w:color w:val="131727" w:themeColor="text1"/>
                <w:spacing w:val="-7"/>
                <w:sz w:val="21"/>
              </w:rPr>
              <w:t xml:space="preserve"> </w:t>
            </w:r>
            <w:r w:rsidRPr="00FD40B8">
              <w:rPr>
                <w:rFonts w:ascii="Garamond"/>
                <w:b/>
                <w:color w:val="131727" w:themeColor="text1"/>
                <w:spacing w:val="-2"/>
                <w:sz w:val="21"/>
              </w:rPr>
              <w:t>surveyed</w:t>
            </w:r>
          </w:p>
        </w:tc>
      </w:tr>
      <w:tr w:rsidR="00811887" w:rsidRPr="00FD40B8" w14:paraId="18442B95" w14:textId="77777777" w:rsidTr="00486E22">
        <w:trPr>
          <w:trHeight w:val="720"/>
        </w:trPr>
        <w:tc>
          <w:tcPr>
            <w:tcW w:w="1129" w:type="dxa"/>
            <w:shd w:val="clear" w:color="auto" w:fill="EEF1F4"/>
          </w:tcPr>
          <w:p w14:paraId="665952B5"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4"/>
                <w:w w:val="115"/>
                <w:sz w:val="21"/>
              </w:rPr>
              <w:t>1999</w:t>
            </w:r>
          </w:p>
        </w:tc>
        <w:tc>
          <w:tcPr>
            <w:tcW w:w="8279" w:type="dxa"/>
            <w:shd w:val="clear" w:color="auto" w:fill="EEF1F4"/>
          </w:tcPr>
          <w:p w14:paraId="0BC6CEB0" w14:textId="77777777" w:rsidR="00811887" w:rsidRPr="00FD40B8" w:rsidRDefault="00811887" w:rsidP="00811887">
            <w:pPr>
              <w:pStyle w:val="TableParagraph"/>
              <w:numPr>
                <w:ilvl w:val="0"/>
                <w:numId w:val="47"/>
              </w:numPr>
              <w:tabs>
                <w:tab w:val="left" w:pos="1190"/>
              </w:tabs>
              <w:spacing w:line="234" w:lineRule="exact"/>
              <w:rPr>
                <w:color w:val="131727" w:themeColor="text1"/>
                <w:sz w:val="21"/>
              </w:rPr>
            </w:pPr>
            <w:r w:rsidRPr="00FD40B8">
              <w:rPr>
                <w:color w:val="131727" w:themeColor="text1"/>
                <w:w w:val="115"/>
                <w:sz w:val="21"/>
              </w:rPr>
              <w:t>707</w:t>
            </w:r>
            <w:r w:rsidRPr="00FD40B8">
              <w:rPr>
                <w:color w:val="131727" w:themeColor="text1"/>
                <w:spacing w:val="-12"/>
                <w:w w:val="115"/>
                <w:sz w:val="21"/>
              </w:rPr>
              <w:t xml:space="preserve"> </w:t>
            </w:r>
            <w:r w:rsidRPr="00FD40B8">
              <w:rPr>
                <w:color w:val="131727" w:themeColor="text1"/>
                <w:spacing w:val="-4"/>
                <w:w w:val="115"/>
                <w:sz w:val="21"/>
              </w:rPr>
              <w:t>IHOs</w:t>
            </w:r>
          </w:p>
          <w:p w14:paraId="64F3DCC0" w14:textId="77777777" w:rsidR="00811887" w:rsidRPr="00FD40B8" w:rsidRDefault="00811887" w:rsidP="00811887">
            <w:pPr>
              <w:pStyle w:val="TableParagraph"/>
              <w:numPr>
                <w:ilvl w:val="0"/>
                <w:numId w:val="47"/>
              </w:numPr>
              <w:tabs>
                <w:tab w:val="left" w:pos="1190"/>
              </w:tabs>
              <w:spacing w:line="240" w:lineRule="exact"/>
              <w:rPr>
                <w:color w:val="131727" w:themeColor="text1"/>
                <w:sz w:val="21"/>
              </w:rPr>
            </w:pPr>
            <w:r w:rsidRPr="00FD40B8">
              <w:rPr>
                <w:color w:val="131727" w:themeColor="text1"/>
                <w:w w:val="110"/>
                <w:sz w:val="21"/>
              </w:rPr>
              <w:t>20,270</w:t>
            </w:r>
            <w:r w:rsidRPr="00FD40B8">
              <w:rPr>
                <w:color w:val="131727" w:themeColor="text1"/>
                <w:spacing w:val="-2"/>
                <w:w w:val="110"/>
                <w:sz w:val="21"/>
              </w:rPr>
              <w:t xml:space="preserve"> </w:t>
            </w:r>
            <w:r w:rsidRPr="00FD40B8">
              <w:rPr>
                <w:color w:val="131727" w:themeColor="text1"/>
                <w:w w:val="110"/>
                <w:sz w:val="21"/>
              </w:rPr>
              <w:t xml:space="preserve">permanent </w:t>
            </w:r>
            <w:r w:rsidRPr="00FD40B8">
              <w:rPr>
                <w:color w:val="131727" w:themeColor="text1"/>
                <w:spacing w:val="-2"/>
                <w:w w:val="110"/>
                <w:sz w:val="21"/>
              </w:rPr>
              <w:t>dwellings</w:t>
            </w:r>
          </w:p>
          <w:p w14:paraId="7A688F08" w14:textId="77777777" w:rsidR="00811887" w:rsidRPr="00FD40B8" w:rsidRDefault="00811887" w:rsidP="00811887">
            <w:pPr>
              <w:pStyle w:val="TableParagraph"/>
              <w:numPr>
                <w:ilvl w:val="0"/>
                <w:numId w:val="47"/>
              </w:numPr>
              <w:tabs>
                <w:tab w:val="left" w:pos="1190"/>
              </w:tabs>
              <w:spacing w:line="225" w:lineRule="exact"/>
              <w:rPr>
                <w:color w:val="131727" w:themeColor="text1"/>
                <w:sz w:val="21"/>
              </w:rPr>
            </w:pPr>
            <w:r w:rsidRPr="00FD40B8">
              <w:rPr>
                <w:color w:val="131727" w:themeColor="text1"/>
                <w:w w:val="110"/>
                <w:sz w:val="21"/>
              </w:rPr>
              <w:t>1,291</w:t>
            </w:r>
            <w:r w:rsidRPr="00FD40B8">
              <w:rPr>
                <w:color w:val="131727" w:themeColor="text1"/>
                <w:spacing w:val="-2"/>
                <w:w w:val="110"/>
                <w:sz w:val="21"/>
              </w:rPr>
              <w:t xml:space="preserve"> </w:t>
            </w:r>
            <w:r w:rsidRPr="00FD40B8">
              <w:rPr>
                <w:color w:val="131727" w:themeColor="text1"/>
                <w:w w:val="110"/>
                <w:sz w:val="21"/>
              </w:rPr>
              <w:t>discrete</w:t>
            </w:r>
            <w:r w:rsidRPr="00FD40B8">
              <w:rPr>
                <w:color w:val="131727" w:themeColor="text1"/>
                <w:spacing w:val="-1"/>
                <w:w w:val="110"/>
                <w:sz w:val="21"/>
              </w:rPr>
              <w:t xml:space="preserve"> </w:t>
            </w:r>
            <w:r w:rsidRPr="00FD40B8">
              <w:rPr>
                <w:color w:val="131727" w:themeColor="text1"/>
                <w:w w:val="110"/>
                <w:sz w:val="21"/>
              </w:rPr>
              <w:t>Indigenous</w:t>
            </w:r>
            <w:r w:rsidRPr="00FD40B8">
              <w:rPr>
                <w:color w:val="131727" w:themeColor="text1"/>
                <w:spacing w:val="1"/>
                <w:w w:val="110"/>
                <w:sz w:val="21"/>
              </w:rPr>
              <w:t xml:space="preserve"> </w:t>
            </w:r>
            <w:r w:rsidRPr="00FD40B8">
              <w:rPr>
                <w:color w:val="131727" w:themeColor="text1"/>
                <w:spacing w:val="-2"/>
                <w:w w:val="110"/>
                <w:sz w:val="21"/>
              </w:rPr>
              <w:t>communities</w:t>
            </w:r>
          </w:p>
        </w:tc>
      </w:tr>
      <w:tr w:rsidR="00811887" w:rsidRPr="00FD40B8" w14:paraId="08A0E11A" w14:textId="77777777" w:rsidTr="00486E22">
        <w:trPr>
          <w:trHeight w:val="719"/>
        </w:trPr>
        <w:tc>
          <w:tcPr>
            <w:tcW w:w="1129" w:type="dxa"/>
          </w:tcPr>
          <w:p w14:paraId="0A48A868"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4"/>
                <w:w w:val="115"/>
                <w:sz w:val="21"/>
              </w:rPr>
              <w:t>2001</w:t>
            </w:r>
          </w:p>
        </w:tc>
        <w:tc>
          <w:tcPr>
            <w:tcW w:w="8279" w:type="dxa"/>
          </w:tcPr>
          <w:p w14:paraId="207156E1" w14:textId="77777777" w:rsidR="00811887" w:rsidRPr="00FD40B8" w:rsidRDefault="00811887" w:rsidP="00811887">
            <w:pPr>
              <w:pStyle w:val="TableParagraph"/>
              <w:numPr>
                <w:ilvl w:val="0"/>
                <w:numId w:val="46"/>
              </w:numPr>
              <w:tabs>
                <w:tab w:val="left" w:pos="1190"/>
              </w:tabs>
              <w:spacing w:line="234" w:lineRule="exact"/>
              <w:rPr>
                <w:color w:val="131727" w:themeColor="text1"/>
                <w:sz w:val="21"/>
              </w:rPr>
            </w:pPr>
            <w:r w:rsidRPr="00FD40B8">
              <w:rPr>
                <w:color w:val="131727" w:themeColor="text1"/>
                <w:w w:val="115"/>
                <w:sz w:val="21"/>
              </w:rPr>
              <w:t>616</w:t>
            </w:r>
            <w:r w:rsidRPr="00FD40B8">
              <w:rPr>
                <w:color w:val="131727" w:themeColor="text1"/>
                <w:spacing w:val="-12"/>
                <w:w w:val="115"/>
                <w:sz w:val="21"/>
              </w:rPr>
              <w:t xml:space="preserve"> </w:t>
            </w:r>
            <w:r w:rsidRPr="00FD40B8">
              <w:rPr>
                <w:color w:val="131727" w:themeColor="text1"/>
                <w:spacing w:val="-4"/>
                <w:w w:val="115"/>
                <w:sz w:val="21"/>
              </w:rPr>
              <w:t>IHOs</w:t>
            </w:r>
          </w:p>
          <w:p w14:paraId="371EB8F3" w14:textId="77777777" w:rsidR="00811887" w:rsidRPr="00FD40B8" w:rsidRDefault="00811887" w:rsidP="00811887">
            <w:pPr>
              <w:pStyle w:val="TableParagraph"/>
              <w:numPr>
                <w:ilvl w:val="0"/>
                <w:numId w:val="46"/>
              </w:numPr>
              <w:tabs>
                <w:tab w:val="left" w:pos="1190"/>
              </w:tabs>
              <w:spacing w:line="240" w:lineRule="exact"/>
              <w:rPr>
                <w:color w:val="131727" w:themeColor="text1"/>
                <w:sz w:val="21"/>
              </w:rPr>
            </w:pPr>
            <w:r w:rsidRPr="00FD40B8">
              <w:rPr>
                <w:color w:val="131727" w:themeColor="text1"/>
                <w:w w:val="110"/>
                <w:sz w:val="21"/>
              </w:rPr>
              <w:t>21,287</w:t>
            </w:r>
            <w:r w:rsidRPr="00FD40B8">
              <w:rPr>
                <w:color w:val="131727" w:themeColor="text1"/>
                <w:spacing w:val="-2"/>
                <w:w w:val="110"/>
                <w:sz w:val="21"/>
              </w:rPr>
              <w:t xml:space="preserve"> </w:t>
            </w:r>
            <w:r w:rsidRPr="00FD40B8">
              <w:rPr>
                <w:color w:val="131727" w:themeColor="text1"/>
                <w:w w:val="110"/>
                <w:sz w:val="21"/>
              </w:rPr>
              <w:t xml:space="preserve">permanent </w:t>
            </w:r>
            <w:r w:rsidRPr="00FD40B8">
              <w:rPr>
                <w:color w:val="131727" w:themeColor="text1"/>
                <w:spacing w:val="-2"/>
                <w:w w:val="110"/>
                <w:sz w:val="21"/>
              </w:rPr>
              <w:t>dwellings</w:t>
            </w:r>
          </w:p>
          <w:p w14:paraId="30AA197F" w14:textId="77777777" w:rsidR="00811887" w:rsidRPr="00FD40B8" w:rsidRDefault="00811887" w:rsidP="00811887">
            <w:pPr>
              <w:pStyle w:val="TableParagraph"/>
              <w:numPr>
                <w:ilvl w:val="0"/>
                <w:numId w:val="46"/>
              </w:numPr>
              <w:tabs>
                <w:tab w:val="left" w:pos="1190"/>
              </w:tabs>
              <w:spacing w:line="225" w:lineRule="exact"/>
              <w:rPr>
                <w:color w:val="131727" w:themeColor="text1"/>
                <w:sz w:val="21"/>
              </w:rPr>
            </w:pPr>
            <w:r w:rsidRPr="00FD40B8">
              <w:rPr>
                <w:color w:val="131727" w:themeColor="text1"/>
                <w:w w:val="110"/>
                <w:sz w:val="21"/>
              </w:rPr>
              <w:t>1,216</w:t>
            </w:r>
            <w:r w:rsidRPr="00FD40B8">
              <w:rPr>
                <w:color w:val="131727" w:themeColor="text1"/>
                <w:spacing w:val="-2"/>
                <w:w w:val="110"/>
                <w:sz w:val="21"/>
              </w:rPr>
              <w:t xml:space="preserve"> </w:t>
            </w:r>
            <w:r w:rsidRPr="00FD40B8">
              <w:rPr>
                <w:color w:val="131727" w:themeColor="text1"/>
                <w:w w:val="110"/>
                <w:sz w:val="21"/>
              </w:rPr>
              <w:t>discrete</w:t>
            </w:r>
            <w:r w:rsidRPr="00FD40B8">
              <w:rPr>
                <w:color w:val="131727" w:themeColor="text1"/>
                <w:spacing w:val="-1"/>
                <w:w w:val="110"/>
                <w:sz w:val="21"/>
              </w:rPr>
              <w:t xml:space="preserve"> </w:t>
            </w:r>
            <w:r w:rsidRPr="00FD40B8">
              <w:rPr>
                <w:color w:val="131727" w:themeColor="text1"/>
                <w:w w:val="110"/>
                <w:sz w:val="21"/>
              </w:rPr>
              <w:t>Indigenous</w:t>
            </w:r>
            <w:r w:rsidRPr="00FD40B8">
              <w:rPr>
                <w:color w:val="131727" w:themeColor="text1"/>
                <w:spacing w:val="1"/>
                <w:w w:val="110"/>
                <w:sz w:val="21"/>
              </w:rPr>
              <w:t xml:space="preserve"> </w:t>
            </w:r>
            <w:r w:rsidRPr="00FD40B8">
              <w:rPr>
                <w:color w:val="131727" w:themeColor="text1"/>
                <w:spacing w:val="-2"/>
                <w:w w:val="110"/>
                <w:sz w:val="21"/>
              </w:rPr>
              <w:t>communities</w:t>
            </w:r>
          </w:p>
        </w:tc>
      </w:tr>
      <w:tr w:rsidR="00811887" w:rsidRPr="00FD40B8" w14:paraId="5307E1C5" w14:textId="77777777" w:rsidTr="00486E22">
        <w:trPr>
          <w:trHeight w:val="960"/>
        </w:trPr>
        <w:tc>
          <w:tcPr>
            <w:tcW w:w="1129" w:type="dxa"/>
            <w:shd w:val="clear" w:color="auto" w:fill="EEF1F4"/>
          </w:tcPr>
          <w:p w14:paraId="1EE84C42" w14:textId="77777777" w:rsidR="00811887" w:rsidRPr="00FD40B8" w:rsidRDefault="00811887" w:rsidP="00486E22">
            <w:pPr>
              <w:pStyle w:val="TableParagraph"/>
              <w:spacing w:line="248" w:lineRule="exact"/>
              <w:ind w:left="105"/>
              <w:rPr>
                <w:color w:val="131727" w:themeColor="text1"/>
                <w:sz w:val="21"/>
              </w:rPr>
            </w:pPr>
            <w:r w:rsidRPr="00FD40B8">
              <w:rPr>
                <w:color w:val="131727" w:themeColor="text1"/>
                <w:spacing w:val="-4"/>
                <w:w w:val="115"/>
                <w:sz w:val="21"/>
              </w:rPr>
              <w:t>2006</w:t>
            </w:r>
          </w:p>
        </w:tc>
        <w:tc>
          <w:tcPr>
            <w:tcW w:w="8279" w:type="dxa"/>
            <w:shd w:val="clear" w:color="auto" w:fill="EEF1F4"/>
          </w:tcPr>
          <w:p w14:paraId="50C24117" w14:textId="77777777" w:rsidR="00811887" w:rsidRPr="00FD40B8" w:rsidRDefault="00811887" w:rsidP="00811887">
            <w:pPr>
              <w:pStyle w:val="TableParagraph"/>
              <w:numPr>
                <w:ilvl w:val="0"/>
                <w:numId w:val="45"/>
              </w:numPr>
              <w:tabs>
                <w:tab w:val="left" w:pos="1190"/>
              </w:tabs>
              <w:spacing w:line="225" w:lineRule="auto"/>
              <w:ind w:right="642"/>
              <w:rPr>
                <w:color w:val="131727" w:themeColor="text1"/>
                <w:sz w:val="21"/>
              </w:rPr>
            </w:pPr>
            <w:r w:rsidRPr="00FD40B8">
              <w:rPr>
                <w:color w:val="131727" w:themeColor="text1"/>
                <w:w w:val="110"/>
                <w:sz w:val="21"/>
              </w:rPr>
              <w:t>496</w:t>
            </w:r>
            <w:r w:rsidRPr="00FD40B8">
              <w:rPr>
                <w:color w:val="131727" w:themeColor="text1"/>
                <w:spacing w:val="-1"/>
                <w:w w:val="110"/>
                <w:sz w:val="21"/>
              </w:rPr>
              <w:t xml:space="preserve"> </w:t>
            </w:r>
            <w:r w:rsidRPr="00FD40B8">
              <w:rPr>
                <w:color w:val="131727" w:themeColor="text1"/>
                <w:w w:val="110"/>
                <w:sz w:val="21"/>
              </w:rPr>
              <w:t>IHOs (reduction in IHOs largely</w:t>
            </w:r>
            <w:r w:rsidRPr="00FD40B8">
              <w:rPr>
                <w:color w:val="131727" w:themeColor="text1"/>
                <w:spacing w:val="-1"/>
                <w:w w:val="110"/>
                <w:sz w:val="21"/>
              </w:rPr>
              <w:t xml:space="preserve"> </w:t>
            </w:r>
            <w:r w:rsidRPr="00FD40B8">
              <w:rPr>
                <w:color w:val="131727" w:themeColor="text1"/>
                <w:w w:val="110"/>
                <w:sz w:val="21"/>
              </w:rPr>
              <w:t>due</w:t>
            </w:r>
            <w:r w:rsidRPr="00FD40B8">
              <w:rPr>
                <w:color w:val="131727" w:themeColor="text1"/>
                <w:spacing w:val="-1"/>
                <w:w w:val="110"/>
                <w:sz w:val="21"/>
              </w:rPr>
              <w:t xml:space="preserve"> </w:t>
            </w:r>
            <w:r w:rsidRPr="00FD40B8">
              <w:rPr>
                <w:color w:val="131727" w:themeColor="text1"/>
                <w:w w:val="110"/>
                <w:sz w:val="21"/>
              </w:rPr>
              <w:t xml:space="preserve">to management changes for </w:t>
            </w:r>
            <w:r w:rsidRPr="00FD40B8">
              <w:rPr>
                <w:color w:val="131727" w:themeColor="text1"/>
                <w:spacing w:val="-2"/>
                <w:w w:val="110"/>
                <w:sz w:val="21"/>
              </w:rPr>
              <w:t>IHOs)</w:t>
            </w:r>
          </w:p>
          <w:p w14:paraId="4747E346" w14:textId="77777777" w:rsidR="00811887" w:rsidRPr="00FD40B8" w:rsidRDefault="00811887" w:rsidP="00811887">
            <w:pPr>
              <w:pStyle w:val="TableParagraph"/>
              <w:numPr>
                <w:ilvl w:val="0"/>
                <w:numId w:val="45"/>
              </w:numPr>
              <w:tabs>
                <w:tab w:val="left" w:pos="1190"/>
              </w:tabs>
              <w:spacing w:line="229" w:lineRule="exact"/>
              <w:rPr>
                <w:color w:val="131727" w:themeColor="text1"/>
                <w:sz w:val="21"/>
              </w:rPr>
            </w:pPr>
            <w:r w:rsidRPr="00FD40B8">
              <w:rPr>
                <w:color w:val="131727" w:themeColor="text1"/>
                <w:w w:val="110"/>
                <w:sz w:val="21"/>
              </w:rPr>
              <w:t>21,834</w:t>
            </w:r>
            <w:r w:rsidRPr="00FD40B8">
              <w:rPr>
                <w:color w:val="131727" w:themeColor="text1"/>
                <w:spacing w:val="-2"/>
                <w:w w:val="110"/>
                <w:sz w:val="21"/>
              </w:rPr>
              <w:t xml:space="preserve"> </w:t>
            </w:r>
            <w:r w:rsidRPr="00FD40B8">
              <w:rPr>
                <w:color w:val="131727" w:themeColor="text1"/>
                <w:w w:val="110"/>
                <w:sz w:val="21"/>
              </w:rPr>
              <w:t xml:space="preserve">permanent </w:t>
            </w:r>
            <w:r w:rsidRPr="00FD40B8">
              <w:rPr>
                <w:color w:val="131727" w:themeColor="text1"/>
                <w:spacing w:val="-2"/>
                <w:w w:val="110"/>
                <w:sz w:val="21"/>
              </w:rPr>
              <w:t>dwellings</w:t>
            </w:r>
          </w:p>
          <w:p w14:paraId="2BE6DF0E" w14:textId="77777777" w:rsidR="00811887" w:rsidRPr="00FD40B8" w:rsidRDefault="00811887" w:rsidP="00811887">
            <w:pPr>
              <w:pStyle w:val="TableParagraph"/>
              <w:numPr>
                <w:ilvl w:val="0"/>
                <w:numId w:val="45"/>
              </w:numPr>
              <w:tabs>
                <w:tab w:val="left" w:pos="1190"/>
              </w:tabs>
              <w:spacing w:line="225" w:lineRule="exact"/>
              <w:rPr>
                <w:color w:val="131727" w:themeColor="text1"/>
                <w:sz w:val="21"/>
              </w:rPr>
            </w:pPr>
            <w:r w:rsidRPr="00FD40B8">
              <w:rPr>
                <w:color w:val="131727" w:themeColor="text1"/>
                <w:w w:val="110"/>
                <w:sz w:val="21"/>
              </w:rPr>
              <w:t>1,187</w:t>
            </w:r>
            <w:r w:rsidRPr="00FD40B8">
              <w:rPr>
                <w:color w:val="131727" w:themeColor="text1"/>
                <w:spacing w:val="-2"/>
                <w:w w:val="110"/>
                <w:sz w:val="21"/>
              </w:rPr>
              <w:t xml:space="preserve"> </w:t>
            </w:r>
            <w:r w:rsidRPr="00FD40B8">
              <w:rPr>
                <w:color w:val="131727" w:themeColor="text1"/>
                <w:w w:val="110"/>
                <w:sz w:val="21"/>
              </w:rPr>
              <w:t>discrete</w:t>
            </w:r>
            <w:r w:rsidRPr="00FD40B8">
              <w:rPr>
                <w:color w:val="131727" w:themeColor="text1"/>
                <w:spacing w:val="-1"/>
                <w:w w:val="110"/>
                <w:sz w:val="21"/>
              </w:rPr>
              <w:t xml:space="preserve"> </w:t>
            </w:r>
            <w:r w:rsidRPr="00FD40B8">
              <w:rPr>
                <w:color w:val="131727" w:themeColor="text1"/>
                <w:w w:val="110"/>
                <w:sz w:val="21"/>
              </w:rPr>
              <w:t>Indigenous</w:t>
            </w:r>
            <w:r w:rsidRPr="00FD40B8">
              <w:rPr>
                <w:color w:val="131727" w:themeColor="text1"/>
                <w:spacing w:val="1"/>
                <w:w w:val="110"/>
                <w:sz w:val="21"/>
              </w:rPr>
              <w:t xml:space="preserve"> </w:t>
            </w:r>
            <w:r w:rsidRPr="00FD40B8">
              <w:rPr>
                <w:color w:val="131727" w:themeColor="text1"/>
                <w:spacing w:val="-2"/>
                <w:w w:val="110"/>
                <w:sz w:val="21"/>
              </w:rPr>
              <w:t>communities</w:t>
            </w:r>
          </w:p>
        </w:tc>
      </w:tr>
    </w:tbl>
    <w:p w14:paraId="706D198E" w14:textId="77777777" w:rsidR="00811887" w:rsidRPr="00517A32" w:rsidRDefault="00811887" w:rsidP="00811887">
      <w:pPr>
        <w:pStyle w:val="Heading9"/>
        <w:spacing w:before="170"/>
        <w:ind w:left="148"/>
        <w:rPr>
          <w:color w:val="131727" w:themeColor="text1"/>
          <w:lang w:val="it-IT"/>
        </w:rPr>
      </w:pPr>
      <w:r w:rsidRPr="00517A32">
        <w:rPr>
          <w:color w:val="131727" w:themeColor="text1"/>
          <w:w w:val="85"/>
          <w:lang w:val="it-IT"/>
        </w:rPr>
        <w:t>D</w:t>
      </w:r>
      <w:r w:rsidRPr="00517A32">
        <w:rPr>
          <w:color w:val="131727" w:themeColor="text1"/>
          <w:spacing w:val="-39"/>
          <w:w w:val="85"/>
          <w:lang w:val="it-IT"/>
        </w:rPr>
        <w:t xml:space="preserve"> </w:t>
      </w:r>
      <w:r w:rsidRPr="00517A32">
        <w:rPr>
          <w:color w:val="131727" w:themeColor="text1"/>
          <w:spacing w:val="18"/>
          <w:w w:val="85"/>
          <w:lang w:val="it-IT"/>
        </w:rPr>
        <w:t>ATA</w:t>
      </w:r>
      <w:r w:rsidRPr="00517A32">
        <w:rPr>
          <w:color w:val="131727" w:themeColor="text1"/>
          <w:spacing w:val="17"/>
          <w:lang w:val="it-IT"/>
        </w:rPr>
        <w:t xml:space="preserve"> </w:t>
      </w:r>
      <w:r w:rsidRPr="00517A32">
        <w:rPr>
          <w:color w:val="131727" w:themeColor="text1"/>
          <w:w w:val="85"/>
          <w:lang w:val="it-IT"/>
        </w:rPr>
        <w:t>C</w:t>
      </w:r>
      <w:r w:rsidRPr="00517A32">
        <w:rPr>
          <w:color w:val="131727" w:themeColor="text1"/>
          <w:spacing w:val="-34"/>
          <w:w w:val="85"/>
          <w:lang w:val="it-IT"/>
        </w:rPr>
        <w:t xml:space="preserve"> </w:t>
      </w:r>
      <w:r w:rsidRPr="00517A32">
        <w:rPr>
          <w:color w:val="131727" w:themeColor="text1"/>
          <w:spacing w:val="13"/>
          <w:w w:val="85"/>
          <w:lang w:val="it-IT"/>
        </w:rPr>
        <w:t>OL</w:t>
      </w:r>
      <w:r w:rsidRPr="00517A32">
        <w:rPr>
          <w:color w:val="131727" w:themeColor="text1"/>
          <w:spacing w:val="-36"/>
          <w:w w:val="85"/>
          <w:lang w:val="it-IT"/>
        </w:rPr>
        <w:t xml:space="preserve"> </w:t>
      </w:r>
      <w:r w:rsidRPr="00517A32">
        <w:rPr>
          <w:color w:val="131727" w:themeColor="text1"/>
          <w:spacing w:val="19"/>
          <w:w w:val="85"/>
          <w:lang w:val="it-IT"/>
        </w:rPr>
        <w:t>LEC</w:t>
      </w:r>
      <w:r w:rsidRPr="00517A32">
        <w:rPr>
          <w:color w:val="131727" w:themeColor="text1"/>
          <w:spacing w:val="-38"/>
          <w:w w:val="85"/>
          <w:lang w:val="it-IT"/>
        </w:rPr>
        <w:t xml:space="preserve"> </w:t>
      </w:r>
      <w:r w:rsidRPr="00517A32">
        <w:rPr>
          <w:color w:val="131727" w:themeColor="text1"/>
          <w:w w:val="85"/>
          <w:lang w:val="it-IT"/>
        </w:rPr>
        <w:t>T</w:t>
      </w:r>
      <w:r w:rsidRPr="00517A32">
        <w:rPr>
          <w:color w:val="131727" w:themeColor="text1"/>
          <w:spacing w:val="-37"/>
          <w:w w:val="85"/>
          <w:lang w:val="it-IT"/>
        </w:rPr>
        <w:t xml:space="preserve"> </w:t>
      </w:r>
      <w:r w:rsidRPr="00517A32">
        <w:rPr>
          <w:color w:val="131727" w:themeColor="text1"/>
          <w:spacing w:val="13"/>
          <w:w w:val="85"/>
          <w:lang w:val="it-IT"/>
        </w:rPr>
        <w:t>IO</w:t>
      </w:r>
      <w:r w:rsidRPr="00517A32">
        <w:rPr>
          <w:color w:val="131727" w:themeColor="text1"/>
          <w:spacing w:val="-37"/>
          <w:w w:val="85"/>
          <w:lang w:val="it-IT"/>
        </w:rPr>
        <w:t xml:space="preserve"> </w:t>
      </w:r>
      <w:r w:rsidRPr="00517A32">
        <w:rPr>
          <w:color w:val="131727" w:themeColor="text1"/>
          <w:spacing w:val="-10"/>
          <w:w w:val="85"/>
          <w:lang w:val="it-IT"/>
        </w:rPr>
        <w:t>N</w:t>
      </w:r>
    </w:p>
    <w:p w14:paraId="247A585F" w14:textId="77777777" w:rsidR="00811887" w:rsidRPr="00FD40B8" w:rsidRDefault="00811887" w:rsidP="00811887">
      <w:pPr>
        <w:spacing w:before="56" w:line="268" w:lineRule="auto"/>
        <w:ind w:left="148"/>
        <w:rPr>
          <w:color w:val="131727" w:themeColor="text1"/>
          <w:sz w:val="21"/>
        </w:rPr>
      </w:pPr>
      <w:r w:rsidRPr="00FD40B8">
        <w:rPr>
          <w:color w:val="131727" w:themeColor="text1"/>
          <w:w w:val="110"/>
          <w:sz w:val="21"/>
        </w:rPr>
        <w:t>Data</w:t>
      </w:r>
      <w:r w:rsidRPr="00FD40B8">
        <w:rPr>
          <w:color w:val="131727" w:themeColor="text1"/>
          <w:spacing w:val="-6"/>
          <w:w w:val="110"/>
          <w:sz w:val="21"/>
        </w:rPr>
        <w:t xml:space="preserve"> </w:t>
      </w:r>
      <w:r w:rsidRPr="00FD40B8">
        <w:rPr>
          <w:color w:val="131727" w:themeColor="text1"/>
          <w:w w:val="110"/>
          <w:sz w:val="21"/>
        </w:rPr>
        <w:t>collection</w:t>
      </w:r>
      <w:r w:rsidRPr="00FD40B8">
        <w:rPr>
          <w:color w:val="131727" w:themeColor="text1"/>
          <w:spacing w:val="-4"/>
          <w:w w:val="110"/>
          <w:sz w:val="21"/>
        </w:rPr>
        <w:t xml:space="preserve"> </w:t>
      </w:r>
      <w:r w:rsidRPr="00FD40B8">
        <w:rPr>
          <w:color w:val="131727" w:themeColor="text1"/>
          <w:w w:val="110"/>
          <w:sz w:val="21"/>
        </w:rPr>
        <w:t>methods</w:t>
      </w:r>
      <w:r w:rsidRPr="00FD40B8">
        <w:rPr>
          <w:color w:val="131727" w:themeColor="text1"/>
          <w:spacing w:val="-3"/>
          <w:w w:val="110"/>
          <w:sz w:val="21"/>
        </w:rPr>
        <w:t xml:space="preserve"> </w:t>
      </w:r>
      <w:r w:rsidRPr="00FD40B8">
        <w:rPr>
          <w:color w:val="131727" w:themeColor="text1"/>
          <w:w w:val="110"/>
          <w:sz w:val="21"/>
        </w:rPr>
        <w:t>varied</w:t>
      </w:r>
      <w:r w:rsidRPr="00FD40B8">
        <w:rPr>
          <w:color w:val="131727" w:themeColor="text1"/>
          <w:spacing w:val="-5"/>
          <w:w w:val="110"/>
          <w:sz w:val="21"/>
        </w:rPr>
        <w:t xml:space="preserve"> </w:t>
      </w:r>
      <w:r w:rsidRPr="00FD40B8">
        <w:rPr>
          <w:color w:val="131727" w:themeColor="text1"/>
          <w:w w:val="110"/>
          <w:sz w:val="21"/>
        </w:rPr>
        <w:t>over</w:t>
      </w:r>
      <w:r w:rsidRPr="00FD40B8">
        <w:rPr>
          <w:color w:val="131727" w:themeColor="text1"/>
          <w:spacing w:val="-5"/>
          <w:w w:val="110"/>
          <w:sz w:val="21"/>
        </w:rPr>
        <w:t xml:space="preserve"> </w:t>
      </w:r>
      <w:r w:rsidRPr="00FD40B8">
        <w:rPr>
          <w:color w:val="131727" w:themeColor="text1"/>
          <w:w w:val="110"/>
          <w:sz w:val="21"/>
        </w:rPr>
        <w:t>the</w:t>
      </w:r>
      <w:r w:rsidRPr="00FD40B8">
        <w:rPr>
          <w:color w:val="131727" w:themeColor="text1"/>
          <w:spacing w:val="-5"/>
          <w:w w:val="110"/>
          <w:sz w:val="21"/>
        </w:rPr>
        <w:t xml:space="preserve"> </w:t>
      </w:r>
      <w:r w:rsidRPr="00FD40B8">
        <w:rPr>
          <w:color w:val="131727" w:themeColor="text1"/>
          <w:w w:val="110"/>
          <w:sz w:val="21"/>
        </w:rPr>
        <w:t>three</w:t>
      </w:r>
      <w:r w:rsidRPr="00FD40B8">
        <w:rPr>
          <w:color w:val="131727" w:themeColor="text1"/>
          <w:spacing w:val="-5"/>
          <w:w w:val="110"/>
          <w:sz w:val="21"/>
        </w:rPr>
        <w:t xml:space="preserve"> </w:t>
      </w:r>
      <w:r w:rsidRPr="00FD40B8">
        <w:rPr>
          <w:color w:val="131727" w:themeColor="text1"/>
          <w:w w:val="110"/>
          <w:sz w:val="21"/>
        </w:rPr>
        <w:t>CHINS,</w:t>
      </w:r>
      <w:r w:rsidRPr="00FD40B8">
        <w:rPr>
          <w:color w:val="131727" w:themeColor="text1"/>
          <w:spacing w:val="-6"/>
          <w:w w:val="110"/>
          <w:sz w:val="21"/>
        </w:rPr>
        <w:t xml:space="preserve"> </w:t>
      </w:r>
      <w:r w:rsidRPr="00FD40B8">
        <w:rPr>
          <w:color w:val="131727" w:themeColor="text1"/>
          <w:w w:val="110"/>
          <w:sz w:val="21"/>
        </w:rPr>
        <w:t>progressing</w:t>
      </w:r>
      <w:r w:rsidRPr="00FD40B8">
        <w:rPr>
          <w:color w:val="131727" w:themeColor="text1"/>
          <w:spacing w:val="-4"/>
          <w:w w:val="110"/>
          <w:sz w:val="21"/>
        </w:rPr>
        <w:t xml:space="preserve"> </w:t>
      </w:r>
      <w:r w:rsidRPr="00FD40B8">
        <w:rPr>
          <w:color w:val="131727" w:themeColor="text1"/>
          <w:w w:val="110"/>
          <w:sz w:val="21"/>
        </w:rPr>
        <w:t>largely</w:t>
      </w:r>
      <w:r w:rsidRPr="00FD40B8">
        <w:rPr>
          <w:color w:val="131727" w:themeColor="text1"/>
          <w:spacing w:val="-5"/>
          <w:w w:val="110"/>
          <w:sz w:val="21"/>
        </w:rPr>
        <w:t xml:space="preserve"> </w:t>
      </w:r>
      <w:r w:rsidRPr="00FD40B8">
        <w:rPr>
          <w:color w:val="131727" w:themeColor="text1"/>
          <w:w w:val="110"/>
          <w:sz w:val="21"/>
        </w:rPr>
        <w:t>in</w:t>
      </w:r>
      <w:r w:rsidRPr="00FD40B8">
        <w:rPr>
          <w:color w:val="131727" w:themeColor="text1"/>
          <w:spacing w:val="-4"/>
          <w:w w:val="110"/>
          <w:sz w:val="21"/>
        </w:rPr>
        <w:t xml:space="preserve"> </w:t>
      </w:r>
      <w:r w:rsidRPr="00FD40B8">
        <w:rPr>
          <w:color w:val="131727" w:themeColor="text1"/>
          <w:w w:val="110"/>
          <w:sz w:val="21"/>
        </w:rPr>
        <w:t>line</w:t>
      </w:r>
      <w:r w:rsidRPr="00FD40B8">
        <w:rPr>
          <w:color w:val="131727" w:themeColor="text1"/>
          <w:spacing w:val="-5"/>
          <w:w w:val="110"/>
          <w:sz w:val="21"/>
        </w:rPr>
        <w:t xml:space="preserve"> </w:t>
      </w:r>
      <w:r w:rsidRPr="00FD40B8">
        <w:rPr>
          <w:color w:val="131727" w:themeColor="text1"/>
          <w:w w:val="110"/>
          <w:sz w:val="21"/>
        </w:rPr>
        <w:t>with</w:t>
      </w:r>
      <w:r w:rsidRPr="00FD40B8">
        <w:rPr>
          <w:color w:val="131727" w:themeColor="text1"/>
          <w:spacing w:val="-4"/>
          <w:w w:val="110"/>
          <w:sz w:val="21"/>
        </w:rPr>
        <w:t xml:space="preserve"> </w:t>
      </w:r>
      <w:r w:rsidRPr="00FD40B8">
        <w:rPr>
          <w:color w:val="131727" w:themeColor="text1"/>
          <w:w w:val="110"/>
          <w:sz w:val="21"/>
        </w:rPr>
        <w:t>technological developments. The collection process took around 3-4 months for each CHINS.</w:t>
      </w:r>
    </w:p>
    <w:p w14:paraId="049CEAB0" w14:textId="77777777" w:rsidR="00811887" w:rsidRPr="00FD40B8" w:rsidRDefault="00811887" w:rsidP="00811887">
      <w:pPr>
        <w:spacing w:before="243" w:line="268" w:lineRule="auto"/>
        <w:ind w:left="148"/>
        <w:rPr>
          <w:color w:val="131727" w:themeColor="text1"/>
          <w:sz w:val="21"/>
        </w:rPr>
      </w:pPr>
      <w:r w:rsidRPr="00FD40B8">
        <w:rPr>
          <w:color w:val="131727" w:themeColor="text1"/>
          <w:w w:val="110"/>
          <w:sz w:val="21"/>
        </w:rPr>
        <w:t>The 2006 CHINS data were collected in conjunction with field preparations for the 2006 Census of Population and Housing. Data collection was undertaken by ABS Census Field Officers (CFOs) during their</w:t>
      </w:r>
      <w:r w:rsidRPr="00FD40B8">
        <w:rPr>
          <w:color w:val="131727" w:themeColor="text1"/>
          <w:spacing w:val="-3"/>
          <w:w w:val="110"/>
          <w:sz w:val="21"/>
        </w:rPr>
        <w:t xml:space="preserve"> </w:t>
      </w:r>
      <w:r w:rsidRPr="00FD40B8">
        <w:rPr>
          <w:color w:val="131727" w:themeColor="text1"/>
          <w:w w:val="110"/>
          <w:sz w:val="21"/>
        </w:rPr>
        <w:t>public</w:t>
      </w:r>
      <w:r w:rsidRPr="00FD40B8">
        <w:rPr>
          <w:color w:val="131727" w:themeColor="text1"/>
          <w:spacing w:val="-1"/>
          <w:w w:val="110"/>
          <w:sz w:val="21"/>
        </w:rPr>
        <w:t xml:space="preserve"> </w:t>
      </w:r>
      <w:r w:rsidRPr="00FD40B8">
        <w:rPr>
          <w:color w:val="131727" w:themeColor="text1"/>
          <w:w w:val="110"/>
          <w:sz w:val="21"/>
        </w:rPr>
        <w:t>relations visits to</w:t>
      </w:r>
      <w:r w:rsidRPr="00FD40B8">
        <w:rPr>
          <w:color w:val="131727" w:themeColor="text1"/>
          <w:spacing w:val="-1"/>
          <w:w w:val="110"/>
          <w:sz w:val="21"/>
        </w:rPr>
        <w:t xml:space="preserve"> </w:t>
      </w:r>
      <w:r w:rsidRPr="00FD40B8">
        <w:rPr>
          <w:color w:val="131727" w:themeColor="text1"/>
          <w:w w:val="110"/>
          <w:sz w:val="21"/>
        </w:rPr>
        <w:t>Indigenous communities and</w:t>
      </w:r>
      <w:r w:rsidRPr="00FD40B8">
        <w:rPr>
          <w:color w:val="131727" w:themeColor="text1"/>
          <w:spacing w:val="-3"/>
          <w:w w:val="110"/>
          <w:sz w:val="21"/>
        </w:rPr>
        <w:t xml:space="preserve"> </w:t>
      </w:r>
      <w:r w:rsidRPr="00FD40B8">
        <w:rPr>
          <w:color w:val="131727" w:themeColor="text1"/>
          <w:w w:val="110"/>
          <w:sz w:val="21"/>
        </w:rPr>
        <w:t>IHOs over</w:t>
      </w:r>
      <w:r w:rsidRPr="00FD40B8">
        <w:rPr>
          <w:color w:val="131727" w:themeColor="text1"/>
          <w:spacing w:val="-3"/>
          <w:w w:val="110"/>
          <w:sz w:val="21"/>
        </w:rPr>
        <w:t xml:space="preserve"> </w:t>
      </w:r>
      <w:r w:rsidRPr="00FD40B8">
        <w:rPr>
          <w:color w:val="131727" w:themeColor="text1"/>
          <w:w w:val="110"/>
          <w:sz w:val="21"/>
        </w:rPr>
        <w:t>the</w:t>
      </w:r>
      <w:r w:rsidRPr="00FD40B8">
        <w:rPr>
          <w:color w:val="131727" w:themeColor="text1"/>
          <w:spacing w:val="-3"/>
          <w:w w:val="110"/>
          <w:sz w:val="21"/>
        </w:rPr>
        <w:t xml:space="preserve"> </w:t>
      </w:r>
      <w:r w:rsidRPr="00FD40B8">
        <w:rPr>
          <w:color w:val="131727" w:themeColor="text1"/>
          <w:w w:val="110"/>
          <w:sz w:val="21"/>
        </w:rPr>
        <w:t>period</w:t>
      </w:r>
      <w:r w:rsidRPr="00FD40B8">
        <w:rPr>
          <w:color w:val="131727" w:themeColor="text1"/>
          <w:spacing w:val="-3"/>
          <w:w w:val="110"/>
          <w:sz w:val="21"/>
        </w:rPr>
        <w:t xml:space="preserve"> </w:t>
      </w:r>
      <w:r w:rsidRPr="00FD40B8">
        <w:rPr>
          <w:color w:val="131727" w:themeColor="text1"/>
          <w:w w:val="110"/>
          <w:sz w:val="21"/>
        </w:rPr>
        <w:t>March</w:t>
      </w:r>
      <w:r w:rsidRPr="00FD40B8">
        <w:rPr>
          <w:color w:val="131727" w:themeColor="text1"/>
          <w:spacing w:val="-2"/>
          <w:w w:val="110"/>
          <w:sz w:val="21"/>
        </w:rPr>
        <w:t xml:space="preserve"> </w:t>
      </w:r>
      <w:r w:rsidRPr="00FD40B8">
        <w:rPr>
          <w:color w:val="131727" w:themeColor="text1"/>
          <w:w w:val="110"/>
          <w:sz w:val="21"/>
        </w:rPr>
        <w:t>to</w:t>
      </w:r>
      <w:r w:rsidRPr="00FD40B8">
        <w:rPr>
          <w:color w:val="131727" w:themeColor="text1"/>
          <w:spacing w:val="-1"/>
          <w:w w:val="110"/>
          <w:sz w:val="21"/>
        </w:rPr>
        <w:t xml:space="preserve"> </w:t>
      </w:r>
      <w:r w:rsidRPr="00FD40B8">
        <w:rPr>
          <w:color w:val="131727" w:themeColor="text1"/>
          <w:w w:val="110"/>
          <w:sz w:val="21"/>
        </w:rPr>
        <w:t>June</w:t>
      </w:r>
      <w:r w:rsidRPr="00FD40B8">
        <w:rPr>
          <w:color w:val="131727" w:themeColor="text1"/>
          <w:spacing w:val="-3"/>
          <w:w w:val="110"/>
          <w:sz w:val="21"/>
        </w:rPr>
        <w:t xml:space="preserve"> </w:t>
      </w:r>
      <w:r w:rsidRPr="00FD40B8">
        <w:rPr>
          <w:color w:val="131727" w:themeColor="text1"/>
          <w:w w:val="110"/>
          <w:sz w:val="21"/>
        </w:rPr>
        <w:t>2006 and through telephone follow-up.</w:t>
      </w:r>
    </w:p>
    <w:p w14:paraId="12E421EE" w14:textId="77777777" w:rsidR="00811887" w:rsidRPr="00FD40B8" w:rsidRDefault="00811887" w:rsidP="00811887">
      <w:pPr>
        <w:spacing w:before="234" w:line="268" w:lineRule="auto"/>
        <w:ind w:left="148"/>
        <w:rPr>
          <w:color w:val="131727" w:themeColor="text1"/>
          <w:sz w:val="21"/>
        </w:rPr>
      </w:pPr>
      <w:r w:rsidRPr="00FD40B8">
        <w:rPr>
          <w:color w:val="131727" w:themeColor="text1"/>
          <w:w w:val="110"/>
          <w:sz w:val="21"/>
        </w:rPr>
        <w:t>The CHINS data were collected at the discrete Indigenous community and IHO level. Personal interviews were conducted with key community and IHO representatives knowledgeable about housing and infrastructure issues. These data providers included: community council chairpersons; council</w:t>
      </w:r>
      <w:r w:rsidRPr="00FD40B8">
        <w:rPr>
          <w:color w:val="131727" w:themeColor="text1"/>
          <w:spacing w:val="-11"/>
          <w:w w:val="110"/>
          <w:sz w:val="21"/>
        </w:rPr>
        <w:t xml:space="preserve"> </w:t>
      </w:r>
      <w:r w:rsidRPr="00FD40B8">
        <w:rPr>
          <w:color w:val="131727" w:themeColor="text1"/>
          <w:w w:val="110"/>
          <w:sz w:val="21"/>
        </w:rPr>
        <w:t>clerks;</w:t>
      </w:r>
      <w:r w:rsidRPr="00FD40B8">
        <w:rPr>
          <w:color w:val="131727" w:themeColor="text1"/>
          <w:spacing w:val="-8"/>
          <w:w w:val="110"/>
          <w:sz w:val="21"/>
        </w:rPr>
        <w:t xml:space="preserve"> </w:t>
      </w:r>
      <w:r w:rsidRPr="00FD40B8">
        <w:rPr>
          <w:color w:val="131727" w:themeColor="text1"/>
          <w:w w:val="110"/>
          <w:sz w:val="21"/>
        </w:rPr>
        <w:t>housing</w:t>
      </w:r>
      <w:r w:rsidRPr="00FD40B8">
        <w:rPr>
          <w:color w:val="131727" w:themeColor="text1"/>
          <w:spacing w:val="-10"/>
          <w:w w:val="110"/>
          <w:sz w:val="21"/>
        </w:rPr>
        <w:t xml:space="preserve"> </w:t>
      </w:r>
      <w:r w:rsidRPr="00FD40B8">
        <w:rPr>
          <w:color w:val="131727" w:themeColor="text1"/>
          <w:w w:val="110"/>
          <w:sz w:val="21"/>
        </w:rPr>
        <w:t>officers;</w:t>
      </w:r>
      <w:r w:rsidRPr="00FD40B8">
        <w:rPr>
          <w:color w:val="131727" w:themeColor="text1"/>
          <w:spacing w:val="-8"/>
          <w:w w:val="110"/>
          <w:sz w:val="21"/>
        </w:rPr>
        <w:t xml:space="preserve"> </w:t>
      </w:r>
      <w:r w:rsidRPr="00FD40B8">
        <w:rPr>
          <w:color w:val="131727" w:themeColor="text1"/>
          <w:w w:val="110"/>
          <w:sz w:val="21"/>
        </w:rPr>
        <w:t>water</w:t>
      </w:r>
      <w:r w:rsidRPr="00FD40B8">
        <w:rPr>
          <w:color w:val="131727" w:themeColor="text1"/>
          <w:spacing w:val="-11"/>
          <w:w w:val="110"/>
          <w:sz w:val="21"/>
        </w:rPr>
        <w:t xml:space="preserve"> </w:t>
      </w:r>
      <w:r w:rsidRPr="00FD40B8">
        <w:rPr>
          <w:color w:val="131727" w:themeColor="text1"/>
          <w:w w:val="110"/>
          <w:sz w:val="21"/>
        </w:rPr>
        <w:t>and</w:t>
      </w:r>
      <w:r w:rsidRPr="00FD40B8">
        <w:rPr>
          <w:color w:val="131727" w:themeColor="text1"/>
          <w:spacing w:val="-11"/>
          <w:w w:val="110"/>
          <w:sz w:val="21"/>
        </w:rPr>
        <w:t xml:space="preserve"> </w:t>
      </w:r>
      <w:r w:rsidRPr="00FD40B8">
        <w:rPr>
          <w:color w:val="131727" w:themeColor="text1"/>
          <w:w w:val="110"/>
          <w:sz w:val="21"/>
        </w:rPr>
        <w:t>essential</w:t>
      </w:r>
      <w:r w:rsidRPr="00FD40B8">
        <w:rPr>
          <w:color w:val="131727" w:themeColor="text1"/>
          <w:spacing w:val="-13"/>
          <w:w w:val="110"/>
          <w:sz w:val="21"/>
        </w:rPr>
        <w:t xml:space="preserve"> </w:t>
      </w:r>
      <w:r w:rsidRPr="00FD40B8">
        <w:rPr>
          <w:color w:val="131727" w:themeColor="text1"/>
          <w:w w:val="110"/>
          <w:sz w:val="21"/>
        </w:rPr>
        <w:t>service</w:t>
      </w:r>
      <w:r w:rsidRPr="00FD40B8">
        <w:rPr>
          <w:color w:val="131727" w:themeColor="text1"/>
          <w:spacing w:val="-10"/>
          <w:w w:val="110"/>
          <w:sz w:val="21"/>
        </w:rPr>
        <w:t xml:space="preserve"> </w:t>
      </w:r>
      <w:r w:rsidRPr="00FD40B8">
        <w:rPr>
          <w:color w:val="131727" w:themeColor="text1"/>
          <w:w w:val="110"/>
          <w:sz w:val="21"/>
        </w:rPr>
        <w:t>officers;</w:t>
      </w:r>
      <w:r w:rsidRPr="00FD40B8">
        <w:rPr>
          <w:color w:val="131727" w:themeColor="text1"/>
          <w:spacing w:val="-8"/>
          <w:w w:val="110"/>
          <w:sz w:val="21"/>
        </w:rPr>
        <w:t xml:space="preserve"> </w:t>
      </w:r>
      <w:r w:rsidRPr="00FD40B8">
        <w:rPr>
          <w:color w:val="131727" w:themeColor="text1"/>
          <w:w w:val="110"/>
          <w:sz w:val="21"/>
        </w:rPr>
        <w:t>and</w:t>
      </w:r>
      <w:r w:rsidRPr="00FD40B8">
        <w:rPr>
          <w:color w:val="131727" w:themeColor="text1"/>
          <w:spacing w:val="-11"/>
          <w:w w:val="110"/>
          <w:sz w:val="21"/>
        </w:rPr>
        <w:t xml:space="preserve"> </w:t>
      </w:r>
      <w:r w:rsidRPr="00FD40B8">
        <w:rPr>
          <w:color w:val="131727" w:themeColor="text1"/>
          <w:w w:val="110"/>
          <w:sz w:val="21"/>
        </w:rPr>
        <w:t>health</w:t>
      </w:r>
      <w:r w:rsidRPr="00FD40B8">
        <w:rPr>
          <w:color w:val="131727" w:themeColor="text1"/>
          <w:spacing w:val="-10"/>
          <w:w w:val="110"/>
          <w:sz w:val="21"/>
        </w:rPr>
        <w:t xml:space="preserve"> </w:t>
      </w:r>
      <w:r w:rsidRPr="00FD40B8">
        <w:rPr>
          <w:color w:val="131727" w:themeColor="text1"/>
          <w:w w:val="110"/>
          <w:sz w:val="21"/>
        </w:rPr>
        <w:t>clinic</w:t>
      </w:r>
      <w:r w:rsidRPr="00FD40B8">
        <w:rPr>
          <w:color w:val="131727" w:themeColor="text1"/>
          <w:spacing w:val="-10"/>
          <w:w w:val="110"/>
          <w:sz w:val="21"/>
        </w:rPr>
        <w:t xml:space="preserve"> </w:t>
      </w:r>
      <w:r w:rsidRPr="00FD40B8">
        <w:rPr>
          <w:color w:val="131727" w:themeColor="text1"/>
          <w:spacing w:val="-2"/>
          <w:w w:val="110"/>
          <w:sz w:val="21"/>
        </w:rPr>
        <w:t>administrators.</w:t>
      </w:r>
    </w:p>
    <w:p w14:paraId="54F65F95" w14:textId="77777777" w:rsidR="00811887" w:rsidRPr="00FD40B8" w:rsidRDefault="00811887" w:rsidP="00811887">
      <w:pPr>
        <w:spacing w:before="234" w:line="268" w:lineRule="auto"/>
        <w:ind w:left="148" w:right="177"/>
        <w:rPr>
          <w:color w:val="131727" w:themeColor="text1"/>
          <w:sz w:val="21"/>
        </w:rPr>
      </w:pPr>
      <w:r w:rsidRPr="00FD40B8">
        <w:rPr>
          <w:color w:val="131727" w:themeColor="text1"/>
          <w:w w:val="110"/>
          <w:sz w:val="21"/>
        </w:rPr>
        <w:t>The</w:t>
      </w:r>
      <w:r w:rsidRPr="00FD40B8">
        <w:rPr>
          <w:color w:val="131727" w:themeColor="text1"/>
          <w:spacing w:val="-2"/>
          <w:w w:val="110"/>
          <w:sz w:val="21"/>
        </w:rPr>
        <w:t xml:space="preserve"> </w:t>
      </w:r>
      <w:r w:rsidRPr="00FD40B8">
        <w:rPr>
          <w:color w:val="131727" w:themeColor="text1"/>
          <w:w w:val="110"/>
          <w:sz w:val="21"/>
        </w:rPr>
        <w:t>ABS</w:t>
      </w:r>
      <w:r w:rsidRPr="00FD40B8">
        <w:rPr>
          <w:color w:val="131727" w:themeColor="text1"/>
          <w:spacing w:val="-1"/>
          <w:w w:val="110"/>
          <w:sz w:val="21"/>
        </w:rPr>
        <w:t xml:space="preserve"> </w:t>
      </w:r>
      <w:r w:rsidRPr="00FD40B8">
        <w:rPr>
          <w:color w:val="131727" w:themeColor="text1"/>
          <w:w w:val="110"/>
          <w:sz w:val="21"/>
        </w:rPr>
        <w:t>recruited</w:t>
      </w:r>
      <w:r w:rsidRPr="00FD40B8">
        <w:rPr>
          <w:color w:val="131727" w:themeColor="text1"/>
          <w:spacing w:val="-2"/>
          <w:w w:val="110"/>
          <w:sz w:val="21"/>
        </w:rPr>
        <w:t xml:space="preserve"> </w:t>
      </w:r>
      <w:r w:rsidRPr="00FD40B8">
        <w:rPr>
          <w:color w:val="131727" w:themeColor="text1"/>
          <w:w w:val="110"/>
          <w:sz w:val="21"/>
        </w:rPr>
        <w:t>Indigenous Engagement Managers (IEMs)</w:t>
      </w:r>
      <w:r w:rsidRPr="00FD40B8">
        <w:rPr>
          <w:color w:val="131727" w:themeColor="text1"/>
          <w:spacing w:val="-1"/>
          <w:w w:val="110"/>
          <w:sz w:val="21"/>
        </w:rPr>
        <w:t xml:space="preserve"> </w:t>
      </w:r>
      <w:r w:rsidRPr="00FD40B8">
        <w:rPr>
          <w:color w:val="131727" w:themeColor="text1"/>
          <w:w w:val="110"/>
          <w:sz w:val="21"/>
        </w:rPr>
        <w:t>in</w:t>
      </w:r>
      <w:r w:rsidRPr="00FD40B8">
        <w:rPr>
          <w:color w:val="131727" w:themeColor="text1"/>
          <w:spacing w:val="-1"/>
          <w:w w:val="110"/>
          <w:sz w:val="21"/>
        </w:rPr>
        <w:t xml:space="preserve"> </w:t>
      </w:r>
      <w:r w:rsidRPr="00FD40B8">
        <w:rPr>
          <w:color w:val="131727" w:themeColor="text1"/>
          <w:w w:val="110"/>
          <w:sz w:val="21"/>
        </w:rPr>
        <w:t>each</w:t>
      </w:r>
      <w:r w:rsidRPr="00FD40B8">
        <w:rPr>
          <w:color w:val="131727" w:themeColor="text1"/>
          <w:spacing w:val="-1"/>
          <w:w w:val="110"/>
          <w:sz w:val="21"/>
        </w:rPr>
        <w:t xml:space="preserve"> </w:t>
      </w:r>
      <w:r w:rsidRPr="00FD40B8">
        <w:rPr>
          <w:color w:val="131727" w:themeColor="text1"/>
          <w:w w:val="110"/>
          <w:sz w:val="21"/>
        </w:rPr>
        <w:t>Regional</w:t>
      </w:r>
      <w:r w:rsidRPr="00FD40B8">
        <w:rPr>
          <w:color w:val="131727" w:themeColor="text1"/>
          <w:spacing w:val="-6"/>
          <w:w w:val="110"/>
          <w:sz w:val="21"/>
        </w:rPr>
        <w:t xml:space="preserve"> </w:t>
      </w:r>
      <w:r w:rsidRPr="00FD40B8">
        <w:rPr>
          <w:color w:val="131727" w:themeColor="text1"/>
          <w:w w:val="110"/>
          <w:sz w:val="21"/>
        </w:rPr>
        <w:t>Office</w:t>
      </w:r>
      <w:r w:rsidRPr="00FD40B8">
        <w:rPr>
          <w:color w:val="131727" w:themeColor="text1"/>
          <w:spacing w:val="-2"/>
          <w:w w:val="110"/>
          <w:sz w:val="21"/>
        </w:rPr>
        <w:t xml:space="preserve"> </w:t>
      </w:r>
      <w:r w:rsidRPr="00FD40B8">
        <w:rPr>
          <w:color w:val="131727" w:themeColor="text1"/>
          <w:w w:val="110"/>
          <w:sz w:val="21"/>
        </w:rPr>
        <w:t>(except ACT)</w:t>
      </w:r>
      <w:r w:rsidRPr="00FD40B8">
        <w:rPr>
          <w:color w:val="131727" w:themeColor="text1"/>
          <w:spacing w:val="-1"/>
          <w:w w:val="110"/>
          <w:sz w:val="21"/>
        </w:rPr>
        <w:t xml:space="preserve"> </w:t>
      </w:r>
      <w:r w:rsidRPr="00FD40B8">
        <w:rPr>
          <w:color w:val="131727" w:themeColor="text1"/>
          <w:w w:val="110"/>
          <w:sz w:val="21"/>
        </w:rPr>
        <w:t>as part of the ABS's Indigenous Community Engagement Strategy. The IEMs facilitated a range of survey and Census activities with Indigenous people</w:t>
      </w:r>
      <w:r w:rsidRPr="00FD40B8">
        <w:rPr>
          <w:color w:val="131727" w:themeColor="text1"/>
          <w:spacing w:val="-3"/>
          <w:w w:val="110"/>
          <w:sz w:val="21"/>
        </w:rPr>
        <w:t xml:space="preserve"> </w:t>
      </w:r>
      <w:r w:rsidRPr="00FD40B8">
        <w:rPr>
          <w:color w:val="131727" w:themeColor="text1"/>
          <w:w w:val="110"/>
          <w:sz w:val="21"/>
        </w:rPr>
        <w:t>across both urban and remote areas, including building and maintaining networks with Indigenous communities and organisations, advising on appropriate materials to raise statistical awareness and providing support to Indigenous communities and organisations on use of and access to statistical information. The IEMs liaised extensively both within the ABS and with external organisations and data users and played a key role</w:t>
      </w:r>
      <w:r w:rsidRPr="00FD40B8">
        <w:rPr>
          <w:color w:val="131727" w:themeColor="text1"/>
          <w:spacing w:val="-1"/>
          <w:w w:val="110"/>
          <w:sz w:val="21"/>
        </w:rPr>
        <w:t xml:space="preserve"> </w:t>
      </w:r>
      <w:r w:rsidRPr="00FD40B8">
        <w:rPr>
          <w:color w:val="131727" w:themeColor="text1"/>
          <w:w w:val="110"/>
          <w:sz w:val="21"/>
        </w:rPr>
        <w:t>in facilitating the</w:t>
      </w:r>
      <w:r w:rsidRPr="00FD40B8">
        <w:rPr>
          <w:color w:val="131727" w:themeColor="text1"/>
          <w:spacing w:val="-1"/>
          <w:w w:val="110"/>
          <w:sz w:val="21"/>
        </w:rPr>
        <w:t xml:space="preserve"> </w:t>
      </w:r>
      <w:r w:rsidRPr="00FD40B8">
        <w:rPr>
          <w:color w:val="131727" w:themeColor="text1"/>
          <w:w w:val="110"/>
          <w:sz w:val="21"/>
        </w:rPr>
        <w:t>collection of</w:t>
      </w:r>
      <w:r w:rsidRPr="00FD40B8">
        <w:rPr>
          <w:color w:val="131727" w:themeColor="text1"/>
          <w:spacing w:val="-1"/>
          <w:w w:val="110"/>
          <w:sz w:val="21"/>
        </w:rPr>
        <w:t xml:space="preserve"> </w:t>
      </w:r>
      <w:r w:rsidRPr="00FD40B8">
        <w:rPr>
          <w:color w:val="131727" w:themeColor="text1"/>
          <w:w w:val="110"/>
          <w:sz w:val="21"/>
        </w:rPr>
        <w:t>the</w:t>
      </w:r>
      <w:r w:rsidRPr="00FD40B8">
        <w:rPr>
          <w:color w:val="131727" w:themeColor="text1"/>
          <w:spacing w:val="-1"/>
          <w:w w:val="110"/>
          <w:sz w:val="21"/>
        </w:rPr>
        <w:t xml:space="preserve"> </w:t>
      </w:r>
      <w:r w:rsidRPr="00FD40B8">
        <w:rPr>
          <w:color w:val="131727" w:themeColor="text1"/>
          <w:w w:val="110"/>
          <w:sz w:val="21"/>
        </w:rPr>
        <w:t>2006</w:t>
      </w:r>
      <w:r w:rsidRPr="00FD40B8">
        <w:rPr>
          <w:color w:val="131727" w:themeColor="text1"/>
          <w:spacing w:val="-1"/>
          <w:w w:val="110"/>
          <w:sz w:val="21"/>
        </w:rPr>
        <w:t xml:space="preserve"> </w:t>
      </w:r>
      <w:r w:rsidRPr="00FD40B8">
        <w:rPr>
          <w:color w:val="131727" w:themeColor="text1"/>
          <w:w w:val="110"/>
          <w:sz w:val="21"/>
        </w:rPr>
        <w:t>CHINS data. The</w:t>
      </w:r>
      <w:r w:rsidRPr="00FD40B8">
        <w:rPr>
          <w:color w:val="131727" w:themeColor="text1"/>
          <w:spacing w:val="-1"/>
          <w:w w:val="110"/>
          <w:sz w:val="21"/>
        </w:rPr>
        <w:t xml:space="preserve"> </w:t>
      </w:r>
      <w:r w:rsidRPr="00FD40B8">
        <w:rPr>
          <w:color w:val="131727" w:themeColor="text1"/>
          <w:w w:val="110"/>
          <w:sz w:val="21"/>
        </w:rPr>
        <w:t>IEMs no longer</w:t>
      </w:r>
      <w:r w:rsidRPr="00FD40B8">
        <w:rPr>
          <w:color w:val="131727" w:themeColor="text1"/>
          <w:spacing w:val="-1"/>
          <w:w w:val="110"/>
          <w:sz w:val="21"/>
        </w:rPr>
        <w:t xml:space="preserve"> </w:t>
      </w:r>
      <w:r w:rsidRPr="00FD40B8">
        <w:rPr>
          <w:color w:val="131727" w:themeColor="text1"/>
          <w:w w:val="110"/>
          <w:sz w:val="21"/>
        </w:rPr>
        <w:t>exist,</w:t>
      </w:r>
      <w:r w:rsidRPr="00FD40B8">
        <w:rPr>
          <w:color w:val="131727" w:themeColor="text1"/>
          <w:spacing w:val="-2"/>
          <w:w w:val="110"/>
          <w:sz w:val="21"/>
        </w:rPr>
        <w:t xml:space="preserve"> </w:t>
      </w:r>
      <w:r w:rsidRPr="00FD40B8">
        <w:rPr>
          <w:color w:val="131727" w:themeColor="text1"/>
          <w:w w:val="110"/>
          <w:sz w:val="21"/>
        </w:rPr>
        <w:t>and</w:t>
      </w:r>
      <w:r w:rsidRPr="00FD40B8">
        <w:rPr>
          <w:color w:val="131727" w:themeColor="text1"/>
          <w:spacing w:val="-1"/>
          <w:w w:val="110"/>
          <w:sz w:val="21"/>
        </w:rPr>
        <w:t xml:space="preserve"> </w:t>
      </w:r>
      <w:r w:rsidRPr="00FD40B8">
        <w:rPr>
          <w:color w:val="131727" w:themeColor="text1"/>
          <w:w w:val="110"/>
          <w:sz w:val="21"/>
        </w:rPr>
        <w:t>the</w:t>
      </w:r>
      <w:r w:rsidRPr="00FD40B8">
        <w:rPr>
          <w:color w:val="131727" w:themeColor="text1"/>
          <w:spacing w:val="-1"/>
          <w:w w:val="110"/>
          <w:sz w:val="21"/>
        </w:rPr>
        <w:t xml:space="preserve"> </w:t>
      </w:r>
      <w:r w:rsidRPr="00FD40B8">
        <w:rPr>
          <w:color w:val="131727" w:themeColor="text1"/>
          <w:w w:val="110"/>
          <w:sz w:val="21"/>
        </w:rPr>
        <w:t>ABS now has a Centre of Aboriginal and Torres Strait Islander</w:t>
      </w:r>
      <w:r w:rsidRPr="00FD40B8">
        <w:rPr>
          <w:color w:val="131727" w:themeColor="text1"/>
          <w:spacing w:val="-2"/>
          <w:w w:val="110"/>
          <w:sz w:val="21"/>
        </w:rPr>
        <w:t xml:space="preserve"> </w:t>
      </w:r>
      <w:r w:rsidRPr="00FD40B8">
        <w:rPr>
          <w:color w:val="131727" w:themeColor="text1"/>
          <w:w w:val="110"/>
          <w:sz w:val="21"/>
        </w:rPr>
        <w:t>Statistics (CoATSIS) which has a leadership and coordination role for national statistical activity about Aboriginal and Torres Strait Islander people. The CoATSIS engages with communities across a range of statistical activities and outputs such as the Aboriginal and Torres Strait Islander health and social surveys, the five-yearly Census, administrative data, and data integration projects.</w:t>
      </w:r>
    </w:p>
    <w:p w14:paraId="0ABDB2D8" w14:textId="77777777" w:rsidR="00811887" w:rsidRPr="00FD40B8" w:rsidRDefault="00811887" w:rsidP="00811887">
      <w:pPr>
        <w:spacing w:before="229" w:line="268" w:lineRule="auto"/>
        <w:ind w:left="148"/>
        <w:rPr>
          <w:color w:val="131727" w:themeColor="text1"/>
          <w:sz w:val="21"/>
        </w:rPr>
      </w:pPr>
      <w:r w:rsidRPr="00FD40B8">
        <w:rPr>
          <w:color w:val="131727" w:themeColor="text1"/>
          <w:w w:val="110"/>
          <w:sz w:val="21"/>
        </w:rPr>
        <w:t>Interviewers</w:t>
      </w:r>
      <w:r w:rsidRPr="00FD40B8">
        <w:rPr>
          <w:color w:val="131727" w:themeColor="text1"/>
          <w:spacing w:val="-7"/>
          <w:w w:val="110"/>
          <w:sz w:val="21"/>
        </w:rPr>
        <w:t xml:space="preserve"> </w:t>
      </w:r>
      <w:r w:rsidRPr="00FD40B8">
        <w:rPr>
          <w:color w:val="131727" w:themeColor="text1"/>
          <w:w w:val="110"/>
          <w:sz w:val="21"/>
        </w:rPr>
        <w:t>collected</w:t>
      </w:r>
      <w:r w:rsidRPr="00FD40B8">
        <w:rPr>
          <w:color w:val="131727" w:themeColor="text1"/>
          <w:spacing w:val="-9"/>
          <w:w w:val="110"/>
          <w:sz w:val="21"/>
        </w:rPr>
        <w:t xml:space="preserve"> </w:t>
      </w:r>
      <w:r w:rsidRPr="00FD40B8">
        <w:rPr>
          <w:color w:val="131727" w:themeColor="text1"/>
          <w:w w:val="110"/>
          <w:sz w:val="21"/>
        </w:rPr>
        <w:t>information</w:t>
      </w:r>
      <w:r w:rsidRPr="00FD40B8">
        <w:rPr>
          <w:color w:val="131727" w:themeColor="text1"/>
          <w:spacing w:val="-9"/>
          <w:w w:val="110"/>
          <w:sz w:val="21"/>
        </w:rPr>
        <w:t xml:space="preserve"> </w:t>
      </w:r>
      <w:r w:rsidRPr="00FD40B8">
        <w:rPr>
          <w:color w:val="131727" w:themeColor="text1"/>
          <w:w w:val="110"/>
          <w:sz w:val="21"/>
        </w:rPr>
        <w:t>for</w:t>
      </w:r>
      <w:r w:rsidRPr="00FD40B8">
        <w:rPr>
          <w:color w:val="131727" w:themeColor="text1"/>
          <w:spacing w:val="-9"/>
          <w:w w:val="110"/>
          <w:sz w:val="21"/>
        </w:rPr>
        <w:t xml:space="preserve"> </w:t>
      </w:r>
      <w:r w:rsidRPr="00FD40B8">
        <w:rPr>
          <w:color w:val="131727" w:themeColor="text1"/>
          <w:w w:val="110"/>
          <w:sz w:val="21"/>
        </w:rPr>
        <w:t>the</w:t>
      </w:r>
      <w:r w:rsidRPr="00FD40B8">
        <w:rPr>
          <w:color w:val="131727" w:themeColor="text1"/>
          <w:spacing w:val="-9"/>
          <w:w w:val="110"/>
          <w:sz w:val="21"/>
        </w:rPr>
        <w:t xml:space="preserve"> </w:t>
      </w:r>
      <w:r w:rsidRPr="00FD40B8">
        <w:rPr>
          <w:color w:val="131727" w:themeColor="text1"/>
          <w:w w:val="110"/>
          <w:sz w:val="21"/>
        </w:rPr>
        <w:t>2006</w:t>
      </w:r>
      <w:r w:rsidRPr="00FD40B8">
        <w:rPr>
          <w:color w:val="131727" w:themeColor="text1"/>
          <w:spacing w:val="-9"/>
          <w:w w:val="110"/>
          <w:sz w:val="21"/>
        </w:rPr>
        <w:t xml:space="preserve"> </w:t>
      </w:r>
      <w:r w:rsidRPr="00FD40B8">
        <w:rPr>
          <w:color w:val="131727" w:themeColor="text1"/>
          <w:w w:val="110"/>
          <w:sz w:val="21"/>
        </w:rPr>
        <w:t>CHINS</w:t>
      </w:r>
      <w:r w:rsidRPr="00FD40B8">
        <w:rPr>
          <w:color w:val="131727" w:themeColor="text1"/>
          <w:spacing w:val="-9"/>
          <w:w w:val="110"/>
          <w:sz w:val="21"/>
        </w:rPr>
        <w:t xml:space="preserve"> </w:t>
      </w:r>
      <w:r w:rsidRPr="00FD40B8">
        <w:rPr>
          <w:color w:val="131727" w:themeColor="text1"/>
          <w:w w:val="110"/>
          <w:sz w:val="21"/>
        </w:rPr>
        <w:t>using</w:t>
      </w:r>
      <w:r w:rsidRPr="00FD40B8">
        <w:rPr>
          <w:color w:val="131727" w:themeColor="text1"/>
          <w:spacing w:val="-9"/>
          <w:w w:val="110"/>
          <w:sz w:val="21"/>
        </w:rPr>
        <w:t xml:space="preserve"> </w:t>
      </w:r>
      <w:r w:rsidRPr="00FD40B8">
        <w:rPr>
          <w:color w:val="131727" w:themeColor="text1"/>
          <w:w w:val="110"/>
          <w:sz w:val="21"/>
        </w:rPr>
        <w:t>Computer</w:t>
      </w:r>
      <w:r w:rsidRPr="00FD40B8">
        <w:rPr>
          <w:color w:val="131727" w:themeColor="text1"/>
          <w:spacing w:val="-9"/>
          <w:w w:val="110"/>
          <w:sz w:val="21"/>
        </w:rPr>
        <w:t xml:space="preserve"> </w:t>
      </w:r>
      <w:r w:rsidRPr="00FD40B8">
        <w:rPr>
          <w:color w:val="131727" w:themeColor="text1"/>
          <w:w w:val="110"/>
          <w:sz w:val="21"/>
        </w:rPr>
        <w:t>Assisted</w:t>
      </w:r>
      <w:r w:rsidRPr="00FD40B8">
        <w:rPr>
          <w:color w:val="131727" w:themeColor="text1"/>
          <w:spacing w:val="-9"/>
          <w:w w:val="110"/>
          <w:sz w:val="21"/>
        </w:rPr>
        <w:t xml:space="preserve"> </w:t>
      </w:r>
      <w:r w:rsidRPr="00FD40B8">
        <w:rPr>
          <w:color w:val="131727" w:themeColor="text1"/>
          <w:w w:val="110"/>
          <w:sz w:val="21"/>
        </w:rPr>
        <w:t>Interviewing</w:t>
      </w:r>
      <w:r w:rsidRPr="00FD40B8">
        <w:rPr>
          <w:color w:val="131727" w:themeColor="text1"/>
          <w:spacing w:val="-9"/>
          <w:w w:val="110"/>
          <w:sz w:val="21"/>
        </w:rPr>
        <w:t xml:space="preserve"> </w:t>
      </w:r>
      <w:r w:rsidRPr="00FD40B8">
        <w:rPr>
          <w:color w:val="131727" w:themeColor="text1"/>
          <w:w w:val="110"/>
          <w:sz w:val="21"/>
        </w:rPr>
        <w:t>(CAI). Responses were recorded directly onto electronic questionnaires on a notebook computer. The notebook</w:t>
      </w:r>
      <w:r w:rsidRPr="00FD40B8">
        <w:rPr>
          <w:color w:val="131727" w:themeColor="text1"/>
          <w:spacing w:val="-1"/>
          <w:w w:val="110"/>
          <w:sz w:val="21"/>
        </w:rPr>
        <w:t xml:space="preserve"> </w:t>
      </w:r>
      <w:r w:rsidRPr="00FD40B8">
        <w:rPr>
          <w:color w:val="131727" w:themeColor="text1"/>
          <w:w w:val="110"/>
          <w:sz w:val="21"/>
        </w:rPr>
        <w:t>computer was used to record,</w:t>
      </w:r>
      <w:r w:rsidRPr="00FD40B8">
        <w:rPr>
          <w:color w:val="131727" w:themeColor="text1"/>
          <w:spacing w:val="-1"/>
          <w:w w:val="110"/>
          <w:sz w:val="21"/>
        </w:rPr>
        <w:t xml:space="preserve"> </w:t>
      </w:r>
      <w:r w:rsidRPr="00FD40B8">
        <w:rPr>
          <w:color w:val="131727" w:themeColor="text1"/>
          <w:w w:val="110"/>
          <w:sz w:val="21"/>
        </w:rPr>
        <w:t>store,</w:t>
      </w:r>
      <w:r w:rsidRPr="00FD40B8">
        <w:rPr>
          <w:color w:val="131727" w:themeColor="text1"/>
          <w:spacing w:val="-1"/>
          <w:w w:val="110"/>
          <w:sz w:val="21"/>
        </w:rPr>
        <w:t xml:space="preserve"> </w:t>
      </w:r>
      <w:r w:rsidRPr="00FD40B8">
        <w:rPr>
          <w:color w:val="131727" w:themeColor="text1"/>
          <w:w w:val="110"/>
          <w:sz w:val="21"/>
        </w:rPr>
        <w:t>manipulate and transmit the data</w:t>
      </w:r>
      <w:r w:rsidRPr="00FD40B8">
        <w:rPr>
          <w:color w:val="131727" w:themeColor="text1"/>
          <w:spacing w:val="-1"/>
          <w:w w:val="110"/>
          <w:sz w:val="21"/>
        </w:rPr>
        <w:t xml:space="preserve"> </w:t>
      </w:r>
      <w:r w:rsidRPr="00FD40B8">
        <w:rPr>
          <w:color w:val="131727" w:themeColor="text1"/>
          <w:w w:val="110"/>
          <w:sz w:val="21"/>
        </w:rPr>
        <w:t xml:space="preserve">collected during </w:t>
      </w:r>
      <w:r w:rsidRPr="00FD40B8">
        <w:rPr>
          <w:color w:val="131727" w:themeColor="text1"/>
          <w:spacing w:val="-2"/>
          <w:w w:val="110"/>
          <w:sz w:val="21"/>
        </w:rPr>
        <w:t>interviews.</w:t>
      </w:r>
    </w:p>
    <w:p w14:paraId="2A82C889" w14:textId="77777777" w:rsidR="00811887" w:rsidRPr="00FD40B8" w:rsidRDefault="00811887" w:rsidP="00811887">
      <w:pPr>
        <w:spacing w:line="268" w:lineRule="auto"/>
        <w:rPr>
          <w:color w:val="131727" w:themeColor="text1"/>
          <w:sz w:val="21"/>
        </w:rPr>
        <w:sectPr w:rsidR="00811887" w:rsidRPr="00FD40B8" w:rsidSect="00811887">
          <w:pgSz w:w="11910" w:h="16840"/>
          <w:pgMar w:top="1300" w:right="1100" w:bottom="1080" w:left="1100" w:header="0" w:footer="805" w:gutter="0"/>
          <w:cols w:space="720"/>
        </w:sectPr>
      </w:pPr>
    </w:p>
    <w:p w14:paraId="7653EEDB" w14:textId="77777777" w:rsidR="00811887" w:rsidRPr="00FD40B8" w:rsidRDefault="00811887" w:rsidP="00811887">
      <w:pPr>
        <w:pStyle w:val="Heading9"/>
        <w:spacing w:before="66"/>
        <w:ind w:left="148"/>
        <w:rPr>
          <w:color w:val="131727" w:themeColor="text1"/>
        </w:rPr>
      </w:pPr>
      <w:r w:rsidRPr="00FD40B8">
        <w:rPr>
          <w:color w:val="131727" w:themeColor="text1"/>
          <w:w w:val="85"/>
        </w:rPr>
        <w:lastRenderedPageBreak/>
        <w:t>D</w:t>
      </w:r>
      <w:r w:rsidRPr="00FD40B8">
        <w:rPr>
          <w:color w:val="131727" w:themeColor="text1"/>
          <w:spacing w:val="-37"/>
          <w:w w:val="85"/>
        </w:rPr>
        <w:t xml:space="preserve"> </w:t>
      </w:r>
      <w:r w:rsidRPr="00FD40B8">
        <w:rPr>
          <w:color w:val="131727" w:themeColor="text1"/>
          <w:spacing w:val="18"/>
          <w:w w:val="85"/>
        </w:rPr>
        <w:t>ATA</w:t>
      </w:r>
      <w:r w:rsidRPr="00FD40B8">
        <w:rPr>
          <w:color w:val="131727" w:themeColor="text1"/>
          <w:spacing w:val="51"/>
        </w:rPr>
        <w:t xml:space="preserve"> </w:t>
      </w:r>
      <w:r w:rsidRPr="00FD40B8">
        <w:rPr>
          <w:color w:val="131727" w:themeColor="text1"/>
          <w:spacing w:val="13"/>
          <w:w w:val="85"/>
        </w:rPr>
        <w:t>QU</w:t>
      </w:r>
      <w:r w:rsidRPr="00FD40B8">
        <w:rPr>
          <w:color w:val="131727" w:themeColor="text1"/>
          <w:spacing w:val="-34"/>
          <w:w w:val="85"/>
        </w:rPr>
        <w:t xml:space="preserve"> </w:t>
      </w:r>
      <w:r w:rsidRPr="00FD40B8">
        <w:rPr>
          <w:color w:val="131727" w:themeColor="text1"/>
          <w:spacing w:val="18"/>
          <w:w w:val="85"/>
        </w:rPr>
        <w:t>ALI</w:t>
      </w:r>
      <w:r w:rsidRPr="00FD40B8">
        <w:rPr>
          <w:color w:val="131727" w:themeColor="text1"/>
          <w:spacing w:val="-33"/>
          <w:w w:val="85"/>
        </w:rPr>
        <w:t xml:space="preserve"> </w:t>
      </w:r>
      <w:r w:rsidRPr="00FD40B8">
        <w:rPr>
          <w:color w:val="131727" w:themeColor="text1"/>
          <w:spacing w:val="8"/>
          <w:w w:val="85"/>
        </w:rPr>
        <w:t>TY</w:t>
      </w:r>
    </w:p>
    <w:p w14:paraId="0CFF4584" w14:textId="77777777" w:rsidR="00811887" w:rsidRPr="00FD40B8" w:rsidRDefault="00811887" w:rsidP="00811887">
      <w:pPr>
        <w:spacing w:before="57" w:line="268" w:lineRule="auto"/>
        <w:ind w:left="148" w:right="164"/>
        <w:rPr>
          <w:color w:val="131727" w:themeColor="text1"/>
          <w:sz w:val="21"/>
        </w:rPr>
      </w:pPr>
      <w:r w:rsidRPr="00FD40B8">
        <w:rPr>
          <w:color w:val="131727" w:themeColor="text1"/>
          <w:w w:val="110"/>
          <w:sz w:val="21"/>
        </w:rPr>
        <w:t>The</w:t>
      </w:r>
      <w:r w:rsidRPr="00FD40B8">
        <w:rPr>
          <w:color w:val="131727" w:themeColor="text1"/>
          <w:spacing w:val="-1"/>
          <w:w w:val="110"/>
          <w:sz w:val="21"/>
        </w:rPr>
        <w:t xml:space="preserve"> </w:t>
      </w:r>
      <w:r w:rsidRPr="00FD40B8">
        <w:rPr>
          <w:color w:val="131727" w:themeColor="text1"/>
          <w:w w:val="110"/>
          <w:sz w:val="21"/>
        </w:rPr>
        <w:t>CHINS were</w:t>
      </w:r>
      <w:r w:rsidRPr="00FD40B8">
        <w:rPr>
          <w:color w:val="131727" w:themeColor="text1"/>
          <w:spacing w:val="-1"/>
          <w:w w:val="110"/>
          <w:sz w:val="21"/>
        </w:rPr>
        <w:t xml:space="preserve"> </w:t>
      </w:r>
      <w:r w:rsidRPr="00FD40B8">
        <w:rPr>
          <w:color w:val="131727" w:themeColor="text1"/>
          <w:w w:val="110"/>
          <w:sz w:val="21"/>
        </w:rPr>
        <w:t>not</w:t>
      </w:r>
      <w:r w:rsidRPr="00FD40B8">
        <w:rPr>
          <w:color w:val="131727" w:themeColor="text1"/>
          <w:spacing w:val="-4"/>
          <w:w w:val="110"/>
          <w:sz w:val="21"/>
        </w:rPr>
        <w:t xml:space="preserve"> </w:t>
      </w:r>
      <w:r w:rsidRPr="00FD40B8">
        <w:rPr>
          <w:color w:val="131727" w:themeColor="text1"/>
          <w:w w:val="110"/>
          <w:sz w:val="21"/>
        </w:rPr>
        <w:t>subject to sampling error</w:t>
      </w:r>
      <w:r w:rsidRPr="00FD40B8">
        <w:rPr>
          <w:color w:val="131727" w:themeColor="text1"/>
          <w:spacing w:val="-1"/>
          <w:w w:val="110"/>
          <w:sz w:val="21"/>
        </w:rPr>
        <w:t xml:space="preserve"> </w:t>
      </w:r>
      <w:r w:rsidRPr="00FD40B8">
        <w:rPr>
          <w:color w:val="131727" w:themeColor="text1"/>
          <w:w w:val="110"/>
          <w:sz w:val="21"/>
        </w:rPr>
        <w:t>as it</w:t>
      </w:r>
      <w:r w:rsidRPr="00FD40B8">
        <w:rPr>
          <w:color w:val="131727" w:themeColor="text1"/>
          <w:spacing w:val="-4"/>
          <w:w w:val="110"/>
          <w:sz w:val="21"/>
        </w:rPr>
        <w:t xml:space="preserve"> </w:t>
      </w:r>
      <w:r w:rsidRPr="00FD40B8">
        <w:rPr>
          <w:color w:val="131727" w:themeColor="text1"/>
          <w:w w:val="110"/>
          <w:sz w:val="21"/>
        </w:rPr>
        <w:t>was designed</w:t>
      </w:r>
      <w:r w:rsidRPr="00FD40B8">
        <w:rPr>
          <w:color w:val="131727" w:themeColor="text1"/>
          <w:spacing w:val="-1"/>
          <w:w w:val="110"/>
          <w:sz w:val="21"/>
        </w:rPr>
        <w:t xml:space="preserve"> </w:t>
      </w:r>
      <w:r w:rsidRPr="00FD40B8">
        <w:rPr>
          <w:color w:val="131727" w:themeColor="text1"/>
          <w:w w:val="110"/>
          <w:sz w:val="21"/>
        </w:rPr>
        <w:t>as a</w:t>
      </w:r>
      <w:r w:rsidRPr="00FD40B8">
        <w:rPr>
          <w:color w:val="131727" w:themeColor="text1"/>
          <w:spacing w:val="-2"/>
          <w:w w:val="110"/>
          <w:sz w:val="21"/>
        </w:rPr>
        <w:t xml:space="preserve"> </w:t>
      </w:r>
      <w:r w:rsidRPr="00FD40B8">
        <w:rPr>
          <w:color w:val="131727" w:themeColor="text1"/>
          <w:w w:val="110"/>
          <w:sz w:val="21"/>
        </w:rPr>
        <w:t>complete</w:t>
      </w:r>
      <w:r w:rsidRPr="00FD40B8">
        <w:rPr>
          <w:color w:val="131727" w:themeColor="text1"/>
          <w:spacing w:val="-1"/>
          <w:w w:val="110"/>
          <w:sz w:val="21"/>
        </w:rPr>
        <w:t xml:space="preserve"> </w:t>
      </w:r>
      <w:r w:rsidRPr="00FD40B8">
        <w:rPr>
          <w:color w:val="131727" w:themeColor="text1"/>
          <w:w w:val="110"/>
          <w:sz w:val="21"/>
        </w:rPr>
        <w:t>enumeration of</w:t>
      </w:r>
      <w:r w:rsidRPr="00FD40B8">
        <w:rPr>
          <w:color w:val="131727" w:themeColor="text1"/>
          <w:spacing w:val="-1"/>
          <w:w w:val="110"/>
          <w:sz w:val="21"/>
        </w:rPr>
        <w:t xml:space="preserve"> </w:t>
      </w:r>
      <w:r w:rsidRPr="00FD40B8">
        <w:rPr>
          <w:color w:val="131727" w:themeColor="text1"/>
          <w:w w:val="110"/>
          <w:sz w:val="21"/>
        </w:rPr>
        <w:t>all units in scope. CHINS was subject to three sources of non-sampling error:</w:t>
      </w:r>
    </w:p>
    <w:p w14:paraId="381A9978" w14:textId="77777777" w:rsidR="00811887" w:rsidRPr="00FD40B8" w:rsidRDefault="00811887" w:rsidP="00811887">
      <w:pPr>
        <w:pStyle w:val="ListParagraph"/>
        <w:widowControl w:val="0"/>
        <w:numPr>
          <w:ilvl w:val="0"/>
          <w:numId w:val="44"/>
        </w:numPr>
        <w:tabs>
          <w:tab w:val="left" w:pos="700"/>
        </w:tabs>
        <w:autoSpaceDE w:val="0"/>
        <w:autoSpaceDN w:val="0"/>
        <w:spacing w:before="241" w:after="0"/>
        <w:ind w:hanging="360"/>
        <w:contextualSpacing w:val="0"/>
        <w:rPr>
          <w:color w:val="131727" w:themeColor="text1"/>
          <w:sz w:val="21"/>
        </w:rPr>
      </w:pPr>
      <w:r w:rsidRPr="00FD40B8">
        <w:rPr>
          <w:color w:val="131727" w:themeColor="text1"/>
          <w:w w:val="105"/>
          <w:sz w:val="21"/>
        </w:rPr>
        <w:t>The</w:t>
      </w:r>
      <w:r w:rsidRPr="00FD40B8">
        <w:rPr>
          <w:color w:val="131727" w:themeColor="text1"/>
          <w:spacing w:val="13"/>
          <w:w w:val="105"/>
          <w:sz w:val="21"/>
        </w:rPr>
        <w:t xml:space="preserve"> </w:t>
      </w:r>
      <w:r w:rsidRPr="00FD40B8">
        <w:rPr>
          <w:color w:val="131727" w:themeColor="text1"/>
          <w:w w:val="105"/>
          <w:sz w:val="21"/>
        </w:rPr>
        <w:t>inability</w:t>
      </w:r>
      <w:r w:rsidRPr="00FD40B8">
        <w:rPr>
          <w:color w:val="131727" w:themeColor="text1"/>
          <w:spacing w:val="13"/>
          <w:w w:val="105"/>
          <w:sz w:val="21"/>
        </w:rPr>
        <w:t xml:space="preserve"> </w:t>
      </w:r>
      <w:r w:rsidRPr="00FD40B8">
        <w:rPr>
          <w:color w:val="131727" w:themeColor="text1"/>
          <w:w w:val="105"/>
          <w:sz w:val="21"/>
        </w:rPr>
        <w:t>to</w:t>
      </w:r>
      <w:r w:rsidRPr="00FD40B8">
        <w:rPr>
          <w:color w:val="131727" w:themeColor="text1"/>
          <w:spacing w:val="16"/>
          <w:w w:val="105"/>
          <w:sz w:val="21"/>
        </w:rPr>
        <w:t xml:space="preserve"> </w:t>
      </w:r>
      <w:r w:rsidRPr="00FD40B8">
        <w:rPr>
          <w:color w:val="131727" w:themeColor="text1"/>
          <w:w w:val="105"/>
          <w:sz w:val="21"/>
        </w:rPr>
        <w:t>obtain</w:t>
      </w:r>
      <w:r w:rsidRPr="00FD40B8">
        <w:rPr>
          <w:color w:val="131727" w:themeColor="text1"/>
          <w:spacing w:val="14"/>
          <w:w w:val="105"/>
          <w:sz w:val="21"/>
        </w:rPr>
        <w:t xml:space="preserve"> </w:t>
      </w:r>
      <w:r w:rsidRPr="00FD40B8">
        <w:rPr>
          <w:color w:val="131727" w:themeColor="text1"/>
          <w:w w:val="105"/>
          <w:sz w:val="21"/>
        </w:rPr>
        <w:t>data</w:t>
      </w:r>
      <w:r w:rsidRPr="00FD40B8">
        <w:rPr>
          <w:color w:val="131727" w:themeColor="text1"/>
          <w:spacing w:val="12"/>
          <w:w w:val="105"/>
          <w:sz w:val="21"/>
        </w:rPr>
        <w:t xml:space="preserve"> </w:t>
      </w:r>
      <w:r w:rsidRPr="00FD40B8">
        <w:rPr>
          <w:color w:val="131727" w:themeColor="text1"/>
          <w:w w:val="105"/>
          <w:sz w:val="21"/>
        </w:rPr>
        <w:t>from</w:t>
      </w:r>
      <w:r w:rsidRPr="00FD40B8">
        <w:rPr>
          <w:color w:val="131727" w:themeColor="text1"/>
          <w:spacing w:val="16"/>
          <w:w w:val="105"/>
          <w:sz w:val="21"/>
        </w:rPr>
        <w:t xml:space="preserve"> </w:t>
      </w:r>
      <w:r w:rsidRPr="00FD40B8">
        <w:rPr>
          <w:color w:val="131727" w:themeColor="text1"/>
          <w:w w:val="105"/>
          <w:sz w:val="21"/>
        </w:rPr>
        <w:t>all</w:t>
      </w:r>
      <w:r w:rsidRPr="00FD40B8">
        <w:rPr>
          <w:color w:val="131727" w:themeColor="text1"/>
          <w:spacing w:val="15"/>
          <w:w w:val="105"/>
          <w:sz w:val="21"/>
        </w:rPr>
        <w:t xml:space="preserve"> </w:t>
      </w:r>
      <w:r w:rsidRPr="00FD40B8">
        <w:rPr>
          <w:color w:val="131727" w:themeColor="text1"/>
          <w:w w:val="105"/>
          <w:sz w:val="21"/>
        </w:rPr>
        <w:t>in</w:t>
      </w:r>
      <w:r w:rsidRPr="00FD40B8">
        <w:rPr>
          <w:color w:val="131727" w:themeColor="text1"/>
          <w:spacing w:val="14"/>
          <w:w w:val="105"/>
          <w:sz w:val="21"/>
        </w:rPr>
        <w:t xml:space="preserve"> </w:t>
      </w:r>
      <w:r w:rsidRPr="00FD40B8">
        <w:rPr>
          <w:color w:val="131727" w:themeColor="text1"/>
          <w:w w:val="105"/>
          <w:sz w:val="21"/>
        </w:rPr>
        <w:t>scope</w:t>
      </w:r>
      <w:r w:rsidRPr="00FD40B8">
        <w:rPr>
          <w:color w:val="131727" w:themeColor="text1"/>
          <w:spacing w:val="13"/>
          <w:w w:val="105"/>
          <w:sz w:val="21"/>
        </w:rPr>
        <w:t xml:space="preserve"> </w:t>
      </w:r>
      <w:r w:rsidRPr="00FD40B8">
        <w:rPr>
          <w:color w:val="131727" w:themeColor="text1"/>
          <w:spacing w:val="-2"/>
          <w:w w:val="105"/>
          <w:sz w:val="21"/>
        </w:rPr>
        <w:t>units.</w:t>
      </w:r>
    </w:p>
    <w:p w14:paraId="6F7E5321" w14:textId="77777777" w:rsidR="00811887" w:rsidRPr="00FD40B8" w:rsidRDefault="00811887" w:rsidP="00811887">
      <w:pPr>
        <w:pStyle w:val="ListParagraph"/>
        <w:widowControl w:val="0"/>
        <w:numPr>
          <w:ilvl w:val="0"/>
          <w:numId w:val="44"/>
        </w:numPr>
        <w:tabs>
          <w:tab w:val="left" w:pos="700"/>
        </w:tabs>
        <w:autoSpaceDE w:val="0"/>
        <w:autoSpaceDN w:val="0"/>
        <w:spacing w:before="25" w:after="0" w:line="268" w:lineRule="auto"/>
        <w:ind w:right="187"/>
        <w:contextualSpacing w:val="0"/>
        <w:rPr>
          <w:color w:val="131727" w:themeColor="text1"/>
          <w:sz w:val="21"/>
        </w:rPr>
      </w:pPr>
      <w:r w:rsidRPr="00FD40B8">
        <w:rPr>
          <w:color w:val="131727" w:themeColor="text1"/>
          <w:w w:val="110"/>
          <w:sz w:val="21"/>
        </w:rPr>
        <w:t>Errors in reporting on the part of both respondents and interviewers. These reporting errors may arise through a lack of knowledge of the data required, the inability to provide accurate information,</w:t>
      </w:r>
      <w:r w:rsidRPr="00FD40B8">
        <w:rPr>
          <w:color w:val="131727" w:themeColor="text1"/>
          <w:spacing w:val="-5"/>
          <w:w w:val="110"/>
          <w:sz w:val="21"/>
        </w:rPr>
        <w:t xml:space="preserve"> </w:t>
      </w:r>
      <w:r w:rsidRPr="00FD40B8">
        <w:rPr>
          <w:color w:val="131727" w:themeColor="text1"/>
          <w:w w:val="110"/>
          <w:sz w:val="21"/>
        </w:rPr>
        <w:t>or</w:t>
      </w:r>
      <w:r w:rsidRPr="00FD40B8">
        <w:rPr>
          <w:color w:val="131727" w:themeColor="text1"/>
          <w:spacing w:val="-4"/>
          <w:w w:val="110"/>
          <w:sz w:val="21"/>
        </w:rPr>
        <w:t xml:space="preserve"> </w:t>
      </w:r>
      <w:r w:rsidRPr="00FD40B8">
        <w:rPr>
          <w:color w:val="131727" w:themeColor="text1"/>
          <w:w w:val="110"/>
          <w:sz w:val="21"/>
        </w:rPr>
        <w:t>mistakes</w:t>
      </w:r>
      <w:r w:rsidRPr="00FD40B8">
        <w:rPr>
          <w:color w:val="131727" w:themeColor="text1"/>
          <w:spacing w:val="-1"/>
          <w:w w:val="110"/>
          <w:sz w:val="21"/>
        </w:rPr>
        <w:t xml:space="preserve"> </w:t>
      </w:r>
      <w:r w:rsidRPr="00FD40B8">
        <w:rPr>
          <w:color w:val="131727" w:themeColor="text1"/>
          <w:w w:val="110"/>
          <w:sz w:val="21"/>
        </w:rPr>
        <w:t>in</w:t>
      </w:r>
      <w:r w:rsidRPr="00FD40B8">
        <w:rPr>
          <w:color w:val="131727" w:themeColor="text1"/>
          <w:spacing w:val="-3"/>
          <w:w w:val="110"/>
          <w:sz w:val="21"/>
        </w:rPr>
        <w:t xml:space="preserve"> </w:t>
      </w:r>
      <w:r w:rsidRPr="00FD40B8">
        <w:rPr>
          <w:color w:val="131727" w:themeColor="text1"/>
          <w:w w:val="110"/>
          <w:sz w:val="21"/>
        </w:rPr>
        <w:t>recording</w:t>
      </w:r>
      <w:r w:rsidRPr="00FD40B8">
        <w:rPr>
          <w:color w:val="131727" w:themeColor="text1"/>
          <w:spacing w:val="-3"/>
          <w:w w:val="110"/>
          <w:sz w:val="21"/>
        </w:rPr>
        <w:t xml:space="preserve"> </w:t>
      </w:r>
      <w:r w:rsidRPr="00FD40B8">
        <w:rPr>
          <w:color w:val="131727" w:themeColor="text1"/>
          <w:w w:val="110"/>
          <w:sz w:val="21"/>
        </w:rPr>
        <w:t>answers</w:t>
      </w:r>
      <w:r w:rsidRPr="00FD40B8">
        <w:rPr>
          <w:color w:val="131727" w:themeColor="text1"/>
          <w:spacing w:val="-1"/>
          <w:w w:val="110"/>
          <w:sz w:val="21"/>
        </w:rPr>
        <w:t xml:space="preserve"> </w:t>
      </w:r>
      <w:r w:rsidRPr="00FD40B8">
        <w:rPr>
          <w:color w:val="131727" w:themeColor="text1"/>
          <w:w w:val="110"/>
          <w:sz w:val="21"/>
        </w:rPr>
        <w:t>to</w:t>
      </w:r>
      <w:r w:rsidRPr="00FD40B8">
        <w:rPr>
          <w:color w:val="131727" w:themeColor="text1"/>
          <w:spacing w:val="-2"/>
          <w:w w:val="110"/>
          <w:sz w:val="21"/>
        </w:rPr>
        <w:t xml:space="preserve"> </w:t>
      </w:r>
      <w:r w:rsidRPr="00FD40B8">
        <w:rPr>
          <w:color w:val="131727" w:themeColor="text1"/>
          <w:w w:val="110"/>
          <w:sz w:val="21"/>
        </w:rPr>
        <w:t>questions.</w:t>
      </w:r>
      <w:r w:rsidRPr="00FD40B8">
        <w:rPr>
          <w:color w:val="131727" w:themeColor="text1"/>
          <w:spacing w:val="-1"/>
          <w:w w:val="110"/>
          <w:sz w:val="21"/>
        </w:rPr>
        <w:t xml:space="preserve"> </w:t>
      </w:r>
      <w:r w:rsidRPr="00FD40B8">
        <w:rPr>
          <w:color w:val="131727" w:themeColor="text1"/>
          <w:w w:val="110"/>
          <w:sz w:val="21"/>
        </w:rPr>
        <w:t>For</w:t>
      </w:r>
      <w:r w:rsidRPr="00FD40B8">
        <w:rPr>
          <w:color w:val="131727" w:themeColor="text1"/>
          <w:spacing w:val="-3"/>
          <w:w w:val="110"/>
          <w:sz w:val="21"/>
        </w:rPr>
        <w:t xml:space="preserve"> </w:t>
      </w:r>
      <w:r w:rsidRPr="00FD40B8">
        <w:rPr>
          <w:color w:val="131727" w:themeColor="text1"/>
          <w:w w:val="110"/>
          <w:sz w:val="21"/>
        </w:rPr>
        <w:t>instance,</w:t>
      </w:r>
      <w:r w:rsidRPr="00FD40B8">
        <w:rPr>
          <w:color w:val="131727" w:themeColor="text1"/>
          <w:spacing w:val="-5"/>
          <w:w w:val="110"/>
          <w:sz w:val="21"/>
        </w:rPr>
        <w:t xml:space="preserve"> </w:t>
      </w:r>
      <w:r w:rsidRPr="00FD40B8">
        <w:rPr>
          <w:color w:val="131727" w:themeColor="text1"/>
          <w:w w:val="110"/>
          <w:sz w:val="21"/>
        </w:rPr>
        <w:t>a</w:t>
      </w:r>
      <w:r w:rsidRPr="00FD40B8">
        <w:rPr>
          <w:color w:val="131727" w:themeColor="text1"/>
          <w:spacing w:val="-5"/>
          <w:w w:val="110"/>
          <w:sz w:val="21"/>
        </w:rPr>
        <w:t xml:space="preserve"> </w:t>
      </w:r>
      <w:r w:rsidRPr="00FD40B8">
        <w:rPr>
          <w:color w:val="131727" w:themeColor="text1"/>
          <w:w w:val="110"/>
          <w:sz w:val="21"/>
        </w:rPr>
        <w:t>community's</w:t>
      </w:r>
      <w:r w:rsidRPr="00FD40B8">
        <w:rPr>
          <w:color w:val="131727" w:themeColor="text1"/>
          <w:spacing w:val="-1"/>
          <w:w w:val="110"/>
          <w:sz w:val="21"/>
        </w:rPr>
        <w:t xml:space="preserve"> </w:t>
      </w:r>
      <w:r w:rsidRPr="00FD40B8">
        <w:rPr>
          <w:color w:val="131727" w:themeColor="text1"/>
          <w:w w:val="110"/>
          <w:sz w:val="21"/>
        </w:rPr>
        <w:t>usual population was generally estimated by the community representative without reference to community records. This methodology is considered to be less reliable than a population count as undertaken in the Census of Population and Housing.</w:t>
      </w:r>
    </w:p>
    <w:p w14:paraId="5C47FE37" w14:textId="77777777" w:rsidR="00811887" w:rsidRPr="00FD40B8" w:rsidRDefault="00811887" w:rsidP="00811887">
      <w:pPr>
        <w:pStyle w:val="ListParagraph"/>
        <w:widowControl w:val="0"/>
        <w:numPr>
          <w:ilvl w:val="0"/>
          <w:numId w:val="44"/>
        </w:numPr>
        <w:tabs>
          <w:tab w:val="left" w:pos="700"/>
        </w:tabs>
        <w:autoSpaceDE w:val="0"/>
        <w:autoSpaceDN w:val="0"/>
        <w:spacing w:after="0" w:line="264" w:lineRule="auto"/>
        <w:ind w:right="328"/>
        <w:contextualSpacing w:val="0"/>
        <w:rPr>
          <w:color w:val="131727" w:themeColor="text1"/>
          <w:sz w:val="21"/>
        </w:rPr>
      </w:pPr>
      <w:r w:rsidRPr="00FD40B8">
        <w:rPr>
          <w:color w:val="131727" w:themeColor="text1"/>
          <w:w w:val="110"/>
          <w:sz w:val="21"/>
        </w:rPr>
        <w:t>Errors arising during data processing. These processing errors may arise during coding, data entry, editing or the derivation of estimates.</w:t>
      </w:r>
    </w:p>
    <w:p w14:paraId="50F06D1B" w14:textId="77777777" w:rsidR="00811887" w:rsidRPr="00FD40B8" w:rsidRDefault="00811887" w:rsidP="00811887">
      <w:pPr>
        <w:pStyle w:val="BodyText"/>
        <w:spacing w:before="29"/>
        <w:rPr>
          <w:color w:val="131727" w:themeColor="text1"/>
          <w:sz w:val="21"/>
        </w:rPr>
      </w:pPr>
    </w:p>
    <w:p w14:paraId="32967894" w14:textId="77777777" w:rsidR="00811887" w:rsidRPr="00FD40B8" w:rsidRDefault="00811887" w:rsidP="00811887">
      <w:pPr>
        <w:spacing w:before="1" w:line="268" w:lineRule="auto"/>
        <w:ind w:left="148" w:right="164"/>
        <w:rPr>
          <w:color w:val="131727" w:themeColor="text1"/>
          <w:sz w:val="21"/>
        </w:rPr>
      </w:pPr>
      <w:r w:rsidRPr="00FD40B8">
        <w:rPr>
          <w:color w:val="131727" w:themeColor="text1"/>
          <w:w w:val="110"/>
          <w:sz w:val="21"/>
        </w:rPr>
        <w:t>Significant effort was made to minimise these errors. In particular, the effect of reporting and processing errors was minimised by: clear and concise questionnaire design; extensive supporting documentation such as data item definitions; the training and supervision of interviewers; encouraging</w:t>
      </w:r>
      <w:r w:rsidRPr="00FD40B8">
        <w:rPr>
          <w:color w:val="131727" w:themeColor="text1"/>
          <w:spacing w:val="-3"/>
          <w:w w:val="110"/>
          <w:sz w:val="21"/>
        </w:rPr>
        <w:t xml:space="preserve"> </w:t>
      </w:r>
      <w:r w:rsidRPr="00FD40B8">
        <w:rPr>
          <w:color w:val="131727" w:themeColor="text1"/>
          <w:w w:val="110"/>
          <w:sz w:val="21"/>
        </w:rPr>
        <w:t>respondents</w:t>
      </w:r>
      <w:r w:rsidRPr="00FD40B8">
        <w:rPr>
          <w:color w:val="131727" w:themeColor="text1"/>
          <w:spacing w:val="-1"/>
          <w:w w:val="110"/>
          <w:sz w:val="21"/>
        </w:rPr>
        <w:t xml:space="preserve"> </w:t>
      </w:r>
      <w:r w:rsidRPr="00FD40B8">
        <w:rPr>
          <w:color w:val="131727" w:themeColor="text1"/>
          <w:w w:val="110"/>
          <w:sz w:val="21"/>
        </w:rPr>
        <w:t>to</w:t>
      </w:r>
      <w:r w:rsidRPr="00FD40B8">
        <w:rPr>
          <w:color w:val="131727" w:themeColor="text1"/>
          <w:spacing w:val="-2"/>
          <w:w w:val="110"/>
          <w:sz w:val="21"/>
        </w:rPr>
        <w:t xml:space="preserve"> </w:t>
      </w:r>
      <w:r w:rsidRPr="00FD40B8">
        <w:rPr>
          <w:color w:val="131727" w:themeColor="text1"/>
          <w:w w:val="110"/>
          <w:sz w:val="21"/>
        </w:rPr>
        <w:t>refer</w:t>
      </w:r>
      <w:r w:rsidRPr="00FD40B8">
        <w:rPr>
          <w:color w:val="131727" w:themeColor="text1"/>
          <w:spacing w:val="-4"/>
          <w:w w:val="110"/>
          <w:sz w:val="21"/>
        </w:rPr>
        <w:t xml:space="preserve"> </w:t>
      </w:r>
      <w:r w:rsidRPr="00FD40B8">
        <w:rPr>
          <w:color w:val="131727" w:themeColor="text1"/>
          <w:w w:val="110"/>
          <w:sz w:val="21"/>
        </w:rPr>
        <w:t>to</w:t>
      </w:r>
      <w:r w:rsidRPr="00FD40B8">
        <w:rPr>
          <w:color w:val="131727" w:themeColor="text1"/>
          <w:spacing w:val="-2"/>
          <w:w w:val="110"/>
          <w:sz w:val="21"/>
        </w:rPr>
        <w:t xml:space="preserve"> </w:t>
      </w:r>
      <w:r w:rsidRPr="00FD40B8">
        <w:rPr>
          <w:color w:val="131727" w:themeColor="text1"/>
          <w:w w:val="110"/>
          <w:sz w:val="21"/>
        </w:rPr>
        <w:t>administrative</w:t>
      </w:r>
      <w:r w:rsidRPr="00FD40B8">
        <w:rPr>
          <w:color w:val="131727" w:themeColor="text1"/>
          <w:spacing w:val="-4"/>
          <w:w w:val="110"/>
          <w:sz w:val="21"/>
        </w:rPr>
        <w:t xml:space="preserve"> </w:t>
      </w:r>
      <w:r w:rsidRPr="00FD40B8">
        <w:rPr>
          <w:color w:val="131727" w:themeColor="text1"/>
          <w:w w:val="110"/>
          <w:sz w:val="21"/>
        </w:rPr>
        <w:t>records</w:t>
      </w:r>
      <w:r w:rsidRPr="00FD40B8">
        <w:rPr>
          <w:color w:val="131727" w:themeColor="text1"/>
          <w:spacing w:val="-1"/>
          <w:w w:val="110"/>
          <w:sz w:val="21"/>
        </w:rPr>
        <w:t xml:space="preserve"> </w:t>
      </w:r>
      <w:r w:rsidRPr="00FD40B8">
        <w:rPr>
          <w:color w:val="131727" w:themeColor="text1"/>
          <w:w w:val="110"/>
          <w:sz w:val="21"/>
        </w:rPr>
        <w:t>whenever</w:t>
      </w:r>
      <w:r w:rsidRPr="00FD40B8">
        <w:rPr>
          <w:color w:val="131727" w:themeColor="text1"/>
          <w:spacing w:val="-4"/>
          <w:w w:val="110"/>
          <w:sz w:val="21"/>
        </w:rPr>
        <w:t xml:space="preserve"> </w:t>
      </w:r>
      <w:r w:rsidRPr="00FD40B8">
        <w:rPr>
          <w:color w:val="131727" w:themeColor="text1"/>
          <w:w w:val="110"/>
          <w:sz w:val="21"/>
        </w:rPr>
        <w:t>possible;</w:t>
      </w:r>
      <w:r w:rsidRPr="00FD40B8">
        <w:rPr>
          <w:color w:val="131727" w:themeColor="text1"/>
          <w:spacing w:val="-1"/>
          <w:w w:val="110"/>
          <w:sz w:val="21"/>
        </w:rPr>
        <w:t xml:space="preserve"> </w:t>
      </w:r>
      <w:r w:rsidRPr="00FD40B8">
        <w:rPr>
          <w:color w:val="131727" w:themeColor="text1"/>
          <w:w w:val="110"/>
          <w:sz w:val="21"/>
        </w:rPr>
        <w:t>by</w:t>
      </w:r>
      <w:r w:rsidRPr="00FD40B8">
        <w:rPr>
          <w:color w:val="131727" w:themeColor="text1"/>
          <w:spacing w:val="-4"/>
          <w:w w:val="110"/>
          <w:sz w:val="21"/>
        </w:rPr>
        <w:t xml:space="preserve"> </w:t>
      </w:r>
      <w:r w:rsidRPr="00FD40B8">
        <w:rPr>
          <w:color w:val="131727" w:themeColor="text1"/>
          <w:w w:val="110"/>
          <w:sz w:val="21"/>
        </w:rPr>
        <w:t>extensive</w:t>
      </w:r>
      <w:r w:rsidRPr="00FD40B8">
        <w:rPr>
          <w:color w:val="131727" w:themeColor="text1"/>
          <w:spacing w:val="-4"/>
          <w:w w:val="110"/>
          <w:sz w:val="21"/>
        </w:rPr>
        <w:t xml:space="preserve"> </w:t>
      </w:r>
      <w:r w:rsidRPr="00FD40B8">
        <w:rPr>
          <w:color w:val="131727" w:themeColor="text1"/>
          <w:w w:val="110"/>
          <w:sz w:val="21"/>
        </w:rPr>
        <w:t>editing and quality control checking at all stages of data collection and processing, including infield checks as part of CAI; and data confrontation against administrative records where available.</w:t>
      </w:r>
    </w:p>
    <w:p w14:paraId="519CA274" w14:textId="77777777" w:rsidR="00811887" w:rsidRPr="00FD40B8" w:rsidRDefault="00811887" w:rsidP="00811887">
      <w:pPr>
        <w:spacing w:before="236" w:line="268" w:lineRule="auto"/>
        <w:ind w:left="148" w:right="149"/>
        <w:rPr>
          <w:color w:val="131727" w:themeColor="text1"/>
          <w:sz w:val="21"/>
        </w:rPr>
      </w:pPr>
      <w:r w:rsidRPr="00FD40B8">
        <w:rPr>
          <w:color w:val="131727" w:themeColor="text1"/>
          <w:w w:val="110"/>
          <w:sz w:val="21"/>
        </w:rPr>
        <w:t>In addition to the survey instrument and methodology testing conducted prior to the previous CHINS in 1999 and 2001, national, state and territory, and regional aggregate data from the 2006 CHINS was</w:t>
      </w:r>
      <w:r w:rsidRPr="00FD40B8">
        <w:rPr>
          <w:color w:val="131727" w:themeColor="text1"/>
          <w:spacing w:val="16"/>
          <w:w w:val="110"/>
          <w:sz w:val="21"/>
        </w:rPr>
        <w:t xml:space="preserve"> </w:t>
      </w:r>
      <w:r w:rsidRPr="00FD40B8">
        <w:rPr>
          <w:color w:val="131727" w:themeColor="text1"/>
          <w:w w:val="110"/>
          <w:sz w:val="21"/>
        </w:rPr>
        <w:t>compared with those collected in 2001.</w:t>
      </w:r>
      <w:r w:rsidRPr="00FD40B8">
        <w:rPr>
          <w:color w:val="131727" w:themeColor="text1"/>
          <w:spacing w:val="16"/>
          <w:w w:val="110"/>
          <w:sz w:val="21"/>
        </w:rPr>
        <w:t xml:space="preserve"> </w:t>
      </w:r>
      <w:r w:rsidRPr="00FD40B8">
        <w:rPr>
          <w:color w:val="131727" w:themeColor="text1"/>
          <w:w w:val="110"/>
          <w:sz w:val="21"/>
        </w:rPr>
        <w:t>For the 2006 CHINS, checks</w:t>
      </w:r>
      <w:r w:rsidRPr="00FD40B8">
        <w:rPr>
          <w:color w:val="131727" w:themeColor="text1"/>
          <w:spacing w:val="16"/>
          <w:w w:val="110"/>
          <w:sz w:val="21"/>
        </w:rPr>
        <w:t xml:space="preserve"> </w:t>
      </w:r>
      <w:r w:rsidRPr="00FD40B8">
        <w:rPr>
          <w:color w:val="131727" w:themeColor="text1"/>
          <w:w w:val="110"/>
          <w:sz w:val="21"/>
        </w:rPr>
        <w:t>were also</w:t>
      </w:r>
      <w:r w:rsidRPr="00FD40B8">
        <w:rPr>
          <w:color w:val="131727" w:themeColor="text1"/>
          <w:spacing w:val="40"/>
          <w:w w:val="110"/>
          <w:sz w:val="21"/>
        </w:rPr>
        <w:t xml:space="preserve"> </w:t>
      </w:r>
      <w:r w:rsidRPr="00FD40B8">
        <w:rPr>
          <w:color w:val="131727" w:themeColor="text1"/>
          <w:w w:val="110"/>
          <w:sz w:val="21"/>
        </w:rPr>
        <w:t>conducted on related data items for consistency. For example, that increases in stock were consistent with population increases,</w:t>
      </w:r>
      <w:r w:rsidRPr="00FD40B8">
        <w:rPr>
          <w:color w:val="131727" w:themeColor="text1"/>
          <w:spacing w:val="-1"/>
          <w:w w:val="110"/>
          <w:sz w:val="21"/>
        </w:rPr>
        <w:t xml:space="preserve"> </w:t>
      </w:r>
      <w:r w:rsidRPr="00FD40B8">
        <w:rPr>
          <w:color w:val="131727" w:themeColor="text1"/>
          <w:w w:val="110"/>
          <w:sz w:val="21"/>
        </w:rPr>
        <w:t>other ABS data</w:t>
      </w:r>
      <w:r w:rsidRPr="00FD40B8">
        <w:rPr>
          <w:color w:val="131727" w:themeColor="text1"/>
          <w:spacing w:val="-1"/>
          <w:w w:val="110"/>
          <w:sz w:val="21"/>
        </w:rPr>
        <w:t xml:space="preserve"> </w:t>
      </w:r>
      <w:r w:rsidRPr="00FD40B8">
        <w:rPr>
          <w:color w:val="131727" w:themeColor="text1"/>
          <w:w w:val="110"/>
          <w:sz w:val="21"/>
        </w:rPr>
        <w:t>sources and increases in rent. For a</w:t>
      </w:r>
      <w:r w:rsidRPr="00FD40B8">
        <w:rPr>
          <w:color w:val="131727" w:themeColor="text1"/>
          <w:spacing w:val="-1"/>
          <w:w w:val="110"/>
          <w:sz w:val="21"/>
        </w:rPr>
        <w:t xml:space="preserve"> </w:t>
      </w:r>
      <w:r w:rsidRPr="00FD40B8">
        <w:rPr>
          <w:color w:val="131727" w:themeColor="text1"/>
          <w:w w:val="110"/>
          <w:sz w:val="21"/>
        </w:rPr>
        <w:t>number of key items, a comparison of 2001and 2006 data was also made at the community or IHO unit record level. Where significantly different responses were observed, organisations and communities were re-contacted to determine whether the data was the result of a difference in interpretation by different key respondents or whether the 2006 survey was measuring real change.</w:t>
      </w:r>
    </w:p>
    <w:p w14:paraId="01110A12" w14:textId="77777777" w:rsidR="00811887" w:rsidRPr="00FD40B8" w:rsidRDefault="00811887" w:rsidP="00811887">
      <w:pPr>
        <w:pStyle w:val="Heading9"/>
        <w:spacing w:before="137"/>
        <w:ind w:left="148"/>
        <w:rPr>
          <w:color w:val="131727" w:themeColor="text1"/>
        </w:rPr>
      </w:pPr>
      <w:r w:rsidRPr="00FD40B8">
        <w:rPr>
          <w:color w:val="131727" w:themeColor="text1"/>
          <w:w w:val="85"/>
        </w:rPr>
        <w:t>D</w:t>
      </w:r>
      <w:r w:rsidRPr="00FD40B8">
        <w:rPr>
          <w:color w:val="131727" w:themeColor="text1"/>
          <w:spacing w:val="-35"/>
          <w:w w:val="85"/>
        </w:rPr>
        <w:t xml:space="preserve"> </w:t>
      </w:r>
      <w:r w:rsidRPr="00FD40B8">
        <w:rPr>
          <w:color w:val="131727" w:themeColor="text1"/>
          <w:spacing w:val="18"/>
          <w:w w:val="85"/>
        </w:rPr>
        <w:t>ATA</w:t>
      </w:r>
      <w:r w:rsidRPr="00FD40B8">
        <w:rPr>
          <w:color w:val="131727" w:themeColor="text1"/>
          <w:spacing w:val="63"/>
        </w:rPr>
        <w:t xml:space="preserve"> </w:t>
      </w:r>
      <w:r w:rsidRPr="00FD40B8">
        <w:rPr>
          <w:color w:val="131727" w:themeColor="text1"/>
          <w:spacing w:val="18"/>
          <w:w w:val="85"/>
        </w:rPr>
        <w:t>MAN</w:t>
      </w:r>
      <w:r w:rsidRPr="00FD40B8">
        <w:rPr>
          <w:color w:val="131727" w:themeColor="text1"/>
          <w:spacing w:val="-31"/>
          <w:w w:val="85"/>
        </w:rPr>
        <w:t xml:space="preserve"> </w:t>
      </w:r>
      <w:r w:rsidRPr="00FD40B8">
        <w:rPr>
          <w:color w:val="131727" w:themeColor="text1"/>
          <w:spacing w:val="18"/>
          <w:w w:val="85"/>
        </w:rPr>
        <w:t>AGE</w:t>
      </w:r>
      <w:r w:rsidRPr="00FD40B8">
        <w:rPr>
          <w:color w:val="131727" w:themeColor="text1"/>
          <w:spacing w:val="-29"/>
          <w:w w:val="85"/>
        </w:rPr>
        <w:t xml:space="preserve"> </w:t>
      </w:r>
      <w:r w:rsidRPr="00FD40B8">
        <w:rPr>
          <w:color w:val="131727" w:themeColor="text1"/>
          <w:spacing w:val="18"/>
          <w:w w:val="85"/>
        </w:rPr>
        <w:t>MEN</w:t>
      </w:r>
      <w:r w:rsidRPr="00FD40B8">
        <w:rPr>
          <w:color w:val="131727" w:themeColor="text1"/>
          <w:spacing w:val="-31"/>
          <w:w w:val="85"/>
        </w:rPr>
        <w:t xml:space="preserve"> </w:t>
      </w:r>
      <w:r w:rsidRPr="00FD40B8">
        <w:rPr>
          <w:color w:val="131727" w:themeColor="text1"/>
          <w:w w:val="85"/>
        </w:rPr>
        <w:t>T</w:t>
      </w:r>
      <w:r w:rsidRPr="00FD40B8">
        <w:rPr>
          <w:color w:val="131727" w:themeColor="text1"/>
          <w:spacing w:val="57"/>
        </w:rPr>
        <w:t xml:space="preserve"> </w:t>
      </w:r>
      <w:r w:rsidRPr="00FD40B8">
        <w:rPr>
          <w:color w:val="131727" w:themeColor="text1"/>
          <w:w w:val="85"/>
        </w:rPr>
        <w:t>A</w:t>
      </w:r>
      <w:r w:rsidRPr="00FD40B8">
        <w:rPr>
          <w:color w:val="131727" w:themeColor="text1"/>
          <w:spacing w:val="-30"/>
          <w:w w:val="85"/>
        </w:rPr>
        <w:t xml:space="preserve"> </w:t>
      </w:r>
      <w:r w:rsidRPr="00FD40B8">
        <w:rPr>
          <w:color w:val="131727" w:themeColor="text1"/>
          <w:spacing w:val="13"/>
          <w:w w:val="85"/>
        </w:rPr>
        <w:t>ND</w:t>
      </w:r>
      <w:r w:rsidRPr="00FD40B8">
        <w:rPr>
          <w:color w:val="131727" w:themeColor="text1"/>
          <w:spacing w:val="60"/>
        </w:rPr>
        <w:t xml:space="preserve"> </w:t>
      </w:r>
      <w:r w:rsidRPr="00FD40B8">
        <w:rPr>
          <w:color w:val="131727" w:themeColor="text1"/>
          <w:w w:val="85"/>
        </w:rPr>
        <w:t>C</w:t>
      </w:r>
      <w:r w:rsidRPr="00FD40B8">
        <w:rPr>
          <w:color w:val="131727" w:themeColor="text1"/>
          <w:spacing w:val="-33"/>
          <w:w w:val="85"/>
        </w:rPr>
        <w:t xml:space="preserve"> </w:t>
      </w:r>
      <w:r w:rsidRPr="00FD40B8">
        <w:rPr>
          <w:color w:val="131727" w:themeColor="text1"/>
          <w:spacing w:val="14"/>
          <w:w w:val="85"/>
        </w:rPr>
        <w:t>US</w:t>
      </w:r>
      <w:r w:rsidRPr="00FD40B8">
        <w:rPr>
          <w:color w:val="131727" w:themeColor="text1"/>
          <w:spacing w:val="-28"/>
          <w:w w:val="85"/>
        </w:rPr>
        <w:t xml:space="preserve"> </w:t>
      </w:r>
      <w:r w:rsidRPr="00FD40B8">
        <w:rPr>
          <w:color w:val="131727" w:themeColor="text1"/>
          <w:spacing w:val="17"/>
          <w:w w:val="85"/>
        </w:rPr>
        <w:t>TOD</w:t>
      </w:r>
      <w:r w:rsidRPr="00FD40B8">
        <w:rPr>
          <w:color w:val="131727" w:themeColor="text1"/>
          <w:spacing w:val="-28"/>
          <w:w w:val="85"/>
        </w:rPr>
        <w:t xml:space="preserve"> </w:t>
      </w:r>
      <w:r w:rsidRPr="00FD40B8">
        <w:rPr>
          <w:color w:val="131727" w:themeColor="text1"/>
          <w:spacing w:val="-10"/>
          <w:w w:val="85"/>
        </w:rPr>
        <w:t>Y</w:t>
      </w:r>
    </w:p>
    <w:p w14:paraId="05BC046C" w14:textId="77777777" w:rsidR="00811887" w:rsidRPr="00FD40B8" w:rsidRDefault="00811887" w:rsidP="00811887">
      <w:pPr>
        <w:spacing w:before="57" w:line="271" w:lineRule="auto"/>
        <w:ind w:left="148" w:right="158"/>
        <w:rPr>
          <w:color w:val="131727" w:themeColor="text1"/>
          <w:sz w:val="21"/>
        </w:rPr>
      </w:pPr>
      <w:r w:rsidRPr="00FD40B8">
        <w:rPr>
          <w:color w:val="131727" w:themeColor="text1"/>
          <w:w w:val="110"/>
          <w:sz w:val="21"/>
        </w:rPr>
        <w:t>The commissioning departmental agency for the CHINS has been responsible for the data custody. The</w:t>
      </w:r>
      <w:r w:rsidRPr="00FD40B8">
        <w:rPr>
          <w:color w:val="131727" w:themeColor="text1"/>
          <w:spacing w:val="-4"/>
          <w:w w:val="110"/>
          <w:sz w:val="21"/>
        </w:rPr>
        <w:t xml:space="preserve"> </w:t>
      </w:r>
      <w:r w:rsidRPr="00FD40B8">
        <w:rPr>
          <w:color w:val="131727" w:themeColor="text1"/>
          <w:w w:val="110"/>
          <w:sz w:val="21"/>
        </w:rPr>
        <w:t>National</w:t>
      </w:r>
      <w:r w:rsidRPr="00FD40B8">
        <w:rPr>
          <w:color w:val="131727" w:themeColor="text1"/>
          <w:spacing w:val="-3"/>
          <w:w w:val="110"/>
          <w:sz w:val="21"/>
        </w:rPr>
        <w:t xml:space="preserve"> </w:t>
      </w:r>
      <w:r w:rsidRPr="00FD40B8">
        <w:rPr>
          <w:color w:val="131727" w:themeColor="text1"/>
          <w:w w:val="110"/>
          <w:sz w:val="21"/>
        </w:rPr>
        <w:t>Indigenous</w:t>
      </w:r>
      <w:r w:rsidRPr="00FD40B8">
        <w:rPr>
          <w:color w:val="131727" w:themeColor="text1"/>
          <w:spacing w:val="-1"/>
          <w:w w:val="110"/>
          <w:sz w:val="21"/>
        </w:rPr>
        <w:t xml:space="preserve"> </w:t>
      </w:r>
      <w:r w:rsidRPr="00FD40B8">
        <w:rPr>
          <w:color w:val="131727" w:themeColor="text1"/>
          <w:w w:val="110"/>
          <w:sz w:val="21"/>
        </w:rPr>
        <w:t>Australians</w:t>
      </w:r>
      <w:r w:rsidRPr="00FD40B8">
        <w:rPr>
          <w:color w:val="131727" w:themeColor="text1"/>
          <w:spacing w:val="-1"/>
          <w:w w:val="110"/>
          <w:sz w:val="21"/>
        </w:rPr>
        <w:t xml:space="preserve"> </w:t>
      </w:r>
      <w:r w:rsidRPr="00FD40B8">
        <w:rPr>
          <w:color w:val="131727" w:themeColor="text1"/>
          <w:w w:val="110"/>
          <w:sz w:val="21"/>
        </w:rPr>
        <w:t>Agency</w:t>
      </w:r>
      <w:r w:rsidRPr="00FD40B8">
        <w:rPr>
          <w:color w:val="131727" w:themeColor="text1"/>
          <w:spacing w:val="-4"/>
          <w:w w:val="110"/>
          <w:sz w:val="21"/>
        </w:rPr>
        <w:t xml:space="preserve"> </w:t>
      </w:r>
      <w:r w:rsidRPr="00FD40B8">
        <w:rPr>
          <w:color w:val="131727" w:themeColor="text1"/>
          <w:w w:val="110"/>
          <w:sz w:val="21"/>
        </w:rPr>
        <w:t>is</w:t>
      </w:r>
      <w:r w:rsidRPr="00FD40B8">
        <w:rPr>
          <w:color w:val="131727" w:themeColor="text1"/>
          <w:spacing w:val="-1"/>
          <w:w w:val="110"/>
          <w:sz w:val="21"/>
        </w:rPr>
        <w:t xml:space="preserve"> </w:t>
      </w:r>
      <w:r w:rsidRPr="00FD40B8">
        <w:rPr>
          <w:color w:val="131727" w:themeColor="text1"/>
          <w:w w:val="110"/>
          <w:sz w:val="21"/>
        </w:rPr>
        <w:t>now</w:t>
      </w:r>
      <w:r w:rsidRPr="00FD40B8">
        <w:rPr>
          <w:color w:val="131727" w:themeColor="text1"/>
          <w:spacing w:val="-3"/>
          <w:w w:val="110"/>
          <w:sz w:val="21"/>
        </w:rPr>
        <w:t xml:space="preserve"> </w:t>
      </w:r>
      <w:r w:rsidRPr="00FD40B8">
        <w:rPr>
          <w:color w:val="131727" w:themeColor="text1"/>
          <w:w w:val="110"/>
          <w:sz w:val="21"/>
        </w:rPr>
        <w:t>the</w:t>
      </w:r>
      <w:r w:rsidRPr="00FD40B8">
        <w:rPr>
          <w:color w:val="131727" w:themeColor="text1"/>
          <w:spacing w:val="-4"/>
          <w:w w:val="110"/>
          <w:sz w:val="21"/>
        </w:rPr>
        <w:t xml:space="preserve"> </w:t>
      </w:r>
      <w:r w:rsidRPr="00FD40B8">
        <w:rPr>
          <w:color w:val="131727" w:themeColor="text1"/>
          <w:w w:val="110"/>
          <w:sz w:val="21"/>
        </w:rPr>
        <w:t>data</w:t>
      </w:r>
      <w:r w:rsidRPr="00FD40B8">
        <w:rPr>
          <w:color w:val="131727" w:themeColor="text1"/>
          <w:spacing w:val="-5"/>
          <w:w w:val="110"/>
          <w:sz w:val="21"/>
        </w:rPr>
        <w:t xml:space="preserve"> </w:t>
      </w:r>
      <w:r w:rsidRPr="00FD40B8">
        <w:rPr>
          <w:color w:val="131727" w:themeColor="text1"/>
          <w:w w:val="110"/>
          <w:sz w:val="21"/>
        </w:rPr>
        <w:t>custodian</w:t>
      </w:r>
      <w:r w:rsidRPr="00FD40B8">
        <w:rPr>
          <w:color w:val="131727" w:themeColor="text1"/>
          <w:spacing w:val="-3"/>
          <w:w w:val="110"/>
          <w:sz w:val="21"/>
        </w:rPr>
        <w:t xml:space="preserve"> </w:t>
      </w:r>
      <w:r w:rsidRPr="00FD40B8">
        <w:rPr>
          <w:color w:val="131727" w:themeColor="text1"/>
          <w:w w:val="110"/>
          <w:sz w:val="21"/>
        </w:rPr>
        <w:t>for</w:t>
      </w:r>
      <w:r w:rsidRPr="00FD40B8">
        <w:rPr>
          <w:color w:val="131727" w:themeColor="text1"/>
          <w:spacing w:val="-4"/>
          <w:w w:val="110"/>
          <w:sz w:val="21"/>
        </w:rPr>
        <w:t xml:space="preserve"> </w:t>
      </w:r>
      <w:r w:rsidRPr="00FD40B8">
        <w:rPr>
          <w:color w:val="131727" w:themeColor="text1"/>
          <w:w w:val="110"/>
          <w:sz w:val="21"/>
        </w:rPr>
        <w:t>the</w:t>
      </w:r>
      <w:r w:rsidRPr="00FD40B8">
        <w:rPr>
          <w:color w:val="131727" w:themeColor="text1"/>
          <w:spacing w:val="-4"/>
          <w:w w:val="110"/>
          <w:sz w:val="21"/>
        </w:rPr>
        <w:t xml:space="preserve"> </w:t>
      </w:r>
      <w:r w:rsidRPr="00FD40B8">
        <w:rPr>
          <w:color w:val="131727" w:themeColor="text1"/>
          <w:w w:val="110"/>
          <w:sz w:val="21"/>
        </w:rPr>
        <w:t>CHINS</w:t>
      </w:r>
      <w:r w:rsidRPr="00FD40B8">
        <w:rPr>
          <w:color w:val="131727" w:themeColor="text1"/>
          <w:spacing w:val="-3"/>
          <w:w w:val="110"/>
          <w:sz w:val="21"/>
        </w:rPr>
        <w:t xml:space="preserve"> </w:t>
      </w:r>
      <w:r w:rsidRPr="00FD40B8">
        <w:rPr>
          <w:color w:val="131727" w:themeColor="text1"/>
          <w:w w:val="110"/>
          <w:sz w:val="21"/>
        </w:rPr>
        <w:t>unit</w:t>
      </w:r>
      <w:r w:rsidRPr="00FD40B8">
        <w:rPr>
          <w:color w:val="131727" w:themeColor="text1"/>
          <w:spacing w:val="-2"/>
          <w:w w:val="110"/>
          <w:sz w:val="21"/>
        </w:rPr>
        <w:t xml:space="preserve"> </w:t>
      </w:r>
      <w:r w:rsidRPr="00FD40B8">
        <w:rPr>
          <w:color w:val="131727" w:themeColor="text1"/>
          <w:w w:val="110"/>
          <w:sz w:val="21"/>
        </w:rPr>
        <w:t>record</w:t>
      </w:r>
      <w:r w:rsidRPr="00FD40B8">
        <w:rPr>
          <w:color w:val="131727" w:themeColor="text1"/>
          <w:spacing w:val="-5"/>
          <w:w w:val="110"/>
          <w:sz w:val="21"/>
        </w:rPr>
        <w:t xml:space="preserve"> </w:t>
      </w:r>
      <w:r w:rsidRPr="00FD40B8">
        <w:rPr>
          <w:color w:val="131727" w:themeColor="text1"/>
          <w:w w:val="110"/>
          <w:sz w:val="21"/>
        </w:rPr>
        <w:t>file.</w:t>
      </w:r>
    </w:p>
    <w:p w14:paraId="19025956" w14:textId="77777777" w:rsidR="00811887" w:rsidRPr="00FD40B8" w:rsidRDefault="00811887" w:rsidP="00811887">
      <w:pPr>
        <w:pStyle w:val="Heading9"/>
        <w:spacing w:before="134"/>
        <w:ind w:left="148"/>
        <w:rPr>
          <w:color w:val="131727" w:themeColor="text1"/>
        </w:rPr>
      </w:pPr>
      <w:r w:rsidRPr="00FD40B8">
        <w:rPr>
          <w:color w:val="131727" w:themeColor="text1"/>
          <w:w w:val="80"/>
        </w:rPr>
        <w:t>C</w:t>
      </w:r>
      <w:r w:rsidRPr="00FD40B8">
        <w:rPr>
          <w:color w:val="131727" w:themeColor="text1"/>
          <w:spacing w:val="-23"/>
          <w:w w:val="80"/>
        </w:rPr>
        <w:t xml:space="preserve"> </w:t>
      </w:r>
      <w:r w:rsidRPr="00FD40B8">
        <w:rPr>
          <w:color w:val="131727" w:themeColor="text1"/>
          <w:spacing w:val="13"/>
          <w:w w:val="80"/>
        </w:rPr>
        <w:t>OS</w:t>
      </w:r>
      <w:r w:rsidRPr="00FD40B8">
        <w:rPr>
          <w:color w:val="131727" w:themeColor="text1"/>
          <w:spacing w:val="-23"/>
          <w:w w:val="80"/>
        </w:rPr>
        <w:t xml:space="preserve"> </w:t>
      </w:r>
      <w:r w:rsidRPr="00FD40B8">
        <w:rPr>
          <w:color w:val="131727" w:themeColor="text1"/>
          <w:spacing w:val="-10"/>
          <w:w w:val="80"/>
        </w:rPr>
        <w:t>T</w:t>
      </w:r>
    </w:p>
    <w:p w14:paraId="0A29FCC3" w14:textId="77777777" w:rsidR="00811887" w:rsidRPr="00FD40B8" w:rsidRDefault="00811887" w:rsidP="00811887">
      <w:pPr>
        <w:spacing w:before="57" w:line="268" w:lineRule="auto"/>
        <w:ind w:left="148" w:right="243"/>
        <w:rPr>
          <w:color w:val="131727" w:themeColor="text1"/>
          <w:sz w:val="21"/>
        </w:rPr>
      </w:pPr>
      <w:r w:rsidRPr="00FD40B8">
        <w:rPr>
          <w:color w:val="131727" w:themeColor="text1"/>
          <w:w w:val="110"/>
          <w:sz w:val="21"/>
        </w:rPr>
        <w:t>To</w:t>
      </w:r>
      <w:r w:rsidRPr="00FD40B8">
        <w:rPr>
          <w:color w:val="131727" w:themeColor="text1"/>
          <w:spacing w:val="-4"/>
          <w:w w:val="110"/>
          <w:sz w:val="21"/>
        </w:rPr>
        <w:t xml:space="preserve"> </w:t>
      </w:r>
      <w:r w:rsidRPr="00FD40B8">
        <w:rPr>
          <w:color w:val="131727" w:themeColor="text1"/>
          <w:w w:val="110"/>
          <w:sz w:val="21"/>
        </w:rPr>
        <w:t>be</w:t>
      </w:r>
      <w:r w:rsidRPr="00FD40B8">
        <w:rPr>
          <w:color w:val="131727" w:themeColor="text1"/>
          <w:spacing w:val="-5"/>
          <w:w w:val="110"/>
          <w:sz w:val="21"/>
        </w:rPr>
        <w:t xml:space="preserve"> </w:t>
      </w:r>
      <w:r w:rsidRPr="00FD40B8">
        <w:rPr>
          <w:color w:val="131727" w:themeColor="text1"/>
          <w:w w:val="110"/>
          <w:sz w:val="21"/>
        </w:rPr>
        <w:t>confirmed,</w:t>
      </w:r>
      <w:r w:rsidRPr="00FD40B8">
        <w:rPr>
          <w:color w:val="131727" w:themeColor="text1"/>
          <w:spacing w:val="-6"/>
          <w:w w:val="110"/>
          <w:sz w:val="21"/>
        </w:rPr>
        <w:t xml:space="preserve"> </w:t>
      </w:r>
      <w:r w:rsidRPr="00FD40B8">
        <w:rPr>
          <w:color w:val="131727" w:themeColor="text1"/>
          <w:w w:val="110"/>
          <w:sz w:val="21"/>
        </w:rPr>
        <w:t>yet</w:t>
      </w:r>
      <w:r w:rsidRPr="00FD40B8">
        <w:rPr>
          <w:color w:val="131727" w:themeColor="text1"/>
          <w:spacing w:val="-3"/>
          <w:w w:val="110"/>
          <w:sz w:val="21"/>
        </w:rPr>
        <w:t xml:space="preserve"> </w:t>
      </w:r>
      <w:r w:rsidRPr="00FD40B8">
        <w:rPr>
          <w:color w:val="131727" w:themeColor="text1"/>
          <w:w w:val="110"/>
          <w:sz w:val="21"/>
        </w:rPr>
        <w:t>it</w:t>
      </w:r>
      <w:r w:rsidRPr="00FD40B8">
        <w:rPr>
          <w:color w:val="131727" w:themeColor="text1"/>
          <w:spacing w:val="-3"/>
          <w:w w:val="110"/>
          <w:sz w:val="21"/>
        </w:rPr>
        <w:t xml:space="preserve"> </w:t>
      </w:r>
      <w:r w:rsidRPr="00FD40B8">
        <w:rPr>
          <w:color w:val="131727" w:themeColor="text1"/>
          <w:w w:val="110"/>
          <w:sz w:val="21"/>
        </w:rPr>
        <w:t>is</w:t>
      </w:r>
      <w:r w:rsidRPr="00FD40B8">
        <w:rPr>
          <w:color w:val="131727" w:themeColor="text1"/>
          <w:spacing w:val="-2"/>
          <w:w w:val="110"/>
          <w:sz w:val="21"/>
        </w:rPr>
        <w:t xml:space="preserve"> </w:t>
      </w:r>
      <w:r w:rsidRPr="00FD40B8">
        <w:rPr>
          <w:color w:val="131727" w:themeColor="text1"/>
          <w:w w:val="110"/>
          <w:sz w:val="21"/>
        </w:rPr>
        <w:t>generally</w:t>
      </w:r>
      <w:r w:rsidRPr="00FD40B8">
        <w:rPr>
          <w:color w:val="131727" w:themeColor="text1"/>
          <w:spacing w:val="-5"/>
          <w:w w:val="110"/>
          <w:sz w:val="21"/>
        </w:rPr>
        <w:t xml:space="preserve"> </w:t>
      </w:r>
      <w:r w:rsidRPr="00FD40B8">
        <w:rPr>
          <w:color w:val="131727" w:themeColor="text1"/>
          <w:w w:val="110"/>
          <w:sz w:val="21"/>
        </w:rPr>
        <w:t>understood</w:t>
      </w:r>
      <w:r w:rsidRPr="00FD40B8">
        <w:rPr>
          <w:color w:val="131727" w:themeColor="text1"/>
          <w:spacing w:val="-5"/>
          <w:w w:val="110"/>
          <w:sz w:val="21"/>
        </w:rPr>
        <w:t xml:space="preserve"> </w:t>
      </w:r>
      <w:r w:rsidRPr="00FD40B8">
        <w:rPr>
          <w:color w:val="131727" w:themeColor="text1"/>
          <w:w w:val="110"/>
          <w:sz w:val="21"/>
        </w:rPr>
        <w:t>that</w:t>
      </w:r>
      <w:r w:rsidRPr="00FD40B8">
        <w:rPr>
          <w:color w:val="131727" w:themeColor="text1"/>
          <w:spacing w:val="-3"/>
          <w:w w:val="110"/>
          <w:sz w:val="21"/>
        </w:rPr>
        <w:t xml:space="preserve"> </w:t>
      </w:r>
      <w:r w:rsidRPr="00FD40B8">
        <w:rPr>
          <w:color w:val="131727" w:themeColor="text1"/>
          <w:w w:val="110"/>
          <w:sz w:val="21"/>
        </w:rPr>
        <w:t>CHINs</w:t>
      </w:r>
      <w:r w:rsidRPr="00FD40B8">
        <w:rPr>
          <w:color w:val="131727" w:themeColor="text1"/>
          <w:spacing w:val="-2"/>
          <w:w w:val="110"/>
          <w:sz w:val="21"/>
        </w:rPr>
        <w:t xml:space="preserve"> </w:t>
      </w:r>
      <w:r w:rsidRPr="00FD40B8">
        <w:rPr>
          <w:color w:val="131727" w:themeColor="text1"/>
          <w:w w:val="110"/>
          <w:sz w:val="21"/>
        </w:rPr>
        <w:t>was</w:t>
      </w:r>
      <w:r w:rsidRPr="00FD40B8">
        <w:rPr>
          <w:color w:val="131727" w:themeColor="text1"/>
          <w:spacing w:val="-2"/>
          <w:w w:val="110"/>
          <w:sz w:val="21"/>
        </w:rPr>
        <w:t xml:space="preserve"> </w:t>
      </w:r>
      <w:r w:rsidRPr="00FD40B8">
        <w:rPr>
          <w:color w:val="131727" w:themeColor="text1"/>
          <w:w w:val="110"/>
          <w:sz w:val="21"/>
        </w:rPr>
        <w:t>a</w:t>
      </w:r>
      <w:r w:rsidRPr="00FD40B8">
        <w:rPr>
          <w:color w:val="131727" w:themeColor="text1"/>
          <w:spacing w:val="-6"/>
          <w:w w:val="110"/>
          <w:sz w:val="21"/>
        </w:rPr>
        <w:t xml:space="preserve"> </w:t>
      </w:r>
      <w:r w:rsidRPr="00FD40B8">
        <w:rPr>
          <w:color w:val="131727" w:themeColor="text1"/>
          <w:w w:val="110"/>
          <w:sz w:val="21"/>
        </w:rPr>
        <w:t>significant</w:t>
      </w:r>
      <w:r w:rsidRPr="00FD40B8">
        <w:rPr>
          <w:color w:val="131727" w:themeColor="text1"/>
          <w:spacing w:val="-3"/>
          <w:w w:val="110"/>
          <w:sz w:val="21"/>
        </w:rPr>
        <w:t xml:space="preserve"> </w:t>
      </w:r>
      <w:r w:rsidRPr="00FD40B8">
        <w:rPr>
          <w:color w:val="131727" w:themeColor="text1"/>
          <w:w w:val="110"/>
          <w:sz w:val="21"/>
        </w:rPr>
        <w:t>investment</w:t>
      </w:r>
      <w:r w:rsidRPr="00FD40B8">
        <w:rPr>
          <w:color w:val="131727" w:themeColor="text1"/>
          <w:spacing w:val="-3"/>
          <w:w w:val="110"/>
          <w:sz w:val="21"/>
        </w:rPr>
        <w:t xml:space="preserve"> </w:t>
      </w:r>
      <w:r w:rsidRPr="00FD40B8">
        <w:rPr>
          <w:color w:val="131727" w:themeColor="text1"/>
          <w:w w:val="110"/>
          <w:sz w:val="21"/>
        </w:rPr>
        <w:t>and</w:t>
      </w:r>
      <w:r w:rsidRPr="00FD40B8">
        <w:rPr>
          <w:color w:val="131727" w:themeColor="text1"/>
          <w:spacing w:val="40"/>
          <w:w w:val="110"/>
          <w:sz w:val="21"/>
        </w:rPr>
        <w:t xml:space="preserve"> </w:t>
      </w:r>
      <w:r w:rsidRPr="00FD40B8">
        <w:rPr>
          <w:color w:val="131727" w:themeColor="text1"/>
          <w:w w:val="110"/>
          <w:sz w:val="21"/>
        </w:rPr>
        <w:t>similar to conducting the NATSISS or NATSIHS, costing between $15 million to $20 million to conduct.</w:t>
      </w:r>
    </w:p>
    <w:p w14:paraId="07D2881C" w14:textId="77777777" w:rsidR="00811887" w:rsidRPr="00FD40B8" w:rsidRDefault="00811887" w:rsidP="00811887">
      <w:pPr>
        <w:spacing w:line="268" w:lineRule="auto"/>
        <w:rPr>
          <w:color w:val="131727" w:themeColor="text1"/>
          <w:sz w:val="21"/>
        </w:rPr>
        <w:sectPr w:rsidR="00811887" w:rsidRPr="00FD40B8" w:rsidSect="00811887">
          <w:pgSz w:w="11910" w:h="16840"/>
          <w:pgMar w:top="1260" w:right="1100" w:bottom="1080" w:left="1100" w:header="0" w:footer="805" w:gutter="0"/>
          <w:cols w:space="720"/>
        </w:sectPr>
      </w:pPr>
    </w:p>
    <w:p w14:paraId="32BC59D8" w14:textId="77777777" w:rsidR="00811887" w:rsidRPr="00FD40B8" w:rsidRDefault="00811887" w:rsidP="00811887">
      <w:pPr>
        <w:spacing w:before="82"/>
        <w:ind w:left="136"/>
        <w:rPr>
          <w:rFonts w:ascii="Book Antiqua"/>
          <w:b/>
          <w:i/>
          <w:color w:val="131727" w:themeColor="text1"/>
        </w:rPr>
      </w:pPr>
      <w:r w:rsidRPr="00FD40B8">
        <w:rPr>
          <w:rFonts w:ascii="Book Antiqua"/>
          <w:b/>
          <w:i/>
          <w:color w:val="131727" w:themeColor="text1"/>
        </w:rPr>
        <w:lastRenderedPageBreak/>
        <w:t>Appendix</w:t>
      </w:r>
      <w:r w:rsidRPr="00FD40B8">
        <w:rPr>
          <w:rFonts w:ascii="Book Antiqua"/>
          <w:b/>
          <w:i/>
          <w:color w:val="131727" w:themeColor="text1"/>
          <w:spacing w:val="-5"/>
        </w:rPr>
        <w:t xml:space="preserve"> </w:t>
      </w:r>
      <w:r w:rsidRPr="00FD40B8">
        <w:rPr>
          <w:rFonts w:ascii="Book Antiqua"/>
          <w:b/>
          <w:i/>
          <w:color w:val="131727" w:themeColor="text1"/>
          <w:spacing w:val="-10"/>
        </w:rPr>
        <w:t>H</w:t>
      </w:r>
    </w:p>
    <w:p w14:paraId="7ECF7DED" w14:textId="77777777" w:rsidR="00811887" w:rsidRPr="00FD40B8" w:rsidRDefault="00811887" w:rsidP="00811887">
      <w:pPr>
        <w:pStyle w:val="BodyText"/>
        <w:spacing w:before="3"/>
        <w:rPr>
          <w:rFonts w:ascii="Book Antiqua"/>
          <w:b/>
          <w:i/>
          <w:color w:val="131727" w:themeColor="text1"/>
          <w:sz w:val="7"/>
        </w:rPr>
      </w:pPr>
      <w:r w:rsidRPr="00FD40B8">
        <w:rPr>
          <w:noProof/>
          <w:color w:val="131727" w:themeColor="text1"/>
        </w:rPr>
        <mc:AlternateContent>
          <mc:Choice Requires="wps">
            <w:drawing>
              <wp:anchor distT="0" distB="0" distL="0" distR="0" simplePos="0" relativeHeight="251777024" behindDoc="1" locked="0" layoutInCell="1" allowOverlap="1" wp14:anchorId="72077137" wp14:editId="228F462A">
                <wp:simplePos x="0" y="0"/>
                <wp:positionH relativeFrom="page">
                  <wp:posOffset>881176</wp:posOffset>
                </wp:positionH>
                <wp:positionV relativeFrom="paragraph">
                  <wp:posOffset>70850</wp:posOffset>
                </wp:positionV>
                <wp:extent cx="8930005" cy="6350"/>
                <wp:effectExtent l="0" t="0" r="0" b="0"/>
                <wp:wrapTopAndBottom/>
                <wp:docPr id="242" name="Graphic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30005" cy="6350"/>
                        </a:xfrm>
                        <a:custGeom>
                          <a:avLst/>
                          <a:gdLst/>
                          <a:ahLst/>
                          <a:cxnLst/>
                          <a:rect l="l" t="t" r="r" b="b"/>
                          <a:pathLst>
                            <a:path w="8930005" h="6350">
                              <a:moveTo>
                                <a:pt x="8930005" y="0"/>
                              </a:moveTo>
                              <a:lnTo>
                                <a:pt x="0" y="0"/>
                              </a:lnTo>
                              <a:lnTo>
                                <a:pt x="0" y="6096"/>
                              </a:lnTo>
                              <a:lnTo>
                                <a:pt x="8930005" y="6096"/>
                              </a:lnTo>
                              <a:lnTo>
                                <a:pt x="893000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233FD9B8" id="Graphic 242" o:spid="_x0000_s1026" alt="&quot;&quot;" style="position:absolute;margin-left:69.4pt;margin-top:5.6pt;width:703.15pt;height:.5pt;z-index:-251539456;visibility:visible;mso-wrap-style:square;mso-wrap-distance-left:0;mso-wrap-distance-top:0;mso-wrap-distance-right:0;mso-wrap-distance-bottom:0;mso-position-horizontal:absolute;mso-position-horizontal-relative:page;mso-position-vertical:absolute;mso-position-vertical-relative:text;v-text-anchor:top" coordsize="893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" path="m8930005,l,,,6096r8930005,l8930005,xe" fillcolor="#4d665b" stroked="f">
                <v:path arrowok="t"/>
                <w10:wrap type="topAndBottom" anchorx="page"/>
              </v:shape>
            </w:pict>
          </mc:Fallback>
        </mc:AlternateContent>
      </w:r>
    </w:p>
    <w:p w14:paraId="791EE3EE" w14:textId="77777777" w:rsidR="00811887" w:rsidRPr="00FD40B8" w:rsidRDefault="00811887" w:rsidP="00811887">
      <w:pPr>
        <w:pStyle w:val="BodyText"/>
        <w:spacing w:before="41"/>
        <w:rPr>
          <w:rFonts w:ascii="Book Antiqua"/>
          <w:b/>
          <w:i/>
          <w:color w:val="131727" w:themeColor="text1"/>
          <w:sz w:val="22"/>
        </w:rPr>
      </w:pPr>
    </w:p>
    <w:p w14:paraId="311B24F6" w14:textId="77777777" w:rsidR="00811887" w:rsidRPr="00FD40B8" w:rsidRDefault="00811887" w:rsidP="00811887">
      <w:pPr>
        <w:pStyle w:val="Heading2"/>
        <w:spacing w:line="237" w:lineRule="auto"/>
        <w:ind w:left="136" w:right="1095"/>
        <w:rPr>
          <w:color w:val="131727" w:themeColor="text1"/>
        </w:rPr>
      </w:pPr>
      <w:bookmarkStart w:id="230" w:name="_bookmark119"/>
      <w:bookmarkEnd w:id="230"/>
      <w:r w:rsidRPr="00FD40B8">
        <w:rPr>
          <w:color w:val="131727" w:themeColor="text1"/>
        </w:rPr>
        <w:t>Reporting</w:t>
      </w:r>
      <w:r w:rsidRPr="00FD40B8">
        <w:rPr>
          <w:color w:val="131727" w:themeColor="text1"/>
          <w:spacing w:val="40"/>
        </w:rPr>
        <w:t xml:space="preserve"> </w:t>
      </w:r>
      <w:r w:rsidRPr="00FD40B8">
        <w:rPr>
          <w:color w:val="131727" w:themeColor="text1"/>
        </w:rPr>
        <w:t>requirements</w:t>
      </w:r>
      <w:r w:rsidRPr="00FD40B8">
        <w:rPr>
          <w:color w:val="131727" w:themeColor="text1"/>
          <w:spacing w:val="40"/>
        </w:rPr>
        <w:t xml:space="preserve"> </w:t>
      </w:r>
      <w:r w:rsidRPr="00FD40B8">
        <w:rPr>
          <w:color w:val="131727" w:themeColor="text1"/>
        </w:rPr>
        <w:t>for</w:t>
      </w:r>
      <w:r w:rsidRPr="00FD40B8">
        <w:rPr>
          <w:color w:val="131727" w:themeColor="text1"/>
          <w:spacing w:val="40"/>
        </w:rPr>
        <w:t xml:space="preserve"> </w:t>
      </w:r>
      <w:r w:rsidRPr="00FD40B8">
        <w:rPr>
          <w:color w:val="131727" w:themeColor="text1"/>
        </w:rPr>
        <w:t>Commonwealth</w:t>
      </w:r>
      <w:r w:rsidRPr="00FD40B8">
        <w:rPr>
          <w:color w:val="131727" w:themeColor="text1"/>
          <w:spacing w:val="40"/>
        </w:rPr>
        <w:t xml:space="preserve"> </w:t>
      </w:r>
      <w:r w:rsidRPr="00FD40B8">
        <w:rPr>
          <w:color w:val="131727" w:themeColor="text1"/>
        </w:rPr>
        <w:t>social</w:t>
      </w:r>
      <w:r w:rsidRPr="00FD40B8">
        <w:rPr>
          <w:color w:val="131727" w:themeColor="text1"/>
          <w:spacing w:val="40"/>
        </w:rPr>
        <w:t xml:space="preserve"> </w:t>
      </w:r>
      <w:r w:rsidRPr="00FD40B8">
        <w:rPr>
          <w:color w:val="131727" w:themeColor="text1"/>
        </w:rPr>
        <w:t>housing</w:t>
      </w:r>
      <w:r w:rsidRPr="00FD40B8">
        <w:rPr>
          <w:color w:val="131727" w:themeColor="text1"/>
          <w:spacing w:val="40"/>
        </w:rPr>
        <w:t xml:space="preserve"> </w:t>
      </w:r>
      <w:r w:rsidRPr="00FD40B8">
        <w:rPr>
          <w:color w:val="131727" w:themeColor="text1"/>
        </w:rPr>
        <w:t>investments</w:t>
      </w:r>
      <w:r w:rsidRPr="00FD40B8">
        <w:rPr>
          <w:color w:val="131727" w:themeColor="text1"/>
          <w:spacing w:val="40"/>
        </w:rPr>
        <w:t xml:space="preserve"> </w:t>
      </w:r>
      <w:r w:rsidRPr="00FD40B8">
        <w:rPr>
          <w:color w:val="131727" w:themeColor="text1"/>
        </w:rPr>
        <w:t>and</w:t>
      </w:r>
      <w:r w:rsidRPr="00FD40B8">
        <w:rPr>
          <w:color w:val="131727" w:themeColor="text1"/>
          <w:spacing w:val="80"/>
          <w:w w:val="150"/>
        </w:rPr>
        <w:t xml:space="preserve"> </w:t>
      </w:r>
      <w:r w:rsidRPr="00FD40B8">
        <w:rPr>
          <w:color w:val="131727" w:themeColor="text1"/>
        </w:rPr>
        <w:t>Closing</w:t>
      </w:r>
      <w:r w:rsidRPr="00FD40B8">
        <w:rPr>
          <w:color w:val="131727" w:themeColor="text1"/>
          <w:spacing w:val="40"/>
        </w:rPr>
        <w:t xml:space="preserve"> </w:t>
      </w:r>
      <w:r w:rsidRPr="00FD40B8">
        <w:rPr>
          <w:color w:val="131727" w:themeColor="text1"/>
        </w:rPr>
        <w:t>the</w:t>
      </w:r>
      <w:r w:rsidRPr="00FD40B8">
        <w:rPr>
          <w:color w:val="131727" w:themeColor="text1"/>
          <w:spacing w:val="40"/>
        </w:rPr>
        <w:t xml:space="preserve"> </w:t>
      </w:r>
      <w:r w:rsidRPr="00FD40B8">
        <w:rPr>
          <w:color w:val="131727" w:themeColor="text1"/>
        </w:rPr>
        <w:t>Gap</w:t>
      </w:r>
      <w:r w:rsidRPr="00FD40B8">
        <w:rPr>
          <w:color w:val="131727" w:themeColor="text1"/>
          <w:spacing w:val="40"/>
        </w:rPr>
        <w:t xml:space="preserve"> </w:t>
      </w:r>
      <w:r w:rsidRPr="00FD40B8">
        <w:rPr>
          <w:color w:val="131727" w:themeColor="text1"/>
        </w:rPr>
        <w:t>indicators</w:t>
      </w:r>
    </w:p>
    <w:p w14:paraId="7965C2D0" w14:textId="77777777" w:rsidR="00811887" w:rsidRPr="00FD40B8" w:rsidRDefault="00811887" w:rsidP="00811887">
      <w:pPr>
        <w:spacing w:before="85"/>
        <w:ind w:left="136"/>
        <w:rPr>
          <w:rFonts w:ascii="Book Antiqua"/>
          <w:b/>
          <w:color w:val="131727" w:themeColor="text1"/>
          <w:sz w:val="21"/>
        </w:rPr>
      </w:pPr>
      <w:r w:rsidRPr="00FD40B8">
        <w:rPr>
          <w:rFonts w:ascii="Book Antiqua"/>
          <w:b/>
          <w:color w:val="131727" w:themeColor="text1"/>
          <w:sz w:val="21"/>
        </w:rPr>
        <w:t>Table</w:t>
      </w:r>
      <w:r w:rsidRPr="00FD40B8">
        <w:rPr>
          <w:rFonts w:ascii="Book Antiqua"/>
          <w:b/>
          <w:color w:val="131727" w:themeColor="text1"/>
          <w:spacing w:val="-7"/>
          <w:sz w:val="21"/>
        </w:rPr>
        <w:t xml:space="preserve"> </w:t>
      </w:r>
      <w:r w:rsidRPr="00FD40B8">
        <w:rPr>
          <w:rFonts w:ascii="Book Antiqua"/>
          <w:b/>
          <w:color w:val="131727" w:themeColor="text1"/>
          <w:sz w:val="21"/>
        </w:rPr>
        <w:t>C1:</w:t>
      </w:r>
      <w:r w:rsidRPr="00FD40B8">
        <w:rPr>
          <w:rFonts w:ascii="Book Antiqua"/>
          <w:b/>
          <w:color w:val="131727" w:themeColor="text1"/>
          <w:spacing w:val="-9"/>
          <w:sz w:val="21"/>
        </w:rPr>
        <w:t xml:space="preserve"> </w:t>
      </w:r>
      <w:r w:rsidRPr="00FD40B8">
        <w:rPr>
          <w:rFonts w:ascii="Book Antiqua"/>
          <w:b/>
          <w:color w:val="131727" w:themeColor="text1"/>
          <w:sz w:val="21"/>
        </w:rPr>
        <w:t>Summary</w:t>
      </w:r>
      <w:r w:rsidRPr="00FD40B8">
        <w:rPr>
          <w:rFonts w:ascii="Book Antiqua"/>
          <w:b/>
          <w:color w:val="131727" w:themeColor="text1"/>
          <w:spacing w:val="-7"/>
          <w:sz w:val="21"/>
        </w:rPr>
        <w:t xml:space="preserve"> </w:t>
      </w:r>
      <w:r w:rsidRPr="00FD40B8">
        <w:rPr>
          <w:rFonts w:ascii="Book Antiqua"/>
          <w:b/>
          <w:color w:val="131727" w:themeColor="text1"/>
          <w:sz w:val="21"/>
        </w:rPr>
        <w:t>of</w:t>
      </w:r>
      <w:r w:rsidRPr="00FD40B8">
        <w:rPr>
          <w:rFonts w:ascii="Book Antiqua"/>
          <w:b/>
          <w:color w:val="131727" w:themeColor="text1"/>
          <w:spacing w:val="-4"/>
          <w:sz w:val="21"/>
        </w:rPr>
        <w:t xml:space="preserve"> </w:t>
      </w:r>
      <w:r w:rsidRPr="00FD40B8">
        <w:rPr>
          <w:rFonts w:ascii="Book Antiqua"/>
          <w:b/>
          <w:color w:val="131727" w:themeColor="text1"/>
          <w:sz w:val="21"/>
        </w:rPr>
        <w:t>reporting</w:t>
      </w:r>
      <w:r w:rsidRPr="00FD40B8">
        <w:rPr>
          <w:rFonts w:ascii="Book Antiqua"/>
          <w:b/>
          <w:color w:val="131727" w:themeColor="text1"/>
          <w:spacing w:val="-3"/>
          <w:sz w:val="21"/>
        </w:rPr>
        <w:t xml:space="preserve"> </w:t>
      </w:r>
      <w:r w:rsidRPr="00FD40B8">
        <w:rPr>
          <w:rFonts w:ascii="Book Antiqua"/>
          <w:b/>
          <w:color w:val="131727" w:themeColor="text1"/>
          <w:sz w:val="21"/>
        </w:rPr>
        <w:t>requirements,</w:t>
      </w:r>
      <w:r w:rsidRPr="00FD40B8">
        <w:rPr>
          <w:rFonts w:ascii="Book Antiqua"/>
          <w:b/>
          <w:color w:val="131727" w:themeColor="text1"/>
          <w:spacing w:val="-4"/>
          <w:sz w:val="21"/>
        </w:rPr>
        <w:t xml:space="preserve"> </w:t>
      </w:r>
      <w:r w:rsidRPr="00FD40B8">
        <w:rPr>
          <w:rFonts w:ascii="Book Antiqua"/>
          <w:b/>
          <w:color w:val="131727" w:themeColor="text1"/>
          <w:sz w:val="21"/>
        </w:rPr>
        <w:t>data</w:t>
      </w:r>
      <w:r w:rsidRPr="00FD40B8">
        <w:rPr>
          <w:rFonts w:ascii="Book Antiqua"/>
          <w:b/>
          <w:color w:val="131727" w:themeColor="text1"/>
          <w:spacing w:val="-5"/>
          <w:sz w:val="21"/>
        </w:rPr>
        <w:t xml:space="preserve"> </w:t>
      </w:r>
      <w:r w:rsidRPr="00FD40B8">
        <w:rPr>
          <w:rFonts w:ascii="Book Antiqua"/>
          <w:b/>
          <w:color w:val="131727" w:themeColor="text1"/>
          <w:sz w:val="21"/>
        </w:rPr>
        <w:t>source</w:t>
      </w:r>
      <w:r w:rsidRPr="00FD40B8">
        <w:rPr>
          <w:rFonts w:ascii="Book Antiqua"/>
          <w:b/>
          <w:color w:val="131727" w:themeColor="text1"/>
          <w:spacing w:val="-8"/>
          <w:sz w:val="21"/>
        </w:rPr>
        <w:t xml:space="preserve"> </w:t>
      </w:r>
      <w:r w:rsidRPr="00FD40B8">
        <w:rPr>
          <w:rFonts w:ascii="Book Antiqua"/>
          <w:b/>
          <w:color w:val="131727" w:themeColor="text1"/>
          <w:sz w:val="21"/>
        </w:rPr>
        <w:t>and</w:t>
      </w:r>
      <w:r w:rsidRPr="00FD40B8">
        <w:rPr>
          <w:rFonts w:ascii="Book Antiqua"/>
          <w:b/>
          <w:color w:val="131727" w:themeColor="text1"/>
          <w:spacing w:val="-8"/>
          <w:sz w:val="21"/>
        </w:rPr>
        <w:t xml:space="preserve"> </w:t>
      </w:r>
      <w:r w:rsidRPr="00FD40B8">
        <w:rPr>
          <w:rFonts w:ascii="Book Antiqua"/>
          <w:b/>
          <w:color w:val="131727" w:themeColor="text1"/>
          <w:spacing w:val="-2"/>
          <w:sz w:val="21"/>
        </w:rPr>
        <w:t>limitations</w:t>
      </w:r>
    </w:p>
    <w:p w14:paraId="4FEF9069" w14:textId="77777777" w:rsidR="00811887" w:rsidRPr="00FD40B8" w:rsidRDefault="00811887" w:rsidP="00811887">
      <w:pPr>
        <w:pStyle w:val="BodyText"/>
        <w:spacing w:before="4"/>
        <w:rPr>
          <w:rFonts w:ascii="Book Antiqua"/>
          <w:b/>
          <w:color w:val="131727" w:themeColor="text1"/>
          <w:sz w:val="5"/>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0A701242" w14:textId="77777777" w:rsidTr="00486E22">
        <w:trPr>
          <w:trHeight w:val="522"/>
        </w:trPr>
        <w:tc>
          <w:tcPr>
            <w:tcW w:w="1585" w:type="dxa"/>
            <w:shd w:val="clear" w:color="auto" w:fill="91A9A2"/>
          </w:tcPr>
          <w:p w14:paraId="3483E6E2"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433D44AB"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2080226C"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6EB55BF4"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3E958DDC"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61B93B54" w14:textId="77777777" w:rsidTr="00486E22">
        <w:trPr>
          <w:trHeight w:val="6722"/>
        </w:trPr>
        <w:tc>
          <w:tcPr>
            <w:tcW w:w="1585" w:type="dxa"/>
            <w:shd w:val="clear" w:color="auto" w:fill="EEF1F4"/>
          </w:tcPr>
          <w:p w14:paraId="08791F95" w14:textId="77777777" w:rsidR="00811887" w:rsidRPr="00FD40B8" w:rsidRDefault="00811887" w:rsidP="00486E22">
            <w:pPr>
              <w:pStyle w:val="TableParagraph"/>
              <w:spacing w:before="25" w:line="268" w:lineRule="auto"/>
              <w:ind w:left="110" w:right="154"/>
              <w:rPr>
                <w:color w:val="131727" w:themeColor="text1"/>
                <w:sz w:val="20"/>
              </w:rPr>
            </w:pPr>
            <w:r w:rsidRPr="00FD40B8">
              <w:rPr>
                <w:color w:val="131727" w:themeColor="text1"/>
                <w:w w:val="110"/>
                <w:sz w:val="20"/>
              </w:rPr>
              <w:t xml:space="preserve">Closing the </w:t>
            </w:r>
            <w:r w:rsidRPr="00FD40B8">
              <w:rPr>
                <w:color w:val="131727" w:themeColor="text1"/>
                <w:spacing w:val="-4"/>
                <w:w w:val="110"/>
                <w:sz w:val="20"/>
              </w:rPr>
              <w:t xml:space="preserve">Gap </w:t>
            </w:r>
            <w:r w:rsidRPr="00FD40B8">
              <w:rPr>
                <w:color w:val="131727" w:themeColor="text1"/>
                <w:spacing w:val="-2"/>
                <w:w w:val="110"/>
                <w:sz w:val="20"/>
              </w:rPr>
              <w:t>Agreement (The</w:t>
            </w:r>
            <w:r w:rsidRPr="00FD40B8">
              <w:rPr>
                <w:color w:val="131727" w:themeColor="text1"/>
                <w:spacing w:val="-11"/>
                <w:w w:val="110"/>
                <w:sz w:val="20"/>
              </w:rPr>
              <w:t xml:space="preserve"> </w:t>
            </w:r>
            <w:r w:rsidRPr="00FD40B8">
              <w:rPr>
                <w:color w:val="131727" w:themeColor="text1"/>
                <w:spacing w:val="-2"/>
                <w:w w:val="110"/>
                <w:sz w:val="20"/>
              </w:rPr>
              <w:t>National Agreement)</w:t>
            </w:r>
          </w:p>
        </w:tc>
        <w:tc>
          <w:tcPr>
            <w:tcW w:w="2382" w:type="dxa"/>
            <w:shd w:val="clear" w:color="auto" w:fill="EEF1F4"/>
          </w:tcPr>
          <w:p w14:paraId="29BD540C" w14:textId="77777777" w:rsidR="00811887" w:rsidRPr="00FD40B8" w:rsidRDefault="00811887" w:rsidP="00486E22">
            <w:pPr>
              <w:pStyle w:val="TableParagraph"/>
              <w:spacing w:before="20" w:line="261" w:lineRule="auto"/>
              <w:ind w:left="109" w:right="122"/>
              <w:rPr>
                <w:color w:val="131727" w:themeColor="text1"/>
                <w:sz w:val="18"/>
              </w:rPr>
            </w:pPr>
            <w:r w:rsidRPr="00FD40B8">
              <w:rPr>
                <w:color w:val="131727" w:themeColor="text1"/>
                <w:w w:val="110"/>
                <w:sz w:val="18"/>
              </w:rPr>
              <w:t>The</w:t>
            </w:r>
            <w:r w:rsidRPr="00FD40B8">
              <w:rPr>
                <w:color w:val="131727" w:themeColor="text1"/>
                <w:spacing w:val="-12"/>
                <w:w w:val="110"/>
                <w:sz w:val="18"/>
              </w:rPr>
              <w:t xml:space="preserve"> </w:t>
            </w:r>
            <w:r w:rsidRPr="00FD40B8">
              <w:rPr>
                <w:color w:val="131727" w:themeColor="text1"/>
                <w:w w:val="110"/>
                <w:sz w:val="18"/>
              </w:rPr>
              <w:t>National</w:t>
            </w:r>
            <w:r w:rsidRPr="00FD40B8">
              <w:rPr>
                <w:color w:val="131727" w:themeColor="text1"/>
                <w:spacing w:val="-11"/>
                <w:w w:val="110"/>
                <w:sz w:val="18"/>
              </w:rPr>
              <w:t xml:space="preserve"> </w:t>
            </w:r>
            <w:r w:rsidRPr="00FD40B8">
              <w:rPr>
                <w:color w:val="131727" w:themeColor="text1"/>
                <w:w w:val="110"/>
                <w:sz w:val="18"/>
              </w:rPr>
              <w:t>Agreement</w:t>
            </w:r>
            <w:r w:rsidRPr="00FD40B8">
              <w:rPr>
                <w:color w:val="131727" w:themeColor="text1"/>
                <w:spacing w:val="-11"/>
                <w:w w:val="110"/>
                <w:sz w:val="18"/>
              </w:rPr>
              <w:t xml:space="preserve"> </w:t>
            </w:r>
            <w:r w:rsidRPr="00FD40B8">
              <w:rPr>
                <w:color w:val="131727" w:themeColor="text1"/>
                <w:w w:val="110"/>
                <w:sz w:val="18"/>
              </w:rPr>
              <w:t>is a partnership between Australian</w:t>
            </w:r>
            <w:r w:rsidRPr="00FD40B8">
              <w:rPr>
                <w:color w:val="131727" w:themeColor="text1"/>
                <w:spacing w:val="-4"/>
                <w:w w:val="110"/>
                <w:sz w:val="18"/>
              </w:rPr>
              <w:t xml:space="preserve"> </w:t>
            </w:r>
            <w:r w:rsidRPr="00FD40B8">
              <w:rPr>
                <w:color w:val="131727" w:themeColor="text1"/>
                <w:w w:val="110"/>
                <w:sz w:val="18"/>
              </w:rPr>
              <w:t>governments and Aboriginal and Torres Strait Islander peak organisations to reduce inequality experienced by Aboriginal and Torres Strait Islander people,</w:t>
            </w:r>
          </w:p>
          <w:p w14:paraId="5F4E1DAF" w14:textId="77777777" w:rsidR="00811887" w:rsidRPr="00FD40B8" w:rsidRDefault="00811887" w:rsidP="00486E22">
            <w:pPr>
              <w:pStyle w:val="TableParagraph"/>
              <w:spacing w:before="28" w:line="240" w:lineRule="auto"/>
              <w:rPr>
                <w:rFonts w:ascii="Book Antiqua"/>
                <w:b/>
                <w:color w:val="131727" w:themeColor="text1"/>
                <w:sz w:val="18"/>
              </w:rPr>
            </w:pPr>
          </w:p>
          <w:p w14:paraId="52D5ADCC" w14:textId="77777777" w:rsidR="00811887" w:rsidRPr="00FD40B8" w:rsidRDefault="00811887" w:rsidP="00486E22">
            <w:pPr>
              <w:pStyle w:val="TableParagraph"/>
              <w:spacing w:before="1" w:line="261" w:lineRule="auto"/>
              <w:ind w:left="109" w:right="98"/>
              <w:rPr>
                <w:color w:val="131727" w:themeColor="text1"/>
                <w:sz w:val="18"/>
              </w:rPr>
            </w:pPr>
            <w:r w:rsidRPr="00FD40B8">
              <w:rPr>
                <w:color w:val="131727" w:themeColor="text1"/>
                <w:w w:val="110"/>
                <w:sz w:val="18"/>
              </w:rPr>
              <w:t>The Productivity Commission is responsible for a ‘Closing the Gap Dashboard’</w:t>
            </w:r>
            <w:r w:rsidRPr="00FD40B8">
              <w:rPr>
                <w:color w:val="131727" w:themeColor="text1"/>
                <w:spacing w:val="-9"/>
                <w:w w:val="110"/>
                <w:sz w:val="18"/>
              </w:rPr>
              <w:t xml:space="preserve"> </w:t>
            </w:r>
            <w:r w:rsidRPr="00FD40B8">
              <w:rPr>
                <w:color w:val="131727" w:themeColor="text1"/>
                <w:w w:val="110"/>
                <w:sz w:val="18"/>
              </w:rPr>
              <w:t>and</w:t>
            </w:r>
            <w:r w:rsidRPr="00FD40B8">
              <w:rPr>
                <w:color w:val="131727" w:themeColor="text1"/>
                <w:spacing w:val="-10"/>
                <w:w w:val="110"/>
                <w:sz w:val="18"/>
              </w:rPr>
              <w:t xml:space="preserve"> </w:t>
            </w:r>
            <w:r w:rsidRPr="00FD40B8">
              <w:rPr>
                <w:color w:val="131727" w:themeColor="text1"/>
                <w:w w:val="110"/>
                <w:sz w:val="18"/>
              </w:rPr>
              <w:t>publishing an annual data</w:t>
            </w:r>
            <w:r w:rsidRPr="00FD40B8">
              <w:rPr>
                <w:color w:val="131727" w:themeColor="text1"/>
                <w:spacing w:val="40"/>
                <w:w w:val="110"/>
                <w:sz w:val="18"/>
              </w:rPr>
              <w:t xml:space="preserve"> </w:t>
            </w:r>
            <w:r w:rsidRPr="00FD40B8">
              <w:rPr>
                <w:color w:val="131727" w:themeColor="text1"/>
                <w:w w:val="110"/>
                <w:sz w:val="18"/>
              </w:rPr>
              <w:t>compilation report of progress against Closing the Gap targets and associated indicators.</w:t>
            </w:r>
          </w:p>
        </w:tc>
        <w:tc>
          <w:tcPr>
            <w:tcW w:w="5816" w:type="dxa"/>
            <w:shd w:val="clear" w:color="auto" w:fill="EEF1F4"/>
          </w:tcPr>
          <w:p w14:paraId="6A79422C" w14:textId="77777777" w:rsidR="00811887" w:rsidRPr="00FD40B8" w:rsidRDefault="00811887" w:rsidP="00486E22">
            <w:pPr>
              <w:pStyle w:val="TableParagraph"/>
              <w:spacing w:before="20" w:line="261" w:lineRule="auto"/>
              <w:ind w:left="108"/>
              <w:rPr>
                <w:color w:val="131727" w:themeColor="text1"/>
                <w:sz w:val="18"/>
              </w:rPr>
            </w:pPr>
            <w:r w:rsidRPr="00FD40B8">
              <w:rPr>
                <w:color w:val="131727" w:themeColor="text1"/>
                <w:w w:val="110"/>
                <w:sz w:val="18"/>
              </w:rPr>
              <w:t>For</w:t>
            </w:r>
            <w:r w:rsidRPr="00FD40B8">
              <w:rPr>
                <w:color w:val="131727" w:themeColor="text1"/>
                <w:spacing w:val="-2"/>
                <w:w w:val="110"/>
                <w:sz w:val="18"/>
              </w:rPr>
              <w:t xml:space="preserve"> </w:t>
            </w:r>
            <w:r w:rsidRPr="00FD40B8">
              <w:rPr>
                <w:color w:val="131727" w:themeColor="text1"/>
                <w:w w:val="110"/>
                <w:sz w:val="18"/>
              </w:rPr>
              <w:t>housing,</w:t>
            </w:r>
            <w:r w:rsidRPr="00FD40B8">
              <w:rPr>
                <w:color w:val="131727" w:themeColor="text1"/>
                <w:spacing w:val="-7"/>
                <w:w w:val="110"/>
                <w:sz w:val="18"/>
              </w:rPr>
              <w:t xml:space="preserve"> </w:t>
            </w:r>
            <w:r w:rsidRPr="00FD40B8">
              <w:rPr>
                <w:color w:val="131727" w:themeColor="text1"/>
                <w:w w:val="110"/>
                <w:sz w:val="18"/>
              </w:rPr>
              <w:t>data</w:t>
            </w:r>
            <w:r w:rsidRPr="00FD40B8">
              <w:rPr>
                <w:color w:val="131727" w:themeColor="text1"/>
                <w:spacing w:val="-3"/>
                <w:w w:val="110"/>
                <w:sz w:val="18"/>
              </w:rPr>
              <w:t xml:space="preserve"> </w:t>
            </w:r>
            <w:r w:rsidRPr="00FD40B8">
              <w:rPr>
                <w:color w:val="131727" w:themeColor="text1"/>
                <w:w w:val="110"/>
                <w:sz w:val="18"/>
              </w:rPr>
              <w:t>is</w:t>
            </w:r>
            <w:r w:rsidRPr="00FD40B8">
              <w:rPr>
                <w:color w:val="131727" w:themeColor="text1"/>
                <w:spacing w:val="-1"/>
                <w:w w:val="110"/>
                <w:sz w:val="18"/>
              </w:rPr>
              <w:t xml:space="preserve"> </w:t>
            </w:r>
            <w:r w:rsidRPr="00FD40B8">
              <w:rPr>
                <w:color w:val="131727" w:themeColor="text1"/>
                <w:w w:val="110"/>
                <w:sz w:val="18"/>
              </w:rPr>
              <w:t>collected</w:t>
            </w:r>
            <w:r w:rsidRPr="00FD40B8">
              <w:rPr>
                <w:color w:val="131727" w:themeColor="text1"/>
                <w:spacing w:val="-1"/>
                <w:w w:val="110"/>
                <w:sz w:val="18"/>
              </w:rPr>
              <w:t xml:space="preserve"> </w:t>
            </w:r>
            <w:r w:rsidRPr="00FD40B8">
              <w:rPr>
                <w:color w:val="131727" w:themeColor="text1"/>
                <w:w w:val="110"/>
                <w:sz w:val="18"/>
              </w:rPr>
              <w:t>specifically</w:t>
            </w:r>
            <w:r w:rsidRPr="00FD40B8">
              <w:rPr>
                <w:color w:val="131727" w:themeColor="text1"/>
                <w:spacing w:val="-4"/>
                <w:w w:val="110"/>
                <w:sz w:val="18"/>
              </w:rPr>
              <w:t xml:space="preserve"> </w:t>
            </w:r>
            <w:r w:rsidRPr="00FD40B8">
              <w:rPr>
                <w:color w:val="131727" w:themeColor="text1"/>
                <w:w w:val="110"/>
                <w:sz w:val="18"/>
              </w:rPr>
              <w:t>on</w:t>
            </w:r>
            <w:r w:rsidRPr="00FD40B8">
              <w:rPr>
                <w:color w:val="131727" w:themeColor="text1"/>
                <w:spacing w:val="-8"/>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Closing</w:t>
            </w:r>
            <w:r w:rsidRPr="00FD40B8">
              <w:rPr>
                <w:color w:val="131727" w:themeColor="text1"/>
                <w:spacing w:val="-2"/>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Gap socioeconomic outcome area 9:</w:t>
            </w:r>
          </w:p>
          <w:p w14:paraId="48EC94BC" w14:textId="77777777" w:rsidR="00811887" w:rsidRPr="00FD40B8" w:rsidRDefault="00811887" w:rsidP="00486E22">
            <w:pPr>
              <w:pStyle w:val="TableParagraph"/>
              <w:spacing w:before="15" w:line="240" w:lineRule="auto"/>
              <w:rPr>
                <w:rFonts w:ascii="Book Antiqua"/>
                <w:b/>
                <w:color w:val="131727" w:themeColor="text1"/>
                <w:sz w:val="18"/>
              </w:rPr>
            </w:pPr>
          </w:p>
          <w:p w14:paraId="3712C8B7" w14:textId="77777777" w:rsidR="00811887" w:rsidRPr="00FD40B8" w:rsidRDefault="00811887" w:rsidP="00811887">
            <w:pPr>
              <w:pStyle w:val="TableParagraph"/>
              <w:numPr>
                <w:ilvl w:val="0"/>
                <w:numId w:val="43"/>
              </w:numPr>
              <w:tabs>
                <w:tab w:val="left" w:pos="829"/>
              </w:tabs>
              <w:spacing w:line="261" w:lineRule="auto"/>
              <w:ind w:right="439"/>
              <w:rPr>
                <w:color w:val="131727" w:themeColor="text1"/>
                <w:sz w:val="18"/>
              </w:rPr>
            </w:pPr>
            <w:r w:rsidRPr="00FD40B8">
              <w:rPr>
                <w:color w:val="131727" w:themeColor="text1"/>
                <w:w w:val="110"/>
                <w:sz w:val="18"/>
              </w:rPr>
              <w:t>Aboriginal and Torres Strait Islander people secure appropriate,</w:t>
            </w:r>
            <w:r w:rsidRPr="00FD40B8">
              <w:rPr>
                <w:color w:val="131727" w:themeColor="text1"/>
                <w:spacing w:val="-10"/>
                <w:w w:val="110"/>
                <w:sz w:val="18"/>
              </w:rPr>
              <w:t xml:space="preserve"> </w:t>
            </w:r>
            <w:r w:rsidRPr="00FD40B8">
              <w:rPr>
                <w:color w:val="131727" w:themeColor="text1"/>
                <w:w w:val="110"/>
                <w:sz w:val="18"/>
              </w:rPr>
              <w:t>affordable</w:t>
            </w:r>
            <w:r w:rsidRPr="00FD40B8">
              <w:rPr>
                <w:color w:val="131727" w:themeColor="text1"/>
                <w:spacing w:val="-11"/>
                <w:w w:val="110"/>
                <w:sz w:val="18"/>
              </w:rPr>
              <w:t xml:space="preserve"> </w:t>
            </w:r>
            <w:r w:rsidRPr="00FD40B8">
              <w:rPr>
                <w:color w:val="131727" w:themeColor="text1"/>
                <w:w w:val="110"/>
                <w:sz w:val="18"/>
              </w:rPr>
              <w:t>housing</w:t>
            </w:r>
            <w:r w:rsidRPr="00FD40B8">
              <w:rPr>
                <w:color w:val="131727" w:themeColor="text1"/>
                <w:spacing w:val="-7"/>
                <w:w w:val="110"/>
                <w:sz w:val="18"/>
              </w:rPr>
              <w:t xml:space="preserve"> </w:t>
            </w:r>
            <w:r w:rsidRPr="00FD40B8">
              <w:rPr>
                <w:color w:val="131727" w:themeColor="text1"/>
                <w:w w:val="110"/>
                <w:sz w:val="18"/>
              </w:rPr>
              <w:t>that</w:t>
            </w:r>
            <w:r w:rsidRPr="00FD40B8">
              <w:rPr>
                <w:color w:val="131727" w:themeColor="text1"/>
                <w:spacing w:val="-11"/>
                <w:w w:val="110"/>
                <w:sz w:val="18"/>
              </w:rPr>
              <w:t xml:space="preserve"> </w:t>
            </w:r>
            <w:r w:rsidRPr="00FD40B8">
              <w:rPr>
                <w:color w:val="131727" w:themeColor="text1"/>
                <w:w w:val="110"/>
                <w:sz w:val="18"/>
              </w:rPr>
              <w:t>is</w:t>
            </w:r>
            <w:r w:rsidRPr="00FD40B8">
              <w:rPr>
                <w:color w:val="131727" w:themeColor="text1"/>
                <w:spacing w:val="-11"/>
                <w:w w:val="110"/>
                <w:sz w:val="18"/>
              </w:rPr>
              <w:t xml:space="preserve"> </w:t>
            </w:r>
            <w:r w:rsidRPr="00FD40B8">
              <w:rPr>
                <w:color w:val="131727" w:themeColor="text1"/>
                <w:w w:val="110"/>
                <w:sz w:val="18"/>
              </w:rPr>
              <w:t>aligned</w:t>
            </w:r>
            <w:r w:rsidRPr="00FD40B8">
              <w:rPr>
                <w:color w:val="131727" w:themeColor="text1"/>
                <w:spacing w:val="-10"/>
                <w:w w:val="110"/>
                <w:sz w:val="18"/>
              </w:rPr>
              <w:t xml:space="preserve"> </w:t>
            </w:r>
            <w:r w:rsidRPr="00FD40B8">
              <w:rPr>
                <w:color w:val="131727" w:themeColor="text1"/>
                <w:w w:val="110"/>
                <w:sz w:val="18"/>
              </w:rPr>
              <w:t>with</w:t>
            </w:r>
            <w:r w:rsidRPr="00FD40B8">
              <w:rPr>
                <w:color w:val="131727" w:themeColor="text1"/>
                <w:spacing w:val="-12"/>
                <w:w w:val="110"/>
                <w:sz w:val="18"/>
              </w:rPr>
              <w:t xml:space="preserve"> </w:t>
            </w:r>
            <w:r w:rsidRPr="00FD40B8">
              <w:rPr>
                <w:color w:val="131727" w:themeColor="text1"/>
                <w:w w:val="110"/>
                <w:sz w:val="18"/>
              </w:rPr>
              <w:t>their priorities and need.</w:t>
            </w:r>
          </w:p>
          <w:p w14:paraId="66AAD4D8" w14:textId="77777777" w:rsidR="00811887" w:rsidRPr="00FD40B8" w:rsidRDefault="00811887" w:rsidP="00486E22">
            <w:pPr>
              <w:pStyle w:val="TableParagraph"/>
              <w:spacing w:before="25" w:line="240" w:lineRule="auto"/>
              <w:rPr>
                <w:rFonts w:ascii="Book Antiqua"/>
                <w:b/>
                <w:color w:val="131727" w:themeColor="text1"/>
                <w:sz w:val="18"/>
              </w:rPr>
            </w:pPr>
          </w:p>
          <w:p w14:paraId="42B43D6F" w14:textId="77777777" w:rsidR="00811887" w:rsidRPr="00FD40B8" w:rsidRDefault="00811887" w:rsidP="00486E22">
            <w:pPr>
              <w:pStyle w:val="TableParagraph"/>
              <w:spacing w:line="240" w:lineRule="auto"/>
              <w:ind w:left="108"/>
              <w:rPr>
                <w:color w:val="131727" w:themeColor="text1"/>
                <w:sz w:val="18"/>
              </w:rPr>
            </w:pPr>
            <w:r w:rsidRPr="00FD40B8">
              <w:rPr>
                <w:color w:val="131727" w:themeColor="text1"/>
                <w:w w:val="110"/>
                <w:sz w:val="18"/>
              </w:rPr>
              <w:t>This</w:t>
            </w:r>
            <w:r w:rsidRPr="00FD40B8">
              <w:rPr>
                <w:color w:val="131727" w:themeColor="text1"/>
                <w:spacing w:val="2"/>
                <w:w w:val="110"/>
                <w:sz w:val="18"/>
              </w:rPr>
              <w:t xml:space="preserve"> </w:t>
            </w:r>
            <w:r w:rsidRPr="00FD40B8">
              <w:rPr>
                <w:color w:val="131727" w:themeColor="text1"/>
                <w:spacing w:val="-2"/>
                <w:w w:val="110"/>
                <w:sz w:val="18"/>
              </w:rPr>
              <w:t>includes:</w:t>
            </w:r>
          </w:p>
          <w:p w14:paraId="17A5926F" w14:textId="77777777" w:rsidR="00811887" w:rsidRPr="00FD40B8" w:rsidRDefault="00811887" w:rsidP="00811887">
            <w:pPr>
              <w:pStyle w:val="TableParagraph"/>
              <w:numPr>
                <w:ilvl w:val="0"/>
                <w:numId w:val="43"/>
              </w:numPr>
              <w:tabs>
                <w:tab w:val="left" w:pos="829"/>
              </w:tabs>
              <w:spacing w:before="11" w:line="261" w:lineRule="auto"/>
              <w:ind w:right="401"/>
              <w:rPr>
                <w:color w:val="131727" w:themeColor="text1"/>
                <w:sz w:val="18"/>
              </w:rPr>
            </w:pPr>
            <w:r w:rsidRPr="00FD40B8">
              <w:rPr>
                <w:color w:val="131727" w:themeColor="text1"/>
                <w:w w:val="110"/>
                <w:sz w:val="18"/>
              </w:rPr>
              <w:t>Target</w:t>
            </w:r>
            <w:r w:rsidRPr="00FD40B8">
              <w:rPr>
                <w:color w:val="131727" w:themeColor="text1"/>
                <w:spacing w:val="-8"/>
                <w:w w:val="110"/>
                <w:sz w:val="18"/>
              </w:rPr>
              <w:t xml:space="preserve"> </w:t>
            </w:r>
            <w:r w:rsidRPr="00FD40B8">
              <w:rPr>
                <w:color w:val="131727" w:themeColor="text1"/>
                <w:w w:val="110"/>
                <w:sz w:val="18"/>
              </w:rPr>
              <w:t>9A:</w:t>
            </w:r>
            <w:r w:rsidRPr="00FD40B8">
              <w:rPr>
                <w:color w:val="131727" w:themeColor="text1"/>
                <w:spacing w:val="-6"/>
                <w:w w:val="110"/>
                <w:sz w:val="18"/>
              </w:rPr>
              <w:t xml:space="preserve"> </w:t>
            </w:r>
            <w:r w:rsidRPr="00FD40B8">
              <w:rPr>
                <w:color w:val="131727" w:themeColor="text1"/>
                <w:w w:val="110"/>
                <w:sz w:val="18"/>
              </w:rPr>
              <w:t>By</w:t>
            </w:r>
            <w:r w:rsidRPr="00FD40B8">
              <w:rPr>
                <w:color w:val="131727" w:themeColor="text1"/>
                <w:spacing w:val="-11"/>
                <w:w w:val="110"/>
                <w:sz w:val="18"/>
              </w:rPr>
              <w:t xml:space="preserve"> </w:t>
            </w:r>
            <w:r w:rsidRPr="00FD40B8">
              <w:rPr>
                <w:color w:val="131727" w:themeColor="text1"/>
                <w:w w:val="110"/>
                <w:sz w:val="18"/>
              </w:rPr>
              <w:t>2031,</w:t>
            </w:r>
            <w:r w:rsidRPr="00FD40B8">
              <w:rPr>
                <w:color w:val="131727" w:themeColor="text1"/>
                <w:spacing w:val="-10"/>
                <w:w w:val="110"/>
                <w:sz w:val="18"/>
              </w:rPr>
              <w:t xml:space="preserve"> </w:t>
            </w:r>
            <w:r w:rsidRPr="00FD40B8">
              <w:rPr>
                <w:color w:val="131727" w:themeColor="text1"/>
                <w:w w:val="110"/>
                <w:sz w:val="18"/>
              </w:rPr>
              <w:t>increase</w:t>
            </w:r>
            <w:r w:rsidRPr="00FD40B8">
              <w:rPr>
                <w:color w:val="131727" w:themeColor="text1"/>
                <w:spacing w:val="-5"/>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proportion</w:t>
            </w:r>
            <w:r w:rsidRPr="00FD40B8">
              <w:rPr>
                <w:color w:val="131727" w:themeColor="text1"/>
                <w:spacing w:val="-7"/>
                <w:w w:val="110"/>
                <w:sz w:val="18"/>
              </w:rPr>
              <w:t xml:space="preserve"> </w:t>
            </w:r>
            <w:r w:rsidRPr="00FD40B8">
              <w:rPr>
                <w:color w:val="131727" w:themeColor="text1"/>
                <w:w w:val="110"/>
                <w:sz w:val="18"/>
              </w:rPr>
              <w:t>of</w:t>
            </w:r>
            <w:r w:rsidRPr="00FD40B8">
              <w:rPr>
                <w:color w:val="131727" w:themeColor="text1"/>
                <w:spacing w:val="-11"/>
                <w:w w:val="110"/>
                <w:sz w:val="18"/>
              </w:rPr>
              <w:t xml:space="preserve"> </w:t>
            </w:r>
            <w:r w:rsidRPr="00FD40B8">
              <w:rPr>
                <w:color w:val="131727" w:themeColor="text1"/>
                <w:w w:val="110"/>
                <w:sz w:val="18"/>
              </w:rPr>
              <w:t>Aboriginal and Torres Strait Islander people living in appropriately sized (not overcrowded) housing to 88%, and</w:t>
            </w:r>
          </w:p>
          <w:p w14:paraId="45EF6E43" w14:textId="77777777" w:rsidR="00811887" w:rsidRPr="00FD40B8" w:rsidRDefault="00811887" w:rsidP="00811887">
            <w:pPr>
              <w:pStyle w:val="TableParagraph"/>
              <w:numPr>
                <w:ilvl w:val="0"/>
                <w:numId w:val="43"/>
              </w:numPr>
              <w:tabs>
                <w:tab w:val="left" w:pos="829"/>
              </w:tabs>
              <w:spacing w:line="261" w:lineRule="auto"/>
              <w:ind w:right="252"/>
              <w:rPr>
                <w:color w:val="131727" w:themeColor="text1"/>
                <w:sz w:val="18"/>
              </w:rPr>
            </w:pPr>
            <w:r w:rsidRPr="00FD40B8">
              <w:rPr>
                <w:color w:val="131727" w:themeColor="text1"/>
                <w:w w:val="110"/>
                <w:sz w:val="18"/>
              </w:rPr>
              <w:t>Target</w:t>
            </w:r>
            <w:r w:rsidRPr="00FD40B8">
              <w:rPr>
                <w:color w:val="131727" w:themeColor="text1"/>
                <w:spacing w:val="-7"/>
                <w:w w:val="110"/>
                <w:sz w:val="18"/>
              </w:rPr>
              <w:t xml:space="preserve"> </w:t>
            </w:r>
            <w:r w:rsidRPr="00FD40B8">
              <w:rPr>
                <w:color w:val="131727" w:themeColor="text1"/>
                <w:w w:val="110"/>
                <w:sz w:val="18"/>
              </w:rPr>
              <w:t>9B:</w:t>
            </w:r>
            <w:r w:rsidRPr="00FD40B8">
              <w:rPr>
                <w:color w:val="131727" w:themeColor="text1"/>
                <w:spacing w:val="-4"/>
                <w:w w:val="110"/>
                <w:sz w:val="18"/>
              </w:rPr>
              <w:t xml:space="preserve"> </w:t>
            </w:r>
            <w:r w:rsidRPr="00FD40B8">
              <w:rPr>
                <w:color w:val="131727" w:themeColor="text1"/>
                <w:w w:val="110"/>
                <w:sz w:val="18"/>
              </w:rPr>
              <w:t>By</w:t>
            </w:r>
            <w:r w:rsidRPr="00FD40B8">
              <w:rPr>
                <w:color w:val="131727" w:themeColor="text1"/>
                <w:spacing w:val="-9"/>
                <w:w w:val="110"/>
                <w:sz w:val="18"/>
              </w:rPr>
              <w:t xml:space="preserve"> </w:t>
            </w:r>
            <w:r w:rsidRPr="00FD40B8">
              <w:rPr>
                <w:color w:val="131727" w:themeColor="text1"/>
                <w:w w:val="110"/>
                <w:sz w:val="18"/>
              </w:rPr>
              <w:t>2031,</w:t>
            </w:r>
            <w:r w:rsidRPr="00FD40B8">
              <w:rPr>
                <w:color w:val="131727" w:themeColor="text1"/>
                <w:spacing w:val="-4"/>
                <w:w w:val="110"/>
                <w:sz w:val="18"/>
              </w:rPr>
              <w:t xml:space="preserve"> </w:t>
            </w:r>
            <w:r w:rsidRPr="00FD40B8">
              <w:rPr>
                <w:color w:val="131727" w:themeColor="text1"/>
                <w:w w:val="110"/>
                <w:sz w:val="18"/>
              </w:rPr>
              <w:t>all</w:t>
            </w:r>
            <w:r w:rsidRPr="00FD40B8">
              <w:rPr>
                <w:color w:val="131727" w:themeColor="text1"/>
                <w:spacing w:val="-6"/>
                <w:w w:val="110"/>
                <w:sz w:val="18"/>
              </w:rPr>
              <w:t xml:space="preserve"> </w:t>
            </w:r>
            <w:r w:rsidRPr="00FD40B8">
              <w:rPr>
                <w:color w:val="131727" w:themeColor="text1"/>
                <w:w w:val="110"/>
                <w:sz w:val="18"/>
              </w:rPr>
              <w:t>Aboriginal</w:t>
            </w:r>
            <w:r w:rsidRPr="00FD40B8">
              <w:rPr>
                <w:color w:val="131727" w:themeColor="text1"/>
                <w:spacing w:val="-2"/>
                <w:w w:val="110"/>
                <w:sz w:val="18"/>
              </w:rPr>
              <w:t xml:space="preserve"> </w:t>
            </w:r>
            <w:r w:rsidRPr="00FD40B8">
              <w:rPr>
                <w:color w:val="131727" w:themeColor="text1"/>
                <w:w w:val="110"/>
                <w:sz w:val="18"/>
              </w:rPr>
              <w:t>and</w:t>
            </w:r>
            <w:r w:rsidRPr="00FD40B8">
              <w:rPr>
                <w:color w:val="131727" w:themeColor="text1"/>
                <w:spacing w:val="-6"/>
                <w:w w:val="110"/>
                <w:sz w:val="18"/>
              </w:rPr>
              <w:t xml:space="preserve"> </w:t>
            </w:r>
            <w:r w:rsidRPr="00FD40B8">
              <w:rPr>
                <w:color w:val="131727" w:themeColor="text1"/>
                <w:w w:val="110"/>
                <w:sz w:val="18"/>
              </w:rPr>
              <w:t>Torres</w:t>
            </w:r>
            <w:r w:rsidRPr="00FD40B8">
              <w:rPr>
                <w:color w:val="131727" w:themeColor="text1"/>
                <w:spacing w:val="-7"/>
                <w:w w:val="110"/>
                <w:sz w:val="18"/>
              </w:rPr>
              <w:t xml:space="preserve"> </w:t>
            </w:r>
            <w:r w:rsidRPr="00FD40B8">
              <w:rPr>
                <w:color w:val="131727" w:themeColor="text1"/>
                <w:w w:val="110"/>
                <w:sz w:val="18"/>
              </w:rPr>
              <w:t>Strait</w:t>
            </w:r>
            <w:r w:rsidRPr="00FD40B8">
              <w:rPr>
                <w:color w:val="131727" w:themeColor="text1"/>
                <w:spacing w:val="-7"/>
                <w:w w:val="110"/>
                <w:sz w:val="18"/>
              </w:rPr>
              <w:t xml:space="preserve"> </w:t>
            </w:r>
            <w:r w:rsidRPr="00FD40B8">
              <w:rPr>
                <w:color w:val="131727" w:themeColor="text1"/>
                <w:w w:val="110"/>
                <w:sz w:val="18"/>
              </w:rPr>
              <w:t xml:space="preserve">Islander </w:t>
            </w:r>
            <w:r w:rsidRPr="00FD40B8">
              <w:rPr>
                <w:color w:val="131727" w:themeColor="text1"/>
                <w:spacing w:val="-2"/>
                <w:w w:val="110"/>
                <w:sz w:val="18"/>
              </w:rPr>
              <w:t>households:</w:t>
            </w:r>
          </w:p>
          <w:p w14:paraId="0D65D430" w14:textId="77777777" w:rsidR="00811887" w:rsidRPr="00FD40B8" w:rsidRDefault="00811887" w:rsidP="00811887">
            <w:pPr>
              <w:pStyle w:val="TableParagraph"/>
              <w:numPr>
                <w:ilvl w:val="1"/>
                <w:numId w:val="43"/>
              </w:numPr>
              <w:tabs>
                <w:tab w:val="left" w:pos="1549"/>
              </w:tabs>
              <w:spacing w:line="261" w:lineRule="auto"/>
              <w:ind w:right="265"/>
              <w:jc w:val="both"/>
              <w:rPr>
                <w:color w:val="131727" w:themeColor="text1"/>
                <w:sz w:val="18"/>
              </w:rPr>
            </w:pPr>
            <w:r w:rsidRPr="00FD40B8">
              <w:rPr>
                <w:color w:val="131727" w:themeColor="text1"/>
                <w:w w:val="110"/>
                <w:sz w:val="18"/>
              </w:rPr>
              <w:t>within</w:t>
            </w:r>
            <w:r w:rsidRPr="00FD40B8">
              <w:rPr>
                <w:color w:val="131727" w:themeColor="text1"/>
                <w:spacing w:val="-12"/>
                <w:w w:val="110"/>
                <w:sz w:val="18"/>
              </w:rPr>
              <w:t xml:space="preserve"> </w:t>
            </w:r>
            <w:r w:rsidRPr="00FD40B8">
              <w:rPr>
                <w:color w:val="131727" w:themeColor="text1"/>
                <w:w w:val="110"/>
                <w:sz w:val="18"/>
              </w:rPr>
              <w:t>discrete</w:t>
            </w:r>
            <w:r w:rsidRPr="00FD40B8">
              <w:rPr>
                <w:color w:val="131727" w:themeColor="text1"/>
                <w:spacing w:val="-10"/>
                <w:w w:val="110"/>
                <w:sz w:val="18"/>
              </w:rPr>
              <w:t xml:space="preserve"> </w:t>
            </w:r>
            <w:r w:rsidRPr="00FD40B8">
              <w:rPr>
                <w:color w:val="131727" w:themeColor="text1"/>
                <w:w w:val="110"/>
                <w:sz w:val="18"/>
              </w:rPr>
              <w:t>Aboriginal</w:t>
            </w:r>
            <w:r w:rsidRPr="00FD40B8">
              <w:rPr>
                <w:color w:val="131727" w:themeColor="text1"/>
                <w:spacing w:val="-6"/>
                <w:w w:val="110"/>
                <w:sz w:val="18"/>
              </w:rPr>
              <w:t xml:space="preserve"> </w:t>
            </w:r>
            <w:r w:rsidRPr="00FD40B8">
              <w:rPr>
                <w:color w:val="131727" w:themeColor="text1"/>
                <w:w w:val="110"/>
                <w:sz w:val="18"/>
              </w:rPr>
              <w:t>or</w:t>
            </w:r>
            <w:r w:rsidRPr="00FD40B8">
              <w:rPr>
                <w:color w:val="131727" w:themeColor="text1"/>
                <w:spacing w:val="-7"/>
                <w:w w:val="110"/>
                <w:sz w:val="18"/>
              </w:rPr>
              <w:t xml:space="preserve"> </w:t>
            </w:r>
            <w:r w:rsidRPr="00FD40B8">
              <w:rPr>
                <w:color w:val="131727" w:themeColor="text1"/>
                <w:w w:val="110"/>
                <w:sz w:val="18"/>
              </w:rPr>
              <w:t>Torres</w:t>
            </w:r>
            <w:r w:rsidRPr="00FD40B8">
              <w:rPr>
                <w:color w:val="131727" w:themeColor="text1"/>
                <w:spacing w:val="-10"/>
                <w:w w:val="110"/>
                <w:sz w:val="18"/>
              </w:rPr>
              <w:t xml:space="preserve"> </w:t>
            </w:r>
            <w:r w:rsidRPr="00FD40B8">
              <w:rPr>
                <w:color w:val="131727" w:themeColor="text1"/>
                <w:w w:val="110"/>
                <w:sz w:val="18"/>
              </w:rPr>
              <w:t>Strait</w:t>
            </w:r>
            <w:r w:rsidRPr="00FD40B8">
              <w:rPr>
                <w:color w:val="131727" w:themeColor="text1"/>
                <w:spacing w:val="-10"/>
                <w:w w:val="110"/>
                <w:sz w:val="18"/>
              </w:rPr>
              <w:t xml:space="preserve"> </w:t>
            </w:r>
            <w:r w:rsidRPr="00FD40B8">
              <w:rPr>
                <w:color w:val="131727" w:themeColor="text1"/>
                <w:w w:val="110"/>
                <w:sz w:val="18"/>
              </w:rPr>
              <w:t>Islander communities</w:t>
            </w:r>
            <w:r w:rsidRPr="00FD40B8">
              <w:rPr>
                <w:color w:val="131727" w:themeColor="text1"/>
                <w:spacing w:val="-2"/>
                <w:w w:val="110"/>
                <w:sz w:val="18"/>
              </w:rPr>
              <w:t xml:space="preserve"> </w:t>
            </w:r>
            <w:r w:rsidRPr="00FD40B8">
              <w:rPr>
                <w:color w:val="131727" w:themeColor="text1"/>
                <w:w w:val="110"/>
                <w:sz w:val="18"/>
              </w:rPr>
              <w:t>receive essential</w:t>
            </w:r>
            <w:r w:rsidRPr="00FD40B8">
              <w:rPr>
                <w:color w:val="131727" w:themeColor="text1"/>
                <w:spacing w:val="-1"/>
                <w:w w:val="110"/>
                <w:sz w:val="18"/>
              </w:rPr>
              <w:t xml:space="preserve"> </w:t>
            </w:r>
            <w:r w:rsidRPr="00FD40B8">
              <w:rPr>
                <w:color w:val="131727" w:themeColor="text1"/>
                <w:w w:val="110"/>
                <w:sz w:val="18"/>
              </w:rPr>
              <w:t>services</w:t>
            </w:r>
            <w:r w:rsidRPr="00FD40B8">
              <w:rPr>
                <w:color w:val="131727" w:themeColor="text1"/>
                <w:spacing w:val="-2"/>
                <w:w w:val="110"/>
                <w:sz w:val="18"/>
              </w:rPr>
              <w:t xml:space="preserve"> </w:t>
            </w:r>
            <w:r w:rsidRPr="00FD40B8">
              <w:rPr>
                <w:color w:val="131727" w:themeColor="text1"/>
                <w:w w:val="110"/>
                <w:sz w:val="18"/>
              </w:rPr>
              <w:t>that</w:t>
            </w:r>
            <w:r w:rsidRPr="00FD40B8">
              <w:rPr>
                <w:color w:val="131727" w:themeColor="text1"/>
                <w:spacing w:val="-2"/>
                <w:w w:val="110"/>
                <w:sz w:val="18"/>
              </w:rPr>
              <w:t xml:space="preserve"> </w:t>
            </w:r>
            <w:r w:rsidRPr="00FD40B8">
              <w:rPr>
                <w:color w:val="131727" w:themeColor="text1"/>
                <w:w w:val="110"/>
                <w:sz w:val="18"/>
              </w:rPr>
              <w:t>meet or exceed the relevant jurisdictional standard</w:t>
            </w:r>
          </w:p>
          <w:p w14:paraId="1689F2BB" w14:textId="77777777" w:rsidR="00811887" w:rsidRPr="00FD40B8" w:rsidRDefault="00811887" w:rsidP="00811887">
            <w:pPr>
              <w:pStyle w:val="TableParagraph"/>
              <w:numPr>
                <w:ilvl w:val="1"/>
                <w:numId w:val="43"/>
              </w:numPr>
              <w:tabs>
                <w:tab w:val="left" w:pos="1549"/>
              </w:tabs>
              <w:spacing w:line="261" w:lineRule="auto"/>
              <w:ind w:right="228"/>
              <w:rPr>
                <w:color w:val="131727" w:themeColor="text1"/>
                <w:sz w:val="18"/>
              </w:rPr>
            </w:pPr>
            <w:r w:rsidRPr="00FD40B8">
              <w:rPr>
                <w:color w:val="131727" w:themeColor="text1"/>
                <w:w w:val="110"/>
                <w:sz w:val="18"/>
              </w:rPr>
              <w:t>in</w:t>
            </w:r>
            <w:r w:rsidRPr="00FD40B8">
              <w:rPr>
                <w:color w:val="131727" w:themeColor="text1"/>
                <w:spacing w:val="-4"/>
                <w:w w:val="110"/>
                <w:sz w:val="18"/>
              </w:rPr>
              <w:t xml:space="preserve"> </w:t>
            </w:r>
            <w:r w:rsidRPr="00FD40B8">
              <w:rPr>
                <w:color w:val="131727" w:themeColor="text1"/>
                <w:w w:val="110"/>
                <w:sz w:val="18"/>
              </w:rPr>
              <w:t>or</w:t>
            </w:r>
            <w:r w:rsidRPr="00FD40B8">
              <w:rPr>
                <w:color w:val="131727" w:themeColor="text1"/>
                <w:spacing w:val="-2"/>
                <w:w w:val="110"/>
                <w:sz w:val="18"/>
              </w:rPr>
              <w:t xml:space="preserve"> </w:t>
            </w:r>
            <w:r w:rsidRPr="00FD40B8">
              <w:rPr>
                <w:color w:val="131727" w:themeColor="text1"/>
                <w:w w:val="110"/>
                <w:sz w:val="18"/>
              </w:rPr>
              <w:t>near</w:t>
            </w:r>
            <w:r w:rsidRPr="00FD40B8">
              <w:rPr>
                <w:color w:val="131727" w:themeColor="text1"/>
                <w:spacing w:val="-6"/>
                <w:w w:val="110"/>
                <w:sz w:val="18"/>
              </w:rPr>
              <w:t xml:space="preserve"> </w:t>
            </w:r>
            <w:r w:rsidRPr="00FD40B8">
              <w:rPr>
                <w:color w:val="131727" w:themeColor="text1"/>
                <w:w w:val="110"/>
                <w:sz w:val="18"/>
              </w:rPr>
              <w:t>to</w:t>
            </w:r>
            <w:r w:rsidRPr="00FD40B8">
              <w:rPr>
                <w:color w:val="131727" w:themeColor="text1"/>
                <w:spacing w:val="-4"/>
                <w:w w:val="110"/>
                <w:sz w:val="18"/>
              </w:rPr>
              <w:t xml:space="preserve"> </w:t>
            </w:r>
            <w:r w:rsidRPr="00FD40B8">
              <w:rPr>
                <w:color w:val="131727" w:themeColor="text1"/>
                <w:w w:val="110"/>
                <w:sz w:val="18"/>
              </w:rPr>
              <w:t>a</w:t>
            </w:r>
            <w:r w:rsidRPr="00FD40B8">
              <w:rPr>
                <w:color w:val="131727" w:themeColor="text1"/>
                <w:spacing w:val="-8"/>
                <w:w w:val="110"/>
                <w:sz w:val="18"/>
              </w:rPr>
              <w:t xml:space="preserve"> </w:t>
            </w:r>
            <w:r w:rsidRPr="00FD40B8">
              <w:rPr>
                <w:color w:val="131727" w:themeColor="text1"/>
                <w:w w:val="110"/>
                <w:sz w:val="18"/>
              </w:rPr>
              <w:t>town</w:t>
            </w:r>
            <w:r w:rsidRPr="00FD40B8">
              <w:rPr>
                <w:color w:val="131727" w:themeColor="text1"/>
                <w:spacing w:val="-9"/>
                <w:w w:val="110"/>
                <w:sz w:val="18"/>
              </w:rPr>
              <w:t xml:space="preserve"> </w:t>
            </w:r>
            <w:r w:rsidRPr="00FD40B8">
              <w:rPr>
                <w:color w:val="131727" w:themeColor="text1"/>
                <w:w w:val="110"/>
                <w:sz w:val="18"/>
              </w:rPr>
              <w:t>receive</w:t>
            </w:r>
            <w:r w:rsidRPr="00FD40B8">
              <w:rPr>
                <w:color w:val="131727" w:themeColor="text1"/>
                <w:spacing w:val="-7"/>
                <w:w w:val="110"/>
                <w:sz w:val="18"/>
              </w:rPr>
              <w:t xml:space="preserve"> </w:t>
            </w:r>
            <w:r w:rsidRPr="00FD40B8">
              <w:rPr>
                <w:color w:val="131727" w:themeColor="text1"/>
                <w:w w:val="110"/>
                <w:sz w:val="18"/>
              </w:rPr>
              <w:t>essential</w:t>
            </w:r>
            <w:r w:rsidRPr="00FD40B8">
              <w:rPr>
                <w:color w:val="131727" w:themeColor="text1"/>
                <w:spacing w:val="-5"/>
                <w:w w:val="110"/>
                <w:sz w:val="18"/>
              </w:rPr>
              <w:t xml:space="preserve"> </w:t>
            </w:r>
            <w:r w:rsidRPr="00FD40B8">
              <w:rPr>
                <w:color w:val="131727" w:themeColor="text1"/>
                <w:w w:val="110"/>
                <w:sz w:val="18"/>
              </w:rPr>
              <w:t>services</w:t>
            </w:r>
            <w:r w:rsidRPr="00FD40B8">
              <w:rPr>
                <w:color w:val="131727" w:themeColor="text1"/>
                <w:spacing w:val="-6"/>
                <w:w w:val="110"/>
                <w:sz w:val="18"/>
              </w:rPr>
              <w:t xml:space="preserve"> </w:t>
            </w:r>
            <w:r w:rsidRPr="00FD40B8">
              <w:rPr>
                <w:color w:val="131727" w:themeColor="text1"/>
                <w:w w:val="110"/>
                <w:sz w:val="18"/>
              </w:rPr>
              <w:t>that meet or exceed the same standard as applies generally within the town (including if the household might be classified for other purposes as a</w:t>
            </w:r>
            <w:r w:rsidRPr="00FD40B8">
              <w:rPr>
                <w:color w:val="131727" w:themeColor="text1"/>
                <w:spacing w:val="-2"/>
                <w:w w:val="110"/>
                <w:sz w:val="18"/>
              </w:rPr>
              <w:t xml:space="preserve"> </w:t>
            </w:r>
            <w:r w:rsidRPr="00FD40B8">
              <w:rPr>
                <w:color w:val="131727" w:themeColor="text1"/>
                <w:w w:val="110"/>
                <w:sz w:val="18"/>
              </w:rPr>
              <w:t>part of a</w:t>
            </w:r>
            <w:r w:rsidRPr="00FD40B8">
              <w:rPr>
                <w:color w:val="131727" w:themeColor="text1"/>
                <w:spacing w:val="-2"/>
                <w:w w:val="110"/>
                <w:sz w:val="18"/>
              </w:rPr>
              <w:t xml:space="preserve"> </w:t>
            </w:r>
            <w:r w:rsidRPr="00FD40B8">
              <w:rPr>
                <w:color w:val="131727" w:themeColor="text1"/>
                <w:w w:val="110"/>
                <w:sz w:val="18"/>
              </w:rPr>
              <w:t>discrete</w:t>
            </w:r>
            <w:r w:rsidRPr="00FD40B8">
              <w:rPr>
                <w:color w:val="131727" w:themeColor="text1"/>
                <w:spacing w:val="-1"/>
                <w:w w:val="110"/>
                <w:sz w:val="18"/>
              </w:rPr>
              <w:t xml:space="preserve"> </w:t>
            </w:r>
            <w:r w:rsidRPr="00FD40B8">
              <w:rPr>
                <w:color w:val="131727" w:themeColor="text1"/>
                <w:w w:val="110"/>
                <w:sz w:val="18"/>
              </w:rPr>
              <w:t>settlement such as a “town camp” or “town-based reserve”).</w:t>
            </w:r>
          </w:p>
          <w:p w14:paraId="4531B9BD" w14:textId="77777777" w:rsidR="00811887" w:rsidRPr="00FD40B8" w:rsidRDefault="00811887" w:rsidP="00486E22">
            <w:pPr>
              <w:pStyle w:val="TableParagraph"/>
              <w:spacing w:before="21" w:line="240" w:lineRule="auto"/>
              <w:rPr>
                <w:rFonts w:ascii="Book Antiqua"/>
                <w:b/>
                <w:color w:val="131727" w:themeColor="text1"/>
                <w:sz w:val="18"/>
              </w:rPr>
            </w:pPr>
          </w:p>
          <w:p w14:paraId="1FAF5E48" w14:textId="77777777" w:rsidR="00811887" w:rsidRPr="00FD40B8" w:rsidRDefault="00811887" w:rsidP="00486E22">
            <w:pPr>
              <w:pStyle w:val="TableParagraph"/>
              <w:spacing w:line="261" w:lineRule="auto"/>
              <w:ind w:left="108"/>
              <w:rPr>
                <w:color w:val="131727" w:themeColor="text1"/>
                <w:sz w:val="18"/>
              </w:rPr>
            </w:pPr>
            <w:r w:rsidRPr="00FD40B8">
              <w:rPr>
                <w:color w:val="131727" w:themeColor="text1"/>
                <w:w w:val="110"/>
                <w:sz w:val="18"/>
              </w:rPr>
              <w:t>To assess</w:t>
            </w:r>
            <w:r w:rsidRPr="00FD40B8">
              <w:rPr>
                <w:color w:val="131727" w:themeColor="text1"/>
                <w:spacing w:val="-2"/>
                <w:w w:val="110"/>
                <w:sz w:val="18"/>
              </w:rPr>
              <w:t xml:space="preserve"> </w:t>
            </w:r>
            <w:r w:rsidRPr="00FD40B8">
              <w:rPr>
                <w:color w:val="131727" w:themeColor="text1"/>
                <w:w w:val="110"/>
                <w:sz w:val="18"/>
              </w:rPr>
              <w:t>progress against</w:t>
            </w:r>
            <w:r w:rsidRPr="00FD40B8">
              <w:rPr>
                <w:color w:val="131727" w:themeColor="text1"/>
                <w:spacing w:val="-2"/>
                <w:w w:val="110"/>
                <w:sz w:val="18"/>
              </w:rPr>
              <w:t xml:space="preserve"> </w:t>
            </w: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targets,</w:t>
            </w:r>
            <w:r w:rsidRPr="00FD40B8">
              <w:rPr>
                <w:color w:val="131727" w:themeColor="text1"/>
                <w:spacing w:val="-4"/>
                <w:w w:val="110"/>
                <w:sz w:val="18"/>
              </w:rPr>
              <w:t xml:space="preserve"> </w:t>
            </w: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Productivity</w:t>
            </w:r>
            <w:r w:rsidRPr="00FD40B8">
              <w:rPr>
                <w:color w:val="131727" w:themeColor="text1"/>
                <w:spacing w:val="-1"/>
                <w:w w:val="110"/>
                <w:sz w:val="18"/>
              </w:rPr>
              <w:t xml:space="preserve"> </w:t>
            </w:r>
            <w:r w:rsidRPr="00FD40B8">
              <w:rPr>
                <w:color w:val="131727" w:themeColor="text1"/>
                <w:w w:val="110"/>
                <w:sz w:val="18"/>
              </w:rPr>
              <w:t>Commission uses data from the Census of Population and Housing, including:</w:t>
            </w:r>
          </w:p>
          <w:p w14:paraId="25C0A2BC" w14:textId="77777777" w:rsidR="00811887" w:rsidRPr="00FD40B8" w:rsidRDefault="00811887" w:rsidP="00811887">
            <w:pPr>
              <w:pStyle w:val="TableParagraph"/>
              <w:numPr>
                <w:ilvl w:val="0"/>
                <w:numId w:val="43"/>
              </w:numPr>
              <w:tabs>
                <w:tab w:val="left" w:pos="829"/>
              </w:tabs>
              <w:spacing w:before="201" w:line="240" w:lineRule="atLeast"/>
              <w:ind w:right="436"/>
              <w:rPr>
                <w:color w:val="131727" w:themeColor="text1"/>
                <w:sz w:val="18"/>
              </w:rPr>
            </w:pPr>
            <w:r w:rsidRPr="00FD40B8">
              <w:rPr>
                <w:color w:val="131727" w:themeColor="text1"/>
                <w:w w:val="110"/>
                <w:sz w:val="18"/>
              </w:rPr>
              <w:t>Number</w:t>
            </w:r>
            <w:r w:rsidRPr="00FD40B8">
              <w:rPr>
                <w:color w:val="131727" w:themeColor="text1"/>
                <w:spacing w:val="-8"/>
                <w:w w:val="110"/>
                <w:sz w:val="18"/>
              </w:rPr>
              <w:t xml:space="preserve"> </w:t>
            </w:r>
            <w:r w:rsidRPr="00FD40B8">
              <w:rPr>
                <w:color w:val="131727" w:themeColor="text1"/>
                <w:w w:val="110"/>
                <w:sz w:val="18"/>
              </w:rPr>
              <w:t>and</w:t>
            </w:r>
            <w:r w:rsidRPr="00FD40B8">
              <w:rPr>
                <w:color w:val="131727" w:themeColor="text1"/>
                <w:spacing w:val="-7"/>
                <w:w w:val="110"/>
                <w:sz w:val="18"/>
              </w:rPr>
              <w:t xml:space="preserve"> </w:t>
            </w:r>
            <w:r w:rsidRPr="00FD40B8">
              <w:rPr>
                <w:color w:val="131727" w:themeColor="text1"/>
                <w:w w:val="110"/>
                <w:sz w:val="18"/>
              </w:rPr>
              <w:t>%</w:t>
            </w:r>
            <w:r w:rsidRPr="00FD40B8">
              <w:rPr>
                <w:color w:val="131727" w:themeColor="text1"/>
                <w:spacing w:val="-8"/>
                <w:w w:val="110"/>
                <w:sz w:val="18"/>
              </w:rPr>
              <w:t xml:space="preserve"> </w:t>
            </w:r>
            <w:r w:rsidRPr="00FD40B8">
              <w:rPr>
                <w:color w:val="131727" w:themeColor="text1"/>
                <w:w w:val="110"/>
                <w:sz w:val="18"/>
              </w:rPr>
              <w:t>of</w:t>
            </w:r>
            <w:r w:rsidRPr="00FD40B8">
              <w:rPr>
                <w:color w:val="131727" w:themeColor="text1"/>
                <w:spacing w:val="-6"/>
                <w:w w:val="110"/>
                <w:sz w:val="18"/>
              </w:rPr>
              <w:t xml:space="preserve"> </w:t>
            </w:r>
            <w:r w:rsidRPr="00FD40B8">
              <w:rPr>
                <w:color w:val="131727" w:themeColor="text1"/>
                <w:w w:val="110"/>
                <w:sz w:val="18"/>
              </w:rPr>
              <w:t>appropriately</w:t>
            </w:r>
            <w:r w:rsidRPr="00FD40B8">
              <w:rPr>
                <w:color w:val="131727" w:themeColor="text1"/>
                <w:spacing w:val="-7"/>
                <w:w w:val="110"/>
                <w:sz w:val="18"/>
              </w:rPr>
              <w:t xml:space="preserve"> </w:t>
            </w:r>
            <w:r w:rsidRPr="00FD40B8">
              <w:rPr>
                <w:color w:val="131727" w:themeColor="text1"/>
                <w:w w:val="110"/>
                <w:sz w:val="18"/>
              </w:rPr>
              <w:t>sized</w:t>
            </w:r>
            <w:r w:rsidRPr="00FD40B8">
              <w:rPr>
                <w:color w:val="131727" w:themeColor="text1"/>
                <w:spacing w:val="-3"/>
                <w:w w:val="110"/>
                <w:sz w:val="18"/>
              </w:rPr>
              <w:t xml:space="preserve"> </w:t>
            </w:r>
            <w:r w:rsidRPr="00FD40B8">
              <w:rPr>
                <w:color w:val="131727" w:themeColor="text1"/>
                <w:w w:val="110"/>
                <w:sz w:val="18"/>
              </w:rPr>
              <w:t>(not</w:t>
            </w:r>
            <w:r w:rsidRPr="00FD40B8">
              <w:rPr>
                <w:color w:val="131727" w:themeColor="text1"/>
                <w:spacing w:val="-3"/>
                <w:w w:val="110"/>
                <w:sz w:val="18"/>
              </w:rPr>
              <w:t xml:space="preserve"> </w:t>
            </w:r>
            <w:r w:rsidRPr="00FD40B8">
              <w:rPr>
                <w:color w:val="131727" w:themeColor="text1"/>
                <w:w w:val="110"/>
                <w:sz w:val="18"/>
              </w:rPr>
              <w:t>overcrowded) housing by state and territory by age, sex, remoteness,</w:t>
            </w:r>
          </w:p>
        </w:tc>
        <w:tc>
          <w:tcPr>
            <w:tcW w:w="1562" w:type="dxa"/>
            <w:shd w:val="clear" w:color="auto" w:fill="EEF1F4"/>
          </w:tcPr>
          <w:p w14:paraId="6A2FD113" w14:textId="77777777" w:rsidR="00811887" w:rsidRPr="00FD40B8" w:rsidRDefault="00811887" w:rsidP="00486E22">
            <w:pPr>
              <w:pStyle w:val="TableParagraph"/>
              <w:spacing w:before="25" w:line="273" w:lineRule="auto"/>
              <w:ind w:left="107" w:right="206"/>
              <w:rPr>
                <w:color w:val="131727" w:themeColor="text1"/>
                <w:sz w:val="18"/>
              </w:rPr>
            </w:pPr>
            <w:r w:rsidRPr="00FD40B8">
              <w:rPr>
                <w:color w:val="131727" w:themeColor="text1"/>
                <w:w w:val="110"/>
                <w:sz w:val="18"/>
              </w:rPr>
              <w:t>Census of Population</w:t>
            </w:r>
            <w:r w:rsidRPr="00FD40B8">
              <w:rPr>
                <w:color w:val="131727" w:themeColor="text1"/>
                <w:spacing w:val="-12"/>
                <w:w w:val="110"/>
                <w:sz w:val="18"/>
              </w:rPr>
              <w:t xml:space="preserve"> </w:t>
            </w:r>
            <w:r w:rsidRPr="00FD40B8">
              <w:rPr>
                <w:color w:val="131727" w:themeColor="text1"/>
                <w:w w:val="110"/>
                <w:sz w:val="18"/>
              </w:rPr>
              <w:t>and Housing,</w:t>
            </w:r>
            <w:r w:rsidRPr="00FD40B8">
              <w:rPr>
                <w:color w:val="131727" w:themeColor="text1"/>
                <w:spacing w:val="-2"/>
                <w:w w:val="110"/>
                <w:sz w:val="18"/>
              </w:rPr>
              <w:t xml:space="preserve"> </w:t>
            </w:r>
            <w:r w:rsidRPr="00FD40B8">
              <w:rPr>
                <w:color w:val="131727" w:themeColor="text1"/>
                <w:w w:val="110"/>
                <w:sz w:val="18"/>
              </w:rPr>
              <w:t xml:space="preserve">5 </w:t>
            </w:r>
            <w:r w:rsidRPr="00FD40B8">
              <w:rPr>
                <w:color w:val="131727" w:themeColor="text1"/>
                <w:spacing w:val="-2"/>
                <w:w w:val="110"/>
                <w:sz w:val="18"/>
              </w:rPr>
              <w:t>yearly</w:t>
            </w:r>
          </w:p>
        </w:tc>
        <w:tc>
          <w:tcPr>
            <w:tcW w:w="2657" w:type="dxa"/>
            <w:shd w:val="clear" w:color="auto" w:fill="EEF1F4"/>
          </w:tcPr>
          <w:p w14:paraId="4774AA62" w14:textId="77777777" w:rsidR="00811887" w:rsidRPr="00FD40B8" w:rsidRDefault="00811887" w:rsidP="00486E22">
            <w:pPr>
              <w:pStyle w:val="TableParagraph"/>
              <w:spacing w:before="25" w:line="273" w:lineRule="auto"/>
              <w:ind w:left="101" w:right="77"/>
              <w:rPr>
                <w:color w:val="131727" w:themeColor="text1"/>
                <w:sz w:val="18"/>
              </w:rPr>
            </w:pPr>
            <w:r w:rsidRPr="00FD40B8">
              <w:rPr>
                <w:color w:val="131727" w:themeColor="text1"/>
                <w:w w:val="110"/>
                <w:sz w:val="18"/>
              </w:rPr>
              <w:t>Provides no additional data collection</w:t>
            </w:r>
            <w:r w:rsidRPr="00FD40B8">
              <w:rPr>
                <w:color w:val="131727" w:themeColor="text1"/>
                <w:spacing w:val="-12"/>
                <w:w w:val="110"/>
                <w:sz w:val="18"/>
              </w:rPr>
              <w:t xml:space="preserve"> </w:t>
            </w:r>
            <w:r w:rsidRPr="00FD40B8">
              <w:rPr>
                <w:color w:val="131727" w:themeColor="text1"/>
                <w:w w:val="110"/>
                <w:sz w:val="18"/>
              </w:rPr>
              <w:t>than</w:t>
            </w:r>
            <w:r w:rsidRPr="00FD40B8">
              <w:rPr>
                <w:color w:val="131727" w:themeColor="text1"/>
                <w:spacing w:val="-11"/>
                <w:w w:val="110"/>
                <w:sz w:val="18"/>
              </w:rPr>
              <w:t xml:space="preserve"> </w:t>
            </w:r>
            <w:r w:rsidRPr="00FD40B8">
              <w:rPr>
                <w:color w:val="131727" w:themeColor="text1"/>
                <w:w w:val="110"/>
                <w:sz w:val="18"/>
              </w:rPr>
              <w:t>what</w:t>
            </w:r>
            <w:r w:rsidRPr="00FD40B8">
              <w:rPr>
                <w:color w:val="131727" w:themeColor="text1"/>
                <w:spacing w:val="-11"/>
                <w:w w:val="110"/>
                <w:sz w:val="18"/>
              </w:rPr>
              <w:t xml:space="preserve"> </w:t>
            </w:r>
            <w:r w:rsidRPr="00FD40B8">
              <w:rPr>
                <w:color w:val="131727" w:themeColor="text1"/>
                <w:w w:val="110"/>
                <w:sz w:val="18"/>
              </w:rPr>
              <w:t>is</w:t>
            </w:r>
            <w:r w:rsidRPr="00FD40B8">
              <w:rPr>
                <w:color w:val="131727" w:themeColor="text1"/>
                <w:spacing w:val="-11"/>
                <w:w w:val="110"/>
                <w:sz w:val="18"/>
              </w:rPr>
              <w:t xml:space="preserve"> </w:t>
            </w:r>
            <w:r w:rsidRPr="00FD40B8">
              <w:rPr>
                <w:color w:val="131727" w:themeColor="text1"/>
                <w:w w:val="110"/>
                <w:sz w:val="18"/>
              </w:rPr>
              <w:t>already provided in the Census or other data sources (as such there</w:t>
            </w:r>
            <w:r w:rsidRPr="00FD40B8">
              <w:rPr>
                <w:color w:val="131727" w:themeColor="text1"/>
                <w:spacing w:val="-4"/>
                <w:w w:val="110"/>
                <w:sz w:val="18"/>
              </w:rPr>
              <w:t xml:space="preserve"> </w:t>
            </w:r>
            <w:r w:rsidRPr="00FD40B8">
              <w:rPr>
                <w:color w:val="131727" w:themeColor="text1"/>
                <w:w w:val="110"/>
                <w:sz w:val="18"/>
              </w:rPr>
              <w:t>is</w:t>
            </w:r>
            <w:r w:rsidRPr="00FD40B8">
              <w:rPr>
                <w:color w:val="131727" w:themeColor="text1"/>
                <w:spacing w:val="-3"/>
                <w:w w:val="110"/>
                <w:sz w:val="18"/>
              </w:rPr>
              <w:t xml:space="preserve"> </w:t>
            </w:r>
            <w:r w:rsidRPr="00FD40B8">
              <w:rPr>
                <w:color w:val="131727" w:themeColor="text1"/>
                <w:w w:val="110"/>
                <w:sz w:val="18"/>
              </w:rPr>
              <w:t>no</w:t>
            </w:r>
            <w:r w:rsidRPr="00FD40B8">
              <w:rPr>
                <w:color w:val="131727" w:themeColor="text1"/>
                <w:spacing w:val="-9"/>
                <w:w w:val="110"/>
                <w:sz w:val="18"/>
              </w:rPr>
              <w:t xml:space="preserve"> </w:t>
            </w:r>
            <w:r w:rsidRPr="00FD40B8">
              <w:rPr>
                <w:color w:val="131727" w:themeColor="text1"/>
                <w:w w:val="110"/>
                <w:sz w:val="18"/>
              </w:rPr>
              <w:t>information</w:t>
            </w:r>
            <w:r w:rsidRPr="00FD40B8">
              <w:rPr>
                <w:color w:val="131727" w:themeColor="text1"/>
                <w:spacing w:val="-6"/>
                <w:w w:val="110"/>
                <w:sz w:val="18"/>
              </w:rPr>
              <w:t xml:space="preserve"> </w:t>
            </w:r>
            <w:r w:rsidRPr="00FD40B8">
              <w:rPr>
                <w:color w:val="131727" w:themeColor="text1"/>
                <w:w w:val="110"/>
                <w:sz w:val="18"/>
              </w:rPr>
              <w:t>on</w:t>
            </w:r>
            <w:r w:rsidRPr="00FD40B8">
              <w:rPr>
                <w:color w:val="131727" w:themeColor="text1"/>
                <w:spacing w:val="-10"/>
                <w:w w:val="110"/>
                <w:sz w:val="18"/>
              </w:rPr>
              <w:t xml:space="preserve"> </w:t>
            </w:r>
            <w:r w:rsidRPr="00FD40B8">
              <w:rPr>
                <w:color w:val="131727" w:themeColor="text1"/>
                <w:w w:val="110"/>
                <w:sz w:val="18"/>
              </w:rPr>
              <w:t xml:space="preserve">the status and quality of housing or community </w:t>
            </w:r>
            <w:r w:rsidRPr="00FD40B8">
              <w:rPr>
                <w:color w:val="131727" w:themeColor="text1"/>
                <w:spacing w:val="-2"/>
                <w:w w:val="110"/>
                <w:sz w:val="18"/>
              </w:rPr>
              <w:t>infrastructure/essential services).</w:t>
            </w:r>
          </w:p>
        </w:tc>
      </w:tr>
    </w:tbl>
    <w:p w14:paraId="1A25FB88" w14:textId="77777777" w:rsidR="00811887" w:rsidRPr="00FD40B8" w:rsidRDefault="00811887" w:rsidP="00811887">
      <w:pPr>
        <w:spacing w:line="273" w:lineRule="auto"/>
        <w:rPr>
          <w:color w:val="131727" w:themeColor="text1"/>
          <w:sz w:val="18"/>
        </w:rPr>
        <w:sectPr w:rsidR="00811887" w:rsidRPr="00FD40B8" w:rsidSect="00811887">
          <w:footerReference w:type="default" r:id="rId134"/>
          <w:pgSz w:w="16840" w:h="11910" w:orient="landscape"/>
          <w:pgMar w:top="1160" w:right="1300" w:bottom="1000" w:left="1280" w:header="0" w:footer="800" w:gutter="0"/>
          <w:cols w:space="720"/>
        </w:sectPr>
      </w:pPr>
    </w:p>
    <w:p w14:paraId="3E2F471B" w14:textId="77777777" w:rsidR="00811887" w:rsidRPr="00FD40B8" w:rsidRDefault="00811887" w:rsidP="00811887">
      <w:pPr>
        <w:pStyle w:val="BodyText"/>
        <w:rPr>
          <w:rFonts w:ascii="Book Antiqua"/>
          <w:b/>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2E7E8FF5" w14:textId="77777777" w:rsidTr="00486E22">
        <w:trPr>
          <w:trHeight w:val="518"/>
        </w:trPr>
        <w:tc>
          <w:tcPr>
            <w:tcW w:w="1585" w:type="dxa"/>
            <w:shd w:val="clear" w:color="auto" w:fill="91A9A2"/>
          </w:tcPr>
          <w:p w14:paraId="36C7A137"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23807C9F"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133997BC"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237ED513"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53C10235"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40D4A7A8" w14:textId="77777777" w:rsidTr="00486E22">
        <w:trPr>
          <w:trHeight w:val="2650"/>
        </w:trPr>
        <w:tc>
          <w:tcPr>
            <w:tcW w:w="1585" w:type="dxa"/>
            <w:shd w:val="clear" w:color="auto" w:fill="EEF1F4"/>
          </w:tcPr>
          <w:p w14:paraId="486588A3" w14:textId="77777777" w:rsidR="00811887" w:rsidRPr="00FD40B8" w:rsidRDefault="00811887" w:rsidP="00486E22">
            <w:pPr>
              <w:pStyle w:val="TableParagraph"/>
              <w:spacing w:line="240" w:lineRule="auto"/>
              <w:rPr>
                <w:rFonts w:ascii="Times New Roman"/>
                <w:color w:val="131727" w:themeColor="text1"/>
                <w:sz w:val="18"/>
              </w:rPr>
            </w:pPr>
          </w:p>
        </w:tc>
        <w:tc>
          <w:tcPr>
            <w:tcW w:w="2382" w:type="dxa"/>
            <w:shd w:val="clear" w:color="auto" w:fill="EEF1F4"/>
          </w:tcPr>
          <w:p w14:paraId="7A37BEDC" w14:textId="77777777" w:rsidR="00811887" w:rsidRPr="00FD40B8" w:rsidRDefault="00811887" w:rsidP="00486E22">
            <w:pPr>
              <w:pStyle w:val="TableParagraph"/>
              <w:spacing w:line="240" w:lineRule="auto"/>
              <w:rPr>
                <w:rFonts w:ascii="Times New Roman"/>
                <w:color w:val="131727" w:themeColor="text1"/>
                <w:sz w:val="18"/>
              </w:rPr>
            </w:pPr>
          </w:p>
        </w:tc>
        <w:tc>
          <w:tcPr>
            <w:tcW w:w="5816" w:type="dxa"/>
            <w:shd w:val="clear" w:color="auto" w:fill="EEF1F4"/>
          </w:tcPr>
          <w:p w14:paraId="47A20278" w14:textId="77777777" w:rsidR="00811887" w:rsidRPr="00FD40B8" w:rsidRDefault="00811887" w:rsidP="00486E22">
            <w:pPr>
              <w:pStyle w:val="TableParagraph"/>
              <w:spacing w:before="20" w:line="261" w:lineRule="auto"/>
              <w:ind w:left="829"/>
              <w:rPr>
                <w:color w:val="131727" w:themeColor="text1"/>
                <w:sz w:val="18"/>
              </w:rPr>
            </w:pPr>
            <w:r w:rsidRPr="00FD40B8">
              <w:rPr>
                <w:color w:val="131727" w:themeColor="text1"/>
                <w:w w:val="110"/>
                <w:sz w:val="18"/>
              </w:rPr>
              <w:t>socioeconomic</w:t>
            </w:r>
            <w:r w:rsidRPr="00FD40B8">
              <w:rPr>
                <w:color w:val="131727" w:themeColor="text1"/>
                <w:spacing w:val="-7"/>
                <w:w w:val="110"/>
                <w:sz w:val="18"/>
              </w:rPr>
              <w:t xml:space="preserve"> </w:t>
            </w:r>
            <w:r w:rsidRPr="00FD40B8">
              <w:rPr>
                <w:color w:val="131727" w:themeColor="text1"/>
                <w:w w:val="110"/>
                <w:sz w:val="18"/>
              </w:rPr>
              <w:t>disadvantage,</w:t>
            </w:r>
            <w:r w:rsidRPr="00FD40B8">
              <w:rPr>
                <w:color w:val="131727" w:themeColor="text1"/>
                <w:spacing w:val="-7"/>
                <w:w w:val="110"/>
                <w:sz w:val="18"/>
              </w:rPr>
              <w:t xml:space="preserve"> </w:t>
            </w:r>
            <w:r w:rsidRPr="00FD40B8">
              <w:rPr>
                <w:color w:val="131727" w:themeColor="text1"/>
                <w:w w:val="110"/>
                <w:sz w:val="18"/>
              </w:rPr>
              <w:t>need for</w:t>
            </w:r>
            <w:r w:rsidRPr="00FD40B8">
              <w:rPr>
                <w:color w:val="131727" w:themeColor="text1"/>
                <w:spacing w:val="-1"/>
                <w:w w:val="110"/>
                <w:sz w:val="18"/>
              </w:rPr>
              <w:t xml:space="preserve"> </w:t>
            </w:r>
            <w:r w:rsidRPr="00FD40B8">
              <w:rPr>
                <w:color w:val="131727" w:themeColor="text1"/>
                <w:w w:val="110"/>
                <w:sz w:val="18"/>
              </w:rPr>
              <w:t>assistance</w:t>
            </w:r>
            <w:r w:rsidRPr="00FD40B8">
              <w:rPr>
                <w:color w:val="131727" w:themeColor="text1"/>
                <w:spacing w:val="-6"/>
                <w:w w:val="110"/>
                <w:sz w:val="18"/>
              </w:rPr>
              <w:t xml:space="preserve"> </w:t>
            </w:r>
            <w:r w:rsidRPr="00FD40B8">
              <w:rPr>
                <w:color w:val="131727" w:themeColor="text1"/>
                <w:w w:val="110"/>
                <w:sz w:val="18"/>
              </w:rPr>
              <w:t>with</w:t>
            </w:r>
            <w:r w:rsidRPr="00FD40B8">
              <w:rPr>
                <w:color w:val="131727" w:themeColor="text1"/>
                <w:spacing w:val="-8"/>
                <w:w w:val="110"/>
                <w:sz w:val="18"/>
              </w:rPr>
              <w:t xml:space="preserve"> </w:t>
            </w:r>
            <w:r w:rsidRPr="00FD40B8">
              <w:rPr>
                <w:color w:val="131727" w:themeColor="text1"/>
                <w:w w:val="110"/>
                <w:sz w:val="18"/>
              </w:rPr>
              <w:t>core activities, tenure type.</w:t>
            </w:r>
          </w:p>
          <w:p w14:paraId="2D459BDF" w14:textId="77777777" w:rsidR="00811887" w:rsidRPr="00FD40B8" w:rsidRDefault="00811887" w:rsidP="00811887">
            <w:pPr>
              <w:pStyle w:val="TableParagraph"/>
              <w:numPr>
                <w:ilvl w:val="0"/>
                <w:numId w:val="42"/>
              </w:numPr>
              <w:tabs>
                <w:tab w:val="left" w:pos="829"/>
              </w:tabs>
              <w:spacing w:line="221" w:lineRule="exact"/>
              <w:rPr>
                <w:color w:val="131727" w:themeColor="text1"/>
                <w:sz w:val="18"/>
              </w:rPr>
            </w:pPr>
            <w:r w:rsidRPr="00FD40B8">
              <w:rPr>
                <w:color w:val="131727" w:themeColor="text1"/>
                <w:w w:val="110"/>
                <w:sz w:val="18"/>
              </w:rPr>
              <w:t>Overcrowded</w:t>
            </w:r>
            <w:r w:rsidRPr="00FD40B8">
              <w:rPr>
                <w:color w:val="131727" w:themeColor="text1"/>
                <w:spacing w:val="-2"/>
                <w:w w:val="110"/>
                <w:sz w:val="18"/>
              </w:rPr>
              <w:t xml:space="preserve"> </w:t>
            </w:r>
            <w:r w:rsidRPr="00FD40B8">
              <w:rPr>
                <w:color w:val="131727" w:themeColor="text1"/>
                <w:w w:val="110"/>
                <w:sz w:val="18"/>
              </w:rPr>
              <w:t>housing</w:t>
            </w:r>
            <w:r w:rsidRPr="00FD40B8">
              <w:rPr>
                <w:color w:val="131727" w:themeColor="text1"/>
                <w:spacing w:val="1"/>
                <w:w w:val="110"/>
                <w:sz w:val="18"/>
              </w:rPr>
              <w:t xml:space="preserve"> </w:t>
            </w:r>
            <w:r w:rsidRPr="00FD40B8">
              <w:rPr>
                <w:color w:val="131727" w:themeColor="text1"/>
                <w:w w:val="110"/>
                <w:sz w:val="18"/>
              </w:rPr>
              <w:t>(by</w:t>
            </w:r>
            <w:r w:rsidRPr="00FD40B8">
              <w:rPr>
                <w:color w:val="131727" w:themeColor="text1"/>
                <w:spacing w:val="-2"/>
                <w:w w:val="110"/>
                <w:sz w:val="18"/>
              </w:rPr>
              <w:t xml:space="preserve"> </w:t>
            </w:r>
            <w:r w:rsidRPr="00FD40B8">
              <w:rPr>
                <w:color w:val="131727" w:themeColor="text1"/>
                <w:w w:val="110"/>
                <w:sz w:val="18"/>
              </w:rPr>
              <w:t>numbers</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6"/>
                <w:w w:val="110"/>
                <w:sz w:val="18"/>
              </w:rPr>
              <w:t xml:space="preserve"> </w:t>
            </w:r>
            <w:r w:rsidRPr="00FD40B8">
              <w:rPr>
                <w:color w:val="131727" w:themeColor="text1"/>
                <w:w w:val="110"/>
                <w:sz w:val="18"/>
              </w:rPr>
              <w:t>extra</w:t>
            </w:r>
            <w:r w:rsidRPr="00FD40B8">
              <w:rPr>
                <w:color w:val="131727" w:themeColor="text1"/>
                <w:spacing w:val="-4"/>
                <w:w w:val="110"/>
                <w:sz w:val="18"/>
              </w:rPr>
              <w:t xml:space="preserve"> </w:t>
            </w:r>
            <w:r w:rsidRPr="00FD40B8">
              <w:rPr>
                <w:color w:val="131727" w:themeColor="text1"/>
                <w:w w:val="110"/>
                <w:sz w:val="18"/>
              </w:rPr>
              <w:t>beds</w:t>
            </w:r>
            <w:r w:rsidRPr="00FD40B8">
              <w:rPr>
                <w:color w:val="131727" w:themeColor="text1"/>
                <w:spacing w:val="2"/>
                <w:w w:val="110"/>
                <w:sz w:val="18"/>
              </w:rPr>
              <w:t xml:space="preserve"> </w:t>
            </w:r>
            <w:r w:rsidRPr="00FD40B8">
              <w:rPr>
                <w:color w:val="131727" w:themeColor="text1"/>
                <w:spacing w:val="-2"/>
                <w:w w:val="110"/>
                <w:sz w:val="18"/>
              </w:rPr>
              <w:t>needed)</w:t>
            </w:r>
          </w:p>
          <w:p w14:paraId="62799187" w14:textId="77777777" w:rsidR="00811887" w:rsidRPr="00FD40B8" w:rsidRDefault="00811887" w:rsidP="00811887">
            <w:pPr>
              <w:pStyle w:val="TableParagraph"/>
              <w:numPr>
                <w:ilvl w:val="0"/>
                <w:numId w:val="42"/>
              </w:numPr>
              <w:tabs>
                <w:tab w:val="left" w:pos="829"/>
              </w:tabs>
              <w:spacing w:before="11" w:line="261" w:lineRule="auto"/>
              <w:ind w:right="670"/>
              <w:rPr>
                <w:color w:val="131727" w:themeColor="text1"/>
                <w:sz w:val="18"/>
              </w:rPr>
            </w:pPr>
            <w:r w:rsidRPr="00FD40B8">
              <w:rPr>
                <w:color w:val="131727" w:themeColor="text1"/>
                <w:w w:val="110"/>
                <w:sz w:val="18"/>
              </w:rPr>
              <w:t>Number</w:t>
            </w:r>
            <w:r w:rsidRPr="00FD40B8">
              <w:rPr>
                <w:color w:val="131727" w:themeColor="text1"/>
                <w:spacing w:val="-4"/>
                <w:w w:val="110"/>
                <w:sz w:val="18"/>
              </w:rPr>
              <w:t xml:space="preserve"> </w:t>
            </w:r>
            <w:r w:rsidRPr="00FD40B8">
              <w:rPr>
                <w:color w:val="131727" w:themeColor="text1"/>
                <w:w w:val="110"/>
                <w:sz w:val="18"/>
              </w:rPr>
              <w:t>and</w:t>
            </w:r>
            <w:r w:rsidRPr="00FD40B8">
              <w:rPr>
                <w:color w:val="131727" w:themeColor="text1"/>
                <w:spacing w:val="-3"/>
                <w:w w:val="110"/>
                <w:sz w:val="18"/>
              </w:rPr>
              <w:t xml:space="preserve"> </w:t>
            </w:r>
            <w:r w:rsidRPr="00FD40B8">
              <w:rPr>
                <w:color w:val="131727" w:themeColor="text1"/>
                <w:w w:val="110"/>
                <w:sz w:val="18"/>
              </w:rPr>
              <w:t>%</w:t>
            </w:r>
            <w:r w:rsidRPr="00FD40B8">
              <w:rPr>
                <w:color w:val="131727" w:themeColor="text1"/>
                <w:spacing w:val="-4"/>
                <w:w w:val="110"/>
                <w:sz w:val="18"/>
              </w:rPr>
              <w:t xml:space="preserve"> </w:t>
            </w:r>
            <w:r w:rsidRPr="00FD40B8">
              <w:rPr>
                <w:color w:val="131727" w:themeColor="text1"/>
                <w:w w:val="110"/>
                <w:sz w:val="18"/>
              </w:rPr>
              <w:t>of</w:t>
            </w:r>
            <w:r w:rsidRPr="00FD40B8">
              <w:rPr>
                <w:color w:val="131727" w:themeColor="text1"/>
                <w:spacing w:val="-2"/>
                <w:w w:val="110"/>
                <w:sz w:val="18"/>
              </w:rPr>
              <w:t xml:space="preserve"> </w:t>
            </w:r>
            <w:r w:rsidRPr="00FD40B8">
              <w:rPr>
                <w:color w:val="131727" w:themeColor="text1"/>
                <w:w w:val="110"/>
                <w:sz w:val="18"/>
              </w:rPr>
              <w:t>households</w:t>
            </w:r>
            <w:r w:rsidRPr="00FD40B8">
              <w:rPr>
                <w:color w:val="131727" w:themeColor="text1"/>
                <w:spacing w:val="-4"/>
                <w:w w:val="110"/>
                <w:sz w:val="18"/>
              </w:rPr>
              <w:t xml:space="preserve"> </w:t>
            </w:r>
            <w:r w:rsidRPr="00FD40B8">
              <w:rPr>
                <w:color w:val="131727" w:themeColor="text1"/>
                <w:w w:val="110"/>
                <w:sz w:val="18"/>
              </w:rPr>
              <w:t>living</w:t>
            </w:r>
            <w:r w:rsidRPr="00FD40B8">
              <w:rPr>
                <w:color w:val="131727" w:themeColor="text1"/>
                <w:spacing w:val="-5"/>
                <w:w w:val="110"/>
                <w:sz w:val="18"/>
              </w:rPr>
              <w:t xml:space="preserve"> </w:t>
            </w:r>
            <w:r w:rsidRPr="00FD40B8">
              <w:rPr>
                <w:color w:val="131727" w:themeColor="text1"/>
                <w:w w:val="110"/>
                <w:sz w:val="18"/>
              </w:rPr>
              <w:t>in</w:t>
            </w:r>
            <w:r w:rsidRPr="00FD40B8">
              <w:rPr>
                <w:color w:val="131727" w:themeColor="text1"/>
                <w:spacing w:val="-2"/>
                <w:w w:val="110"/>
                <w:sz w:val="18"/>
              </w:rPr>
              <w:t xml:space="preserve"> </w:t>
            </w:r>
            <w:r w:rsidRPr="00FD40B8">
              <w:rPr>
                <w:color w:val="131727" w:themeColor="text1"/>
                <w:w w:val="110"/>
                <w:sz w:val="18"/>
              </w:rPr>
              <w:t>dwellings of</w:t>
            </w:r>
            <w:r w:rsidRPr="00FD40B8">
              <w:rPr>
                <w:color w:val="131727" w:themeColor="text1"/>
                <w:spacing w:val="-6"/>
                <w:w w:val="110"/>
                <w:sz w:val="18"/>
              </w:rPr>
              <w:t xml:space="preserve"> </w:t>
            </w:r>
            <w:r w:rsidRPr="00FD40B8">
              <w:rPr>
                <w:color w:val="131727" w:themeColor="text1"/>
                <w:w w:val="110"/>
                <w:sz w:val="18"/>
              </w:rPr>
              <w:t>an acceptable standard</w:t>
            </w:r>
          </w:p>
          <w:p w14:paraId="6CD0C7E0" w14:textId="77777777" w:rsidR="00811887" w:rsidRPr="00FD40B8" w:rsidRDefault="00811887" w:rsidP="00811887">
            <w:pPr>
              <w:pStyle w:val="TableParagraph"/>
              <w:numPr>
                <w:ilvl w:val="0"/>
                <w:numId w:val="42"/>
              </w:numPr>
              <w:tabs>
                <w:tab w:val="left" w:pos="829"/>
              </w:tabs>
              <w:spacing w:line="261" w:lineRule="auto"/>
              <w:ind w:right="479"/>
              <w:rPr>
                <w:color w:val="131727" w:themeColor="text1"/>
                <w:sz w:val="18"/>
              </w:rPr>
            </w:pPr>
            <w:r w:rsidRPr="00FD40B8">
              <w:rPr>
                <w:color w:val="131727" w:themeColor="text1"/>
                <w:w w:val="110"/>
                <w:sz w:val="18"/>
              </w:rPr>
              <w:t>Number</w:t>
            </w:r>
            <w:r w:rsidRPr="00FD40B8">
              <w:rPr>
                <w:color w:val="131727" w:themeColor="text1"/>
                <w:spacing w:val="-5"/>
                <w:w w:val="110"/>
                <w:sz w:val="18"/>
              </w:rPr>
              <w:t xml:space="preserve"> </w:t>
            </w:r>
            <w:r w:rsidRPr="00FD40B8">
              <w:rPr>
                <w:color w:val="131727" w:themeColor="text1"/>
                <w:w w:val="110"/>
                <w:sz w:val="18"/>
              </w:rPr>
              <w:t>and</w:t>
            </w:r>
            <w:r w:rsidRPr="00FD40B8">
              <w:rPr>
                <w:color w:val="131727" w:themeColor="text1"/>
                <w:spacing w:val="-4"/>
                <w:w w:val="110"/>
                <w:sz w:val="18"/>
              </w:rPr>
              <w:t xml:space="preserve"> </w:t>
            </w:r>
            <w:r w:rsidRPr="00FD40B8">
              <w:rPr>
                <w:color w:val="131727" w:themeColor="text1"/>
                <w:w w:val="110"/>
                <w:sz w:val="18"/>
              </w:rPr>
              <w:t>%</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3"/>
                <w:w w:val="110"/>
                <w:sz w:val="18"/>
              </w:rPr>
              <w:t xml:space="preserve"> </w:t>
            </w:r>
            <w:r w:rsidRPr="00FD40B8">
              <w:rPr>
                <w:color w:val="131727" w:themeColor="text1"/>
                <w:w w:val="110"/>
                <w:sz w:val="18"/>
              </w:rPr>
              <w:t>households</w:t>
            </w:r>
            <w:r w:rsidRPr="00FD40B8">
              <w:rPr>
                <w:color w:val="131727" w:themeColor="text1"/>
                <w:spacing w:val="-5"/>
                <w:w w:val="110"/>
                <w:sz w:val="18"/>
              </w:rPr>
              <w:t xml:space="preserve"> </w:t>
            </w:r>
            <w:r w:rsidRPr="00FD40B8">
              <w:rPr>
                <w:color w:val="131727" w:themeColor="text1"/>
                <w:w w:val="110"/>
                <w:sz w:val="18"/>
              </w:rPr>
              <w:t>living</w:t>
            </w:r>
            <w:r w:rsidRPr="00FD40B8">
              <w:rPr>
                <w:color w:val="131727" w:themeColor="text1"/>
                <w:spacing w:val="-6"/>
                <w:w w:val="110"/>
                <w:sz w:val="18"/>
              </w:rPr>
              <w:t xml:space="preserve"> </w:t>
            </w:r>
            <w:r w:rsidRPr="00FD40B8">
              <w:rPr>
                <w:color w:val="131727" w:themeColor="text1"/>
                <w:w w:val="110"/>
                <w:sz w:val="18"/>
              </w:rPr>
              <w:t>in</w:t>
            </w:r>
            <w:r w:rsidRPr="00FD40B8">
              <w:rPr>
                <w:color w:val="131727" w:themeColor="text1"/>
                <w:spacing w:val="-3"/>
                <w:w w:val="110"/>
                <w:sz w:val="18"/>
              </w:rPr>
              <w:t xml:space="preserve"> </w:t>
            </w:r>
            <w:r w:rsidRPr="00FD40B8">
              <w:rPr>
                <w:color w:val="131727" w:themeColor="text1"/>
                <w:w w:val="110"/>
                <w:sz w:val="18"/>
              </w:rPr>
              <w:t>dwellings</w:t>
            </w:r>
            <w:r w:rsidRPr="00FD40B8">
              <w:rPr>
                <w:color w:val="131727" w:themeColor="text1"/>
                <w:spacing w:val="-5"/>
                <w:w w:val="110"/>
                <w:sz w:val="18"/>
              </w:rPr>
              <w:t xml:space="preserve"> </w:t>
            </w:r>
            <w:r w:rsidRPr="00FD40B8">
              <w:rPr>
                <w:color w:val="131727" w:themeColor="text1"/>
                <w:w w:val="110"/>
                <w:sz w:val="18"/>
              </w:rPr>
              <w:t>with</w:t>
            </w:r>
            <w:r w:rsidRPr="00FD40B8">
              <w:rPr>
                <w:color w:val="131727" w:themeColor="text1"/>
                <w:spacing w:val="-3"/>
                <w:w w:val="110"/>
                <w:sz w:val="18"/>
              </w:rPr>
              <w:t xml:space="preserve"> </w:t>
            </w:r>
            <w:r w:rsidRPr="00FD40B8">
              <w:rPr>
                <w:color w:val="131727" w:themeColor="text1"/>
                <w:w w:val="110"/>
                <w:sz w:val="18"/>
              </w:rPr>
              <w:t>no structural problems</w:t>
            </w:r>
          </w:p>
          <w:p w14:paraId="2090C26E" w14:textId="77777777" w:rsidR="00811887" w:rsidRPr="00FD40B8" w:rsidRDefault="00811887" w:rsidP="00811887">
            <w:pPr>
              <w:pStyle w:val="TableParagraph"/>
              <w:numPr>
                <w:ilvl w:val="0"/>
                <w:numId w:val="42"/>
              </w:numPr>
              <w:tabs>
                <w:tab w:val="left" w:pos="829"/>
              </w:tabs>
              <w:spacing w:line="261" w:lineRule="auto"/>
              <w:ind w:right="700"/>
              <w:rPr>
                <w:color w:val="131727" w:themeColor="text1"/>
                <w:sz w:val="18"/>
              </w:rPr>
            </w:pPr>
            <w:r w:rsidRPr="00FD40B8">
              <w:rPr>
                <w:color w:val="131727" w:themeColor="text1"/>
                <w:w w:val="110"/>
                <w:sz w:val="18"/>
              </w:rPr>
              <w:t>Number</w:t>
            </w:r>
            <w:r w:rsidRPr="00FD40B8">
              <w:rPr>
                <w:color w:val="131727" w:themeColor="text1"/>
                <w:spacing w:val="-2"/>
                <w:w w:val="110"/>
                <w:sz w:val="18"/>
              </w:rPr>
              <w:t xml:space="preserve"> </w:t>
            </w:r>
            <w:r w:rsidRPr="00FD40B8">
              <w:rPr>
                <w:color w:val="131727" w:themeColor="text1"/>
                <w:w w:val="110"/>
                <w:sz w:val="18"/>
              </w:rPr>
              <w:t>and</w:t>
            </w:r>
            <w:r w:rsidRPr="00FD40B8">
              <w:rPr>
                <w:color w:val="131727" w:themeColor="text1"/>
                <w:spacing w:val="-1"/>
                <w:w w:val="110"/>
                <w:sz w:val="18"/>
              </w:rPr>
              <w:t xml:space="preserve"> </w:t>
            </w:r>
            <w:r w:rsidRPr="00FD40B8">
              <w:rPr>
                <w:color w:val="131727" w:themeColor="text1"/>
                <w:w w:val="110"/>
                <w:sz w:val="18"/>
              </w:rPr>
              <w:t>%</w:t>
            </w:r>
            <w:r w:rsidRPr="00FD40B8">
              <w:rPr>
                <w:color w:val="131727" w:themeColor="text1"/>
                <w:spacing w:val="-2"/>
                <w:w w:val="110"/>
                <w:sz w:val="18"/>
              </w:rPr>
              <w:t xml:space="preserve"> </w:t>
            </w:r>
            <w:r w:rsidRPr="00FD40B8">
              <w:rPr>
                <w:color w:val="131727" w:themeColor="text1"/>
                <w:w w:val="110"/>
                <w:sz w:val="18"/>
              </w:rPr>
              <w:t>of households</w:t>
            </w:r>
            <w:r w:rsidRPr="00FD40B8">
              <w:rPr>
                <w:color w:val="131727" w:themeColor="text1"/>
                <w:spacing w:val="-2"/>
                <w:w w:val="110"/>
                <w:sz w:val="18"/>
              </w:rPr>
              <w:t xml:space="preserve"> </w:t>
            </w:r>
            <w:r w:rsidRPr="00FD40B8">
              <w:rPr>
                <w:color w:val="131727" w:themeColor="text1"/>
                <w:w w:val="110"/>
                <w:sz w:val="18"/>
              </w:rPr>
              <w:t>with access</w:t>
            </w:r>
            <w:r w:rsidRPr="00FD40B8">
              <w:rPr>
                <w:color w:val="131727" w:themeColor="text1"/>
                <w:spacing w:val="-2"/>
                <w:w w:val="110"/>
                <w:sz w:val="18"/>
              </w:rPr>
              <w:t xml:space="preserve"> </w:t>
            </w:r>
            <w:r w:rsidRPr="00FD40B8">
              <w:rPr>
                <w:color w:val="131727" w:themeColor="text1"/>
                <w:w w:val="110"/>
                <w:sz w:val="18"/>
              </w:rPr>
              <w:t>to</w:t>
            </w:r>
            <w:r w:rsidRPr="00FD40B8">
              <w:rPr>
                <w:color w:val="131727" w:themeColor="text1"/>
                <w:spacing w:val="-4"/>
                <w:w w:val="110"/>
                <w:sz w:val="18"/>
              </w:rPr>
              <w:t xml:space="preserve"> </w:t>
            </w:r>
            <w:r w:rsidRPr="00FD40B8">
              <w:rPr>
                <w:color w:val="131727" w:themeColor="text1"/>
                <w:w w:val="110"/>
                <w:sz w:val="18"/>
              </w:rPr>
              <w:t>working facilities (washing people, washing clothes/bedding, preparing food, sewerage)</w:t>
            </w:r>
          </w:p>
        </w:tc>
        <w:tc>
          <w:tcPr>
            <w:tcW w:w="1562" w:type="dxa"/>
            <w:shd w:val="clear" w:color="auto" w:fill="EEF1F4"/>
          </w:tcPr>
          <w:p w14:paraId="6C7FB8B8" w14:textId="77777777" w:rsidR="00811887" w:rsidRPr="00FD40B8" w:rsidRDefault="00811887" w:rsidP="00486E22">
            <w:pPr>
              <w:pStyle w:val="TableParagraph"/>
              <w:spacing w:line="240" w:lineRule="auto"/>
              <w:rPr>
                <w:rFonts w:ascii="Times New Roman"/>
                <w:color w:val="131727" w:themeColor="text1"/>
                <w:sz w:val="18"/>
              </w:rPr>
            </w:pPr>
          </w:p>
        </w:tc>
        <w:tc>
          <w:tcPr>
            <w:tcW w:w="2657" w:type="dxa"/>
            <w:shd w:val="clear" w:color="auto" w:fill="EEF1F4"/>
          </w:tcPr>
          <w:p w14:paraId="7ADE64F9" w14:textId="77777777" w:rsidR="00811887" w:rsidRPr="00FD40B8" w:rsidRDefault="00811887" w:rsidP="00486E22">
            <w:pPr>
              <w:pStyle w:val="TableParagraph"/>
              <w:spacing w:line="240" w:lineRule="auto"/>
              <w:rPr>
                <w:rFonts w:ascii="Times New Roman"/>
                <w:color w:val="131727" w:themeColor="text1"/>
                <w:sz w:val="18"/>
              </w:rPr>
            </w:pPr>
          </w:p>
        </w:tc>
      </w:tr>
      <w:tr w:rsidR="00811887" w:rsidRPr="00FD40B8" w14:paraId="189FF991" w14:textId="77777777" w:rsidTr="00486E22">
        <w:trPr>
          <w:trHeight w:val="5473"/>
        </w:trPr>
        <w:tc>
          <w:tcPr>
            <w:tcW w:w="1585" w:type="dxa"/>
            <w:shd w:val="clear" w:color="auto" w:fill="EEF1F4"/>
          </w:tcPr>
          <w:p w14:paraId="3930B3F8" w14:textId="77777777" w:rsidR="00811887" w:rsidRPr="00FD40B8" w:rsidRDefault="00811887" w:rsidP="00486E22">
            <w:pPr>
              <w:pStyle w:val="TableParagraph"/>
              <w:spacing w:before="25" w:line="268" w:lineRule="auto"/>
              <w:ind w:left="110" w:right="154"/>
              <w:rPr>
                <w:color w:val="131727" w:themeColor="text1"/>
                <w:sz w:val="20"/>
              </w:rPr>
            </w:pPr>
            <w:r w:rsidRPr="00FD40B8">
              <w:rPr>
                <w:color w:val="131727" w:themeColor="text1"/>
                <w:spacing w:val="-2"/>
                <w:w w:val="110"/>
                <w:sz w:val="20"/>
              </w:rPr>
              <w:t xml:space="preserve">Housing Australia </w:t>
            </w:r>
            <w:r w:rsidRPr="00FD40B8">
              <w:rPr>
                <w:color w:val="131727" w:themeColor="text1"/>
                <w:w w:val="110"/>
                <w:sz w:val="20"/>
              </w:rPr>
              <w:t>Future</w:t>
            </w:r>
            <w:r w:rsidRPr="00FD40B8">
              <w:rPr>
                <w:color w:val="131727" w:themeColor="text1"/>
                <w:spacing w:val="-13"/>
                <w:w w:val="110"/>
                <w:sz w:val="20"/>
              </w:rPr>
              <w:t xml:space="preserve"> </w:t>
            </w:r>
            <w:r w:rsidRPr="00FD40B8">
              <w:rPr>
                <w:color w:val="131727" w:themeColor="text1"/>
                <w:w w:val="110"/>
                <w:sz w:val="20"/>
              </w:rPr>
              <w:t xml:space="preserve">Fund </w:t>
            </w:r>
            <w:r w:rsidRPr="00FD40B8">
              <w:rPr>
                <w:color w:val="131727" w:themeColor="text1"/>
                <w:spacing w:val="-2"/>
                <w:w w:val="110"/>
                <w:sz w:val="20"/>
              </w:rPr>
              <w:t>(HAFF)</w:t>
            </w:r>
          </w:p>
        </w:tc>
        <w:tc>
          <w:tcPr>
            <w:tcW w:w="2382" w:type="dxa"/>
            <w:shd w:val="clear" w:color="auto" w:fill="EEF1F4"/>
          </w:tcPr>
          <w:p w14:paraId="1C750611" w14:textId="77777777" w:rsidR="00811887" w:rsidRPr="00FD40B8" w:rsidRDefault="00811887" w:rsidP="00486E22">
            <w:pPr>
              <w:pStyle w:val="TableParagraph"/>
              <w:spacing w:before="25" w:line="273" w:lineRule="auto"/>
              <w:ind w:left="109" w:right="122"/>
              <w:rPr>
                <w:color w:val="131727" w:themeColor="text1"/>
                <w:sz w:val="18"/>
              </w:rPr>
            </w:pP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HAFF</w:t>
            </w:r>
            <w:r w:rsidRPr="00FD40B8">
              <w:rPr>
                <w:color w:val="131727" w:themeColor="text1"/>
                <w:spacing w:val="-9"/>
                <w:w w:val="110"/>
                <w:sz w:val="18"/>
              </w:rPr>
              <w:t xml:space="preserve"> </w:t>
            </w:r>
            <w:r w:rsidRPr="00FD40B8">
              <w:rPr>
                <w:color w:val="131727" w:themeColor="text1"/>
                <w:w w:val="110"/>
                <w:sz w:val="18"/>
              </w:rPr>
              <w:t>is</w:t>
            </w:r>
            <w:r w:rsidRPr="00FD40B8">
              <w:rPr>
                <w:color w:val="131727" w:themeColor="text1"/>
                <w:spacing w:val="-7"/>
                <w:w w:val="110"/>
                <w:sz w:val="18"/>
              </w:rPr>
              <w:t xml:space="preserve"> </w:t>
            </w:r>
            <w:r w:rsidRPr="00FD40B8">
              <w:rPr>
                <w:color w:val="131727" w:themeColor="text1"/>
                <w:w w:val="110"/>
                <w:sz w:val="18"/>
              </w:rPr>
              <w:t>a</w:t>
            </w:r>
            <w:r w:rsidRPr="00FD40B8">
              <w:rPr>
                <w:color w:val="131727" w:themeColor="text1"/>
                <w:spacing w:val="-5"/>
                <w:w w:val="110"/>
                <w:sz w:val="18"/>
              </w:rPr>
              <w:t xml:space="preserve"> </w:t>
            </w:r>
            <w:r w:rsidRPr="00FD40B8">
              <w:rPr>
                <w:color w:val="131727" w:themeColor="text1"/>
                <w:w w:val="110"/>
                <w:sz w:val="18"/>
              </w:rPr>
              <w:t>$10</w:t>
            </w:r>
            <w:r w:rsidRPr="00FD40B8">
              <w:rPr>
                <w:color w:val="131727" w:themeColor="text1"/>
                <w:spacing w:val="-7"/>
                <w:w w:val="110"/>
                <w:sz w:val="18"/>
              </w:rPr>
              <w:t xml:space="preserve"> </w:t>
            </w:r>
            <w:r w:rsidRPr="00FD40B8">
              <w:rPr>
                <w:color w:val="131727" w:themeColor="text1"/>
                <w:w w:val="110"/>
                <w:sz w:val="18"/>
              </w:rPr>
              <w:t>billion fund to support and increase social and affordable housing.</w:t>
            </w:r>
          </w:p>
          <w:p w14:paraId="50766CE7" w14:textId="77777777" w:rsidR="00811887" w:rsidRPr="00FD40B8" w:rsidRDefault="00811887" w:rsidP="00486E22">
            <w:pPr>
              <w:pStyle w:val="TableParagraph"/>
              <w:spacing w:before="29" w:line="240" w:lineRule="auto"/>
              <w:rPr>
                <w:rFonts w:ascii="Book Antiqua"/>
                <w:b/>
                <w:color w:val="131727" w:themeColor="text1"/>
                <w:sz w:val="18"/>
              </w:rPr>
            </w:pPr>
          </w:p>
          <w:p w14:paraId="6A3CB2A1" w14:textId="77777777" w:rsidR="00811887" w:rsidRPr="00FD40B8" w:rsidRDefault="00811887" w:rsidP="00486E22">
            <w:pPr>
              <w:pStyle w:val="TableParagraph"/>
              <w:spacing w:line="259" w:lineRule="auto"/>
              <w:ind w:left="109" w:right="122"/>
              <w:rPr>
                <w:color w:val="131727" w:themeColor="text1"/>
                <w:sz w:val="12"/>
              </w:rPr>
            </w:pPr>
            <w:r w:rsidRPr="00FD40B8">
              <w:rPr>
                <w:color w:val="131727" w:themeColor="text1"/>
                <w:w w:val="110"/>
                <w:sz w:val="18"/>
              </w:rPr>
              <w:t>The Investment</w:t>
            </w:r>
            <w:r w:rsidRPr="00FD40B8">
              <w:rPr>
                <w:color w:val="131727" w:themeColor="text1"/>
                <w:spacing w:val="-2"/>
                <w:w w:val="110"/>
                <w:sz w:val="18"/>
              </w:rPr>
              <w:t xml:space="preserve"> </w:t>
            </w:r>
            <w:r w:rsidRPr="00FD40B8">
              <w:rPr>
                <w:color w:val="131727" w:themeColor="text1"/>
                <w:w w:val="110"/>
                <w:sz w:val="18"/>
              </w:rPr>
              <w:t>Mandate for Housing Australia (which guides the HAFF) requires quarterly reporting by Housing Australia to the Minister on</w:t>
            </w:r>
            <w:r w:rsidRPr="00FD40B8">
              <w:rPr>
                <w:color w:val="131727" w:themeColor="text1"/>
                <w:spacing w:val="-3"/>
                <w:w w:val="110"/>
                <w:sz w:val="18"/>
              </w:rPr>
              <w:t xml:space="preserve"> </w:t>
            </w:r>
            <w:r w:rsidRPr="00FD40B8">
              <w:rPr>
                <w:color w:val="131727" w:themeColor="text1"/>
                <w:w w:val="110"/>
                <w:sz w:val="18"/>
              </w:rPr>
              <w:t>housing</w:t>
            </w:r>
            <w:r w:rsidRPr="00FD40B8">
              <w:rPr>
                <w:color w:val="131727" w:themeColor="text1"/>
                <w:spacing w:val="-6"/>
                <w:w w:val="110"/>
                <w:sz w:val="18"/>
              </w:rPr>
              <w:t xml:space="preserve"> </w:t>
            </w:r>
            <w:r w:rsidRPr="00FD40B8">
              <w:rPr>
                <w:color w:val="131727" w:themeColor="text1"/>
                <w:w w:val="110"/>
                <w:sz w:val="18"/>
              </w:rPr>
              <w:t>that</w:t>
            </w:r>
            <w:r w:rsidRPr="00FD40B8">
              <w:rPr>
                <w:color w:val="131727" w:themeColor="text1"/>
                <w:spacing w:val="-5"/>
                <w:w w:val="110"/>
                <w:sz w:val="18"/>
              </w:rPr>
              <w:t xml:space="preserve"> </w:t>
            </w:r>
            <w:r w:rsidRPr="00FD40B8">
              <w:rPr>
                <w:color w:val="131727" w:themeColor="text1"/>
                <w:w w:val="110"/>
                <w:sz w:val="18"/>
              </w:rPr>
              <w:t>HAFF</w:t>
            </w:r>
            <w:r w:rsidRPr="00FD40B8">
              <w:rPr>
                <w:color w:val="131727" w:themeColor="text1"/>
                <w:spacing w:val="-2"/>
                <w:w w:val="110"/>
                <w:sz w:val="18"/>
              </w:rPr>
              <w:t xml:space="preserve"> </w:t>
            </w:r>
            <w:r w:rsidRPr="00FD40B8">
              <w:rPr>
                <w:color w:val="131727" w:themeColor="text1"/>
                <w:w w:val="110"/>
                <w:sz w:val="18"/>
              </w:rPr>
              <w:t>has decided to finance.</w:t>
            </w:r>
            <w:hyperlink w:anchor="_bookmark120" w:history="1">
              <w:r w:rsidRPr="00FD40B8">
                <w:rPr>
                  <w:color w:val="131727" w:themeColor="text1"/>
                  <w:w w:val="110"/>
                  <w:position w:val="7"/>
                  <w:sz w:val="12"/>
                </w:rPr>
                <w:t>95</w:t>
              </w:r>
            </w:hyperlink>
          </w:p>
        </w:tc>
        <w:tc>
          <w:tcPr>
            <w:tcW w:w="5816" w:type="dxa"/>
            <w:shd w:val="clear" w:color="auto" w:fill="EEF1F4"/>
          </w:tcPr>
          <w:p w14:paraId="359DCD17" w14:textId="77777777" w:rsidR="00811887" w:rsidRPr="00FD40B8" w:rsidRDefault="00811887" w:rsidP="00486E22">
            <w:pPr>
              <w:pStyle w:val="TableParagraph"/>
              <w:spacing w:before="20" w:line="240" w:lineRule="auto"/>
              <w:ind w:left="108"/>
              <w:jc w:val="both"/>
              <w:rPr>
                <w:color w:val="131727" w:themeColor="text1"/>
                <w:sz w:val="18"/>
              </w:rPr>
            </w:pPr>
            <w:r w:rsidRPr="00FD40B8">
              <w:rPr>
                <w:color w:val="131727" w:themeColor="text1"/>
                <w:w w:val="110"/>
                <w:sz w:val="18"/>
              </w:rPr>
              <w:t>The report</w:t>
            </w:r>
            <w:r w:rsidRPr="00FD40B8">
              <w:rPr>
                <w:color w:val="131727" w:themeColor="text1"/>
                <w:spacing w:val="-3"/>
                <w:w w:val="110"/>
                <w:sz w:val="18"/>
              </w:rPr>
              <w:t xml:space="preserve"> </w:t>
            </w:r>
            <w:r w:rsidRPr="00FD40B8">
              <w:rPr>
                <w:color w:val="131727" w:themeColor="text1"/>
                <w:w w:val="110"/>
                <w:sz w:val="18"/>
              </w:rPr>
              <w:t>for a</w:t>
            </w:r>
            <w:r w:rsidRPr="00FD40B8">
              <w:rPr>
                <w:color w:val="131727" w:themeColor="text1"/>
                <w:spacing w:val="-5"/>
                <w:w w:val="110"/>
                <w:sz w:val="18"/>
              </w:rPr>
              <w:t xml:space="preserve"> </w:t>
            </w:r>
            <w:r w:rsidRPr="00FD40B8">
              <w:rPr>
                <w:color w:val="131727" w:themeColor="text1"/>
                <w:w w:val="110"/>
                <w:sz w:val="18"/>
              </w:rPr>
              <w:t>reporting</w:t>
            </w:r>
            <w:r w:rsidRPr="00FD40B8">
              <w:rPr>
                <w:color w:val="131727" w:themeColor="text1"/>
                <w:spacing w:val="-4"/>
                <w:w w:val="110"/>
                <w:sz w:val="18"/>
              </w:rPr>
              <w:t xml:space="preserve"> </w:t>
            </w:r>
            <w:r w:rsidRPr="00FD40B8">
              <w:rPr>
                <w:color w:val="131727" w:themeColor="text1"/>
                <w:w w:val="110"/>
                <w:sz w:val="18"/>
              </w:rPr>
              <w:t>period</w:t>
            </w:r>
            <w:r w:rsidRPr="00FD40B8">
              <w:rPr>
                <w:color w:val="131727" w:themeColor="text1"/>
                <w:spacing w:val="-2"/>
                <w:w w:val="110"/>
                <w:sz w:val="18"/>
              </w:rPr>
              <w:t xml:space="preserve"> </w:t>
            </w:r>
            <w:r w:rsidRPr="00FD40B8">
              <w:rPr>
                <w:color w:val="131727" w:themeColor="text1"/>
                <w:w w:val="110"/>
                <w:sz w:val="18"/>
              </w:rPr>
              <w:t>must</w:t>
            </w:r>
            <w:r w:rsidRPr="00FD40B8">
              <w:rPr>
                <w:color w:val="131727" w:themeColor="text1"/>
                <w:spacing w:val="1"/>
                <w:w w:val="110"/>
                <w:sz w:val="18"/>
              </w:rPr>
              <w:t xml:space="preserve"> </w:t>
            </w:r>
            <w:r w:rsidRPr="00FD40B8">
              <w:rPr>
                <w:color w:val="131727" w:themeColor="text1"/>
                <w:w w:val="110"/>
                <w:sz w:val="18"/>
              </w:rPr>
              <w:t>set</w:t>
            </w:r>
            <w:r w:rsidRPr="00FD40B8">
              <w:rPr>
                <w:color w:val="131727" w:themeColor="text1"/>
                <w:spacing w:val="-3"/>
                <w:w w:val="110"/>
                <w:sz w:val="18"/>
              </w:rPr>
              <w:t xml:space="preserve"> </w:t>
            </w:r>
            <w:r w:rsidRPr="00FD40B8">
              <w:rPr>
                <w:color w:val="131727" w:themeColor="text1"/>
                <w:spacing w:val="-4"/>
                <w:w w:val="110"/>
                <w:sz w:val="18"/>
              </w:rPr>
              <w:t>out:</w:t>
            </w:r>
          </w:p>
          <w:p w14:paraId="01D1B5D7" w14:textId="77777777" w:rsidR="00811887" w:rsidRPr="00FD40B8" w:rsidRDefault="00811887" w:rsidP="00811887">
            <w:pPr>
              <w:pStyle w:val="TableParagraph"/>
              <w:numPr>
                <w:ilvl w:val="0"/>
                <w:numId w:val="41"/>
              </w:numPr>
              <w:tabs>
                <w:tab w:val="left" w:pos="829"/>
              </w:tabs>
              <w:spacing w:before="20" w:line="261" w:lineRule="auto"/>
              <w:ind w:right="288"/>
              <w:jc w:val="both"/>
              <w:rPr>
                <w:color w:val="131727" w:themeColor="text1"/>
                <w:sz w:val="18"/>
              </w:rPr>
            </w:pPr>
            <w:r w:rsidRPr="00FD40B8">
              <w:rPr>
                <w:color w:val="131727" w:themeColor="text1"/>
                <w:w w:val="110"/>
                <w:sz w:val="18"/>
              </w:rPr>
              <w:t>In</w:t>
            </w:r>
            <w:r w:rsidRPr="00FD40B8">
              <w:rPr>
                <w:color w:val="131727" w:themeColor="text1"/>
                <w:spacing w:val="-5"/>
                <w:w w:val="110"/>
                <w:sz w:val="18"/>
              </w:rPr>
              <w:t xml:space="preserve"> </w:t>
            </w:r>
            <w:r w:rsidRPr="00FD40B8">
              <w:rPr>
                <w:color w:val="131727" w:themeColor="text1"/>
                <w:w w:val="110"/>
                <w:sz w:val="18"/>
              </w:rPr>
              <w:t>relation</w:t>
            </w:r>
            <w:r w:rsidRPr="00FD40B8">
              <w:rPr>
                <w:color w:val="131727" w:themeColor="text1"/>
                <w:spacing w:val="-10"/>
                <w:w w:val="110"/>
                <w:sz w:val="18"/>
              </w:rPr>
              <w:t xml:space="preserve"> </w:t>
            </w:r>
            <w:r w:rsidRPr="00FD40B8">
              <w:rPr>
                <w:color w:val="131727" w:themeColor="text1"/>
                <w:w w:val="110"/>
                <w:sz w:val="18"/>
              </w:rPr>
              <w:t>to</w:t>
            </w:r>
            <w:r w:rsidRPr="00FD40B8">
              <w:rPr>
                <w:color w:val="131727" w:themeColor="text1"/>
                <w:spacing w:val="-5"/>
                <w:w w:val="110"/>
                <w:sz w:val="18"/>
              </w:rPr>
              <w:t xml:space="preserve"> </w:t>
            </w:r>
            <w:r w:rsidRPr="00FD40B8">
              <w:rPr>
                <w:color w:val="131727" w:themeColor="text1"/>
                <w:w w:val="110"/>
                <w:sz w:val="18"/>
              </w:rPr>
              <w:t>all</w:t>
            </w:r>
            <w:r w:rsidRPr="00FD40B8">
              <w:rPr>
                <w:color w:val="131727" w:themeColor="text1"/>
                <w:spacing w:val="-6"/>
                <w:w w:val="110"/>
                <w:sz w:val="18"/>
              </w:rPr>
              <w:t xml:space="preserve"> </w:t>
            </w:r>
            <w:r w:rsidRPr="00FD40B8">
              <w:rPr>
                <w:color w:val="131727" w:themeColor="text1"/>
                <w:w w:val="110"/>
                <w:sz w:val="18"/>
              </w:rPr>
              <w:t>projects</w:t>
            </w:r>
            <w:r w:rsidRPr="00FD40B8">
              <w:rPr>
                <w:color w:val="131727" w:themeColor="text1"/>
                <w:spacing w:val="-3"/>
                <w:w w:val="110"/>
                <w:sz w:val="18"/>
              </w:rPr>
              <w:t xml:space="preserve"> </w:t>
            </w:r>
            <w:r w:rsidRPr="00FD40B8">
              <w:rPr>
                <w:color w:val="131727" w:themeColor="text1"/>
                <w:w w:val="110"/>
                <w:sz w:val="18"/>
              </w:rPr>
              <w:t>that</w:t>
            </w:r>
            <w:r w:rsidRPr="00FD40B8">
              <w:rPr>
                <w:color w:val="131727" w:themeColor="text1"/>
                <w:spacing w:val="-3"/>
                <w:w w:val="110"/>
                <w:sz w:val="18"/>
              </w:rPr>
              <w:t xml:space="preserve"> </w:t>
            </w:r>
            <w:r w:rsidRPr="00FD40B8">
              <w:rPr>
                <w:color w:val="131727" w:themeColor="text1"/>
                <w:w w:val="110"/>
                <w:sz w:val="18"/>
              </w:rPr>
              <w:t>Housing</w:t>
            </w:r>
            <w:r w:rsidRPr="00FD40B8">
              <w:rPr>
                <w:color w:val="131727" w:themeColor="text1"/>
                <w:spacing w:val="-8"/>
                <w:w w:val="110"/>
                <w:sz w:val="18"/>
              </w:rPr>
              <w:t xml:space="preserve"> </w:t>
            </w:r>
            <w:r w:rsidRPr="00FD40B8">
              <w:rPr>
                <w:color w:val="131727" w:themeColor="text1"/>
                <w:w w:val="110"/>
                <w:sz w:val="18"/>
              </w:rPr>
              <w:t>Australia</w:t>
            </w:r>
            <w:r w:rsidRPr="00FD40B8">
              <w:rPr>
                <w:color w:val="131727" w:themeColor="text1"/>
                <w:spacing w:val="-9"/>
                <w:w w:val="110"/>
                <w:sz w:val="18"/>
              </w:rPr>
              <w:t xml:space="preserve"> </w:t>
            </w:r>
            <w:r w:rsidRPr="00FD40B8">
              <w:rPr>
                <w:color w:val="131727" w:themeColor="text1"/>
                <w:w w:val="110"/>
                <w:sz w:val="18"/>
              </w:rPr>
              <w:t>decided</w:t>
            </w:r>
            <w:r w:rsidRPr="00FD40B8">
              <w:rPr>
                <w:color w:val="131727" w:themeColor="text1"/>
                <w:spacing w:val="-3"/>
                <w:w w:val="110"/>
                <w:sz w:val="18"/>
              </w:rPr>
              <w:t xml:space="preserve"> </w:t>
            </w:r>
            <w:r w:rsidRPr="00FD40B8">
              <w:rPr>
                <w:color w:val="131727" w:themeColor="text1"/>
                <w:w w:val="110"/>
                <w:sz w:val="18"/>
              </w:rPr>
              <w:t>to finance under</w:t>
            </w:r>
            <w:r w:rsidRPr="00FD40B8">
              <w:rPr>
                <w:color w:val="131727" w:themeColor="text1"/>
                <w:spacing w:val="-3"/>
                <w:w w:val="110"/>
                <w:sz w:val="18"/>
              </w:rPr>
              <w:t xml:space="preserve"> </w:t>
            </w: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HAFFF up to</w:t>
            </w:r>
            <w:r w:rsidRPr="00FD40B8">
              <w:rPr>
                <w:color w:val="131727" w:themeColor="text1"/>
                <w:spacing w:val="-5"/>
                <w:w w:val="110"/>
                <w:sz w:val="18"/>
              </w:rPr>
              <w:t xml:space="preserve"> </w:t>
            </w: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end</w:t>
            </w:r>
            <w:r w:rsidRPr="00FD40B8">
              <w:rPr>
                <w:color w:val="131727" w:themeColor="text1"/>
                <w:spacing w:val="-2"/>
                <w:w w:val="110"/>
                <w:sz w:val="18"/>
              </w:rPr>
              <w:t xml:space="preserve"> </w:t>
            </w:r>
            <w:r w:rsidRPr="00FD40B8">
              <w:rPr>
                <w:color w:val="131727" w:themeColor="text1"/>
                <w:w w:val="110"/>
                <w:sz w:val="18"/>
              </w:rPr>
              <w:t>of</w:t>
            </w:r>
            <w:r w:rsidRPr="00FD40B8">
              <w:rPr>
                <w:color w:val="131727" w:themeColor="text1"/>
                <w:spacing w:val="-1"/>
                <w:w w:val="110"/>
                <w:sz w:val="18"/>
              </w:rPr>
              <w:t xml:space="preserve"> </w:t>
            </w:r>
            <w:r w:rsidRPr="00FD40B8">
              <w:rPr>
                <w:color w:val="131727" w:themeColor="text1"/>
                <w:w w:val="110"/>
                <w:sz w:val="18"/>
              </w:rPr>
              <w:t>the period—the following information:</w:t>
            </w:r>
          </w:p>
          <w:p w14:paraId="65399B59" w14:textId="77777777" w:rsidR="00811887" w:rsidRPr="00FD40B8" w:rsidRDefault="00811887" w:rsidP="00486E22">
            <w:pPr>
              <w:pStyle w:val="TableParagraph"/>
              <w:tabs>
                <w:tab w:val="left" w:pos="1549"/>
              </w:tabs>
              <w:spacing w:before="41" w:line="240" w:lineRule="auto"/>
              <w:ind w:left="1189"/>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total</w:t>
            </w:r>
            <w:r w:rsidRPr="00FD40B8">
              <w:rPr>
                <w:color w:val="131727" w:themeColor="text1"/>
                <w:spacing w:val="-3"/>
                <w:w w:val="110"/>
                <w:sz w:val="18"/>
              </w:rPr>
              <w:t xml:space="preserve"> </w:t>
            </w:r>
            <w:r w:rsidRPr="00FD40B8">
              <w:rPr>
                <w:color w:val="131727" w:themeColor="text1"/>
                <w:w w:val="110"/>
                <w:sz w:val="18"/>
              </w:rPr>
              <w:t>number</w:t>
            </w:r>
            <w:r w:rsidRPr="00FD40B8">
              <w:rPr>
                <w:color w:val="131727" w:themeColor="text1"/>
                <w:spacing w:val="-4"/>
                <w:w w:val="110"/>
                <w:sz w:val="18"/>
              </w:rPr>
              <w:t xml:space="preserve"> </w:t>
            </w:r>
            <w:r w:rsidRPr="00FD40B8">
              <w:rPr>
                <w:color w:val="131727" w:themeColor="text1"/>
                <w:w w:val="110"/>
                <w:sz w:val="18"/>
              </w:rPr>
              <w:t>of</w:t>
            </w:r>
            <w:r w:rsidRPr="00FD40B8">
              <w:rPr>
                <w:color w:val="131727" w:themeColor="text1"/>
                <w:spacing w:val="-10"/>
                <w:w w:val="110"/>
                <w:sz w:val="18"/>
              </w:rPr>
              <w:t xml:space="preserve"> </w:t>
            </w:r>
            <w:r w:rsidRPr="00FD40B8">
              <w:rPr>
                <w:color w:val="131727" w:themeColor="text1"/>
                <w:spacing w:val="-2"/>
                <w:w w:val="110"/>
                <w:sz w:val="18"/>
              </w:rPr>
              <w:t>projects</w:t>
            </w:r>
          </w:p>
          <w:p w14:paraId="6E097F8C" w14:textId="77777777" w:rsidR="00811887" w:rsidRPr="00FD40B8" w:rsidRDefault="00811887" w:rsidP="00486E22">
            <w:pPr>
              <w:pStyle w:val="TableParagraph"/>
              <w:tabs>
                <w:tab w:val="left" w:pos="1549"/>
              </w:tabs>
              <w:spacing w:before="63" w:line="266" w:lineRule="auto"/>
              <w:ind w:left="1549" w:right="145" w:hanging="360"/>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 total number of projects that provided social housing, affordable housing</w:t>
            </w:r>
            <w:r w:rsidRPr="00FD40B8">
              <w:rPr>
                <w:color w:val="131727" w:themeColor="text1"/>
                <w:spacing w:val="-3"/>
                <w:w w:val="110"/>
                <w:sz w:val="18"/>
              </w:rPr>
              <w:t xml:space="preserve"> </w:t>
            </w:r>
            <w:r w:rsidRPr="00FD40B8">
              <w:rPr>
                <w:color w:val="131727" w:themeColor="text1"/>
                <w:w w:val="110"/>
                <w:sz w:val="18"/>
              </w:rPr>
              <w:t>or addressed an acute housing need</w:t>
            </w:r>
          </w:p>
          <w:p w14:paraId="7D6F0302" w14:textId="77777777" w:rsidR="00811887" w:rsidRPr="00FD40B8" w:rsidRDefault="00811887" w:rsidP="00486E22">
            <w:pPr>
              <w:pStyle w:val="TableParagraph"/>
              <w:tabs>
                <w:tab w:val="left" w:pos="1549"/>
              </w:tabs>
              <w:spacing w:before="42" w:line="240" w:lineRule="auto"/>
              <w:ind w:left="1189"/>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w:t>
            </w:r>
            <w:r w:rsidRPr="00FD40B8">
              <w:rPr>
                <w:color w:val="131727" w:themeColor="text1"/>
                <w:spacing w:val="1"/>
                <w:w w:val="110"/>
                <w:sz w:val="18"/>
              </w:rPr>
              <w:t xml:space="preserve"> </w:t>
            </w:r>
            <w:r w:rsidRPr="00FD40B8">
              <w:rPr>
                <w:color w:val="131727" w:themeColor="text1"/>
                <w:w w:val="110"/>
                <w:sz w:val="18"/>
              </w:rPr>
              <w:t>number</w:t>
            </w:r>
            <w:r w:rsidRPr="00FD40B8">
              <w:rPr>
                <w:color w:val="131727" w:themeColor="text1"/>
                <w:spacing w:val="1"/>
                <w:w w:val="110"/>
                <w:sz w:val="18"/>
              </w:rPr>
              <w:t xml:space="preserve"> </w:t>
            </w:r>
            <w:r w:rsidRPr="00FD40B8">
              <w:rPr>
                <w:color w:val="131727" w:themeColor="text1"/>
                <w:w w:val="110"/>
                <w:sz w:val="18"/>
              </w:rPr>
              <w:t>of</w:t>
            </w:r>
            <w:r w:rsidRPr="00FD40B8">
              <w:rPr>
                <w:color w:val="131727" w:themeColor="text1"/>
                <w:spacing w:val="-5"/>
                <w:w w:val="110"/>
                <w:sz w:val="18"/>
              </w:rPr>
              <w:t xml:space="preserve"> </w:t>
            </w:r>
            <w:r w:rsidRPr="00FD40B8">
              <w:rPr>
                <w:color w:val="131727" w:themeColor="text1"/>
                <w:w w:val="110"/>
                <w:sz w:val="18"/>
              </w:rPr>
              <w:t>projects</w:t>
            </w:r>
            <w:r w:rsidRPr="00FD40B8">
              <w:rPr>
                <w:color w:val="131727" w:themeColor="text1"/>
                <w:spacing w:val="-3"/>
                <w:w w:val="110"/>
                <w:sz w:val="18"/>
              </w:rPr>
              <w:t xml:space="preserve"> </w:t>
            </w:r>
            <w:r w:rsidRPr="00FD40B8">
              <w:rPr>
                <w:color w:val="131727" w:themeColor="text1"/>
                <w:w w:val="110"/>
                <w:sz w:val="18"/>
              </w:rPr>
              <w:t>in</w:t>
            </w:r>
            <w:r w:rsidRPr="00FD40B8">
              <w:rPr>
                <w:color w:val="131727" w:themeColor="text1"/>
                <w:spacing w:val="-1"/>
                <w:w w:val="110"/>
                <w:sz w:val="18"/>
              </w:rPr>
              <w:t xml:space="preserve"> </w:t>
            </w:r>
            <w:r w:rsidRPr="00FD40B8">
              <w:rPr>
                <w:color w:val="131727" w:themeColor="text1"/>
                <w:w w:val="110"/>
                <w:sz w:val="18"/>
              </w:rPr>
              <w:t>each</w:t>
            </w:r>
            <w:r w:rsidRPr="00FD40B8">
              <w:rPr>
                <w:color w:val="131727" w:themeColor="text1"/>
                <w:spacing w:val="-5"/>
                <w:w w:val="110"/>
                <w:sz w:val="18"/>
              </w:rPr>
              <w:t xml:space="preserve"> </w:t>
            </w:r>
            <w:r w:rsidRPr="00FD40B8">
              <w:rPr>
                <w:color w:val="131727" w:themeColor="text1"/>
                <w:w w:val="110"/>
                <w:sz w:val="18"/>
              </w:rPr>
              <w:t>State</w:t>
            </w:r>
            <w:r w:rsidRPr="00FD40B8">
              <w:rPr>
                <w:color w:val="131727" w:themeColor="text1"/>
                <w:spacing w:val="1"/>
                <w:w w:val="110"/>
                <w:sz w:val="18"/>
              </w:rPr>
              <w:t xml:space="preserve"> </w:t>
            </w:r>
            <w:r w:rsidRPr="00FD40B8">
              <w:rPr>
                <w:color w:val="131727" w:themeColor="text1"/>
                <w:w w:val="110"/>
                <w:sz w:val="18"/>
              </w:rPr>
              <w:t>and</w:t>
            </w:r>
            <w:r w:rsidRPr="00FD40B8">
              <w:rPr>
                <w:color w:val="131727" w:themeColor="text1"/>
                <w:spacing w:val="3"/>
                <w:w w:val="110"/>
                <w:sz w:val="18"/>
              </w:rPr>
              <w:t xml:space="preserve"> </w:t>
            </w:r>
            <w:r w:rsidRPr="00FD40B8">
              <w:rPr>
                <w:color w:val="131727" w:themeColor="text1"/>
                <w:spacing w:val="-2"/>
                <w:w w:val="110"/>
                <w:sz w:val="18"/>
              </w:rPr>
              <w:t>Territory</w:t>
            </w:r>
          </w:p>
          <w:p w14:paraId="26D36C53" w14:textId="77777777" w:rsidR="00811887" w:rsidRPr="00FD40B8" w:rsidRDefault="00811887" w:rsidP="00486E22">
            <w:pPr>
              <w:pStyle w:val="TableParagraph"/>
              <w:tabs>
                <w:tab w:val="left" w:pos="1549"/>
              </w:tabs>
              <w:spacing w:before="68" w:line="266" w:lineRule="auto"/>
              <w:ind w:left="1549" w:right="175" w:hanging="360"/>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 number of projects that are complete, under development,</w:t>
            </w:r>
            <w:r w:rsidRPr="00FD40B8">
              <w:rPr>
                <w:color w:val="131727" w:themeColor="text1"/>
                <w:spacing w:val="-12"/>
                <w:w w:val="110"/>
                <w:sz w:val="18"/>
              </w:rPr>
              <w:t xml:space="preserve"> </w:t>
            </w:r>
            <w:r w:rsidRPr="00FD40B8">
              <w:rPr>
                <w:color w:val="131727" w:themeColor="text1"/>
                <w:w w:val="110"/>
                <w:sz w:val="18"/>
              </w:rPr>
              <w:t>in</w:t>
            </w:r>
            <w:r w:rsidRPr="00FD40B8">
              <w:rPr>
                <w:color w:val="131727" w:themeColor="text1"/>
                <w:spacing w:val="-11"/>
                <w:w w:val="110"/>
                <w:sz w:val="18"/>
              </w:rPr>
              <w:t xml:space="preserve"> </w:t>
            </w:r>
            <w:r w:rsidRPr="00FD40B8">
              <w:rPr>
                <w:color w:val="131727" w:themeColor="text1"/>
                <w:w w:val="110"/>
                <w:sz w:val="18"/>
              </w:rPr>
              <w:t>planning,</w:t>
            </w:r>
            <w:r w:rsidRPr="00FD40B8">
              <w:rPr>
                <w:color w:val="131727" w:themeColor="text1"/>
                <w:spacing w:val="-11"/>
                <w:w w:val="110"/>
                <w:sz w:val="18"/>
              </w:rPr>
              <w:t xml:space="preserve"> </w:t>
            </w:r>
            <w:r w:rsidRPr="00FD40B8">
              <w:rPr>
                <w:color w:val="131727" w:themeColor="text1"/>
                <w:w w:val="110"/>
                <w:sz w:val="18"/>
              </w:rPr>
              <w:t>or</w:t>
            </w:r>
            <w:r w:rsidRPr="00FD40B8">
              <w:rPr>
                <w:color w:val="131727" w:themeColor="text1"/>
                <w:spacing w:val="-11"/>
                <w:w w:val="110"/>
                <w:sz w:val="18"/>
              </w:rPr>
              <w:t xml:space="preserve"> </w:t>
            </w:r>
            <w:r w:rsidRPr="00FD40B8">
              <w:rPr>
                <w:color w:val="131727" w:themeColor="text1"/>
                <w:w w:val="110"/>
                <w:sz w:val="18"/>
              </w:rPr>
              <w:t>will</w:t>
            </w:r>
            <w:r w:rsidRPr="00FD40B8">
              <w:rPr>
                <w:color w:val="131727" w:themeColor="text1"/>
                <w:spacing w:val="-11"/>
                <w:w w:val="110"/>
                <w:sz w:val="18"/>
              </w:rPr>
              <w:t xml:space="preserve"> </w:t>
            </w:r>
            <w:r w:rsidRPr="00FD40B8">
              <w:rPr>
                <w:color w:val="131727" w:themeColor="text1"/>
                <w:w w:val="110"/>
                <w:sz w:val="18"/>
              </w:rPr>
              <w:t>not</w:t>
            </w:r>
            <w:r w:rsidRPr="00FD40B8">
              <w:rPr>
                <w:color w:val="131727" w:themeColor="text1"/>
                <w:spacing w:val="-11"/>
                <w:w w:val="110"/>
                <w:sz w:val="18"/>
              </w:rPr>
              <w:t xml:space="preserve"> </w:t>
            </w:r>
            <w:r w:rsidRPr="00FD40B8">
              <w:rPr>
                <w:color w:val="131727" w:themeColor="text1"/>
                <w:w w:val="110"/>
                <w:sz w:val="18"/>
              </w:rPr>
              <w:t>be</w:t>
            </w:r>
            <w:r w:rsidRPr="00FD40B8">
              <w:rPr>
                <w:color w:val="131727" w:themeColor="text1"/>
                <w:spacing w:val="-12"/>
                <w:w w:val="110"/>
                <w:sz w:val="18"/>
              </w:rPr>
              <w:t xml:space="preserve"> </w:t>
            </w:r>
            <w:r w:rsidRPr="00FD40B8">
              <w:rPr>
                <w:color w:val="131727" w:themeColor="text1"/>
                <w:w w:val="110"/>
                <w:sz w:val="18"/>
              </w:rPr>
              <w:t>completed</w:t>
            </w:r>
          </w:p>
          <w:p w14:paraId="17EF64BA" w14:textId="77777777" w:rsidR="00811887" w:rsidRPr="00FD40B8" w:rsidRDefault="00811887" w:rsidP="00486E22">
            <w:pPr>
              <w:pStyle w:val="TableParagraph"/>
              <w:tabs>
                <w:tab w:val="left" w:pos="1549"/>
              </w:tabs>
              <w:spacing w:before="40" w:line="273" w:lineRule="auto"/>
              <w:ind w:left="1549" w:right="257" w:hanging="360"/>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 number of projects funded in regional, rural and remote areas</w:t>
            </w:r>
            <w:r w:rsidRPr="00FD40B8">
              <w:rPr>
                <w:color w:val="131727" w:themeColor="text1"/>
                <w:spacing w:val="-4"/>
                <w:w w:val="110"/>
                <w:sz w:val="18"/>
              </w:rPr>
              <w:t xml:space="preserve"> </w:t>
            </w:r>
            <w:r w:rsidRPr="00FD40B8">
              <w:rPr>
                <w:color w:val="131727" w:themeColor="text1"/>
                <w:w w:val="110"/>
                <w:sz w:val="18"/>
              </w:rPr>
              <w:t>across each</w:t>
            </w:r>
            <w:r w:rsidRPr="00FD40B8">
              <w:rPr>
                <w:color w:val="131727" w:themeColor="text1"/>
                <w:spacing w:val="-3"/>
                <w:w w:val="110"/>
                <w:sz w:val="18"/>
              </w:rPr>
              <w:t xml:space="preserve"> </w:t>
            </w:r>
            <w:r w:rsidRPr="00FD40B8">
              <w:rPr>
                <w:color w:val="131727" w:themeColor="text1"/>
                <w:w w:val="110"/>
                <w:sz w:val="18"/>
              </w:rPr>
              <w:t>State and Territory</w:t>
            </w:r>
          </w:p>
          <w:p w14:paraId="55F7EC5D" w14:textId="77777777" w:rsidR="00811887" w:rsidRPr="00FD40B8" w:rsidRDefault="00811887" w:rsidP="00486E22">
            <w:pPr>
              <w:pStyle w:val="TableParagraph"/>
              <w:tabs>
                <w:tab w:val="left" w:pos="1549"/>
              </w:tabs>
              <w:spacing w:before="33" w:line="266" w:lineRule="auto"/>
              <w:ind w:left="1549" w:right="657" w:hanging="360"/>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total</w:t>
            </w:r>
            <w:r w:rsidRPr="00FD40B8">
              <w:rPr>
                <w:color w:val="131727" w:themeColor="text1"/>
                <w:spacing w:val="-6"/>
                <w:w w:val="110"/>
                <w:sz w:val="18"/>
              </w:rPr>
              <w:t xml:space="preserve"> </w:t>
            </w:r>
            <w:r w:rsidRPr="00FD40B8">
              <w:rPr>
                <w:color w:val="131727" w:themeColor="text1"/>
                <w:w w:val="110"/>
                <w:sz w:val="18"/>
              </w:rPr>
              <w:t>amount</w:t>
            </w:r>
            <w:r w:rsidRPr="00FD40B8">
              <w:rPr>
                <w:color w:val="131727" w:themeColor="text1"/>
                <w:spacing w:val="-6"/>
                <w:w w:val="110"/>
                <w:sz w:val="18"/>
              </w:rPr>
              <w:t xml:space="preserve"> </w:t>
            </w:r>
            <w:r w:rsidRPr="00FD40B8">
              <w:rPr>
                <w:color w:val="131727" w:themeColor="text1"/>
                <w:w w:val="110"/>
                <w:sz w:val="18"/>
              </w:rPr>
              <w:t>of</w:t>
            </w:r>
            <w:r w:rsidRPr="00FD40B8">
              <w:rPr>
                <w:color w:val="131727" w:themeColor="text1"/>
                <w:spacing w:val="-9"/>
                <w:w w:val="110"/>
                <w:sz w:val="18"/>
              </w:rPr>
              <w:t xml:space="preserve"> </w:t>
            </w:r>
            <w:r w:rsidRPr="00FD40B8">
              <w:rPr>
                <w:color w:val="131727" w:themeColor="text1"/>
                <w:w w:val="110"/>
                <w:sz w:val="18"/>
              </w:rPr>
              <w:t>finance</w:t>
            </w:r>
            <w:r w:rsidRPr="00FD40B8">
              <w:rPr>
                <w:color w:val="131727" w:themeColor="text1"/>
                <w:spacing w:val="-7"/>
                <w:w w:val="110"/>
                <w:sz w:val="18"/>
              </w:rPr>
              <w:t xml:space="preserve"> </w:t>
            </w:r>
            <w:r w:rsidRPr="00FD40B8">
              <w:rPr>
                <w:color w:val="131727" w:themeColor="text1"/>
                <w:w w:val="110"/>
                <w:sz w:val="18"/>
              </w:rPr>
              <w:t>under</w:t>
            </w:r>
            <w:r w:rsidRPr="00FD40B8">
              <w:rPr>
                <w:color w:val="131727" w:themeColor="text1"/>
                <w:spacing w:val="-7"/>
                <w:w w:val="110"/>
                <w:sz w:val="18"/>
              </w:rPr>
              <w:t xml:space="preserve"> </w:t>
            </w: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HAFFF provided in respect of those projects</w:t>
            </w:r>
          </w:p>
          <w:p w14:paraId="23339FDA" w14:textId="77777777" w:rsidR="00811887" w:rsidRPr="00FD40B8" w:rsidRDefault="00811887" w:rsidP="00811887">
            <w:pPr>
              <w:pStyle w:val="TableParagraph"/>
              <w:numPr>
                <w:ilvl w:val="0"/>
                <w:numId w:val="41"/>
              </w:numPr>
              <w:tabs>
                <w:tab w:val="left" w:pos="829"/>
              </w:tabs>
              <w:spacing w:line="261" w:lineRule="auto"/>
              <w:ind w:right="107"/>
              <w:rPr>
                <w:color w:val="131727" w:themeColor="text1"/>
                <w:sz w:val="18"/>
              </w:rPr>
            </w:pPr>
            <w:r w:rsidRPr="00FD40B8">
              <w:rPr>
                <w:color w:val="131727" w:themeColor="text1"/>
                <w:w w:val="110"/>
                <w:sz w:val="18"/>
              </w:rPr>
              <w:t>In relation to each project that Housing Australia decided, during</w:t>
            </w:r>
            <w:r w:rsidRPr="00FD40B8">
              <w:rPr>
                <w:color w:val="131727" w:themeColor="text1"/>
                <w:spacing w:val="-6"/>
                <w:w w:val="110"/>
                <w:sz w:val="18"/>
              </w:rPr>
              <w:t xml:space="preserve"> </w:t>
            </w:r>
            <w:r w:rsidRPr="00FD40B8">
              <w:rPr>
                <w:color w:val="131727" w:themeColor="text1"/>
                <w:w w:val="110"/>
                <w:sz w:val="18"/>
              </w:rPr>
              <w:t>the</w:t>
            </w:r>
            <w:r w:rsidRPr="00FD40B8">
              <w:rPr>
                <w:color w:val="131727" w:themeColor="text1"/>
                <w:spacing w:val="-9"/>
                <w:w w:val="110"/>
                <w:sz w:val="18"/>
              </w:rPr>
              <w:t xml:space="preserve"> </w:t>
            </w:r>
            <w:r w:rsidRPr="00FD40B8">
              <w:rPr>
                <w:color w:val="131727" w:themeColor="text1"/>
                <w:w w:val="110"/>
                <w:sz w:val="18"/>
              </w:rPr>
              <w:t>period,</w:t>
            </w:r>
            <w:r w:rsidRPr="00FD40B8">
              <w:rPr>
                <w:color w:val="131727" w:themeColor="text1"/>
                <w:spacing w:val="-7"/>
                <w:w w:val="110"/>
                <w:sz w:val="18"/>
              </w:rPr>
              <w:t xml:space="preserve"> </w:t>
            </w:r>
            <w:r w:rsidRPr="00FD40B8">
              <w:rPr>
                <w:color w:val="131727" w:themeColor="text1"/>
                <w:w w:val="110"/>
                <w:sz w:val="18"/>
              </w:rPr>
              <w:t>to</w:t>
            </w:r>
            <w:r w:rsidRPr="00FD40B8">
              <w:rPr>
                <w:color w:val="131727" w:themeColor="text1"/>
                <w:spacing w:val="-11"/>
                <w:w w:val="110"/>
                <w:sz w:val="18"/>
              </w:rPr>
              <w:t xml:space="preserve"> </w:t>
            </w:r>
            <w:r w:rsidRPr="00FD40B8">
              <w:rPr>
                <w:color w:val="131727" w:themeColor="text1"/>
                <w:w w:val="110"/>
                <w:sz w:val="18"/>
              </w:rPr>
              <w:t>finance</w:t>
            </w:r>
            <w:r w:rsidRPr="00FD40B8">
              <w:rPr>
                <w:color w:val="131727" w:themeColor="text1"/>
                <w:spacing w:val="-6"/>
                <w:w w:val="110"/>
                <w:sz w:val="18"/>
              </w:rPr>
              <w:t xml:space="preserve"> </w:t>
            </w:r>
            <w:r w:rsidRPr="00FD40B8">
              <w:rPr>
                <w:color w:val="131727" w:themeColor="text1"/>
                <w:w w:val="110"/>
                <w:sz w:val="18"/>
              </w:rPr>
              <w:t>under</w:t>
            </w:r>
            <w:r w:rsidRPr="00FD40B8">
              <w:rPr>
                <w:color w:val="131727" w:themeColor="text1"/>
                <w:spacing w:val="-9"/>
                <w:w w:val="110"/>
                <w:sz w:val="18"/>
              </w:rPr>
              <w:t xml:space="preserve"> </w:t>
            </w:r>
            <w:r w:rsidRPr="00FD40B8">
              <w:rPr>
                <w:color w:val="131727" w:themeColor="text1"/>
                <w:w w:val="110"/>
                <w:sz w:val="18"/>
              </w:rPr>
              <w:t>the</w:t>
            </w:r>
            <w:r w:rsidRPr="00FD40B8">
              <w:rPr>
                <w:color w:val="131727" w:themeColor="text1"/>
                <w:spacing w:val="-6"/>
                <w:w w:val="110"/>
                <w:sz w:val="18"/>
              </w:rPr>
              <w:t xml:space="preserve"> </w:t>
            </w:r>
            <w:r w:rsidRPr="00FD40B8">
              <w:rPr>
                <w:color w:val="131727" w:themeColor="text1"/>
                <w:w w:val="110"/>
                <w:sz w:val="18"/>
              </w:rPr>
              <w:t>HAFF—</w:t>
            </w:r>
            <w:r w:rsidRPr="00FD40B8">
              <w:rPr>
                <w:color w:val="131727" w:themeColor="text1"/>
                <w:spacing w:val="-6"/>
                <w:w w:val="110"/>
                <w:sz w:val="18"/>
              </w:rPr>
              <w:t xml:space="preserve"> </w:t>
            </w:r>
            <w:r w:rsidRPr="00FD40B8">
              <w:rPr>
                <w:color w:val="131727" w:themeColor="text1"/>
                <w:w w:val="110"/>
                <w:sz w:val="18"/>
              </w:rPr>
              <w:t>the</w:t>
            </w:r>
            <w:r w:rsidRPr="00FD40B8">
              <w:rPr>
                <w:color w:val="131727" w:themeColor="text1"/>
                <w:spacing w:val="-6"/>
                <w:w w:val="110"/>
                <w:sz w:val="18"/>
              </w:rPr>
              <w:t xml:space="preserve"> </w:t>
            </w:r>
            <w:r w:rsidRPr="00FD40B8">
              <w:rPr>
                <w:color w:val="131727" w:themeColor="text1"/>
                <w:w w:val="110"/>
                <w:sz w:val="18"/>
              </w:rPr>
              <w:t xml:space="preserve">following </w:t>
            </w:r>
            <w:r w:rsidRPr="00FD40B8">
              <w:rPr>
                <w:color w:val="131727" w:themeColor="text1"/>
                <w:spacing w:val="-2"/>
                <w:w w:val="110"/>
                <w:sz w:val="18"/>
              </w:rPr>
              <w:t>information:</w:t>
            </w:r>
          </w:p>
          <w:p w14:paraId="0E882F89" w14:textId="77777777" w:rsidR="00811887" w:rsidRPr="00FD40B8" w:rsidRDefault="00811887" w:rsidP="00486E22">
            <w:pPr>
              <w:pStyle w:val="TableParagraph"/>
              <w:tabs>
                <w:tab w:val="left" w:pos="1549"/>
              </w:tabs>
              <w:spacing w:before="13" w:line="240" w:lineRule="auto"/>
              <w:ind w:left="1189"/>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project</w:t>
            </w:r>
            <w:r w:rsidRPr="00FD40B8">
              <w:rPr>
                <w:color w:val="131727" w:themeColor="text1"/>
                <w:spacing w:val="-5"/>
                <w:w w:val="110"/>
                <w:sz w:val="18"/>
              </w:rPr>
              <w:t xml:space="preserve"> </w:t>
            </w:r>
            <w:r w:rsidRPr="00FD40B8">
              <w:rPr>
                <w:color w:val="131727" w:themeColor="text1"/>
                <w:w w:val="110"/>
                <w:sz w:val="18"/>
              </w:rPr>
              <w:t>proponent</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2"/>
                <w:w w:val="110"/>
                <w:sz w:val="18"/>
              </w:rPr>
              <w:t xml:space="preserve"> </w:t>
            </w:r>
            <w:r w:rsidRPr="00FD40B8">
              <w:rPr>
                <w:color w:val="131727" w:themeColor="text1"/>
                <w:w w:val="110"/>
                <w:sz w:val="18"/>
              </w:rPr>
              <w:t>the</w:t>
            </w:r>
            <w:r w:rsidRPr="00FD40B8">
              <w:rPr>
                <w:color w:val="131727" w:themeColor="text1"/>
                <w:spacing w:val="-6"/>
                <w:w w:val="110"/>
                <w:sz w:val="18"/>
              </w:rPr>
              <w:t xml:space="preserve"> </w:t>
            </w:r>
            <w:r w:rsidRPr="00FD40B8">
              <w:rPr>
                <w:color w:val="131727" w:themeColor="text1"/>
                <w:spacing w:val="-2"/>
                <w:w w:val="110"/>
                <w:sz w:val="18"/>
              </w:rPr>
              <w:t>project</w:t>
            </w:r>
          </w:p>
          <w:p w14:paraId="19945D3C" w14:textId="77777777" w:rsidR="00811887" w:rsidRPr="00FD40B8" w:rsidRDefault="00811887" w:rsidP="00486E22">
            <w:pPr>
              <w:pStyle w:val="TableParagraph"/>
              <w:tabs>
                <w:tab w:val="left" w:pos="1549"/>
              </w:tabs>
              <w:spacing w:before="22" w:line="230" w:lineRule="atLeast"/>
              <w:ind w:left="1549" w:right="113"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Statistical</w:t>
            </w:r>
            <w:r w:rsidRPr="00FD40B8">
              <w:rPr>
                <w:color w:val="131727" w:themeColor="text1"/>
                <w:spacing w:val="-6"/>
                <w:w w:val="110"/>
                <w:sz w:val="18"/>
              </w:rPr>
              <w:t xml:space="preserve"> </w:t>
            </w:r>
            <w:r w:rsidRPr="00FD40B8">
              <w:rPr>
                <w:color w:val="131727" w:themeColor="text1"/>
                <w:w w:val="110"/>
                <w:sz w:val="18"/>
              </w:rPr>
              <w:t>Area</w:t>
            </w:r>
            <w:r w:rsidRPr="00FD40B8">
              <w:rPr>
                <w:color w:val="131727" w:themeColor="text1"/>
                <w:spacing w:val="-9"/>
                <w:w w:val="110"/>
                <w:sz w:val="18"/>
              </w:rPr>
              <w:t xml:space="preserve"> </w:t>
            </w:r>
            <w:r w:rsidRPr="00FD40B8">
              <w:rPr>
                <w:color w:val="131727" w:themeColor="text1"/>
                <w:w w:val="110"/>
                <w:sz w:val="18"/>
              </w:rPr>
              <w:t>Level</w:t>
            </w:r>
            <w:r w:rsidRPr="00FD40B8">
              <w:rPr>
                <w:color w:val="131727" w:themeColor="text1"/>
                <w:spacing w:val="-6"/>
                <w:w w:val="110"/>
                <w:sz w:val="18"/>
              </w:rPr>
              <w:t xml:space="preserve"> </w:t>
            </w:r>
            <w:r w:rsidRPr="00FD40B8">
              <w:rPr>
                <w:color w:val="131727" w:themeColor="text1"/>
                <w:w w:val="110"/>
                <w:sz w:val="18"/>
              </w:rPr>
              <w:t>4</w:t>
            </w:r>
            <w:r w:rsidRPr="00FD40B8">
              <w:rPr>
                <w:color w:val="131727" w:themeColor="text1"/>
                <w:spacing w:val="-7"/>
                <w:w w:val="110"/>
                <w:sz w:val="18"/>
              </w:rPr>
              <w:t xml:space="preserve"> </w:t>
            </w:r>
            <w:r w:rsidRPr="00FD40B8">
              <w:rPr>
                <w:color w:val="131727" w:themeColor="text1"/>
                <w:w w:val="110"/>
                <w:sz w:val="18"/>
              </w:rPr>
              <w:t>area</w:t>
            </w:r>
            <w:r w:rsidRPr="00FD40B8">
              <w:rPr>
                <w:color w:val="131727" w:themeColor="text1"/>
                <w:spacing w:val="-5"/>
                <w:w w:val="110"/>
                <w:sz w:val="18"/>
              </w:rPr>
              <w:t xml:space="preserve"> </w:t>
            </w:r>
            <w:r w:rsidRPr="00FD40B8">
              <w:rPr>
                <w:color w:val="131727" w:themeColor="text1"/>
                <w:w w:val="110"/>
                <w:sz w:val="18"/>
              </w:rPr>
              <w:t>in</w:t>
            </w:r>
            <w:r w:rsidRPr="00FD40B8">
              <w:rPr>
                <w:color w:val="131727" w:themeColor="text1"/>
                <w:spacing w:val="-10"/>
                <w:w w:val="110"/>
                <w:sz w:val="18"/>
              </w:rPr>
              <w:t xml:space="preserve"> </w:t>
            </w:r>
            <w:r w:rsidRPr="00FD40B8">
              <w:rPr>
                <w:color w:val="131727" w:themeColor="text1"/>
                <w:w w:val="110"/>
                <w:sz w:val="18"/>
              </w:rPr>
              <w:t>which</w:t>
            </w:r>
            <w:r w:rsidRPr="00FD40B8">
              <w:rPr>
                <w:color w:val="131727" w:themeColor="text1"/>
                <w:spacing w:val="-10"/>
                <w:w w:val="110"/>
                <w:sz w:val="18"/>
              </w:rPr>
              <w:t xml:space="preserve"> </w:t>
            </w: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project is located</w:t>
            </w:r>
          </w:p>
        </w:tc>
        <w:tc>
          <w:tcPr>
            <w:tcW w:w="1562" w:type="dxa"/>
            <w:shd w:val="clear" w:color="auto" w:fill="EEF1F4"/>
          </w:tcPr>
          <w:p w14:paraId="6BC97EB1" w14:textId="77777777" w:rsidR="00811887" w:rsidRPr="00FD40B8" w:rsidRDefault="00811887" w:rsidP="00486E22">
            <w:pPr>
              <w:pStyle w:val="TableParagraph"/>
              <w:spacing w:before="25" w:line="273" w:lineRule="auto"/>
              <w:ind w:left="107" w:right="206"/>
              <w:rPr>
                <w:color w:val="131727" w:themeColor="text1"/>
                <w:sz w:val="18"/>
              </w:rPr>
            </w:pPr>
            <w:r w:rsidRPr="00FD40B8">
              <w:rPr>
                <w:color w:val="131727" w:themeColor="text1"/>
                <w:w w:val="110"/>
                <w:sz w:val="18"/>
              </w:rPr>
              <w:t>Reporting</w:t>
            </w:r>
            <w:r w:rsidRPr="00FD40B8">
              <w:rPr>
                <w:color w:val="131727" w:themeColor="text1"/>
                <w:spacing w:val="-8"/>
                <w:w w:val="110"/>
                <w:sz w:val="18"/>
              </w:rPr>
              <w:t xml:space="preserve"> </w:t>
            </w:r>
            <w:r w:rsidRPr="00FD40B8">
              <w:rPr>
                <w:color w:val="131727" w:themeColor="text1"/>
                <w:w w:val="110"/>
                <w:sz w:val="18"/>
              </w:rPr>
              <w:t>data from Housing Australia</w:t>
            </w:r>
            <w:r w:rsidRPr="00FD40B8">
              <w:rPr>
                <w:color w:val="131727" w:themeColor="text1"/>
                <w:spacing w:val="-12"/>
                <w:w w:val="110"/>
                <w:sz w:val="18"/>
              </w:rPr>
              <w:t xml:space="preserve"> </w:t>
            </w:r>
            <w:r w:rsidRPr="00FD40B8">
              <w:rPr>
                <w:color w:val="131727" w:themeColor="text1"/>
                <w:w w:val="110"/>
                <w:sz w:val="18"/>
              </w:rPr>
              <w:t>to</w:t>
            </w:r>
            <w:r w:rsidRPr="00FD40B8">
              <w:rPr>
                <w:color w:val="131727" w:themeColor="text1"/>
                <w:spacing w:val="-11"/>
                <w:w w:val="110"/>
                <w:sz w:val="18"/>
              </w:rPr>
              <w:t xml:space="preserve"> </w:t>
            </w:r>
            <w:r w:rsidRPr="00FD40B8">
              <w:rPr>
                <w:color w:val="131727" w:themeColor="text1"/>
                <w:w w:val="110"/>
                <w:sz w:val="18"/>
              </w:rPr>
              <w:t xml:space="preserve">the </w:t>
            </w:r>
            <w:r w:rsidRPr="00FD40B8">
              <w:rPr>
                <w:color w:val="131727" w:themeColor="text1"/>
                <w:spacing w:val="-2"/>
                <w:w w:val="110"/>
                <w:sz w:val="18"/>
              </w:rPr>
              <w:t>Minister.</w:t>
            </w:r>
          </w:p>
        </w:tc>
        <w:tc>
          <w:tcPr>
            <w:tcW w:w="2657" w:type="dxa"/>
            <w:shd w:val="clear" w:color="auto" w:fill="EEF1F4"/>
          </w:tcPr>
          <w:p w14:paraId="2C0E3979" w14:textId="77777777" w:rsidR="00811887" w:rsidRPr="00FD40B8" w:rsidRDefault="00811887" w:rsidP="00486E22">
            <w:pPr>
              <w:pStyle w:val="TableParagraph"/>
              <w:spacing w:before="25" w:line="273" w:lineRule="auto"/>
              <w:ind w:left="101"/>
              <w:rPr>
                <w:color w:val="131727" w:themeColor="text1"/>
                <w:sz w:val="18"/>
              </w:rPr>
            </w:pP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data</w:t>
            </w:r>
            <w:r w:rsidRPr="00FD40B8">
              <w:rPr>
                <w:color w:val="131727" w:themeColor="text1"/>
                <w:spacing w:val="-5"/>
                <w:w w:val="110"/>
                <w:sz w:val="18"/>
              </w:rPr>
              <w:t xml:space="preserve"> </w:t>
            </w:r>
            <w:r w:rsidRPr="00FD40B8">
              <w:rPr>
                <w:color w:val="131727" w:themeColor="text1"/>
                <w:w w:val="110"/>
                <w:sz w:val="18"/>
              </w:rPr>
              <w:t>does</w:t>
            </w:r>
            <w:r w:rsidRPr="00FD40B8">
              <w:rPr>
                <w:color w:val="131727" w:themeColor="text1"/>
                <w:spacing w:val="-3"/>
                <w:w w:val="110"/>
                <w:sz w:val="18"/>
              </w:rPr>
              <w:t xml:space="preserve"> </w:t>
            </w:r>
            <w:r w:rsidRPr="00FD40B8">
              <w:rPr>
                <w:color w:val="131727" w:themeColor="text1"/>
                <w:w w:val="110"/>
                <w:sz w:val="18"/>
              </w:rPr>
              <w:t>not</w:t>
            </w:r>
            <w:r w:rsidRPr="00FD40B8">
              <w:rPr>
                <w:color w:val="131727" w:themeColor="text1"/>
                <w:spacing w:val="-3"/>
                <w:w w:val="110"/>
                <w:sz w:val="18"/>
              </w:rPr>
              <w:t xml:space="preserve"> </w:t>
            </w:r>
            <w:r w:rsidRPr="00FD40B8">
              <w:rPr>
                <w:color w:val="131727" w:themeColor="text1"/>
                <w:w w:val="110"/>
                <w:sz w:val="18"/>
              </w:rPr>
              <w:t>provide an estimate of need, rather reporting</w:t>
            </w:r>
            <w:r w:rsidRPr="00FD40B8">
              <w:rPr>
                <w:color w:val="131727" w:themeColor="text1"/>
                <w:spacing w:val="-3"/>
                <w:w w:val="110"/>
                <w:sz w:val="18"/>
              </w:rPr>
              <w:t xml:space="preserve"> </w:t>
            </w:r>
            <w:r w:rsidRPr="00FD40B8">
              <w:rPr>
                <w:color w:val="131727" w:themeColor="text1"/>
                <w:w w:val="110"/>
                <w:sz w:val="18"/>
              </w:rPr>
              <w:t>on</w:t>
            </w:r>
            <w:r w:rsidRPr="00FD40B8">
              <w:rPr>
                <w:color w:val="131727" w:themeColor="text1"/>
                <w:spacing w:val="-9"/>
                <w:w w:val="110"/>
                <w:sz w:val="18"/>
              </w:rPr>
              <w:t xml:space="preserve"> </w:t>
            </w:r>
            <w:r w:rsidRPr="00FD40B8">
              <w:rPr>
                <w:color w:val="131727" w:themeColor="text1"/>
                <w:w w:val="110"/>
                <w:sz w:val="18"/>
              </w:rPr>
              <w:t>houses</w:t>
            </w:r>
            <w:r w:rsidRPr="00FD40B8">
              <w:rPr>
                <w:color w:val="131727" w:themeColor="text1"/>
                <w:spacing w:val="-2"/>
                <w:w w:val="110"/>
                <w:sz w:val="18"/>
              </w:rPr>
              <w:t xml:space="preserve"> </w:t>
            </w:r>
            <w:r w:rsidRPr="00FD40B8">
              <w:rPr>
                <w:color w:val="131727" w:themeColor="text1"/>
                <w:w w:val="110"/>
                <w:sz w:val="18"/>
              </w:rPr>
              <w:t>financed under the HAFF.</w:t>
            </w:r>
          </w:p>
          <w:p w14:paraId="38BFA376" w14:textId="77777777" w:rsidR="00811887" w:rsidRPr="00FD40B8" w:rsidRDefault="00811887" w:rsidP="00486E22">
            <w:pPr>
              <w:pStyle w:val="TableParagraph"/>
              <w:spacing w:before="34" w:line="240" w:lineRule="auto"/>
              <w:rPr>
                <w:rFonts w:ascii="Book Antiqua"/>
                <w:b/>
                <w:color w:val="131727" w:themeColor="text1"/>
                <w:sz w:val="18"/>
              </w:rPr>
            </w:pPr>
          </w:p>
          <w:p w14:paraId="2AEEAACE" w14:textId="77777777" w:rsidR="00811887" w:rsidRPr="00FD40B8" w:rsidRDefault="00811887" w:rsidP="00486E22">
            <w:pPr>
              <w:pStyle w:val="TableParagraph"/>
              <w:spacing w:line="273" w:lineRule="auto"/>
              <w:ind w:left="101"/>
              <w:rPr>
                <w:color w:val="131727" w:themeColor="text1"/>
                <w:sz w:val="18"/>
              </w:rPr>
            </w:pPr>
            <w:r w:rsidRPr="00FD40B8">
              <w:rPr>
                <w:color w:val="131727" w:themeColor="text1"/>
                <w:w w:val="110"/>
                <w:sz w:val="18"/>
              </w:rPr>
              <w:t>The</w:t>
            </w:r>
            <w:r w:rsidRPr="00FD40B8">
              <w:rPr>
                <w:color w:val="131727" w:themeColor="text1"/>
                <w:spacing w:val="-6"/>
                <w:w w:val="110"/>
                <w:sz w:val="18"/>
              </w:rPr>
              <w:t xml:space="preserve"> </w:t>
            </w:r>
            <w:r w:rsidRPr="00FD40B8">
              <w:rPr>
                <w:color w:val="131727" w:themeColor="text1"/>
                <w:w w:val="110"/>
                <w:sz w:val="18"/>
              </w:rPr>
              <w:t>data</w:t>
            </w:r>
            <w:r w:rsidRPr="00FD40B8">
              <w:rPr>
                <w:color w:val="131727" w:themeColor="text1"/>
                <w:spacing w:val="-8"/>
                <w:w w:val="110"/>
                <w:sz w:val="18"/>
              </w:rPr>
              <w:t xml:space="preserve"> </w:t>
            </w:r>
            <w:r w:rsidRPr="00FD40B8">
              <w:rPr>
                <w:color w:val="131727" w:themeColor="text1"/>
                <w:w w:val="110"/>
                <w:sz w:val="18"/>
              </w:rPr>
              <w:t>does</w:t>
            </w:r>
            <w:r w:rsidRPr="00FD40B8">
              <w:rPr>
                <w:color w:val="131727" w:themeColor="text1"/>
                <w:spacing w:val="-6"/>
                <w:w w:val="110"/>
                <w:sz w:val="18"/>
              </w:rPr>
              <w:t xml:space="preserve"> </w:t>
            </w:r>
            <w:r w:rsidRPr="00FD40B8">
              <w:rPr>
                <w:color w:val="131727" w:themeColor="text1"/>
                <w:w w:val="110"/>
                <w:sz w:val="18"/>
              </w:rPr>
              <w:t>not</w:t>
            </w:r>
            <w:r w:rsidRPr="00FD40B8">
              <w:rPr>
                <w:color w:val="131727" w:themeColor="text1"/>
                <w:spacing w:val="-6"/>
                <w:w w:val="110"/>
                <w:sz w:val="18"/>
              </w:rPr>
              <w:t xml:space="preserve"> </w:t>
            </w:r>
            <w:r w:rsidRPr="00FD40B8">
              <w:rPr>
                <w:color w:val="131727" w:themeColor="text1"/>
                <w:w w:val="110"/>
                <w:sz w:val="18"/>
              </w:rPr>
              <w:t>specify whether housing is for Aboriginal</w:t>
            </w:r>
            <w:r w:rsidRPr="00FD40B8">
              <w:rPr>
                <w:color w:val="131727" w:themeColor="text1"/>
                <w:spacing w:val="-12"/>
                <w:w w:val="110"/>
                <w:sz w:val="18"/>
              </w:rPr>
              <w:t xml:space="preserve"> </w:t>
            </w:r>
            <w:r w:rsidRPr="00FD40B8">
              <w:rPr>
                <w:color w:val="131727" w:themeColor="text1"/>
                <w:w w:val="110"/>
                <w:sz w:val="18"/>
              </w:rPr>
              <w:t>or</w:t>
            </w:r>
            <w:r w:rsidRPr="00FD40B8">
              <w:rPr>
                <w:color w:val="131727" w:themeColor="text1"/>
                <w:spacing w:val="-11"/>
                <w:w w:val="110"/>
                <w:sz w:val="18"/>
              </w:rPr>
              <w:t xml:space="preserve"> </w:t>
            </w:r>
            <w:r w:rsidRPr="00FD40B8">
              <w:rPr>
                <w:color w:val="131727" w:themeColor="text1"/>
                <w:w w:val="110"/>
                <w:sz w:val="18"/>
              </w:rPr>
              <w:t>Torres</w:t>
            </w:r>
            <w:r w:rsidRPr="00FD40B8">
              <w:rPr>
                <w:color w:val="131727" w:themeColor="text1"/>
                <w:spacing w:val="-11"/>
                <w:w w:val="110"/>
                <w:sz w:val="18"/>
              </w:rPr>
              <w:t xml:space="preserve"> </w:t>
            </w:r>
            <w:r w:rsidRPr="00FD40B8">
              <w:rPr>
                <w:color w:val="131727" w:themeColor="text1"/>
                <w:w w:val="110"/>
                <w:sz w:val="18"/>
              </w:rPr>
              <w:t>Strait Islander people.</w:t>
            </w:r>
          </w:p>
          <w:p w14:paraId="211B5883" w14:textId="77777777" w:rsidR="00811887" w:rsidRPr="00FD40B8" w:rsidRDefault="00811887" w:rsidP="00486E22">
            <w:pPr>
              <w:pStyle w:val="TableParagraph"/>
              <w:spacing w:before="29" w:line="240" w:lineRule="auto"/>
              <w:rPr>
                <w:rFonts w:ascii="Book Antiqua"/>
                <w:b/>
                <w:color w:val="131727" w:themeColor="text1"/>
                <w:sz w:val="18"/>
              </w:rPr>
            </w:pPr>
          </w:p>
          <w:p w14:paraId="311F4B7E" w14:textId="77777777" w:rsidR="00811887" w:rsidRPr="00FD40B8" w:rsidRDefault="00811887" w:rsidP="00486E22">
            <w:pPr>
              <w:pStyle w:val="TableParagraph"/>
              <w:spacing w:before="1" w:line="273" w:lineRule="auto"/>
              <w:ind w:left="101" w:right="259"/>
              <w:rPr>
                <w:color w:val="131727" w:themeColor="text1"/>
                <w:sz w:val="18"/>
              </w:rPr>
            </w:pPr>
            <w:r w:rsidRPr="00FD40B8">
              <w:rPr>
                <w:color w:val="131727" w:themeColor="text1"/>
                <w:w w:val="110"/>
                <w:sz w:val="18"/>
              </w:rPr>
              <w:t>Does not provide data on community</w:t>
            </w:r>
            <w:r w:rsidRPr="00FD40B8">
              <w:rPr>
                <w:color w:val="131727" w:themeColor="text1"/>
                <w:spacing w:val="-12"/>
                <w:w w:val="110"/>
                <w:sz w:val="18"/>
              </w:rPr>
              <w:t xml:space="preserve"> </w:t>
            </w:r>
            <w:r w:rsidRPr="00FD40B8">
              <w:rPr>
                <w:color w:val="131727" w:themeColor="text1"/>
                <w:w w:val="110"/>
                <w:sz w:val="18"/>
              </w:rPr>
              <w:t>infrastructure</w:t>
            </w:r>
            <w:r w:rsidRPr="00FD40B8">
              <w:rPr>
                <w:color w:val="131727" w:themeColor="text1"/>
                <w:spacing w:val="-11"/>
                <w:w w:val="110"/>
                <w:sz w:val="18"/>
              </w:rPr>
              <w:t xml:space="preserve"> </w:t>
            </w:r>
            <w:r w:rsidRPr="00FD40B8">
              <w:rPr>
                <w:color w:val="131727" w:themeColor="text1"/>
                <w:w w:val="110"/>
                <w:sz w:val="18"/>
              </w:rPr>
              <w:t xml:space="preserve">or </w:t>
            </w:r>
            <w:r w:rsidRPr="00FD40B8">
              <w:rPr>
                <w:color w:val="131727" w:themeColor="text1"/>
                <w:spacing w:val="-2"/>
                <w:w w:val="110"/>
                <w:sz w:val="18"/>
              </w:rPr>
              <w:t>services.</w:t>
            </w:r>
          </w:p>
        </w:tc>
      </w:tr>
    </w:tbl>
    <w:p w14:paraId="4C35EC84" w14:textId="77777777" w:rsidR="00811887" w:rsidRPr="00FD40B8" w:rsidRDefault="00811887" w:rsidP="00811887">
      <w:pPr>
        <w:pStyle w:val="BodyText"/>
        <w:spacing w:before="10"/>
        <w:rPr>
          <w:rFonts w:ascii="Book Antiqua"/>
          <w:b/>
          <w:color w:val="131727" w:themeColor="text1"/>
          <w:sz w:val="12"/>
        </w:rPr>
      </w:pPr>
      <w:r w:rsidRPr="00FD40B8">
        <w:rPr>
          <w:noProof/>
          <w:color w:val="131727" w:themeColor="text1"/>
        </w:rPr>
        <mc:AlternateContent>
          <mc:Choice Requires="wps">
            <w:drawing>
              <wp:anchor distT="0" distB="0" distL="0" distR="0" simplePos="0" relativeHeight="251778048" behindDoc="1" locked="0" layoutInCell="1" allowOverlap="1" wp14:anchorId="6D838469" wp14:editId="697B9119">
                <wp:simplePos x="0" y="0"/>
                <wp:positionH relativeFrom="page">
                  <wp:posOffset>899464</wp:posOffset>
                </wp:positionH>
                <wp:positionV relativeFrom="paragraph">
                  <wp:posOffset>113797</wp:posOffset>
                </wp:positionV>
                <wp:extent cx="1829435" cy="6350"/>
                <wp:effectExtent l="0" t="0" r="0" b="0"/>
                <wp:wrapTopAndBottom/>
                <wp:docPr id="243" name="Graphic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A81A0" id="Graphic 243" o:spid="_x0000_s1026" alt="&quot;&quot;" style="position:absolute;margin-left:70.8pt;margin-top:8.95pt;width:144.05pt;height:.5pt;z-index:-2515384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" path="m1829435,l,,,6095r1829435,l1829435,xe" fillcolor="black" stroked="f">
                <v:path arrowok="t"/>
                <w10:wrap type="topAndBottom" anchorx="page"/>
              </v:shape>
            </w:pict>
          </mc:Fallback>
        </mc:AlternateContent>
      </w:r>
    </w:p>
    <w:p w14:paraId="4BBF70AC" w14:textId="77777777" w:rsidR="00811887" w:rsidRPr="00FD40B8" w:rsidRDefault="00811887" w:rsidP="00811887">
      <w:pPr>
        <w:spacing w:before="123" w:line="266" w:lineRule="auto"/>
        <w:ind w:left="136"/>
        <w:rPr>
          <w:color w:val="131727" w:themeColor="text1"/>
          <w:sz w:val="16"/>
        </w:rPr>
      </w:pPr>
      <w:bookmarkStart w:id="231" w:name="_bookmark120"/>
      <w:bookmarkEnd w:id="231"/>
      <w:r w:rsidRPr="00FD40B8">
        <w:rPr>
          <w:color w:val="131727" w:themeColor="text1"/>
          <w:w w:val="105"/>
          <w:position w:val="6"/>
          <w:sz w:val="10"/>
        </w:rPr>
        <w:t>95</w:t>
      </w:r>
      <w:r w:rsidRPr="00FD40B8">
        <w:rPr>
          <w:color w:val="131727" w:themeColor="text1"/>
          <w:spacing w:val="37"/>
          <w:w w:val="105"/>
          <w:position w:val="6"/>
          <w:sz w:val="10"/>
        </w:rPr>
        <w:t xml:space="preserve"> </w:t>
      </w:r>
      <w:r w:rsidRPr="00FD40B8">
        <w:rPr>
          <w:color w:val="131727" w:themeColor="text1"/>
          <w:w w:val="105"/>
          <w:sz w:val="16"/>
        </w:rPr>
        <w:t>Federal</w:t>
      </w:r>
      <w:r w:rsidRPr="00FD40B8">
        <w:rPr>
          <w:color w:val="131727" w:themeColor="text1"/>
          <w:spacing w:val="19"/>
          <w:w w:val="105"/>
          <w:sz w:val="16"/>
        </w:rPr>
        <w:t xml:space="preserve"> </w:t>
      </w:r>
      <w:r w:rsidRPr="00FD40B8">
        <w:rPr>
          <w:color w:val="131727" w:themeColor="text1"/>
          <w:w w:val="105"/>
          <w:sz w:val="16"/>
        </w:rPr>
        <w:t>Register</w:t>
      </w:r>
      <w:r w:rsidRPr="00FD40B8">
        <w:rPr>
          <w:color w:val="131727" w:themeColor="text1"/>
          <w:spacing w:val="23"/>
          <w:w w:val="105"/>
          <w:sz w:val="16"/>
        </w:rPr>
        <w:t xml:space="preserve"> </w:t>
      </w:r>
      <w:r w:rsidRPr="00FD40B8">
        <w:rPr>
          <w:color w:val="131727" w:themeColor="text1"/>
          <w:w w:val="105"/>
          <w:sz w:val="16"/>
        </w:rPr>
        <w:t>of</w:t>
      </w:r>
      <w:r w:rsidRPr="00FD40B8">
        <w:rPr>
          <w:color w:val="131727" w:themeColor="text1"/>
          <w:spacing w:val="23"/>
          <w:w w:val="105"/>
          <w:sz w:val="16"/>
        </w:rPr>
        <w:t xml:space="preserve"> </w:t>
      </w:r>
      <w:r w:rsidRPr="00FD40B8">
        <w:rPr>
          <w:color w:val="131727" w:themeColor="text1"/>
          <w:w w:val="105"/>
          <w:sz w:val="16"/>
        </w:rPr>
        <w:t>Legislation</w:t>
      </w:r>
      <w:r w:rsidRPr="00FD40B8">
        <w:rPr>
          <w:color w:val="131727" w:themeColor="text1"/>
          <w:spacing w:val="26"/>
          <w:w w:val="105"/>
          <w:sz w:val="16"/>
        </w:rPr>
        <w:t xml:space="preserve"> </w:t>
      </w:r>
      <w:r w:rsidRPr="00FD40B8">
        <w:rPr>
          <w:color w:val="131727" w:themeColor="text1"/>
          <w:w w:val="105"/>
          <w:sz w:val="16"/>
        </w:rPr>
        <w:t>2024.</w:t>
      </w:r>
      <w:r w:rsidRPr="00FD40B8">
        <w:rPr>
          <w:color w:val="131727" w:themeColor="text1"/>
          <w:spacing w:val="23"/>
          <w:w w:val="105"/>
          <w:sz w:val="16"/>
        </w:rPr>
        <w:t xml:space="preserve"> </w:t>
      </w:r>
      <w:r w:rsidRPr="00FD40B8">
        <w:rPr>
          <w:color w:val="131727" w:themeColor="text1"/>
          <w:w w:val="105"/>
          <w:sz w:val="16"/>
        </w:rPr>
        <w:t>Housing</w:t>
      </w:r>
      <w:r w:rsidRPr="00FD40B8">
        <w:rPr>
          <w:color w:val="131727" w:themeColor="text1"/>
          <w:spacing w:val="21"/>
          <w:w w:val="105"/>
          <w:sz w:val="16"/>
        </w:rPr>
        <w:t xml:space="preserve"> </w:t>
      </w:r>
      <w:r w:rsidRPr="00FD40B8">
        <w:rPr>
          <w:color w:val="131727" w:themeColor="text1"/>
          <w:w w:val="105"/>
          <w:sz w:val="16"/>
        </w:rPr>
        <w:t>Australia</w:t>
      </w:r>
      <w:r w:rsidRPr="00FD40B8">
        <w:rPr>
          <w:color w:val="131727" w:themeColor="text1"/>
          <w:spacing w:val="26"/>
          <w:w w:val="105"/>
          <w:sz w:val="16"/>
        </w:rPr>
        <w:t xml:space="preserve"> </w:t>
      </w:r>
      <w:r w:rsidRPr="00FD40B8">
        <w:rPr>
          <w:color w:val="131727" w:themeColor="text1"/>
          <w:w w:val="105"/>
          <w:sz w:val="16"/>
        </w:rPr>
        <w:t>Investment</w:t>
      </w:r>
      <w:r w:rsidRPr="00FD40B8">
        <w:rPr>
          <w:color w:val="131727" w:themeColor="text1"/>
          <w:spacing w:val="29"/>
          <w:w w:val="105"/>
          <w:sz w:val="16"/>
        </w:rPr>
        <w:t xml:space="preserve"> </w:t>
      </w:r>
      <w:r w:rsidRPr="00FD40B8">
        <w:rPr>
          <w:color w:val="131727" w:themeColor="text1"/>
          <w:w w:val="105"/>
          <w:sz w:val="16"/>
        </w:rPr>
        <w:t>Mandate</w:t>
      </w:r>
      <w:r w:rsidRPr="00FD40B8">
        <w:rPr>
          <w:color w:val="131727" w:themeColor="text1"/>
          <w:spacing w:val="22"/>
          <w:w w:val="105"/>
          <w:sz w:val="16"/>
        </w:rPr>
        <w:t xml:space="preserve"> </w:t>
      </w:r>
      <w:r w:rsidRPr="00FD40B8">
        <w:rPr>
          <w:color w:val="131727" w:themeColor="text1"/>
          <w:w w:val="105"/>
          <w:sz w:val="16"/>
        </w:rPr>
        <w:t>Amendment</w:t>
      </w:r>
      <w:r w:rsidRPr="00FD40B8">
        <w:rPr>
          <w:color w:val="131727" w:themeColor="text1"/>
          <w:spacing w:val="22"/>
          <w:w w:val="105"/>
          <w:sz w:val="16"/>
        </w:rPr>
        <w:t xml:space="preserve"> </w:t>
      </w:r>
      <w:r w:rsidRPr="00FD40B8">
        <w:rPr>
          <w:color w:val="131727" w:themeColor="text1"/>
          <w:w w:val="105"/>
          <w:sz w:val="16"/>
        </w:rPr>
        <w:t>(Social</w:t>
      </w:r>
      <w:r w:rsidRPr="00FD40B8">
        <w:rPr>
          <w:color w:val="131727" w:themeColor="text1"/>
          <w:spacing w:val="19"/>
          <w:w w:val="105"/>
          <w:sz w:val="16"/>
        </w:rPr>
        <w:t xml:space="preserve"> </w:t>
      </w:r>
      <w:r w:rsidRPr="00FD40B8">
        <w:rPr>
          <w:color w:val="131727" w:themeColor="text1"/>
          <w:w w:val="105"/>
          <w:sz w:val="16"/>
        </w:rPr>
        <w:t>Housing,</w:t>
      </w:r>
      <w:r w:rsidRPr="00FD40B8">
        <w:rPr>
          <w:color w:val="131727" w:themeColor="text1"/>
          <w:spacing w:val="22"/>
          <w:w w:val="105"/>
          <w:sz w:val="16"/>
        </w:rPr>
        <w:t xml:space="preserve"> </w:t>
      </w:r>
      <w:r w:rsidRPr="00FD40B8">
        <w:rPr>
          <w:color w:val="131727" w:themeColor="text1"/>
          <w:w w:val="105"/>
          <w:sz w:val="16"/>
        </w:rPr>
        <w:t>Affordable</w:t>
      </w:r>
      <w:r w:rsidRPr="00FD40B8">
        <w:rPr>
          <w:color w:val="131727" w:themeColor="text1"/>
          <w:spacing w:val="22"/>
          <w:w w:val="105"/>
          <w:sz w:val="16"/>
        </w:rPr>
        <w:t xml:space="preserve"> </w:t>
      </w:r>
      <w:r w:rsidRPr="00FD40B8">
        <w:rPr>
          <w:color w:val="131727" w:themeColor="text1"/>
          <w:w w:val="105"/>
          <w:sz w:val="16"/>
        </w:rPr>
        <w:t>Housing</w:t>
      </w:r>
      <w:r w:rsidRPr="00FD40B8">
        <w:rPr>
          <w:color w:val="131727" w:themeColor="text1"/>
          <w:spacing w:val="21"/>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Acute</w:t>
      </w:r>
      <w:r w:rsidRPr="00FD40B8">
        <w:rPr>
          <w:color w:val="131727" w:themeColor="text1"/>
          <w:spacing w:val="22"/>
          <w:w w:val="105"/>
          <w:sz w:val="16"/>
        </w:rPr>
        <w:t xml:space="preserve"> </w:t>
      </w:r>
      <w:r w:rsidRPr="00FD40B8">
        <w:rPr>
          <w:color w:val="131727" w:themeColor="text1"/>
          <w:w w:val="105"/>
          <w:sz w:val="16"/>
        </w:rPr>
        <w:t>Housing</w:t>
      </w:r>
      <w:r w:rsidRPr="00FD40B8">
        <w:rPr>
          <w:color w:val="131727" w:themeColor="text1"/>
          <w:spacing w:val="21"/>
          <w:w w:val="105"/>
          <w:sz w:val="16"/>
        </w:rPr>
        <w:t xml:space="preserve"> </w:t>
      </w:r>
      <w:r w:rsidRPr="00FD40B8">
        <w:rPr>
          <w:color w:val="131727" w:themeColor="text1"/>
          <w:w w:val="105"/>
          <w:sz w:val="16"/>
        </w:rPr>
        <w:t>Needs)</w:t>
      </w:r>
      <w:r w:rsidRPr="00FD40B8">
        <w:rPr>
          <w:color w:val="131727" w:themeColor="text1"/>
          <w:spacing w:val="22"/>
          <w:w w:val="105"/>
          <w:sz w:val="16"/>
        </w:rPr>
        <w:t xml:space="preserve"> </w:t>
      </w:r>
      <w:r w:rsidRPr="00FD40B8">
        <w:rPr>
          <w:color w:val="131727" w:themeColor="text1"/>
          <w:w w:val="105"/>
          <w:sz w:val="16"/>
        </w:rPr>
        <w:t>Direction</w:t>
      </w:r>
      <w:r w:rsidRPr="00FD40B8">
        <w:rPr>
          <w:color w:val="131727" w:themeColor="text1"/>
          <w:spacing w:val="26"/>
          <w:w w:val="105"/>
          <w:sz w:val="16"/>
        </w:rPr>
        <w:t xml:space="preserve"> </w:t>
      </w:r>
      <w:r w:rsidRPr="00FD40B8">
        <w:rPr>
          <w:color w:val="131727" w:themeColor="text1"/>
          <w:w w:val="105"/>
          <w:sz w:val="16"/>
        </w:rPr>
        <w:t>2023.</w:t>
      </w:r>
      <w:r w:rsidRPr="00FD40B8">
        <w:rPr>
          <w:color w:val="131727" w:themeColor="text1"/>
          <w:spacing w:val="29"/>
          <w:w w:val="105"/>
          <w:sz w:val="16"/>
        </w:rPr>
        <w:t xml:space="preserve"> </w:t>
      </w:r>
      <w:r w:rsidRPr="00FD40B8">
        <w:rPr>
          <w:color w:val="131727" w:themeColor="text1"/>
          <w:w w:val="105"/>
          <w:sz w:val="16"/>
        </w:rPr>
        <w:t>Available</w:t>
      </w:r>
      <w:r w:rsidRPr="00FD40B8">
        <w:rPr>
          <w:color w:val="131727" w:themeColor="text1"/>
          <w:spacing w:val="22"/>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spacing w:val="-2"/>
          <w:w w:val="105"/>
          <w:sz w:val="16"/>
        </w:rPr>
        <w:t>https://</w:t>
      </w:r>
      <w:hyperlink r:id="rId135">
        <w:r w:rsidRPr="00FD40B8">
          <w:rPr>
            <w:color w:val="131727" w:themeColor="text1"/>
            <w:spacing w:val="-2"/>
            <w:w w:val="105"/>
            <w:sz w:val="16"/>
          </w:rPr>
          <w:t>www.legislation.gov.au/F2023L01637/asmade/text.</w:t>
        </w:r>
      </w:hyperlink>
    </w:p>
    <w:p w14:paraId="0A5265D5" w14:textId="77777777" w:rsidR="00811887" w:rsidRPr="00FD40B8" w:rsidRDefault="00811887" w:rsidP="00811887">
      <w:pPr>
        <w:spacing w:line="266" w:lineRule="auto"/>
        <w:rPr>
          <w:color w:val="131727" w:themeColor="text1"/>
          <w:sz w:val="16"/>
        </w:rPr>
        <w:sectPr w:rsidR="00811887" w:rsidRPr="00FD40B8" w:rsidSect="00811887">
          <w:pgSz w:w="16840" w:h="11910" w:orient="landscape"/>
          <w:pgMar w:top="1220" w:right="1300" w:bottom="1080" w:left="1280" w:header="0" w:footer="800" w:gutter="0"/>
          <w:cols w:space="720"/>
        </w:sectPr>
      </w:pPr>
    </w:p>
    <w:p w14:paraId="16194CB6" w14:textId="77777777" w:rsidR="00811887" w:rsidRPr="00FD40B8" w:rsidRDefault="00811887" w:rsidP="00811887">
      <w:pPr>
        <w:pStyle w:val="BodyText"/>
        <w:rPr>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348D3E25" w14:textId="77777777" w:rsidTr="00486E22">
        <w:trPr>
          <w:trHeight w:val="518"/>
        </w:trPr>
        <w:tc>
          <w:tcPr>
            <w:tcW w:w="1585" w:type="dxa"/>
            <w:shd w:val="clear" w:color="auto" w:fill="91A9A2"/>
          </w:tcPr>
          <w:p w14:paraId="63A09BA9"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23808F6B"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160ABA5D"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349C47FE"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6A82BCAE"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5440589E" w14:textId="77777777" w:rsidTr="00486E22">
        <w:trPr>
          <w:trHeight w:val="3240"/>
        </w:trPr>
        <w:tc>
          <w:tcPr>
            <w:tcW w:w="1585" w:type="dxa"/>
            <w:shd w:val="clear" w:color="auto" w:fill="EEF1F4"/>
          </w:tcPr>
          <w:p w14:paraId="2995F09A" w14:textId="77777777" w:rsidR="00811887" w:rsidRPr="00FD40B8" w:rsidRDefault="00811887" w:rsidP="00486E22">
            <w:pPr>
              <w:pStyle w:val="TableParagraph"/>
              <w:spacing w:line="240" w:lineRule="auto"/>
              <w:rPr>
                <w:rFonts w:ascii="Times New Roman"/>
                <w:color w:val="131727" w:themeColor="text1"/>
                <w:sz w:val="18"/>
              </w:rPr>
            </w:pPr>
          </w:p>
        </w:tc>
        <w:tc>
          <w:tcPr>
            <w:tcW w:w="2382" w:type="dxa"/>
            <w:shd w:val="clear" w:color="auto" w:fill="EEF1F4"/>
          </w:tcPr>
          <w:p w14:paraId="783C11A5" w14:textId="77777777" w:rsidR="00811887" w:rsidRPr="00FD40B8" w:rsidRDefault="00811887" w:rsidP="00486E22">
            <w:pPr>
              <w:pStyle w:val="TableParagraph"/>
              <w:spacing w:line="240" w:lineRule="auto"/>
              <w:rPr>
                <w:rFonts w:ascii="Times New Roman"/>
                <w:color w:val="131727" w:themeColor="text1"/>
                <w:sz w:val="18"/>
              </w:rPr>
            </w:pPr>
          </w:p>
        </w:tc>
        <w:tc>
          <w:tcPr>
            <w:tcW w:w="5816" w:type="dxa"/>
            <w:shd w:val="clear" w:color="auto" w:fill="EEF1F4"/>
          </w:tcPr>
          <w:p w14:paraId="337DCEA5" w14:textId="77777777" w:rsidR="00811887" w:rsidRPr="00FD40B8" w:rsidRDefault="00811887" w:rsidP="00486E22">
            <w:pPr>
              <w:pStyle w:val="TableParagraph"/>
              <w:tabs>
                <w:tab w:val="left" w:pos="1549"/>
              </w:tabs>
              <w:spacing w:before="40" w:line="256" w:lineRule="auto"/>
              <w:ind w:left="1549" w:right="194"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1"/>
                <w:w w:val="110"/>
                <w:sz w:val="18"/>
              </w:rPr>
              <w:t xml:space="preserve"> </w:t>
            </w:r>
            <w:r w:rsidRPr="00FD40B8">
              <w:rPr>
                <w:color w:val="131727" w:themeColor="text1"/>
                <w:w w:val="110"/>
                <w:sz w:val="18"/>
              </w:rPr>
              <w:t>types of</w:t>
            </w:r>
            <w:r w:rsidRPr="00FD40B8">
              <w:rPr>
                <w:color w:val="131727" w:themeColor="text1"/>
                <w:spacing w:val="-7"/>
                <w:w w:val="110"/>
                <w:sz w:val="18"/>
              </w:rPr>
              <w:t xml:space="preserve"> </w:t>
            </w:r>
            <w:r w:rsidRPr="00FD40B8">
              <w:rPr>
                <w:color w:val="131727" w:themeColor="text1"/>
                <w:w w:val="110"/>
                <w:sz w:val="18"/>
              </w:rPr>
              <w:t>persons that</w:t>
            </w:r>
            <w:r w:rsidRPr="00FD40B8">
              <w:rPr>
                <w:color w:val="131727" w:themeColor="text1"/>
                <w:spacing w:val="-4"/>
                <w:w w:val="110"/>
                <w:sz w:val="18"/>
              </w:rPr>
              <w:t xml:space="preserve"> </w:t>
            </w:r>
            <w:r w:rsidRPr="00FD40B8">
              <w:rPr>
                <w:color w:val="131727" w:themeColor="text1"/>
                <w:w w:val="110"/>
                <w:sz w:val="18"/>
              </w:rPr>
              <w:t>would</w:t>
            </w:r>
            <w:r w:rsidRPr="00FD40B8">
              <w:rPr>
                <w:color w:val="131727" w:themeColor="text1"/>
                <w:spacing w:val="-3"/>
                <w:w w:val="110"/>
                <w:sz w:val="18"/>
              </w:rPr>
              <w:t xml:space="preserve"> </w:t>
            </w:r>
            <w:r w:rsidRPr="00FD40B8">
              <w:rPr>
                <w:color w:val="131727" w:themeColor="text1"/>
                <w:w w:val="110"/>
                <w:sz w:val="18"/>
              </w:rPr>
              <w:t>be</w:t>
            </w:r>
            <w:r w:rsidRPr="00FD40B8">
              <w:rPr>
                <w:color w:val="131727" w:themeColor="text1"/>
                <w:spacing w:val="-5"/>
                <w:w w:val="110"/>
                <w:sz w:val="18"/>
              </w:rPr>
              <w:t xml:space="preserve"> </w:t>
            </w:r>
            <w:r w:rsidRPr="00FD40B8">
              <w:rPr>
                <w:color w:val="131727" w:themeColor="text1"/>
                <w:w w:val="110"/>
                <w:sz w:val="18"/>
              </w:rPr>
              <w:t>assisted by</w:t>
            </w:r>
            <w:r w:rsidRPr="00FD40B8">
              <w:rPr>
                <w:color w:val="131727" w:themeColor="text1"/>
                <w:spacing w:val="-7"/>
                <w:w w:val="110"/>
                <w:sz w:val="18"/>
              </w:rPr>
              <w:t xml:space="preserve"> </w:t>
            </w:r>
            <w:r w:rsidRPr="00FD40B8">
              <w:rPr>
                <w:color w:val="131727" w:themeColor="text1"/>
                <w:w w:val="110"/>
                <w:sz w:val="18"/>
              </w:rPr>
              <w:t xml:space="preserve">the </w:t>
            </w:r>
            <w:r w:rsidRPr="00FD40B8">
              <w:rPr>
                <w:color w:val="131727" w:themeColor="text1"/>
                <w:spacing w:val="-2"/>
                <w:w w:val="110"/>
                <w:sz w:val="18"/>
              </w:rPr>
              <w:t>proj</w:t>
            </w:r>
            <w:r w:rsidRPr="00FD40B8">
              <w:rPr>
                <w:color w:val="131727" w:themeColor="text1"/>
                <w:spacing w:val="-2"/>
                <w:w w:val="110"/>
              </w:rPr>
              <w:t>ect</w:t>
            </w:r>
          </w:p>
          <w:p w14:paraId="7C6D5266" w14:textId="77777777" w:rsidR="00811887" w:rsidRPr="00FD40B8" w:rsidRDefault="00811887" w:rsidP="00486E22">
            <w:pPr>
              <w:pStyle w:val="TableParagraph"/>
              <w:tabs>
                <w:tab w:val="left" w:pos="1549"/>
              </w:tabs>
              <w:spacing w:before="30" w:line="252" w:lineRule="auto"/>
              <w:ind w:left="1549" w:right="216"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number</w:t>
            </w:r>
            <w:r w:rsidRPr="00FD40B8">
              <w:rPr>
                <w:color w:val="131727" w:themeColor="text1"/>
                <w:spacing w:val="-8"/>
                <w:w w:val="110"/>
                <w:sz w:val="18"/>
              </w:rPr>
              <w:t xml:space="preserve"> </w:t>
            </w:r>
            <w:r w:rsidRPr="00FD40B8">
              <w:rPr>
                <w:color w:val="131727" w:themeColor="text1"/>
                <w:w w:val="110"/>
                <w:sz w:val="18"/>
              </w:rPr>
              <w:t>and</w:t>
            </w:r>
            <w:r w:rsidRPr="00FD40B8">
              <w:rPr>
                <w:color w:val="131727" w:themeColor="text1"/>
                <w:spacing w:val="-7"/>
                <w:w w:val="110"/>
                <w:sz w:val="18"/>
              </w:rPr>
              <w:t xml:space="preserve"> </w:t>
            </w:r>
            <w:r w:rsidRPr="00FD40B8">
              <w:rPr>
                <w:color w:val="131727" w:themeColor="text1"/>
                <w:w w:val="110"/>
                <w:sz w:val="18"/>
              </w:rPr>
              <w:t>types</w:t>
            </w:r>
            <w:r w:rsidRPr="00FD40B8">
              <w:rPr>
                <w:color w:val="131727" w:themeColor="text1"/>
                <w:spacing w:val="-8"/>
                <w:w w:val="110"/>
                <w:sz w:val="18"/>
              </w:rPr>
              <w:t xml:space="preserve"> </w:t>
            </w:r>
            <w:r w:rsidRPr="00FD40B8">
              <w:rPr>
                <w:color w:val="131727" w:themeColor="text1"/>
                <w:w w:val="110"/>
                <w:sz w:val="18"/>
              </w:rPr>
              <w:t>of</w:t>
            </w:r>
            <w:r w:rsidRPr="00FD40B8">
              <w:rPr>
                <w:color w:val="131727" w:themeColor="text1"/>
                <w:spacing w:val="-6"/>
                <w:w w:val="110"/>
                <w:sz w:val="18"/>
              </w:rPr>
              <w:t xml:space="preserve"> </w:t>
            </w:r>
            <w:r w:rsidRPr="00FD40B8">
              <w:rPr>
                <w:color w:val="131727" w:themeColor="text1"/>
                <w:w w:val="110"/>
                <w:sz w:val="18"/>
              </w:rPr>
              <w:t>dwellings</w:t>
            </w:r>
            <w:r w:rsidRPr="00FD40B8">
              <w:rPr>
                <w:color w:val="131727" w:themeColor="text1"/>
                <w:spacing w:val="-8"/>
                <w:w w:val="110"/>
                <w:sz w:val="18"/>
              </w:rPr>
              <w:t xml:space="preserve"> </w:t>
            </w:r>
            <w:r w:rsidRPr="00FD40B8">
              <w:rPr>
                <w:color w:val="131727" w:themeColor="text1"/>
                <w:w w:val="110"/>
                <w:sz w:val="18"/>
              </w:rPr>
              <w:t>made</w:t>
            </w:r>
            <w:r w:rsidRPr="00FD40B8">
              <w:rPr>
                <w:color w:val="131727" w:themeColor="text1"/>
                <w:spacing w:val="-9"/>
                <w:w w:val="110"/>
                <w:sz w:val="18"/>
              </w:rPr>
              <w:t xml:space="preserve"> </w:t>
            </w:r>
            <w:r w:rsidRPr="00FD40B8">
              <w:rPr>
                <w:color w:val="131727" w:themeColor="text1"/>
                <w:w w:val="110"/>
                <w:sz w:val="18"/>
              </w:rPr>
              <w:t>available under the project</w:t>
            </w:r>
          </w:p>
          <w:p w14:paraId="08FF17AE" w14:textId="77777777" w:rsidR="00811887" w:rsidRPr="00FD40B8" w:rsidRDefault="00811887" w:rsidP="00486E22">
            <w:pPr>
              <w:pStyle w:val="TableParagraph"/>
              <w:tabs>
                <w:tab w:val="left" w:pos="1549"/>
              </w:tabs>
              <w:spacing w:before="35" w:line="252" w:lineRule="auto"/>
              <w:ind w:left="1549" w:right="404"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whether</w:t>
            </w:r>
            <w:r w:rsidRPr="00FD40B8">
              <w:rPr>
                <w:color w:val="131727" w:themeColor="text1"/>
                <w:spacing w:val="-4"/>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financing</w:t>
            </w:r>
            <w:r w:rsidRPr="00FD40B8">
              <w:rPr>
                <w:color w:val="131727" w:themeColor="text1"/>
                <w:spacing w:val="-5"/>
                <w:w w:val="110"/>
                <w:sz w:val="18"/>
              </w:rPr>
              <w:t xml:space="preserve"> </w:t>
            </w:r>
            <w:r w:rsidRPr="00FD40B8">
              <w:rPr>
                <w:color w:val="131727" w:themeColor="text1"/>
                <w:w w:val="110"/>
                <w:sz w:val="18"/>
              </w:rPr>
              <w:t>is</w:t>
            </w:r>
            <w:r w:rsidRPr="00FD40B8">
              <w:rPr>
                <w:color w:val="131727" w:themeColor="text1"/>
                <w:spacing w:val="-4"/>
                <w:w w:val="110"/>
                <w:sz w:val="18"/>
              </w:rPr>
              <w:t xml:space="preserve"> </w:t>
            </w:r>
            <w:r w:rsidRPr="00FD40B8">
              <w:rPr>
                <w:color w:val="131727" w:themeColor="text1"/>
                <w:w w:val="110"/>
                <w:sz w:val="18"/>
              </w:rPr>
              <w:t>to</w:t>
            </w:r>
            <w:r w:rsidRPr="00FD40B8">
              <w:rPr>
                <w:color w:val="131727" w:themeColor="text1"/>
                <w:spacing w:val="-6"/>
                <w:w w:val="110"/>
                <w:sz w:val="18"/>
              </w:rPr>
              <w:t xml:space="preserve"> </w:t>
            </w:r>
            <w:r w:rsidRPr="00FD40B8">
              <w:rPr>
                <w:color w:val="131727" w:themeColor="text1"/>
                <w:w w:val="110"/>
                <w:sz w:val="18"/>
              </w:rPr>
              <w:t>be</w:t>
            </w:r>
            <w:r w:rsidRPr="00FD40B8">
              <w:rPr>
                <w:color w:val="131727" w:themeColor="text1"/>
                <w:spacing w:val="-4"/>
                <w:w w:val="110"/>
                <w:sz w:val="18"/>
              </w:rPr>
              <w:t xml:space="preserve"> </w:t>
            </w:r>
            <w:r w:rsidRPr="00FD40B8">
              <w:rPr>
                <w:color w:val="131727" w:themeColor="text1"/>
                <w:w w:val="110"/>
                <w:sz w:val="18"/>
              </w:rPr>
              <w:t>through</w:t>
            </w:r>
            <w:r w:rsidRPr="00FD40B8">
              <w:rPr>
                <w:color w:val="131727" w:themeColor="text1"/>
                <w:spacing w:val="-2"/>
                <w:w w:val="110"/>
                <w:sz w:val="18"/>
              </w:rPr>
              <w:t xml:space="preserve"> </w:t>
            </w:r>
            <w:r w:rsidRPr="00FD40B8">
              <w:rPr>
                <w:color w:val="131727" w:themeColor="text1"/>
                <w:w w:val="110"/>
                <w:sz w:val="18"/>
              </w:rPr>
              <w:t>a</w:t>
            </w:r>
            <w:r w:rsidRPr="00FD40B8">
              <w:rPr>
                <w:color w:val="131727" w:themeColor="text1"/>
                <w:spacing w:val="-6"/>
                <w:w w:val="110"/>
                <w:sz w:val="18"/>
              </w:rPr>
              <w:t xml:space="preserve"> </w:t>
            </w:r>
            <w:r w:rsidRPr="00FD40B8">
              <w:rPr>
                <w:color w:val="131727" w:themeColor="text1"/>
                <w:w w:val="110"/>
                <w:sz w:val="18"/>
              </w:rPr>
              <w:t>loan</w:t>
            </w:r>
            <w:r w:rsidRPr="00FD40B8">
              <w:rPr>
                <w:color w:val="131727" w:themeColor="text1"/>
                <w:spacing w:val="-2"/>
                <w:w w:val="110"/>
                <w:sz w:val="18"/>
              </w:rPr>
              <w:t xml:space="preserve"> </w:t>
            </w:r>
            <w:r w:rsidRPr="00FD40B8">
              <w:rPr>
                <w:color w:val="131727" w:themeColor="text1"/>
                <w:w w:val="110"/>
                <w:sz w:val="18"/>
              </w:rPr>
              <w:t>or grant, or through a combination of these</w:t>
            </w:r>
          </w:p>
          <w:p w14:paraId="3D3C352B" w14:textId="77777777" w:rsidR="00811887" w:rsidRPr="00FD40B8" w:rsidRDefault="00811887" w:rsidP="00486E22">
            <w:pPr>
              <w:pStyle w:val="TableParagraph"/>
              <w:tabs>
                <w:tab w:val="left" w:pos="1549"/>
              </w:tabs>
              <w:spacing w:before="34" w:line="240" w:lineRule="auto"/>
              <w:ind w:left="1189"/>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details</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3"/>
                <w:w w:val="110"/>
                <w:sz w:val="18"/>
              </w:rPr>
              <w:t xml:space="preserve"> </w:t>
            </w:r>
            <w:r w:rsidRPr="00FD40B8">
              <w:rPr>
                <w:color w:val="131727" w:themeColor="text1"/>
                <w:w w:val="110"/>
                <w:sz w:val="18"/>
              </w:rPr>
              <w:t>each</w:t>
            </w:r>
            <w:r w:rsidRPr="00FD40B8">
              <w:rPr>
                <w:color w:val="131727" w:themeColor="text1"/>
                <w:spacing w:val="-7"/>
                <w:w w:val="110"/>
                <w:sz w:val="18"/>
              </w:rPr>
              <w:t xml:space="preserve"> </w:t>
            </w:r>
            <w:r w:rsidRPr="00FD40B8">
              <w:rPr>
                <w:color w:val="131727" w:themeColor="text1"/>
                <w:w w:val="110"/>
                <w:sz w:val="18"/>
              </w:rPr>
              <w:t>loan</w:t>
            </w:r>
            <w:r w:rsidRPr="00FD40B8">
              <w:rPr>
                <w:color w:val="131727" w:themeColor="text1"/>
                <w:spacing w:val="-3"/>
                <w:w w:val="110"/>
                <w:sz w:val="18"/>
              </w:rPr>
              <w:t xml:space="preserve"> </w:t>
            </w:r>
            <w:r w:rsidRPr="00FD40B8">
              <w:rPr>
                <w:color w:val="131727" w:themeColor="text1"/>
                <w:w w:val="110"/>
                <w:sz w:val="18"/>
              </w:rPr>
              <w:t>or grant</w:t>
            </w:r>
            <w:r w:rsidRPr="00FD40B8">
              <w:rPr>
                <w:color w:val="131727" w:themeColor="text1"/>
                <w:spacing w:val="-5"/>
                <w:w w:val="110"/>
                <w:sz w:val="18"/>
              </w:rPr>
              <w:t xml:space="preserve"> </w:t>
            </w:r>
            <w:r w:rsidRPr="00FD40B8">
              <w:rPr>
                <w:color w:val="131727" w:themeColor="text1"/>
                <w:w w:val="110"/>
                <w:sz w:val="18"/>
              </w:rPr>
              <w:t>for</w:t>
            </w:r>
            <w:r w:rsidRPr="00FD40B8">
              <w:rPr>
                <w:color w:val="131727" w:themeColor="text1"/>
                <w:spacing w:val="-1"/>
                <w:w w:val="110"/>
                <w:sz w:val="18"/>
              </w:rPr>
              <w:t xml:space="preserve"> </w:t>
            </w: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spacing w:val="-2"/>
                <w:w w:val="110"/>
                <w:sz w:val="18"/>
              </w:rPr>
              <w:t>project</w:t>
            </w:r>
          </w:p>
          <w:p w14:paraId="49D08CFC" w14:textId="77777777" w:rsidR="00811887" w:rsidRPr="00FD40B8" w:rsidRDefault="00811887" w:rsidP="00486E22">
            <w:pPr>
              <w:pStyle w:val="TableParagraph"/>
              <w:spacing w:before="58" w:line="268" w:lineRule="auto"/>
              <w:ind w:left="1549" w:right="357" w:hanging="360"/>
              <w:jc w:val="both"/>
              <w:rPr>
                <w:color w:val="131727" w:themeColor="text1"/>
              </w:rPr>
            </w:pPr>
            <w:r w:rsidRPr="00FD40B8">
              <w:rPr>
                <w:b/>
                <w:color w:val="131727" w:themeColor="text1"/>
                <w:w w:val="110"/>
              </w:rPr>
              <w:t>»</w:t>
            </w:r>
            <w:r w:rsidRPr="00FD40B8">
              <w:rPr>
                <w:b/>
                <w:color w:val="131727" w:themeColor="text1"/>
                <w:spacing w:val="80"/>
                <w:w w:val="110"/>
              </w:rPr>
              <w:t xml:space="preserve"> </w:t>
            </w: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level of</w:t>
            </w:r>
            <w:r w:rsidRPr="00FD40B8">
              <w:rPr>
                <w:color w:val="131727" w:themeColor="text1"/>
                <w:spacing w:val="-1"/>
                <w:w w:val="110"/>
                <w:sz w:val="18"/>
              </w:rPr>
              <w:t xml:space="preserve"> </w:t>
            </w:r>
            <w:r w:rsidRPr="00FD40B8">
              <w:rPr>
                <w:color w:val="131727" w:themeColor="text1"/>
                <w:w w:val="110"/>
                <w:sz w:val="18"/>
              </w:rPr>
              <w:t>financing for the</w:t>
            </w:r>
            <w:r w:rsidRPr="00FD40B8">
              <w:rPr>
                <w:color w:val="131727" w:themeColor="text1"/>
                <w:spacing w:val="-3"/>
                <w:w w:val="110"/>
                <w:sz w:val="18"/>
              </w:rPr>
              <w:t xml:space="preserve"> </w:t>
            </w:r>
            <w:r w:rsidRPr="00FD40B8">
              <w:rPr>
                <w:color w:val="131727" w:themeColor="text1"/>
                <w:w w:val="110"/>
                <w:sz w:val="18"/>
              </w:rPr>
              <w:t>project un</w:t>
            </w:r>
            <w:r w:rsidRPr="00FD40B8">
              <w:rPr>
                <w:color w:val="131727" w:themeColor="text1"/>
                <w:w w:val="110"/>
              </w:rPr>
              <w:t>der the HAFFF</w:t>
            </w:r>
            <w:r w:rsidRPr="00FD40B8">
              <w:rPr>
                <w:color w:val="131727" w:themeColor="text1"/>
                <w:spacing w:val="-3"/>
                <w:w w:val="110"/>
              </w:rPr>
              <w:t xml:space="preserve"> </w:t>
            </w:r>
            <w:r w:rsidRPr="00FD40B8">
              <w:rPr>
                <w:color w:val="131727" w:themeColor="text1"/>
                <w:w w:val="110"/>
              </w:rPr>
              <w:t>and</w:t>
            </w:r>
            <w:r w:rsidRPr="00FD40B8">
              <w:rPr>
                <w:color w:val="131727" w:themeColor="text1"/>
                <w:spacing w:val="-4"/>
                <w:w w:val="110"/>
              </w:rPr>
              <w:t xml:space="preserve"> </w:t>
            </w:r>
            <w:r w:rsidRPr="00FD40B8">
              <w:rPr>
                <w:color w:val="131727" w:themeColor="text1"/>
                <w:w w:val="110"/>
              </w:rPr>
              <w:t>from</w:t>
            </w:r>
            <w:r w:rsidRPr="00FD40B8">
              <w:rPr>
                <w:color w:val="131727" w:themeColor="text1"/>
                <w:spacing w:val="-1"/>
                <w:w w:val="110"/>
              </w:rPr>
              <w:t xml:space="preserve"> </w:t>
            </w:r>
            <w:r w:rsidRPr="00FD40B8">
              <w:rPr>
                <w:color w:val="131727" w:themeColor="text1"/>
                <w:w w:val="110"/>
              </w:rPr>
              <w:t>sources</w:t>
            </w:r>
            <w:r w:rsidRPr="00FD40B8">
              <w:rPr>
                <w:color w:val="131727" w:themeColor="text1"/>
                <w:spacing w:val="-4"/>
                <w:w w:val="110"/>
              </w:rPr>
              <w:t xml:space="preserve"> </w:t>
            </w:r>
            <w:r w:rsidRPr="00FD40B8">
              <w:rPr>
                <w:color w:val="131727" w:themeColor="text1"/>
                <w:w w:val="110"/>
              </w:rPr>
              <w:t>other</w:t>
            </w:r>
            <w:r w:rsidRPr="00FD40B8">
              <w:rPr>
                <w:color w:val="131727" w:themeColor="text1"/>
                <w:spacing w:val="-2"/>
                <w:w w:val="110"/>
              </w:rPr>
              <w:t xml:space="preserve"> </w:t>
            </w:r>
            <w:r w:rsidRPr="00FD40B8">
              <w:rPr>
                <w:color w:val="131727" w:themeColor="text1"/>
                <w:w w:val="110"/>
              </w:rPr>
              <w:t>than</w:t>
            </w:r>
            <w:r w:rsidRPr="00FD40B8">
              <w:rPr>
                <w:color w:val="131727" w:themeColor="text1"/>
                <w:spacing w:val="-3"/>
                <w:w w:val="110"/>
              </w:rPr>
              <w:t xml:space="preserve"> </w:t>
            </w:r>
            <w:r w:rsidRPr="00FD40B8">
              <w:rPr>
                <w:color w:val="131727" w:themeColor="text1"/>
                <w:w w:val="110"/>
              </w:rPr>
              <w:t xml:space="preserve">the </w:t>
            </w:r>
            <w:r w:rsidRPr="00FD40B8">
              <w:rPr>
                <w:color w:val="131727" w:themeColor="text1"/>
                <w:spacing w:val="-2"/>
                <w:w w:val="110"/>
              </w:rPr>
              <w:t>HAFFF</w:t>
            </w:r>
          </w:p>
          <w:p w14:paraId="60BD7BA2" w14:textId="77777777" w:rsidR="00811887" w:rsidRPr="00FD40B8" w:rsidRDefault="00811887" w:rsidP="00486E22">
            <w:pPr>
              <w:pStyle w:val="TableParagraph"/>
              <w:tabs>
                <w:tab w:val="left" w:pos="1549"/>
              </w:tabs>
              <w:spacing w:before="10" w:line="242" w:lineRule="exact"/>
              <w:ind w:left="1189"/>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expected</w:t>
            </w:r>
            <w:r w:rsidRPr="00FD40B8">
              <w:rPr>
                <w:color w:val="131727" w:themeColor="text1"/>
                <w:spacing w:val="-2"/>
                <w:w w:val="110"/>
                <w:sz w:val="18"/>
              </w:rPr>
              <w:t xml:space="preserve"> </w:t>
            </w:r>
            <w:r w:rsidRPr="00FD40B8">
              <w:rPr>
                <w:color w:val="131727" w:themeColor="text1"/>
                <w:w w:val="110"/>
                <w:sz w:val="18"/>
              </w:rPr>
              <w:t>completion</w:t>
            </w:r>
            <w:r w:rsidRPr="00FD40B8">
              <w:rPr>
                <w:color w:val="131727" w:themeColor="text1"/>
                <w:spacing w:val="-5"/>
                <w:w w:val="110"/>
                <w:sz w:val="18"/>
              </w:rPr>
              <w:t xml:space="preserve"> </w:t>
            </w:r>
            <w:r w:rsidRPr="00FD40B8">
              <w:rPr>
                <w:color w:val="131727" w:themeColor="text1"/>
                <w:w w:val="110"/>
                <w:sz w:val="18"/>
              </w:rPr>
              <w:t>date</w:t>
            </w:r>
            <w:r w:rsidRPr="00FD40B8">
              <w:rPr>
                <w:color w:val="131727" w:themeColor="text1"/>
                <w:spacing w:val="-7"/>
                <w:w w:val="110"/>
                <w:sz w:val="18"/>
              </w:rPr>
              <w:t xml:space="preserve"> </w:t>
            </w:r>
            <w:r w:rsidRPr="00FD40B8">
              <w:rPr>
                <w:color w:val="131727" w:themeColor="text1"/>
                <w:w w:val="110"/>
                <w:sz w:val="18"/>
              </w:rPr>
              <w:t>of</w:t>
            </w:r>
            <w:r w:rsidRPr="00FD40B8">
              <w:rPr>
                <w:color w:val="131727" w:themeColor="text1"/>
                <w:spacing w:val="-5"/>
                <w:w w:val="110"/>
                <w:sz w:val="18"/>
              </w:rPr>
              <w:t xml:space="preserve"> </w:t>
            </w:r>
            <w:r w:rsidRPr="00FD40B8">
              <w:rPr>
                <w:color w:val="131727" w:themeColor="text1"/>
                <w:w w:val="110"/>
                <w:sz w:val="18"/>
              </w:rPr>
              <w:t>the</w:t>
            </w:r>
            <w:r w:rsidRPr="00FD40B8">
              <w:rPr>
                <w:color w:val="131727" w:themeColor="text1"/>
                <w:spacing w:val="-8"/>
                <w:w w:val="110"/>
                <w:sz w:val="18"/>
              </w:rPr>
              <w:t xml:space="preserve"> </w:t>
            </w:r>
            <w:r w:rsidRPr="00FD40B8">
              <w:rPr>
                <w:color w:val="131727" w:themeColor="text1"/>
                <w:spacing w:val="-2"/>
                <w:w w:val="110"/>
                <w:sz w:val="18"/>
              </w:rPr>
              <w:t>project</w:t>
            </w:r>
          </w:p>
        </w:tc>
        <w:tc>
          <w:tcPr>
            <w:tcW w:w="1562" w:type="dxa"/>
            <w:shd w:val="clear" w:color="auto" w:fill="EEF1F4"/>
          </w:tcPr>
          <w:p w14:paraId="603CD8C1" w14:textId="77777777" w:rsidR="00811887" w:rsidRPr="00FD40B8" w:rsidRDefault="00811887" w:rsidP="00486E22">
            <w:pPr>
              <w:pStyle w:val="TableParagraph"/>
              <w:spacing w:line="240" w:lineRule="auto"/>
              <w:rPr>
                <w:rFonts w:ascii="Times New Roman"/>
                <w:color w:val="131727" w:themeColor="text1"/>
                <w:sz w:val="18"/>
              </w:rPr>
            </w:pPr>
          </w:p>
        </w:tc>
        <w:tc>
          <w:tcPr>
            <w:tcW w:w="2657" w:type="dxa"/>
            <w:shd w:val="clear" w:color="auto" w:fill="EEF1F4"/>
          </w:tcPr>
          <w:p w14:paraId="19545B54" w14:textId="77777777" w:rsidR="00811887" w:rsidRPr="00FD40B8" w:rsidRDefault="00811887" w:rsidP="00486E22">
            <w:pPr>
              <w:pStyle w:val="TableParagraph"/>
              <w:spacing w:line="240" w:lineRule="auto"/>
              <w:rPr>
                <w:rFonts w:ascii="Times New Roman"/>
                <w:color w:val="131727" w:themeColor="text1"/>
                <w:sz w:val="18"/>
              </w:rPr>
            </w:pPr>
          </w:p>
        </w:tc>
      </w:tr>
      <w:tr w:rsidR="00811887" w:rsidRPr="00FD40B8" w14:paraId="4C3C22B6" w14:textId="77777777" w:rsidTr="00486E22">
        <w:trPr>
          <w:trHeight w:val="5469"/>
        </w:trPr>
        <w:tc>
          <w:tcPr>
            <w:tcW w:w="1585" w:type="dxa"/>
            <w:shd w:val="clear" w:color="auto" w:fill="EEF1F4"/>
          </w:tcPr>
          <w:p w14:paraId="43947A98" w14:textId="77777777" w:rsidR="00811887" w:rsidRPr="00FD40B8" w:rsidRDefault="00811887" w:rsidP="00486E22">
            <w:pPr>
              <w:pStyle w:val="TableParagraph"/>
              <w:spacing w:before="25" w:line="268" w:lineRule="auto"/>
              <w:ind w:left="110"/>
              <w:rPr>
                <w:color w:val="131727" w:themeColor="text1"/>
                <w:sz w:val="20"/>
              </w:rPr>
            </w:pPr>
            <w:r w:rsidRPr="00FD40B8">
              <w:rPr>
                <w:color w:val="131727" w:themeColor="text1"/>
                <w:w w:val="110"/>
                <w:sz w:val="20"/>
              </w:rPr>
              <w:t>Social</w:t>
            </w:r>
            <w:r w:rsidRPr="00FD40B8">
              <w:rPr>
                <w:color w:val="131727" w:themeColor="text1"/>
                <w:spacing w:val="-13"/>
                <w:w w:val="110"/>
                <w:sz w:val="20"/>
              </w:rPr>
              <w:t xml:space="preserve"> </w:t>
            </w:r>
            <w:r w:rsidRPr="00FD40B8">
              <w:rPr>
                <w:color w:val="131727" w:themeColor="text1"/>
                <w:w w:val="110"/>
                <w:sz w:val="20"/>
              </w:rPr>
              <w:t xml:space="preserve">Housing </w:t>
            </w:r>
            <w:r w:rsidRPr="00FD40B8">
              <w:rPr>
                <w:color w:val="131727" w:themeColor="text1"/>
                <w:spacing w:val="-2"/>
                <w:w w:val="110"/>
                <w:sz w:val="20"/>
              </w:rPr>
              <w:t>Accelerator Funding</w:t>
            </w:r>
          </w:p>
        </w:tc>
        <w:tc>
          <w:tcPr>
            <w:tcW w:w="2382" w:type="dxa"/>
            <w:shd w:val="clear" w:color="auto" w:fill="EEF1F4"/>
          </w:tcPr>
          <w:p w14:paraId="322FE0DA" w14:textId="77777777" w:rsidR="00811887" w:rsidRPr="00FD40B8" w:rsidRDefault="00811887" w:rsidP="00486E22">
            <w:pPr>
              <w:pStyle w:val="TableParagraph"/>
              <w:spacing w:before="25" w:line="273" w:lineRule="auto"/>
              <w:ind w:left="109" w:right="142"/>
              <w:rPr>
                <w:color w:val="131727" w:themeColor="text1"/>
                <w:sz w:val="18"/>
              </w:rPr>
            </w:pPr>
            <w:r w:rsidRPr="00FD40B8">
              <w:rPr>
                <w:color w:val="131727" w:themeColor="text1"/>
                <w:w w:val="110"/>
                <w:sz w:val="18"/>
              </w:rPr>
              <w:t>The Social Housing Accelerator is a one-off payment</w:t>
            </w:r>
            <w:r w:rsidRPr="00FD40B8">
              <w:rPr>
                <w:color w:val="131727" w:themeColor="text1"/>
                <w:spacing w:val="-11"/>
                <w:w w:val="110"/>
                <w:sz w:val="18"/>
              </w:rPr>
              <w:t xml:space="preserve"> </w:t>
            </w:r>
            <w:r w:rsidRPr="00FD40B8">
              <w:rPr>
                <w:color w:val="131727" w:themeColor="text1"/>
                <w:w w:val="110"/>
                <w:sz w:val="18"/>
              </w:rPr>
              <w:t>to</w:t>
            </w:r>
            <w:r w:rsidRPr="00FD40B8">
              <w:rPr>
                <w:color w:val="131727" w:themeColor="text1"/>
                <w:spacing w:val="-12"/>
                <w:w w:val="110"/>
                <w:sz w:val="18"/>
              </w:rPr>
              <w:t xml:space="preserve"> </w:t>
            </w:r>
            <w:r w:rsidRPr="00FD40B8">
              <w:rPr>
                <w:color w:val="131727" w:themeColor="text1"/>
                <w:w w:val="110"/>
                <w:sz w:val="18"/>
              </w:rPr>
              <w:t>the</w:t>
            </w:r>
            <w:r w:rsidRPr="00FD40B8">
              <w:rPr>
                <w:color w:val="131727" w:themeColor="text1"/>
                <w:spacing w:val="-10"/>
                <w:w w:val="110"/>
                <w:sz w:val="18"/>
              </w:rPr>
              <w:t xml:space="preserve"> </w:t>
            </w:r>
            <w:r w:rsidRPr="00FD40B8">
              <w:rPr>
                <w:color w:val="131727" w:themeColor="text1"/>
                <w:w w:val="110"/>
                <w:sz w:val="18"/>
              </w:rPr>
              <w:t>states</w:t>
            </w:r>
            <w:r w:rsidRPr="00FD40B8">
              <w:rPr>
                <w:color w:val="131727" w:themeColor="text1"/>
                <w:spacing w:val="-6"/>
                <w:w w:val="110"/>
                <w:sz w:val="18"/>
              </w:rPr>
              <w:t xml:space="preserve"> </w:t>
            </w:r>
            <w:r w:rsidRPr="00FD40B8">
              <w:rPr>
                <w:color w:val="131727" w:themeColor="text1"/>
                <w:w w:val="110"/>
                <w:sz w:val="18"/>
              </w:rPr>
              <w:t>and territories</w:t>
            </w:r>
            <w:r w:rsidRPr="00FD40B8">
              <w:rPr>
                <w:color w:val="131727" w:themeColor="text1"/>
                <w:spacing w:val="-11"/>
                <w:w w:val="110"/>
                <w:sz w:val="18"/>
              </w:rPr>
              <w:t xml:space="preserve"> </w:t>
            </w:r>
            <w:r w:rsidRPr="00FD40B8">
              <w:rPr>
                <w:color w:val="131727" w:themeColor="text1"/>
                <w:w w:val="110"/>
                <w:sz w:val="18"/>
              </w:rPr>
              <w:t>to</w:t>
            </w:r>
            <w:r w:rsidRPr="00FD40B8">
              <w:rPr>
                <w:color w:val="131727" w:themeColor="text1"/>
                <w:spacing w:val="-11"/>
                <w:w w:val="110"/>
                <w:sz w:val="18"/>
              </w:rPr>
              <w:t xml:space="preserve"> </w:t>
            </w:r>
            <w:r w:rsidRPr="00FD40B8">
              <w:rPr>
                <w:color w:val="131727" w:themeColor="text1"/>
                <w:w w:val="110"/>
                <w:sz w:val="18"/>
              </w:rPr>
              <w:t>permanently increase the social</w:t>
            </w:r>
            <w:r w:rsidRPr="00FD40B8">
              <w:rPr>
                <w:color w:val="131727" w:themeColor="text1"/>
                <w:spacing w:val="40"/>
                <w:w w:val="110"/>
                <w:sz w:val="18"/>
              </w:rPr>
              <w:t xml:space="preserve"> </w:t>
            </w:r>
            <w:r w:rsidRPr="00FD40B8">
              <w:rPr>
                <w:color w:val="131727" w:themeColor="text1"/>
                <w:w w:val="110"/>
                <w:sz w:val="18"/>
              </w:rPr>
              <w:t xml:space="preserve">housing stock across </w:t>
            </w:r>
            <w:r w:rsidRPr="00FD40B8">
              <w:rPr>
                <w:color w:val="131727" w:themeColor="text1"/>
                <w:spacing w:val="-2"/>
                <w:w w:val="110"/>
                <w:sz w:val="18"/>
              </w:rPr>
              <w:t>Australia.</w:t>
            </w:r>
          </w:p>
          <w:p w14:paraId="71D1D78B" w14:textId="77777777" w:rsidR="00811887" w:rsidRPr="00FD40B8" w:rsidRDefault="00811887" w:rsidP="00486E22">
            <w:pPr>
              <w:pStyle w:val="TableParagraph"/>
              <w:spacing w:before="29" w:line="240" w:lineRule="auto"/>
              <w:rPr>
                <w:color w:val="131727" w:themeColor="text1"/>
                <w:sz w:val="18"/>
              </w:rPr>
            </w:pPr>
          </w:p>
          <w:p w14:paraId="1A46F339" w14:textId="77777777" w:rsidR="00811887" w:rsidRPr="00FD40B8" w:rsidRDefault="00811887" w:rsidP="00486E22">
            <w:pPr>
              <w:pStyle w:val="TableParagraph"/>
              <w:spacing w:line="273" w:lineRule="auto"/>
              <w:ind w:left="109" w:right="78"/>
              <w:rPr>
                <w:color w:val="131727" w:themeColor="text1"/>
                <w:sz w:val="18"/>
              </w:rPr>
            </w:pPr>
            <w:r w:rsidRPr="00FD40B8">
              <w:rPr>
                <w:color w:val="131727" w:themeColor="text1"/>
                <w:w w:val="110"/>
                <w:sz w:val="18"/>
              </w:rPr>
              <w:t>Under the Social Housing Accelerator Funding agreement, States are required to provide a Statement</w:t>
            </w:r>
            <w:r w:rsidRPr="00FD40B8">
              <w:rPr>
                <w:color w:val="131727" w:themeColor="text1"/>
                <w:spacing w:val="-9"/>
                <w:w w:val="110"/>
                <w:sz w:val="18"/>
              </w:rPr>
              <w:t xml:space="preserve"> </w:t>
            </w:r>
            <w:r w:rsidRPr="00FD40B8">
              <w:rPr>
                <w:color w:val="131727" w:themeColor="text1"/>
                <w:w w:val="110"/>
                <w:sz w:val="18"/>
              </w:rPr>
              <w:t>of</w:t>
            </w:r>
            <w:r w:rsidRPr="00FD40B8">
              <w:rPr>
                <w:color w:val="131727" w:themeColor="text1"/>
                <w:spacing w:val="-10"/>
                <w:w w:val="110"/>
                <w:sz w:val="18"/>
              </w:rPr>
              <w:t xml:space="preserve"> </w:t>
            </w:r>
            <w:r w:rsidRPr="00FD40B8">
              <w:rPr>
                <w:color w:val="131727" w:themeColor="text1"/>
                <w:w w:val="110"/>
                <w:sz w:val="18"/>
              </w:rPr>
              <w:t>Assurance</w:t>
            </w:r>
            <w:r w:rsidRPr="00FD40B8">
              <w:rPr>
                <w:color w:val="131727" w:themeColor="text1"/>
                <w:spacing w:val="-12"/>
                <w:w w:val="110"/>
                <w:sz w:val="18"/>
              </w:rPr>
              <w:t xml:space="preserve"> </w:t>
            </w:r>
            <w:r w:rsidRPr="00FD40B8">
              <w:rPr>
                <w:color w:val="131727" w:themeColor="text1"/>
                <w:w w:val="110"/>
                <w:sz w:val="18"/>
              </w:rPr>
              <w:t>to the Commonwealth including 6 monthly data on the provision of social housing delivered or supported as well as any</w:t>
            </w:r>
          </w:p>
        </w:tc>
        <w:tc>
          <w:tcPr>
            <w:tcW w:w="5816" w:type="dxa"/>
            <w:shd w:val="clear" w:color="auto" w:fill="EEF1F4"/>
          </w:tcPr>
          <w:p w14:paraId="2EED91C6" w14:textId="77777777" w:rsidR="00811887" w:rsidRPr="00FD40B8" w:rsidRDefault="00811887" w:rsidP="00486E22">
            <w:pPr>
              <w:pStyle w:val="TableParagraph"/>
              <w:spacing w:before="25" w:line="240" w:lineRule="auto"/>
              <w:ind w:left="108"/>
              <w:rPr>
                <w:color w:val="131727" w:themeColor="text1"/>
                <w:sz w:val="18"/>
              </w:rPr>
            </w:pP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6-monthly</w:t>
            </w:r>
            <w:r w:rsidRPr="00FD40B8">
              <w:rPr>
                <w:color w:val="131727" w:themeColor="text1"/>
                <w:spacing w:val="-8"/>
                <w:w w:val="110"/>
                <w:sz w:val="18"/>
              </w:rPr>
              <w:t xml:space="preserve"> </w:t>
            </w:r>
            <w:r w:rsidRPr="00FD40B8">
              <w:rPr>
                <w:color w:val="131727" w:themeColor="text1"/>
                <w:w w:val="110"/>
                <w:sz w:val="18"/>
              </w:rPr>
              <w:t>Statement of</w:t>
            </w:r>
            <w:r w:rsidRPr="00FD40B8">
              <w:rPr>
                <w:color w:val="131727" w:themeColor="text1"/>
                <w:spacing w:val="-7"/>
                <w:w w:val="110"/>
                <w:sz w:val="18"/>
              </w:rPr>
              <w:t xml:space="preserve"> </w:t>
            </w:r>
            <w:r w:rsidRPr="00FD40B8">
              <w:rPr>
                <w:color w:val="131727" w:themeColor="text1"/>
                <w:w w:val="110"/>
                <w:sz w:val="18"/>
              </w:rPr>
              <w:t>Assurance</w:t>
            </w:r>
            <w:r w:rsidRPr="00FD40B8">
              <w:rPr>
                <w:color w:val="131727" w:themeColor="text1"/>
                <w:spacing w:val="-1"/>
                <w:w w:val="110"/>
                <w:sz w:val="18"/>
              </w:rPr>
              <w:t xml:space="preserve"> </w:t>
            </w:r>
            <w:r w:rsidRPr="00FD40B8">
              <w:rPr>
                <w:color w:val="131727" w:themeColor="text1"/>
                <w:w w:val="110"/>
                <w:sz w:val="18"/>
              </w:rPr>
              <w:t>is</w:t>
            </w:r>
            <w:r w:rsidRPr="00FD40B8">
              <w:rPr>
                <w:color w:val="131727" w:themeColor="text1"/>
                <w:spacing w:val="-5"/>
                <w:w w:val="110"/>
                <w:sz w:val="18"/>
              </w:rPr>
              <w:t xml:space="preserve"> </w:t>
            </w:r>
            <w:r w:rsidRPr="00FD40B8">
              <w:rPr>
                <w:color w:val="131727" w:themeColor="text1"/>
                <w:w w:val="110"/>
                <w:sz w:val="18"/>
              </w:rPr>
              <w:t>required to</w:t>
            </w:r>
            <w:r w:rsidRPr="00FD40B8">
              <w:rPr>
                <w:color w:val="131727" w:themeColor="text1"/>
                <w:spacing w:val="-7"/>
                <w:w w:val="110"/>
                <w:sz w:val="18"/>
              </w:rPr>
              <w:t xml:space="preserve"> </w:t>
            </w:r>
            <w:r w:rsidRPr="00FD40B8">
              <w:rPr>
                <w:color w:val="131727" w:themeColor="text1"/>
                <w:spacing w:val="-2"/>
                <w:w w:val="110"/>
                <w:sz w:val="18"/>
              </w:rPr>
              <w:t>include:</w:t>
            </w:r>
          </w:p>
          <w:p w14:paraId="6AFE1804" w14:textId="77777777" w:rsidR="00811887" w:rsidRPr="00FD40B8" w:rsidRDefault="00811887" w:rsidP="00811887">
            <w:pPr>
              <w:pStyle w:val="TableParagraph"/>
              <w:numPr>
                <w:ilvl w:val="0"/>
                <w:numId w:val="40"/>
              </w:numPr>
              <w:tabs>
                <w:tab w:val="left" w:pos="829"/>
              </w:tabs>
              <w:spacing w:before="16" w:line="240" w:lineRule="auto"/>
              <w:rPr>
                <w:rFonts w:ascii="Symbol" w:hAnsi="Symbol"/>
                <w:color w:val="131727" w:themeColor="text1"/>
                <w:sz w:val="18"/>
              </w:rPr>
            </w:pPr>
            <w:r w:rsidRPr="00FD40B8">
              <w:rPr>
                <w:color w:val="131727" w:themeColor="text1"/>
                <w:w w:val="110"/>
                <w:sz w:val="18"/>
              </w:rPr>
              <w:t>How</w:t>
            </w:r>
            <w:r w:rsidRPr="00FD40B8">
              <w:rPr>
                <w:color w:val="131727" w:themeColor="text1"/>
                <w:spacing w:val="1"/>
                <w:w w:val="110"/>
                <w:sz w:val="18"/>
              </w:rPr>
              <w:t xml:space="preserve"> </w:t>
            </w:r>
            <w:r w:rsidRPr="00FD40B8">
              <w:rPr>
                <w:color w:val="131727" w:themeColor="text1"/>
                <w:w w:val="110"/>
                <w:sz w:val="18"/>
              </w:rPr>
              <w:t>much</w:t>
            </w:r>
            <w:r w:rsidRPr="00FD40B8">
              <w:rPr>
                <w:color w:val="131727" w:themeColor="text1"/>
                <w:spacing w:val="1"/>
                <w:w w:val="110"/>
                <w:sz w:val="18"/>
              </w:rPr>
              <w:t xml:space="preserve"> </w:t>
            </w:r>
            <w:r w:rsidRPr="00FD40B8">
              <w:rPr>
                <w:color w:val="131727" w:themeColor="text1"/>
                <w:w w:val="110"/>
                <w:sz w:val="18"/>
              </w:rPr>
              <w:t>of</w:t>
            </w:r>
            <w:r w:rsidRPr="00FD40B8">
              <w:rPr>
                <w:color w:val="131727" w:themeColor="text1"/>
                <w:spacing w:val="-4"/>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funding</w:t>
            </w:r>
            <w:r w:rsidRPr="00FD40B8">
              <w:rPr>
                <w:color w:val="131727" w:themeColor="text1"/>
                <w:spacing w:val="-1"/>
                <w:w w:val="110"/>
                <w:sz w:val="18"/>
              </w:rPr>
              <w:t xml:space="preserve"> </w:t>
            </w:r>
            <w:r w:rsidRPr="00FD40B8">
              <w:rPr>
                <w:color w:val="131727" w:themeColor="text1"/>
                <w:w w:val="110"/>
                <w:sz w:val="18"/>
              </w:rPr>
              <w:t>has been</w:t>
            </w:r>
            <w:r w:rsidRPr="00FD40B8">
              <w:rPr>
                <w:color w:val="131727" w:themeColor="text1"/>
                <w:spacing w:val="-4"/>
                <w:w w:val="110"/>
                <w:sz w:val="18"/>
              </w:rPr>
              <w:t xml:space="preserve"> </w:t>
            </w:r>
            <w:r w:rsidRPr="00FD40B8">
              <w:rPr>
                <w:color w:val="131727" w:themeColor="text1"/>
                <w:w w:val="110"/>
                <w:sz w:val="18"/>
              </w:rPr>
              <w:t>expended</w:t>
            </w:r>
            <w:r w:rsidRPr="00FD40B8">
              <w:rPr>
                <w:color w:val="131727" w:themeColor="text1"/>
                <w:spacing w:val="6"/>
                <w:w w:val="110"/>
                <w:sz w:val="18"/>
              </w:rPr>
              <w:t xml:space="preserve"> </w:t>
            </w:r>
            <w:r w:rsidRPr="00FD40B8">
              <w:rPr>
                <w:color w:val="131727" w:themeColor="text1"/>
                <w:w w:val="110"/>
                <w:sz w:val="18"/>
              </w:rPr>
              <w:t xml:space="preserve">or </w:t>
            </w:r>
            <w:r w:rsidRPr="00FD40B8">
              <w:rPr>
                <w:color w:val="131727" w:themeColor="text1"/>
                <w:spacing w:val="-2"/>
                <w:w w:val="110"/>
                <w:sz w:val="18"/>
              </w:rPr>
              <w:t>committed</w:t>
            </w:r>
          </w:p>
          <w:p w14:paraId="30EC4F69" w14:textId="77777777" w:rsidR="00811887" w:rsidRPr="00FD40B8" w:rsidRDefault="00811887" w:rsidP="00811887">
            <w:pPr>
              <w:pStyle w:val="TableParagraph"/>
              <w:numPr>
                <w:ilvl w:val="0"/>
                <w:numId w:val="40"/>
              </w:numPr>
              <w:tabs>
                <w:tab w:val="left" w:pos="829"/>
              </w:tabs>
              <w:spacing w:before="11" w:line="261" w:lineRule="auto"/>
              <w:ind w:right="211"/>
              <w:rPr>
                <w:rFonts w:ascii="Symbol" w:hAnsi="Symbol"/>
                <w:color w:val="131727" w:themeColor="text1"/>
                <w:sz w:val="18"/>
              </w:rPr>
            </w:pPr>
            <w:r w:rsidRPr="00FD40B8">
              <w:rPr>
                <w:color w:val="131727" w:themeColor="text1"/>
                <w:w w:val="110"/>
                <w:sz w:val="18"/>
              </w:rPr>
              <w:t>Additional social dwellings that have been committed, commenced or</w:t>
            </w:r>
            <w:r w:rsidRPr="00FD40B8">
              <w:rPr>
                <w:color w:val="131727" w:themeColor="text1"/>
                <w:spacing w:val="-4"/>
                <w:w w:val="110"/>
                <w:sz w:val="18"/>
              </w:rPr>
              <w:t xml:space="preserve"> </w:t>
            </w:r>
            <w:r w:rsidRPr="00FD40B8">
              <w:rPr>
                <w:color w:val="131727" w:themeColor="text1"/>
                <w:w w:val="110"/>
                <w:sz w:val="18"/>
              </w:rPr>
              <w:t>completed</w:t>
            </w:r>
            <w:r w:rsidRPr="00FD40B8">
              <w:rPr>
                <w:color w:val="131727" w:themeColor="text1"/>
                <w:spacing w:val="-3"/>
                <w:w w:val="110"/>
                <w:sz w:val="18"/>
              </w:rPr>
              <w:t xml:space="preserve"> </w:t>
            </w:r>
            <w:r w:rsidRPr="00FD40B8">
              <w:rPr>
                <w:color w:val="131727" w:themeColor="text1"/>
                <w:w w:val="110"/>
                <w:sz w:val="18"/>
              </w:rPr>
              <w:t>in</w:t>
            </w:r>
            <w:r w:rsidRPr="00FD40B8">
              <w:rPr>
                <w:color w:val="131727" w:themeColor="text1"/>
                <w:spacing w:val="-2"/>
                <w:w w:val="110"/>
                <w:sz w:val="18"/>
              </w:rPr>
              <w:t xml:space="preserve"> </w:t>
            </w:r>
            <w:r w:rsidRPr="00FD40B8">
              <w:rPr>
                <w:color w:val="131727" w:themeColor="text1"/>
                <w:w w:val="110"/>
                <w:sz w:val="18"/>
              </w:rPr>
              <w:t>the 6-month</w:t>
            </w:r>
            <w:r w:rsidRPr="00FD40B8">
              <w:rPr>
                <w:color w:val="131727" w:themeColor="text1"/>
                <w:spacing w:val="-2"/>
                <w:w w:val="110"/>
                <w:sz w:val="18"/>
              </w:rPr>
              <w:t xml:space="preserve"> </w:t>
            </w:r>
            <w:r w:rsidRPr="00FD40B8">
              <w:rPr>
                <w:color w:val="131727" w:themeColor="text1"/>
                <w:w w:val="110"/>
                <w:sz w:val="18"/>
              </w:rPr>
              <w:t>reporting</w:t>
            </w:r>
            <w:r w:rsidRPr="00FD40B8">
              <w:rPr>
                <w:color w:val="131727" w:themeColor="text1"/>
                <w:spacing w:val="-5"/>
                <w:w w:val="110"/>
                <w:sz w:val="18"/>
              </w:rPr>
              <w:t xml:space="preserve"> </w:t>
            </w:r>
            <w:r w:rsidRPr="00FD40B8">
              <w:rPr>
                <w:color w:val="131727" w:themeColor="text1"/>
                <w:w w:val="110"/>
                <w:sz w:val="18"/>
              </w:rPr>
              <w:t>period (by housing project or program), including:</w:t>
            </w:r>
          </w:p>
          <w:p w14:paraId="74AF2FA8" w14:textId="77777777" w:rsidR="00811887" w:rsidRPr="00FD40B8" w:rsidRDefault="00811887" w:rsidP="00486E22">
            <w:pPr>
              <w:pStyle w:val="TableParagraph"/>
              <w:tabs>
                <w:tab w:val="left" w:pos="1549"/>
              </w:tabs>
              <w:spacing w:before="50" w:line="268" w:lineRule="auto"/>
              <w:ind w:left="1549" w:right="113"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 number of</w:t>
            </w:r>
            <w:r w:rsidRPr="00FD40B8">
              <w:rPr>
                <w:color w:val="131727" w:themeColor="text1"/>
                <w:spacing w:val="-7"/>
                <w:w w:val="110"/>
                <w:sz w:val="18"/>
              </w:rPr>
              <w:t xml:space="preserve"> </w:t>
            </w:r>
            <w:r w:rsidRPr="00FD40B8">
              <w:rPr>
                <w:color w:val="131727" w:themeColor="text1"/>
                <w:w w:val="110"/>
                <w:sz w:val="18"/>
              </w:rPr>
              <w:t>existing</w:t>
            </w:r>
            <w:r w:rsidRPr="00FD40B8">
              <w:rPr>
                <w:color w:val="131727" w:themeColor="text1"/>
                <w:spacing w:val="-5"/>
                <w:w w:val="110"/>
                <w:sz w:val="18"/>
              </w:rPr>
              <w:t xml:space="preserve"> </w:t>
            </w:r>
            <w:r w:rsidRPr="00FD40B8">
              <w:rPr>
                <w:color w:val="131727" w:themeColor="text1"/>
                <w:w w:val="110"/>
                <w:sz w:val="18"/>
              </w:rPr>
              <w:t>Community</w:t>
            </w:r>
            <w:r w:rsidRPr="00FD40B8">
              <w:rPr>
                <w:color w:val="131727" w:themeColor="text1"/>
                <w:spacing w:val="-3"/>
                <w:w w:val="110"/>
                <w:sz w:val="18"/>
              </w:rPr>
              <w:t xml:space="preserve"> </w:t>
            </w:r>
            <w:r w:rsidRPr="00FD40B8">
              <w:rPr>
                <w:color w:val="131727" w:themeColor="text1"/>
                <w:w w:val="110"/>
                <w:sz w:val="18"/>
              </w:rPr>
              <w:t>Housing</w:t>
            </w:r>
            <w:r w:rsidRPr="00FD40B8">
              <w:rPr>
                <w:color w:val="131727" w:themeColor="text1"/>
                <w:spacing w:val="-5"/>
                <w:w w:val="110"/>
                <w:sz w:val="18"/>
              </w:rPr>
              <w:t xml:space="preserve"> </w:t>
            </w:r>
            <w:r w:rsidRPr="00FD40B8">
              <w:rPr>
                <w:color w:val="131727" w:themeColor="text1"/>
                <w:w w:val="110"/>
                <w:sz w:val="18"/>
              </w:rPr>
              <w:t>owne</w:t>
            </w:r>
            <w:r w:rsidRPr="00FD40B8">
              <w:rPr>
                <w:color w:val="131727" w:themeColor="text1"/>
                <w:w w:val="110"/>
              </w:rPr>
              <w:t>d or operated social housing dwellings that are currently available</w:t>
            </w:r>
          </w:p>
          <w:p w14:paraId="7FC428ED" w14:textId="77777777" w:rsidR="00811887" w:rsidRPr="00FD40B8" w:rsidRDefault="00811887" w:rsidP="00486E22">
            <w:pPr>
              <w:pStyle w:val="TableParagraph"/>
              <w:tabs>
                <w:tab w:val="left" w:pos="1549"/>
              </w:tabs>
              <w:spacing w:before="9" w:line="259" w:lineRule="auto"/>
              <w:ind w:left="1549" w:right="404" w:hanging="360"/>
              <w:rPr>
                <w:color w:val="131727" w:themeColor="text1"/>
                <w:sz w:val="18"/>
              </w:rPr>
            </w:pPr>
            <w:r w:rsidRPr="00FD40B8">
              <w:rPr>
                <w:b/>
                <w:color w:val="131727" w:themeColor="text1"/>
                <w:spacing w:val="-10"/>
                <w:w w:val="105"/>
              </w:rPr>
              <w:t>»</w:t>
            </w:r>
            <w:r w:rsidRPr="00FD40B8">
              <w:rPr>
                <w:b/>
                <w:color w:val="131727" w:themeColor="text1"/>
              </w:rPr>
              <w:tab/>
            </w:r>
            <w:r w:rsidRPr="00FD40B8">
              <w:rPr>
                <w:color w:val="131727" w:themeColor="text1"/>
                <w:w w:val="105"/>
                <w:sz w:val="18"/>
              </w:rPr>
              <w:t xml:space="preserve">how many publicly owned and operated social housing dwellings are currently available in each </w:t>
            </w:r>
            <w:r w:rsidRPr="00FD40B8">
              <w:rPr>
                <w:color w:val="131727" w:themeColor="text1"/>
                <w:spacing w:val="-2"/>
                <w:w w:val="105"/>
                <w:sz w:val="18"/>
              </w:rPr>
              <w:t>jurisdiction;</w:t>
            </w:r>
          </w:p>
          <w:p w14:paraId="236317B1" w14:textId="77777777" w:rsidR="00811887" w:rsidRPr="00FD40B8" w:rsidRDefault="00811887" w:rsidP="00486E22">
            <w:pPr>
              <w:pStyle w:val="TableParagraph"/>
              <w:tabs>
                <w:tab w:val="left" w:pos="1549"/>
              </w:tabs>
              <w:spacing w:before="28" w:line="252" w:lineRule="auto"/>
              <w:ind w:left="1549" w:right="495"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how</w:t>
            </w:r>
            <w:r w:rsidRPr="00FD40B8">
              <w:rPr>
                <w:color w:val="131727" w:themeColor="text1"/>
                <w:spacing w:val="-12"/>
                <w:w w:val="110"/>
                <w:sz w:val="18"/>
              </w:rPr>
              <w:t xml:space="preserve"> </w:t>
            </w:r>
            <w:r w:rsidRPr="00FD40B8">
              <w:rPr>
                <w:color w:val="131727" w:themeColor="text1"/>
                <w:w w:val="110"/>
                <w:sz w:val="18"/>
              </w:rPr>
              <w:t>many</w:t>
            </w:r>
            <w:r w:rsidRPr="00FD40B8">
              <w:rPr>
                <w:color w:val="131727" w:themeColor="text1"/>
                <w:spacing w:val="-11"/>
                <w:w w:val="110"/>
                <w:sz w:val="18"/>
              </w:rPr>
              <w:t xml:space="preserve"> </w:t>
            </w:r>
            <w:r w:rsidRPr="00FD40B8">
              <w:rPr>
                <w:color w:val="131727" w:themeColor="text1"/>
                <w:w w:val="110"/>
                <w:sz w:val="18"/>
              </w:rPr>
              <w:t>dwellings</w:t>
            </w:r>
            <w:r w:rsidRPr="00FD40B8">
              <w:rPr>
                <w:color w:val="131727" w:themeColor="text1"/>
                <w:spacing w:val="-11"/>
                <w:w w:val="110"/>
                <w:sz w:val="18"/>
              </w:rPr>
              <w:t xml:space="preserve"> </w:t>
            </w:r>
            <w:r w:rsidRPr="00FD40B8">
              <w:rPr>
                <w:color w:val="131727" w:themeColor="text1"/>
                <w:w w:val="110"/>
                <w:sz w:val="18"/>
              </w:rPr>
              <w:t>(net</w:t>
            </w:r>
            <w:r w:rsidRPr="00FD40B8">
              <w:rPr>
                <w:color w:val="131727" w:themeColor="text1"/>
                <w:spacing w:val="-11"/>
                <w:w w:val="110"/>
                <w:sz w:val="18"/>
              </w:rPr>
              <w:t xml:space="preserve"> </w:t>
            </w:r>
            <w:r w:rsidRPr="00FD40B8">
              <w:rPr>
                <w:color w:val="131727" w:themeColor="text1"/>
                <w:w w:val="110"/>
                <w:sz w:val="18"/>
              </w:rPr>
              <w:t>supply</w:t>
            </w:r>
            <w:r w:rsidRPr="00FD40B8">
              <w:rPr>
                <w:color w:val="131727" w:themeColor="text1"/>
                <w:spacing w:val="-11"/>
                <w:w w:val="110"/>
                <w:sz w:val="18"/>
              </w:rPr>
              <w:t xml:space="preserve"> </w:t>
            </w:r>
            <w:r w:rsidRPr="00FD40B8">
              <w:rPr>
                <w:color w:val="131727" w:themeColor="text1"/>
                <w:w w:val="110"/>
                <w:sz w:val="18"/>
              </w:rPr>
              <w:t>increase)</w:t>
            </w:r>
            <w:r w:rsidRPr="00FD40B8">
              <w:rPr>
                <w:color w:val="131727" w:themeColor="text1"/>
                <w:spacing w:val="-12"/>
                <w:w w:val="110"/>
                <w:sz w:val="18"/>
              </w:rPr>
              <w:t xml:space="preserve"> </w:t>
            </w:r>
            <w:r w:rsidRPr="00FD40B8">
              <w:rPr>
                <w:color w:val="131727" w:themeColor="text1"/>
                <w:w w:val="110"/>
                <w:sz w:val="18"/>
              </w:rPr>
              <w:t>have been added every six months</w:t>
            </w:r>
          </w:p>
          <w:p w14:paraId="2B90A410" w14:textId="77777777" w:rsidR="00811887" w:rsidRPr="00FD40B8" w:rsidRDefault="00811887" w:rsidP="00486E22">
            <w:pPr>
              <w:pStyle w:val="TableParagraph"/>
              <w:tabs>
                <w:tab w:val="left" w:pos="1549"/>
              </w:tabs>
              <w:spacing w:before="35" w:line="252" w:lineRule="auto"/>
              <w:ind w:left="1549" w:right="245"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12"/>
                <w:w w:val="110"/>
                <w:sz w:val="18"/>
              </w:rPr>
              <w:t xml:space="preserve"> </w:t>
            </w:r>
            <w:r w:rsidRPr="00FD40B8">
              <w:rPr>
                <w:color w:val="131727" w:themeColor="text1"/>
                <w:w w:val="110"/>
                <w:sz w:val="18"/>
              </w:rPr>
              <w:t>location</w:t>
            </w:r>
            <w:r w:rsidRPr="00FD40B8">
              <w:rPr>
                <w:color w:val="131727" w:themeColor="text1"/>
                <w:spacing w:val="-11"/>
                <w:w w:val="110"/>
                <w:sz w:val="18"/>
              </w:rPr>
              <w:t xml:space="preserve"> </w:t>
            </w:r>
            <w:r w:rsidRPr="00FD40B8">
              <w:rPr>
                <w:color w:val="131727" w:themeColor="text1"/>
                <w:w w:val="110"/>
                <w:sz w:val="18"/>
              </w:rPr>
              <w:t>of</w:t>
            </w:r>
            <w:r w:rsidRPr="00FD40B8">
              <w:rPr>
                <w:color w:val="131727" w:themeColor="text1"/>
                <w:spacing w:val="-10"/>
                <w:w w:val="110"/>
                <w:sz w:val="18"/>
              </w:rPr>
              <w:t xml:space="preserve"> </w:t>
            </w:r>
            <w:r w:rsidRPr="00FD40B8">
              <w:rPr>
                <w:color w:val="131727" w:themeColor="text1"/>
                <w:w w:val="110"/>
                <w:sz w:val="18"/>
              </w:rPr>
              <w:t>new</w:t>
            </w:r>
            <w:r w:rsidRPr="00FD40B8">
              <w:rPr>
                <w:color w:val="131727" w:themeColor="text1"/>
                <w:spacing w:val="-11"/>
                <w:w w:val="110"/>
                <w:sz w:val="18"/>
              </w:rPr>
              <w:t xml:space="preserve"> </w:t>
            </w:r>
            <w:r w:rsidRPr="00FD40B8">
              <w:rPr>
                <w:color w:val="131727" w:themeColor="text1"/>
                <w:w w:val="110"/>
                <w:sz w:val="18"/>
              </w:rPr>
              <w:t>dwellings</w:t>
            </w:r>
            <w:r w:rsidRPr="00FD40B8">
              <w:rPr>
                <w:color w:val="131727" w:themeColor="text1"/>
                <w:spacing w:val="-12"/>
                <w:w w:val="110"/>
                <w:sz w:val="18"/>
              </w:rPr>
              <w:t xml:space="preserve"> </w:t>
            </w:r>
            <w:r w:rsidRPr="00FD40B8">
              <w:rPr>
                <w:color w:val="131727" w:themeColor="text1"/>
                <w:w w:val="110"/>
                <w:sz w:val="18"/>
              </w:rPr>
              <w:t>by</w:t>
            </w:r>
            <w:r w:rsidRPr="00FD40B8">
              <w:rPr>
                <w:color w:val="131727" w:themeColor="text1"/>
                <w:spacing w:val="-10"/>
                <w:w w:val="110"/>
                <w:sz w:val="18"/>
              </w:rPr>
              <w:t xml:space="preserve"> </w:t>
            </w:r>
            <w:r w:rsidRPr="00FD40B8">
              <w:rPr>
                <w:color w:val="131727" w:themeColor="text1"/>
                <w:w w:val="110"/>
                <w:sz w:val="18"/>
              </w:rPr>
              <w:t>local</w:t>
            </w:r>
            <w:r w:rsidRPr="00FD40B8">
              <w:rPr>
                <w:color w:val="131727" w:themeColor="text1"/>
                <w:spacing w:val="-11"/>
                <w:w w:val="110"/>
                <w:sz w:val="18"/>
              </w:rPr>
              <w:t xml:space="preserve"> </w:t>
            </w:r>
            <w:r w:rsidRPr="00FD40B8">
              <w:rPr>
                <w:color w:val="131727" w:themeColor="text1"/>
                <w:w w:val="110"/>
                <w:sz w:val="18"/>
              </w:rPr>
              <w:t xml:space="preserve">government </w:t>
            </w:r>
            <w:r w:rsidRPr="00FD40B8">
              <w:rPr>
                <w:color w:val="131727" w:themeColor="text1"/>
                <w:spacing w:val="-4"/>
                <w:w w:val="110"/>
                <w:sz w:val="18"/>
              </w:rPr>
              <w:t>area</w:t>
            </w:r>
          </w:p>
          <w:p w14:paraId="66F2CD95" w14:textId="77777777" w:rsidR="00811887" w:rsidRPr="00FD40B8" w:rsidRDefault="00811887" w:rsidP="00486E22">
            <w:pPr>
              <w:pStyle w:val="TableParagraph"/>
              <w:tabs>
                <w:tab w:val="left" w:pos="1549"/>
              </w:tabs>
              <w:spacing w:before="63" w:line="266" w:lineRule="auto"/>
              <w:ind w:left="1549" w:right="765" w:hanging="360"/>
              <w:rPr>
                <w:color w:val="131727" w:themeColor="text1"/>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1"/>
                <w:w w:val="110"/>
                <w:sz w:val="18"/>
              </w:rPr>
              <w:t xml:space="preserve"> </w:t>
            </w:r>
            <w:r w:rsidRPr="00FD40B8">
              <w:rPr>
                <w:color w:val="131727" w:themeColor="text1"/>
                <w:w w:val="110"/>
                <w:sz w:val="18"/>
              </w:rPr>
              <w:t>numbe</w:t>
            </w:r>
            <w:r w:rsidRPr="00FD40B8">
              <w:rPr>
                <w:color w:val="131727" w:themeColor="text1"/>
                <w:w w:val="110"/>
              </w:rPr>
              <w:t>r</w:t>
            </w:r>
            <w:r w:rsidRPr="00FD40B8">
              <w:rPr>
                <w:color w:val="131727" w:themeColor="text1"/>
                <w:spacing w:val="-2"/>
                <w:w w:val="110"/>
              </w:rPr>
              <w:t xml:space="preserve"> </w:t>
            </w:r>
            <w:r w:rsidRPr="00FD40B8">
              <w:rPr>
                <w:color w:val="131727" w:themeColor="text1"/>
                <w:w w:val="110"/>
              </w:rPr>
              <w:t>of</w:t>
            </w:r>
            <w:r w:rsidRPr="00FD40B8">
              <w:rPr>
                <w:color w:val="131727" w:themeColor="text1"/>
                <w:spacing w:val="-5"/>
                <w:w w:val="110"/>
              </w:rPr>
              <w:t xml:space="preserve"> </w:t>
            </w:r>
            <w:r w:rsidRPr="00FD40B8">
              <w:rPr>
                <w:color w:val="131727" w:themeColor="text1"/>
                <w:w w:val="110"/>
              </w:rPr>
              <w:t>people</w:t>
            </w:r>
            <w:r w:rsidRPr="00FD40B8">
              <w:rPr>
                <w:color w:val="131727" w:themeColor="text1"/>
                <w:spacing w:val="-3"/>
                <w:w w:val="110"/>
              </w:rPr>
              <w:t xml:space="preserve"> </w:t>
            </w:r>
            <w:r w:rsidRPr="00FD40B8">
              <w:rPr>
                <w:color w:val="131727" w:themeColor="text1"/>
                <w:w w:val="110"/>
              </w:rPr>
              <w:t>housed</w:t>
            </w:r>
            <w:r w:rsidRPr="00FD40B8">
              <w:rPr>
                <w:color w:val="131727" w:themeColor="text1"/>
                <w:spacing w:val="-4"/>
                <w:w w:val="110"/>
              </w:rPr>
              <w:t xml:space="preserve"> </w:t>
            </w:r>
            <w:r w:rsidRPr="00FD40B8">
              <w:rPr>
                <w:color w:val="131727" w:themeColor="text1"/>
                <w:w w:val="110"/>
              </w:rPr>
              <w:t>and/or households provided new housing</w:t>
            </w:r>
          </w:p>
          <w:p w14:paraId="0BC5A9D2" w14:textId="77777777" w:rsidR="00811887" w:rsidRPr="00FD40B8" w:rsidRDefault="00811887" w:rsidP="00486E22">
            <w:pPr>
              <w:pStyle w:val="TableParagraph"/>
              <w:tabs>
                <w:tab w:val="left" w:pos="1549"/>
              </w:tabs>
              <w:spacing w:before="14" w:line="254" w:lineRule="auto"/>
              <w:ind w:left="1549" w:right="360"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 additional dwellings</w:t>
            </w:r>
            <w:r w:rsidRPr="00FD40B8">
              <w:rPr>
                <w:color w:val="131727" w:themeColor="text1"/>
                <w:spacing w:val="-1"/>
                <w:w w:val="110"/>
                <w:sz w:val="18"/>
              </w:rPr>
              <w:t xml:space="preserve"> </w:t>
            </w:r>
            <w:r w:rsidRPr="00FD40B8">
              <w:rPr>
                <w:color w:val="131727" w:themeColor="text1"/>
                <w:w w:val="110"/>
                <w:sz w:val="18"/>
              </w:rPr>
              <w:t>supported where funds under this Schedule are used to expand existing</w:t>
            </w:r>
          </w:p>
          <w:p w14:paraId="391084DA" w14:textId="77777777" w:rsidR="00811887" w:rsidRPr="00FD40B8" w:rsidRDefault="00811887" w:rsidP="00486E22">
            <w:pPr>
              <w:pStyle w:val="TableParagraph"/>
              <w:spacing w:before="10" w:line="204" w:lineRule="exact"/>
              <w:ind w:left="1549"/>
              <w:rPr>
                <w:color w:val="131727" w:themeColor="text1"/>
                <w:sz w:val="18"/>
              </w:rPr>
            </w:pPr>
            <w:r w:rsidRPr="00FD40B8">
              <w:rPr>
                <w:color w:val="131727" w:themeColor="text1"/>
                <w:w w:val="110"/>
                <w:sz w:val="18"/>
              </w:rPr>
              <w:t>projects</w:t>
            </w:r>
            <w:r w:rsidRPr="00FD40B8">
              <w:rPr>
                <w:color w:val="131727" w:themeColor="text1"/>
                <w:spacing w:val="-2"/>
                <w:w w:val="110"/>
                <w:sz w:val="18"/>
              </w:rPr>
              <w:t xml:space="preserve"> </w:t>
            </w:r>
            <w:r w:rsidRPr="00FD40B8">
              <w:rPr>
                <w:color w:val="131727" w:themeColor="text1"/>
                <w:w w:val="110"/>
                <w:sz w:val="18"/>
              </w:rPr>
              <w:t>or</w:t>
            </w:r>
            <w:r w:rsidRPr="00FD40B8">
              <w:rPr>
                <w:color w:val="131727" w:themeColor="text1"/>
                <w:spacing w:val="-2"/>
                <w:w w:val="110"/>
                <w:sz w:val="18"/>
              </w:rPr>
              <w:t xml:space="preserve"> programs.</w:t>
            </w:r>
          </w:p>
        </w:tc>
        <w:tc>
          <w:tcPr>
            <w:tcW w:w="1562" w:type="dxa"/>
            <w:shd w:val="clear" w:color="auto" w:fill="EEF1F4"/>
          </w:tcPr>
          <w:p w14:paraId="49C57570" w14:textId="77777777" w:rsidR="00811887" w:rsidRPr="00FD40B8" w:rsidRDefault="00811887" w:rsidP="00486E22">
            <w:pPr>
              <w:pStyle w:val="TableParagraph"/>
              <w:spacing w:before="25" w:line="273" w:lineRule="auto"/>
              <w:ind w:left="107"/>
              <w:rPr>
                <w:color w:val="131727" w:themeColor="text1"/>
                <w:sz w:val="18"/>
              </w:rPr>
            </w:pPr>
            <w:r w:rsidRPr="00FD40B8">
              <w:rPr>
                <w:color w:val="131727" w:themeColor="text1"/>
                <w:w w:val="110"/>
                <w:sz w:val="18"/>
              </w:rPr>
              <w:t>Reporting data from the State and Territory Governments</w:t>
            </w:r>
            <w:r w:rsidRPr="00FD40B8">
              <w:rPr>
                <w:color w:val="131727" w:themeColor="text1"/>
                <w:spacing w:val="-12"/>
                <w:w w:val="110"/>
                <w:sz w:val="18"/>
              </w:rPr>
              <w:t xml:space="preserve"> </w:t>
            </w:r>
            <w:r w:rsidRPr="00FD40B8">
              <w:rPr>
                <w:color w:val="131727" w:themeColor="text1"/>
                <w:w w:val="110"/>
                <w:sz w:val="18"/>
              </w:rPr>
              <w:t xml:space="preserve">to </w:t>
            </w:r>
            <w:r w:rsidRPr="00FD40B8">
              <w:rPr>
                <w:color w:val="131727" w:themeColor="text1"/>
                <w:spacing w:val="-4"/>
                <w:w w:val="110"/>
                <w:sz w:val="18"/>
              </w:rPr>
              <w:t xml:space="preserve">the </w:t>
            </w:r>
            <w:r w:rsidRPr="00FD40B8">
              <w:rPr>
                <w:color w:val="131727" w:themeColor="text1"/>
                <w:spacing w:val="-2"/>
                <w:w w:val="110"/>
                <w:sz w:val="18"/>
              </w:rPr>
              <w:t>Commonwealth Government.</w:t>
            </w:r>
          </w:p>
        </w:tc>
        <w:tc>
          <w:tcPr>
            <w:tcW w:w="2657" w:type="dxa"/>
            <w:shd w:val="clear" w:color="auto" w:fill="EEF1F4"/>
          </w:tcPr>
          <w:p w14:paraId="37372626" w14:textId="77777777" w:rsidR="00811887" w:rsidRPr="00FD40B8" w:rsidRDefault="00811887" w:rsidP="00486E22">
            <w:pPr>
              <w:pStyle w:val="TableParagraph"/>
              <w:spacing w:before="25" w:line="273" w:lineRule="auto"/>
              <w:ind w:left="101"/>
              <w:rPr>
                <w:color w:val="131727" w:themeColor="text1"/>
                <w:sz w:val="18"/>
              </w:rPr>
            </w:pP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data</w:t>
            </w:r>
            <w:r w:rsidRPr="00FD40B8">
              <w:rPr>
                <w:color w:val="131727" w:themeColor="text1"/>
                <w:spacing w:val="-6"/>
                <w:w w:val="110"/>
                <w:sz w:val="18"/>
              </w:rPr>
              <w:t xml:space="preserve"> </w:t>
            </w:r>
            <w:r w:rsidRPr="00FD40B8">
              <w:rPr>
                <w:color w:val="131727" w:themeColor="text1"/>
                <w:w w:val="110"/>
                <w:sz w:val="18"/>
              </w:rPr>
              <w:t>does</w:t>
            </w:r>
            <w:r w:rsidRPr="00FD40B8">
              <w:rPr>
                <w:color w:val="131727" w:themeColor="text1"/>
                <w:spacing w:val="-4"/>
                <w:w w:val="110"/>
                <w:sz w:val="18"/>
              </w:rPr>
              <w:t xml:space="preserve"> </w:t>
            </w:r>
            <w:r w:rsidRPr="00FD40B8">
              <w:rPr>
                <w:color w:val="131727" w:themeColor="text1"/>
                <w:w w:val="110"/>
                <w:sz w:val="18"/>
              </w:rPr>
              <w:t>not</w:t>
            </w:r>
            <w:r w:rsidRPr="00FD40B8">
              <w:rPr>
                <w:color w:val="131727" w:themeColor="text1"/>
                <w:spacing w:val="-4"/>
                <w:w w:val="110"/>
                <w:sz w:val="18"/>
              </w:rPr>
              <w:t xml:space="preserve"> </w:t>
            </w:r>
            <w:r w:rsidRPr="00FD40B8">
              <w:rPr>
                <w:color w:val="131727" w:themeColor="text1"/>
                <w:w w:val="110"/>
                <w:sz w:val="18"/>
              </w:rPr>
              <w:t>provide</w:t>
            </w:r>
            <w:r w:rsidRPr="00FD40B8">
              <w:rPr>
                <w:color w:val="131727" w:themeColor="text1"/>
                <w:spacing w:val="-1"/>
                <w:w w:val="110"/>
                <w:sz w:val="18"/>
              </w:rPr>
              <w:t xml:space="preserve"> </w:t>
            </w:r>
            <w:r w:rsidRPr="00FD40B8">
              <w:rPr>
                <w:color w:val="131727" w:themeColor="text1"/>
                <w:w w:val="110"/>
                <w:sz w:val="18"/>
              </w:rPr>
              <w:t>an estimate of need (other than changes in social housing waitlists),</w:t>
            </w:r>
            <w:r w:rsidRPr="00FD40B8">
              <w:rPr>
                <w:color w:val="131727" w:themeColor="text1"/>
                <w:spacing w:val="-11"/>
                <w:w w:val="110"/>
                <w:sz w:val="18"/>
              </w:rPr>
              <w:t xml:space="preserve"> </w:t>
            </w:r>
            <w:r w:rsidRPr="00FD40B8">
              <w:rPr>
                <w:color w:val="131727" w:themeColor="text1"/>
                <w:w w:val="110"/>
                <w:sz w:val="18"/>
              </w:rPr>
              <w:t>rather</w:t>
            </w:r>
            <w:r w:rsidRPr="00FD40B8">
              <w:rPr>
                <w:color w:val="131727" w:themeColor="text1"/>
                <w:spacing w:val="-11"/>
                <w:w w:val="110"/>
                <w:sz w:val="18"/>
              </w:rPr>
              <w:t xml:space="preserve"> </w:t>
            </w:r>
            <w:r w:rsidRPr="00FD40B8">
              <w:rPr>
                <w:color w:val="131727" w:themeColor="text1"/>
                <w:w w:val="110"/>
                <w:sz w:val="18"/>
              </w:rPr>
              <w:t>reporting</w:t>
            </w:r>
            <w:r w:rsidRPr="00FD40B8">
              <w:rPr>
                <w:color w:val="131727" w:themeColor="text1"/>
                <w:spacing w:val="-9"/>
                <w:w w:val="110"/>
                <w:sz w:val="18"/>
              </w:rPr>
              <w:t xml:space="preserve"> </w:t>
            </w:r>
            <w:r w:rsidRPr="00FD40B8">
              <w:rPr>
                <w:color w:val="131727" w:themeColor="text1"/>
                <w:w w:val="110"/>
                <w:sz w:val="18"/>
              </w:rPr>
              <w:t>on houses financed.</w:t>
            </w:r>
          </w:p>
          <w:p w14:paraId="59BF5F30" w14:textId="77777777" w:rsidR="00811887" w:rsidRPr="00FD40B8" w:rsidRDefault="00811887" w:rsidP="00486E22">
            <w:pPr>
              <w:pStyle w:val="TableParagraph"/>
              <w:spacing w:before="31" w:line="240" w:lineRule="auto"/>
              <w:rPr>
                <w:color w:val="131727" w:themeColor="text1"/>
                <w:sz w:val="18"/>
              </w:rPr>
            </w:pPr>
          </w:p>
          <w:p w14:paraId="1DB3970C" w14:textId="77777777" w:rsidR="00811887" w:rsidRPr="00FD40B8" w:rsidRDefault="00811887" w:rsidP="00486E22">
            <w:pPr>
              <w:pStyle w:val="TableParagraph"/>
              <w:spacing w:line="273" w:lineRule="auto"/>
              <w:ind w:left="101"/>
              <w:rPr>
                <w:color w:val="131727" w:themeColor="text1"/>
                <w:sz w:val="18"/>
              </w:rPr>
            </w:pPr>
            <w:r w:rsidRPr="00FD40B8">
              <w:rPr>
                <w:color w:val="131727" w:themeColor="text1"/>
                <w:w w:val="110"/>
                <w:sz w:val="18"/>
              </w:rPr>
              <w:t>The</w:t>
            </w:r>
            <w:r w:rsidRPr="00FD40B8">
              <w:rPr>
                <w:color w:val="131727" w:themeColor="text1"/>
                <w:spacing w:val="-6"/>
                <w:w w:val="110"/>
                <w:sz w:val="18"/>
              </w:rPr>
              <w:t xml:space="preserve"> </w:t>
            </w:r>
            <w:r w:rsidRPr="00FD40B8">
              <w:rPr>
                <w:color w:val="131727" w:themeColor="text1"/>
                <w:w w:val="110"/>
                <w:sz w:val="18"/>
              </w:rPr>
              <w:t>data</w:t>
            </w:r>
            <w:r w:rsidRPr="00FD40B8">
              <w:rPr>
                <w:color w:val="131727" w:themeColor="text1"/>
                <w:spacing w:val="-8"/>
                <w:w w:val="110"/>
                <w:sz w:val="18"/>
              </w:rPr>
              <w:t xml:space="preserve"> </w:t>
            </w:r>
            <w:r w:rsidRPr="00FD40B8">
              <w:rPr>
                <w:color w:val="131727" w:themeColor="text1"/>
                <w:w w:val="110"/>
                <w:sz w:val="18"/>
              </w:rPr>
              <w:t>does</w:t>
            </w:r>
            <w:r w:rsidRPr="00FD40B8">
              <w:rPr>
                <w:color w:val="131727" w:themeColor="text1"/>
                <w:spacing w:val="-6"/>
                <w:w w:val="110"/>
                <w:sz w:val="18"/>
              </w:rPr>
              <w:t xml:space="preserve"> </w:t>
            </w:r>
            <w:r w:rsidRPr="00FD40B8">
              <w:rPr>
                <w:color w:val="131727" w:themeColor="text1"/>
                <w:w w:val="110"/>
                <w:sz w:val="18"/>
              </w:rPr>
              <w:t>not</w:t>
            </w:r>
            <w:r w:rsidRPr="00FD40B8">
              <w:rPr>
                <w:color w:val="131727" w:themeColor="text1"/>
                <w:spacing w:val="-6"/>
                <w:w w:val="110"/>
                <w:sz w:val="18"/>
              </w:rPr>
              <w:t xml:space="preserve"> </w:t>
            </w:r>
            <w:r w:rsidRPr="00FD40B8">
              <w:rPr>
                <w:color w:val="131727" w:themeColor="text1"/>
                <w:w w:val="110"/>
                <w:sz w:val="18"/>
              </w:rPr>
              <w:t>specify whether housing is for Aboriginal</w:t>
            </w:r>
            <w:r w:rsidRPr="00FD40B8">
              <w:rPr>
                <w:color w:val="131727" w:themeColor="text1"/>
                <w:spacing w:val="-12"/>
                <w:w w:val="110"/>
                <w:sz w:val="18"/>
              </w:rPr>
              <w:t xml:space="preserve"> </w:t>
            </w:r>
            <w:r w:rsidRPr="00FD40B8">
              <w:rPr>
                <w:color w:val="131727" w:themeColor="text1"/>
                <w:w w:val="110"/>
                <w:sz w:val="18"/>
              </w:rPr>
              <w:t>or</w:t>
            </w:r>
            <w:r w:rsidRPr="00FD40B8">
              <w:rPr>
                <w:color w:val="131727" w:themeColor="text1"/>
                <w:spacing w:val="-11"/>
                <w:w w:val="110"/>
                <w:sz w:val="18"/>
              </w:rPr>
              <w:t xml:space="preserve"> </w:t>
            </w:r>
            <w:r w:rsidRPr="00FD40B8">
              <w:rPr>
                <w:color w:val="131727" w:themeColor="text1"/>
                <w:w w:val="110"/>
                <w:sz w:val="18"/>
              </w:rPr>
              <w:t>Torres</w:t>
            </w:r>
            <w:r w:rsidRPr="00FD40B8">
              <w:rPr>
                <w:color w:val="131727" w:themeColor="text1"/>
                <w:spacing w:val="-11"/>
                <w:w w:val="110"/>
                <w:sz w:val="18"/>
              </w:rPr>
              <w:t xml:space="preserve"> </w:t>
            </w:r>
            <w:r w:rsidRPr="00FD40B8">
              <w:rPr>
                <w:color w:val="131727" w:themeColor="text1"/>
                <w:w w:val="110"/>
                <w:sz w:val="18"/>
              </w:rPr>
              <w:t>Strait Islander people.</w:t>
            </w:r>
          </w:p>
          <w:p w14:paraId="0DB65C56" w14:textId="77777777" w:rsidR="00811887" w:rsidRPr="00FD40B8" w:rsidRDefault="00811887" w:rsidP="00486E22">
            <w:pPr>
              <w:pStyle w:val="TableParagraph"/>
              <w:spacing w:before="27" w:line="240" w:lineRule="auto"/>
              <w:rPr>
                <w:color w:val="131727" w:themeColor="text1"/>
                <w:sz w:val="18"/>
              </w:rPr>
            </w:pPr>
          </w:p>
          <w:p w14:paraId="280112D4" w14:textId="77777777" w:rsidR="00811887" w:rsidRPr="00FD40B8" w:rsidRDefault="00811887" w:rsidP="00486E22">
            <w:pPr>
              <w:pStyle w:val="TableParagraph"/>
              <w:spacing w:line="273" w:lineRule="auto"/>
              <w:ind w:left="101" w:right="259"/>
              <w:rPr>
                <w:color w:val="131727" w:themeColor="text1"/>
                <w:sz w:val="18"/>
              </w:rPr>
            </w:pPr>
            <w:r w:rsidRPr="00FD40B8">
              <w:rPr>
                <w:color w:val="131727" w:themeColor="text1"/>
                <w:w w:val="110"/>
                <w:sz w:val="18"/>
              </w:rPr>
              <w:t>Does not provide data on community</w:t>
            </w:r>
            <w:r w:rsidRPr="00FD40B8">
              <w:rPr>
                <w:color w:val="131727" w:themeColor="text1"/>
                <w:spacing w:val="-12"/>
                <w:w w:val="110"/>
                <w:sz w:val="18"/>
              </w:rPr>
              <w:t xml:space="preserve"> </w:t>
            </w:r>
            <w:r w:rsidRPr="00FD40B8">
              <w:rPr>
                <w:color w:val="131727" w:themeColor="text1"/>
                <w:w w:val="110"/>
                <w:sz w:val="18"/>
              </w:rPr>
              <w:t>infrastructure</w:t>
            </w:r>
            <w:r w:rsidRPr="00FD40B8">
              <w:rPr>
                <w:color w:val="131727" w:themeColor="text1"/>
                <w:spacing w:val="-11"/>
                <w:w w:val="110"/>
                <w:sz w:val="18"/>
              </w:rPr>
              <w:t xml:space="preserve"> </w:t>
            </w:r>
            <w:r w:rsidRPr="00FD40B8">
              <w:rPr>
                <w:color w:val="131727" w:themeColor="text1"/>
                <w:w w:val="110"/>
                <w:sz w:val="18"/>
              </w:rPr>
              <w:t xml:space="preserve">or </w:t>
            </w:r>
            <w:r w:rsidRPr="00FD40B8">
              <w:rPr>
                <w:color w:val="131727" w:themeColor="text1"/>
                <w:spacing w:val="-2"/>
                <w:w w:val="110"/>
                <w:sz w:val="18"/>
              </w:rPr>
              <w:t>services.</w:t>
            </w:r>
          </w:p>
        </w:tc>
      </w:tr>
    </w:tbl>
    <w:p w14:paraId="3A0C75D6" w14:textId="77777777" w:rsidR="00811887" w:rsidRPr="00FD40B8" w:rsidRDefault="00811887" w:rsidP="00811887">
      <w:pPr>
        <w:spacing w:line="273" w:lineRule="auto"/>
        <w:rPr>
          <w:color w:val="131727" w:themeColor="text1"/>
          <w:sz w:val="18"/>
        </w:rPr>
        <w:sectPr w:rsidR="00811887" w:rsidRPr="00FD40B8" w:rsidSect="00811887">
          <w:pgSz w:w="16840" w:h="11910" w:orient="landscape"/>
          <w:pgMar w:top="1220" w:right="1300" w:bottom="1000" w:left="1280" w:header="0" w:footer="800" w:gutter="0"/>
          <w:cols w:space="720"/>
        </w:sectPr>
      </w:pPr>
    </w:p>
    <w:p w14:paraId="0B1164CB" w14:textId="77777777" w:rsidR="00811887" w:rsidRPr="00FD40B8" w:rsidRDefault="00811887" w:rsidP="00811887">
      <w:pPr>
        <w:pStyle w:val="BodyText"/>
        <w:rPr>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112D1B08" w14:textId="77777777" w:rsidTr="00486E22">
        <w:trPr>
          <w:trHeight w:val="518"/>
        </w:trPr>
        <w:tc>
          <w:tcPr>
            <w:tcW w:w="1585" w:type="dxa"/>
            <w:shd w:val="clear" w:color="auto" w:fill="91A9A2"/>
          </w:tcPr>
          <w:p w14:paraId="35546F40"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033CCA3D"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4E272D6C"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500668F8"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20F5CFAE"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48EE3BE9" w14:textId="77777777" w:rsidTr="00486E22">
        <w:trPr>
          <w:trHeight w:val="2592"/>
        </w:trPr>
        <w:tc>
          <w:tcPr>
            <w:tcW w:w="1585" w:type="dxa"/>
            <w:shd w:val="clear" w:color="auto" w:fill="EEF1F4"/>
          </w:tcPr>
          <w:p w14:paraId="0A72CD10" w14:textId="77777777" w:rsidR="00811887" w:rsidRPr="00FD40B8" w:rsidRDefault="00811887" w:rsidP="00486E22">
            <w:pPr>
              <w:pStyle w:val="TableParagraph"/>
              <w:spacing w:line="240" w:lineRule="auto"/>
              <w:rPr>
                <w:rFonts w:ascii="Times New Roman"/>
                <w:color w:val="131727" w:themeColor="text1"/>
                <w:sz w:val="16"/>
              </w:rPr>
            </w:pPr>
          </w:p>
        </w:tc>
        <w:tc>
          <w:tcPr>
            <w:tcW w:w="2382" w:type="dxa"/>
            <w:shd w:val="clear" w:color="auto" w:fill="EEF1F4"/>
          </w:tcPr>
          <w:p w14:paraId="71319967" w14:textId="77777777" w:rsidR="00811887" w:rsidRPr="00FD40B8" w:rsidRDefault="00811887" w:rsidP="00486E22">
            <w:pPr>
              <w:pStyle w:val="TableParagraph"/>
              <w:spacing w:before="25" w:line="259" w:lineRule="auto"/>
              <w:ind w:left="109"/>
              <w:rPr>
                <w:color w:val="131727" w:themeColor="text1"/>
                <w:sz w:val="12"/>
              </w:rPr>
            </w:pPr>
            <w:r w:rsidRPr="00FD40B8">
              <w:rPr>
                <w:color w:val="131727" w:themeColor="text1"/>
                <w:spacing w:val="-2"/>
                <w:w w:val="110"/>
                <w:sz w:val="18"/>
              </w:rPr>
              <w:t>additional</w:t>
            </w:r>
            <w:r w:rsidRPr="00FD40B8">
              <w:rPr>
                <w:color w:val="131727" w:themeColor="text1"/>
                <w:spacing w:val="-5"/>
                <w:w w:val="110"/>
                <w:sz w:val="18"/>
              </w:rPr>
              <w:t xml:space="preserve"> </w:t>
            </w:r>
            <w:r w:rsidRPr="00FD40B8">
              <w:rPr>
                <w:color w:val="131727" w:themeColor="text1"/>
                <w:spacing w:val="-2"/>
                <w:w w:val="110"/>
                <w:sz w:val="18"/>
              </w:rPr>
              <w:t>relevant</w:t>
            </w:r>
            <w:r w:rsidRPr="00FD40B8">
              <w:rPr>
                <w:color w:val="131727" w:themeColor="text1"/>
                <w:spacing w:val="-9"/>
                <w:w w:val="110"/>
                <w:sz w:val="18"/>
              </w:rPr>
              <w:t xml:space="preserve"> </w:t>
            </w:r>
            <w:r w:rsidRPr="00FD40B8">
              <w:rPr>
                <w:color w:val="131727" w:themeColor="text1"/>
                <w:spacing w:val="-2"/>
                <w:w w:val="110"/>
                <w:sz w:val="18"/>
              </w:rPr>
              <w:t xml:space="preserve">state </w:t>
            </w:r>
            <w:r w:rsidRPr="00FD40B8">
              <w:rPr>
                <w:color w:val="131727" w:themeColor="text1"/>
                <w:w w:val="110"/>
                <w:sz w:val="18"/>
              </w:rPr>
              <w:t>policy commitments</w:t>
            </w:r>
            <w:hyperlink w:anchor="_bookmark121" w:history="1">
              <w:r w:rsidRPr="00FD40B8">
                <w:rPr>
                  <w:color w:val="131727" w:themeColor="text1"/>
                  <w:w w:val="110"/>
                  <w:sz w:val="18"/>
                </w:rPr>
                <w:t>.</w:t>
              </w:r>
              <w:r w:rsidRPr="00FD40B8">
                <w:rPr>
                  <w:color w:val="131727" w:themeColor="text1"/>
                  <w:w w:val="110"/>
                  <w:position w:val="7"/>
                  <w:sz w:val="12"/>
                </w:rPr>
                <w:t>96</w:t>
              </w:r>
            </w:hyperlink>
          </w:p>
        </w:tc>
        <w:tc>
          <w:tcPr>
            <w:tcW w:w="5816" w:type="dxa"/>
            <w:shd w:val="clear" w:color="auto" w:fill="EEF1F4"/>
          </w:tcPr>
          <w:p w14:paraId="16D70646" w14:textId="77777777" w:rsidR="00811887" w:rsidRPr="00FD40B8" w:rsidRDefault="00811887" w:rsidP="00811887">
            <w:pPr>
              <w:pStyle w:val="TableParagraph"/>
              <w:numPr>
                <w:ilvl w:val="0"/>
                <w:numId w:val="39"/>
              </w:numPr>
              <w:tabs>
                <w:tab w:val="left" w:pos="829"/>
              </w:tabs>
              <w:spacing w:before="11" w:line="261" w:lineRule="auto"/>
              <w:ind w:right="105"/>
              <w:rPr>
                <w:color w:val="131727" w:themeColor="text1"/>
                <w:sz w:val="18"/>
              </w:rPr>
            </w:pPr>
            <w:r w:rsidRPr="00FD40B8">
              <w:rPr>
                <w:color w:val="131727" w:themeColor="text1"/>
                <w:w w:val="110"/>
                <w:sz w:val="18"/>
              </w:rPr>
              <w:t>Changes</w:t>
            </w:r>
            <w:r w:rsidRPr="00FD40B8">
              <w:rPr>
                <w:color w:val="131727" w:themeColor="text1"/>
                <w:spacing w:val="-5"/>
                <w:w w:val="110"/>
                <w:sz w:val="18"/>
              </w:rPr>
              <w:t xml:space="preserve"> </w:t>
            </w:r>
            <w:r w:rsidRPr="00FD40B8">
              <w:rPr>
                <w:color w:val="131727" w:themeColor="text1"/>
                <w:w w:val="110"/>
                <w:sz w:val="18"/>
              </w:rPr>
              <w:t>to</w:t>
            </w:r>
            <w:r w:rsidRPr="00FD40B8">
              <w:rPr>
                <w:color w:val="131727" w:themeColor="text1"/>
                <w:spacing w:val="-3"/>
                <w:w w:val="110"/>
                <w:sz w:val="18"/>
              </w:rPr>
              <w:t xml:space="preserve"> </w:t>
            </w:r>
            <w:r w:rsidRPr="00FD40B8">
              <w:rPr>
                <w:color w:val="131727" w:themeColor="text1"/>
                <w:w w:val="110"/>
                <w:sz w:val="18"/>
              </w:rPr>
              <w:t>social</w:t>
            </w:r>
            <w:r w:rsidRPr="00FD40B8">
              <w:rPr>
                <w:color w:val="131727" w:themeColor="text1"/>
                <w:spacing w:val="-1"/>
                <w:w w:val="110"/>
                <w:sz w:val="18"/>
              </w:rPr>
              <w:t xml:space="preserve"> </w:t>
            </w:r>
            <w:r w:rsidRPr="00FD40B8">
              <w:rPr>
                <w:color w:val="131727" w:themeColor="text1"/>
                <w:w w:val="110"/>
                <w:sz w:val="18"/>
              </w:rPr>
              <w:t>housing</w:t>
            </w:r>
            <w:r w:rsidRPr="00FD40B8">
              <w:rPr>
                <w:color w:val="131727" w:themeColor="text1"/>
                <w:spacing w:val="-6"/>
                <w:w w:val="110"/>
                <w:sz w:val="18"/>
              </w:rPr>
              <w:t xml:space="preserve"> </w:t>
            </w:r>
            <w:r w:rsidRPr="00FD40B8">
              <w:rPr>
                <w:color w:val="131727" w:themeColor="text1"/>
                <w:w w:val="110"/>
                <w:sz w:val="18"/>
              </w:rPr>
              <w:t>waitlists</w:t>
            </w:r>
            <w:r w:rsidRPr="00FD40B8">
              <w:rPr>
                <w:color w:val="131727" w:themeColor="text1"/>
                <w:spacing w:val="-1"/>
                <w:w w:val="110"/>
                <w:sz w:val="18"/>
              </w:rPr>
              <w:t xml:space="preserve"> </w:t>
            </w:r>
            <w:r w:rsidRPr="00FD40B8">
              <w:rPr>
                <w:color w:val="131727" w:themeColor="text1"/>
                <w:w w:val="110"/>
                <w:sz w:val="18"/>
              </w:rPr>
              <w:t>over</w:t>
            </w:r>
            <w:r w:rsidRPr="00FD40B8">
              <w:rPr>
                <w:color w:val="131727" w:themeColor="text1"/>
                <w:spacing w:val="-5"/>
                <w:w w:val="110"/>
                <w:sz w:val="18"/>
              </w:rPr>
              <w:t xml:space="preserve"> </w:t>
            </w:r>
            <w:r w:rsidRPr="00FD40B8">
              <w:rPr>
                <w:color w:val="131727" w:themeColor="text1"/>
                <w:w w:val="110"/>
                <w:sz w:val="18"/>
              </w:rPr>
              <w:t>the</w:t>
            </w:r>
            <w:r w:rsidRPr="00FD40B8">
              <w:rPr>
                <w:color w:val="131727" w:themeColor="text1"/>
                <w:spacing w:val="-5"/>
                <w:w w:val="110"/>
                <w:sz w:val="18"/>
              </w:rPr>
              <w:t xml:space="preserve"> </w:t>
            </w:r>
            <w:r w:rsidRPr="00FD40B8">
              <w:rPr>
                <w:color w:val="131727" w:themeColor="text1"/>
                <w:w w:val="110"/>
                <w:sz w:val="18"/>
              </w:rPr>
              <w:t>reporting</w:t>
            </w:r>
            <w:r w:rsidRPr="00FD40B8">
              <w:rPr>
                <w:color w:val="131727" w:themeColor="text1"/>
                <w:spacing w:val="-6"/>
                <w:w w:val="110"/>
                <w:sz w:val="18"/>
              </w:rPr>
              <w:t xml:space="preserve"> </w:t>
            </w:r>
            <w:r w:rsidRPr="00FD40B8">
              <w:rPr>
                <w:color w:val="131727" w:themeColor="text1"/>
                <w:w w:val="110"/>
                <w:sz w:val="18"/>
              </w:rPr>
              <w:t>period (and since commencement), including:</w:t>
            </w:r>
          </w:p>
          <w:p w14:paraId="521856AA" w14:textId="77777777" w:rsidR="00811887" w:rsidRPr="00FD40B8" w:rsidRDefault="00811887" w:rsidP="00486E22">
            <w:pPr>
              <w:pStyle w:val="TableParagraph"/>
              <w:tabs>
                <w:tab w:val="left" w:pos="1549"/>
              </w:tabs>
              <w:spacing w:before="20" w:line="252" w:lineRule="auto"/>
              <w:ind w:left="1549" w:right="257" w:hanging="360"/>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total</w:t>
            </w:r>
            <w:r w:rsidRPr="00FD40B8">
              <w:rPr>
                <w:color w:val="131727" w:themeColor="text1"/>
                <w:spacing w:val="-3"/>
                <w:w w:val="110"/>
                <w:sz w:val="18"/>
              </w:rPr>
              <w:t xml:space="preserve"> </w:t>
            </w:r>
            <w:r w:rsidRPr="00FD40B8">
              <w:rPr>
                <w:color w:val="131727" w:themeColor="text1"/>
                <w:w w:val="110"/>
                <w:sz w:val="18"/>
              </w:rPr>
              <w:t>number</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10"/>
                <w:w w:val="110"/>
                <w:sz w:val="18"/>
              </w:rPr>
              <w:t xml:space="preserve"> </w:t>
            </w:r>
            <w:r w:rsidRPr="00FD40B8">
              <w:rPr>
                <w:color w:val="131727" w:themeColor="text1"/>
                <w:w w:val="110"/>
                <w:sz w:val="18"/>
              </w:rPr>
              <w:t>people</w:t>
            </w:r>
            <w:r w:rsidRPr="00FD40B8">
              <w:rPr>
                <w:color w:val="131727" w:themeColor="text1"/>
                <w:spacing w:val="-3"/>
                <w:w w:val="110"/>
                <w:sz w:val="18"/>
              </w:rPr>
              <w:t xml:space="preserve"> </w:t>
            </w:r>
            <w:r w:rsidRPr="00FD40B8">
              <w:rPr>
                <w:color w:val="131727" w:themeColor="text1"/>
                <w:w w:val="110"/>
                <w:sz w:val="18"/>
              </w:rPr>
              <w:t>on</w:t>
            </w:r>
            <w:r w:rsidRPr="00FD40B8">
              <w:rPr>
                <w:color w:val="131727" w:themeColor="text1"/>
                <w:spacing w:val="-10"/>
                <w:w w:val="110"/>
                <w:sz w:val="18"/>
              </w:rPr>
              <w:t xml:space="preserve"> </w:t>
            </w:r>
            <w:r w:rsidRPr="00FD40B8">
              <w:rPr>
                <w:color w:val="131727" w:themeColor="text1"/>
                <w:w w:val="110"/>
                <w:sz w:val="18"/>
              </w:rPr>
              <w:t>social</w:t>
            </w:r>
            <w:r w:rsidRPr="00FD40B8">
              <w:rPr>
                <w:color w:val="131727" w:themeColor="text1"/>
                <w:spacing w:val="-6"/>
                <w:w w:val="110"/>
                <w:sz w:val="18"/>
              </w:rPr>
              <w:t xml:space="preserve"> </w:t>
            </w:r>
            <w:r w:rsidRPr="00FD40B8">
              <w:rPr>
                <w:color w:val="131727" w:themeColor="text1"/>
                <w:w w:val="110"/>
                <w:sz w:val="18"/>
              </w:rPr>
              <w:t>housing</w:t>
            </w:r>
            <w:r w:rsidRPr="00FD40B8">
              <w:rPr>
                <w:color w:val="131727" w:themeColor="text1"/>
                <w:spacing w:val="-8"/>
                <w:w w:val="110"/>
                <w:sz w:val="18"/>
              </w:rPr>
              <w:t xml:space="preserve"> </w:t>
            </w:r>
            <w:r w:rsidRPr="00FD40B8">
              <w:rPr>
                <w:color w:val="131727" w:themeColor="text1"/>
                <w:w w:val="110"/>
                <w:sz w:val="18"/>
              </w:rPr>
              <w:t xml:space="preserve">wait </w:t>
            </w:r>
            <w:r w:rsidRPr="00FD40B8">
              <w:rPr>
                <w:color w:val="131727" w:themeColor="text1"/>
                <w:spacing w:val="-2"/>
                <w:w w:val="110"/>
                <w:sz w:val="18"/>
              </w:rPr>
              <w:t>lists</w:t>
            </w:r>
          </w:p>
          <w:p w14:paraId="0AC18A2F" w14:textId="77777777" w:rsidR="00811887" w:rsidRPr="00FD40B8" w:rsidRDefault="00811887" w:rsidP="00486E22">
            <w:pPr>
              <w:pStyle w:val="TableParagraph"/>
              <w:tabs>
                <w:tab w:val="left" w:pos="1549"/>
              </w:tabs>
              <w:spacing w:before="54" w:line="268" w:lineRule="auto"/>
              <w:ind w:left="1549" w:right="309" w:hanging="360"/>
              <w:rPr>
                <w:color w:val="131727" w:themeColor="text1"/>
                <w:sz w:val="18"/>
              </w:rPr>
            </w:pPr>
            <w:r w:rsidRPr="00FD40B8">
              <w:rPr>
                <w:b/>
                <w:color w:val="131727" w:themeColor="text1"/>
                <w:spacing w:val="-10"/>
                <w:w w:val="110"/>
                <w:sz w:val="18"/>
              </w:rPr>
              <w:t>»</w:t>
            </w:r>
            <w:r w:rsidRPr="00FD40B8">
              <w:rPr>
                <w:b/>
                <w:color w:val="131727" w:themeColor="text1"/>
                <w:sz w:val="18"/>
              </w:rPr>
              <w:tab/>
            </w:r>
            <w:r w:rsidRPr="00FD40B8">
              <w:rPr>
                <w:color w:val="131727" w:themeColor="text1"/>
                <w:w w:val="110"/>
                <w:sz w:val="18"/>
              </w:rPr>
              <w:t>the</w:t>
            </w:r>
            <w:r w:rsidRPr="00FD40B8">
              <w:rPr>
                <w:color w:val="131727" w:themeColor="text1"/>
                <w:spacing w:val="-2"/>
                <w:w w:val="110"/>
                <w:sz w:val="18"/>
              </w:rPr>
              <w:t xml:space="preserve"> </w:t>
            </w:r>
            <w:r w:rsidRPr="00FD40B8">
              <w:rPr>
                <w:color w:val="131727" w:themeColor="text1"/>
                <w:w w:val="110"/>
                <w:sz w:val="18"/>
              </w:rPr>
              <w:t>number</w:t>
            </w:r>
            <w:r w:rsidRPr="00FD40B8">
              <w:rPr>
                <w:color w:val="131727" w:themeColor="text1"/>
                <w:spacing w:val="-2"/>
                <w:w w:val="110"/>
                <w:sz w:val="18"/>
              </w:rPr>
              <w:t xml:space="preserve"> </w:t>
            </w:r>
            <w:r w:rsidRPr="00FD40B8">
              <w:rPr>
                <w:color w:val="131727" w:themeColor="text1"/>
                <w:w w:val="110"/>
                <w:sz w:val="18"/>
              </w:rPr>
              <w:t>of</w:t>
            </w:r>
            <w:r w:rsidRPr="00FD40B8">
              <w:rPr>
                <w:color w:val="131727" w:themeColor="text1"/>
                <w:spacing w:val="-8"/>
                <w:w w:val="110"/>
                <w:sz w:val="18"/>
              </w:rPr>
              <w:t xml:space="preserve"> </w:t>
            </w:r>
            <w:r w:rsidRPr="00FD40B8">
              <w:rPr>
                <w:color w:val="131727" w:themeColor="text1"/>
                <w:w w:val="110"/>
                <w:sz w:val="18"/>
              </w:rPr>
              <w:t>people</w:t>
            </w:r>
            <w:r w:rsidRPr="00FD40B8">
              <w:rPr>
                <w:color w:val="131727" w:themeColor="text1"/>
                <w:spacing w:val="-6"/>
                <w:w w:val="110"/>
                <w:sz w:val="18"/>
              </w:rPr>
              <w:t xml:space="preserve"> </w:t>
            </w:r>
            <w:r w:rsidRPr="00FD40B8">
              <w:rPr>
                <w:color w:val="131727" w:themeColor="text1"/>
                <w:w w:val="110"/>
                <w:sz w:val="18"/>
              </w:rPr>
              <w:t>on</w:t>
            </w:r>
            <w:r w:rsidRPr="00FD40B8">
              <w:rPr>
                <w:color w:val="131727" w:themeColor="text1"/>
                <w:spacing w:val="-3"/>
                <w:w w:val="110"/>
                <w:sz w:val="18"/>
              </w:rPr>
              <w:t xml:space="preserve"> </w:t>
            </w:r>
            <w:r w:rsidRPr="00FD40B8">
              <w:rPr>
                <w:color w:val="131727" w:themeColor="text1"/>
                <w:w w:val="110"/>
                <w:sz w:val="18"/>
              </w:rPr>
              <w:t>social</w:t>
            </w:r>
            <w:r w:rsidRPr="00FD40B8">
              <w:rPr>
                <w:color w:val="131727" w:themeColor="text1"/>
                <w:spacing w:val="-1"/>
                <w:w w:val="110"/>
                <w:sz w:val="18"/>
              </w:rPr>
              <w:t xml:space="preserve"> </w:t>
            </w:r>
            <w:r w:rsidRPr="00FD40B8">
              <w:rPr>
                <w:color w:val="131727" w:themeColor="text1"/>
                <w:w w:val="110"/>
                <w:sz w:val="18"/>
              </w:rPr>
              <w:t>housing</w:t>
            </w:r>
            <w:r w:rsidRPr="00FD40B8">
              <w:rPr>
                <w:color w:val="131727" w:themeColor="text1"/>
                <w:spacing w:val="-6"/>
                <w:w w:val="110"/>
                <w:sz w:val="18"/>
              </w:rPr>
              <w:t xml:space="preserve"> </w:t>
            </w:r>
            <w:r w:rsidRPr="00FD40B8">
              <w:rPr>
                <w:color w:val="131727" w:themeColor="text1"/>
                <w:w w:val="110"/>
                <w:sz w:val="18"/>
              </w:rPr>
              <w:t>wait</w:t>
            </w:r>
            <w:r w:rsidRPr="00FD40B8">
              <w:rPr>
                <w:color w:val="131727" w:themeColor="text1"/>
                <w:spacing w:val="-5"/>
                <w:w w:val="110"/>
                <w:sz w:val="18"/>
              </w:rPr>
              <w:t xml:space="preserve"> </w:t>
            </w:r>
            <w:r w:rsidRPr="00FD40B8">
              <w:rPr>
                <w:color w:val="131727" w:themeColor="text1"/>
                <w:w w:val="110"/>
                <w:sz w:val="18"/>
              </w:rPr>
              <w:t xml:space="preserve">lists who have been housed since the last reporting period and from the commencement of the </w:t>
            </w:r>
            <w:r w:rsidRPr="00FD40B8">
              <w:rPr>
                <w:color w:val="131727" w:themeColor="text1"/>
                <w:spacing w:val="-2"/>
                <w:w w:val="110"/>
                <w:sz w:val="18"/>
              </w:rPr>
              <w:t>Schedule</w:t>
            </w:r>
          </w:p>
          <w:p w14:paraId="3DDED90F" w14:textId="77777777" w:rsidR="00811887" w:rsidRPr="00FD40B8" w:rsidRDefault="00811887" w:rsidP="00486E22">
            <w:pPr>
              <w:pStyle w:val="TableParagraph"/>
              <w:tabs>
                <w:tab w:val="left" w:pos="1549"/>
              </w:tabs>
              <w:spacing w:before="19" w:line="240" w:lineRule="auto"/>
              <w:ind w:left="1189"/>
              <w:rPr>
                <w:color w:val="131727" w:themeColor="text1"/>
                <w:sz w:val="18"/>
              </w:rPr>
            </w:pPr>
            <w:r w:rsidRPr="00FD40B8">
              <w:rPr>
                <w:b/>
                <w:color w:val="131727" w:themeColor="text1"/>
                <w:spacing w:val="-10"/>
                <w:w w:val="110"/>
              </w:rPr>
              <w:t>»</w:t>
            </w:r>
            <w:r w:rsidRPr="00FD40B8">
              <w:rPr>
                <w:b/>
                <w:color w:val="131727" w:themeColor="text1"/>
              </w:rPr>
              <w:tab/>
            </w:r>
            <w:r w:rsidRPr="00FD40B8">
              <w:rPr>
                <w:color w:val="131727" w:themeColor="text1"/>
                <w:w w:val="110"/>
                <w:sz w:val="18"/>
              </w:rPr>
              <w:t>waiting</w:t>
            </w:r>
            <w:r w:rsidRPr="00FD40B8">
              <w:rPr>
                <w:color w:val="131727" w:themeColor="text1"/>
                <w:spacing w:val="-8"/>
                <w:w w:val="110"/>
                <w:sz w:val="18"/>
              </w:rPr>
              <w:t xml:space="preserve"> </w:t>
            </w:r>
            <w:r w:rsidRPr="00FD40B8">
              <w:rPr>
                <w:color w:val="131727" w:themeColor="text1"/>
                <w:w w:val="110"/>
                <w:sz w:val="18"/>
              </w:rPr>
              <w:t>periods</w:t>
            </w:r>
            <w:r w:rsidRPr="00FD40B8">
              <w:rPr>
                <w:color w:val="131727" w:themeColor="text1"/>
                <w:spacing w:val="-6"/>
                <w:w w:val="110"/>
                <w:sz w:val="18"/>
              </w:rPr>
              <w:t xml:space="preserve"> </w:t>
            </w:r>
            <w:r w:rsidRPr="00FD40B8">
              <w:rPr>
                <w:color w:val="131727" w:themeColor="text1"/>
                <w:w w:val="110"/>
                <w:sz w:val="18"/>
              </w:rPr>
              <w:t>for</w:t>
            </w:r>
            <w:r w:rsidRPr="00FD40B8">
              <w:rPr>
                <w:color w:val="131727" w:themeColor="text1"/>
                <w:spacing w:val="-6"/>
                <w:w w:val="110"/>
                <w:sz w:val="18"/>
              </w:rPr>
              <w:t xml:space="preserve"> </w:t>
            </w:r>
            <w:r w:rsidRPr="00FD40B8">
              <w:rPr>
                <w:color w:val="131727" w:themeColor="text1"/>
                <w:w w:val="110"/>
                <w:sz w:val="18"/>
              </w:rPr>
              <w:t>social</w:t>
            </w:r>
            <w:r w:rsidRPr="00FD40B8">
              <w:rPr>
                <w:color w:val="131727" w:themeColor="text1"/>
                <w:spacing w:val="-2"/>
                <w:w w:val="110"/>
                <w:sz w:val="18"/>
              </w:rPr>
              <w:t xml:space="preserve"> </w:t>
            </w:r>
            <w:r w:rsidRPr="00FD40B8">
              <w:rPr>
                <w:color w:val="131727" w:themeColor="text1"/>
                <w:w w:val="110"/>
                <w:sz w:val="18"/>
              </w:rPr>
              <w:t>and</w:t>
            </w:r>
            <w:r w:rsidRPr="00FD40B8">
              <w:rPr>
                <w:color w:val="131727" w:themeColor="text1"/>
                <w:spacing w:val="-5"/>
                <w:w w:val="110"/>
                <w:sz w:val="18"/>
              </w:rPr>
              <w:t xml:space="preserve"> </w:t>
            </w:r>
            <w:r w:rsidRPr="00FD40B8">
              <w:rPr>
                <w:color w:val="131727" w:themeColor="text1"/>
                <w:w w:val="110"/>
                <w:sz w:val="18"/>
              </w:rPr>
              <w:t>public</w:t>
            </w:r>
            <w:r w:rsidRPr="00FD40B8">
              <w:rPr>
                <w:color w:val="131727" w:themeColor="text1"/>
                <w:spacing w:val="-3"/>
                <w:w w:val="110"/>
                <w:sz w:val="18"/>
              </w:rPr>
              <w:t xml:space="preserve"> </w:t>
            </w:r>
            <w:r w:rsidRPr="00FD40B8">
              <w:rPr>
                <w:color w:val="131727" w:themeColor="text1"/>
                <w:spacing w:val="-2"/>
                <w:w w:val="110"/>
                <w:sz w:val="18"/>
              </w:rPr>
              <w:t>housing.</w:t>
            </w:r>
          </w:p>
          <w:p w14:paraId="2939DFD4" w14:textId="77777777" w:rsidR="00811887" w:rsidRPr="00FD40B8" w:rsidRDefault="00811887" w:rsidP="00811887">
            <w:pPr>
              <w:pStyle w:val="TableParagraph"/>
              <w:numPr>
                <w:ilvl w:val="0"/>
                <w:numId w:val="39"/>
              </w:numPr>
              <w:tabs>
                <w:tab w:val="left" w:pos="829"/>
              </w:tabs>
              <w:spacing w:before="5" w:line="209" w:lineRule="exact"/>
              <w:rPr>
                <w:color w:val="131727" w:themeColor="text1"/>
                <w:sz w:val="18"/>
              </w:rPr>
            </w:pPr>
            <w:r w:rsidRPr="00FD40B8">
              <w:rPr>
                <w:color w:val="131727" w:themeColor="text1"/>
                <w:spacing w:val="-2"/>
                <w:w w:val="110"/>
                <w:sz w:val="18"/>
              </w:rPr>
              <w:t>Additional</w:t>
            </w:r>
            <w:r w:rsidRPr="00FD40B8">
              <w:rPr>
                <w:color w:val="131727" w:themeColor="text1"/>
                <w:spacing w:val="-1"/>
                <w:w w:val="110"/>
                <w:sz w:val="18"/>
              </w:rPr>
              <w:t xml:space="preserve"> </w:t>
            </w:r>
            <w:r w:rsidRPr="00FD40B8">
              <w:rPr>
                <w:color w:val="131727" w:themeColor="text1"/>
                <w:spacing w:val="-2"/>
                <w:w w:val="110"/>
                <w:sz w:val="18"/>
              </w:rPr>
              <w:t>relevant</w:t>
            </w:r>
            <w:r w:rsidRPr="00FD40B8">
              <w:rPr>
                <w:color w:val="131727" w:themeColor="text1"/>
                <w:spacing w:val="-1"/>
                <w:w w:val="110"/>
                <w:sz w:val="18"/>
              </w:rPr>
              <w:t xml:space="preserve"> </w:t>
            </w:r>
            <w:r w:rsidRPr="00FD40B8">
              <w:rPr>
                <w:color w:val="131727" w:themeColor="text1"/>
                <w:spacing w:val="-2"/>
                <w:w w:val="110"/>
                <w:sz w:val="18"/>
              </w:rPr>
              <w:t>state</w:t>
            </w:r>
            <w:r w:rsidRPr="00FD40B8">
              <w:rPr>
                <w:color w:val="131727" w:themeColor="text1"/>
                <w:spacing w:val="-3"/>
                <w:w w:val="110"/>
                <w:sz w:val="18"/>
              </w:rPr>
              <w:t xml:space="preserve"> </w:t>
            </w:r>
            <w:r w:rsidRPr="00FD40B8">
              <w:rPr>
                <w:color w:val="131727" w:themeColor="text1"/>
                <w:spacing w:val="-2"/>
                <w:w w:val="110"/>
                <w:sz w:val="18"/>
              </w:rPr>
              <w:t>policy</w:t>
            </w:r>
            <w:r w:rsidRPr="00FD40B8">
              <w:rPr>
                <w:color w:val="131727" w:themeColor="text1"/>
                <w:w w:val="110"/>
                <w:sz w:val="18"/>
              </w:rPr>
              <w:t xml:space="preserve"> </w:t>
            </w:r>
            <w:r w:rsidRPr="00FD40B8">
              <w:rPr>
                <w:color w:val="131727" w:themeColor="text1"/>
                <w:spacing w:val="-2"/>
                <w:w w:val="110"/>
                <w:sz w:val="18"/>
              </w:rPr>
              <w:t>commitments.</w:t>
            </w:r>
          </w:p>
        </w:tc>
        <w:tc>
          <w:tcPr>
            <w:tcW w:w="1562" w:type="dxa"/>
            <w:shd w:val="clear" w:color="auto" w:fill="EEF1F4"/>
          </w:tcPr>
          <w:p w14:paraId="2C4C9784" w14:textId="77777777" w:rsidR="00811887" w:rsidRPr="00FD40B8" w:rsidRDefault="00811887" w:rsidP="00486E22">
            <w:pPr>
              <w:pStyle w:val="TableParagraph"/>
              <w:spacing w:line="240" w:lineRule="auto"/>
              <w:rPr>
                <w:rFonts w:ascii="Times New Roman"/>
                <w:color w:val="131727" w:themeColor="text1"/>
                <w:sz w:val="16"/>
              </w:rPr>
            </w:pPr>
          </w:p>
        </w:tc>
        <w:tc>
          <w:tcPr>
            <w:tcW w:w="2657" w:type="dxa"/>
            <w:shd w:val="clear" w:color="auto" w:fill="EEF1F4"/>
          </w:tcPr>
          <w:p w14:paraId="115D7215" w14:textId="77777777" w:rsidR="00811887" w:rsidRPr="00FD40B8" w:rsidRDefault="00811887" w:rsidP="00486E22">
            <w:pPr>
              <w:pStyle w:val="TableParagraph"/>
              <w:spacing w:line="240" w:lineRule="auto"/>
              <w:rPr>
                <w:rFonts w:ascii="Times New Roman"/>
                <w:color w:val="131727" w:themeColor="text1"/>
                <w:sz w:val="16"/>
              </w:rPr>
            </w:pPr>
          </w:p>
        </w:tc>
      </w:tr>
      <w:tr w:rsidR="00811887" w:rsidRPr="00FD40B8" w14:paraId="4165B6A0" w14:textId="77777777" w:rsidTr="00486E22">
        <w:trPr>
          <w:trHeight w:val="4753"/>
        </w:trPr>
        <w:tc>
          <w:tcPr>
            <w:tcW w:w="1585" w:type="dxa"/>
            <w:shd w:val="clear" w:color="auto" w:fill="EEF1F4"/>
          </w:tcPr>
          <w:p w14:paraId="767D40E5" w14:textId="77777777" w:rsidR="00811887" w:rsidRPr="00FD40B8" w:rsidRDefault="00811887" w:rsidP="00486E22">
            <w:pPr>
              <w:pStyle w:val="TableParagraph"/>
              <w:spacing w:before="25" w:line="268" w:lineRule="auto"/>
              <w:ind w:left="110" w:right="154"/>
              <w:rPr>
                <w:color w:val="131727" w:themeColor="text1"/>
                <w:sz w:val="20"/>
              </w:rPr>
            </w:pPr>
            <w:r w:rsidRPr="00FD40B8">
              <w:rPr>
                <w:color w:val="131727" w:themeColor="text1"/>
                <w:spacing w:val="-2"/>
                <w:w w:val="110"/>
                <w:sz w:val="20"/>
              </w:rPr>
              <w:t xml:space="preserve">National </w:t>
            </w:r>
            <w:r w:rsidRPr="00FD40B8">
              <w:rPr>
                <w:color w:val="131727" w:themeColor="text1"/>
                <w:w w:val="110"/>
                <w:sz w:val="20"/>
              </w:rPr>
              <w:t xml:space="preserve">Housing and </w:t>
            </w:r>
            <w:r w:rsidRPr="00FD40B8">
              <w:rPr>
                <w:color w:val="131727" w:themeColor="text1"/>
                <w:spacing w:val="-2"/>
                <w:w w:val="110"/>
                <w:sz w:val="20"/>
              </w:rPr>
              <w:t>Homelessness Agreement (NHHA)</w:t>
            </w:r>
          </w:p>
        </w:tc>
        <w:tc>
          <w:tcPr>
            <w:tcW w:w="2382" w:type="dxa"/>
            <w:shd w:val="clear" w:color="auto" w:fill="EEF1F4"/>
          </w:tcPr>
          <w:p w14:paraId="3E2F7692" w14:textId="77777777" w:rsidR="00811887" w:rsidRPr="00FD40B8" w:rsidRDefault="00811887" w:rsidP="00486E22">
            <w:pPr>
              <w:pStyle w:val="TableParagraph"/>
              <w:spacing w:before="25" w:line="273" w:lineRule="auto"/>
              <w:ind w:left="109" w:right="126"/>
              <w:rPr>
                <w:color w:val="131727" w:themeColor="text1"/>
                <w:sz w:val="18"/>
              </w:rPr>
            </w:pPr>
            <w:r w:rsidRPr="00FD40B8">
              <w:rPr>
                <w:color w:val="131727" w:themeColor="text1"/>
                <w:w w:val="110"/>
                <w:sz w:val="18"/>
              </w:rPr>
              <w:t>The NHHA is an</w:t>
            </w:r>
            <w:r w:rsidRPr="00FD40B8">
              <w:rPr>
                <w:color w:val="131727" w:themeColor="text1"/>
                <w:spacing w:val="40"/>
                <w:w w:val="110"/>
                <w:sz w:val="18"/>
              </w:rPr>
              <w:t xml:space="preserve"> </w:t>
            </w:r>
            <w:r w:rsidRPr="00FD40B8">
              <w:rPr>
                <w:color w:val="131727" w:themeColor="text1"/>
                <w:w w:val="110"/>
                <w:sz w:val="18"/>
              </w:rPr>
              <w:t xml:space="preserve">agreement between the state and territory and </w:t>
            </w:r>
            <w:r w:rsidRPr="00FD40B8">
              <w:rPr>
                <w:color w:val="131727" w:themeColor="text1"/>
                <w:spacing w:val="-2"/>
                <w:w w:val="110"/>
                <w:sz w:val="18"/>
              </w:rPr>
              <w:t xml:space="preserve">Commonwealth </w:t>
            </w:r>
            <w:r w:rsidRPr="00FD40B8">
              <w:rPr>
                <w:color w:val="131727" w:themeColor="text1"/>
                <w:w w:val="110"/>
                <w:sz w:val="18"/>
              </w:rPr>
              <w:t>governments</w:t>
            </w:r>
            <w:r w:rsidRPr="00FD40B8">
              <w:rPr>
                <w:color w:val="131727" w:themeColor="text1"/>
                <w:spacing w:val="-12"/>
                <w:w w:val="110"/>
                <w:sz w:val="18"/>
              </w:rPr>
              <w:t xml:space="preserve"> </w:t>
            </w:r>
            <w:r w:rsidRPr="00FD40B8">
              <w:rPr>
                <w:color w:val="131727" w:themeColor="text1"/>
                <w:w w:val="110"/>
                <w:sz w:val="18"/>
              </w:rPr>
              <w:t>to</w:t>
            </w:r>
            <w:r w:rsidRPr="00FD40B8">
              <w:rPr>
                <w:color w:val="131727" w:themeColor="text1"/>
                <w:spacing w:val="-11"/>
                <w:w w:val="110"/>
                <w:sz w:val="18"/>
              </w:rPr>
              <w:t xml:space="preserve"> </w:t>
            </w:r>
            <w:r w:rsidRPr="00FD40B8">
              <w:rPr>
                <w:color w:val="131727" w:themeColor="text1"/>
                <w:w w:val="110"/>
                <w:sz w:val="18"/>
              </w:rPr>
              <w:t xml:space="preserve">improving housing outcomes for </w:t>
            </w:r>
            <w:r w:rsidRPr="00FD40B8">
              <w:rPr>
                <w:color w:val="131727" w:themeColor="text1"/>
                <w:spacing w:val="-2"/>
                <w:w w:val="110"/>
                <w:sz w:val="18"/>
              </w:rPr>
              <w:t>Australians.</w:t>
            </w:r>
          </w:p>
          <w:p w14:paraId="3DE48FBD" w14:textId="77777777" w:rsidR="00811887" w:rsidRPr="00FD40B8" w:rsidRDefault="00811887" w:rsidP="00486E22">
            <w:pPr>
              <w:pStyle w:val="TableParagraph"/>
              <w:spacing w:before="29" w:line="240" w:lineRule="auto"/>
              <w:rPr>
                <w:color w:val="131727" w:themeColor="text1"/>
                <w:sz w:val="18"/>
              </w:rPr>
            </w:pPr>
          </w:p>
          <w:p w14:paraId="046B1131" w14:textId="77777777" w:rsidR="00811887" w:rsidRPr="00FD40B8" w:rsidRDefault="00811887" w:rsidP="00486E22">
            <w:pPr>
              <w:pStyle w:val="TableParagraph"/>
              <w:spacing w:line="273" w:lineRule="auto"/>
              <w:ind w:left="109" w:right="132"/>
              <w:rPr>
                <w:color w:val="131727" w:themeColor="text1"/>
                <w:sz w:val="18"/>
              </w:rPr>
            </w:pPr>
            <w:r w:rsidRPr="00FD40B8">
              <w:rPr>
                <w:color w:val="131727" w:themeColor="text1"/>
                <w:w w:val="110"/>
                <w:sz w:val="18"/>
              </w:rPr>
              <w:t>Under the NHHA State</w:t>
            </w:r>
            <w:r w:rsidRPr="00FD40B8">
              <w:rPr>
                <w:color w:val="131727" w:themeColor="text1"/>
                <w:spacing w:val="40"/>
                <w:w w:val="110"/>
                <w:sz w:val="18"/>
              </w:rPr>
              <w:t xml:space="preserve"> </w:t>
            </w:r>
            <w:r w:rsidRPr="00FD40B8">
              <w:rPr>
                <w:color w:val="131727" w:themeColor="text1"/>
                <w:w w:val="110"/>
                <w:sz w:val="18"/>
              </w:rPr>
              <w:t>and</w:t>
            </w:r>
            <w:r w:rsidRPr="00FD40B8">
              <w:rPr>
                <w:color w:val="131727" w:themeColor="text1"/>
                <w:spacing w:val="-12"/>
                <w:w w:val="110"/>
                <w:sz w:val="18"/>
              </w:rPr>
              <w:t xml:space="preserve"> </w:t>
            </w:r>
            <w:r w:rsidRPr="00FD40B8">
              <w:rPr>
                <w:color w:val="131727" w:themeColor="text1"/>
                <w:w w:val="110"/>
                <w:sz w:val="18"/>
              </w:rPr>
              <w:t>territory</w:t>
            </w:r>
            <w:r w:rsidRPr="00FD40B8">
              <w:rPr>
                <w:color w:val="131727" w:themeColor="text1"/>
                <w:spacing w:val="-11"/>
                <w:w w:val="110"/>
                <w:sz w:val="18"/>
              </w:rPr>
              <w:t xml:space="preserve"> </w:t>
            </w:r>
            <w:r w:rsidRPr="00FD40B8">
              <w:rPr>
                <w:color w:val="131727" w:themeColor="text1"/>
                <w:w w:val="110"/>
                <w:sz w:val="18"/>
              </w:rPr>
              <w:t>governments are required to provide annual reporting on their expenditure through Statement of Assurance Expenditure (SoAs).</w:t>
            </w:r>
          </w:p>
          <w:p w14:paraId="1A7F3BE0" w14:textId="77777777" w:rsidR="00811887" w:rsidRPr="00FD40B8" w:rsidRDefault="00811887" w:rsidP="00486E22">
            <w:pPr>
              <w:pStyle w:val="TableParagraph"/>
              <w:spacing w:before="203" w:line="250" w:lineRule="exact"/>
              <w:ind w:left="109"/>
              <w:rPr>
                <w:color w:val="131727" w:themeColor="text1"/>
                <w:sz w:val="18"/>
              </w:rPr>
            </w:pPr>
            <w:r w:rsidRPr="00FD40B8">
              <w:rPr>
                <w:color w:val="131727" w:themeColor="text1"/>
                <w:w w:val="110"/>
                <w:sz w:val="18"/>
              </w:rPr>
              <w:t>The agreement also provides</w:t>
            </w:r>
            <w:r w:rsidRPr="00FD40B8">
              <w:rPr>
                <w:color w:val="131727" w:themeColor="text1"/>
                <w:spacing w:val="-12"/>
                <w:w w:val="110"/>
                <w:sz w:val="18"/>
              </w:rPr>
              <w:t xml:space="preserve"> </w:t>
            </w:r>
            <w:r w:rsidRPr="00FD40B8">
              <w:rPr>
                <w:color w:val="131727" w:themeColor="text1"/>
                <w:w w:val="110"/>
                <w:sz w:val="18"/>
              </w:rPr>
              <w:t>a</w:t>
            </w:r>
            <w:r w:rsidRPr="00FD40B8">
              <w:rPr>
                <w:color w:val="131727" w:themeColor="text1"/>
                <w:spacing w:val="-11"/>
                <w:w w:val="110"/>
                <w:sz w:val="18"/>
              </w:rPr>
              <w:t xml:space="preserve"> </w:t>
            </w:r>
            <w:r w:rsidRPr="00FD40B8">
              <w:rPr>
                <w:color w:val="131727" w:themeColor="text1"/>
                <w:w w:val="110"/>
                <w:sz w:val="18"/>
              </w:rPr>
              <w:t>commitment</w:t>
            </w:r>
            <w:r w:rsidRPr="00FD40B8">
              <w:rPr>
                <w:color w:val="131727" w:themeColor="text1"/>
                <w:spacing w:val="-11"/>
                <w:w w:val="110"/>
                <w:sz w:val="18"/>
              </w:rPr>
              <w:t xml:space="preserve"> </w:t>
            </w:r>
            <w:r w:rsidRPr="00FD40B8">
              <w:rPr>
                <w:color w:val="131727" w:themeColor="text1"/>
                <w:w w:val="110"/>
                <w:sz w:val="18"/>
              </w:rPr>
              <w:t>to share data, including a</w:t>
            </w:r>
          </w:p>
        </w:tc>
        <w:tc>
          <w:tcPr>
            <w:tcW w:w="5816" w:type="dxa"/>
            <w:shd w:val="clear" w:color="auto" w:fill="EEF1F4"/>
          </w:tcPr>
          <w:p w14:paraId="1E28C742" w14:textId="77777777" w:rsidR="00811887" w:rsidRPr="00FD40B8" w:rsidRDefault="00811887" w:rsidP="00486E22">
            <w:pPr>
              <w:pStyle w:val="TableParagraph"/>
              <w:spacing w:before="20" w:line="266" w:lineRule="auto"/>
              <w:ind w:left="108" w:right="145"/>
              <w:rPr>
                <w:color w:val="131727" w:themeColor="text1"/>
                <w:sz w:val="18"/>
              </w:rPr>
            </w:pPr>
            <w:r w:rsidRPr="00FD40B8">
              <w:rPr>
                <w:color w:val="131727" w:themeColor="text1"/>
                <w:w w:val="110"/>
                <w:sz w:val="18"/>
              </w:rPr>
              <w:t>Under the SoA, State and Territory Governments are required to report their expenditure on housing and homelessness, including expenditure</w:t>
            </w:r>
            <w:r w:rsidRPr="00FD40B8">
              <w:rPr>
                <w:color w:val="131727" w:themeColor="text1"/>
                <w:spacing w:val="-4"/>
                <w:w w:val="110"/>
                <w:sz w:val="18"/>
              </w:rPr>
              <w:t xml:space="preserve"> </w:t>
            </w:r>
            <w:r w:rsidRPr="00FD40B8">
              <w:rPr>
                <w:color w:val="131727" w:themeColor="text1"/>
                <w:w w:val="110"/>
                <w:sz w:val="18"/>
              </w:rPr>
              <w:t>by</w:t>
            </w:r>
            <w:r w:rsidRPr="00FD40B8">
              <w:rPr>
                <w:color w:val="131727" w:themeColor="text1"/>
                <w:spacing w:val="-6"/>
                <w:w w:val="110"/>
                <w:sz w:val="18"/>
              </w:rPr>
              <w:t xml:space="preserve"> </w:t>
            </w:r>
            <w:r w:rsidRPr="00FD40B8">
              <w:rPr>
                <w:color w:val="131727" w:themeColor="text1"/>
                <w:w w:val="110"/>
                <w:sz w:val="18"/>
              </w:rPr>
              <w:t>each</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2"/>
                <w:w w:val="110"/>
                <w:sz w:val="18"/>
              </w:rPr>
              <w:t xml:space="preserve"> </w:t>
            </w:r>
            <w:r w:rsidRPr="00FD40B8">
              <w:rPr>
                <w:color w:val="131727" w:themeColor="text1"/>
                <w:w w:val="110"/>
                <w:sz w:val="18"/>
              </w:rPr>
              <w:t>the national</w:t>
            </w:r>
            <w:r w:rsidRPr="00FD40B8">
              <w:rPr>
                <w:color w:val="131727" w:themeColor="text1"/>
                <w:spacing w:val="-3"/>
                <w:w w:val="110"/>
                <w:sz w:val="18"/>
              </w:rPr>
              <w:t xml:space="preserve"> </w:t>
            </w:r>
            <w:r w:rsidRPr="00FD40B8">
              <w:rPr>
                <w:color w:val="131727" w:themeColor="text1"/>
                <w:w w:val="110"/>
                <w:sz w:val="18"/>
              </w:rPr>
              <w:t>priority</w:t>
            </w:r>
            <w:r w:rsidRPr="00FD40B8">
              <w:rPr>
                <w:color w:val="131727" w:themeColor="text1"/>
                <w:spacing w:val="-3"/>
                <w:w w:val="110"/>
                <w:sz w:val="18"/>
              </w:rPr>
              <w:t xml:space="preserve"> </w:t>
            </w:r>
            <w:r w:rsidRPr="00FD40B8">
              <w:rPr>
                <w:color w:val="131727" w:themeColor="text1"/>
                <w:w w:val="110"/>
                <w:sz w:val="18"/>
              </w:rPr>
              <w:t>homelessness cohorts (which includes Indigenous Australians).</w:t>
            </w:r>
          </w:p>
          <w:p w14:paraId="1D710260" w14:textId="77777777" w:rsidR="00811887" w:rsidRPr="00FD40B8" w:rsidRDefault="00811887" w:rsidP="00486E22">
            <w:pPr>
              <w:pStyle w:val="TableParagraph"/>
              <w:spacing w:before="29" w:line="240" w:lineRule="auto"/>
              <w:rPr>
                <w:color w:val="131727" w:themeColor="text1"/>
                <w:sz w:val="18"/>
              </w:rPr>
            </w:pPr>
          </w:p>
          <w:p w14:paraId="1374D6B9" w14:textId="77777777" w:rsidR="00811887" w:rsidRPr="00FD40B8" w:rsidRDefault="00811887" w:rsidP="00486E22">
            <w:pPr>
              <w:pStyle w:val="TableParagraph"/>
              <w:spacing w:line="266" w:lineRule="auto"/>
              <w:ind w:left="108"/>
              <w:rPr>
                <w:color w:val="131727" w:themeColor="text1"/>
                <w:sz w:val="18"/>
              </w:rPr>
            </w:pPr>
            <w:r w:rsidRPr="00FD40B8">
              <w:rPr>
                <w:color w:val="131727" w:themeColor="text1"/>
                <w:w w:val="110"/>
                <w:sz w:val="18"/>
              </w:rPr>
              <w:t>The NHHA</w:t>
            </w:r>
            <w:r w:rsidRPr="00FD40B8">
              <w:rPr>
                <w:color w:val="131727" w:themeColor="text1"/>
                <w:spacing w:val="-3"/>
                <w:w w:val="110"/>
                <w:sz w:val="18"/>
              </w:rPr>
              <w:t xml:space="preserve"> </w:t>
            </w:r>
            <w:r w:rsidRPr="00FD40B8">
              <w:rPr>
                <w:color w:val="131727" w:themeColor="text1"/>
                <w:w w:val="110"/>
                <w:sz w:val="18"/>
              </w:rPr>
              <w:t>agreement outlines a</w:t>
            </w:r>
            <w:r w:rsidRPr="00FD40B8">
              <w:rPr>
                <w:color w:val="131727" w:themeColor="text1"/>
                <w:spacing w:val="-5"/>
                <w:w w:val="110"/>
                <w:sz w:val="18"/>
              </w:rPr>
              <w:t xml:space="preserve"> </w:t>
            </w:r>
            <w:r w:rsidRPr="00FD40B8">
              <w:rPr>
                <w:color w:val="131727" w:themeColor="text1"/>
                <w:w w:val="110"/>
                <w:sz w:val="18"/>
              </w:rPr>
              <w:t>range of</w:t>
            </w:r>
            <w:r w:rsidRPr="00FD40B8">
              <w:rPr>
                <w:color w:val="131727" w:themeColor="text1"/>
                <w:spacing w:val="-6"/>
                <w:w w:val="110"/>
                <w:sz w:val="18"/>
              </w:rPr>
              <w:t xml:space="preserve"> </w:t>
            </w:r>
            <w:r w:rsidRPr="00FD40B8">
              <w:rPr>
                <w:color w:val="131727" w:themeColor="text1"/>
                <w:w w:val="110"/>
                <w:sz w:val="18"/>
              </w:rPr>
              <w:t>performance</w:t>
            </w:r>
            <w:r w:rsidRPr="00FD40B8">
              <w:rPr>
                <w:color w:val="131727" w:themeColor="text1"/>
                <w:spacing w:val="-4"/>
                <w:w w:val="110"/>
                <w:sz w:val="18"/>
              </w:rPr>
              <w:t xml:space="preserve"> </w:t>
            </w:r>
            <w:r w:rsidRPr="00FD40B8">
              <w:rPr>
                <w:color w:val="131727" w:themeColor="text1"/>
                <w:w w:val="110"/>
                <w:sz w:val="18"/>
              </w:rPr>
              <w:t>indicators to assess performance against the agreement. These include:</w:t>
            </w:r>
          </w:p>
          <w:p w14:paraId="045E3361" w14:textId="77777777" w:rsidR="00811887" w:rsidRPr="00FD40B8" w:rsidRDefault="00811887" w:rsidP="00811887">
            <w:pPr>
              <w:pStyle w:val="TableParagraph"/>
              <w:numPr>
                <w:ilvl w:val="0"/>
                <w:numId w:val="38"/>
              </w:numPr>
              <w:tabs>
                <w:tab w:val="left" w:pos="829"/>
              </w:tabs>
              <w:spacing w:line="222" w:lineRule="exact"/>
              <w:rPr>
                <w:color w:val="131727" w:themeColor="text1"/>
                <w:sz w:val="18"/>
              </w:rPr>
            </w:pPr>
            <w:r w:rsidRPr="00FD40B8">
              <w:rPr>
                <w:color w:val="131727" w:themeColor="text1"/>
                <w:w w:val="110"/>
                <w:sz w:val="18"/>
              </w:rPr>
              <w:t>proportion</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10"/>
                <w:w w:val="110"/>
                <w:sz w:val="18"/>
              </w:rPr>
              <w:t xml:space="preserve"> </w:t>
            </w:r>
            <w:r w:rsidRPr="00FD40B8">
              <w:rPr>
                <w:color w:val="131727" w:themeColor="text1"/>
                <w:w w:val="110"/>
                <w:sz w:val="18"/>
              </w:rPr>
              <w:t>low-income</w:t>
            </w:r>
            <w:r w:rsidRPr="00FD40B8">
              <w:rPr>
                <w:color w:val="131727" w:themeColor="text1"/>
                <w:spacing w:val="-3"/>
                <w:w w:val="110"/>
                <w:sz w:val="18"/>
              </w:rPr>
              <w:t xml:space="preserve"> </w:t>
            </w:r>
            <w:r w:rsidRPr="00FD40B8">
              <w:rPr>
                <w:color w:val="131727" w:themeColor="text1"/>
                <w:w w:val="110"/>
                <w:sz w:val="18"/>
              </w:rPr>
              <w:t>renter</w:t>
            </w:r>
            <w:r w:rsidRPr="00FD40B8">
              <w:rPr>
                <w:color w:val="131727" w:themeColor="text1"/>
                <w:spacing w:val="-3"/>
                <w:w w:val="110"/>
                <w:sz w:val="18"/>
              </w:rPr>
              <w:t xml:space="preserve"> </w:t>
            </w:r>
            <w:r w:rsidRPr="00FD40B8">
              <w:rPr>
                <w:color w:val="131727" w:themeColor="text1"/>
                <w:w w:val="110"/>
                <w:sz w:val="18"/>
              </w:rPr>
              <w:t>households</w:t>
            </w:r>
            <w:r w:rsidRPr="00FD40B8">
              <w:rPr>
                <w:color w:val="131727" w:themeColor="text1"/>
                <w:spacing w:val="-2"/>
                <w:w w:val="110"/>
                <w:sz w:val="18"/>
              </w:rPr>
              <w:t xml:space="preserve"> </w:t>
            </w:r>
            <w:r w:rsidRPr="00FD40B8">
              <w:rPr>
                <w:color w:val="131727" w:themeColor="text1"/>
                <w:w w:val="110"/>
                <w:sz w:val="18"/>
              </w:rPr>
              <w:t>in</w:t>
            </w:r>
            <w:r w:rsidRPr="00FD40B8">
              <w:rPr>
                <w:color w:val="131727" w:themeColor="text1"/>
                <w:spacing w:val="-10"/>
                <w:w w:val="110"/>
                <w:sz w:val="18"/>
              </w:rPr>
              <w:t xml:space="preserve"> </w:t>
            </w:r>
            <w:r w:rsidRPr="00FD40B8">
              <w:rPr>
                <w:color w:val="131727" w:themeColor="text1"/>
                <w:w w:val="110"/>
                <w:sz w:val="18"/>
              </w:rPr>
              <w:t>rental</w:t>
            </w:r>
            <w:r w:rsidRPr="00FD40B8">
              <w:rPr>
                <w:color w:val="131727" w:themeColor="text1"/>
                <w:spacing w:val="-5"/>
                <w:w w:val="110"/>
                <w:sz w:val="18"/>
              </w:rPr>
              <w:t xml:space="preserve"> </w:t>
            </w:r>
            <w:r w:rsidRPr="00FD40B8">
              <w:rPr>
                <w:color w:val="131727" w:themeColor="text1"/>
                <w:spacing w:val="-2"/>
                <w:w w:val="110"/>
                <w:sz w:val="18"/>
              </w:rPr>
              <w:t>stress</w:t>
            </w:r>
          </w:p>
          <w:p w14:paraId="2CE5BE3F" w14:textId="77777777" w:rsidR="00811887" w:rsidRPr="00FD40B8" w:rsidRDefault="00811887" w:rsidP="00811887">
            <w:pPr>
              <w:pStyle w:val="TableParagraph"/>
              <w:numPr>
                <w:ilvl w:val="0"/>
                <w:numId w:val="38"/>
              </w:numPr>
              <w:tabs>
                <w:tab w:val="left" w:pos="829"/>
                <w:tab w:val="left" w:pos="877"/>
              </w:tabs>
              <w:spacing w:before="11" w:line="261" w:lineRule="auto"/>
              <w:ind w:right="359"/>
              <w:rPr>
                <w:color w:val="131727" w:themeColor="text1"/>
                <w:sz w:val="18"/>
              </w:rPr>
            </w:pPr>
            <w:r w:rsidRPr="00FD40B8">
              <w:rPr>
                <w:rFonts w:ascii="Times New Roman" w:hAnsi="Times New Roman"/>
                <w:color w:val="131727" w:themeColor="text1"/>
                <w:sz w:val="18"/>
              </w:rPr>
              <w:tab/>
            </w:r>
            <w:r w:rsidRPr="00FD40B8">
              <w:rPr>
                <w:color w:val="131727" w:themeColor="text1"/>
                <w:w w:val="110"/>
                <w:sz w:val="18"/>
              </w:rPr>
              <w:t>the number of homes sold or built per 1000 low- and moderate-income</w:t>
            </w:r>
            <w:r w:rsidRPr="00FD40B8">
              <w:rPr>
                <w:color w:val="131727" w:themeColor="text1"/>
                <w:spacing w:val="-7"/>
                <w:w w:val="110"/>
                <w:sz w:val="18"/>
              </w:rPr>
              <w:t xml:space="preserve"> </w:t>
            </w:r>
            <w:r w:rsidRPr="00FD40B8">
              <w:rPr>
                <w:color w:val="131727" w:themeColor="text1"/>
                <w:w w:val="110"/>
                <w:sz w:val="18"/>
              </w:rPr>
              <w:t>households</w:t>
            </w:r>
            <w:r w:rsidRPr="00FD40B8">
              <w:rPr>
                <w:color w:val="131727" w:themeColor="text1"/>
                <w:spacing w:val="-6"/>
                <w:w w:val="110"/>
                <w:sz w:val="18"/>
              </w:rPr>
              <w:t xml:space="preserve"> </w:t>
            </w:r>
            <w:r w:rsidRPr="00FD40B8">
              <w:rPr>
                <w:color w:val="131727" w:themeColor="text1"/>
                <w:w w:val="110"/>
                <w:sz w:val="18"/>
              </w:rPr>
              <w:t>that</w:t>
            </w:r>
            <w:r w:rsidRPr="00FD40B8">
              <w:rPr>
                <w:color w:val="131727" w:themeColor="text1"/>
                <w:spacing w:val="-6"/>
                <w:w w:val="110"/>
                <w:sz w:val="18"/>
              </w:rPr>
              <w:t xml:space="preserve"> </w:t>
            </w:r>
            <w:r w:rsidRPr="00FD40B8">
              <w:rPr>
                <w:color w:val="131727" w:themeColor="text1"/>
                <w:w w:val="110"/>
                <w:sz w:val="18"/>
              </w:rPr>
              <w:t>are</w:t>
            </w:r>
            <w:r w:rsidRPr="00FD40B8">
              <w:rPr>
                <w:color w:val="131727" w:themeColor="text1"/>
                <w:spacing w:val="-7"/>
                <w:w w:val="110"/>
                <w:sz w:val="18"/>
              </w:rPr>
              <w:t xml:space="preserve"> </w:t>
            </w:r>
            <w:r w:rsidRPr="00FD40B8">
              <w:rPr>
                <w:color w:val="131727" w:themeColor="text1"/>
                <w:w w:val="110"/>
                <w:sz w:val="18"/>
              </w:rPr>
              <w:t>affordable</w:t>
            </w:r>
            <w:r w:rsidRPr="00FD40B8">
              <w:rPr>
                <w:color w:val="131727" w:themeColor="text1"/>
                <w:spacing w:val="-6"/>
                <w:w w:val="110"/>
                <w:sz w:val="18"/>
              </w:rPr>
              <w:t xml:space="preserve"> </w:t>
            </w:r>
            <w:r w:rsidRPr="00FD40B8">
              <w:rPr>
                <w:color w:val="131727" w:themeColor="text1"/>
                <w:w w:val="110"/>
                <w:sz w:val="18"/>
              </w:rPr>
              <w:t>by</w:t>
            </w:r>
            <w:r w:rsidRPr="00FD40B8">
              <w:rPr>
                <w:color w:val="131727" w:themeColor="text1"/>
                <w:spacing w:val="-9"/>
                <w:w w:val="110"/>
                <w:sz w:val="18"/>
              </w:rPr>
              <w:t xml:space="preserve"> </w:t>
            </w:r>
            <w:r w:rsidRPr="00FD40B8">
              <w:rPr>
                <w:color w:val="131727" w:themeColor="text1"/>
                <w:w w:val="110"/>
                <w:sz w:val="18"/>
              </w:rPr>
              <w:t>low- and moderate-income households</w:t>
            </w:r>
          </w:p>
          <w:p w14:paraId="04C03E99" w14:textId="77777777" w:rsidR="00811887" w:rsidRPr="00FD40B8" w:rsidRDefault="00811887" w:rsidP="00811887">
            <w:pPr>
              <w:pStyle w:val="TableParagraph"/>
              <w:numPr>
                <w:ilvl w:val="0"/>
                <w:numId w:val="38"/>
              </w:numPr>
              <w:tabs>
                <w:tab w:val="left" w:pos="829"/>
              </w:tabs>
              <w:spacing w:line="221" w:lineRule="exact"/>
              <w:rPr>
                <w:color w:val="131727" w:themeColor="text1"/>
                <w:sz w:val="18"/>
              </w:rPr>
            </w:pPr>
            <w:r w:rsidRPr="00FD40B8">
              <w:rPr>
                <w:color w:val="131727" w:themeColor="text1"/>
                <w:w w:val="110"/>
                <w:sz w:val="18"/>
              </w:rPr>
              <w:t>proportion</w:t>
            </w:r>
            <w:r w:rsidRPr="00FD40B8">
              <w:rPr>
                <w:color w:val="131727" w:themeColor="text1"/>
                <w:spacing w:val="-4"/>
                <w:w w:val="110"/>
                <w:sz w:val="18"/>
              </w:rPr>
              <w:t xml:space="preserve"> </w:t>
            </w:r>
            <w:r w:rsidRPr="00FD40B8">
              <w:rPr>
                <w:color w:val="131727" w:themeColor="text1"/>
                <w:w w:val="110"/>
                <w:sz w:val="18"/>
              </w:rPr>
              <w:t>of</w:t>
            </w:r>
            <w:r w:rsidRPr="00FD40B8">
              <w:rPr>
                <w:color w:val="131727" w:themeColor="text1"/>
                <w:spacing w:val="-9"/>
                <w:w w:val="110"/>
                <w:sz w:val="18"/>
              </w:rPr>
              <w:t xml:space="preserve"> </w:t>
            </w:r>
            <w:r w:rsidRPr="00FD40B8">
              <w:rPr>
                <w:color w:val="131727" w:themeColor="text1"/>
                <w:w w:val="110"/>
                <w:sz w:val="18"/>
              </w:rPr>
              <w:t>Australians</w:t>
            </w:r>
            <w:r w:rsidRPr="00FD40B8">
              <w:rPr>
                <w:color w:val="131727" w:themeColor="text1"/>
                <w:spacing w:val="-6"/>
                <w:w w:val="110"/>
                <w:sz w:val="18"/>
              </w:rPr>
              <w:t xml:space="preserve"> </w:t>
            </w:r>
            <w:r w:rsidRPr="00FD40B8">
              <w:rPr>
                <w:color w:val="131727" w:themeColor="text1"/>
                <w:w w:val="110"/>
                <w:sz w:val="18"/>
              </w:rPr>
              <w:t>who</w:t>
            </w:r>
            <w:r w:rsidRPr="00FD40B8">
              <w:rPr>
                <w:color w:val="131727" w:themeColor="text1"/>
                <w:spacing w:val="-4"/>
                <w:w w:val="110"/>
                <w:sz w:val="18"/>
              </w:rPr>
              <w:t xml:space="preserve"> </w:t>
            </w:r>
            <w:r w:rsidRPr="00FD40B8">
              <w:rPr>
                <w:color w:val="131727" w:themeColor="text1"/>
                <w:w w:val="110"/>
                <w:sz w:val="18"/>
              </w:rPr>
              <w:t>are</w:t>
            </w:r>
            <w:r w:rsidRPr="00FD40B8">
              <w:rPr>
                <w:color w:val="131727" w:themeColor="text1"/>
                <w:spacing w:val="-2"/>
                <w:w w:val="110"/>
                <w:sz w:val="18"/>
              </w:rPr>
              <w:t xml:space="preserve"> homeless</w:t>
            </w:r>
          </w:p>
          <w:p w14:paraId="5E2E208A" w14:textId="77777777" w:rsidR="00811887" w:rsidRPr="00FD40B8" w:rsidRDefault="00811887" w:rsidP="00811887">
            <w:pPr>
              <w:pStyle w:val="TableParagraph"/>
              <w:numPr>
                <w:ilvl w:val="0"/>
                <w:numId w:val="38"/>
              </w:numPr>
              <w:tabs>
                <w:tab w:val="left" w:pos="829"/>
              </w:tabs>
              <w:spacing w:before="11" w:line="261" w:lineRule="auto"/>
              <w:ind w:right="757"/>
              <w:rPr>
                <w:color w:val="131727" w:themeColor="text1"/>
                <w:sz w:val="18"/>
              </w:rPr>
            </w:pPr>
            <w:r w:rsidRPr="00FD40B8">
              <w:rPr>
                <w:color w:val="131727" w:themeColor="text1"/>
                <w:w w:val="110"/>
                <w:sz w:val="18"/>
              </w:rPr>
              <w:t>proportion</w:t>
            </w:r>
            <w:r w:rsidRPr="00FD40B8">
              <w:rPr>
                <w:color w:val="131727" w:themeColor="text1"/>
                <w:spacing w:val="-2"/>
                <w:w w:val="110"/>
                <w:sz w:val="18"/>
              </w:rPr>
              <w:t xml:space="preserve"> </w:t>
            </w:r>
            <w:r w:rsidRPr="00FD40B8">
              <w:rPr>
                <w:color w:val="131727" w:themeColor="text1"/>
                <w:w w:val="110"/>
                <w:sz w:val="18"/>
              </w:rPr>
              <w:t>of</w:t>
            </w:r>
            <w:r w:rsidRPr="00FD40B8">
              <w:rPr>
                <w:color w:val="131727" w:themeColor="text1"/>
                <w:spacing w:val="-7"/>
                <w:w w:val="110"/>
                <w:sz w:val="18"/>
              </w:rPr>
              <w:t xml:space="preserve"> </w:t>
            </w:r>
            <w:r w:rsidRPr="00FD40B8">
              <w:rPr>
                <w:color w:val="131727" w:themeColor="text1"/>
                <w:w w:val="110"/>
                <w:sz w:val="18"/>
              </w:rPr>
              <w:t>people</w:t>
            </w:r>
            <w:r w:rsidRPr="00FD40B8">
              <w:rPr>
                <w:color w:val="131727" w:themeColor="text1"/>
                <w:spacing w:val="-4"/>
                <w:w w:val="110"/>
                <w:sz w:val="18"/>
              </w:rPr>
              <w:t xml:space="preserve"> </w:t>
            </w:r>
            <w:r w:rsidRPr="00FD40B8">
              <w:rPr>
                <w:color w:val="131727" w:themeColor="text1"/>
                <w:w w:val="110"/>
                <w:sz w:val="18"/>
              </w:rPr>
              <w:t>experiencing repeat</w:t>
            </w:r>
            <w:r w:rsidRPr="00FD40B8">
              <w:rPr>
                <w:color w:val="131727" w:themeColor="text1"/>
                <w:spacing w:val="-4"/>
                <w:w w:val="110"/>
                <w:sz w:val="18"/>
              </w:rPr>
              <w:t xml:space="preserve"> </w:t>
            </w:r>
            <w:r w:rsidRPr="00FD40B8">
              <w:rPr>
                <w:color w:val="131727" w:themeColor="text1"/>
                <w:w w:val="110"/>
                <w:sz w:val="18"/>
              </w:rPr>
              <w:t xml:space="preserve">periods of </w:t>
            </w:r>
            <w:r w:rsidRPr="00FD40B8">
              <w:rPr>
                <w:color w:val="131727" w:themeColor="text1"/>
                <w:spacing w:val="-2"/>
                <w:w w:val="110"/>
                <w:sz w:val="18"/>
              </w:rPr>
              <w:t>homelessness</w:t>
            </w:r>
          </w:p>
          <w:p w14:paraId="2AA32760" w14:textId="77777777" w:rsidR="00811887" w:rsidRPr="00FD40B8" w:rsidRDefault="00811887" w:rsidP="00811887">
            <w:pPr>
              <w:pStyle w:val="TableParagraph"/>
              <w:numPr>
                <w:ilvl w:val="0"/>
                <w:numId w:val="38"/>
              </w:numPr>
              <w:tabs>
                <w:tab w:val="left" w:pos="829"/>
              </w:tabs>
              <w:spacing w:line="261" w:lineRule="auto"/>
              <w:ind w:right="164"/>
              <w:rPr>
                <w:color w:val="131727" w:themeColor="text1"/>
                <w:sz w:val="18"/>
              </w:rPr>
            </w:pPr>
            <w:r w:rsidRPr="00FD40B8">
              <w:rPr>
                <w:color w:val="131727" w:themeColor="text1"/>
                <w:w w:val="110"/>
                <w:sz w:val="18"/>
              </w:rPr>
              <w:t>proportion of</w:t>
            </w:r>
            <w:r w:rsidRPr="00FD40B8">
              <w:rPr>
                <w:color w:val="131727" w:themeColor="text1"/>
                <w:spacing w:val="-4"/>
                <w:w w:val="110"/>
                <w:sz w:val="18"/>
              </w:rPr>
              <w:t xml:space="preserve"> </w:t>
            </w:r>
            <w:r w:rsidRPr="00FD40B8">
              <w:rPr>
                <w:color w:val="131727" w:themeColor="text1"/>
                <w:w w:val="110"/>
                <w:sz w:val="18"/>
              </w:rPr>
              <w:t>Indigenous households owning or</w:t>
            </w:r>
            <w:r w:rsidRPr="00FD40B8">
              <w:rPr>
                <w:color w:val="131727" w:themeColor="text1"/>
                <w:spacing w:val="-1"/>
                <w:w w:val="110"/>
                <w:sz w:val="18"/>
              </w:rPr>
              <w:t xml:space="preserve"> </w:t>
            </w:r>
            <w:r w:rsidRPr="00FD40B8">
              <w:rPr>
                <w:color w:val="131727" w:themeColor="text1"/>
                <w:w w:val="110"/>
                <w:sz w:val="18"/>
              </w:rPr>
              <w:t>purchasing a home</w:t>
            </w:r>
          </w:p>
          <w:p w14:paraId="502A4E2A" w14:textId="77777777" w:rsidR="00811887" w:rsidRPr="00FD40B8" w:rsidRDefault="00811887" w:rsidP="00811887">
            <w:pPr>
              <w:pStyle w:val="TableParagraph"/>
              <w:numPr>
                <w:ilvl w:val="0"/>
                <w:numId w:val="38"/>
              </w:numPr>
              <w:tabs>
                <w:tab w:val="left" w:pos="829"/>
              </w:tabs>
              <w:spacing w:line="261" w:lineRule="auto"/>
              <w:ind w:right="209"/>
              <w:rPr>
                <w:color w:val="131727" w:themeColor="text1"/>
                <w:sz w:val="18"/>
              </w:rPr>
            </w:pPr>
            <w:r w:rsidRPr="00FD40B8">
              <w:rPr>
                <w:color w:val="131727" w:themeColor="text1"/>
                <w:w w:val="110"/>
                <w:sz w:val="18"/>
              </w:rPr>
              <w:t>proportion</w:t>
            </w:r>
            <w:r w:rsidRPr="00FD40B8">
              <w:rPr>
                <w:color w:val="131727" w:themeColor="text1"/>
                <w:spacing w:val="-4"/>
                <w:w w:val="110"/>
                <w:sz w:val="18"/>
              </w:rPr>
              <w:t xml:space="preserve"> </w:t>
            </w:r>
            <w:r w:rsidRPr="00FD40B8">
              <w:rPr>
                <w:color w:val="131727" w:themeColor="text1"/>
                <w:w w:val="110"/>
                <w:sz w:val="18"/>
              </w:rPr>
              <w:t>of</w:t>
            </w:r>
            <w:r w:rsidRPr="00FD40B8">
              <w:rPr>
                <w:color w:val="131727" w:themeColor="text1"/>
                <w:spacing w:val="-9"/>
                <w:w w:val="110"/>
                <w:sz w:val="18"/>
              </w:rPr>
              <w:t xml:space="preserve"> </w:t>
            </w:r>
            <w:r w:rsidRPr="00FD40B8">
              <w:rPr>
                <w:color w:val="131727" w:themeColor="text1"/>
                <w:w w:val="110"/>
                <w:sz w:val="18"/>
              </w:rPr>
              <w:t>Indigenous</w:t>
            </w:r>
            <w:r w:rsidRPr="00FD40B8">
              <w:rPr>
                <w:color w:val="131727" w:themeColor="text1"/>
                <w:spacing w:val="-2"/>
                <w:w w:val="110"/>
                <w:sz w:val="18"/>
              </w:rPr>
              <w:t xml:space="preserve"> </w:t>
            </w:r>
            <w:r w:rsidRPr="00FD40B8">
              <w:rPr>
                <w:color w:val="131727" w:themeColor="text1"/>
                <w:w w:val="110"/>
                <w:sz w:val="18"/>
              </w:rPr>
              <w:t>households</w:t>
            </w:r>
            <w:r w:rsidRPr="00FD40B8">
              <w:rPr>
                <w:color w:val="131727" w:themeColor="text1"/>
                <w:spacing w:val="-6"/>
                <w:w w:val="110"/>
                <w:sz w:val="18"/>
              </w:rPr>
              <w:t xml:space="preserve"> </w:t>
            </w:r>
            <w:r w:rsidRPr="00FD40B8">
              <w:rPr>
                <w:color w:val="131727" w:themeColor="text1"/>
                <w:w w:val="110"/>
                <w:sz w:val="18"/>
              </w:rPr>
              <w:t>living</w:t>
            </w:r>
            <w:r w:rsidRPr="00FD40B8">
              <w:rPr>
                <w:color w:val="131727" w:themeColor="text1"/>
                <w:spacing w:val="-7"/>
                <w:w w:val="110"/>
                <w:sz w:val="18"/>
              </w:rPr>
              <w:t xml:space="preserve"> </w:t>
            </w:r>
            <w:r w:rsidRPr="00FD40B8">
              <w:rPr>
                <w:color w:val="131727" w:themeColor="text1"/>
                <w:w w:val="110"/>
                <w:sz w:val="18"/>
              </w:rPr>
              <w:t>in</w:t>
            </w:r>
            <w:r w:rsidRPr="00FD40B8">
              <w:rPr>
                <w:color w:val="131727" w:themeColor="text1"/>
                <w:spacing w:val="-4"/>
                <w:w w:val="110"/>
                <w:sz w:val="18"/>
              </w:rPr>
              <w:t xml:space="preserve"> </w:t>
            </w:r>
            <w:r w:rsidRPr="00FD40B8">
              <w:rPr>
                <w:color w:val="131727" w:themeColor="text1"/>
                <w:w w:val="110"/>
                <w:sz w:val="18"/>
              </w:rPr>
              <w:t>overcrowded conditions including in remote and discrete communities</w:t>
            </w:r>
          </w:p>
        </w:tc>
        <w:tc>
          <w:tcPr>
            <w:tcW w:w="1562" w:type="dxa"/>
            <w:shd w:val="clear" w:color="auto" w:fill="EEF1F4"/>
          </w:tcPr>
          <w:p w14:paraId="02057542" w14:textId="77777777" w:rsidR="00811887" w:rsidRPr="00FD40B8" w:rsidRDefault="00811887" w:rsidP="00486E22">
            <w:pPr>
              <w:pStyle w:val="TableParagraph"/>
              <w:spacing w:before="25" w:line="273" w:lineRule="auto"/>
              <w:ind w:left="107"/>
              <w:rPr>
                <w:color w:val="131727" w:themeColor="text1"/>
                <w:sz w:val="18"/>
              </w:rPr>
            </w:pPr>
            <w:r w:rsidRPr="00FD40B8">
              <w:rPr>
                <w:color w:val="131727" w:themeColor="text1"/>
                <w:w w:val="110"/>
                <w:sz w:val="18"/>
              </w:rPr>
              <w:t>Reporting data from the State and Territory Governments</w:t>
            </w:r>
            <w:r w:rsidRPr="00FD40B8">
              <w:rPr>
                <w:color w:val="131727" w:themeColor="text1"/>
                <w:spacing w:val="-12"/>
                <w:w w:val="110"/>
                <w:sz w:val="18"/>
              </w:rPr>
              <w:t xml:space="preserve"> </w:t>
            </w:r>
            <w:r w:rsidRPr="00FD40B8">
              <w:rPr>
                <w:color w:val="131727" w:themeColor="text1"/>
                <w:w w:val="110"/>
                <w:sz w:val="18"/>
              </w:rPr>
              <w:t xml:space="preserve">to </w:t>
            </w:r>
            <w:r w:rsidRPr="00FD40B8">
              <w:rPr>
                <w:color w:val="131727" w:themeColor="text1"/>
                <w:spacing w:val="-4"/>
                <w:w w:val="110"/>
                <w:sz w:val="18"/>
              </w:rPr>
              <w:t xml:space="preserve">the </w:t>
            </w:r>
            <w:r w:rsidRPr="00FD40B8">
              <w:rPr>
                <w:color w:val="131727" w:themeColor="text1"/>
                <w:spacing w:val="-2"/>
                <w:w w:val="110"/>
                <w:sz w:val="18"/>
              </w:rPr>
              <w:t>Commonwealth Government.</w:t>
            </w:r>
          </w:p>
        </w:tc>
        <w:tc>
          <w:tcPr>
            <w:tcW w:w="2657" w:type="dxa"/>
            <w:shd w:val="clear" w:color="auto" w:fill="EEF1F4"/>
          </w:tcPr>
          <w:p w14:paraId="267009D8" w14:textId="77777777" w:rsidR="00811887" w:rsidRPr="00FD40B8" w:rsidRDefault="00811887" w:rsidP="00486E22">
            <w:pPr>
              <w:pStyle w:val="TableParagraph"/>
              <w:spacing w:before="25" w:line="271" w:lineRule="auto"/>
              <w:ind w:left="101" w:right="126"/>
              <w:rPr>
                <w:color w:val="131727" w:themeColor="text1"/>
                <w:sz w:val="18"/>
              </w:rPr>
            </w:pPr>
            <w:r w:rsidRPr="00FD40B8">
              <w:rPr>
                <w:color w:val="131727" w:themeColor="text1"/>
                <w:w w:val="110"/>
                <w:sz w:val="18"/>
              </w:rPr>
              <w:t>A 2022 Productivity Commission review</w:t>
            </w:r>
            <w:hyperlink w:anchor="_bookmark122" w:history="1">
              <w:r w:rsidRPr="00FD40B8">
                <w:rPr>
                  <w:color w:val="131727" w:themeColor="text1"/>
                  <w:w w:val="110"/>
                  <w:position w:val="7"/>
                  <w:sz w:val="12"/>
                </w:rPr>
                <w:t>99</w:t>
              </w:r>
            </w:hyperlink>
            <w:r w:rsidRPr="00FD40B8">
              <w:rPr>
                <w:color w:val="131727" w:themeColor="text1"/>
                <w:spacing w:val="40"/>
                <w:w w:val="110"/>
                <w:position w:val="7"/>
                <w:sz w:val="12"/>
              </w:rPr>
              <w:t xml:space="preserve"> </w:t>
            </w:r>
            <w:r w:rsidRPr="00FD40B8">
              <w:rPr>
                <w:color w:val="131727" w:themeColor="text1"/>
                <w:w w:val="110"/>
                <w:sz w:val="18"/>
              </w:rPr>
              <w:t>of the NHHA found that while it set out a series of outcomes and national performance indicators and required</w:t>
            </w:r>
            <w:r w:rsidRPr="00FD40B8">
              <w:rPr>
                <w:color w:val="131727" w:themeColor="text1"/>
                <w:spacing w:val="40"/>
                <w:w w:val="110"/>
                <w:sz w:val="18"/>
              </w:rPr>
              <w:t xml:space="preserve"> </w:t>
            </w:r>
            <w:r w:rsidRPr="00FD40B8">
              <w:rPr>
                <w:color w:val="131727" w:themeColor="text1"/>
                <w:w w:val="110"/>
                <w:sz w:val="18"/>
              </w:rPr>
              <w:t>annual</w:t>
            </w:r>
            <w:r w:rsidRPr="00FD40B8">
              <w:rPr>
                <w:color w:val="131727" w:themeColor="text1"/>
                <w:spacing w:val="-12"/>
                <w:w w:val="110"/>
                <w:sz w:val="18"/>
              </w:rPr>
              <w:t xml:space="preserve"> </w:t>
            </w:r>
            <w:r w:rsidRPr="00FD40B8">
              <w:rPr>
                <w:color w:val="131727" w:themeColor="text1"/>
                <w:w w:val="110"/>
                <w:sz w:val="18"/>
              </w:rPr>
              <w:t>independent</w:t>
            </w:r>
            <w:r w:rsidRPr="00FD40B8">
              <w:rPr>
                <w:color w:val="131727" w:themeColor="text1"/>
                <w:spacing w:val="-11"/>
                <w:w w:val="110"/>
                <w:sz w:val="18"/>
              </w:rPr>
              <w:t xml:space="preserve"> </w:t>
            </w:r>
            <w:r w:rsidRPr="00FD40B8">
              <w:rPr>
                <w:color w:val="131727" w:themeColor="text1"/>
                <w:w w:val="110"/>
                <w:sz w:val="18"/>
              </w:rPr>
              <w:t>reporting against them the Productivity Commission’s Performance Reporting Dashboard only reported on 4 of 14</w:t>
            </w:r>
            <w:r w:rsidRPr="00FD40B8">
              <w:rPr>
                <w:color w:val="131727" w:themeColor="text1"/>
                <w:spacing w:val="80"/>
                <w:w w:val="110"/>
                <w:sz w:val="18"/>
              </w:rPr>
              <w:t xml:space="preserve"> </w:t>
            </w:r>
            <w:r w:rsidRPr="00FD40B8">
              <w:rPr>
                <w:color w:val="131727" w:themeColor="text1"/>
                <w:spacing w:val="-2"/>
                <w:w w:val="110"/>
                <w:sz w:val="18"/>
              </w:rPr>
              <w:t>indicators:</w:t>
            </w:r>
          </w:p>
          <w:p w14:paraId="33366509" w14:textId="77777777" w:rsidR="00811887" w:rsidRPr="00FD40B8" w:rsidRDefault="00811887" w:rsidP="00811887">
            <w:pPr>
              <w:pStyle w:val="TableParagraph"/>
              <w:numPr>
                <w:ilvl w:val="0"/>
                <w:numId w:val="37"/>
              </w:numPr>
              <w:tabs>
                <w:tab w:val="left" w:pos="821"/>
              </w:tabs>
              <w:spacing w:line="261" w:lineRule="auto"/>
              <w:ind w:right="179"/>
              <w:rPr>
                <w:color w:val="131727" w:themeColor="text1"/>
                <w:sz w:val="18"/>
              </w:rPr>
            </w:pPr>
            <w:r w:rsidRPr="00FD40B8">
              <w:rPr>
                <w:color w:val="131727" w:themeColor="text1"/>
                <w:w w:val="110"/>
                <w:sz w:val="18"/>
              </w:rPr>
              <w:t>The number of people</w:t>
            </w:r>
            <w:r w:rsidRPr="00FD40B8">
              <w:rPr>
                <w:color w:val="131727" w:themeColor="text1"/>
                <w:spacing w:val="-12"/>
                <w:w w:val="110"/>
                <w:sz w:val="18"/>
              </w:rPr>
              <w:t xml:space="preserve"> </w:t>
            </w:r>
            <w:r w:rsidRPr="00FD40B8">
              <w:rPr>
                <w:color w:val="131727" w:themeColor="text1"/>
                <w:w w:val="110"/>
                <w:sz w:val="18"/>
              </w:rPr>
              <w:t xml:space="preserve">experiencing </w:t>
            </w:r>
            <w:r w:rsidRPr="00FD40B8">
              <w:rPr>
                <w:color w:val="131727" w:themeColor="text1"/>
                <w:spacing w:val="-2"/>
                <w:w w:val="110"/>
                <w:sz w:val="18"/>
              </w:rPr>
              <w:t>homelessness</w:t>
            </w:r>
          </w:p>
          <w:p w14:paraId="48CED247" w14:textId="77777777" w:rsidR="00811887" w:rsidRPr="00FD40B8" w:rsidRDefault="00811887" w:rsidP="00811887">
            <w:pPr>
              <w:pStyle w:val="TableParagraph"/>
              <w:numPr>
                <w:ilvl w:val="0"/>
                <w:numId w:val="37"/>
              </w:numPr>
              <w:tabs>
                <w:tab w:val="left" w:pos="821"/>
              </w:tabs>
              <w:spacing w:line="261" w:lineRule="auto"/>
              <w:ind w:right="357"/>
              <w:rPr>
                <w:color w:val="131727" w:themeColor="text1"/>
                <w:sz w:val="18"/>
              </w:rPr>
            </w:pPr>
            <w:r w:rsidRPr="00FD40B8">
              <w:rPr>
                <w:color w:val="131727" w:themeColor="text1"/>
                <w:w w:val="110"/>
                <w:sz w:val="18"/>
              </w:rPr>
              <w:t>The</w:t>
            </w:r>
            <w:r w:rsidRPr="00FD40B8">
              <w:rPr>
                <w:color w:val="131727" w:themeColor="text1"/>
                <w:spacing w:val="-1"/>
                <w:w w:val="110"/>
                <w:sz w:val="18"/>
              </w:rPr>
              <w:t xml:space="preserve"> </w:t>
            </w:r>
            <w:r w:rsidRPr="00FD40B8">
              <w:rPr>
                <w:color w:val="131727" w:themeColor="text1"/>
                <w:w w:val="110"/>
                <w:sz w:val="18"/>
              </w:rPr>
              <w:t>proportion of rental</w:t>
            </w:r>
            <w:r w:rsidRPr="00FD40B8">
              <w:rPr>
                <w:color w:val="131727" w:themeColor="text1"/>
                <w:spacing w:val="-12"/>
                <w:w w:val="110"/>
                <w:sz w:val="18"/>
              </w:rPr>
              <w:t xml:space="preserve"> </w:t>
            </w:r>
            <w:r w:rsidRPr="00FD40B8">
              <w:rPr>
                <w:color w:val="131727" w:themeColor="text1"/>
                <w:w w:val="110"/>
                <w:sz w:val="18"/>
              </w:rPr>
              <w:t>households with household income in the</w:t>
            </w:r>
          </w:p>
        </w:tc>
      </w:tr>
    </w:tbl>
    <w:p w14:paraId="761BE0E1" w14:textId="77777777" w:rsidR="00811887" w:rsidRPr="00FD40B8" w:rsidRDefault="00811887" w:rsidP="00811887">
      <w:pPr>
        <w:pStyle w:val="BodyText"/>
        <w:spacing w:before="35"/>
        <w:rPr>
          <w:color w:val="131727" w:themeColor="text1"/>
        </w:rPr>
      </w:pPr>
      <w:r w:rsidRPr="00FD40B8">
        <w:rPr>
          <w:noProof/>
          <w:color w:val="131727" w:themeColor="text1"/>
        </w:rPr>
        <mc:AlternateContent>
          <mc:Choice Requires="wps">
            <w:drawing>
              <wp:anchor distT="0" distB="0" distL="0" distR="0" simplePos="0" relativeHeight="251779072" behindDoc="1" locked="0" layoutInCell="1" allowOverlap="1" wp14:anchorId="447A6E15" wp14:editId="27DDFB17">
                <wp:simplePos x="0" y="0"/>
                <wp:positionH relativeFrom="page">
                  <wp:posOffset>899464</wp:posOffset>
                </wp:positionH>
                <wp:positionV relativeFrom="paragraph">
                  <wp:posOffset>192777</wp:posOffset>
                </wp:positionV>
                <wp:extent cx="1829435" cy="6350"/>
                <wp:effectExtent l="0" t="0" r="0" b="0"/>
                <wp:wrapTopAndBottom/>
                <wp:docPr id="244" name="Graphic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028B47" id="Graphic 244" o:spid="_x0000_s1026" alt="&quot;&quot;" style="position:absolute;margin-left:70.8pt;margin-top:15.2pt;width:144.05pt;height:.5pt;z-index:-2515374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" path="m1829435,l,,,6095r1829435,l1829435,xe" fillcolor="black" stroked="f">
                <v:path arrowok="t"/>
                <w10:wrap type="topAndBottom" anchorx="page"/>
              </v:shape>
            </w:pict>
          </mc:Fallback>
        </mc:AlternateContent>
      </w:r>
    </w:p>
    <w:p w14:paraId="268EFFE4" w14:textId="77777777" w:rsidR="00811887" w:rsidRPr="00FD40B8" w:rsidRDefault="00811887" w:rsidP="00811887">
      <w:pPr>
        <w:spacing w:before="123" w:line="266" w:lineRule="auto"/>
        <w:ind w:left="136" w:right="1095"/>
        <w:rPr>
          <w:color w:val="131727" w:themeColor="text1"/>
          <w:sz w:val="16"/>
        </w:rPr>
      </w:pPr>
      <w:bookmarkStart w:id="232" w:name="_bookmark121"/>
      <w:bookmarkEnd w:id="232"/>
      <w:r w:rsidRPr="00FD40B8">
        <w:rPr>
          <w:color w:val="131727" w:themeColor="text1"/>
          <w:w w:val="105"/>
          <w:position w:val="6"/>
          <w:sz w:val="10"/>
        </w:rPr>
        <w:t>96</w:t>
      </w:r>
      <w:r w:rsidRPr="00FD40B8">
        <w:rPr>
          <w:color w:val="131727" w:themeColor="text1"/>
          <w:spacing w:val="40"/>
          <w:w w:val="105"/>
          <w:position w:val="6"/>
          <w:sz w:val="10"/>
        </w:rPr>
        <w:t xml:space="preserve"> </w:t>
      </w:r>
      <w:r w:rsidRPr="00FD40B8">
        <w:rPr>
          <w:color w:val="131727" w:themeColor="text1"/>
          <w:w w:val="105"/>
          <w:sz w:val="16"/>
        </w:rPr>
        <w:t>Federal</w:t>
      </w:r>
      <w:r w:rsidRPr="00FD40B8">
        <w:rPr>
          <w:color w:val="131727" w:themeColor="text1"/>
          <w:spacing w:val="26"/>
          <w:w w:val="105"/>
          <w:sz w:val="16"/>
        </w:rPr>
        <w:t xml:space="preserve"> </w:t>
      </w:r>
      <w:r w:rsidRPr="00FD40B8">
        <w:rPr>
          <w:color w:val="131727" w:themeColor="text1"/>
          <w:w w:val="105"/>
          <w:sz w:val="16"/>
        </w:rPr>
        <w:t>Financial</w:t>
      </w:r>
      <w:r w:rsidRPr="00FD40B8">
        <w:rPr>
          <w:color w:val="131727" w:themeColor="text1"/>
          <w:spacing w:val="26"/>
          <w:w w:val="105"/>
          <w:sz w:val="16"/>
        </w:rPr>
        <w:t xml:space="preserve"> </w:t>
      </w:r>
      <w:r w:rsidRPr="00FD40B8">
        <w:rPr>
          <w:color w:val="131727" w:themeColor="text1"/>
          <w:w w:val="105"/>
          <w:sz w:val="16"/>
        </w:rPr>
        <w:t>Relations</w:t>
      </w:r>
      <w:r w:rsidRPr="00FD40B8">
        <w:rPr>
          <w:color w:val="131727" w:themeColor="text1"/>
          <w:spacing w:val="28"/>
          <w:w w:val="105"/>
          <w:sz w:val="16"/>
        </w:rPr>
        <w:t xml:space="preserve"> </w:t>
      </w:r>
      <w:r w:rsidRPr="00FD40B8">
        <w:rPr>
          <w:color w:val="131727" w:themeColor="text1"/>
          <w:w w:val="105"/>
          <w:sz w:val="16"/>
        </w:rPr>
        <w:t>2023.</w:t>
      </w:r>
      <w:r w:rsidRPr="00FD40B8">
        <w:rPr>
          <w:color w:val="131727" w:themeColor="text1"/>
          <w:spacing w:val="31"/>
          <w:w w:val="105"/>
          <w:sz w:val="16"/>
        </w:rPr>
        <w:t xml:space="preserve"> </w:t>
      </w:r>
      <w:r w:rsidRPr="00FD40B8">
        <w:rPr>
          <w:color w:val="131727" w:themeColor="text1"/>
          <w:w w:val="105"/>
          <w:sz w:val="16"/>
        </w:rPr>
        <w:t>Schedule:</w:t>
      </w:r>
      <w:r w:rsidRPr="00FD40B8">
        <w:rPr>
          <w:color w:val="131727" w:themeColor="text1"/>
          <w:spacing w:val="31"/>
          <w:w w:val="105"/>
          <w:sz w:val="16"/>
        </w:rPr>
        <w:t xml:space="preserve"> </w:t>
      </w:r>
      <w:r w:rsidRPr="00FD40B8">
        <w:rPr>
          <w:color w:val="131727" w:themeColor="text1"/>
          <w:w w:val="105"/>
          <w:sz w:val="16"/>
        </w:rPr>
        <w:t>Social</w:t>
      </w:r>
      <w:r w:rsidRPr="00FD40B8">
        <w:rPr>
          <w:color w:val="131727" w:themeColor="text1"/>
          <w:spacing w:val="26"/>
          <w:w w:val="105"/>
          <w:sz w:val="16"/>
        </w:rPr>
        <w:t xml:space="preserve"> </w:t>
      </w:r>
      <w:r w:rsidRPr="00FD40B8">
        <w:rPr>
          <w:color w:val="131727" w:themeColor="text1"/>
          <w:w w:val="105"/>
          <w:sz w:val="16"/>
        </w:rPr>
        <w:t>Housing</w:t>
      </w:r>
      <w:r w:rsidRPr="00FD40B8">
        <w:rPr>
          <w:color w:val="131727" w:themeColor="text1"/>
          <w:spacing w:val="28"/>
          <w:w w:val="105"/>
          <w:sz w:val="16"/>
        </w:rPr>
        <w:t xml:space="preserve"> </w:t>
      </w:r>
      <w:r w:rsidRPr="00FD40B8">
        <w:rPr>
          <w:color w:val="131727" w:themeColor="text1"/>
          <w:w w:val="105"/>
          <w:sz w:val="16"/>
        </w:rPr>
        <w:t>Accelerator</w:t>
      </w:r>
      <w:r w:rsidRPr="00FD40B8">
        <w:rPr>
          <w:color w:val="131727" w:themeColor="text1"/>
          <w:spacing w:val="31"/>
          <w:w w:val="105"/>
          <w:sz w:val="16"/>
        </w:rPr>
        <w:t xml:space="preserve"> </w:t>
      </w:r>
      <w:r w:rsidRPr="00FD40B8">
        <w:rPr>
          <w:color w:val="131727" w:themeColor="text1"/>
          <w:w w:val="105"/>
          <w:sz w:val="16"/>
        </w:rPr>
        <w:t>Payment.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29"/>
          <w:w w:val="105"/>
          <w:sz w:val="16"/>
        </w:rPr>
        <w:t xml:space="preserve"> </w:t>
      </w:r>
      <w:r w:rsidRPr="00FD40B8">
        <w:rPr>
          <w:color w:val="131727" w:themeColor="text1"/>
          <w:w w:val="105"/>
          <w:sz w:val="16"/>
        </w:rPr>
        <w:t>at:</w:t>
      </w:r>
      <w:r w:rsidRPr="00FD40B8">
        <w:rPr>
          <w:color w:val="131727" w:themeColor="text1"/>
          <w:spacing w:val="34"/>
          <w:w w:val="105"/>
          <w:sz w:val="16"/>
        </w:rPr>
        <w:t xml:space="preserve"> </w:t>
      </w:r>
      <w:r w:rsidRPr="00FD40B8">
        <w:rPr>
          <w:color w:val="131727" w:themeColor="text1"/>
          <w:w w:val="105"/>
          <w:sz w:val="16"/>
        </w:rPr>
        <w:t>https://federalfinancialrelations.gov.au/sites/federalfinancialrelations.gov.au/files/2023-</w:t>
      </w:r>
      <w:r w:rsidRPr="00FD40B8">
        <w:rPr>
          <w:color w:val="131727" w:themeColor="text1"/>
          <w:spacing w:val="40"/>
          <w:w w:val="105"/>
          <w:sz w:val="16"/>
        </w:rPr>
        <w:t xml:space="preserve"> </w:t>
      </w:r>
      <w:bookmarkStart w:id="233" w:name="_bookmark122"/>
      <w:bookmarkEnd w:id="233"/>
      <w:r w:rsidRPr="00FD40B8">
        <w:rPr>
          <w:color w:val="131727" w:themeColor="text1"/>
          <w:spacing w:val="-2"/>
          <w:w w:val="105"/>
          <w:sz w:val="16"/>
        </w:rPr>
        <w:t>07/Social%20Housing%20Accelerator%20Payment%20-%20Signed.pdf</w:t>
      </w:r>
    </w:p>
    <w:p w14:paraId="56FB93E3" w14:textId="77777777" w:rsidR="00811887" w:rsidRPr="00FD40B8" w:rsidRDefault="00811887" w:rsidP="00811887">
      <w:pPr>
        <w:spacing w:line="268" w:lineRule="auto"/>
        <w:ind w:left="136" w:right="1504"/>
        <w:rPr>
          <w:color w:val="131727" w:themeColor="text1"/>
          <w:sz w:val="16"/>
        </w:rPr>
      </w:pPr>
      <w:r w:rsidRPr="00FD40B8">
        <w:rPr>
          <w:color w:val="131727" w:themeColor="text1"/>
          <w:w w:val="105"/>
          <w:position w:val="6"/>
          <w:sz w:val="10"/>
        </w:rPr>
        <w:t>99</w:t>
      </w:r>
      <w:r w:rsidRPr="00FD40B8">
        <w:rPr>
          <w:color w:val="131727" w:themeColor="text1"/>
          <w:spacing w:val="40"/>
          <w:w w:val="105"/>
          <w:position w:val="6"/>
          <w:sz w:val="10"/>
        </w:rPr>
        <w:t xml:space="preserve"> </w:t>
      </w:r>
      <w:r w:rsidRPr="00FD40B8">
        <w:rPr>
          <w:color w:val="131727" w:themeColor="text1"/>
          <w:w w:val="105"/>
          <w:sz w:val="16"/>
        </w:rPr>
        <w:t>Productivity</w:t>
      </w:r>
      <w:r w:rsidRPr="00FD40B8">
        <w:rPr>
          <w:color w:val="131727" w:themeColor="text1"/>
          <w:spacing w:val="29"/>
          <w:w w:val="105"/>
          <w:sz w:val="16"/>
        </w:rPr>
        <w:t xml:space="preserve"> </w:t>
      </w:r>
      <w:r w:rsidRPr="00FD40B8">
        <w:rPr>
          <w:color w:val="131727" w:themeColor="text1"/>
          <w:w w:val="105"/>
          <w:sz w:val="16"/>
        </w:rPr>
        <w:t>Commission</w:t>
      </w:r>
      <w:r w:rsidRPr="00FD40B8">
        <w:rPr>
          <w:color w:val="131727" w:themeColor="text1"/>
          <w:spacing w:val="35"/>
          <w:w w:val="105"/>
          <w:sz w:val="16"/>
        </w:rPr>
        <w:t xml:space="preserve"> </w:t>
      </w:r>
      <w:r w:rsidRPr="00FD40B8">
        <w:rPr>
          <w:color w:val="131727" w:themeColor="text1"/>
          <w:w w:val="105"/>
          <w:sz w:val="16"/>
        </w:rPr>
        <w:t>2022.</w:t>
      </w:r>
      <w:r w:rsidRPr="00FD40B8">
        <w:rPr>
          <w:color w:val="131727" w:themeColor="text1"/>
          <w:spacing w:val="37"/>
          <w:w w:val="105"/>
          <w:sz w:val="16"/>
        </w:rPr>
        <w:t xml:space="preserve"> </w:t>
      </w:r>
      <w:r w:rsidRPr="00FD40B8">
        <w:rPr>
          <w:color w:val="131727" w:themeColor="text1"/>
          <w:w w:val="105"/>
          <w:sz w:val="16"/>
        </w:rPr>
        <w:t>In</w:t>
      </w:r>
      <w:r w:rsidRPr="00FD40B8">
        <w:rPr>
          <w:color w:val="131727" w:themeColor="text1"/>
          <w:spacing w:val="35"/>
          <w:w w:val="105"/>
          <w:sz w:val="16"/>
        </w:rPr>
        <w:t xml:space="preserve"> </w:t>
      </w:r>
      <w:r w:rsidRPr="00FD40B8">
        <w:rPr>
          <w:color w:val="131727" w:themeColor="text1"/>
          <w:w w:val="105"/>
          <w:sz w:val="16"/>
        </w:rPr>
        <w:t>need</w:t>
      </w:r>
      <w:r w:rsidRPr="00FD40B8">
        <w:rPr>
          <w:color w:val="131727" w:themeColor="text1"/>
          <w:spacing w:val="34"/>
          <w:w w:val="105"/>
          <w:sz w:val="16"/>
        </w:rPr>
        <w:t xml:space="preserve"> </w:t>
      </w:r>
      <w:r w:rsidRPr="00FD40B8">
        <w:rPr>
          <w:color w:val="131727" w:themeColor="text1"/>
          <w:w w:val="105"/>
          <w:sz w:val="16"/>
        </w:rPr>
        <w:t>of</w:t>
      </w:r>
      <w:r w:rsidRPr="00FD40B8">
        <w:rPr>
          <w:color w:val="131727" w:themeColor="text1"/>
          <w:spacing w:val="32"/>
          <w:w w:val="105"/>
          <w:sz w:val="16"/>
        </w:rPr>
        <w:t xml:space="preserve"> </w:t>
      </w:r>
      <w:r w:rsidRPr="00FD40B8">
        <w:rPr>
          <w:color w:val="131727" w:themeColor="text1"/>
          <w:w w:val="105"/>
          <w:sz w:val="16"/>
        </w:rPr>
        <w:t>repair:</w:t>
      </w:r>
      <w:r w:rsidRPr="00FD40B8">
        <w:rPr>
          <w:color w:val="131727" w:themeColor="text1"/>
          <w:spacing w:val="32"/>
          <w:w w:val="105"/>
          <w:sz w:val="16"/>
        </w:rPr>
        <w:t xml:space="preserve"> </w:t>
      </w:r>
      <w:r w:rsidRPr="00FD40B8">
        <w:rPr>
          <w:color w:val="131727" w:themeColor="text1"/>
          <w:w w:val="105"/>
          <w:sz w:val="16"/>
        </w:rPr>
        <w:t>The</w:t>
      </w:r>
      <w:r w:rsidRPr="00FD40B8">
        <w:rPr>
          <w:color w:val="131727" w:themeColor="text1"/>
          <w:spacing w:val="30"/>
          <w:w w:val="105"/>
          <w:sz w:val="16"/>
        </w:rPr>
        <w:t xml:space="preserve"> </w:t>
      </w:r>
      <w:r w:rsidRPr="00FD40B8">
        <w:rPr>
          <w:color w:val="131727" w:themeColor="text1"/>
          <w:w w:val="105"/>
          <w:sz w:val="16"/>
        </w:rPr>
        <w:t>National</w:t>
      </w:r>
      <w:r w:rsidRPr="00FD40B8">
        <w:rPr>
          <w:color w:val="131727" w:themeColor="text1"/>
          <w:spacing w:val="27"/>
          <w:w w:val="105"/>
          <w:sz w:val="16"/>
        </w:rPr>
        <w:t xml:space="preserve"> </w:t>
      </w:r>
      <w:r w:rsidRPr="00FD40B8">
        <w:rPr>
          <w:color w:val="131727" w:themeColor="text1"/>
          <w:w w:val="105"/>
          <w:sz w:val="16"/>
        </w:rPr>
        <w:t>Housing</w:t>
      </w:r>
      <w:r w:rsidRPr="00FD40B8">
        <w:rPr>
          <w:color w:val="131727" w:themeColor="text1"/>
          <w:spacing w:val="29"/>
          <w:w w:val="105"/>
          <w:sz w:val="16"/>
        </w:rPr>
        <w:t xml:space="preserve"> </w:t>
      </w:r>
      <w:r w:rsidRPr="00FD40B8">
        <w:rPr>
          <w:color w:val="131727" w:themeColor="text1"/>
          <w:w w:val="105"/>
          <w:sz w:val="16"/>
        </w:rPr>
        <w:t>and</w:t>
      </w:r>
      <w:r w:rsidRPr="00FD40B8">
        <w:rPr>
          <w:color w:val="131727" w:themeColor="text1"/>
          <w:spacing w:val="34"/>
          <w:w w:val="105"/>
          <w:sz w:val="16"/>
        </w:rPr>
        <w:t xml:space="preserve"> </w:t>
      </w:r>
      <w:r w:rsidRPr="00FD40B8">
        <w:rPr>
          <w:color w:val="131727" w:themeColor="text1"/>
          <w:w w:val="105"/>
          <w:sz w:val="16"/>
        </w:rPr>
        <w:t>Homelessness</w:t>
      </w:r>
      <w:r w:rsidRPr="00FD40B8">
        <w:rPr>
          <w:color w:val="131727" w:themeColor="text1"/>
          <w:spacing w:val="29"/>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0"/>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spacing w:val="-2"/>
          <w:w w:val="105"/>
          <w:sz w:val="16"/>
        </w:rPr>
        <w:t>https://view.officeapps.live.com/op/view.aspx?src=https%3A%2F%2Fwww.pc.gov.au%2Finquiries%2Fcompleted%2Fhousing-homelessness%2Freport%2Fhousing-homelessness-</w:t>
      </w:r>
      <w:r w:rsidRPr="00FD40B8">
        <w:rPr>
          <w:color w:val="131727" w:themeColor="text1"/>
          <w:spacing w:val="80"/>
          <w:w w:val="105"/>
          <w:sz w:val="16"/>
        </w:rPr>
        <w:t xml:space="preserve">     </w:t>
      </w:r>
      <w:r w:rsidRPr="00FD40B8">
        <w:rPr>
          <w:color w:val="131727" w:themeColor="text1"/>
          <w:spacing w:val="-2"/>
          <w:w w:val="105"/>
          <w:sz w:val="16"/>
        </w:rPr>
        <w:t>overview.docx&amp;wdOrigin=BROWSELINK</w:t>
      </w:r>
    </w:p>
    <w:p w14:paraId="0C653EF0" w14:textId="77777777" w:rsidR="00811887" w:rsidRPr="00FD40B8" w:rsidRDefault="00811887" w:rsidP="00811887">
      <w:pPr>
        <w:spacing w:line="268" w:lineRule="auto"/>
        <w:rPr>
          <w:color w:val="131727" w:themeColor="text1"/>
          <w:sz w:val="16"/>
        </w:rPr>
        <w:sectPr w:rsidR="00811887" w:rsidRPr="00FD40B8" w:rsidSect="00811887">
          <w:pgSz w:w="16840" w:h="11910" w:orient="landscape"/>
          <w:pgMar w:top="1220" w:right="1300" w:bottom="1000" w:left="1280" w:header="0" w:footer="800" w:gutter="0"/>
          <w:cols w:space="720"/>
        </w:sectPr>
      </w:pPr>
    </w:p>
    <w:p w14:paraId="232C3E01" w14:textId="77777777" w:rsidR="00811887" w:rsidRPr="00FD40B8" w:rsidRDefault="00811887" w:rsidP="00811887">
      <w:pPr>
        <w:pStyle w:val="BodyText"/>
        <w:rPr>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5ABF9449" w14:textId="77777777" w:rsidTr="00486E22">
        <w:trPr>
          <w:trHeight w:val="518"/>
        </w:trPr>
        <w:tc>
          <w:tcPr>
            <w:tcW w:w="1585" w:type="dxa"/>
            <w:shd w:val="clear" w:color="auto" w:fill="91A9A2"/>
          </w:tcPr>
          <w:p w14:paraId="73536468"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613FE4E3"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6B3CC316"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15150F0B"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63EEC9C6"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44A4382F" w14:textId="77777777" w:rsidTr="00486E22">
        <w:trPr>
          <w:trHeight w:val="7106"/>
        </w:trPr>
        <w:tc>
          <w:tcPr>
            <w:tcW w:w="1585" w:type="dxa"/>
            <w:shd w:val="clear" w:color="auto" w:fill="EEF1F4"/>
          </w:tcPr>
          <w:p w14:paraId="02A888D1" w14:textId="77777777" w:rsidR="00811887" w:rsidRPr="00FD40B8" w:rsidRDefault="00811887" w:rsidP="00486E22">
            <w:pPr>
              <w:pStyle w:val="TableParagraph"/>
              <w:spacing w:line="240" w:lineRule="auto"/>
              <w:rPr>
                <w:rFonts w:ascii="Times New Roman"/>
                <w:color w:val="131727" w:themeColor="text1"/>
                <w:sz w:val="16"/>
              </w:rPr>
            </w:pPr>
          </w:p>
        </w:tc>
        <w:tc>
          <w:tcPr>
            <w:tcW w:w="2382" w:type="dxa"/>
            <w:shd w:val="clear" w:color="auto" w:fill="EEF1F4"/>
          </w:tcPr>
          <w:p w14:paraId="16957AAB" w14:textId="77777777" w:rsidR="00811887" w:rsidRPr="00FD40B8" w:rsidRDefault="00811887" w:rsidP="00486E22">
            <w:pPr>
              <w:pStyle w:val="TableParagraph"/>
              <w:spacing w:before="25" w:line="273" w:lineRule="auto"/>
              <w:ind w:left="109" w:right="216"/>
              <w:rPr>
                <w:color w:val="131727" w:themeColor="text1"/>
                <w:sz w:val="18"/>
              </w:rPr>
            </w:pPr>
            <w:r w:rsidRPr="00FD40B8">
              <w:rPr>
                <w:color w:val="131727" w:themeColor="text1"/>
                <w:w w:val="110"/>
                <w:sz w:val="18"/>
              </w:rPr>
              <w:t>commitment to provide data for the national minimum data set and a commitment to the continuous</w:t>
            </w:r>
            <w:r w:rsidRPr="00FD40B8">
              <w:rPr>
                <w:color w:val="131727" w:themeColor="text1"/>
                <w:spacing w:val="-12"/>
                <w:w w:val="110"/>
                <w:sz w:val="18"/>
              </w:rPr>
              <w:t xml:space="preserve"> </w:t>
            </w:r>
            <w:r w:rsidRPr="00FD40B8">
              <w:rPr>
                <w:color w:val="131727" w:themeColor="text1"/>
                <w:w w:val="110"/>
                <w:sz w:val="18"/>
              </w:rPr>
              <w:t>improvement of data.</w:t>
            </w:r>
          </w:p>
          <w:p w14:paraId="7F8FA333" w14:textId="77777777" w:rsidR="00811887" w:rsidRPr="00FD40B8" w:rsidRDefault="00811887" w:rsidP="00486E22">
            <w:pPr>
              <w:pStyle w:val="TableParagraph"/>
              <w:spacing w:before="29" w:line="240" w:lineRule="auto"/>
              <w:rPr>
                <w:color w:val="131727" w:themeColor="text1"/>
                <w:sz w:val="18"/>
              </w:rPr>
            </w:pPr>
          </w:p>
          <w:p w14:paraId="4474CB65" w14:textId="77777777" w:rsidR="00811887" w:rsidRPr="00FD40B8" w:rsidRDefault="00811887" w:rsidP="00486E22">
            <w:pPr>
              <w:pStyle w:val="TableParagraph"/>
              <w:spacing w:before="1" w:line="271" w:lineRule="auto"/>
              <w:ind w:left="109" w:right="78"/>
              <w:rPr>
                <w:color w:val="131727" w:themeColor="text1"/>
                <w:sz w:val="12"/>
              </w:rPr>
            </w:pPr>
            <w:r w:rsidRPr="00FD40B8">
              <w:rPr>
                <w:color w:val="131727" w:themeColor="text1"/>
                <w:w w:val="110"/>
                <w:sz w:val="18"/>
              </w:rPr>
              <w:t>A housing and homelessness data improvement plan was developed under the agreement</w:t>
            </w:r>
            <w:r w:rsidRPr="00FD40B8">
              <w:rPr>
                <w:color w:val="131727" w:themeColor="text1"/>
                <w:spacing w:val="-12"/>
                <w:w w:val="110"/>
                <w:sz w:val="18"/>
              </w:rPr>
              <w:t xml:space="preserve"> </w:t>
            </w:r>
            <w:r w:rsidRPr="00FD40B8">
              <w:rPr>
                <w:color w:val="131727" w:themeColor="text1"/>
                <w:w w:val="110"/>
                <w:sz w:val="18"/>
              </w:rPr>
              <w:t>which</w:t>
            </w:r>
            <w:r w:rsidRPr="00FD40B8">
              <w:rPr>
                <w:color w:val="131727" w:themeColor="text1"/>
                <w:spacing w:val="-11"/>
                <w:w w:val="110"/>
                <w:sz w:val="18"/>
              </w:rPr>
              <w:t xml:space="preserve"> </w:t>
            </w:r>
            <w:r w:rsidRPr="00FD40B8">
              <w:rPr>
                <w:color w:val="131727" w:themeColor="text1"/>
                <w:w w:val="110"/>
                <w:sz w:val="18"/>
              </w:rPr>
              <w:t>included commitments to be achieved</w:t>
            </w:r>
            <w:r w:rsidRPr="00FD40B8">
              <w:rPr>
                <w:color w:val="131727" w:themeColor="text1"/>
                <w:spacing w:val="-8"/>
                <w:w w:val="110"/>
                <w:sz w:val="18"/>
              </w:rPr>
              <w:t xml:space="preserve"> </w:t>
            </w:r>
            <w:r w:rsidRPr="00FD40B8">
              <w:rPr>
                <w:color w:val="131727" w:themeColor="text1"/>
                <w:w w:val="110"/>
                <w:sz w:val="18"/>
              </w:rPr>
              <w:t>as</w:t>
            </w:r>
            <w:r w:rsidRPr="00FD40B8">
              <w:rPr>
                <w:color w:val="131727" w:themeColor="text1"/>
                <w:spacing w:val="-7"/>
                <w:w w:val="110"/>
                <w:sz w:val="18"/>
              </w:rPr>
              <w:t xml:space="preserve"> </w:t>
            </w:r>
            <w:r w:rsidRPr="00FD40B8">
              <w:rPr>
                <w:color w:val="131727" w:themeColor="text1"/>
                <w:w w:val="110"/>
                <w:sz w:val="18"/>
              </w:rPr>
              <w:t>a</w:t>
            </w:r>
            <w:r w:rsidRPr="00FD40B8">
              <w:rPr>
                <w:color w:val="131727" w:themeColor="text1"/>
                <w:spacing w:val="-12"/>
                <w:w w:val="110"/>
                <w:sz w:val="18"/>
              </w:rPr>
              <w:t xml:space="preserve"> </w:t>
            </w:r>
            <w:r w:rsidRPr="00FD40B8">
              <w:rPr>
                <w:color w:val="131727" w:themeColor="text1"/>
                <w:w w:val="110"/>
                <w:sz w:val="18"/>
              </w:rPr>
              <w:t>requirement of funding</w:t>
            </w:r>
            <w:hyperlink w:anchor="_bookmark123" w:history="1">
              <w:r w:rsidRPr="00FD40B8">
                <w:rPr>
                  <w:color w:val="131727" w:themeColor="text1"/>
                  <w:w w:val="110"/>
                  <w:sz w:val="18"/>
                </w:rPr>
                <w:t>.</w:t>
              </w:r>
              <w:r w:rsidRPr="00FD40B8">
                <w:rPr>
                  <w:color w:val="131727" w:themeColor="text1"/>
                  <w:w w:val="110"/>
                  <w:position w:val="7"/>
                  <w:sz w:val="12"/>
                </w:rPr>
                <w:t>97</w:t>
              </w:r>
            </w:hyperlink>
            <w:hyperlink w:anchor="_bookmark124" w:history="1">
              <w:r w:rsidRPr="00FD40B8">
                <w:rPr>
                  <w:color w:val="131727" w:themeColor="text1"/>
                  <w:w w:val="110"/>
                  <w:position w:val="7"/>
                  <w:sz w:val="12"/>
                </w:rPr>
                <w:t>98</w:t>
              </w:r>
            </w:hyperlink>
          </w:p>
        </w:tc>
        <w:tc>
          <w:tcPr>
            <w:tcW w:w="5816" w:type="dxa"/>
            <w:shd w:val="clear" w:color="auto" w:fill="EEF1F4"/>
          </w:tcPr>
          <w:p w14:paraId="4FABC2DF" w14:textId="77777777" w:rsidR="00811887" w:rsidRPr="00FD40B8" w:rsidRDefault="00811887" w:rsidP="00811887">
            <w:pPr>
              <w:pStyle w:val="TableParagraph"/>
              <w:numPr>
                <w:ilvl w:val="0"/>
                <w:numId w:val="36"/>
              </w:numPr>
              <w:tabs>
                <w:tab w:val="left" w:pos="829"/>
              </w:tabs>
              <w:spacing w:before="11" w:line="261" w:lineRule="auto"/>
              <w:ind w:right="224"/>
              <w:rPr>
                <w:color w:val="131727" w:themeColor="text1"/>
                <w:sz w:val="18"/>
              </w:rPr>
            </w:pPr>
            <w:r w:rsidRPr="00FD40B8">
              <w:rPr>
                <w:color w:val="131727" w:themeColor="text1"/>
                <w:w w:val="110"/>
                <w:sz w:val="18"/>
              </w:rPr>
              <w:t>proportion of</w:t>
            </w:r>
            <w:r w:rsidRPr="00FD40B8">
              <w:rPr>
                <w:color w:val="131727" w:themeColor="text1"/>
                <w:spacing w:val="-5"/>
                <w:w w:val="110"/>
                <w:sz w:val="18"/>
              </w:rPr>
              <w:t xml:space="preserve"> </w:t>
            </w:r>
            <w:r w:rsidRPr="00FD40B8">
              <w:rPr>
                <w:color w:val="131727" w:themeColor="text1"/>
                <w:w w:val="110"/>
                <w:sz w:val="18"/>
              </w:rPr>
              <w:t>Indigenous households</w:t>
            </w:r>
            <w:r w:rsidRPr="00FD40B8">
              <w:rPr>
                <w:color w:val="131727" w:themeColor="text1"/>
                <w:spacing w:val="-2"/>
                <w:w w:val="110"/>
                <w:sz w:val="18"/>
              </w:rPr>
              <w:t xml:space="preserve"> </w:t>
            </w:r>
            <w:r w:rsidRPr="00FD40B8">
              <w:rPr>
                <w:color w:val="131727" w:themeColor="text1"/>
                <w:w w:val="110"/>
                <w:sz w:val="18"/>
              </w:rPr>
              <w:t>living</w:t>
            </w:r>
            <w:r w:rsidRPr="00FD40B8">
              <w:rPr>
                <w:color w:val="131727" w:themeColor="text1"/>
                <w:spacing w:val="-3"/>
                <w:w w:val="110"/>
                <w:sz w:val="18"/>
              </w:rPr>
              <w:t xml:space="preserve"> </w:t>
            </w:r>
            <w:r w:rsidRPr="00FD40B8">
              <w:rPr>
                <w:color w:val="131727" w:themeColor="text1"/>
                <w:w w:val="110"/>
                <w:sz w:val="18"/>
              </w:rPr>
              <w:t>in houses of an acceptable standard including in remote and discrete communities; and</w:t>
            </w:r>
          </w:p>
          <w:p w14:paraId="0B5FD568" w14:textId="77777777" w:rsidR="00811887" w:rsidRPr="00FD40B8" w:rsidRDefault="00811887" w:rsidP="00811887">
            <w:pPr>
              <w:pStyle w:val="TableParagraph"/>
              <w:numPr>
                <w:ilvl w:val="0"/>
                <w:numId w:val="36"/>
              </w:numPr>
              <w:tabs>
                <w:tab w:val="left" w:pos="829"/>
              </w:tabs>
              <w:spacing w:line="261" w:lineRule="auto"/>
              <w:ind w:right="174"/>
              <w:rPr>
                <w:color w:val="131727" w:themeColor="text1"/>
                <w:sz w:val="18"/>
              </w:rPr>
            </w:pPr>
            <w:r w:rsidRPr="00FD40B8">
              <w:rPr>
                <w:color w:val="131727" w:themeColor="text1"/>
                <w:w w:val="110"/>
                <w:sz w:val="18"/>
              </w:rPr>
              <w:t>estimated cumulative gap between underlying demand for housing</w:t>
            </w:r>
            <w:r w:rsidRPr="00FD40B8">
              <w:rPr>
                <w:color w:val="131727" w:themeColor="text1"/>
                <w:spacing w:val="-1"/>
                <w:w w:val="110"/>
                <w:sz w:val="18"/>
              </w:rPr>
              <w:t xml:space="preserve"> </w:t>
            </w:r>
            <w:r w:rsidRPr="00FD40B8">
              <w:rPr>
                <w:color w:val="131727" w:themeColor="text1"/>
                <w:w w:val="110"/>
                <w:sz w:val="18"/>
              </w:rPr>
              <w:t>and housing</w:t>
            </w:r>
            <w:r w:rsidRPr="00FD40B8">
              <w:rPr>
                <w:color w:val="131727" w:themeColor="text1"/>
                <w:spacing w:val="-1"/>
                <w:w w:val="110"/>
                <w:sz w:val="18"/>
              </w:rPr>
              <w:t xml:space="preserve"> </w:t>
            </w:r>
            <w:r w:rsidRPr="00FD40B8">
              <w:rPr>
                <w:color w:val="131727" w:themeColor="text1"/>
                <w:w w:val="110"/>
                <w:sz w:val="18"/>
              </w:rPr>
              <w:t>supply as a</w:t>
            </w:r>
            <w:r w:rsidRPr="00FD40B8">
              <w:rPr>
                <w:color w:val="131727" w:themeColor="text1"/>
                <w:spacing w:val="-2"/>
                <w:w w:val="110"/>
                <w:sz w:val="18"/>
              </w:rPr>
              <w:t xml:space="preserve"> </w:t>
            </w:r>
            <w:r w:rsidRPr="00FD40B8">
              <w:rPr>
                <w:color w:val="131727" w:themeColor="text1"/>
                <w:w w:val="110"/>
                <w:sz w:val="18"/>
              </w:rPr>
              <w:t>proportion of the increase in underlying demand.</w:t>
            </w:r>
          </w:p>
          <w:p w14:paraId="768ABBF0" w14:textId="77777777" w:rsidR="00811887" w:rsidRPr="00FD40B8" w:rsidRDefault="00811887" w:rsidP="00486E22">
            <w:pPr>
              <w:pStyle w:val="TableParagraph"/>
              <w:spacing w:before="18" w:line="240" w:lineRule="auto"/>
              <w:rPr>
                <w:color w:val="131727" w:themeColor="text1"/>
                <w:sz w:val="18"/>
              </w:rPr>
            </w:pPr>
          </w:p>
          <w:p w14:paraId="4358D921" w14:textId="77777777" w:rsidR="00811887" w:rsidRPr="00FD40B8" w:rsidRDefault="00811887" w:rsidP="00486E22">
            <w:pPr>
              <w:pStyle w:val="TableParagraph"/>
              <w:spacing w:line="273" w:lineRule="auto"/>
              <w:ind w:left="108" w:right="145"/>
              <w:rPr>
                <w:color w:val="131727" w:themeColor="text1"/>
                <w:sz w:val="18"/>
              </w:rPr>
            </w:pPr>
            <w:r w:rsidRPr="00FD40B8">
              <w:rPr>
                <w:color w:val="131727" w:themeColor="text1"/>
                <w:w w:val="110"/>
                <w:sz w:val="18"/>
              </w:rPr>
              <w:t>The Housing and Homelessness Data Improvement Plan includes agreed data commitments including improvements to a range of indicators, including number of dwellings, proportion of social housing occupants that are housed in homes that meet their needs, number of people experiencing homelessness, proportion of people at</w:t>
            </w:r>
            <w:r w:rsidRPr="00FD40B8">
              <w:rPr>
                <w:color w:val="131727" w:themeColor="text1"/>
                <w:spacing w:val="-2"/>
                <w:w w:val="110"/>
                <w:sz w:val="18"/>
              </w:rPr>
              <w:t xml:space="preserve"> </w:t>
            </w:r>
            <w:r w:rsidRPr="00FD40B8">
              <w:rPr>
                <w:color w:val="131727" w:themeColor="text1"/>
                <w:w w:val="110"/>
                <w:sz w:val="18"/>
              </w:rPr>
              <w:t>risk</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5"/>
                <w:w w:val="110"/>
                <w:sz w:val="18"/>
              </w:rPr>
              <w:t xml:space="preserve"> </w:t>
            </w:r>
            <w:r w:rsidRPr="00FD40B8">
              <w:rPr>
                <w:color w:val="131727" w:themeColor="text1"/>
                <w:w w:val="110"/>
                <w:sz w:val="18"/>
              </w:rPr>
              <w:t>homelessness,</w:t>
            </w:r>
            <w:r w:rsidRPr="00FD40B8">
              <w:rPr>
                <w:color w:val="131727" w:themeColor="text1"/>
                <w:spacing w:val="-4"/>
                <w:w w:val="110"/>
                <w:sz w:val="18"/>
              </w:rPr>
              <w:t xml:space="preserve"> </w:t>
            </w:r>
            <w:r w:rsidRPr="00FD40B8">
              <w:rPr>
                <w:color w:val="131727" w:themeColor="text1"/>
                <w:w w:val="110"/>
                <w:sz w:val="18"/>
              </w:rPr>
              <w:t>number</w:t>
            </w:r>
            <w:r w:rsidRPr="00FD40B8">
              <w:rPr>
                <w:color w:val="131727" w:themeColor="text1"/>
                <w:spacing w:val="-7"/>
                <w:w w:val="110"/>
                <w:sz w:val="18"/>
              </w:rPr>
              <w:t xml:space="preserve"> </w:t>
            </w:r>
            <w:r w:rsidRPr="00FD40B8">
              <w:rPr>
                <w:color w:val="131727" w:themeColor="text1"/>
                <w:w w:val="110"/>
                <w:sz w:val="18"/>
              </w:rPr>
              <w:t>of</w:t>
            </w:r>
            <w:r w:rsidRPr="00FD40B8">
              <w:rPr>
                <w:color w:val="131727" w:themeColor="text1"/>
                <w:spacing w:val="-5"/>
                <w:w w:val="110"/>
                <w:sz w:val="18"/>
              </w:rPr>
              <w:t xml:space="preserve"> </w:t>
            </w:r>
            <w:r w:rsidRPr="00FD40B8">
              <w:rPr>
                <w:color w:val="131727" w:themeColor="text1"/>
                <w:w w:val="110"/>
                <w:sz w:val="18"/>
              </w:rPr>
              <w:t>permitted</w:t>
            </w:r>
            <w:r w:rsidRPr="00FD40B8">
              <w:rPr>
                <w:color w:val="131727" w:themeColor="text1"/>
                <w:spacing w:val="-6"/>
                <w:w w:val="110"/>
                <w:sz w:val="18"/>
              </w:rPr>
              <w:t xml:space="preserve"> </w:t>
            </w:r>
            <w:r w:rsidRPr="00FD40B8">
              <w:rPr>
                <w:color w:val="131727" w:themeColor="text1"/>
                <w:w w:val="110"/>
                <w:sz w:val="18"/>
              </w:rPr>
              <w:t>dwellings,</w:t>
            </w:r>
            <w:r w:rsidRPr="00FD40B8">
              <w:rPr>
                <w:color w:val="131727" w:themeColor="text1"/>
                <w:spacing w:val="-8"/>
                <w:w w:val="110"/>
                <w:sz w:val="18"/>
              </w:rPr>
              <w:t xml:space="preserve"> </w:t>
            </w:r>
            <w:r w:rsidRPr="00FD40B8">
              <w:rPr>
                <w:color w:val="131727" w:themeColor="text1"/>
                <w:w w:val="110"/>
                <w:sz w:val="18"/>
              </w:rPr>
              <w:t>rental</w:t>
            </w:r>
            <w:r w:rsidRPr="00FD40B8">
              <w:rPr>
                <w:color w:val="131727" w:themeColor="text1"/>
                <w:spacing w:val="-2"/>
                <w:w w:val="110"/>
                <w:sz w:val="18"/>
              </w:rPr>
              <w:t xml:space="preserve"> </w:t>
            </w:r>
            <w:r w:rsidRPr="00FD40B8">
              <w:rPr>
                <w:color w:val="131727" w:themeColor="text1"/>
                <w:w w:val="110"/>
                <w:sz w:val="18"/>
              </w:rPr>
              <w:t>stress data, as well as committing data priorities for the Community Housing and Indigenous Community Housing collections.</w:t>
            </w:r>
          </w:p>
        </w:tc>
        <w:tc>
          <w:tcPr>
            <w:tcW w:w="1562" w:type="dxa"/>
            <w:shd w:val="clear" w:color="auto" w:fill="EEF1F4"/>
          </w:tcPr>
          <w:p w14:paraId="428E930A" w14:textId="77777777" w:rsidR="00811887" w:rsidRPr="00FD40B8" w:rsidRDefault="00811887" w:rsidP="00486E22">
            <w:pPr>
              <w:pStyle w:val="TableParagraph"/>
              <w:spacing w:line="240" w:lineRule="auto"/>
              <w:rPr>
                <w:rFonts w:ascii="Times New Roman"/>
                <w:color w:val="131727" w:themeColor="text1"/>
                <w:sz w:val="16"/>
              </w:rPr>
            </w:pPr>
          </w:p>
        </w:tc>
        <w:tc>
          <w:tcPr>
            <w:tcW w:w="2657" w:type="dxa"/>
            <w:shd w:val="clear" w:color="auto" w:fill="EEF1F4"/>
          </w:tcPr>
          <w:p w14:paraId="72ABCE7B" w14:textId="77777777" w:rsidR="00811887" w:rsidRPr="00FD40B8" w:rsidRDefault="00811887" w:rsidP="00486E22">
            <w:pPr>
              <w:pStyle w:val="TableParagraph"/>
              <w:spacing w:before="20" w:line="261" w:lineRule="auto"/>
              <w:ind w:left="821" w:right="137"/>
              <w:rPr>
                <w:color w:val="131727" w:themeColor="text1"/>
                <w:sz w:val="18"/>
              </w:rPr>
            </w:pPr>
            <w:r w:rsidRPr="00FD40B8">
              <w:rPr>
                <w:color w:val="131727" w:themeColor="text1"/>
                <w:spacing w:val="-2"/>
                <w:w w:val="110"/>
                <w:sz w:val="18"/>
              </w:rPr>
              <w:t>bottom</w:t>
            </w:r>
            <w:r w:rsidRPr="00FD40B8">
              <w:rPr>
                <w:color w:val="131727" w:themeColor="text1"/>
                <w:spacing w:val="-10"/>
                <w:w w:val="110"/>
                <w:sz w:val="18"/>
              </w:rPr>
              <w:t xml:space="preserve"> </w:t>
            </w:r>
            <w:r w:rsidRPr="00FD40B8">
              <w:rPr>
                <w:color w:val="131727" w:themeColor="text1"/>
                <w:spacing w:val="-2"/>
                <w:w w:val="110"/>
                <w:sz w:val="18"/>
              </w:rPr>
              <w:t>two</w:t>
            </w:r>
            <w:r w:rsidRPr="00FD40B8">
              <w:rPr>
                <w:color w:val="131727" w:themeColor="text1"/>
                <w:spacing w:val="-9"/>
                <w:w w:val="110"/>
                <w:sz w:val="18"/>
              </w:rPr>
              <w:t xml:space="preserve"> </w:t>
            </w:r>
            <w:r w:rsidRPr="00FD40B8">
              <w:rPr>
                <w:color w:val="131727" w:themeColor="text1"/>
                <w:spacing w:val="-2"/>
                <w:w w:val="110"/>
                <w:sz w:val="18"/>
              </w:rPr>
              <w:t xml:space="preserve">quintiles </w:t>
            </w:r>
            <w:r w:rsidRPr="00FD40B8">
              <w:rPr>
                <w:color w:val="131727" w:themeColor="text1"/>
                <w:w w:val="110"/>
                <w:sz w:val="18"/>
              </w:rPr>
              <w:t>that spend more than 30% of their income on rent</w:t>
            </w:r>
          </w:p>
          <w:p w14:paraId="441D3B72" w14:textId="77777777" w:rsidR="00811887" w:rsidRPr="00FD40B8" w:rsidRDefault="00811887" w:rsidP="00811887">
            <w:pPr>
              <w:pStyle w:val="TableParagraph"/>
              <w:numPr>
                <w:ilvl w:val="0"/>
                <w:numId w:val="35"/>
              </w:numPr>
              <w:tabs>
                <w:tab w:val="left" w:pos="821"/>
              </w:tabs>
              <w:spacing w:line="261" w:lineRule="auto"/>
              <w:ind w:right="122"/>
              <w:rPr>
                <w:color w:val="131727" w:themeColor="text1"/>
                <w:sz w:val="18"/>
              </w:rPr>
            </w:pP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number</w:t>
            </w:r>
            <w:r w:rsidRPr="00FD40B8">
              <w:rPr>
                <w:color w:val="131727" w:themeColor="text1"/>
                <w:spacing w:val="-6"/>
                <w:w w:val="110"/>
                <w:sz w:val="18"/>
              </w:rPr>
              <w:t xml:space="preserve"> </w:t>
            </w:r>
            <w:r w:rsidRPr="00FD40B8">
              <w:rPr>
                <w:color w:val="131727" w:themeColor="text1"/>
                <w:w w:val="110"/>
                <w:sz w:val="18"/>
              </w:rPr>
              <w:t>of</w:t>
            </w:r>
            <w:r w:rsidRPr="00FD40B8">
              <w:rPr>
                <w:color w:val="131727" w:themeColor="text1"/>
                <w:spacing w:val="-12"/>
                <w:w w:val="110"/>
                <w:sz w:val="18"/>
              </w:rPr>
              <w:t xml:space="preserve"> </w:t>
            </w:r>
            <w:r w:rsidRPr="00FD40B8">
              <w:rPr>
                <w:color w:val="131727" w:themeColor="text1"/>
                <w:w w:val="110"/>
                <w:sz w:val="18"/>
              </w:rPr>
              <w:t>social housing occupants with greatest need</w:t>
            </w:r>
            <w:r w:rsidRPr="00FD40B8">
              <w:rPr>
                <w:color w:val="131727" w:themeColor="text1"/>
                <w:spacing w:val="40"/>
                <w:w w:val="110"/>
                <w:sz w:val="18"/>
              </w:rPr>
              <w:t xml:space="preserve"> </w:t>
            </w:r>
            <w:r w:rsidRPr="00FD40B8">
              <w:rPr>
                <w:color w:val="131727" w:themeColor="text1"/>
                <w:w w:val="110"/>
                <w:sz w:val="18"/>
              </w:rPr>
              <w:t>as a</w:t>
            </w:r>
            <w:r w:rsidRPr="00FD40B8">
              <w:rPr>
                <w:color w:val="131727" w:themeColor="text1"/>
                <w:spacing w:val="-6"/>
                <w:w w:val="110"/>
                <w:sz w:val="18"/>
              </w:rPr>
              <w:t xml:space="preserve"> </w:t>
            </w:r>
            <w:r w:rsidRPr="00FD40B8">
              <w:rPr>
                <w:color w:val="131727" w:themeColor="text1"/>
                <w:w w:val="110"/>
                <w:sz w:val="18"/>
              </w:rPr>
              <w:t>proportion</w:t>
            </w:r>
            <w:r w:rsidRPr="00FD40B8">
              <w:rPr>
                <w:color w:val="131727" w:themeColor="text1"/>
                <w:spacing w:val="-2"/>
                <w:w w:val="110"/>
                <w:sz w:val="18"/>
              </w:rPr>
              <w:t xml:space="preserve"> </w:t>
            </w:r>
            <w:r w:rsidRPr="00FD40B8">
              <w:rPr>
                <w:color w:val="131727" w:themeColor="text1"/>
                <w:w w:val="110"/>
                <w:sz w:val="18"/>
              </w:rPr>
              <w:t>of</w:t>
            </w:r>
            <w:r w:rsidRPr="00FD40B8">
              <w:rPr>
                <w:color w:val="131727" w:themeColor="text1"/>
                <w:spacing w:val="-2"/>
                <w:w w:val="110"/>
                <w:sz w:val="18"/>
              </w:rPr>
              <w:t xml:space="preserve"> </w:t>
            </w:r>
            <w:r w:rsidRPr="00FD40B8">
              <w:rPr>
                <w:color w:val="131727" w:themeColor="text1"/>
                <w:w w:val="110"/>
                <w:sz w:val="18"/>
              </w:rPr>
              <w:t>all new allocations</w:t>
            </w:r>
          </w:p>
          <w:p w14:paraId="307E5A82" w14:textId="77777777" w:rsidR="00811887" w:rsidRPr="00FD40B8" w:rsidRDefault="00811887" w:rsidP="00811887">
            <w:pPr>
              <w:pStyle w:val="TableParagraph"/>
              <w:numPr>
                <w:ilvl w:val="0"/>
                <w:numId w:val="35"/>
              </w:numPr>
              <w:tabs>
                <w:tab w:val="left" w:pos="821"/>
              </w:tabs>
              <w:spacing w:line="261" w:lineRule="auto"/>
              <w:ind w:right="387"/>
              <w:rPr>
                <w:color w:val="131727" w:themeColor="text1"/>
                <w:sz w:val="18"/>
              </w:rPr>
            </w:pPr>
            <w:r w:rsidRPr="00FD40B8">
              <w:rPr>
                <w:color w:val="131727" w:themeColor="text1"/>
                <w:w w:val="110"/>
                <w:sz w:val="18"/>
              </w:rPr>
              <w:t>The</w:t>
            </w:r>
            <w:r w:rsidRPr="00FD40B8">
              <w:rPr>
                <w:color w:val="131727" w:themeColor="text1"/>
                <w:spacing w:val="-12"/>
                <w:w w:val="110"/>
                <w:sz w:val="18"/>
              </w:rPr>
              <w:t xml:space="preserve"> </w:t>
            </w:r>
            <w:r w:rsidRPr="00FD40B8">
              <w:rPr>
                <w:color w:val="131727" w:themeColor="text1"/>
                <w:w w:val="110"/>
                <w:sz w:val="18"/>
              </w:rPr>
              <w:t>proportion</w:t>
            </w:r>
            <w:r w:rsidRPr="00FD40B8">
              <w:rPr>
                <w:color w:val="131727" w:themeColor="text1"/>
                <w:spacing w:val="-11"/>
                <w:w w:val="110"/>
                <w:sz w:val="18"/>
              </w:rPr>
              <w:t xml:space="preserve"> </w:t>
            </w:r>
            <w:r w:rsidRPr="00FD40B8">
              <w:rPr>
                <w:color w:val="131727" w:themeColor="text1"/>
                <w:w w:val="110"/>
                <w:sz w:val="18"/>
              </w:rPr>
              <w:t xml:space="preserve">of </w:t>
            </w:r>
            <w:r w:rsidRPr="00FD40B8">
              <w:rPr>
                <w:color w:val="131727" w:themeColor="text1"/>
                <w:spacing w:val="-2"/>
                <w:w w:val="110"/>
                <w:sz w:val="18"/>
              </w:rPr>
              <w:t xml:space="preserve">Indigenous Australians </w:t>
            </w:r>
            <w:r w:rsidRPr="00FD40B8">
              <w:rPr>
                <w:color w:val="131727" w:themeColor="text1"/>
                <w:w w:val="110"/>
                <w:sz w:val="18"/>
              </w:rPr>
              <w:t>purchasing or owning</w:t>
            </w:r>
            <w:r w:rsidRPr="00FD40B8">
              <w:rPr>
                <w:color w:val="131727" w:themeColor="text1"/>
                <w:spacing w:val="-9"/>
                <w:w w:val="110"/>
                <w:sz w:val="18"/>
              </w:rPr>
              <w:t xml:space="preserve"> </w:t>
            </w:r>
            <w:r w:rsidRPr="00FD40B8">
              <w:rPr>
                <w:color w:val="131727" w:themeColor="text1"/>
                <w:w w:val="110"/>
                <w:sz w:val="18"/>
              </w:rPr>
              <w:t>their</w:t>
            </w:r>
            <w:r w:rsidRPr="00FD40B8">
              <w:rPr>
                <w:color w:val="131727" w:themeColor="text1"/>
                <w:spacing w:val="-9"/>
                <w:w w:val="110"/>
                <w:sz w:val="18"/>
              </w:rPr>
              <w:t xml:space="preserve"> </w:t>
            </w:r>
            <w:r w:rsidRPr="00FD40B8">
              <w:rPr>
                <w:color w:val="131727" w:themeColor="text1"/>
                <w:w w:val="110"/>
                <w:sz w:val="18"/>
              </w:rPr>
              <w:t xml:space="preserve">own </w:t>
            </w:r>
            <w:r w:rsidRPr="00FD40B8">
              <w:rPr>
                <w:color w:val="131727" w:themeColor="text1"/>
                <w:spacing w:val="-4"/>
                <w:w w:val="110"/>
                <w:sz w:val="18"/>
              </w:rPr>
              <w:t>home</w:t>
            </w:r>
          </w:p>
          <w:p w14:paraId="7A62FBC0" w14:textId="77777777" w:rsidR="00811887" w:rsidRPr="00FD40B8" w:rsidRDefault="00811887" w:rsidP="00486E22">
            <w:pPr>
              <w:pStyle w:val="TableParagraph"/>
              <w:spacing w:line="273" w:lineRule="auto"/>
              <w:ind w:left="101" w:right="259"/>
              <w:rPr>
                <w:color w:val="131727" w:themeColor="text1"/>
                <w:sz w:val="18"/>
              </w:rPr>
            </w:pPr>
            <w:r w:rsidRPr="00FD40B8">
              <w:rPr>
                <w:color w:val="131727" w:themeColor="text1"/>
                <w:w w:val="110"/>
                <w:sz w:val="18"/>
              </w:rPr>
              <w:t>The review also found that many of the promised data improvements under the Data</w:t>
            </w:r>
            <w:r w:rsidRPr="00FD40B8">
              <w:rPr>
                <w:color w:val="131727" w:themeColor="text1"/>
                <w:spacing w:val="-12"/>
                <w:w w:val="110"/>
                <w:sz w:val="18"/>
              </w:rPr>
              <w:t xml:space="preserve"> </w:t>
            </w:r>
            <w:r w:rsidRPr="00FD40B8">
              <w:rPr>
                <w:color w:val="131727" w:themeColor="text1"/>
                <w:w w:val="110"/>
                <w:sz w:val="18"/>
              </w:rPr>
              <w:t>Improvement</w:t>
            </w:r>
            <w:r w:rsidRPr="00FD40B8">
              <w:rPr>
                <w:color w:val="131727" w:themeColor="text1"/>
                <w:spacing w:val="-11"/>
                <w:w w:val="110"/>
                <w:sz w:val="18"/>
              </w:rPr>
              <w:t xml:space="preserve"> </w:t>
            </w:r>
            <w:r w:rsidRPr="00FD40B8">
              <w:rPr>
                <w:color w:val="131727" w:themeColor="text1"/>
                <w:w w:val="110"/>
                <w:sz w:val="18"/>
              </w:rPr>
              <w:t>Plan</w:t>
            </w:r>
            <w:r w:rsidRPr="00FD40B8">
              <w:rPr>
                <w:color w:val="131727" w:themeColor="text1"/>
                <w:spacing w:val="-11"/>
                <w:w w:val="110"/>
                <w:sz w:val="18"/>
              </w:rPr>
              <w:t xml:space="preserve"> </w:t>
            </w:r>
            <w:r w:rsidRPr="00FD40B8">
              <w:rPr>
                <w:color w:val="131727" w:themeColor="text1"/>
                <w:w w:val="110"/>
                <w:sz w:val="18"/>
              </w:rPr>
              <w:t>are yet to be developed.</w:t>
            </w:r>
          </w:p>
          <w:p w14:paraId="4260DC60" w14:textId="77777777" w:rsidR="00811887" w:rsidRPr="00FD40B8" w:rsidRDefault="00811887" w:rsidP="00486E22">
            <w:pPr>
              <w:pStyle w:val="TableParagraph"/>
              <w:spacing w:before="25" w:line="240" w:lineRule="auto"/>
              <w:rPr>
                <w:color w:val="131727" w:themeColor="text1"/>
                <w:sz w:val="18"/>
              </w:rPr>
            </w:pPr>
          </w:p>
          <w:p w14:paraId="18F330CF" w14:textId="77777777" w:rsidR="00811887" w:rsidRPr="00FD40B8" w:rsidRDefault="00811887" w:rsidP="00486E22">
            <w:pPr>
              <w:pStyle w:val="TableParagraph"/>
              <w:spacing w:line="273" w:lineRule="auto"/>
              <w:ind w:left="101" w:right="137"/>
              <w:rPr>
                <w:color w:val="131727" w:themeColor="text1"/>
                <w:sz w:val="18"/>
              </w:rPr>
            </w:pPr>
            <w:r w:rsidRPr="00FD40B8">
              <w:rPr>
                <w:color w:val="131727" w:themeColor="text1"/>
                <w:w w:val="110"/>
                <w:sz w:val="18"/>
              </w:rPr>
              <w:t>Consequently, this provides no additional data collection than</w:t>
            </w:r>
            <w:r w:rsidRPr="00FD40B8">
              <w:rPr>
                <w:color w:val="131727" w:themeColor="text1"/>
                <w:spacing w:val="-12"/>
                <w:w w:val="110"/>
                <w:sz w:val="18"/>
              </w:rPr>
              <w:t xml:space="preserve"> </w:t>
            </w:r>
            <w:r w:rsidRPr="00FD40B8">
              <w:rPr>
                <w:color w:val="131727" w:themeColor="text1"/>
                <w:w w:val="110"/>
                <w:sz w:val="18"/>
              </w:rPr>
              <w:t>what</w:t>
            </w:r>
            <w:r w:rsidRPr="00FD40B8">
              <w:rPr>
                <w:color w:val="131727" w:themeColor="text1"/>
                <w:spacing w:val="-11"/>
                <w:w w:val="110"/>
                <w:sz w:val="18"/>
              </w:rPr>
              <w:t xml:space="preserve"> </w:t>
            </w:r>
            <w:r w:rsidRPr="00FD40B8">
              <w:rPr>
                <w:color w:val="131727" w:themeColor="text1"/>
                <w:w w:val="110"/>
                <w:sz w:val="18"/>
              </w:rPr>
              <w:t>is</w:t>
            </w:r>
            <w:r w:rsidRPr="00FD40B8">
              <w:rPr>
                <w:color w:val="131727" w:themeColor="text1"/>
                <w:spacing w:val="-11"/>
                <w:w w:val="110"/>
                <w:sz w:val="18"/>
              </w:rPr>
              <w:t xml:space="preserve"> </w:t>
            </w:r>
            <w:r w:rsidRPr="00FD40B8">
              <w:rPr>
                <w:color w:val="131727" w:themeColor="text1"/>
                <w:w w:val="110"/>
                <w:sz w:val="18"/>
              </w:rPr>
              <w:t>already</w:t>
            </w:r>
            <w:r w:rsidRPr="00FD40B8">
              <w:rPr>
                <w:color w:val="131727" w:themeColor="text1"/>
                <w:spacing w:val="-11"/>
                <w:w w:val="110"/>
                <w:sz w:val="18"/>
              </w:rPr>
              <w:t xml:space="preserve"> </w:t>
            </w:r>
            <w:r w:rsidRPr="00FD40B8">
              <w:rPr>
                <w:color w:val="131727" w:themeColor="text1"/>
                <w:w w:val="110"/>
                <w:sz w:val="18"/>
              </w:rPr>
              <w:t>provided in the Census or other data sources (other than state expenditure on Indigenous housing as per the SoAs).</w:t>
            </w:r>
          </w:p>
        </w:tc>
      </w:tr>
    </w:tbl>
    <w:p w14:paraId="6B0C4BBF" w14:textId="77777777" w:rsidR="00811887" w:rsidRPr="00FD40B8" w:rsidRDefault="00811887" w:rsidP="00811887">
      <w:pPr>
        <w:pStyle w:val="BodyText"/>
        <w:rPr>
          <w:color w:val="131727" w:themeColor="text1"/>
        </w:rPr>
      </w:pPr>
    </w:p>
    <w:p w14:paraId="51C2D513" w14:textId="77777777" w:rsidR="00811887" w:rsidRPr="00FD40B8" w:rsidRDefault="00811887" w:rsidP="00811887">
      <w:pPr>
        <w:pStyle w:val="BodyText"/>
        <w:spacing w:before="40"/>
        <w:rPr>
          <w:color w:val="131727" w:themeColor="text1"/>
        </w:rPr>
      </w:pPr>
      <w:r w:rsidRPr="00FD40B8">
        <w:rPr>
          <w:noProof/>
          <w:color w:val="131727" w:themeColor="text1"/>
        </w:rPr>
        <mc:AlternateContent>
          <mc:Choice Requires="wps">
            <w:drawing>
              <wp:anchor distT="0" distB="0" distL="0" distR="0" simplePos="0" relativeHeight="251780096" behindDoc="1" locked="0" layoutInCell="1" allowOverlap="1" wp14:anchorId="09F66492" wp14:editId="4C7CE5E4">
                <wp:simplePos x="0" y="0"/>
                <wp:positionH relativeFrom="page">
                  <wp:posOffset>899464</wp:posOffset>
                </wp:positionH>
                <wp:positionV relativeFrom="paragraph">
                  <wp:posOffset>195863</wp:posOffset>
                </wp:positionV>
                <wp:extent cx="1829435" cy="6350"/>
                <wp:effectExtent l="0" t="0" r="0" b="0"/>
                <wp:wrapTopAndBottom/>
                <wp:docPr id="245" name="Graphic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5F269B" id="Graphic 245" o:spid="_x0000_s1026" alt="&quot;&quot;" style="position:absolute;margin-left:70.8pt;margin-top:15.4pt;width:144.05pt;height:.5pt;z-index:-2515363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" path="m1829435,l,,,6095r1829435,l1829435,xe" fillcolor="black" stroked="f">
                <v:path arrowok="t"/>
                <w10:wrap type="topAndBottom" anchorx="page"/>
              </v:shape>
            </w:pict>
          </mc:Fallback>
        </mc:AlternateContent>
      </w:r>
    </w:p>
    <w:p w14:paraId="3A7508F4" w14:textId="77777777" w:rsidR="00811887" w:rsidRPr="00FD40B8" w:rsidRDefault="00811887" w:rsidP="00811887">
      <w:pPr>
        <w:spacing w:before="123" w:line="266" w:lineRule="auto"/>
        <w:ind w:left="136" w:right="721"/>
        <w:rPr>
          <w:color w:val="131727" w:themeColor="text1"/>
          <w:sz w:val="16"/>
        </w:rPr>
      </w:pPr>
      <w:bookmarkStart w:id="234" w:name="_bookmark123"/>
      <w:bookmarkEnd w:id="234"/>
      <w:r w:rsidRPr="00FD40B8">
        <w:rPr>
          <w:color w:val="131727" w:themeColor="text1"/>
          <w:w w:val="105"/>
          <w:position w:val="6"/>
          <w:sz w:val="10"/>
        </w:rPr>
        <w:t>97</w:t>
      </w:r>
      <w:r w:rsidRPr="00FD40B8">
        <w:rPr>
          <w:color w:val="131727" w:themeColor="text1"/>
          <w:w w:val="105"/>
          <w:sz w:val="16"/>
        </w:rPr>
        <w:t>Federal</w:t>
      </w:r>
      <w:r w:rsidRPr="00FD40B8">
        <w:rPr>
          <w:color w:val="131727" w:themeColor="text1"/>
          <w:spacing w:val="31"/>
          <w:w w:val="105"/>
          <w:sz w:val="16"/>
        </w:rPr>
        <w:t xml:space="preserve"> </w:t>
      </w:r>
      <w:r w:rsidRPr="00FD40B8">
        <w:rPr>
          <w:color w:val="131727" w:themeColor="text1"/>
          <w:w w:val="105"/>
          <w:sz w:val="16"/>
        </w:rPr>
        <w:t>Financial</w:t>
      </w:r>
      <w:r w:rsidRPr="00FD40B8">
        <w:rPr>
          <w:color w:val="131727" w:themeColor="text1"/>
          <w:spacing w:val="31"/>
          <w:w w:val="105"/>
          <w:sz w:val="16"/>
        </w:rPr>
        <w:t xml:space="preserve"> </w:t>
      </w:r>
      <w:r w:rsidRPr="00FD40B8">
        <w:rPr>
          <w:color w:val="131727" w:themeColor="text1"/>
          <w:w w:val="105"/>
          <w:sz w:val="16"/>
        </w:rPr>
        <w:t>Relations</w:t>
      </w:r>
      <w:r w:rsidRPr="00FD40B8">
        <w:rPr>
          <w:color w:val="131727" w:themeColor="text1"/>
          <w:spacing w:val="32"/>
          <w:w w:val="105"/>
          <w:sz w:val="16"/>
        </w:rPr>
        <w:t xml:space="preserve"> </w:t>
      </w:r>
      <w:r w:rsidRPr="00FD40B8">
        <w:rPr>
          <w:color w:val="131727" w:themeColor="text1"/>
          <w:w w:val="105"/>
          <w:sz w:val="16"/>
        </w:rPr>
        <w:t>2023.</w:t>
      </w:r>
      <w:r w:rsidRPr="00FD40B8">
        <w:rPr>
          <w:color w:val="131727" w:themeColor="text1"/>
          <w:spacing w:val="36"/>
          <w:w w:val="105"/>
          <w:sz w:val="16"/>
        </w:rPr>
        <w:t xml:space="preserve"> </w:t>
      </w:r>
      <w:r w:rsidRPr="00FD40B8">
        <w:rPr>
          <w:color w:val="131727" w:themeColor="text1"/>
          <w:w w:val="105"/>
          <w:sz w:val="16"/>
        </w:rPr>
        <w:t>National</w:t>
      </w:r>
      <w:r w:rsidRPr="00FD40B8">
        <w:rPr>
          <w:color w:val="131727" w:themeColor="text1"/>
          <w:spacing w:val="31"/>
          <w:w w:val="105"/>
          <w:sz w:val="16"/>
        </w:rPr>
        <w:t xml:space="preserve"> </w:t>
      </w:r>
      <w:r w:rsidRPr="00FD40B8">
        <w:rPr>
          <w:color w:val="131727" w:themeColor="text1"/>
          <w:w w:val="105"/>
          <w:sz w:val="16"/>
        </w:rPr>
        <w:t>Affordable</w:t>
      </w:r>
      <w:r w:rsidRPr="00FD40B8">
        <w:rPr>
          <w:color w:val="131727" w:themeColor="text1"/>
          <w:spacing w:val="34"/>
          <w:w w:val="105"/>
          <w:sz w:val="16"/>
        </w:rPr>
        <w:t xml:space="preserve"> </w:t>
      </w:r>
      <w:r w:rsidRPr="00FD40B8">
        <w:rPr>
          <w:color w:val="131727" w:themeColor="text1"/>
          <w:w w:val="105"/>
          <w:sz w:val="16"/>
        </w:rPr>
        <w:t>Housing</w:t>
      </w:r>
      <w:r w:rsidRPr="00FD40B8">
        <w:rPr>
          <w:color w:val="131727" w:themeColor="text1"/>
          <w:spacing w:val="32"/>
          <w:w w:val="105"/>
          <w:sz w:val="16"/>
        </w:rPr>
        <w:t xml:space="preserve"> </w:t>
      </w:r>
      <w:r w:rsidRPr="00FD40B8">
        <w:rPr>
          <w:color w:val="131727" w:themeColor="text1"/>
          <w:w w:val="105"/>
          <w:sz w:val="16"/>
        </w:rPr>
        <w:t>Agreement.</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34"/>
          <w:w w:val="105"/>
          <w:sz w:val="16"/>
        </w:rPr>
        <w:t xml:space="preserve"> </w:t>
      </w:r>
      <w:r w:rsidRPr="00FD40B8">
        <w:rPr>
          <w:color w:val="131727" w:themeColor="text1"/>
          <w:w w:val="105"/>
          <w:sz w:val="16"/>
        </w:rPr>
        <w:t>at:</w:t>
      </w:r>
      <w:r w:rsidRPr="00FD40B8">
        <w:rPr>
          <w:color w:val="131727" w:themeColor="text1"/>
          <w:spacing w:val="39"/>
          <w:w w:val="105"/>
          <w:sz w:val="16"/>
        </w:rPr>
        <w:t xml:space="preserve"> </w:t>
      </w:r>
      <w:r w:rsidRPr="00FD40B8">
        <w:rPr>
          <w:color w:val="131727" w:themeColor="text1"/>
          <w:w w:val="105"/>
          <w:sz w:val="16"/>
        </w:rPr>
        <w:t>https://federalfinancialrelations.gov.au/sites/federalfinancialrelations.gov.au/files/2021-07/national-</w:t>
      </w:r>
      <w:r w:rsidRPr="00FD40B8">
        <w:rPr>
          <w:color w:val="131727" w:themeColor="text1"/>
          <w:spacing w:val="40"/>
          <w:w w:val="105"/>
          <w:sz w:val="16"/>
        </w:rPr>
        <w:t xml:space="preserve"> </w:t>
      </w:r>
      <w:bookmarkStart w:id="235" w:name="_bookmark124"/>
      <w:bookmarkEnd w:id="235"/>
      <w:r w:rsidRPr="00FD40B8">
        <w:rPr>
          <w:color w:val="131727" w:themeColor="text1"/>
          <w:spacing w:val="-2"/>
          <w:w w:val="105"/>
          <w:sz w:val="16"/>
        </w:rPr>
        <w:t>housing-agreement.pdf</w:t>
      </w:r>
    </w:p>
    <w:p w14:paraId="36E54452" w14:textId="77777777" w:rsidR="00811887" w:rsidRPr="00FD40B8" w:rsidRDefault="00811887" w:rsidP="00811887">
      <w:pPr>
        <w:spacing w:line="268" w:lineRule="auto"/>
        <w:ind w:left="136"/>
        <w:rPr>
          <w:color w:val="131727" w:themeColor="text1"/>
          <w:sz w:val="16"/>
        </w:rPr>
      </w:pPr>
      <w:r w:rsidRPr="00FD40B8">
        <w:rPr>
          <w:color w:val="131727" w:themeColor="text1"/>
          <w:w w:val="105"/>
          <w:position w:val="6"/>
          <w:sz w:val="10"/>
        </w:rPr>
        <w:t>98</w:t>
      </w:r>
      <w:r w:rsidRPr="00FD40B8">
        <w:rPr>
          <w:color w:val="131727" w:themeColor="text1"/>
          <w:spacing w:val="40"/>
          <w:w w:val="105"/>
          <w:position w:val="6"/>
          <w:sz w:val="10"/>
        </w:rPr>
        <w:t xml:space="preserve"> </w:t>
      </w:r>
      <w:r w:rsidRPr="00FD40B8">
        <w:rPr>
          <w:color w:val="131727" w:themeColor="text1"/>
          <w:w w:val="105"/>
          <w:sz w:val="16"/>
        </w:rPr>
        <w:t>Federal</w:t>
      </w:r>
      <w:r w:rsidRPr="00FD40B8">
        <w:rPr>
          <w:color w:val="131727" w:themeColor="text1"/>
          <w:spacing w:val="33"/>
          <w:w w:val="105"/>
          <w:sz w:val="16"/>
        </w:rPr>
        <w:t xml:space="preserve"> </w:t>
      </w:r>
      <w:r w:rsidRPr="00FD40B8">
        <w:rPr>
          <w:color w:val="131727" w:themeColor="text1"/>
          <w:w w:val="105"/>
          <w:sz w:val="16"/>
        </w:rPr>
        <w:t>Financial</w:t>
      </w:r>
      <w:r w:rsidRPr="00FD40B8">
        <w:rPr>
          <w:color w:val="131727" w:themeColor="text1"/>
          <w:spacing w:val="33"/>
          <w:w w:val="105"/>
          <w:sz w:val="16"/>
        </w:rPr>
        <w:t xml:space="preserve"> </w:t>
      </w:r>
      <w:r w:rsidRPr="00FD40B8">
        <w:rPr>
          <w:color w:val="131727" w:themeColor="text1"/>
          <w:w w:val="105"/>
          <w:sz w:val="16"/>
        </w:rPr>
        <w:t>Relations</w:t>
      </w:r>
      <w:r w:rsidRPr="00FD40B8">
        <w:rPr>
          <w:color w:val="131727" w:themeColor="text1"/>
          <w:spacing w:val="35"/>
          <w:w w:val="105"/>
          <w:sz w:val="16"/>
        </w:rPr>
        <w:t xml:space="preserve"> </w:t>
      </w:r>
      <w:r w:rsidRPr="00FD40B8">
        <w:rPr>
          <w:color w:val="131727" w:themeColor="text1"/>
          <w:w w:val="105"/>
          <w:sz w:val="16"/>
        </w:rPr>
        <w:t>2023.</w:t>
      </w:r>
      <w:r w:rsidRPr="00FD40B8">
        <w:rPr>
          <w:color w:val="131727" w:themeColor="text1"/>
          <w:spacing w:val="38"/>
          <w:w w:val="105"/>
          <w:sz w:val="16"/>
        </w:rPr>
        <w:t xml:space="preserve"> </w:t>
      </w:r>
      <w:r w:rsidRPr="00FD40B8">
        <w:rPr>
          <w:color w:val="131727" w:themeColor="text1"/>
          <w:w w:val="105"/>
          <w:sz w:val="16"/>
        </w:rPr>
        <w:t>Housing</w:t>
      </w:r>
      <w:r w:rsidRPr="00FD40B8">
        <w:rPr>
          <w:color w:val="131727" w:themeColor="text1"/>
          <w:spacing w:val="35"/>
          <w:w w:val="105"/>
          <w:sz w:val="16"/>
        </w:rPr>
        <w:t xml:space="preserve"> </w:t>
      </w:r>
      <w:r w:rsidRPr="00FD40B8">
        <w:rPr>
          <w:color w:val="131727" w:themeColor="text1"/>
          <w:w w:val="105"/>
          <w:sz w:val="16"/>
        </w:rPr>
        <w:t>and</w:t>
      </w:r>
      <w:r w:rsidRPr="00FD40B8">
        <w:rPr>
          <w:color w:val="131727" w:themeColor="text1"/>
          <w:spacing w:val="40"/>
          <w:w w:val="105"/>
          <w:sz w:val="16"/>
        </w:rPr>
        <w:t xml:space="preserve"> </w:t>
      </w:r>
      <w:r w:rsidRPr="00FD40B8">
        <w:rPr>
          <w:color w:val="131727" w:themeColor="text1"/>
          <w:w w:val="105"/>
          <w:sz w:val="16"/>
        </w:rPr>
        <w:t>homelessness</w:t>
      </w:r>
      <w:r w:rsidRPr="00FD40B8">
        <w:rPr>
          <w:color w:val="131727" w:themeColor="text1"/>
          <w:spacing w:val="35"/>
          <w:w w:val="105"/>
          <w:sz w:val="16"/>
        </w:rPr>
        <w:t xml:space="preserve"> </w:t>
      </w:r>
      <w:r w:rsidRPr="00FD40B8">
        <w:rPr>
          <w:color w:val="131727" w:themeColor="text1"/>
          <w:w w:val="105"/>
          <w:sz w:val="16"/>
        </w:rPr>
        <w:t>data</w:t>
      </w:r>
      <w:r w:rsidRPr="00FD40B8">
        <w:rPr>
          <w:color w:val="131727" w:themeColor="text1"/>
          <w:spacing w:val="40"/>
          <w:w w:val="105"/>
          <w:sz w:val="16"/>
        </w:rPr>
        <w:t xml:space="preserve"> </w:t>
      </w:r>
      <w:r w:rsidRPr="00FD40B8">
        <w:rPr>
          <w:color w:val="131727" w:themeColor="text1"/>
          <w:w w:val="105"/>
          <w:sz w:val="16"/>
        </w:rPr>
        <w:t>improvement</w:t>
      </w:r>
      <w:r w:rsidRPr="00FD40B8">
        <w:rPr>
          <w:color w:val="131727" w:themeColor="text1"/>
          <w:spacing w:val="37"/>
          <w:w w:val="105"/>
          <w:sz w:val="16"/>
        </w:rPr>
        <w:t xml:space="preserve"> </w:t>
      </w:r>
      <w:r w:rsidRPr="00FD40B8">
        <w:rPr>
          <w:color w:val="131727" w:themeColor="text1"/>
          <w:w w:val="105"/>
          <w:sz w:val="16"/>
        </w:rPr>
        <w:t>plan</w:t>
      </w:r>
      <w:r w:rsidRPr="00FD40B8">
        <w:rPr>
          <w:color w:val="131727" w:themeColor="text1"/>
          <w:spacing w:val="40"/>
          <w:w w:val="105"/>
          <w:sz w:val="16"/>
        </w:rPr>
        <w:t xml:space="preserve"> </w:t>
      </w:r>
      <w:r w:rsidRPr="00FD40B8">
        <w:rPr>
          <w:color w:val="131727" w:themeColor="text1"/>
          <w:w w:val="105"/>
          <w:sz w:val="16"/>
        </w:rPr>
        <w:t>2019-23.</w:t>
      </w:r>
      <w:r w:rsidRPr="00FD40B8">
        <w:rPr>
          <w:color w:val="131727" w:themeColor="text1"/>
          <w:spacing w:val="38"/>
          <w:w w:val="105"/>
          <w:sz w:val="16"/>
        </w:rPr>
        <w:t xml:space="preserve"> </w:t>
      </w:r>
      <w:r w:rsidRPr="00FD40B8">
        <w:rPr>
          <w:color w:val="131727" w:themeColor="text1"/>
          <w:w w:val="105"/>
          <w:sz w:val="16"/>
        </w:rPr>
        <w:t>Available</w:t>
      </w:r>
      <w:r w:rsidRPr="00FD40B8">
        <w:rPr>
          <w:color w:val="131727" w:themeColor="text1"/>
          <w:spacing w:val="37"/>
          <w:w w:val="105"/>
          <w:sz w:val="16"/>
        </w:rPr>
        <w:t xml:space="preserve"> </w:t>
      </w:r>
      <w:r w:rsidRPr="00FD40B8">
        <w:rPr>
          <w:color w:val="131727" w:themeColor="text1"/>
          <w:w w:val="105"/>
          <w:sz w:val="16"/>
        </w:rPr>
        <w:t>at:</w:t>
      </w:r>
      <w:r w:rsidRPr="00FD40B8">
        <w:rPr>
          <w:color w:val="131727" w:themeColor="text1"/>
          <w:spacing w:val="40"/>
          <w:w w:val="105"/>
          <w:sz w:val="16"/>
        </w:rPr>
        <w:t xml:space="preserve"> </w:t>
      </w:r>
      <w:r w:rsidRPr="00FD40B8">
        <w:rPr>
          <w:color w:val="131727" w:themeColor="text1"/>
          <w:w w:val="105"/>
          <w:sz w:val="16"/>
        </w:rPr>
        <w:t>https://view.officeapps.live.com/op/view.aspx?src=https%3A%2F%2Ffederalfinancialrelations.gov.au%2Fsites%2Ffederalfinancialrelations.gov.</w:t>
      </w:r>
      <w:r w:rsidRPr="00FD40B8">
        <w:rPr>
          <w:color w:val="131727" w:themeColor="text1"/>
          <w:spacing w:val="-22"/>
          <w:w w:val="105"/>
          <w:sz w:val="16"/>
        </w:rPr>
        <w:t xml:space="preserve"> </w:t>
      </w:r>
      <w:r w:rsidRPr="00FD40B8">
        <w:rPr>
          <w:color w:val="131727" w:themeColor="text1"/>
          <w:w w:val="105"/>
          <w:sz w:val="16"/>
        </w:rPr>
        <w:t>au%2Ffiles%2F2021-</w:t>
      </w:r>
      <w:r w:rsidRPr="00FD40B8">
        <w:rPr>
          <w:color w:val="131727" w:themeColor="text1"/>
          <w:spacing w:val="80"/>
          <w:w w:val="105"/>
          <w:sz w:val="16"/>
        </w:rPr>
        <w:t xml:space="preserve"> </w:t>
      </w:r>
      <w:r w:rsidRPr="00FD40B8">
        <w:rPr>
          <w:color w:val="131727" w:themeColor="text1"/>
          <w:spacing w:val="-2"/>
          <w:w w:val="105"/>
          <w:sz w:val="16"/>
        </w:rPr>
        <w:t>07%2FNHHA_DIP_Schedule_E.docx&amp;wdOrigin=BROWSELINK</w:t>
      </w:r>
    </w:p>
    <w:p w14:paraId="147AC2CD" w14:textId="77777777" w:rsidR="00811887" w:rsidRPr="00FD40B8" w:rsidRDefault="00811887" w:rsidP="00811887">
      <w:pPr>
        <w:spacing w:line="268" w:lineRule="auto"/>
        <w:rPr>
          <w:color w:val="131727" w:themeColor="text1"/>
          <w:sz w:val="16"/>
        </w:rPr>
        <w:sectPr w:rsidR="00811887" w:rsidRPr="00FD40B8" w:rsidSect="00811887">
          <w:pgSz w:w="16840" w:h="11910" w:orient="landscape"/>
          <w:pgMar w:top="1220" w:right="1300" w:bottom="1080" w:left="1280" w:header="0" w:footer="800" w:gutter="0"/>
          <w:cols w:space="720"/>
        </w:sectPr>
      </w:pPr>
    </w:p>
    <w:p w14:paraId="448FF11D" w14:textId="77777777" w:rsidR="00811887" w:rsidRPr="00FD40B8" w:rsidRDefault="00811887" w:rsidP="00811887">
      <w:pPr>
        <w:pStyle w:val="BodyText"/>
        <w:rPr>
          <w:color w:val="131727" w:themeColor="text1"/>
          <w:sz w:val="2"/>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5"/>
        <w:gridCol w:w="2382"/>
        <w:gridCol w:w="5816"/>
        <w:gridCol w:w="1562"/>
        <w:gridCol w:w="2657"/>
      </w:tblGrid>
      <w:tr w:rsidR="00811887" w:rsidRPr="00FD40B8" w14:paraId="0708C3FE" w14:textId="77777777" w:rsidTr="00486E22">
        <w:trPr>
          <w:trHeight w:val="518"/>
        </w:trPr>
        <w:tc>
          <w:tcPr>
            <w:tcW w:w="1585" w:type="dxa"/>
            <w:shd w:val="clear" w:color="auto" w:fill="91A9A2"/>
          </w:tcPr>
          <w:p w14:paraId="6121B9AE" w14:textId="77777777" w:rsidR="00811887" w:rsidRPr="00FD40B8" w:rsidRDefault="00811887" w:rsidP="00486E22">
            <w:pPr>
              <w:pStyle w:val="TableParagraph"/>
              <w:spacing w:line="269" w:lineRule="exact"/>
              <w:ind w:left="110"/>
              <w:rPr>
                <w:rFonts w:ascii="Garamond"/>
                <w:b/>
                <w:color w:val="131727" w:themeColor="text1"/>
                <w:sz w:val="24"/>
              </w:rPr>
            </w:pPr>
            <w:r w:rsidRPr="00FD40B8">
              <w:rPr>
                <w:rFonts w:ascii="Garamond"/>
                <w:b/>
                <w:color w:val="131727" w:themeColor="text1"/>
                <w:spacing w:val="-2"/>
                <w:sz w:val="24"/>
              </w:rPr>
              <w:t>Arrangement</w:t>
            </w:r>
          </w:p>
        </w:tc>
        <w:tc>
          <w:tcPr>
            <w:tcW w:w="2382" w:type="dxa"/>
            <w:shd w:val="clear" w:color="auto" w:fill="91A9A2"/>
          </w:tcPr>
          <w:p w14:paraId="65DD2160" w14:textId="77777777" w:rsidR="00811887" w:rsidRPr="00FD40B8" w:rsidRDefault="00811887" w:rsidP="00486E22">
            <w:pPr>
              <w:pStyle w:val="TableParagraph"/>
              <w:spacing w:line="269" w:lineRule="exact"/>
              <w:ind w:left="109"/>
              <w:rPr>
                <w:rFonts w:ascii="Garamond"/>
                <w:b/>
                <w:color w:val="131727" w:themeColor="text1"/>
                <w:sz w:val="24"/>
              </w:rPr>
            </w:pPr>
            <w:r w:rsidRPr="00FD40B8">
              <w:rPr>
                <w:rFonts w:ascii="Garamond"/>
                <w:b/>
                <w:color w:val="131727" w:themeColor="text1"/>
                <w:spacing w:val="-2"/>
                <w:sz w:val="24"/>
              </w:rPr>
              <w:t>Overview</w:t>
            </w:r>
          </w:p>
        </w:tc>
        <w:tc>
          <w:tcPr>
            <w:tcW w:w="5816" w:type="dxa"/>
            <w:shd w:val="clear" w:color="auto" w:fill="91A9A2"/>
          </w:tcPr>
          <w:p w14:paraId="6F563F8E" w14:textId="77777777" w:rsidR="00811887" w:rsidRPr="00FD40B8" w:rsidRDefault="00811887" w:rsidP="00486E22">
            <w:pPr>
              <w:pStyle w:val="TableParagraph"/>
              <w:spacing w:line="269" w:lineRule="exact"/>
              <w:ind w:left="108"/>
              <w:rPr>
                <w:rFonts w:ascii="Garamond"/>
                <w:b/>
                <w:color w:val="131727" w:themeColor="text1"/>
                <w:sz w:val="24"/>
              </w:rPr>
            </w:pPr>
            <w:r w:rsidRPr="00FD40B8">
              <w:rPr>
                <w:rFonts w:ascii="Garamond"/>
                <w:b/>
                <w:color w:val="131727" w:themeColor="text1"/>
                <w:sz w:val="24"/>
              </w:rPr>
              <w:t>Reporting</w:t>
            </w:r>
            <w:r w:rsidRPr="00FD40B8">
              <w:rPr>
                <w:rFonts w:ascii="Garamond"/>
                <w:b/>
                <w:color w:val="131727" w:themeColor="text1"/>
                <w:spacing w:val="-1"/>
                <w:sz w:val="24"/>
              </w:rPr>
              <w:t xml:space="preserve"> </w:t>
            </w:r>
            <w:r w:rsidRPr="00FD40B8">
              <w:rPr>
                <w:rFonts w:ascii="Garamond"/>
                <w:b/>
                <w:color w:val="131727" w:themeColor="text1"/>
                <w:spacing w:val="-2"/>
                <w:sz w:val="24"/>
              </w:rPr>
              <w:t>requirements</w:t>
            </w:r>
          </w:p>
        </w:tc>
        <w:tc>
          <w:tcPr>
            <w:tcW w:w="1562" w:type="dxa"/>
            <w:shd w:val="clear" w:color="auto" w:fill="91A9A2"/>
          </w:tcPr>
          <w:p w14:paraId="5AD12910" w14:textId="77777777" w:rsidR="00811887" w:rsidRPr="00FD40B8" w:rsidRDefault="00811887" w:rsidP="00486E22">
            <w:pPr>
              <w:pStyle w:val="TableParagraph"/>
              <w:spacing w:line="269" w:lineRule="exact"/>
              <w:ind w:left="107"/>
              <w:rPr>
                <w:rFonts w:ascii="Garamond"/>
                <w:b/>
                <w:color w:val="131727" w:themeColor="text1"/>
                <w:sz w:val="24"/>
              </w:rPr>
            </w:pPr>
            <w:r w:rsidRPr="00FD40B8">
              <w:rPr>
                <w:rFonts w:ascii="Garamond"/>
                <w:b/>
                <w:color w:val="131727" w:themeColor="text1"/>
                <w:sz w:val="24"/>
              </w:rPr>
              <w:t>Data</w:t>
            </w:r>
            <w:r w:rsidRPr="00FD40B8">
              <w:rPr>
                <w:rFonts w:ascii="Garamond"/>
                <w:b/>
                <w:color w:val="131727" w:themeColor="text1"/>
                <w:spacing w:val="3"/>
                <w:sz w:val="24"/>
              </w:rPr>
              <w:t xml:space="preserve"> </w:t>
            </w:r>
            <w:r w:rsidRPr="00FD40B8">
              <w:rPr>
                <w:rFonts w:ascii="Garamond"/>
                <w:b/>
                <w:color w:val="131727" w:themeColor="text1"/>
                <w:spacing w:val="-2"/>
                <w:sz w:val="24"/>
              </w:rPr>
              <w:t>source</w:t>
            </w:r>
          </w:p>
        </w:tc>
        <w:tc>
          <w:tcPr>
            <w:tcW w:w="2657" w:type="dxa"/>
            <w:shd w:val="clear" w:color="auto" w:fill="91A9A2"/>
          </w:tcPr>
          <w:p w14:paraId="25213C08" w14:textId="77777777" w:rsidR="00811887" w:rsidRPr="00FD40B8" w:rsidRDefault="00811887" w:rsidP="00486E22">
            <w:pPr>
              <w:pStyle w:val="TableParagraph"/>
              <w:spacing w:line="269" w:lineRule="exact"/>
              <w:ind w:left="101"/>
              <w:rPr>
                <w:rFonts w:ascii="Garamond"/>
                <w:b/>
                <w:color w:val="131727" w:themeColor="text1"/>
                <w:sz w:val="24"/>
              </w:rPr>
            </w:pPr>
            <w:r w:rsidRPr="00FD40B8">
              <w:rPr>
                <w:rFonts w:ascii="Garamond"/>
                <w:b/>
                <w:color w:val="131727" w:themeColor="text1"/>
                <w:spacing w:val="-2"/>
                <w:sz w:val="24"/>
              </w:rPr>
              <w:t>Limitations</w:t>
            </w:r>
          </w:p>
        </w:tc>
      </w:tr>
      <w:tr w:rsidR="00811887" w:rsidRPr="00FD40B8" w14:paraId="4925C465" w14:textId="77777777" w:rsidTr="00486E22">
        <w:trPr>
          <w:trHeight w:val="5252"/>
        </w:trPr>
        <w:tc>
          <w:tcPr>
            <w:tcW w:w="1585" w:type="dxa"/>
            <w:shd w:val="clear" w:color="auto" w:fill="EEF1F4"/>
          </w:tcPr>
          <w:p w14:paraId="7653ACE1" w14:textId="77777777" w:rsidR="00811887" w:rsidRPr="00FD40B8" w:rsidRDefault="00811887" w:rsidP="00486E22">
            <w:pPr>
              <w:pStyle w:val="TableParagraph"/>
              <w:spacing w:before="25" w:line="268" w:lineRule="auto"/>
              <w:ind w:left="110" w:right="82"/>
              <w:rPr>
                <w:color w:val="131727" w:themeColor="text1"/>
                <w:sz w:val="20"/>
              </w:rPr>
            </w:pPr>
            <w:r w:rsidRPr="00FD40B8">
              <w:rPr>
                <w:color w:val="131727" w:themeColor="text1"/>
                <w:spacing w:val="-2"/>
                <w:w w:val="110"/>
                <w:sz w:val="20"/>
              </w:rPr>
              <w:t xml:space="preserve">National </w:t>
            </w:r>
            <w:r w:rsidRPr="00FD40B8">
              <w:rPr>
                <w:color w:val="131727" w:themeColor="text1"/>
                <w:w w:val="110"/>
                <w:sz w:val="20"/>
              </w:rPr>
              <w:t>Partnership</w:t>
            </w:r>
            <w:r w:rsidRPr="00FD40B8">
              <w:rPr>
                <w:color w:val="131727" w:themeColor="text1"/>
                <w:spacing w:val="-13"/>
                <w:w w:val="110"/>
                <w:sz w:val="20"/>
              </w:rPr>
              <w:t xml:space="preserve"> </w:t>
            </w:r>
            <w:r w:rsidRPr="00FD40B8">
              <w:rPr>
                <w:color w:val="131727" w:themeColor="text1"/>
                <w:w w:val="110"/>
                <w:sz w:val="20"/>
              </w:rPr>
              <w:t xml:space="preserve">for </w:t>
            </w:r>
            <w:r w:rsidRPr="00FD40B8">
              <w:rPr>
                <w:color w:val="131727" w:themeColor="text1"/>
                <w:spacing w:val="-2"/>
                <w:w w:val="110"/>
                <w:sz w:val="20"/>
              </w:rPr>
              <w:t>Remote Housing Northern Territory</w:t>
            </w:r>
          </w:p>
        </w:tc>
        <w:tc>
          <w:tcPr>
            <w:tcW w:w="2382" w:type="dxa"/>
            <w:shd w:val="clear" w:color="auto" w:fill="EEF1F4"/>
          </w:tcPr>
          <w:p w14:paraId="031C2A21" w14:textId="77777777" w:rsidR="00811887" w:rsidRPr="00FD40B8" w:rsidRDefault="00811887" w:rsidP="00486E22">
            <w:pPr>
              <w:pStyle w:val="TableParagraph"/>
              <w:spacing w:before="25" w:line="273" w:lineRule="auto"/>
              <w:ind w:left="109" w:right="113"/>
              <w:rPr>
                <w:color w:val="131727" w:themeColor="text1"/>
                <w:sz w:val="18"/>
              </w:rPr>
            </w:pPr>
            <w:r w:rsidRPr="00FD40B8">
              <w:rPr>
                <w:color w:val="131727" w:themeColor="text1"/>
                <w:w w:val="110"/>
                <w:sz w:val="18"/>
              </w:rPr>
              <w:t>The National Partnership</w:t>
            </w:r>
            <w:r w:rsidRPr="00FD40B8">
              <w:rPr>
                <w:color w:val="131727" w:themeColor="text1"/>
                <w:spacing w:val="40"/>
                <w:w w:val="110"/>
                <w:sz w:val="18"/>
              </w:rPr>
              <w:t xml:space="preserve"> </w:t>
            </w:r>
            <w:r w:rsidRPr="00FD40B8">
              <w:rPr>
                <w:color w:val="131727" w:themeColor="text1"/>
                <w:w w:val="110"/>
                <w:sz w:val="18"/>
              </w:rPr>
              <w:t>is an agreement between the</w:t>
            </w:r>
            <w:r w:rsidRPr="00FD40B8">
              <w:rPr>
                <w:color w:val="131727" w:themeColor="text1"/>
                <w:spacing w:val="-12"/>
                <w:w w:val="110"/>
                <w:sz w:val="18"/>
              </w:rPr>
              <w:t xml:space="preserve"> </w:t>
            </w:r>
            <w:r w:rsidRPr="00FD40B8">
              <w:rPr>
                <w:color w:val="131727" w:themeColor="text1"/>
                <w:w w:val="110"/>
                <w:sz w:val="18"/>
              </w:rPr>
              <w:t>Northern</w:t>
            </w:r>
            <w:r w:rsidRPr="00FD40B8">
              <w:rPr>
                <w:color w:val="131727" w:themeColor="text1"/>
                <w:spacing w:val="-11"/>
                <w:w w:val="110"/>
                <w:sz w:val="18"/>
              </w:rPr>
              <w:t xml:space="preserve"> </w:t>
            </w:r>
            <w:r w:rsidRPr="00FD40B8">
              <w:rPr>
                <w:color w:val="131727" w:themeColor="text1"/>
                <w:w w:val="110"/>
                <w:sz w:val="18"/>
              </w:rPr>
              <w:t>Territory</w:t>
            </w:r>
            <w:r w:rsidRPr="00FD40B8">
              <w:rPr>
                <w:color w:val="131727" w:themeColor="text1"/>
                <w:spacing w:val="-11"/>
                <w:w w:val="110"/>
                <w:sz w:val="18"/>
              </w:rPr>
              <w:t xml:space="preserve"> </w:t>
            </w:r>
            <w:r w:rsidRPr="00FD40B8">
              <w:rPr>
                <w:color w:val="131727" w:themeColor="text1"/>
                <w:w w:val="110"/>
                <w:sz w:val="18"/>
              </w:rPr>
              <w:t xml:space="preserve">and </w:t>
            </w:r>
            <w:r w:rsidRPr="00FD40B8">
              <w:rPr>
                <w:color w:val="131727" w:themeColor="text1"/>
                <w:spacing w:val="-2"/>
                <w:w w:val="110"/>
                <w:sz w:val="18"/>
              </w:rPr>
              <w:t xml:space="preserve">Commonwealth </w:t>
            </w:r>
            <w:r w:rsidRPr="00FD40B8">
              <w:rPr>
                <w:color w:val="131727" w:themeColor="text1"/>
                <w:w w:val="110"/>
                <w:sz w:val="18"/>
              </w:rPr>
              <w:t>Governments to improve outcomes for Aboriginal people in remote</w:t>
            </w:r>
            <w:r w:rsidRPr="00FD40B8">
              <w:rPr>
                <w:color w:val="131727" w:themeColor="text1"/>
                <w:spacing w:val="40"/>
                <w:w w:val="110"/>
                <w:sz w:val="18"/>
              </w:rPr>
              <w:t xml:space="preserve"> </w:t>
            </w:r>
            <w:r w:rsidRPr="00FD40B8">
              <w:rPr>
                <w:color w:val="131727" w:themeColor="text1"/>
                <w:w w:val="110"/>
                <w:sz w:val="18"/>
              </w:rPr>
              <w:t xml:space="preserve">Northern Territory </w:t>
            </w:r>
            <w:r w:rsidRPr="00FD40B8">
              <w:rPr>
                <w:color w:val="131727" w:themeColor="text1"/>
                <w:spacing w:val="-2"/>
                <w:w w:val="110"/>
                <w:sz w:val="18"/>
              </w:rPr>
              <w:t>Communities.</w:t>
            </w:r>
          </w:p>
          <w:p w14:paraId="6A88E729" w14:textId="77777777" w:rsidR="00811887" w:rsidRPr="00FD40B8" w:rsidRDefault="00811887" w:rsidP="00486E22">
            <w:pPr>
              <w:pStyle w:val="TableParagraph"/>
              <w:spacing w:before="27" w:line="240" w:lineRule="auto"/>
              <w:rPr>
                <w:color w:val="131727" w:themeColor="text1"/>
                <w:sz w:val="18"/>
              </w:rPr>
            </w:pPr>
          </w:p>
          <w:p w14:paraId="2119126D" w14:textId="77777777" w:rsidR="00811887" w:rsidRPr="00FD40B8" w:rsidRDefault="00811887" w:rsidP="00486E22">
            <w:pPr>
              <w:pStyle w:val="TableParagraph"/>
              <w:spacing w:before="1" w:line="271" w:lineRule="auto"/>
              <w:ind w:left="109" w:right="78"/>
              <w:rPr>
                <w:color w:val="131727" w:themeColor="text1"/>
                <w:sz w:val="12"/>
              </w:rPr>
            </w:pPr>
            <w:r w:rsidRPr="00FD40B8">
              <w:rPr>
                <w:color w:val="131727" w:themeColor="text1"/>
                <w:w w:val="110"/>
                <w:sz w:val="18"/>
              </w:rPr>
              <w:t>As part of the agreement the Northern Territory Government</w:t>
            </w:r>
            <w:r w:rsidRPr="00FD40B8">
              <w:rPr>
                <w:color w:val="131727" w:themeColor="text1"/>
                <w:spacing w:val="-9"/>
                <w:w w:val="110"/>
                <w:sz w:val="18"/>
              </w:rPr>
              <w:t xml:space="preserve"> </w:t>
            </w:r>
            <w:r w:rsidRPr="00FD40B8">
              <w:rPr>
                <w:color w:val="131727" w:themeColor="text1"/>
                <w:w w:val="110"/>
                <w:sz w:val="18"/>
              </w:rPr>
              <w:t>is</w:t>
            </w:r>
            <w:r w:rsidRPr="00FD40B8">
              <w:rPr>
                <w:color w:val="131727" w:themeColor="text1"/>
                <w:spacing w:val="-9"/>
                <w:w w:val="110"/>
                <w:sz w:val="18"/>
              </w:rPr>
              <w:t xml:space="preserve"> </w:t>
            </w:r>
            <w:r w:rsidRPr="00FD40B8">
              <w:rPr>
                <w:color w:val="131727" w:themeColor="text1"/>
                <w:w w:val="110"/>
                <w:sz w:val="18"/>
              </w:rPr>
              <w:t>required</w:t>
            </w:r>
            <w:r w:rsidRPr="00FD40B8">
              <w:rPr>
                <w:color w:val="131727" w:themeColor="text1"/>
                <w:spacing w:val="-8"/>
                <w:w w:val="110"/>
                <w:sz w:val="18"/>
              </w:rPr>
              <w:t xml:space="preserve"> </w:t>
            </w:r>
            <w:r w:rsidRPr="00FD40B8">
              <w:rPr>
                <w:color w:val="131727" w:themeColor="text1"/>
                <w:w w:val="110"/>
                <w:sz w:val="18"/>
              </w:rPr>
              <w:t>to provide a quarterly program</w:t>
            </w:r>
            <w:r w:rsidRPr="00FD40B8">
              <w:rPr>
                <w:color w:val="131727" w:themeColor="text1"/>
                <w:spacing w:val="-12"/>
                <w:w w:val="110"/>
                <w:sz w:val="18"/>
              </w:rPr>
              <w:t xml:space="preserve"> </w:t>
            </w:r>
            <w:r w:rsidRPr="00FD40B8">
              <w:rPr>
                <w:color w:val="131727" w:themeColor="text1"/>
                <w:w w:val="110"/>
                <w:sz w:val="18"/>
              </w:rPr>
              <w:t>delivery</w:t>
            </w:r>
            <w:r w:rsidRPr="00FD40B8">
              <w:rPr>
                <w:color w:val="131727" w:themeColor="text1"/>
                <w:spacing w:val="-11"/>
                <w:w w:val="110"/>
                <w:sz w:val="18"/>
              </w:rPr>
              <w:t xml:space="preserve"> </w:t>
            </w:r>
            <w:r w:rsidRPr="00FD40B8">
              <w:rPr>
                <w:color w:val="131727" w:themeColor="text1"/>
                <w:w w:val="110"/>
                <w:sz w:val="18"/>
              </w:rPr>
              <w:t>report</w:t>
            </w:r>
            <w:r w:rsidRPr="00FD40B8">
              <w:rPr>
                <w:color w:val="131727" w:themeColor="text1"/>
                <w:spacing w:val="-11"/>
                <w:w w:val="110"/>
                <w:sz w:val="18"/>
              </w:rPr>
              <w:t xml:space="preserve"> </w:t>
            </w:r>
            <w:r w:rsidRPr="00FD40B8">
              <w:rPr>
                <w:color w:val="131727" w:themeColor="text1"/>
                <w:w w:val="110"/>
                <w:sz w:val="18"/>
              </w:rPr>
              <w:t>to the Joint Steering Committee whose members include Aboriginal</w:t>
            </w:r>
            <w:r w:rsidRPr="00FD40B8">
              <w:rPr>
                <w:color w:val="131727" w:themeColor="text1"/>
                <w:spacing w:val="-7"/>
                <w:w w:val="110"/>
                <w:sz w:val="18"/>
              </w:rPr>
              <w:t xml:space="preserve"> </w:t>
            </w:r>
            <w:r w:rsidRPr="00FD40B8">
              <w:rPr>
                <w:color w:val="131727" w:themeColor="text1"/>
                <w:w w:val="110"/>
                <w:sz w:val="18"/>
              </w:rPr>
              <w:t>Housing</w:t>
            </w:r>
            <w:r w:rsidRPr="00FD40B8">
              <w:rPr>
                <w:color w:val="131727" w:themeColor="text1"/>
                <w:spacing w:val="-8"/>
                <w:w w:val="110"/>
                <w:sz w:val="18"/>
              </w:rPr>
              <w:t xml:space="preserve"> </w:t>
            </w:r>
            <w:r w:rsidRPr="00FD40B8">
              <w:rPr>
                <w:color w:val="131727" w:themeColor="text1"/>
                <w:w w:val="110"/>
                <w:sz w:val="18"/>
              </w:rPr>
              <w:t>NT</w:t>
            </w:r>
            <w:r w:rsidRPr="00FD40B8">
              <w:rPr>
                <w:color w:val="131727" w:themeColor="text1"/>
                <w:spacing w:val="-8"/>
                <w:w w:val="110"/>
                <w:sz w:val="18"/>
              </w:rPr>
              <w:t xml:space="preserve"> </w:t>
            </w:r>
            <w:r w:rsidRPr="00FD40B8">
              <w:rPr>
                <w:color w:val="131727" w:themeColor="text1"/>
                <w:w w:val="110"/>
                <w:sz w:val="18"/>
              </w:rPr>
              <w:t>and NT Land Councils</w:t>
            </w:r>
            <w:hyperlink w:anchor="_bookmark125" w:history="1">
              <w:r w:rsidRPr="00FD40B8">
                <w:rPr>
                  <w:color w:val="131727" w:themeColor="text1"/>
                  <w:w w:val="110"/>
                  <w:sz w:val="18"/>
                </w:rPr>
                <w:t>.</w:t>
              </w:r>
              <w:r w:rsidRPr="00FD40B8">
                <w:rPr>
                  <w:color w:val="131727" w:themeColor="text1"/>
                  <w:w w:val="110"/>
                  <w:position w:val="7"/>
                  <w:sz w:val="12"/>
                </w:rPr>
                <w:t>100</w:t>
              </w:r>
            </w:hyperlink>
          </w:p>
        </w:tc>
        <w:tc>
          <w:tcPr>
            <w:tcW w:w="5816" w:type="dxa"/>
            <w:shd w:val="clear" w:color="auto" w:fill="EEF1F4"/>
          </w:tcPr>
          <w:p w14:paraId="59E493BF" w14:textId="77777777" w:rsidR="00811887" w:rsidRPr="00FD40B8" w:rsidRDefault="00811887" w:rsidP="00486E22">
            <w:pPr>
              <w:pStyle w:val="TableParagraph"/>
              <w:spacing w:before="25" w:line="273" w:lineRule="auto"/>
              <w:ind w:left="108"/>
              <w:rPr>
                <w:color w:val="131727" w:themeColor="text1"/>
                <w:sz w:val="18"/>
              </w:rPr>
            </w:pPr>
            <w:r w:rsidRPr="00FD40B8">
              <w:rPr>
                <w:color w:val="131727" w:themeColor="text1"/>
                <w:w w:val="110"/>
                <w:sz w:val="18"/>
              </w:rPr>
              <w:t>The quarterly program delivery report includes Project Status information</w:t>
            </w:r>
            <w:r w:rsidRPr="00FD40B8">
              <w:rPr>
                <w:color w:val="131727" w:themeColor="text1"/>
                <w:spacing w:val="-6"/>
                <w:w w:val="110"/>
                <w:sz w:val="18"/>
              </w:rPr>
              <w:t xml:space="preserve"> </w:t>
            </w:r>
            <w:r w:rsidRPr="00FD40B8">
              <w:rPr>
                <w:color w:val="131727" w:themeColor="text1"/>
                <w:w w:val="110"/>
                <w:sz w:val="18"/>
              </w:rPr>
              <w:t>for</w:t>
            </w:r>
            <w:r w:rsidRPr="00FD40B8">
              <w:rPr>
                <w:color w:val="131727" w:themeColor="text1"/>
                <w:spacing w:val="-4"/>
                <w:w w:val="110"/>
                <w:sz w:val="18"/>
              </w:rPr>
              <w:t xml:space="preserve"> </w:t>
            </w:r>
            <w:r w:rsidRPr="00FD40B8">
              <w:rPr>
                <w:color w:val="131727" w:themeColor="text1"/>
                <w:w w:val="110"/>
                <w:sz w:val="18"/>
              </w:rPr>
              <w:t>all</w:t>
            </w:r>
            <w:r w:rsidRPr="00FD40B8">
              <w:rPr>
                <w:color w:val="131727" w:themeColor="text1"/>
                <w:spacing w:val="-11"/>
                <w:w w:val="110"/>
                <w:sz w:val="18"/>
              </w:rPr>
              <w:t xml:space="preserve"> </w:t>
            </w:r>
            <w:r w:rsidRPr="00FD40B8">
              <w:rPr>
                <w:color w:val="131727" w:themeColor="text1"/>
                <w:w w:val="110"/>
                <w:sz w:val="18"/>
              </w:rPr>
              <w:t>works</w:t>
            </w:r>
            <w:r w:rsidRPr="00FD40B8">
              <w:rPr>
                <w:color w:val="131727" w:themeColor="text1"/>
                <w:spacing w:val="-7"/>
                <w:w w:val="110"/>
                <w:sz w:val="18"/>
              </w:rPr>
              <w:t xml:space="preserve"> </w:t>
            </w:r>
            <w:r w:rsidRPr="00FD40B8">
              <w:rPr>
                <w:color w:val="131727" w:themeColor="text1"/>
                <w:w w:val="110"/>
                <w:sz w:val="18"/>
              </w:rPr>
              <w:t>delivered</w:t>
            </w:r>
            <w:r w:rsidRPr="00FD40B8">
              <w:rPr>
                <w:color w:val="131727" w:themeColor="text1"/>
                <w:spacing w:val="-3"/>
                <w:w w:val="110"/>
                <w:sz w:val="18"/>
              </w:rPr>
              <w:t xml:space="preserve"> </w:t>
            </w:r>
            <w:r w:rsidRPr="00FD40B8">
              <w:rPr>
                <w:color w:val="131727" w:themeColor="text1"/>
                <w:w w:val="110"/>
                <w:sz w:val="18"/>
              </w:rPr>
              <w:t>in</w:t>
            </w:r>
            <w:r w:rsidRPr="00FD40B8">
              <w:rPr>
                <w:color w:val="131727" w:themeColor="text1"/>
                <w:spacing w:val="-10"/>
                <w:w w:val="110"/>
                <w:sz w:val="18"/>
              </w:rPr>
              <w:t xml:space="preserve"> </w:t>
            </w:r>
            <w:r w:rsidRPr="00FD40B8">
              <w:rPr>
                <w:color w:val="131727" w:themeColor="text1"/>
                <w:w w:val="110"/>
                <w:sz w:val="18"/>
              </w:rPr>
              <w:t>the</w:t>
            </w:r>
            <w:r w:rsidRPr="00FD40B8">
              <w:rPr>
                <w:color w:val="131727" w:themeColor="text1"/>
                <w:spacing w:val="-7"/>
                <w:w w:val="110"/>
                <w:sz w:val="18"/>
              </w:rPr>
              <w:t xml:space="preserve"> </w:t>
            </w:r>
            <w:r w:rsidRPr="00FD40B8">
              <w:rPr>
                <w:color w:val="131727" w:themeColor="text1"/>
                <w:w w:val="110"/>
                <w:sz w:val="18"/>
              </w:rPr>
              <w:t>reporting</w:t>
            </w:r>
            <w:r w:rsidRPr="00FD40B8">
              <w:rPr>
                <w:color w:val="131727" w:themeColor="text1"/>
                <w:spacing w:val="-8"/>
                <w:w w:val="110"/>
                <w:sz w:val="18"/>
              </w:rPr>
              <w:t xml:space="preserve"> </w:t>
            </w:r>
            <w:r w:rsidRPr="00FD40B8">
              <w:rPr>
                <w:color w:val="131727" w:themeColor="text1"/>
                <w:w w:val="110"/>
                <w:sz w:val="18"/>
              </w:rPr>
              <w:t>period,</w:t>
            </w:r>
            <w:r w:rsidRPr="00FD40B8">
              <w:rPr>
                <w:color w:val="131727" w:themeColor="text1"/>
                <w:spacing w:val="-5"/>
                <w:w w:val="110"/>
                <w:sz w:val="18"/>
              </w:rPr>
              <w:t xml:space="preserve"> </w:t>
            </w:r>
            <w:r w:rsidRPr="00FD40B8">
              <w:rPr>
                <w:color w:val="131727" w:themeColor="text1"/>
                <w:w w:val="110"/>
                <w:sz w:val="18"/>
              </w:rPr>
              <w:t>and</w:t>
            </w:r>
            <w:r w:rsidRPr="00FD40B8">
              <w:rPr>
                <w:color w:val="131727" w:themeColor="text1"/>
                <w:spacing w:val="-3"/>
                <w:w w:val="110"/>
                <w:sz w:val="18"/>
              </w:rPr>
              <w:t xml:space="preserve"> </w:t>
            </w:r>
            <w:r w:rsidRPr="00FD40B8">
              <w:rPr>
                <w:color w:val="131727" w:themeColor="text1"/>
                <w:w w:val="110"/>
                <w:sz w:val="18"/>
              </w:rPr>
              <w:t>under the life of the agreement, including:</w:t>
            </w:r>
          </w:p>
          <w:p w14:paraId="3104F069" w14:textId="77777777" w:rsidR="00811887" w:rsidRPr="00FD40B8" w:rsidRDefault="00811887" w:rsidP="00486E22">
            <w:pPr>
              <w:pStyle w:val="TableParagraph"/>
              <w:spacing w:before="18" w:line="240" w:lineRule="auto"/>
              <w:rPr>
                <w:color w:val="131727" w:themeColor="text1"/>
                <w:sz w:val="18"/>
              </w:rPr>
            </w:pPr>
          </w:p>
          <w:p w14:paraId="2587C6CF" w14:textId="77777777" w:rsidR="00811887" w:rsidRPr="00FD40B8" w:rsidRDefault="00811887" w:rsidP="00811887">
            <w:pPr>
              <w:pStyle w:val="TableParagraph"/>
              <w:numPr>
                <w:ilvl w:val="0"/>
                <w:numId w:val="34"/>
              </w:numPr>
              <w:tabs>
                <w:tab w:val="left" w:pos="829"/>
              </w:tabs>
              <w:spacing w:line="261" w:lineRule="auto"/>
              <w:ind w:right="448"/>
              <w:rPr>
                <w:color w:val="131727" w:themeColor="text1"/>
                <w:sz w:val="18"/>
              </w:rPr>
            </w:pPr>
            <w:r w:rsidRPr="00FD40B8">
              <w:rPr>
                <w:color w:val="131727" w:themeColor="text1"/>
                <w:w w:val="110"/>
                <w:sz w:val="18"/>
              </w:rPr>
              <w:t>Capital Works and Property and Tenancy Management Services</w:t>
            </w:r>
            <w:r w:rsidRPr="00FD40B8">
              <w:rPr>
                <w:color w:val="131727" w:themeColor="text1"/>
                <w:spacing w:val="-3"/>
                <w:w w:val="110"/>
                <w:sz w:val="18"/>
              </w:rPr>
              <w:t xml:space="preserve"> </w:t>
            </w:r>
            <w:r w:rsidRPr="00FD40B8">
              <w:rPr>
                <w:color w:val="131727" w:themeColor="text1"/>
                <w:w w:val="110"/>
                <w:sz w:val="18"/>
              </w:rPr>
              <w:t>delivered</w:t>
            </w:r>
            <w:r w:rsidRPr="00FD40B8">
              <w:rPr>
                <w:color w:val="131727" w:themeColor="text1"/>
                <w:spacing w:val="-2"/>
                <w:w w:val="110"/>
                <w:sz w:val="18"/>
              </w:rPr>
              <w:t xml:space="preserve"> </w:t>
            </w:r>
            <w:r w:rsidRPr="00FD40B8">
              <w:rPr>
                <w:color w:val="131727" w:themeColor="text1"/>
                <w:w w:val="110"/>
                <w:sz w:val="18"/>
              </w:rPr>
              <w:t>during</w:t>
            </w:r>
            <w:r w:rsidRPr="00FD40B8">
              <w:rPr>
                <w:color w:val="131727" w:themeColor="text1"/>
                <w:spacing w:val="-4"/>
                <w:w w:val="110"/>
                <w:sz w:val="18"/>
              </w:rPr>
              <w:t xml:space="preserve"> </w:t>
            </w:r>
            <w:r w:rsidRPr="00FD40B8">
              <w:rPr>
                <w:color w:val="131727" w:themeColor="text1"/>
                <w:w w:val="110"/>
                <w:sz w:val="18"/>
              </w:rPr>
              <w:t>the</w:t>
            </w:r>
            <w:r w:rsidRPr="00FD40B8">
              <w:rPr>
                <w:color w:val="131727" w:themeColor="text1"/>
                <w:spacing w:val="-3"/>
                <w:w w:val="110"/>
                <w:sz w:val="18"/>
              </w:rPr>
              <w:t xml:space="preserve"> </w:t>
            </w:r>
            <w:r w:rsidRPr="00FD40B8">
              <w:rPr>
                <w:color w:val="131727" w:themeColor="text1"/>
                <w:w w:val="110"/>
                <w:sz w:val="18"/>
              </w:rPr>
              <w:t>reporting</w:t>
            </w:r>
            <w:r w:rsidRPr="00FD40B8">
              <w:rPr>
                <w:color w:val="131727" w:themeColor="text1"/>
                <w:spacing w:val="-4"/>
                <w:w w:val="110"/>
                <w:sz w:val="18"/>
              </w:rPr>
              <w:t xml:space="preserve"> </w:t>
            </w:r>
            <w:r w:rsidRPr="00FD40B8">
              <w:rPr>
                <w:color w:val="131727" w:themeColor="text1"/>
                <w:w w:val="110"/>
                <w:sz w:val="18"/>
              </w:rPr>
              <w:t>period and</w:t>
            </w:r>
            <w:r w:rsidRPr="00FD40B8">
              <w:rPr>
                <w:color w:val="131727" w:themeColor="text1"/>
                <w:spacing w:val="-2"/>
                <w:w w:val="110"/>
                <w:sz w:val="18"/>
              </w:rPr>
              <w:t xml:space="preserve"> </w:t>
            </w:r>
            <w:r w:rsidRPr="00FD40B8">
              <w:rPr>
                <w:color w:val="131727" w:themeColor="text1"/>
                <w:w w:val="110"/>
                <w:sz w:val="18"/>
              </w:rPr>
              <w:t>since commencement of the Schedule.</w:t>
            </w:r>
          </w:p>
          <w:p w14:paraId="64E2C4CB" w14:textId="77777777" w:rsidR="00811887" w:rsidRPr="00FD40B8" w:rsidRDefault="00811887" w:rsidP="00811887">
            <w:pPr>
              <w:pStyle w:val="TableParagraph"/>
              <w:numPr>
                <w:ilvl w:val="0"/>
                <w:numId w:val="34"/>
              </w:numPr>
              <w:tabs>
                <w:tab w:val="left" w:pos="829"/>
              </w:tabs>
              <w:spacing w:line="221" w:lineRule="exact"/>
              <w:rPr>
                <w:color w:val="131727" w:themeColor="text1"/>
                <w:sz w:val="18"/>
              </w:rPr>
            </w:pPr>
            <w:r w:rsidRPr="00FD40B8">
              <w:rPr>
                <w:color w:val="131727" w:themeColor="text1"/>
                <w:w w:val="110"/>
                <w:sz w:val="18"/>
              </w:rPr>
              <w:t>Updates</w:t>
            </w:r>
            <w:r w:rsidRPr="00FD40B8">
              <w:rPr>
                <w:color w:val="131727" w:themeColor="text1"/>
                <w:spacing w:val="3"/>
                <w:w w:val="110"/>
                <w:sz w:val="18"/>
              </w:rPr>
              <w:t xml:space="preserve"> </w:t>
            </w:r>
            <w:r w:rsidRPr="00FD40B8">
              <w:rPr>
                <w:color w:val="131727" w:themeColor="text1"/>
                <w:w w:val="110"/>
                <w:sz w:val="18"/>
              </w:rPr>
              <w:t>on</w:t>
            </w:r>
            <w:r w:rsidRPr="00FD40B8">
              <w:rPr>
                <w:color w:val="131727" w:themeColor="text1"/>
                <w:spacing w:val="-5"/>
                <w:w w:val="110"/>
                <w:sz w:val="18"/>
              </w:rPr>
              <w:t xml:space="preserve"> </w:t>
            </w:r>
            <w:r w:rsidRPr="00FD40B8">
              <w:rPr>
                <w:color w:val="131727" w:themeColor="text1"/>
                <w:w w:val="110"/>
                <w:sz w:val="18"/>
              </w:rPr>
              <w:t>the</w:t>
            </w:r>
            <w:r w:rsidRPr="00FD40B8">
              <w:rPr>
                <w:color w:val="131727" w:themeColor="text1"/>
                <w:spacing w:val="-1"/>
                <w:w w:val="110"/>
                <w:sz w:val="18"/>
              </w:rPr>
              <w:t xml:space="preserve"> </w:t>
            </w:r>
            <w:r w:rsidRPr="00FD40B8">
              <w:rPr>
                <w:color w:val="131727" w:themeColor="text1"/>
                <w:w w:val="110"/>
                <w:sz w:val="18"/>
              </w:rPr>
              <w:t>progress</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4"/>
                <w:w w:val="110"/>
                <w:sz w:val="18"/>
              </w:rPr>
              <w:t xml:space="preserve"> </w:t>
            </w:r>
            <w:r w:rsidRPr="00FD40B8">
              <w:rPr>
                <w:color w:val="131727" w:themeColor="text1"/>
                <w:w w:val="110"/>
                <w:sz w:val="18"/>
              </w:rPr>
              <w:t>innovation</w:t>
            </w:r>
            <w:r w:rsidRPr="00FD40B8">
              <w:rPr>
                <w:color w:val="131727" w:themeColor="text1"/>
                <w:spacing w:val="-5"/>
                <w:w w:val="110"/>
                <w:sz w:val="18"/>
              </w:rPr>
              <w:t xml:space="preserve"> </w:t>
            </w:r>
            <w:r w:rsidRPr="00FD40B8">
              <w:rPr>
                <w:color w:val="131727" w:themeColor="text1"/>
                <w:spacing w:val="-2"/>
                <w:w w:val="110"/>
                <w:sz w:val="18"/>
              </w:rPr>
              <w:t>initiatives</w:t>
            </w:r>
          </w:p>
          <w:p w14:paraId="6AA49887" w14:textId="77777777" w:rsidR="00811887" w:rsidRPr="00FD40B8" w:rsidRDefault="00811887" w:rsidP="00811887">
            <w:pPr>
              <w:pStyle w:val="TableParagraph"/>
              <w:numPr>
                <w:ilvl w:val="0"/>
                <w:numId w:val="34"/>
              </w:numPr>
              <w:tabs>
                <w:tab w:val="left" w:pos="829"/>
              </w:tabs>
              <w:spacing w:before="11" w:line="240" w:lineRule="auto"/>
              <w:rPr>
                <w:color w:val="131727" w:themeColor="text1"/>
                <w:sz w:val="18"/>
              </w:rPr>
            </w:pPr>
            <w:r w:rsidRPr="00FD40B8">
              <w:rPr>
                <w:color w:val="131727" w:themeColor="text1"/>
                <w:w w:val="110"/>
                <w:sz w:val="18"/>
              </w:rPr>
              <w:t>Outcomes</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5"/>
                <w:w w:val="110"/>
                <w:sz w:val="18"/>
              </w:rPr>
              <w:t xml:space="preserve"> </w:t>
            </w:r>
            <w:r w:rsidRPr="00FD40B8">
              <w:rPr>
                <w:color w:val="131727" w:themeColor="text1"/>
                <w:w w:val="110"/>
                <w:sz w:val="18"/>
              </w:rPr>
              <w:t>procurement</w:t>
            </w:r>
            <w:r w:rsidRPr="00FD40B8">
              <w:rPr>
                <w:color w:val="131727" w:themeColor="text1"/>
                <w:spacing w:val="-2"/>
                <w:w w:val="110"/>
                <w:sz w:val="18"/>
              </w:rPr>
              <w:t xml:space="preserve"> processes</w:t>
            </w:r>
          </w:p>
          <w:p w14:paraId="477C6BC1" w14:textId="77777777" w:rsidR="00811887" w:rsidRPr="00FD40B8" w:rsidRDefault="00811887" w:rsidP="00811887">
            <w:pPr>
              <w:pStyle w:val="TableParagraph"/>
              <w:numPr>
                <w:ilvl w:val="0"/>
                <w:numId w:val="34"/>
              </w:numPr>
              <w:tabs>
                <w:tab w:val="left" w:pos="829"/>
              </w:tabs>
              <w:spacing w:before="11" w:line="261" w:lineRule="auto"/>
              <w:ind w:right="222"/>
              <w:rPr>
                <w:color w:val="131727" w:themeColor="text1"/>
                <w:sz w:val="18"/>
              </w:rPr>
            </w:pPr>
            <w:r w:rsidRPr="00FD40B8">
              <w:rPr>
                <w:color w:val="131727" w:themeColor="text1"/>
                <w:w w:val="110"/>
                <w:sz w:val="18"/>
              </w:rPr>
              <w:t>Capital</w:t>
            </w:r>
            <w:r w:rsidRPr="00FD40B8">
              <w:rPr>
                <w:color w:val="131727" w:themeColor="text1"/>
                <w:spacing w:val="-7"/>
                <w:w w:val="110"/>
                <w:sz w:val="18"/>
              </w:rPr>
              <w:t xml:space="preserve"> </w:t>
            </w:r>
            <w:r w:rsidRPr="00FD40B8">
              <w:rPr>
                <w:color w:val="131727" w:themeColor="text1"/>
                <w:w w:val="110"/>
                <w:sz w:val="18"/>
              </w:rPr>
              <w:t>Works</w:t>
            </w:r>
            <w:r w:rsidRPr="00FD40B8">
              <w:rPr>
                <w:color w:val="131727" w:themeColor="text1"/>
                <w:spacing w:val="-3"/>
                <w:w w:val="110"/>
                <w:sz w:val="18"/>
              </w:rPr>
              <w:t xml:space="preserve"> </w:t>
            </w:r>
            <w:r w:rsidRPr="00FD40B8">
              <w:rPr>
                <w:color w:val="131727" w:themeColor="text1"/>
                <w:w w:val="110"/>
                <w:sz w:val="18"/>
              </w:rPr>
              <w:t>commenced</w:t>
            </w:r>
            <w:r w:rsidRPr="00FD40B8">
              <w:rPr>
                <w:color w:val="131727" w:themeColor="text1"/>
                <w:spacing w:val="-7"/>
                <w:w w:val="110"/>
                <w:sz w:val="18"/>
              </w:rPr>
              <w:t xml:space="preserve"> </w:t>
            </w:r>
            <w:r w:rsidRPr="00FD40B8">
              <w:rPr>
                <w:color w:val="131727" w:themeColor="text1"/>
                <w:w w:val="110"/>
                <w:sz w:val="18"/>
              </w:rPr>
              <w:t>during</w:t>
            </w:r>
            <w:r w:rsidRPr="00FD40B8">
              <w:rPr>
                <w:color w:val="131727" w:themeColor="text1"/>
                <w:spacing w:val="-4"/>
                <w:w w:val="110"/>
                <w:sz w:val="18"/>
              </w:rPr>
              <w:t xml:space="preserve"> </w:t>
            </w:r>
            <w:r w:rsidRPr="00FD40B8">
              <w:rPr>
                <w:color w:val="131727" w:themeColor="text1"/>
                <w:w w:val="110"/>
                <w:sz w:val="18"/>
              </w:rPr>
              <w:t>the</w:t>
            </w:r>
            <w:r w:rsidRPr="00FD40B8">
              <w:rPr>
                <w:color w:val="131727" w:themeColor="text1"/>
                <w:spacing w:val="-8"/>
                <w:w w:val="110"/>
                <w:sz w:val="18"/>
              </w:rPr>
              <w:t xml:space="preserve"> </w:t>
            </w:r>
            <w:r w:rsidRPr="00FD40B8">
              <w:rPr>
                <w:color w:val="131727" w:themeColor="text1"/>
                <w:w w:val="110"/>
                <w:sz w:val="18"/>
              </w:rPr>
              <w:t>period</w:t>
            </w:r>
            <w:r w:rsidRPr="00FD40B8">
              <w:rPr>
                <w:color w:val="131727" w:themeColor="text1"/>
                <w:spacing w:val="-3"/>
                <w:w w:val="110"/>
                <w:sz w:val="18"/>
              </w:rPr>
              <w:t xml:space="preserve"> </w:t>
            </w:r>
            <w:r w:rsidRPr="00FD40B8">
              <w:rPr>
                <w:color w:val="131727" w:themeColor="text1"/>
                <w:w w:val="110"/>
                <w:sz w:val="18"/>
              </w:rPr>
              <w:t>(including</w:t>
            </w:r>
            <w:r w:rsidRPr="00FD40B8">
              <w:rPr>
                <w:color w:val="131727" w:themeColor="text1"/>
                <w:spacing w:val="-9"/>
                <w:w w:val="110"/>
                <w:sz w:val="18"/>
              </w:rPr>
              <w:t xml:space="preserve"> </w:t>
            </w:r>
            <w:r w:rsidRPr="00FD40B8">
              <w:rPr>
                <w:color w:val="131727" w:themeColor="text1"/>
                <w:w w:val="110"/>
                <w:sz w:val="18"/>
              </w:rPr>
              <w:t>the number of houses in progress)</w:t>
            </w:r>
          </w:p>
          <w:p w14:paraId="0B3E967F" w14:textId="77777777" w:rsidR="00811887" w:rsidRPr="00FD40B8" w:rsidRDefault="00811887" w:rsidP="00811887">
            <w:pPr>
              <w:pStyle w:val="TableParagraph"/>
              <w:numPr>
                <w:ilvl w:val="0"/>
                <w:numId w:val="34"/>
              </w:numPr>
              <w:tabs>
                <w:tab w:val="left" w:pos="829"/>
              </w:tabs>
              <w:spacing w:line="261" w:lineRule="auto"/>
              <w:ind w:right="395"/>
              <w:rPr>
                <w:color w:val="131727" w:themeColor="text1"/>
                <w:sz w:val="18"/>
              </w:rPr>
            </w:pPr>
            <w:r w:rsidRPr="00FD40B8">
              <w:rPr>
                <w:color w:val="131727" w:themeColor="text1"/>
                <w:w w:val="110"/>
                <w:sz w:val="18"/>
              </w:rPr>
              <w:t>Portion</w:t>
            </w:r>
            <w:r w:rsidRPr="00FD40B8">
              <w:rPr>
                <w:color w:val="131727" w:themeColor="text1"/>
                <w:spacing w:val="-5"/>
                <w:w w:val="110"/>
                <w:sz w:val="18"/>
              </w:rPr>
              <w:t xml:space="preserve"> </w:t>
            </w:r>
            <w:r w:rsidRPr="00FD40B8">
              <w:rPr>
                <w:color w:val="131727" w:themeColor="text1"/>
                <w:w w:val="110"/>
                <w:sz w:val="18"/>
              </w:rPr>
              <w:t>of</w:t>
            </w:r>
            <w:r w:rsidRPr="00FD40B8">
              <w:rPr>
                <w:color w:val="131727" w:themeColor="text1"/>
                <w:spacing w:val="-9"/>
                <w:w w:val="110"/>
                <w:sz w:val="18"/>
              </w:rPr>
              <w:t xml:space="preserve"> </w:t>
            </w:r>
            <w:r w:rsidRPr="00FD40B8">
              <w:rPr>
                <w:color w:val="131727" w:themeColor="text1"/>
                <w:w w:val="110"/>
                <w:sz w:val="18"/>
              </w:rPr>
              <w:t>works</w:t>
            </w:r>
            <w:r w:rsidRPr="00FD40B8">
              <w:rPr>
                <w:color w:val="131727" w:themeColor="text1"/>
                <w:spacing w:val="-7"/>
                <w:w w:val="110"/>
                <w:sz w:val="18"/>
              </w:rPr>
              <w:t xml:space="preserve"> </w:t>
            </w:r>
            <w:r w:rsidRPr="00FD40B8">
              <w:rPr>
                <w:color w:val="131727" w:themeColor="text1"/>
                <w:w w:val="110"/>
                <w:sz w:val="18"/>
              </w:rPr>
              <w:t>delivered</w:t>
            </w:r>
            <w:r w:rsidRPr="00FD40B8">
              <w:rPr>
                <w:color w:val="131727" w:themeColor="text1"/>
                <w:spacing w:val="-2"/>
                <w:w w:val="110"/>
                <w:sz w:val="18"/>
              </w:rPr>
              <w:t xml:space="preserve"> </w:t>
            </w:r>
            <w:r w:rsidRPr="00FD40B8">
              <w:rPr>
                <w:color w:val="131727" w:themeColor="text1"/>
                <w:w w:val="110"/>
                <w:sz w:val="18"/>
              </w:rPr>
              <w:t>that</w:t>
            </w:r>
            <w:r w:rsidRPr="00FD40B8">
              <w:rPr>
                <w:color w:val="131727" w:themeColor="text1"/>
                <w:spacing w:val="-2"/>
                <w:w w:val="110"/>
                <w:sz w:val="18"/>
              </w:rPr>
              <w:t xml:space="preserve"> </w:t>
            </w:r>
            <w:r w:rsidRPr="00FD40B8">
              <w:rPr>
                <w:color w:val="131727" w:themeColor="text1"/>
                <w:w w:val="110"/>
                <w:sz w:val="18"/>
              </w:rPr>
              <w:t>are</w:t>
            </w:r>
            <w:r w:rsidRPr="00FD40B8">
              <w:rPr>
                <w:color w:val="131727" w:themeColor="text1"/>
                <w:spacing w:val="-7"/>
                <w:w w:val="110"/>
                <w:sz w:val="18"/>
              </w:rPr>
              <w:t xml:space="preserve"> </w:t>
            </w:r>
            <w:r w:rsidRPr="00FD40B8">
              <w:rPr>
                <w:color w:val="131727" w:themeColor="text1"/>
                <w:w w:val="110"/>
                <w:sz w:val="18"/>
              </w:rPr>
              <w:t>replacing</w:t>
            </w:r>
            <w:r w:rsidRPr="00FD40B8">
              <w:rPr>
                <w:color w:val="131727" w:themeColor="text1"/>
                <w:spacing w:val="-8"/>
                <w:w w:val="110"/>
                <w:sz w:val="18"/>
              </w:rPr>
              <w:t xml:space="preserve"> </w:t>
            </w:r>
            <w:r w:rsidRPr="00FD40B8">
              <w:rPr>
                <w:color w:val="131727" w:themeColor="text1"/>
                <w:w w:val="110"/>
                <w:sz w:val="18"/>
              </w:rPr>
              <w:t>houses</w:t>
            </w:r>
            <w:r w:rsidRPr="00FD40B8">
              <w:rPr>
                <w:color w:val="131727" w:themeColor="text1"/>
                <w:spacing w:val="-7"/>
                <w:w w:val="110"/>
                <w:sz w:val="18"/>
              </w:rPr>
              <w:t xml:space="preserve"> </w:t>
            </w:r>
            <w:r w:rsidRPr="00FD40B8">
              <w:rPr>
                <w:color w:val="131727" w:themeColor="text1"/>
                <w:w w:val="110"/>
                <w:sz w:val="18"/>
              </w:rPr>
              <w:t>that were Beyond Economic Repair</w:t>
            </w:r>
          </w:p>
          <w:p w14:paraId="7B202F45" w14:textId="77777777" w:rsidR="00811887" w:rsidRPr="00FD40B8" w:rsidRDefault="00811887" w:rsidP="00811887">
            <w:pPr>
              <w:pStyle w:val="TableParagraph"/>
              <w:numPr>
                <w:ilvl w:val="0"/>
                <w:numId w:val="34"/>
              </w:numPr>
              <w:tabs>
                <w:tab w:val="left" w:pos="829"/>
              </w:tabs>
              <w:spacing w:line="221" w:lineRule="exact"/>
              <w:rPr>
                <w:color w:val="131727" w:themeColor="text1"/>
                <w:sz w:val="18"/>
              </w:rPr>
            </w:pPr>
            <w:r w:rsidRPr="00FD40B8">
              <w:rPr>
                <w:color w:val="131727" w:themeColor="text1"/>
                <w:w w:val="110"/>
                <w:sz w:val="18"/>
              </w:rPr>
              <w:t>Expenditure</w:t>
            </w:r>
            <w:r w:rsidRPr="00FD40B8">
              <w:rPr>
                <w:color w:val="131727" w:themeColor="text1"/>
                <w:spacing w:val="-3"/>
                <w:w w:val="110"/>
                <w:sz w:val="18"/>
              </w:rPr>
              <w:t xml:space="preserve"> </w:t>
            </w:r>
            <w:r w:rsidRPr="00FD40B8">
              <w:rPr>
                <w:color w:val="131727" w:themeColor="text1"/>
                <w:w w:val="110"/>
                <w:sz w:val="18"/>
              </w:rPr>
              <w:t>of</w:t>
            </w:r>
            <w:r w:rsidRPr="00FD40B8">
              <w:rPr>
                <w:color w:val="131727" w:themeColor="text1"/>
                <w:spacing w:val="-9"/>
                <w:w w:val="110"/>
                <w:sz w:val="18"/>
              </w:rPr>
              <w:t xml:space="preserve"> </w:t>
            </w:r>
            <w:r w:rsidRPr="00FD40B8">
              <w:rPr>
                <w:color w:val="131727" w:themeColor="text1"/>
                <w:w w:val="110"/>
                <w:sz w:val="18"/>
              </w:rPr>
              <w:t>works</w:t>
            </w:r>
            <w:r w:rsidRPr="00FD40B8">
              <w:rPr>
                <w:color w:val="131727" w:themeColor="text1"/>
                <w:spacing w:val="-7"/>
                <w:w w:val="110"/>
                <w:sz w:val="18"/>
              </w:rPr>
              <w:t xml:space="preserve"> </w:t>
            </w:r>
            <w:r w:rsidRPr="00FD40B8">
              <w:rPr>
                <w:color w:val="131727" w:themeColor="text1"/>
                <w:w w:val="110"/>
                <w:sz w:val="18"/>
              </w:rPr>
              <w:t>to</w:t>
            </w:r>
            <w:r w:rsidRPr="00FD40B8">
              <w:rPr>
                <w:color w:val="131727" w:themeColor="text1"/>
                <w:spacing w:val="-8"/>
                <w:w w:val="110"/>
                <w:sz w:val="18"/>
              </w:rPr>
              <w:t xml:space="preserve"> </w:t>
            </w:r>
            <w:r w:rsidRPr="00FD40B8">
              <w:rPr>
                <w:color w:val="131727" w:themeColor="text1"/>
                <w:w w:val="110"/>
                <w:sz w:val="18"/>
              </w:rPr>
              <w:t>date</w:t>
            </w:r>
            <w:r w:rsidRPr="00FD40B8">
              <w:rPr>
                <w:color w:val="131727" w:themeColor="text1"/>
                <w:spacing w:val="-3"/>
                <w:w w:val="110"/>
                <w:sz w:val="18"/>
              </w:rPr>
              <w:t xml:space="preserve"> </w:t>
            </w:r>
            <w:r w:rsidRPr="00FD40B8">
              <w:rPr>
                <w:color w:val="131727" w:themeColor="text1"/>
                <w:w w:val="110"/>
                <w:sz w:val="18"/>
              </w:rPr>
              <w:t>and</w:t>
            </w:r>
            <w:r w:rsidRPr="00FD40B8">
              <w:rPr>
                <w:color w:val="131727" w:themeColor="text1"/>
                <w:spacing w:val="-2"/>
                <w:w w:val="110"/>
                <w:sz w:val="18"/>
              </w:rPr>
              <w:t xml:space="preserve"> </w:t>
            </w:r>
            <w:r w:rsidRPr="00FD40B8">
              <w:rPr>
                <w:color w:val="131727" w:themeColor="text1"/>
                <w:w w:val="110"/>
                <w:sz w:val="18"/>
              </w:rPr>
              <w:t>forecasted</w:t>
            </w:r>
            <w:r w:rsidRPr="00FD40B8">
              <w:rPr>
                <w:color w:val="131727" w:themeColor="text1"/>
                <w:spacing w:val="-6"/>
                <w:w w:val="110"/>
                <w:sz w:val="18"/>
              </w:rPr>
              <w:t xml:space="preserve"> </w:t>
            </w:r>
            <w:r w:rsidRPr="00FD40B8">
              <w:rPr>
                <w:color w:val="131727" w:themeColor="text1"/>
                <w:w w:val="110"/>
                <w:sz w:val="18"/>
              </w:rPr>
              <w:t>total</w:t>
            </w:r>
            <w:r w:rsidRPr="00FD40B8">
              <w:rPr>
                <w:color w:val="131727" w:themeColor="text1"/>
                <w:spacing w:val="-2"/>
                <w:w w:val="110"/>
                <w:sz w:val="18"/>
              </w:rPr>
              <w:t xml:space="preserve"> costs</w:t>
            </w:r>
          </w:p>
          <w:p w14:paraId="1CC25F8E" w14:textId="77777777" w:rsidR="00811887" w:rsidRPr="00FD40B8" w:rsidRDefault="00811887" w:rsidP="00811887">
            <w:pPr>
              <w:pStyle w:val="TableParagraph"/>
              <w:numPr>
                <w:ilvl w:val="0"/>
                <w:numId w:val="34"/>
              </w:numPr>
              <w:tabs>
                <w:tab w:val="left" w:pos="829"/>
              </w:tabs>
              <w:spacing w:before="2" w:line="261" w:lineRule="auto"/>
              <w:ind w:right="213"/>
              <w:rPr>
                <w:color w:val="131727" w:themeColor="text1"/>
                <w:sz w:val="18"/>
              </w:rPr>
            </w:pPr>
            <w:r w:rsidRPr="00FD40B8">
              <w:rPr>
                <w:color w:val="131727" w:themeColor="text1"/>
                <w:w w:val="110"/>
                <w:sz w:val="18"/>
              </w:rPr>
              <w:t>Engagement of</w:t>
            </w:r>
            <w:r w:rsidRPr="00FD40B8">
              <w:rPr>
                <w:color w:val="131727" w:themeColor="text1"/>
                <w:spacing w:val="-3"/>
                <w:w w:val="110"/>
                <w:sz w:val="18"/>
              </w:rPr>
              <w:t xml:space="preserve"> </w:t>
            </w:r>
            <w:r w:rsidRPr="00FD40B8">
              <w:rPr>
                <w:color w:val="131727" w:themeColor="text1"/>
                <w:w w:val="110"/>
                <w:sz w:val="18"/>
              </w:rPr>
              <w:t>Aboriginal Business Enterprise</w:t>
            </w:r>
            <w:r w:rsidRPr="00FD40B8">
              <w:rPr>
                <w:color w:val="131727" w:themeColor="text1"/>
                <w:spacing w:val="-1"/>
                <w:w w:val="110"/>
                <w:sz w:val="18"/>
              </w:rPr>
              <w:t xml:space="preserve"> </w:t>
            </w:r>
            <w:r w:rsidRPr="00FD40B8">
              <w:rPr>
                <w:color w:val="131727" w:themeColor="text1"/>
                <w:w w:val="110"/>
                <w:sz w:val="18"/>
              </w:rPr>
              <w:t>and support provided by</w:t>
            </w:r>
            <w:r w:rsidRPr="00FD40B8">
              <w:rPr>
                <w:color w:val="131727" w:themeColor="text1"/>
                <w:spacing w:val="-2"/>
                <w:w w:val="110"/>
                <w:sz w:val="18"/>
              </w:rPr>
              <w:t xml:space="preserve"> </w:t>
            </w:r>
            <w:r w:rsidRPr="00FD40B8">
              <w:rPr>
                <w:color w:val="131727" w:themeColor="text1"/>
                <w:w w:val="110"/>
                <w:sz w:val="18"/>
              </w:rPr>
              <w:t>the Northern Territory and Commonwealth to develop and build capacity</w:t>
            </w:r>
          </w:p>
          <w:p w14:paraId="67D89D3B" w14:textId="77777777" w:rsidR="00811887" w:rsidRPr="00FD40B8" w:rsidRDefault="00811887" w:rsidP="00811887">
            <w:pPr>
              <w:pStyle w:val="TableParagraph"/>
              <w:numPr>
                <w:ilvl w:val="0"/>
                <w:numId w:val="34"/>
              </w:numPr>
              <w:tabs>
                <w:tab w:val="left" w:pos="829"/>
              </w:tabs>
              <w:spacing w:line="221" w:lineRule="exact"/>
              <w:rPr>
                <w:color w:val="131727" w:themeColor="text1"/>
                <w:sz w:val="18"/>
              </w:rPr>
            </w:pPr>
            <w:r w:rsidRPr="00FD40B8">
              <w:rPr>
                <w:color w:val="131727" w:themeColor="text1"/>
                <w:w w:val="110"/>
                <w:sz w:val="18"/>
              </w:rPr>
              <w:t>Schedule</w:t>
            </w:r>
            <w:r w:rsidRPr="00FD40B8">
              <w:rPr>
                <w:color w:val="131727" w:themeColor="text1"/>
                <w:spacing w:val="-7"/>
                <w:w w:val="110"/>
                <w:sz w:val="18"/>
              </w:rPr>
              <w:t xml:space="preserve"> </w:t>
            </w:r>
            <w:r w:rsidRPr="00FD40B8">
              <w:rPr>
                <w:color w:val="131727" w:themeColor="text1"/>
                <w:w w:val="110"/>
                <w:sz w:val="18"/>
              </w:rPr>
              <w:t>performance</w:t>
            </w:r>
            <w:r w:rsidRPr="00FD40B8">
              <w:rPr>
                <w:color w:val="131727" w:themeColor="text1"/>
                <w:spacing w:val="-4"/>
                <w:w w:val="110"/>
                <w:sz w:val="18"/>
              </w:rPr>
              <w:t xml:space="preserve"> </w:t>
            </w:r>
            <w:r w:rsidRPr="00FD40B8">
              <w:rPr>
                <w:color w:val="131727" w:themeColor="text1"/>
                <w:w w:val="110"/>
                <w:sz w:val="18"/>
              </w:rPr>
              <w:t>and</w:t>
            </w:r>
            <w:r w:rsidRPr="00FD40B8">
              <w:rPr>
                <w:color w:val="131727" w:themeColor="text1"/>
                <w:spacing w:val="-2"/>
                <w:w w:val="110"/>
                <w:sz w:val="18"/>
              </w:rPr>
              <w:t xml:space="preserve"> </w:t>
            </w:r>
            <w:r w:rsidRPr="00FD40B8">
              <w:rPr>
                <w:color w:val="131727" w:themeColor="text1"/>
                <w:w w:val="110"/>
                <w:sz w:val="18"/>
              </w:rPr>
              <w:t>corrective</w:t>
            </w:r>
            <w:r w:rsidRPr="00FD40B8">
              <w:rPr>
                <w:color w:val="131727" w:themeColor="text1"/>
                <w:spacing w:val="-7"/>
                <w:w w:val="110"/>
                <w:sz w:val="18"/>
              </w:rPr>
              <w:t xml:space="preserve"> </w:t>
            </w:r>
            <w:r w:rsidRPr="00FD40B8">
              <w:rPr>
                <w:color w:val="131727" w:themeColor="text1"/>
                <w:w w:val="110"/>
                <w:sz w:val="18"/>
              </w:rPr>
              <w:t>actions,</w:t>
            </w:r>
            <w:r w:rsidRPr="00FD40B8">
              <w:rPr>
                <w:color w:val="131727" w:themeColor="text1"/>
                <w:spacing w:val="-8"/>
                <w:w w:val="110"/>
                <w:sz w:val="18"/>
              </w:rPr>
              <w:t xml:space="preserve"> </w:t>
            </w:r>
            <w:r w:rsidRPr="00FD40B8">
              <w:rPr>
                <w:color w:val="131727" w:themeColor="text1"/>
                <w:w w:val="110"/>
                <w:sz w:val="18"/>
              </w:rPr>
              <w:t>if</w:t>
            </w:r>
            <w:r w:rsidRPr="00FD40B8">
              <w:rPr>
                <w:color w:val="131727" w:themeColor="text1"/>
                <w:spacing w:val="-5"/>
                <w:w w:val="110"/>
                <w:sz w:val="18"/>
              </w:rPr>
              <w:t xml:space="preserve"> </w:t>
            </w:r>
            <w:r w:rsidRPr="00FD40B8">
              <w:rPr>
                <w:color w:val="131727" w:themeColor="text1"/>
                <w:spacing w:val="-2"/>
                <w:w w:val="110"/>
                <w:sz w:val="18"/>
              </w:rPr>
              <w:t>required</w:t>
            </w:r>
          </w:p>
          <w:p w14:paraId="7C14C7AE" w14:textId="77777777" w:rsidR="00811887" w:rsidRPr="00FD40B8" w:rsidRDefault="00811887" w:rsidP="00811887">
            <w:pPr>
              <w:pStyle w:val="TableParagraph"/>
              <w:numPr>
                <w:ilvl w:val="0"/>
                <w:numId w:val="34"/>
              </w:numPr>
              <w:tabs>
                <w:tab w:val="left" w:pos="829"/>
              </w:tabs>
              <w:spacing w:before="11" w:line="240" w:lineRule="auto"/>
              <w:rPr>
                <w:color w:val="131727" w:themeColor="text1"/>
                <w:sz w:val="18"/>
              </w:rPr>
            </w:pPr>
            <w:r w:rsidRPr="00FD40B8">
              <w:rPr>
                <w:color w:val="131727" w:themeColor="text1"/>
                <w:w w:val="110"/>
                <w:sz w:val="18"/>
              </w:rPr>
              <w:t>Risks</w:t>
            </w:r>
            <w:r w:rsidRPr="00FD40B8">
              <w:rPr>
                <w:color w:val="131727" w:themeColor="text1"/>
                <w:spacing w:val="-7"/>
                <w:w w:val="110"/>
                <w:sz w:val="18"/>
              </w:rPr>
              <w:t xml:space="preserve"> </w:t>
            </w:r>
            <w:r w:rsidRPr="00FD40B8">
              <w:rPr>
                <w:color w:val="131727" w:themeColor="text1"/>
                <w:w w:val="110"/>
                <w:sz w:val="18"/>
              </w:rPr>
              <w:t>and</w:t>
            </w:r>
            <w:r w:rsidRPr="00FD40B8">
              <w:rPr>
                <w:color w:val="131727" w:themeColor="text1"/>
                <w:spacing w:val="-5"/>
                <w:w w:val="110"/>
                <w:sz w:val="18"/>
              </w:rPr>
              <w:t xml:space="preserve"> </w:t>
            </w:r>
            <w:r w:rsidRPr="00FD40B8">
              <w:rPr>
                <w:color w:val="131727" w:themeColor="text1"/>
                <w:w w:val="110"/>
                <w:sz w:val="18"/>
              </w:rPr>
              <w:t>issues,</w:t>
            </w:r>
            <w:r w:rsidRPr="00FD40B8">
              <w:rPr>
                <w:color w:val="131727" w:themeColor="text1"/>
                <w:spacing w:val="-3"/>
                <w:w w:val="110"/>
                <w:sz w:val="18"/>
              </w:rPr>
              <w:t xml:space="preserve"> </w:t>
            </w:r>
            <w:r w:rsidRPr="00FD40B8">
              <w:rPr>
                <w:color w:val="131727" w:themeColor="text1"/>
                <w:w w:val="110"/>
                <w:sz w:val="18"/>
              </w:rPr>
              <w:t>and</w:t>
            </w:r>
            <w:r w:rsidRPr="00FD40B8">
              <w:rPr>
                <w:color w:val="131727" w:themeColor="text1"/>
                <w:spacing w:val="-2"/>
                <w:w w:val="110"/>
                <w:sz w:val="18"/>
              </w:rPr>
              <w:t xml:space="preserve"> </w:t>
            </w:r>
            <w:r w:rsidRPr="00FD40B8">
              <w:rPr>
                <w:color w:val="131727" w:themeColor="text1"/>
                <w:w w:val="110"/>
                <w:sz w:val="18"/>
              </w:rPr>
              <w:t>corrective</w:t>
            </w:r>
            <w:r w:rsidRPr="00FD40B8">
              <w:rPr>
                <w:color w:val="131727" w:themeColor="text1"/>
                <w:spacing w:val="-2"/>
                <w:w w:val="110"/>
                <w:sz w:val="18"/>
              </w:rPr>
              <w:t xml:space="preserve"> </w:t>
            </w:r>
            <w:r w:rsidRPr="00FD40B8">
              <w:rPr>
                <w:color w:val="131727" w:themeColor="text1"/>
                <w:w w:val="110"/>
                <w:sz w:val="18"/>
              </w:rPr>
              <w:t>actions,</w:t>
            </w:r>
            <w:r w:rsidRPr="00FD40B8">
              <w:rPr>
                <w:color w:val="131727" w:themeColor="text1"/>
                <w:spacing w:val="-8"/>
                <w:w w:val="110"/>
                <w:sz w:val="18"/>
              </w:rPr>
              <w:t xml:space="preserve"> </w:t>
            </w:r>
            <w:r w:rsidRPr="00FD40B8">
              <w:rPr>
                <w:color w:val="131727" w:themeColor="text1"/>
                <w:w w:val="110"/>
                <w:sz w:val="18"/>
              </w:rPr>
              <w:t>if</w:t>
            </w:r>
            <w:r w:rsidRPr="00FD40B8">
              <w:rPr>
                <w:color w:val="131727" w:themeColor="text1"/>
                <w:spacing w:val="-4"/>
                <w:w w:val="110"/>
                <w:sz w:val="18"/>
              </w:rPr>
              <w:t xml:space="preserve"> </w:t>
            </w:r>
            <w:r w:rsidRPr="00FD40B8">
              <w:rPr>
                <w:color w:val="131727" w:themeColor="text1"/>
                <w:spacing w:val="-2"/>
                <w:w w:val="110"/>
                <w:sz w:val="18"/>
              </w:rPr>
              <w:t>required</w:t>
            </w:r>
          </w:p>
          <w:p w14:paraId="443D69F4" w14:textId="77777777" w:rsidR="00811887" w:rsidRPr="00FD40B8" w:rsidRDefault="00811887" w:rsidP="00811887">
            <w:pPr>
              <w:pStyle w:val="TableParagraph"/>
              <w:numPr>
                <w:ilvl w:val="0"/>
                <w:numId w:val="34"/>
              </w:numPr>
              <w:tabs>
                <w:tab w:val="left" w:pos="829"/>
              </w:tabs>
              <w:spacing w:before="11" w:line="240" w:lineRule="auto"/>
              <w:rPr>
                <w:color w:val="131727" w:themeColor="text1"/>
                <w:sz w:val="18"/>
              </w:rPr>
            </w:pPr>
            <w:r w:rsidRPr="00FD40B8">
              <w:rPr>
                <w:color w:val="131727" w:themeColor="text1"/>
                <w:w w:val="110"/>
                <w:sz w:val="18"/>
              </w:rPr>
              <w:t>Approximate</w:t>
            </w:r>
            <w:r w:rsidRPr="00FD40B8">
              <w:rPr>
                <w:color w:val="131727" w:themeColor="text1"/>
                <w:spacing w:val="-11"/>
                <w:w w:val="110"/>
                <w:sz w:val="18"/>
              </w:rPr>
              <w:t xml:space="preserve"> </w:t>
            </w:r>
            <w:r w:rsidRPr="00FD40B8">
              <w:rPr>
                <w:color w:val="131727" w:themeColor="text1"/>
                <w:w w:val="110"/>
                <w:sz w:val="18"/>
              </w:rPr>
              <w:t>project</w:t>
            </w:r>
            <w:r w:rsidRPr="00FD40B8">
              <w:rPr>
                <w:color w:val="131727" w:themeColor="text1"/>
                <w:spacing w:val="-7"/>
                <w:w w:val="110"/>
                <w:sz w:val="18"/>
              </w:rPr>
              <w:t xml:space="preserve"> </w:t>
            </w:r>
            <w:r w:rsidRPr="00FD40B8">
              <w:rPr>
                <w:color w:val="131727" w:themeColor="text1"/>
                <w:spacing w:val="-4"/>
                <w:w w:val="110"/>
                <w:sz w:val="18"/>
              </w:rPr>
              <w:t>costs</w:t>
            </w:r>
          </w:p>
        </w:tc>
        <w:tc>
          <w:tcPr>
            <w:tcW w:w="1562" w:type="dxa"/>
            <w:shd w:val="clear" w:color="auto" w:fill="EEF1F4"/>
          </w:tcPr>
          <w:p w14:paraId="03168658" w14:textId="77777777" w:rsidR="00811887" w:rsidRPr="00FD40B8" w:rsidRDefault="00811887" w:rsidP="00486E22">
            <w:pPr>
              <w:pStyle w:val="TableParagraph"/>
              <w:spacing w:before="25" w:line="273" w:lineRule="auto"/>
              <w:ind w:left="107" w:right="204"/>
              <w:rPr>
                <w:color w:val="131727" w:themeColor="text1"/>
                <w:sz w:val="18"/>
              </w:rPr>
            </w:pPr>
            <w:r w:rsidRPr="00FD40B8">
              <w:rPr>
                <w:color w:val="131727" w:themeColor="text1"/>
                <w:w w:val="110"/>
                <w:sz w:val="18"/>
              </w:rPr>
              <w:t>Reporting</w:t>
            </w:r>
            <w:r w:rsidRPr="00FD40B8">
              <w:rPr>
                <w:color w:val="131727" w:themeColor="text1"/>
                <w:spacing w:val="-1"/>
                <w:w w:val="110"/>
                <w:sz w:val="18"/>
              </w:rPr>
              <w:t xml:space="preserve"> </w:t>
            </w:r>
            <w:r w:rsidRPr="00FD40B8">
              <w:rPr>
                <w:color w:val="131727" w:themeColor="text1"/>
                <w:w w:val="110"/>
                <w:sz w:val="18"/>
              </w:rPr>
              <w:t xml:space="preserve">data from the </w:t>
            </w:r>
            <w:r w:rsidRPr="00FD40B8">
              <w:rPr>
                <w:color w:val="131727" w:themeColor="text1"/>
                <w:spacing w:val="-2"/>
                <w:w w:val="110"/>
                <w:sz w:val="18"/>
              </w:rPr>
              <w:t xml:space="preserve">Northern Territory </w:t>
            </w:r>
            <w:r w:rsidRPr="00FD40B8">
              <w:rPr>
                <w:color w:val="131727" w:themeColor="text1"/>
                <w:w w:val="110"/>
                <w:sz w:val="18"/>
              </w:rPr>
              <w:t>Government</w:t>
            </w:r>
            <w:r w:rsidRPr="00FD40B8">
              <w:rPr>
                <w:color w:val="131727" w:themeColor="text1"/>
                <w:spacing w:val="-12"/>
                <w:w w:val="110"/>
                <w:sz w:val="18"/>
              </w:rPr>
              <w:t xml:space="preserve"> </w:t>
            </w:r>
            <w:r w:rsidRPr="00FD40B8">
              <w:rPr>
                <w:color w:val="131727" w:themeColor="text1"/>
                <w:w w:val="110"/>
                <w:sz w:val="18"/>
              </w:rPr>
              <w:t xml:space="preserve">to the Joint </w:t>
            </w:r>
            <w:r w:rsidRPr="00FD40B8">
              <w:rPr>
                <w:color w:val="131727" w:themeColor="text1"/>
                <w:spacing w:val="-2"/>
                <w:w w:val="110"/>
                <w:sz w:val="18"/>
              </w:rPr>
              <w:t>Steering Committee.</w:t>
            </w:r>
          </w:p>
        </w:tc>
        <w:tc>
          <w:tcPr>
            <w:tcW w:w="2657" w:type="dxa"/>
            <w:shd w:val="clear" w:color="auto" w:fill="EEF1F4"/>
          </w:tcPr>
          <w:p w14:paraId="122C8323" w14:textId="77777777" w:rsidR="00811887" w:rsidRPr="00FD40B8" w:rsidRDefault="00811887" w:rsidP="00486E22">
            <w:pPr>
              <w:pStyle w:val="TableParagraph"/>
              <w:spacing w:before="25" w:line="273" w:lineRule="auto"/>
              <w:ind w:left="101"/>
              <w:rPr>
                <w:color w:val="131727" w:themeColor="text1"/>
                <w:sz w:val="18"/>
              </w:rPr>
            </w:pPr>
            <w:r w:rsidRPr="00FD40B8">
              <w:rPr>
                <w:color w:val="131727" w:themeColor="text1"/>
                <w:w w:val="110"/>
                <w:sz w:val="18"/>
              </w:rPr>
              <w:t>The</w:t>
            </w:r>
            <w:r w:rsidRPr="00FD40B8">
              <w:rPr>
                <w:color w:val="131727" w:themeColor="text1"/>
                <w:spacing w:val="-4"/>
                <w:w w:val="110"/>
                <w:sz w:val="18"/>
              </w:rPr>
              <w:t xml:space="preserve"> </w:t>
            </w:r>
            <w:r w:rsidRPr="00FD40B8">
              <w:rPr>
                <w:color w:val="131727" w:themeColor="text1"/>
                <w:w w:val="110"/>
                <w:sz w:val="18"/>
              </w:rPr>
              <w:t>data</w:t>
            </w:r>
            <w:r w:rsidRPr="00FD40B8">
              <w:rPr>
                <w:color w:val="131727" w:themeColor="text1"/>
                <w:spacing w:val="-6"/>
                <w:w w:val="110"/>
                <w:sz w:val="18"/>
              </w:rPr>
              <w:t xml:space="preserve"> </w:t>
            </w:r>
            <w:r w:rsidRPr="00FD40B8">
              <w:rPr>
                <w:color w:val="131727" w:themeColor="text1"/>
                <w:w w:val="110"/>
                <w:sz w:val="18"/>
              </w:rPr>
              <w:t>does</w:t>
            </w:r>
            <w:r w:rsidRPr="00FD40B8">
              <w:rPr>
                <w:color w:val="131727" w:themeColor="text1"/>
                <w:spacing w:val="-4"/>
                <w:w w:val="110"/>
                <w:sz w:val="18"/>
              </w:rPr>
              <w:t xml:space="preserve"> </w:t>
            </w:r>
            <w:r w:rsidRPr="00FD40B8">
              <w:rPr>
                <w:color w:val="131727" w:themeColor="text1"/>
                <w:w w:val="110"/>
                <w:sz w:val="18"/>
              </w:rPr>
              <w:t>not</w:t>
            </w:r>
            <w:r w:rsidRPr="00FD40B8">
              <w:rPr>
                <w:color w:val="131727" w:themeColor="text1"/>
                <w:spacing w:val="-4"/>
                <w:w w:val="110"/>
                <w:sz w:val="18"/>
              </w:rPr>
              <w:t xml:space="preserve"> </w:t>
            </w:r>
            <w:r w:rsidRPr="00FD40B8">
              <w:rPr>
                <w:color w:val="131727" w:themeColor="text1"/>
                <w:w w:val="110"/>
                <w:sz w:val="18"/>
              </w:rPr>
              <w:t>provide</w:t>
            </w:r>
            <w:r w:rsidRPr="00FD40B8">
              <w:rPr>
                <w:color w:val="131727" w:themeColor="text1"/>
                <w:spacing w:val="-1"/>
                <w:w w:val="110"/>
                <w:sz w:val="18"/>
              </w:rPr>
              <w:t xml:space="preserve"> </w:t>
            </w:r>
            <w:r w:rsidRPr="00FD40B8">
              <w:rPr>
                <w:color w:val="131727" w:themeColor="text1"/>
                <w:w w:val="110"/>
                <w:sz w:val="18"/>
              </w:rPr>
              <w:t>an estimate of need, rather reporting</w:t>
            </w:r>
            <w:r w:rsidRPr="00FD40B8">
              <w:rPr>
                <w:color w:val="131727" w:themeColor="text1"/>
                <w:spacing w:val="-12"/>
                <w:w w:val="110"/>
                <w:sz w:val="18"/>
              </w:rPr>
              <w:t xml:space="preserve"> </w:t>
            </w:r>
            <w:r w:rsidRPr="00FD40B8">
              <w:rPr>
                <w:color w:val="131727" w:themeColor="text1"/>
                <w:w w:val="110"/>
                <w:sz w:val="18"/>
              </w:rPr>
              <w:t>on</w:t>
            </w:r>
            <w:r w:rsidRPr="00FD40B8">
              <w:rPr>
                <w:color w:val="131727" w:themeColor="text1"/>
                <w:spacing w:val="-11"/>
                <w:w w:val="110"/>
                <w:sz w:val="18"/>
              </w:rPr>
              <w:t xml:space="preserve"> </w:t>
            </w:r>
            <w:r w:rsidRPr="00FD40B8">
              <w:rPr>
                <w:color w:val="131727" w:themeColor="text1"/>
                <w:w w:val="110"/>
                <w:sz w:val="18"/>
              </w:rPr>
              <w:t>works</w:t>
            </w:r>
            <w:r w:rsidRPr="00FD40B8">
              <w:rPr>
                <w:color w:val="131727" w:themeColor="text1"/>
                <w:spacing w:val="-11"/>
                <w:w w:val="110"/>
                <w:sz w:val="18"/>
              </w:rPr>
              <w:t xml:space="preserve"> </w:t>
            </w:r>
            <w:r w:rsidRPr="00FD40B8">
              <w:rPr>
                <w:color w:val="131727" w:themeColor="text1"/>
                <w:w w:val="110"/>
                <w:sz w:val="18"/>
              </w:rPr>
              <w:t>delivered.</w:t>
            </w:r>
          </w:p>
          <w:p w14:paraId="50AF8CCA" w14:textId="77777777" w:rsidR="00811887" w:rsidRPr="00FD40B8" w:rsidRDefault="00811887" w:rsidP="00486E22">
            <w:pPr>
              <w:pStyle w:val="TableParagraph"/>
              <w:spacing w:before="32" w:line="240" w:lineRule="auto"/>
              <w:rPr>
                <w:color w:val="131727" w:themeColor="text1"/>
                <w:sz w:val="18"/>
              </w:rPr>
            </w:pPr>
          </w:p>
          <w:p w14:paraId="79B8FF44" w14:textId="77777777" w:rsidR="00811887" w:rsidRPr="00FD40B8" w:rsidRDefault="00811887" w:rsidP="00486E22">
            <w:pPr>
              <w:pStyle w:val="TableParagraph"/>
              <w:spacing w:line="273" w:lineRule="auto"/>
              <w:ind w:left="101" w:right="259"/>
              <w:rPr>
                <w:color w:val="131727" w:themeColor="text1"/>
                <w:sz w:val="18"/>
              </w:rPr>
            </w:pPr>
            <w:r w:rsidRPr="00FD40B8">
              <w:rPr>
                <w:color w:val="131727" w:themeColor="text1"/>
                <w:w w:val="110"/>
                <w:sz w:val="18"/>
              </w:rPr>
              <w:t>Does not provide data on community</w:t>
            </w:r>
            <w:r w:rsidRPr="00FD40B8">
              <w:rPr>
                <w:color w:val="131727" w:themeColor="text1"/>
                <w:spacing w:val="-12"/>
                <w:w w:val="110"/>
                <w:sz w:val="18"/>
              </w:rPr>
              <w:t xml:space="preserve"> </w:t>
            </w:r>
            <w:r w:rsidRPr="00FD40B8">
              <w:rPr>
                <w:color w:val="131727" w:themeColor="text1"/>
                <w:w w:val="110"/>
                <w:sz w:val="18"/>
              </w:rPr>
              <w:t>infrastructure</w:t>
            </w:r>
            <w:r w:rsidRPr="00FD40B8">
              <w:rPr>
                <w:color w:val="131727" w:themeColor="text1"/>
                <w:spacing w:val="-11"/>
                <w:w w:val="110"/>
                <w:sz w:val="18"/>
              </w:rPr>
              <w:t xml:space="preserve"> </w:t>
            </w:r>
            <w:r w:rsidRPr="00FD40B8">
              <w:rPr>
                <w:color w:val="131727" w:themeColor="text1"/>
                <w:w w:val="110"/>
                <w:sz w:val="18"/>
              </w:rPr>
              <w:t xml:space="preserve">or </w:t>
            </w:r>
            <w:r w:rsidRPr="00FD40B8">
              <w:rPr>
                <w:color w:val="131727" w:themeColor="text1"/>
                <w:spacing w:val="-2"/>
                <w:w w:val="110"/>
                <w:sz w:val="18"/>
              </w:rPr>
              <w:t>services.</w:t>
            </w:r>
          </w:p>
        </w:tc>
      </w:tr>
    </w:tbl>
    <w:p w14:paraId="48EC37B9" w14:textId="77777777" w:rsidR="00811887" w:rsidRPr="00FD40B8" w:rsidRDefault="00811887" w:rsidP="00811887">
      <w:pPr>
        <w:pStyle w:val="BodyText"/>
        <w:rPr>
          <w:color w:val="131727" w:themeColor="text1"/>
        </w:rPr>
      </w:pPr>
    </w:p>
    <w:p w14:paraId="292296AA" w14:textId="77777777" w:rsidR="00811887" w:rsidRPr="00FD40B8" w:rsidRDefault="00811887" w:rsidP="00811887">
      <w:pPr>
        <w:pStyle w:val="BodyText"/>
        <w:rPr>
          <w:color w:val="131727" w:themeColor="text1"/>
        </w:rPr>
      </w:pPr>
    </w:p>
    <w:p w14:paraId="2EFAC529" w14:textId="77777777" w:rsidR="00811887" w:rsidRPr="00FD40B8" w:rsidRDefault="00811887" w:rsidP="00811887">
      <w:pPr>
        <w:pStyle w:val="BodyText"/>
        <w:spacing w:before="46"/>
        <w:rPr>
          <w:color w:val="131727" w:themeColor="text1"/>
        </w:rPr>
      </w:pPr>
    </w:p>
    <w:p w14:paraId="656A81B8" w14:textId="77777777" w:rsidR="00811887" w:rsidRPr="00FD40B8" w:rsidRDefault="00811887" w:rsidP="00811887">
      <w:pPr>
        <w:pStyle w:val="BodyText"/>
        <w:rPr>
          <w:color w:val="131727" w:themeColor="text1"/>
        </w:rPr>
      </w:pPr>
    </w:p>
    <w:p w14:paraId="41FF6927" w14:textId="77777777" w:rsidR="00811887" w:rsidRPr="00FD40B8" w:rsidRDefault="00811887" w:rsidP="00811887">
      <w:pPr>
        <w:pStyle w:val="BodyText"/>
        <w:rPr>
          <w:color w:val="131727" w:themeColor="text1"/>
        </w:rPr>
      </w:pPr>
    </w:p>
    <w:p w14:paraId="7E71D9ED" w14:textId="77777777" w:rsidR="00811887" w:rsidRPr="00FD40B8" w:rsidRDefault="00811887" w:rsidP="00811887">
      <w:pPr>
        <w:pStyle w:val="BodyText"/>
        <w:rPr>
          <w:color w:val="131727" w:themeColor="text1"/>
        </w:rPr>
      </w:pPr>
    </w:p>
    <w:p w14:paraId="70C2545A" w14:textId="77777777" w:rsidR="00811887" w:rsidRPr="00FD40B8" w:rsidRDefault="00811887" w:rsidP="00811887">
      <w:pPr>
        <w:pStyle w:val="BodyText"/>
        <w:rPr>
          <w:color w:val="131727" w:themeColor="text1"/>
        </w:rPr>
      </w:pPr>
    </w:p>
    <w:p w14:paraId="6A2AF941" w14:textId="77777777" w:rsidR="00811887" w:rsidRPr="00FD40B8" w:rsidRDefault="00811887" w:rsidP="00811887">
      <w:pPr>
        <w:pStyle w:val="BodyText"/>
        <w:rPr>
          <w:color w:val="131727" w:themeColor="text1"/>
        </w:rPr>
      </w:pPr>
    </w:p>
    <w:p w14:paraId="0DA9167F" w14:textId="77777777" w:rsidR="00811887" w:rsidRPr="00FD40B8" w:rsidRDefault="00811887" w:rsidP="00811887">
      <w:pPr>
        <w:pStyle w:val="BodyText"/>
        <w:rPr>
          <w:color w:val="131727" w:themeColor="text1"/>
        </w:rPr>
      </w:pPr>
    </w:p>
    <w:p w14:paraId="2AD0BE7C" w14:textId="77777777" w:rsidR="00811887" w:rsidRPr="00FD40B8" w:rsidRDefault="00811887" w:rsidP="00811887">
      <w:pPr>
        <w:pStyle w:val="BodyText"/>
        <w:spacing w:before="87"/>
        <w:rPr>
          <w:color w:val="131727" w:themeColor="text1"/>
        </w:rPr>
      </w:pPr>
      <w:r w:rsidRPr="00FD40B8">
        <w:rPr>
          <w:noProof/>
          <w:color w:val="131727" w:themeColor="text1"/>
        </w:rPr>
        <mc:AlternateContent>
          <mc:Choice Requires="wps">
            <w:drawing>
              <wp:anchor distT="0" distB="0" distL="0" distR="0" simplePos="0" relativeHeight="251781120" behindDoc="1" locked="0" layoutInCell="1" allowOverlap="1" wp14:anchorId="6E8C4626" wp14:editId="166C1658">
                <wp:simplePos x="0" y="0"/>
                <wp:positionH relativeFrom="page">
                  <wp:posOffset>899464</wp:posOffset>
                </wp:positionH>
                <wp:positionV relativeFrom="paragraph">
                  <wp:posOffset>225600</wp:posOffset>
                </wp:positionV>
                <wp:extent cx="1829435" cy="6350"/>
                <wp:effectExtent l="0" t="0" r="0" b="0"/>
                <wp:wrapTopAndBottom/>
                <wp:docPr id="247" name="Graphic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90FCD" id="Graphic 247" o:spid="_x0000_s1026" alt="&quot;&quot;" style="position:absolute;margin-left:70.8pt;margin-top:17.75pt;width:144.05pt;height:.5pt;z-index:-2515353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" path="m1829435,l,,,6095r1829435,l1829435,xe" fillcolor="black" stroked="f">
                <v:path arrowok="t"/>
                <w10:wrap type="topAndBottom" anchorx="page"/>
              </v:shape>
            </w:pict>
          </mc:Fallback>
        </mc:AlternateContent>
      </w:r>
    </w:p>
    <w:p w14:paraId="2528654E" w14:textId="77777777" w:rsidR="00811887" w:rsidRPr="00FD40B8" w:rsidRDefault="00811887" w:rsidP="00811887">
      <w:pPr>
        <w:spacing w:before="123" w:line="266" w:lineRule="auto"/>
        <w:ind w:left="136" w:right="1768"/>
        <w:rPr>
          <w:color w:val="131727" w:themeColor="text1"/>
          <w:sz w:val="16"/>
        </w:rPr>
      </w:pPr>
      <w:bookmarkStart w:id="236" w:name="_bookmark125"/>
      <w:bookmarkEnd w:id="236"/>
      <w:r w:rsidRPr="00FD40B8">
        <w:rPr>
          <w:color w:val="131727" w:themeColor="text1"/>
          <w:w w:val="105"/>
          <w:position w:val="6"/>
          <w:sz w:val="10"/>
        </w:rPr>
        <w:t>100</w:t>
      </w:r>
      <w:r w:rsidRPr="00FD40B8">
        <w:rPr>
          <w:color w:val="131727" w:themeColor="text1"/>
          <w:spacing w:val="40"/>
          <w:w w:val="105"/>
          <w:position w:val="6"/>
          <w:sz w:val="10"/>
        </w:rPr>
        <w:t xml:space="preserve"> </w:t>
      </w:r>
      <w:r w:rsidRPr="00FD40B8">
        <w:rPr>
          <w:color w:val="131727" w:themeColor="text1"/>
          <w:w w:val="105"/>
          <w:sz w:val="16"/>
        </w:rPr>
        <w:t>Federal Financial Relations</w:t>
      </w:r>
      <w:r w:rsidRPr="00FD40B8">
        <w:rPr>
          <w:color w:val="131727" w:themeColor="text1"/>
          <w:spacing w:val="27"/>
          <w:w w:val="105"/>
          <w:sz w:val="16"/>
        </w:rPr>
        <w:t xml:space="preserve"> </w:t>
      </w:r>
      <w:r w:rsidRPr="00FD40B8">
        <w:rPr>
          <w:color w:val="131727" w:themeColor="text1"/>
          <w:w w:val="105"/>
          <w:sz w:val="16"/>
        </w:rPr>
        <w:t>2023.</w:t>
      </w:r>
      <w:r w:rsidRPr="00FD40B8">
        <w:rPr>
          <w:color w:val="131727" w:themeColor="text1"/>
          <w:spacing w:val="30"/>
          <w:w w:val="105"/>
          <w:sz w:val="16"/>
        </w:rPr>
        <w:t xml:space="preserve"> </w:t>
      </w:r>
      <w:r w:rsidRPr="00FD40B8">
        <w:rPr>
          <w:color w:val="131727" w:themeColor="text1"/>
          <w:w w:val="105"/>
          <w:sz w:val="16"/>
        </w:rPr>
        <w:t>Northern</w:t>
      </w:r>
      <w:r w:rsidRPr="00FD40B8">
        <w:rPr>
          <w:color w:val="131727" w:themeColor="text1"/>
          <w:spacing w:val="33"/>
          <w:w w:val="105"/>
          <w:sz w:val="16"/>
        </w:rPr>
        <w:t xml:space="preserve"> </w:t>
      </w:r>
      <w:r w:rsidRPr="00FD40B8">
        <w:rPr>
          <w:color w:val="131727" w:themeColor="text1"/>
          <w:w w:val="105"/>
          <w:sz w:val="16"/>
        </w:rPr>
        <w:t>Territory</w:t>
      </w:r>
      <w:r w:rsidRPr="00FD40B8">
        <w:rPr>
          <w:color w:val="131727" w:themeColor="text1"/>
          <w:spacing w:val="28"/>
          <w:w w:val="105"/>
          <w:sz w:val="16"/>
        </w:rPr>
        <w:t xml:space="preserve"> </w:t>
      </w:r>
      <w:r w:rsidRPr="00FD40B8">
        <w:rPr>
          <w:color w:val="131727" w:themeColor="text1"/>
          <w:w w:val="105"/>
          <w:sz w:val="16"/>
        </w:rPr>
        <w:t>Remote</w:t>
      </w:r>
      <w:r w:rsidRPr="00FD40B8">
        <w:rPr>
          <w:color w:val="131727" w:themeColor="text1"/>
          <w:spacing w:val="28"/>
          <w:w w:val="105"/>
          <w:sz w:val="16"/>
        </w:rPr>
        <w:t xml:space="preserve"> </w:t>
      </w:r>
      <w:r w:rsidRPr="00FD40B8">
        <w:rPr>
          <w:color w:val="131727" w:themeColor="text1"/>
          <w:w w:val="105"/>
          <w:sz w:val="16"/>
        </w:rPr>
        <w:t>Housing.</w:t>
      </w:r>
      <w:r w:rsidRPr="00FD40B8">
        <w:rPr>
          <w:color w:val="131727" w:themeColor="text1"/>
          <w:spacing w:val="40"/>
          <w:w w:val="105"/>
          <w:sz w:val="16"/>
        </w:rPr>
        <w:t xml:space="preserve"> </w:t>
      </w:r>
      <w:r w:rsidRPr="00FD40B8">
        <w:rPr>
          <w:color w:val="131727" w:themeColor="text1"/>
          <w:w w:val="105"/>
          <w:sz w:val="16"/>
        </w:rPr>
        <w:t>Available</w:t>
      </w:r>
      <w:r w:rsidRPr="00FD40B8">
        <w:rPr>
          <w:color w:val="131727" w:themeColor="text1"/>
          <w:spacing w:val="28"/>
          <w:w w:val="105"/>
          <w:sz w:val="16"/>
        </w:rPr>
        <w:t xml:space="preserve"> </w:t>
      </w:r>
      <w:r w:rsidRPr="00FD40B8">
        <w:rPr>
          <w:color w:val="131727" w:themeColor="text1"/>
          <w:w w:val="105"/>
          <w:sz w:val="16"/>
        </w:rPr>
        <w:t>at:</w:t>
      </w:r>
      <w:r w:rsidRPr="00FD40B8">
        <w:rPr>
          <w:color w:val="131727" w:themeColor="text1"/>
          <w:spacing w:val="33"/>
          <w:w w:val="105"/>
          <w:sz w:val="16"/>
        </w:rPr>
        <w:t xml:space="preserve"> </w:t>
      </w:r>
      <w:r w:rsidRPr="00FD40B8">
        <w:rPr>
          <w:color w:val="131727" w:themeColor="text1"/>
          <w:w w:val="105"/>
          <w:sz w:val="16"/>
        </w:rPr>
        <w:t>https://federalfinancialrelations.gov.au/sites/federalfinancialrelations.gov.au/files/2023-</w:t>
      </w:r>
      <w:r w:rsidRPr="00FD40B8">
        <w:rPr>
          <w:color w:val="131727" w:themeColor="text1"/>
          <w:spacing w:val="40"/>
          <w:w w:val="105"/>
          <w:sz w:val="16"/>
        </w:rPr>
        <w:t xml:space="preserve"> </w:t>
      </w:r>
      <w:r w:rsidRPr="00FD40B8">
        <w:rPr>
          <w:color w:val="131727" w:themeColor="text1"/>
          <w:spacing w:val="-2"/>
          <w:w w:val="105"/>
          <w:sz w:val="16"/>
        </w:rPr>
        <w:t>06/Northern%20Territory%20Remote%20Housing%20-%20signed.pdf</w:t>
      </w:r>
    </w:p>
    <w:p w14:paraId="19C3150A" w14:textId="77777777" w:rsidR="00811887" w:rsidRPr="00FD40B8" w:rsidRDefault="00811887" w:rsidP="00811887">
      <w:pPr>
        <w:spacing w:line="266" w:lineRule="auto"/>
        <w:rPr>
          <w:color w:val="131727" w:themeColor="text1"/>
          <w:sz w:val="16"/>
        </w:rPr>
        <w:sectPr w:rsidR="00811887" w:rsidRPr="00FD40B8" w:rsidSect="00811887">
          <w:pgSz w:w="16840" w:h="11910" w:orient="landscape"/>
          <w:pgMar w:top="1220" w:right="1300" w:bottom="1080" w:left="1280" w:header="0" w:footer="800" w:gutter="0"/>
          <w:cols w:space="720"/>
        </w:sectPr>
      </w:pPr>
    </w:p>
    <w:p w14:paraId="6C0AE0D8" w14:textId="77777777" w:rsidR="00811887" w:rsidRPr="00FD40B8" w:rsidRDefault="00811887" w:rsidP="00811887">
      <w:pPr>
        <w:pStyle w:val="BodyText"/>
        <w:rPr>
          <w:color w:val="131727" w:themeColor="text1"/>
        </w:rPr>
      </w:pPr>
      <w:r w:rsidRPr="00FD40B8">
        <w:rPr>
          <w:noProof/>
          <w:color w:val="131727" w:themeColor="text1"/>
        </w:rPr>
        <w:lastRenderedPageBreak/>
        <mc:AlternateContent>
          <mc:Choice Requires="wpg">
            <w:drawing>
              <wp:anchor distT="0" distB="0" distL="0" distR="0" simplePos="0" relativeHeight="251694080" behindDoc="1" locked="0" layoutInCell="1" allowOverlap="1" wp14:anchorId="4BA1EF3B" wp14:editId="1E638C4B">
                <wp:simplePos x="0" y="0"/>
                <wp:positionH relativeFrom="page">
                  <wp:posOffset>0</wp:posOffset>
                </wp:positionH>
                <wp:positionV relativeFrom="page">
                  <wp:posOffset>-2</wp:posOffset>
                </wp:positionV>
                <wp:extent cx="7545705" cy="10669905"/>
                <wp:effectExtent l="0" t="0" r="0" b="0"/>
                <wp:wrapNone/>
                <wp:docPr id="248" name="Group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705" cy="10669905"/>
                          <a:chOff x="0" y="0"/>
                          <a:chExt cx="7545705" cy="10669905"/>
                        </a:xfrm>
                      </wpg:grpSpPr>
                      <pic:pic xmlns:pic="http://schemas.openxmlformats.org/drawingml/2006/picture">
                        <pic:nvPicPr>
                          <pic:cNvPr id="249" name="Image 249"/>
                          <pic:cNvPicPr/>
                        </pic:nvPicPr>
                        <pic:blipFill>
                          <a:blip r:embed="rId136" cstate="print"/>
                          <a:stretch>
                            <a:fillRect/>
                          </a:stretch>
                        </pic:blipFill>
                        <pic:spPr>
                          <a:xfrm>
                            <a:off x="0" y="0"/>
                            <a:ext cx="7545578" cy="10669905"/>
                          </a:xfrm>
                          <a:prstGeom prst="rect">
                            <a:avLst/>
                          </a:prstGeom>
                        </pic:spPr>
                      </pic:pic>
                      <pic:pic xmlns:pic="http://schemas.openxmlformats.org/drawingml/2006/picture">
                        <pic:nvPicPr>
                          <pic:cNvPr id="250" name="Image 250" descr="Logo  Description automatically generated"/>
                          <pic:cNvPicPr/>
                        </pic:nvPicPr>
                        <pic:blipFill>
                          <a:blip r:embed="rId137" cstate="print"/>
                          <a:stretch>
                            <a:fillRect/>
                          </a:stretch>
                        </pic:blipFill>
                        <pic:spPr>
                          <a:xfrm>
                            <a:off x="791844" y="900432"/>
                            <a:ext cx="1979802" cy="1192529"/>
                          </a:xfrm>
                          <a:prstGeom prst="rect">
                            <a:avLst/>
                          </a:prstGeom>
                        </pic:spPr>
                      </pic:pic>
                    </wpg:wgp>
                  </a:graphicData>
                </a:graphic>
              </wp:anchor>
            </w:drawing>
          </mc:Choice>
          <mc:Fallback>
            <w:pict>
              <v:group w14:anchorId="797B15BC" id="Group 248" o:spid="_x0000_s1026" alt="&quot;&quot;" style="position:absolute;margin-left:0;margin-top:0;width:594.15pt;height:840.15pt;z-index:-251622400;mso-wrap-distance-left:0;mso-wrap-distance-right:0;mso-position-horizontal-relative:page;mso-position-vertical-relative:page" coordsize="75457,1066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KKKK1Pn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kYGaAEoozmigAooooAKKKKACijGaMYoAKKKK&#10;ACiiigAooooAKKBzRQAUUUUAFFFFABRSE4pRyOtABRSZ5xS0AFFFFABRRRQAUUUUAFFFFABRRRQA&#10;UUUUAFFFFABRRRQAUUUUAFFGcUZzQFgopMg0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oOKSigAPzdelJtx0A/K&#10;looAOcYzn3NFFFABRRRQAUAkHJJNFFABk5/xooooAKKKKACiiigABxR2xxn6UUUAHO3GcH2FH15P&#10;rRRQAUUUUAFFFFACUf55paKADnGM59zRRRQAUUUUAGM0cnqaKKAEA56D64pc0UUAFFFFABRRRQAY&#10;zR07A/UUUUAAJA+9j6ClJyOevrSUUAFFFFABQKKKAAgH/wDVSAbemPypaKAFJJHWkoooAKKKKAAf&#10;l9KCAetFFACbcdDj8KXJ74oooAKKKKACiiigBQffFBx6D64pKKABPloP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jn0NGKACiiigAooooAKKKTI9aAFooooAKKKKACiiigAoo7UZHrQAUUYooAKKK&#10;KACiigDNABRQRilwQKAEooooAKKKKACigAnpR0oAKKKKACiiigAooooAKKUjAzSde1ABRQeDiigA&#10;ooooAKKKKACiilwQKAEooooAKKKKACigAnoM0dO1ABRRRQAUUUUAFFFFABRQOT0oxigAooooAKKK&#10;KACiignFABRQSAMk0UAFFFFABRRRQAUUYzRg+hoAKKUgik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LBRRRQA&#10;UUUUAFFFFABRRRQAUUUUAFFFFABRRRQAUUUUAFFFFABRRRQAUUUUAFFFFABRRRQAUUUUAFFFFABR&#10;RRQAUUUUAFFFFAWCiiigAooooAKKKKACiiigAooooAKKKKACiiigAooooAKKKKACiiigAooooC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YNAW&#10;CiiigAooooAKKKKACiiigAooooAKKKKACiiigAooooAKKKKACiiigAooowaACiiigAooooAKKKKA&#10;CiiigAooooAKKKKACiiigLBRRRQAUUUUAFFFFABRRRQAUUUUAFFFFABRRRQAUUUUAFFFFABRRRQA&#10;UUUUB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gDNA&#10;BRRj8Kb50f8Az0XPpmi4DqKRXVzhWDH0FLn8/SgAooooAKKKKACimtIiNtZwp9DQJoyceYufrQA6&#10;ijocUUAFFFFABRRQxCDLEKPegAopvmx95FH40oIK5ByPagBaKBzRQAUUUUAFFB4GaZ5yAcuB7Zou&#10;A+ikV1fowNLQAUUUUAFFFHQZoAKKb5qd3A+poEiE8Op/GgB1FLjjrmkoAKKKKACiikZ1T7xC/WgB&#10;aKaJYz/y0X86d2yOR60AFFFFABRRRQAUUhOBnFN86MdXAPpmi4D6KRGD9OnrTiMd8j1FAC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">
                <v:shape id="Image 249" o:spid="_x0000_s1027" type="#_x0000_t75" style="position:absolute;width:75455;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">
                  <v:imagedata r:id="rId138" o:title=""/>
                </v:shape>
                <v:shape id="Image 250" o:spid="_x0000_s1028" type="#_x0000_t75" alt="Logo  Description automatically generated" style="position:absolute;left:7918;top:9004;width:19798;height:1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">
                  <v:imagedata r:id="rId139" o:title="Logo  Description automatically generated"/>
                </v:shape>
                <w10:wrap anchorx="page" anchory="page"/>
              </v:group>
            </w:pict>
          </mc:Fallback>
        </mc:AlternateContent>
      </w:r>
    </w:p>
    <w:p w14:paraId="7860B1DB" w14:textId="77777777" w:rsidR="00811887" w:rsidRPr="00FD40B8" w:rsidRDefault="00811887" w:rsidP="00811887">
      <w:pPr>
        <w:pStyle w:val="BodyText"/>
        <w:rPr>
          <w:color w:val="131727" w:themeColor="text1"/>
        </w:rPr>
      </w:pPr>
    </w:p>
    <w:p w14:paraId="30941446" w14:textId="77777777" w:rsidR="00811887" w:rsidRPr="00FD40B8" w:rsidRDefault="00811887" w:rsidP="00811887">
      <w:pPr>
        <w:pStyle w:val="BodyText"/>
        <w:rPr>
          <w:color w:val="131727" w:themeColor="text1"/>
        </w:rPr>
      </w:pPr>
    </w:p>
    <w:p w14:paraId="3BDA82B1" w14:textId="77777777" w:rsidR="00811887" w:rsidRPr="00FD40B8" w:rsidRDefault="00811887" w:rsidP="00811887">
      <w:pPr>
        <w:pStyle w:val="BodyText"/>
        <w:rPr>
          <w:color w:val="131727" w:themeColor="text1"/>
        </w:rPr>
      </w:pPr>
    </w:p>
    <w:p w14:paraId="48D4A228" w14:textId="77777777" w:rsidR="00811887" w:rsidRPr="00FD40B8" w:rsidRDefault="00811887" w:rsidP="00811887">
      <w:pPr>
        <w:pStyle w:val="BodyText"/>
        <w:rPr>
          <w:color w:val="131727" w:themeColor="text1"/>
        </w:rPr>
      </w:pPr>
    </w:p>
    <w:p w14:paraId="205DBAEA" w14:textId="77777777" w:rsidR="00811887" w:rsidRPr="00FD40B8" w:rsidRDefault="00811887" w:rsidP="00811887">
      <w:pPr>
        <w:pStyle w:val="BodyText"/>
        <w:rPr>
          <w:color w:val="131727" w:themeColor="text1"/>
        </w:rPr>
      </w:pPr>
    </w:p>
    <w:p w14:paraId="46D86971" w14:textId="77777777" w:rsidR="00811887" w:rsidRPr="00FD40B8" w:rsidRDefault="00811887" w:rsidP="00811887">
      <w:pPr>
        <w:pStyle w:val="BodyText"/>
        <w:rPr>
          <w:color w:val="131727" w:themeColor="text1"/>
        </w:rPr>
      </w:pPr>
    </w:p>
    <w:p w14:paraId="7751E3FF" w14:textId="77777777" w:rsidR="00811887" w:rsidRPr="00FD40B8" w:rsidRDefault="00811887" w:rsidP="00811887">
      <w:pPr>
        <w:pStyle w:val="BodyText"/>
        <w:rPr>
          <w:color w:val="131727" w:themeColor="text1"/>
        </w:rPr>
      </w:pPr>
    </w:p>
    <w:p w14:paraId="1BA4A693" w14:textId="77777777" w:rsidR="00811887" w:rsidRPr="00FD40B8" w:rsidRDefault="00811887" w:rsidP="00811887">
      <w:pPr>
        <w:pStyle w:val="BodyText"/>
        <w:rPr>
          <w:color w:val="131727" w:themeColor="text1"/>
        </w:rPr>
      </w:pPr>
    </w:p>
    <w:p w14:paraId="16970F7A" w14:textId="77777777" w:rsidR="00811887" w:rsidRPr="00FD40B8" w:rsidRDefault="00811887" w:rsidP="00811887">
      <w:pPr>
        <w:pStyle w:val="BodyText"/>
        <w:rPr>
          <w:color w:val="131727" w:themeColor="text1"/>
        </w:rPr>
      </w:pPr>
    </w:p>
    <w:p w14:paraId="3C396608" w14:textId="77777777" w:rsidR="00811887" w:rsidRPr="00FD40B8" w:rsidRDefault="00811887" w:rsidP="00811887">
      <w:pPr>
        <w:pStyle w:val="BodyText"/>
        <w:rPr>
          <w:color w:val="131727" w:themeColor="text1"/>
        </w:rPr>
      </w:pPr>
    </w:p>
    <w:p w14:paraId="010C08EB" w14:textId="77777777" w:rsidR="00811887" w:rsidRPr="00FD40B8" w:rsidRDefault="00811887" w:rsidP="00811887">
      <w:pPr>
        <w:pStyle w:val="BodyText"/>
        <w:rPr>
          <w:color w:val="131727" w:themeColor="text1"/>
        </w:rPr>
      </w:pPr>
    </w:p>
    <w:p w14:paraId="45BEC1D7" w14:textId="77777777" w:rsidR="00811887" w:rsidRPr="00FD40B8" w:rsidRDefault="00811887" w:rsidP="00811887">
      <w:pPr>
        <w:pStyle w:val="BodyText"/>
        <w:rPr>
          <w:color w:val="131727" w:themeColor="text1"/>
        </w:rPr>
      </w:pPr>
    </w:p>
    <w:p w14:paraId="421F1DDD" w14:textId="77777777" w:rsidR="00811887" w:rsidRPr="00FD40B8" w:rsidRDefault="00811887" w:rsidP="00811887">
      <w:pPr>
        <w:pStyle w:val="BodyText"/>
        <w:rPr>
          <w:color w:val="131727" w:themeColor="text1"/>
        </w:rPr>
      </w:pPr>
    </w:p>
    <w:p w14:paraId="3EC97489" w14:textId="77777777" w:rsidR="00811887" w:rsidRPr="00FD40B8" w:rsidRDefault="00811887" w:rsidP="00811887">
      <w:pPr>
        <w:pStyle w:val="BodyText"/>
        <w:rPr>
          <w:color w:val="131727" w:themeColor="text1"/>
        </w:rPr>
      </w:pPr>
    </w:p>
    <w:p w14:paraId="51889006" w14:textId="77777777" w:rsidR="00811887" w:rsidRPr="00FD40B8" w:rsidRDefault="00811887" w:rsidP="00811887">
      <w:pPr>
        <w:pStyle w:val="BodyText"/>
        <w:rPr>
          <w:color w:val="131727" w:themeColor="text1"/>
        </w:rPr>
      </w:pPr>
    </w:p>
    <w:p w14:paraId="7F0A115D" w14:textId="77777777" w:rsidR="00811887" w:rsidRPr="00FD40B8" w:rsidRDefault="00811887" w:rsidP="00811887">
      <w:pPr>
        <w:pStyle w:val="BodyText"/>
        <w:rPr>
          <w:color w:val="131727" w:themeColor="text1"/>
        </w:rPr>
      </w:pPr>
    </w:p>
    <w:p w14:paraId="40491F29" w14:textId="77777777" w:rsidR="00811887" w:rsidRPr="00FD40B8" w:rsidRDefault="00811887" w:rsidP="00811887">
      <w:pPr>
        <w:pStyle w:val="BodyText"/>
        <w:rPr>
          <w:color w:val="131727" w:themeColor="text1"/>
        </w:rPr>
      </w:pPr>
    </w:p>
    <w:p w14:paraId="503D43D5" w14:textId="77777777" w:rsidR="00811887" w:rsidRPr="00FD40B8" w:rsidRDefault="00811887" w:rsidP="00811887">
      <w:pPr>
        <w:pStyle w:val="BodyText"/>
        <w:rPr>
          <w:color w:val="131727" w:themeColor="text1"/>
        </w:rPr>
      </w:pPr>
    </w:p>
    <w:p w14:paraId="59601759" w14:textId="77777777" w:rsidR="00811887" w:rsidRPr="00FD40B8" w:rsidRDefault="00811887" w:rsidP="00811887">
      <w:pPr>
        <w:pStyle w:val="BodyText"/>
        <w:rPr>
          <w:color w:val="131727" w:themeColor="text1"/>
        </w:rPr>
      </w:pPr>
    </w:p>
    <w:p w14:paraId="566C8A6C" w14:textId="77777777" w:rsidR="00811887" w:rsidRPr="00FD40B8" w:rsidRDefault="00811887" w:rsidP="00811887">
      <w:pPr>
        <w:pStyle w:val="BodyText"/>
        <w:rPr>
          <w:color w:val="131727" w:themeColor="text1"/>
        </w:rPr>
      </w:pPr>
    </w:p>
    <w:p w14:paraId="1D0729F4" w14:textId="77777777" w:rsidR="00811887" w:rsidRPr="00FD40B8" w:rsidRDefault="00811887" w:rsidP="00811887">
      <w:pPr>
        <w:pStyle w:val="BodyText"/>
        <w:rPr>
          <w:color w:val="131727" w:themeColor="text1"/>
        </w:rPr>
      </w:pPr>
    </w:p>
    <w:p w14:paraId="36E12B84" w14:textId="77777777" w:rsidR="00811887" w:rsidRPr="00FD40B8" w:rsidRDefault="00811887" w:rsidP="00811887">
      <w:pPr>
        <w:pStyle w:val="BodyText"/>
        <w:rPr>
          <w:color w:val="131727" w:themeColor="text1"/>
        </w:rPr>
      </w:pPr>
    </w:p>
    <w:p w14:paraId="774F316E" w14:textId="77777777" w:rsidR="00811887" w:rsidRPr="00FD40B8" w:rsidRDefault="00811887" w:rsidP="00811887">
      <w:pPr>
        <w:pStyle w:val="BodyText"/>
        <w:rPr>
          <w:color w:val="131727" w:themeColor="text1"/>
        </w:rPr>
      </w:pPr>
    </w:p>
    <w:p w14:paraId="342837EE" w14:textId="77777777" w:rsidR="00811887" w:rsidRPr="00FD40B8" w:rsidRDefault="00811887" w:rsidP="00811887">
      <w:pPr>
        <w:pStyle w:val="BodyText"/>
        <w:rPr>
          <w:color w:val="131727" w:themeColor="text1"/>
        </w:rPr>
      </w:pPr>
    </w:p>
    <w:p w14:paraId="05F67FC1" w14:textId="77777777" w:rsidR="00811887" w:rsidRPr="00FD40B8" w:rsidRDefault="00811887" w:rsidP="00811887">
      <w:pPr>
        <w:pStyle w:val="BodyText"/>
        <w:rPr>
          <w:color w:val="131727" w:themeColor="text1"/>
        </w:rPr>
      </w:pPr>
    </w:p>
    <w:p w14:paraId="5C8FBDDE" w14:textId="77777777" w:rsidR="00811887" w:rsidRPr="00FD40B8" w:rsidRDefault="00811887" w:rsidP="00811887">
      <w:pPr>
        <w:pStyle w:val="BodyText"/>
        <w:rPr>
          <w:color w:val="131727" w:themeColor="text1"/>
        </w:rPr>
      </w:pPr>
    </w:p>
    <w:p w14:paraId="1173D4AE" w14:textId="77777777" w:rsidR="00811887" w:rsidRPr="00FD40B8" w:rsidRDefault="00811887" w:rsidP="00811887">
      <w:pPr>
        <w:pStyle w:val="BodyText"/>
        <w:rPr>
          <w:color w:val="131727" w:themeColor="text1"/>
        </w:rPr>
      </w:pPr>
    </w:p>
    <w:p w14:paraId="23B2C153" w14:textId="77777777" w:rsidR="00811887" w:rsidRPr="00FD40B8" w:rsidRDefault="00811887" w:rsidP="00811887">
      <w:pPr>
        <w:pStyle w:val="BodyText"/>
        <w:rPr>
          <w:color w:val="131727" w:themeColor="text1"/>
        </w:rPr>
      </w:pPr>
    </w:p>
    <w:p w14:paraId="1BAF43C7" w14:textId="77777777" w:rsidR="00811887" w:rsidRPr="00FD40B8" w:rsidRDefault="00811887" w:rsidP="00811887">
      <w:pPr>
        <w:pStyle w:val="BodyText"/>
        <w:rPr>
          <w:color w:val="131727" w:themeColor="text1"/>
        </w:rPr>
      </w:pPr>
    </w:p>
    <w:p w14:paraId="2DC7ECBB" w14:textId="77777777" w:rsidR="00811887" w:rsidRPr="00FD40B8" w:rsidRDefault="00811887" w:rsidP="00811887">
      <w:pPr>
        <w:pStyle w:val="BodyText"/>
        <w:rPr>
          <w:color w:val="131727" w:themeColor="text1"/>
        </w:rPr>
      </w:pPr>
    </w:p>
    <w:p w14:paraId="69D187B1" w14:textId="77777777" w:rsidR="00811887" w:rsidRPr="00FD40B8" w:rsidRDefault="00811887" w:rsidP="00811887">
      <w:pPr>
        <w:pStyle w:val="BodyText"/>
        <w:rPr>
          <w:color w:val="131727" w:themeColor="text1"/>
        </w:rPr>
      </w:pPr>
    </w:p>
    <w:p w14:paraId="264F6F43" w14:textId="77777777" w:rsidR="00811887" w:rsidRPr="00FD40B8" w:rsidRDefault="00811887" w:rsidP="00811887">
      <w:pPr>
        <w:pStyle w:val="BodyText"/>
        <w:rPr>
          <w:color w:val="131727" w:themeColor="text1"/>
        </w:rPr>
      </w:pPr>
    </w:p>
    <w:p w14:paraId="506C2EA3" w14:textId="77777777" w:rsidR="00811887" w:rsidRPr="00FD40B8" w:rsidRDefault="00811887" w:rsidP="00811887">
      <w:pPr>
        <w:pStyle w:val="BodyText"/>
        <w:rPr>
          <w:color w:val="131727" w:themeColor="text1"/>
        </w:rPr>
      </w:pPr>
    </w:p>
    <w:p w14:paraId="61460020" w14:textId="77777777" w:rsidR="00811887" w:rsidRPr="00FD40B8" w:rsidRDefault="00811887" w:rsidP="00811887">
      <w:pPr>
        <w:pStyle w:val="BodyText"/>
        <w:rPr>
          <w:color w:val="131727" w:themeColor="text1"/>
        </w:rPr>
      </w:pPr>
    </w:p>
    <w:p w14:paraId="557FAE74" w14:textId="77777777" w:rsidR="00811887" w:rsidRPr="00FD40B8" w:rsidRDefault="00811887" w:rsidP="00811887">
      <w:pPr>
        <w:pStyle w:val="BodyText"/>
        <w:rPr>
          <w:color w:val="131727" w:themeColor="text1"/>
        </w:rPr>
      </w:pPr>
    </w:p>
    <w:p w14:paraId="1E548863" w14:textId="77777777" w:rsidR="00811887" w:rsidRPr="00FD40B8" w:rsidRDefault="00811887" w:rsidP="00811887">
      <w:pPr>
        <w:pStyle w:val="BodyText"/>
        <w:rPr>
          <w:color w:val="131727" w:themeColor="text1"/>
        </w:rPr>
      </w:pPr>
    </w:p>
    <w:p w14:paraId="2C00F530" w14:textId="77777777" w:rsidR="00811887" w:rsidRPr="00FD40B8" w:rsidRDefault="00811887" w:rsidP="00811887">
      <w:pPr>
        <w:pStyle w:val="BodyText"/>
        <w:rPr>
          <w:color w:val="131727" w:themeColor="text1"/>
        </w:rPr>
      </w:pPr>
    </w:p>
    <w:p w14:paraId="3BCB0742" w14:textId="77777777" w:rsidR="00811887" w:rsidRPr="00FD40B8" w:rsidRDefault="00811887" w:rsidP="00811887">
      <w:pPr>
        <w:pStyle w:val="BodyText"/>
        <w:rPr>
          <w:color w:val="131727" w:themeColor="text1"/>
        </w:rPr>
      </w:pPr>
    </w:p>
    <w:p w14:paraId="76E23A20" w14:textId="77777777" w:rsidR="00811887" w:rsidRPr="00FD40B8" w:rsidRDefault="00811887" w:rsidP="00811887">
      <w:pPr>
        <w:pStyle w:val="BodyText"/>
        <w:rPr>
          <w:color w:val="131727" w:themeColor="text1"/>
        </w:rPr>
      </w:pPr>
    </w:p>
    <w:p w14:paraId="5FDCE4F2" w14:textId="77777777" w:rsidR="00811887" w:rsidRPr="00FD40B8" w:rsidRDefault="00811887" w:rsidP="00811887">
      <w:pPr>
        <w:pStyle w:val="BodyText"/>
        <w:rPr>
          <w:color w:val="131727" w:themeColor="text1"/>
        </w:rPr>
      </w:pPr>
    </w:p>
    <w:p w14:paraId="3847F38D" w14:textId="77777777" w:rsidR="00811887" w:rsidRPr="00FD40B8" w:rsidRDefault="00811887" w:rsidP="00811887">
      <w:pPr>
        <w:pStyle w:val="BodyText"/>
        <w:rPr>
          <w:color w:val="131727" w:themeColor="text1"/>
        </w:rPr>
      </w:pPr>
    </w:p>
    <w:p w14:paraId="3B5747AF" w14:textId="77777777" w:rsidR="00811887" w:rsidRPr="00FD40B8" w:rsidRDefault="00811887" w:rsidP="00811887">
      <w:pPr>
        <w:pStyle w:val="BodyText"/>
        <w:rPr>
          <w:color w:val="131727" w:themeColor="text1"/>
        </w:rPr>
      </w:pPr>
    </w:p>
    <w:p w14:paraId="1E65C7CA" w14:textId="77777777" w:rsidR="00811887" w:rsidRPr="00FD40B8" w:rsidRDefault="00811887" w:rsidP="00811887">
      <w:pPr>
        <w:pStyle w:val="BodyText"/>
        <w:rPr>
          <w:color w:val="131727" w:themeColor="text1"/>
        </w:rPr>
      </w:pPr>
    </w:p>
    <w:p w14:paraId="41AE413C" w14:textId="77777777" w:rsidR="00811887" w:rsidRPr="00FD40B8" w:rsidRDefault="00811887" w:rsidP="00811887">
      <w:pPr>
        <w:pStyle w:val="BodyText"/>
        <w:rPr>
          <w:color w:val="131727" w:themeColor="text1"/>
        </w:rPr>
      </w:pPr>
    </w:p>
    <w:p w14:paraId="5509851F" w14:textId="77777777" w:rsidR="00811887" w:rsidRPr="00FD40B8" w:rsidRDefault="00811887" w:rsidP="00811887">
      <w:pPr>
        <w:pStyle w:val="BodyText"/>
        <w:spacing w:before="207"/>
        <w:rPr>
          <w:color w:val="131727" w:themeColor="text1"/>
        </w:rPr>
      </w:pPr>
    </w:p>
    <w:tbl>
      <w:tblPr>
        <w:tblW w:w="0" w:type="auto"/>
        <w:tblInd w:w="121" w:type="dxa"/>
        <w:tblLayout w:type="fixed"/>
        <w:tblCellMar>
          <w:left w:w="0" w:type="dxa"/>
          <w:right w:w="0" w:type="dxa"/>
        </w:tblCellMar>
        <w:tblLook w:val="01E0" w:firstRow="1" w:lastRow="1" w:firstColumn="1" w:lastColumn="1" w:noHBand="0" w:noVBand="0"/>
      </w:tblPr>
      <w:tblGrid>
        <w:gridCol w:w="324"/>
        <w:gridCol w:w="4089"/>
      </w:tblGrid>
      <w:tr w:rsidR="00811887" w:rsidRPr="00FD40B8" w14:paraId="0E7D77CE" w14:textId="77777777" w:rsidTr="00486E22">
        <w:trPr>
          <w:trHeight w:val="366"/>
        </w:trPr>
        <w:tc>
          <w:tcPr>
            <w:tcW w:w="4413" w:type="dxa"/>
            <w:gridSpan w:val="2"/>
            <w:tcBorders>
              <w:top w:val="single" w:sz="4" w:space="0" w:color="4D665B"/>
            </w:tcBorders>
          </w:tcPr>
          <w:p w14:paraId="6944C66F" w14:textId="77777777" w:rsidR="00811887" w:rsidRPr="00FD40B8" w:rsidRDefault="00811887" w:rsidP="00486E22">
            <w:pPr>
              <w:pStyle w:val="TableParagraph"/>
              <w:spacing w:before="14" w:line="333" w:lineRule="exact"/>
              <w:ind w:left="14"/>
              <w:rPr>
                <w:rFonts w:ascii="Arial Black"/>
                <w:color w:val="131727" w:themeColor="text1"/>
                <w:sz w:val="24"/>
              </w:rPr>
            </w:pPr>
            <w:r w:rsidRPr="00FD40B8">
              <w:rPr>
                <w:rFonts w:ascii="Arial Black"/>
                <w:color w:val="131727" w:themeColor="text1"/>
                <w:w w:val="85"/>
                <w:sz w:val="24"/>
              </w:rPr>
              <w:t>C</w:t>
            </w:r>
            <w:r w:rsidRPr="00FD40B8">
              <w:rPr>
                <w:rFonts w:ascii="Arial Black"/>
                <w:color w:val="131727" w:themeColor="text1"/>
                <w:spacing w:val="-35"/>
                <w:w w:val="85"/>
                <w:sz w:val="24"/>
              </w:rPr>
              <w:t xml:space="preserve"> </w:t>
            </w:r>
            <w:r w:rsidRPr="00FD40B8">
              <w:rPr>
                <w:rFonts w:ascii="Arial Black"/>
                <w:color w:val="131727" w:themeColor="text1"/>
                <w:spacing w:val="17"/>
                <w:w w:val="85"/>
                <w:sz w:val="24"/>
              </w:rPr>
              <w:t>ONT</w:t>
            </w:r>
            <w:r w:rsidRPr="00FD40B8">
              <w:rPr>
                <w:rFonts w:ascii="Arial Black"/>
                <w:color w:val="131727" w:themeColor="text1"/>
                <w:spacing w:val="-34"/>
                <w:w w:val="85"/>
                <w:sz w:val="24"/>
              </w:rPr>
              <w:t xml:space="preserve"> </w:t>
            </w:r>
            <w:r w:rsidRPr="00FD40B8">
              <w:rPr>
                <w:rFonts w:ascii="Arial Black"/>
                <w:color w:val="131727" w:themeColor="text1"/>
                <w:spacing w:val="14"/>
                <w:w w:val="85"/>
                <w:sz w:val="24"/>
              </w:rPr>
              <w:t>AC</w:t>
            </w:r>
            <w:r w:rsidRPr="00FD40B8">
              <w:rPr>
                <w:rFonts w:ascii="Arial Black"/>
                <w:color w:val="131727" w:themeColor="text1"/>
                <w:spacing w:val="-35"/>
                <w:w w:val="85"/>
                <w:sz w:val="24"/>
              </w:rPr>
              <w:t xml:space="preserve"> </w:t>
            </w:r>
            <w:r w:rsidRPr="00FD40B8">
              <w:rPr>
                <w:rFonts w:ascii="Arial Black"/>
                <w:color w:val="131727" w:themeColor="text1"/>
                <w:spacing w:val="-10"/>
                <w:w w:val="85"/>
                <w:sz w:val="24"/>
              </w:rPr>
              <w:t>T</w:t>
            </w:r>
          </w:p>
        </w:tc>
      </w:tr>
      <w:tr w:rsidR="00811887" w:rsidRPr="00FD40B8" w14:paraId="6A702366" w14:textId="77777777" w:rsidTr="00486E22">
        <w:trPr>
          <w:trHeight w:val="375"/>
        </w:trPr>
        <w:tc>
          <w:tcPr>
            <w:tcW w:w="324" w:type="dxa"/>
          </w:tcPr>
          <w:p w14:paraId="7E69C764" w14:textId="77777777" w:rsidR="00811887" w:rsidRPr="00FD40B8" w:rsidRDefault="00811887" w:rsidP="00486E22">
            <w:pPr>
              <w:pStyle w:val="TableParagraph"/>
              <w:spacing w:line="240" w:lineRule="auto"/>
              <w:ind w:left="13" w:right="-15"/>
              <w:rPr>
                <w:color w:val="131727" w:themeColor="text1"/>
                <w:sz w:val="20"/>
              </w:rPr>
            </w:pPr>
            <w:r w:rsidRPr="00FD40B8">
              <w:rPr>
                <w:noProof/>
                <w:color w:val="131727" w:themeColor="text1"/>
                <w:sz w:val="20"/>
              </w:rPr>
              <w:drawing>
                <wp:inline distT="0" distB="0" distL="0" distR="0" wp14:anchorId="6C09D543" wp14:editId="50475823">
                  <wp:extent cx="178134" cy="177355"/>
                  <wp:effectExtent l="0" t="0" r="0" b="0"/>
                  <wp:docPr id="251" name="Imag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a:extLst>
                              <a:ext uri="{C183D7F6-B498-43B3-948B-1728B52AA6E4}">
                                <adec:decorative xmlns:adec="http://schemas.microsoft.com/office/drawing/2017/decorative" val="1"/>
                              </a:ext>
                            </a:extLst>
                          </pic:cNvPr>
                          <pic:cNvPicPr/>
                        </pic:nvPicPr>
                        <pic:blipFill>
                          <a:blip r:embed="rId140" cstate="print"/>
                          <a:stretch>
                            <a:fillRect/>
                          </a:stretch>
                        </pic:blipFill>
                        <pic:spPr>
                          <a:xfrm>
                            <a:off x="0" y="0"/>
                            <a:ext cx="178134" cy="177355"/>
                          </a:xfrm>
                          <a:prstGeom prst="rect">
                            <a:avLst/>
                          </a:prstGeom>
                        </pic:spPr>
                      </pic:pic>
                    </a:graphicData>
                  </a:graphic>
                </wp:inline>
              </w:drawing>
            </w:r>
          </w:p>
        </w:tc>
        <w:tc>
          <w:tcPr>
            <w:tcW w:w="4089" w:type="dxa"/>
          </w:tcPr>
          <w:p w14:paraId="3B1331F4" w14:textId="77777777" w:rsidR="00811887" w:rsidRPr="00FD40B8" w:rsidRDefault="00811887" w:rsidP="00486E22">
            <w:pPr>
              <w:pStyle w:val="TableParagraph"/>
              <w:spacing w:before="44" w:line="240" w:lineRule="auto"/>
              <w:ind w:left="31"/>
              <w:rPr>
                <w:rFonts w:ascii="Lucida Sans"/>
                <w:color w:val="131727" w:themeColor="text1"/>
                <w:sz w:val="24"/>
              </w:rPr>
            </w:pPr>
            <w:hyperlink r:id="rId141">
              <w:r w:rsidRPr="00FD40B8">
                <w:rPr>
                  <w:rFonts w:ascii="Lucida Sans"/>
                  <w:color w:val="131727" w:themeColor="text1"/>
                  <w:spacing w:val="-2"/>
                  <w:sz w:val="24"/>
                </w:rPr>
                <w:t>equityeconomics.com.au</w:t>
              </w:r>
            </w:hyperlink>
          </w:p>
        </w:tc>
      </w:tr>
      <w:tr w:rsidR="00811887" w:rsidRPr="00FD40B8" w14:paraId="70C58018" w14:textId="77777777" w:rsidTr="00486E22">
        <w:trPr>
          <w:trHeight w:val="386"/>
        </w:trPr>
        <w:tc>
          <w:tcPr>
            <w:tcW w:w="324" w:type="dxa"/>
          </w:tcPr>
          <w:p w14:paraId="6B0ADE03" w14:textId="77777777" w:rsidR="00811887" w:rsidRPr="00FD40B8" w:rsidRDefault="00811887" w:rsidP="00486E22">
            <w:pPr>
              <w:pStyle w:val="TableParagraph"/>
              <w:spacing w:before="4" w:line="240" w:lineRule="auto"/>
              <w:rPr>
                <w:color w:val="131727" w:themeColor="text1"/>
                <w:sz w:val="2"/>
              </w:rPr>
            </w:pPr>
          </w:p>
          <w:p w14:paraId="1AF410C1" w14:textId="77777777" w:rsidR="00811887" w:rsidRPr="00FD40B8" w:rsidRDefault="00811887" w:rsidP="00486E22">
            <w:pPr>
              <w:pStyle w:val="TableParagraph"/>
              <w:spacing w:line="240" w:lineRule="auto"/>
              <w:ind w:left="14" w:right="-15"/>
              <w:rPr>
                <w:color w:val="131727" w:themeColor="text1"/>
                <w:sz w:val="20"/>
              </w:rPr>
            </w:pPr>
            <w:r w:rsidRPr="00FD40B8">
              <w:rPr>
                <w:noProof/>
                <w:color w:val="131727" w:themeColor="text1"/>
                <w:sz w:val="20"/>
              </w:rPr>
              <w:drawing>
                <wp:inline distT="0" distB="0" distL="0" distR="0" wp14:anchorId="5C0D06A9" wp14:editId="7AC57A53">
                  <wp:extent cx="174889" cy="174878"/>
                  <wp:effectExtent l="0" t="0" r="0" b="0"/>
                  <wp:docPr id="252" name="Imag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a:extLst>
                              <a:ext uri="{C183D7F6-B498-43B3-948B-1728B52AA6E4}">
                                <adec:decorative xmlns:adec="http://schemas.microsoft.com/office/drawing/2017/decorative" val="1"/>
                              </a:ext>
                            </a:extLst>
                          </pic:cNvPr>
                          <pic:cNvPicPr/>
                        </pic:nvPicPr>
                        <pic:blipFill>
                          <a:blip r:embed="rId142" cstate="print"/>
                          <a:stretch>
                            <a:fillRect/>
                          </a:stretch>
                        </pic:blipFill>
                        <pic:spPr>
                          <a:xfrm>
                            <a:off x="0" y="0"/>
                            <a:ext cx="174889" cy="174878"/>
                          </a:xfrm>
                          <a:prstGeom prst="rect">
                            <a:avLst/>
                          </a:prstGeom>
                        </pic:spPr>
                      </pic:pic>
                    </a:graphicData>
                  </a:graphic>
                </wp:inline>
              </w:drawing>
            </w:r>
          </w:p>
        </w:tc>
        <w:tc>
          <w:tcPr>
            <w:tcW w:w="4089" w:type="dxa"/>
          </w:tcPr>
          <w:p w14:paraId="203372BD" w14:textId="77777777" w:rsidR="00811887" w:rsidRPr="00FD40B8" w:rsidRDefault="00811887" w:rsidP="00486E22">
            <w:pPr>
              <w:pStyle w:val="TableParagraph"/>
              <w:spacing w:before="53" w:line="240" w:lineRule="auto"/>
              <w:ind w:left="31"/>
              <w:rPr>
                <w:rFonts w:ascii="Lucida Sans"/>
                <w:color w:val="131727" w:themeColor="text1"/>
                <w:sz w:val="24"/>
              </w:rPr>
            </w:pPr>
            <w:hyperlink r:id="rId143">
              <w:r w:rsidRPr="00FD40B8">
                <w:rPr>
                  <w:rFonts w:ascii="Lucida Sans"/>
                  <w:color w:val="131727" w:themeColor="text1"/>
                  <w:spacing w:val="-2"/>
                  <w:sz w:val="24"/>
                </w:rPr>
                <w:t>info@equityeconomics.com.au</w:t>
              </w:r>
            </w:hyperlink>
          </w:p>
        </w:tc>
      </w:tr>
      <w:tr w:rsidR="00811887" w:rsidRPr="00FD40B8" w14:paraId="719C8BC2" w14:textId="77777777" w:rsidTr="00486E22">
        <w:trPr>
          <w:trHeight w:val="386"/>
        </w:trPr>
        <w:tc>
          <w:tcPr>
            <w:tcW w:w="324" w:type="dxa"/>
          </w:tcPr>
          <w:p w14:paraId="63D004D7" w14:textId="77777777" w:rsidR="00811887" w:rsidRPr="00FD40B8" w:rsidRDefault="00811887" w:rsidP="00486E22">
            <w:pPr>
              <w:pStyle w:val="TableParagraph"/>
              <w:spacing w:before="4" w:line="240" w:lineRule="auto"/>
              <w:rPr>
                <w:color w:val="131727" w:themeColor="text1"/>
                <w:sz w:val="2"/>
              </w:rPr>
            </w:pPr>
          </w:p>
          <w:p w14:paraId="3E568A24" w14:textId="77777777" w:rsidR="00811887" w:rsidRPr="00FD40B8" w:rsidRDefault="00811887" w:rsidP="00486E22">
            <w:pPr>
              <w:pStyle w:val="TableParagraph"/>
              <w:spacing w:line="240" w:lineRule="auto"/>
              <w:ind w:left="14" w:right="-15"/>
              <w:rPr>
                <w:color w:val="131727" w:themeColor="text1"/>
                <w:sz w:val="20"/>
              </w:rPr>
            </w:pPr>
            <w:r w:rsidRPr="00FD40B8">
              <w:rPr>
                <w:noProof/>
                <w:color w:val="131727" w:themeColor="text1"/>
                <w:sz w:val="20"/>
              </w:rPr>
              <w:drawing>
                <wp:inline distT="0" distB="0" distL="0" distR="0" wp14:anchorId="04F2C8CD" wp14:editId="710E23AE">
                  <wp:extent cx="176223" cy="176212"/>
                  <wp:effectExtent l="0" t="0" r="0" b="0"/>
                  <wp:docPr id="253" name="Imag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a:extLst>
                              <a:ext uri="{C183D7F6-B498-43B3-948B-1728B52AA6E4}">
                                <adec:decorative xmlns:adec="http://schemas.microsoft.com/office/drawing/2017/decorative" val="1"/>
                              </a:ext>
                            </a:extLst>
                          </pic:cNvPr>
                          <pic:cNvPicPr/>
                        </pic:nvPicPr>
                        <pic:blipFill>
                          <a:blip r:embed="rId144" cstate="print"/>
                          <a:stretch>
                            <a:fillRect/>
                          </a:stretch>
                        </pic:blipFill>
                        <pic:spPr>
                          <a:xfrm>
                            <a:off x="0" y="0"/>
                            <a:ext cx="176223" cy="176212"/>
                          </a:xfrm>
                          <a:prstGeom prst="rect">
                            <a:avLst/>
                          </a:prstGeom>
                        </pic:spPr>
                      </pic:pic>
                    </a:graphicData>
                  </a:graphic>
                </wp:inline>
              </w:drawing>
            </w:r>
          </w:p>
        </w:tc>
        <w:tc>
          <w:tcPr>
            <w:tcW w:w="4089" w:type="dxa"/>
          </w:tcPr>
          <w:p w14:paraId="18FE5F59" w14:textId="77777777" w:rsidR="00811887" w:rsidRPr="00FD40B8" w:rsidRDefault="00811887" w:rsidP="00486E22">
            <w:pPr>
              <w:pStyle w:val="TableParagraph"/>
              <w:spacing w:before="55" w:line="240" w:lineRule="auto"/>
              <w:ind w:left="31"/>
              <w:rPr>
                <w:rFonts w:ascii="Lucida Sans"/>
                <w:color w:val="131727" w:themeColor="text1"/>
                <w:sz w:val="24"/>
              </w:rPr>
            </w:pPr>
            <w:hyperlink r:id="rId145">
              <w:r w:rsidRPr="00FD40B8">
                <w:rPr>
                  <w:rFonts w:ascii="Lucida Sans"/>
                  <w:color w:val="131727" w:themeColor="text1"/>
                  <w:spacing w:val="-2"/>
                  <w:sz w:val="24"/>
                </w:rPr>
                <w:t>twitter.com/EconomicsEquity</w:t>
              </w:r>
            </w:hyperlink>
          </w:p>
        </w:tc>
      </w:tr>
      <w:tr w:rsidR="00811887" w:rsidRPr="00FD40B8" w14:paraId="6A5EC587" w14:textId="77777777" w:rsidTr="00486E22">
        <w:trPr>
          <w:trHeight w:val="803"/>
        </w:trPr>
        <w:tc>
          <w:tcPr>
            <w:tcW w:w="324" w:type="dxa"/>
            <w:tcBorders>
              <w:bottom w:val="single" w:sz="4" w:space="0" w:color="4D665B"/>
            </w:tcBorders>
          </w:tcPr>
          <w:p w14:paraId="1DAA74AF" w14:textId="77777777" w:rsidR="00811887" w:rsidRPr="00FD40B8" w:rsidRDefault="00811887" w:rsidP="00486E22">
            <w:pPr>
              <w:pStyle w:val="TableParagraph"/>
              <w:spacing w:before="5" w:line="240" w:lineRule="auto"/>
              <w:rPr>
                <w:color w:val="131727" w:themeColor="text1"/>
                <w:sz w:val="2"/>
              </w:rPr>
            </w:pPr>
          </w:p>
          <w:p w14:paraId="2F4B23EF" w14:textId="77777777" w:rsidR="00811887" w:rsidRPr="00FD40B8" w:rsidRDefault="00811887" w:rsidP="00486E22">
            <w:pPr>
              <w:pStyle w:val="TableParagraph"/>
              <w:spacing w:line="240" w:lineRule="auto"/>
              <w:ind w:left="14" w:right="-15"/>
              <w:rPr>
                <w:color w:val="131727" w:themeColor="text1"/>
                <w:sz w:val="20"/>
              </w:rPr>
            </w:pPr>
            <w:r w:rsidRPr="00FD40B8">
              <w:rPr>
                <w:noProof/>
                <w:color w:val="131727" w:themeColor="text1"/>
                <w:sz w:val="20"/>
              </w:rPr>
              <w:drawing>
                <wp:inline distT="0" distB="0" distL="0" distR="0" wp14:anchorId="467BC7CA" wp14:editId="15AC7AB5">
                  <wp:extent cx="176223" cy="176212"/>
                  <wp:effectExtent l="0" t="0" r="0" b="0"/>
                  <wp:docPr id="254" name="Imag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176223" cy="176212"/>
                          </a:xfrm>
                          <a:prstGeom prst="rect">
                            <a:avLst/>
                          </a:prstGeom>
                        </pic:spPr>
                      </pic:pic>
                    </a:graphicData>
                  </a:graphic>
                </wp:inline>
              </w:drawing>
            </w:r>
          </w:p>
        </w:tc>
        <w:tc>
          <w:tcPr>
            <w:tcW w:w="4089" w:type="dxa"/>
            <w:tcBorders>
              <w:bottom w:val="single" w:sz="4" w:space="0" w:color="4D665B"/>
            </w:tcBorders>
          </w:tcPr>
          <w:p w14:paraId="70AE50CD" w14:textId="77777777" w:rsidR="00811887" w:rsidRPr="00FD40B8" w:rsidRDefault="00811887" w:rsidP="00486E22">
            <w:pPr>
              <w:pStyle w:val="TableParagraph"/>
              <w:spacing w:before="53" w:line="276" w:lineRule="auto"/>
              <w:ind w:left="31"/>
              <w:rPr>
                <w:rFonts w:ascii="Lucida Sans"/>
                <w:color w:val="131727" w:themeColor="text1"/>
                <w:sz w:val="24"/>
              </w:rPr>
            </w:pPr>
            <w:hyperlink r:id="rId147">
              <w:r w:rsidRPr="00FD40B8">
                <w:rPr>
                  <w:rFonts w:ascii="Lucida Sans"/>
                  <w:color w:val="131727" w:themeColor="text1"/>
                  <w:spacing w:val="-8"/>
                  <w:sz w:val="24"/>
                </w:rPr>
                <w:t>linkedin.com/company/equity-</w:t>
              </w:r>
            </w:hyperlink>
            <w:r w:rsidRPr="00FD40B8">
              <w:rPr>
                <w:rFonts w:ascii="Lucida Sans"/>
                <w:color w:val="131727" w:themeColor="text1"/>
                <w:spacing w:val="-8"/>
                <w:sz w:val="24"/>
              </w:rPr>
              <w:t xml:space="preserve"> </w:t>
            </w:r>
            <w:hyperlink r:id="rId148">
              <w:r w:rsidRPr="00FD40B8">
                <w:rPr>
                  <w:rFonts w:ascii="Lucida Sans"/>
                  <w:color w:val="131727" w:themeColor="text1"/>
                  <w:spacing w:val="-2"/>
                  <w:sz w:val="24"/>
                </w:rPr>
                <w:t>economics/</w:t>
              </w:r>
            </w:hyperlink>
          </w:p>
        </w:tc>
      </w:tr>
    </w:tbl>
    <w:p w14:paraId="50CCAC07" w14:textId="77777777" w:rsidR="00811887" w:rsidRPr="00FD40B8" w:rsidRDefault="00811887" w:rsidP="00811887">
      <w:pPr>
        <w:rPr>
          <w:color w:val="131727" w:themeColor="text1"/>
        </w:rPr>
      </w:pPr>
    </w:p>
    <w:p w14:paraId="56F0562B" w14:textId="77777777" w:rsidR="00811887" w:rsidRPr="00B91E3E" w:rsidRDefault="00811887" w:rsidP="00811887"/>
    <w:p w14:paraId="369B4484" w14:textId="0A37AE93" w:rsidR="001E7795" w:rsidRPr="00C52545" w:rsidRDefault="001E7795" w:rsidP="009A10E4">
      <w:pPr>
        <w:rPr>
          <w:lang w:val="en-US"/>
        </w:rPr>
      </w:pPr>
    </w:p>
    <w:sectPr w:rsidR="001E7795" w:rsidRPr="00C52545" w:rsidSect="00811887">
      <w:footerReference w:type="default" r:id="rId149"/>
      <w:pgSz w:w="11910" w:h="16840"/>
      <w:pgMar w:top="1920" w:right="1680" w:bottom="280" w:left="11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F7396" w14:textId="77777777" w:rsidR="00E854B2" w:rsidRDefault="00E854B2" w:rsidP="00D24350">
      <w:pPr>
        <w:spacing w:after="0"/>
      </w:pPr>
      <w:r>
        <w:separator/>
      </w:r>
    </w:p>
  </w:endnote>
  <w:endnote w:type="continuationSeparator" w:id="0">
    <w:p w14:paraId="4E820DA9" w14:textId="77777777" w:rsidR="00E854B2" w:rsidRDefault="00E854B2" w:rsidP="00D243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sicSans-Bold">
    <w:altName w:val="Calibri"/>
    <w:charset w:val="4D"/>
    <w:family w:val="auto"/>
    <w:pitch w:val="default"/>
    <w:sig w:usb0="00000003" w:usb1="00000000" w:usb2="00000000" w:usb3="00000000" w:csb0="00000001" w:csb1="00000000"/>
  </w:font>
  <w:font w:name="BasicSans-Regular">
    <w:altName w:val="Calibri"/>
    <w:charset w:val="4D"/>
    <w:family w:val="auto"/>
    <w:pitch w:val="default"/>
    <w:sig w:usb0="00000003" w:usb1="00000000" w:usb2="00000000" w:usb3="00000000" w:csb0="00000001" w:csb1="00000000"/>
  </w:font>
  <w:font w:name="Staatliches">
    <w:charset w:val="00"/>
    <w:family w:val="auto"/>
    <w:pitch w:val="variable"/>
    <w:sig w:usb0="A00000EF" w:usb1="4000204B" w:usb2="00000000" w:usb3="00000000" w:csb0="00000093" w:csb1="00000000"/>
  </w:font>
  <w:font w:name="BasicSans-RegularIt">
    <w:altName w:val="Calibri"/>
    <w:charset w:val="4D"/>
    <w:family w:val="auto"/>
    <w:pitch w:val="default"/>
    <w:sig w:usb0="00000003" w:usb1="00000000" w:usb2="00000000" w:usb3="00000000" w:csb0="00000001" w:csb1="00000000"/>
  </w:font>
  <w:font w:name="Minion Pro">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91198111"/>
      <w:docPartObj>
        <w:docPartGallery w:val="Page Numbers (Bottom of Page)"/>
        <w:docPartUnique/>
      </w:docPartObj>
    </w:sdtPr>
    <w:sdtContent>
      <w:p w14:paraId="6F6F3AB2" w14:textId="3AA2C64C" w:rsidR="002D24E0" w:rsidRDefault="002D24E0" w:rsidP="00253A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5B4BA" w14:textId="77777777" w:rsidR="002D24E0" w:rsidRDefault="002D24E0" w:rsidP="002D24E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08935" w14:textId="77777777" w:rsidR="00811887" w:rsidRDefault="00811887">
    <w:pPr>
      <w:pStyle w:val="BodyText"/>
      <w:spacing w:line="14" w:lineRule="auto"/>
    </w:pPr>
    <w:r>
      <w:rPr>
        <w:noProof/>
      </w:rPr>
      <mc:AlternateContent>
        <mc:Choice Requires="wps">
          <w:drawing>
            <wp:anchor distT="0" distB="0" distL="0" distR="0" simplePos="0" relativeHeight="251678720" behindDoc="1" locked="0" layoutInCell="1" allowOverlap="1" wp14:anchorId="1A3CCFB8" wp14:editId="29F97E6B">
              <wp:simplePos x="0" y="0"/>
              <wp:positionH relativeFrom="page">
                <wp:posOffset>6441694</wp:posOffset>
              </wp:positionH>
              <wp:positionV relativeFrom="page">
                <wp:posOffset>9915740</wp:posOffset>
              </wp:positionV>
              <wp:extent cx="556260" cy="1816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81610"/>
                      </a:xfrm>
                      <a:prstGeom prst="rect">
                        <a:avLst/>
                      </a:prstGeom>
                    </wps:spPr>
                    <wps:txbx>
                      <w:txbxContent>
                        <w:p w14:paraId="0417C353" w14:textId="77777777" w:rsidR="00811887" w:rsidRDefault="00811887">
                          <w:pPr>
                            <w:spacing w:before="13"/>
                            <w:ind w:left="60"/>
                          </w:pPr>
                          <w:r>
                            <w:fldChar w:fldCharType="begin"/>
                          </w:r>
                          <w:r>
                            <w:instrText xml:space="preserve"> PAGE </w:instrText>
                          </w:r>
                          <w:r>
                            <w:fldChar w:fldCharType="separate"/>
                          </w:r>
                          <w:r>
                            <w:t>10</w:t>
                          </w:r>
                          <w:r>
                            <w:fldChar w:fldCharType="end"/>
                          </w:r>
                          <w:r>
                            <w:t xml:space="preserve"> of</w:t>
                          </w:r>
                          <w:r>
                            <w:rPr>
                              <w:spacing w:val="-2"/>
                            </w:rPr>
                            <w:t xml:space="preserve"> </w:t>
                          </w:r>
                          <w:r>
                            <w:rPr>
                              <w:spacing w:val="-5"/>
                            </w:rPr>
                            <w:t>18</w:t>
                          </w:r>
                        </w:p>
                      </w:txbxContent>
                    </wps:txbx>
                    <wps:bodyPr wrap="square" lIns="0" tIns="0" rIns="0" bIns="0" rtlCol="0">
                      <a:noAutofit/>
                    </wps:bodyPr>
                  </wps:wsp>
                </a:graphicData>
              </a:graphic>
            </wp:anchor>
          </w:drawing>
        </mc:Choice>
        <mc:Fallback>
          <w:pict>
            <v:shapetype w14:anchorId="1A3CCFB8" id="_x0000_t202" coordsize="21600,21600" o:spt="202" path="m,l,21600r21600,l21600,xe">
              <v:stroke joinstyle="miter"/>
              <v:path gradientshapeok="t" o:connecttype="rect"/>
            </v:shapetype>
            <v:shape id="Textbox 46" o:spid="_x0000_s1027" type="#_x0000_t202" style="position:absolute;margin-left:507.2pt;margin-top:780.75pt;width:43.8pt;height:14.3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" filled="f" stroked="f">
              <v:textbox inset="0,0,0,0">
                <w:txbxContent>
                  <w:p w14:paraId="0417C353" w14:textId="77777777" w:rsidR="00811887" w:rsidRDefault="00811887">
                    <w:pPr>
                      <w:spacing w:before="13"/>
                      <w:ind w:left="60"/>
                    </w:pPr>
                    <w:r>
                      <w:fldChar w:fldCharType="begin"/>
                    </w:r>
                    <w:r>
                      <w:instrText xml:space="preserve"> PAGE </w:instrText>
                    </w:r>
                    <w:r>
                      <w:fldChar w:fldCharType="separate"/>
                    </w:r>
                    <w:r>
                      <w:t>10</w:t>
                    </w:r>
                    <w:r>
                      <w:fldChar w:fldCharType="end"/>
                    </w:r>
                    <w:r>
                      <w:t xml:space="preserve"> of</w:t>
                    </w:r>
                    <w:r>
                      <w:rPr>
                        <w:spacing w:val="-2"/>
                      </w:rPr>
                      <w:t xml:space="preserve"> </w:t>
                    </w:r>
                    <w:r>
                      <w:rPr>
                        <w:spacing w:val="-5"/>
                      </w:rPr>
                      <w:t>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250A2" w14:textId="77777777" w:rsidR="00811887" w:rsidRDefault="0081188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0E931" w14:textId="77777777" w:rsidR="00811887" w:rsidRDefault="0081188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A0751" w14:textId="77777777" w:rsidR="00811887" w:rsidRDefault="0081188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7389B" w14:textId="77777777" w:rsidR="00811887" w:rsidRDefault="00811887">
    <w:pPr>
      <w:pStyle w:val="BodyText"/>
      <w:spacing w:line="14" w:lineRule="auto"/>
    </w:pPr>
    <w:r>
      <w:rPr>
        <w:noProof/>
      </w:rPr>
      <mc:AlternateContent>
        <mc:Choice Requires="wps">
          <w:drawing>
            <wp:anchor distT="0" distB="0" distL="0" distR="0" simplePos="0" relativeHeight="251679744" behindDoc="1" locked="0" layoutInCell="1" allowOverlap="1" wp14:anchorId="637387AA" wp14:editId="622878D2">
              <wp:simplePos x="0" y="0"/>
              <wp:positionH relativeFrom="page">
                <wp:posOffset>792784</wp:posOffset>
              </wp:positionH>
              <wp:positionV relativeFrom="page">
                <wp:posOffset>10003231</wp:posOffset>
              </wp:positionV>
              <wp:extent cx="6034405" cy="6350"/>
              <wp:effectExtent l="0" t="0" r="0" b="0"/>
              <wp:wrapNone/>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4405" cy="6350"/>
                      </a:xfrm>
                      <a:custGeom>
                        <a:avLst/>
                        <a:gdLst/>
                        <a:ahLst/>
                        <a:cxnLst/>
                        <a:rect l="l" t="t" r="r" b="b"/>
                        <a:pathLst>
                          <a:path w="6034405" h="6350">
                            <a:moveTo>
                              <a:pt x="6034405" y="0"/>
                            </a:moveTo>
                            <a:lnTo>
                              <a:pt x="0" y="0"/>
                            </a:lnTo>
                            <a:lnTo>
                              <a:pt x="0" y="6095"/>
                            </a:lnTo>
                            <a:lnTo>
                              <a:pt x="6034405" y="6095"/>
                            </a:lnTo>
                            <a:lnTo>
                              <a:pt x="603440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1C538B51" id="Graphic 109" o:spid="_x0000_s1026" alt="&quot;&quot;" style="position:absolute;margin-left:62.4pt;margin-top:787.65pt;width:475.15pt;height:.5pt;z-index:-251636736;visibility:visible;mso-wrap-style:square;mso-wrap-distance-left:0;mso-wrap-distance-top:0;mso-wrap-distance-right:0;mso-wrap-distance-bottom:0;mso-position-horizontal:absolute;mso-position-horizontal-relative:page;mso-position-vertical:absolute;mso-position-vertical-relative:page;v-text-anchor:top" coordsize="6034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" path="m6034405,l,,,6095r6034405,l6034405,xe" fillcolor="#4d665b" stroked="f">
              <v:path arrowok="t"/>
              <w10:wrap anchorx="page" anchory="page"/>
            </v:shape>
          </w:pict>
        </mc:Fallback>
      </mc:AlternateContent>
    </w:r>
    <w:r>
      <w:rPr>
        <w:noProof/>
      </w:rPr>
      <mc:AlternateContent>
        <mc:Choice Requires="wps">
          <w:drawing>
            <wp:anchor distT="0" distB="0" distL="0" distR="0" simplePos="0" relativeHeight="251680768" behindDoc="1" locked="0" layoutInCell="1" allowOverlap="1" wp14:anchorId="45AFF7FD" wp14:editId="0AC98DBD">
              <wp:simplePos x="0" y="0"/>
              <wp:positionH relativeFrom="page">
                <wp:posOffset>6594093</wp:posOffset>
              </wp:positionH>
              <wp:positionV relativeFrom="page">
                <wp:posOffset>10025033</wp:posOffset>
              </wp:positionV>
              <wp:extent cx="229235" cy="18034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6F9BA730"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10</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45AFF7FD" id="_x0000_t202" coordsize="21600,21600" o:spt="202" path="m,l,21600r21600,l21600,xe">
              <v:stroke joinstyle="miter"/>
              <v:path gradientshapeok="t" o:connecttype="rect"/>
            </v:shapetype>
            <v:shape id="Textbox 110" o:spid="_x0000_s1028" type="#_x0000_t202" style="position:absolute;margin-left:519.2pt;margin-top:789.35pt;width:18.05pt;height:14.2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" filled="f" stroked="f">
              <v:textbox inset="0,0,0,0">
                <w:txbxContent>
                  <w:p w14:paraId="6F9BA730"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10</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81792" behindDoc="1" locked="0" layoutInCell="1" allowOverlap="1" wp14:anchorId="714F438E" wp14:editId="08DF8BC3">
              <wp:simplePos x="0" y="0"/>
              <wp:positionH relativeFrom="page">
                <wp:posOffset>780084</wp:posOffset>
              </wp:positionH>
              <wp:positionV relativeFrom="page">
                <wp:posOffset>10048757</wp:posOffset>
              </wp:positionV>
              <wp:extent cx="3286760" cy="26162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61620"/>
                      </a:xfrm>
                      <a:prstGeom prst="rect">
                        <a:avLst/>
                      </a:prstGeom>
                    </wps:spPr>
                    <wps:txbx>
                      <w:txbxContent>
                        <w:p w14:paraId="14D5163E"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DC305AA"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714F438E" id="Textbox 111" o:spid="_x0000_s1029" type="#_x0000_t202" style="position:absolute;margin-left:61.4pt;margin-top:791.25pt;width:258.8pt;height:20.6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" filled="f" stroked="f">
              <v:textbox inset="0,0,0,0">
                <w:txbxContent>
                  <w:p w14:paraId="14D5163E"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DC305AA"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98EA1" w14:textId="77777777" w:rsidR="00811887" w:rsidRDefault="00811887">
    <w:pPr>
      <w:pStyle w:val="BodyText"/>
      <w:spacing w:line="14" w:lineRule="auto"/>
    </w:pPr>
    <w:r>
      <w:rPr>
        <w:noProof/>
      </w:rPr>
      <mc:AlternateContent>
        <mc:Choice Requires="wps">
          <w:drawing>
            <wp:anchor distT="0" distB="0" distL="0" distR="0" simplePos="0" relativeHeight="251682816" behindDoc="1" locked="0" layoutInCell="1" allowOverlap="1" wp14:anchorId="03015DFB" wp14:editId="667F2B1E">
              <wp:simplePos x="0" y="0"/>
              <wp:positionH relativeFrom="page">
                <wp:posOffset>792784</wp:posOffset>
              </wp:positionH>
              <wp:positionV relativeFrom="page">
                <wp:posOffset>10003231</wp:posOffset>
              </wp:positionV>
              <wp:extent cx="6034405" cy="6350"/>
              <wp:effectExtent l="0" t="0" r="0" b="0"/>
              <wp:wrapNone/>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4405" cy="6350"/>
                      </a:xfrm>
                      <a:custGeom>
                        <a:avLst/>
                        <a:gdLst/>
                        <a:ahLst/>
                        <a:cxnLst/>
                        <a:rect l="l" t="t" r="r" b="b"/>
                        <a:pathLst>
                          <a:path w="6034405" h="6350">
                            <a:moveTo>
                              <a:pt x="6034405" y="0"/>
                            </a:moveTo>
                            <a:lnTo>
                              <a:pt x="0" y="0"/>
                            </a:lnTo>
                            <a:lnTo>
                              <a:pt x="0" y="6095"/>
                            </a:lnTo>
                            <a:lnTo>
                              <a:pt x="6034405" y="6095"/>
                            </a:lnTo>
                            <a:lnTo>
                              <a:pt x="603440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70D49A07" id="Graphic 177" o:spid="_x0000_s1026" alt="&quot;&quot;" style="position:absolute;margin-left:62.4pt;margin-top:787.65pt;width:475.15pt;height:.5pt;z-index:-251633664;visibility:visible;mso-wrap-style:square;mso-wrap-distance-left:0;mso-wrap-distance-top:0;mso-wrap-distance-right:0;mso-wrap-distance-bottom:0;mso-position-horizontal:absolute;mso-position-horizontal-relative:page;mso-position-vertical:absolute;mso-position-vertical-relative:page;v-text-anchor:top" coordsize="6034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" path="m6034405,l,,,6095r6034405,l6034405,xe" fillcolor="#4d665b" stroked="f">
              <v:path arrowok="t"/>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37A5FBF0" wp14:editId="75BEEF17">
              <wp:simplePos x="0" y="0"/>
              <wp:positionH relativeFrom="page">
                <wp:posOffset>1498683</wp:posOffset>
              </wp:positionH>
              <wp:positionV relativeFrom="page">
                <wp:posOffset>9773505</wp:posOffset>
              </wp:positionV>
              <wp:extent cx="84455" cy="1270"/>
              <wp:effectExtent l="0" t="0" r="0" b="0"/>
              <wp:wrapNone/>
              <wp:docPr id="178" name="Graphic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3900" y="0"/>
                            </a:lnTo>
                          </a:path>
                        </a:pathLst>
                      </a:custGeom>
                      <a:ln w="40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A6AC16" id="Graphic 178" o:spid="_x0000_s1026" alt="&quot;&quot;" style="position:absolute;margin-left:118pt;margin-top:769.55pt;width:6.65pt;height:.1pt;z-index:-251632640;visibility:visible;mso-wrap-style:square;mso-wrap-distance-left:0;mso-wrap-distance-top:0;mso-wrap-distance-right:0;mso-wrap-distance-bottom:0;mso-position-horizontal:absolute;mso-position-horizontal-relative:page;mso-position-vertical:absolute;mso-position-vertical-relative:page;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" path="m,l83900,e" filled="f" strokeweight=".1119mm">
              <v:path arrowok="t"/>
              <w10:wrap anchorx="page" anchory="page"/>
            </v:shape>
          </w:pict>
        </mc:Fallback>
      </mc:AlternateContent>
    </w:r>
    <w:r>
      <w:rPr>
        <w:noProof/>
      </w:rPr>
      <mc:AlternateContent>
        <mc:Choice Requires="wps">
          <w:drawing>
            <wp:anchor distT="0" distB="0" distL="0" distR="0" simplePos="0" relativeHeight="251684864" behindDoc="1" locked="0" layoutInCell="1" allowOverlap="1" wp14:anchorId="38E73B71" wp14:editId="19E04215">
              <wp:simplePos x="0" y="0"/>
              <wp:positionH relativeFrom="page">
                <wp:posOffset>6594093</wp:posOffset>
              </wp:positionH>
              <wp:positionV relativeFrom="page">
                <wp:posOffset>10025033</wp:posOffset>
              </wp:positionV>
              <wp:extent cx="229235" cy="1803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6D73C4C4"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27</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38E73B71" id="_x0000_t202" coordsize="21600,21600" o:spt="202" path="m,l,21600r21600,l21600,xe">
              <v:stroke joinstyle="miter"/>
              <v:path gradientshapeok="t" o:connecttype="rect"/>
            </v:shapetype>
            <v:shape id="Textbox 179" o:spid="_x0000_s1030" type="#_x0000_t202" style="position:absolute;margin-left:519.2pt;margin-top:789.35pt;width:18.05pt;height:14.2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" filled="f" stroked="f">
              <v:textbox inset="0,0,0,0">
                <w:txbxContent>
                  <w:p w14:paraId="6D73C4C4"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27</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85888" behindDoc="1" locked="0" layoutInCell="1" allowOverlap="1" wp14:anchorId="4B53E5E9" wp14:editId="6CA80404">
              <wp:simplePos x="0" y="0"/>
              <wp:positionH relativeFrom="page">
                <wp:posOffset>780084</wp:posOffset>
              </wp:positionH>
              <wp:positionV relativeFrom="page">
                <wp:posOffset>10048757</wp:posOffset>
              </wp:positionV>
              <wp:extent cx="3286760" cy="26162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61620"/>
                      </a:xfrm>
                      <a:prstGeom prst="rect">
                        <a:avLst/>
                      </a:prstGeom>
                    </wps:spPr>
                    <wps:txbx>
                      <w:txbxContent>
                        <w:p w14:paraId="66F4915F"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F79D7CE"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4B53E5E9" id="Textbox 180" o:spid="_x0000_s1031" type="#_x0000_t202" style="position:absolute;margin-left:61.4pt;margin-top:791.25pt;width:258.8pt;height:20.6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" filled="f" stroked="f">
              <v:textbox inset="0,0,0,0">
                <w:txbxContent>
                  <w:p w14:paraId="66F4915F"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F79D7CE"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61877" w14:textId="77777777" w:rsidR="00811887" w:rsidRDefault="00811887">
    <w:pPr>
      <w:pStyle w:val="BodyText"/>
      <w:spacing w:line="14" w:lineRule="auto"/>
    </w:pPr>
    <w:r>
      <w:rPr>
        <w:noProof/>
      </w:rPr>
      <mc:AlternateContent>
        <mc:Choice Requires="wps">
          <w:drawing>
            <wp:anchor distT="0" distB="0" distL="0" distR="0" simplePos="0" relativeHeight="251686912" behindDoc="1" locked="0" layoutInCell="1" allowOverlap="1" wp14:anchorId="04AF0EA2" wp14:editId="4AD11606">
              <wp:simplePos x="0" y="0"/>
              <wp:positionH relativeFrom="page">
                <wp:posOffset>792784</wp:posOffset>
              </wp:positionH>
              <wp:positionV relativeFrom="page">
                <wp:posOffset>10003231</wp:posOffset>
              </wp:positionV>
              <wp:extent cx="6034405" cy="6350"/>
              <wp:effectExtent l="0" t="0" r="0" b="0"/>
              <wp:wrapNone/>
              <wp:docPr id="182" name="Graphic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4405" cy="6350"/>
                      </a:xfrm>
                      <a:custGeom>
                        <a:avLst/>
                        <a:gdLst/>
                        <a:ahLst/>
                        <a:cxnLst/>
                        <a:rect l="l" t="t" r="r" b="b"/>
                        <a:pathLst>
                          <a:path w="6034405" h="6350">
                            <a:moveTo>
                              <a:pt x="6034405" y="0"/>
                            </a:moveTo>
                            <a:lnTo>
                              <a:pt x="0" y="0"/>
                            </a:lnTo>
                            <a:lnTo>
                              <a:pt x="0" y="6095"/>
                            </a:lnTo>
                            <a:lnTo>
                              <a:pt x="6034405" y="6095"/>
                            </a:lnTo>
                            <a:lnTo>
                              <a:pt x="6034405"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33D6CEAD" id="Graphic 182" o:spid="_x0000_s1026" alt="&quot;&quot;" style="position:absolute;margin-left:62.4pt;margin-top:787.65pt;width:475.15pt;height:.5pt;z-index:-251629568;visibility:visible;mso-wrap-style:square;mso-wrap-distance-left:0;mso-wrap-distance-top:0;mso-wrap-distance-right:0;mso-wrap-distance-bottom:0;mso-position-horizontal:absolute;mso-position-horizontal-relative:page;mso-position-vertical:absolute;mso-position-vertical-relative:page;v-text-anchor:top" coordsize="6034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" path="m6034405,l,,,6095r6034405,l6034405,xe" fillcolor="#4d665b" stroked="f">
              <v:path arrowok="t"/>
              <w10:wrap anchorx="page" anchory="page"/>
            </v:shape>
          </w:pict>
        </mc:Fallback>
      </mc:AlternateContent>
    </w:r>
    <w:r>
      <w:rPr>
        <w:noProof/>
      </w:rPr>
      <mc:AlternateContent>
        <mc:Choice Requires="wps">
          <w:drawing>
            <wp:anchor distT="0" distB="0" distL="0" distR="0" simplePos="0" relativeHeight="251687936" behindDoc="1" locked="0" layoutInCell="1" allowOverlap="1" wp14:anchorId="5246AE5C" wp14:editId="7C9BD284">
              <wp:simplePos x="0" y="0"/>
              <wp:positionH relativeFrom="page">
                <wp:posOffset>6594093</wp:posOffset>
              </wp:positionH>
              <wp:positionV relativeFrom="page">
                <wp:posOffset>10025033</wp:posOffset>
              </wp:positionV>
              <wp:extent cx="229235" cy="18034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3CE54CB0"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37</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5246AE5C" id="_x0000_t202" coordsize="21600,21600" o:spt="202" path="m,l,21600r21600,l21600,xe">
              <v:stroke joinstyle="miter"/>
              <v:path gradientshapeok="t" o:connecttype="rect"/>
            </v:shapetype>
            <v:shape id="Textbox 183" o:spid="_x0000_s1032" type="#_x0000_t202" style="position:absolute;margin-left:519.2pt;margin-top:789.35pt;width:18.05pt;height:14.2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" filled="f" stroked="f">
              <v:textbox inset="0,0,0,0">
                <w:txbxContent>
                  <w:p w14:paraId="3CE54CB0"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37</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88960" behindDoc="1" locked="0" layoutInCell="1" allowOverlap="1" wp14:anchorId="00E7FCA8" wp14:editId="5ED45F51">
              <wp:simplePos x="0" y="0"/>
              <wp:positionH relativeFrom="page">
                <wp:posOffset>780084</wp:posOffset>
              </wp:positionH>
              <wp:positionV relativeFrom="page">
                <wp:posOffset>10048757</wp:posOffset>
              </wp:positionV>
              <wp:extent cx="3286760" cy="26162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61620"/>
                      </a:xfrm>
                      <a:prstGeom prst="rect">
                        <a:avLst/>
                      </a:prstGeom>
                    </wps:spPr>
                    <wps:txbx>
                      <w:txbxContent>
                        <w:p w14:paraId="1A1BACEA"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32C540C9"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00E7FCA8" id="Textbox 184" o:spid="_x0000_s1033" type="#_x0000_t202" style="position:absolute;margin-left:61.4pt;margin-top:791.25pt;width:258.8pt;height:20.6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" filled="f" stroked="f">
              <v:textbox inset="0,0,0,0">
                <w:txbxContent>
                  <w:p w14:paraId="1A1BACEA"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32C540C9"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AF877" w14:textId="77777777" w:rsidR="00811887" w:rsidRDefault="00811887">
    <w:pPr>
      <w:pStyle w:val="BodyText"/>
      <w:spacing w:line="14" w:lineRule="auto"/>
    </w:pPr>
    <w:r>
      <w:rPr>
        <w:noProof/>
      </w:rPr>
      <mc:AlternateContent>
        <mc:Choice Requires="wps">
          <w:drawing>
            <wp:anchor distT="0" distB="0" distL="0" distR="0" simplePos="0" relativeHeight="251689984" behindDoc="1" locked="0" layoutInCell="1" allowOverlap="1" wp14:anchorId="14599FAA" wp14:editId="4D4EF7A7">
              <wp:simplePos x="0" y="0"/>
              <wp:positionH relativeFrom="page">
                <wp:posOffset>899464</wp:posOffset>
              </wp:positionH>
              <wp:positionV relativeFrom="page">
                <wp:posOffset>6872935</wp:posOffset>
              </wp:positionV>
              <wp:extent cx="9003665" cy="6350"/>
              <wp:effectExtent l="0" t="0" r="0" b="0"/>
              <wp:wrapNone/>
              <wp:docPr id="227" name="Graphic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3665" cy="6350"/>
                      </a:xfrm>
                      <a:custGeom>
                        <a:avLst/>
                        <a:gdLst/>
                        <a:ahLst/>
                        <a:cxnLst/>
                        <a:rect l="l" t="t" r="r" b="b"/>
                        <a:pathLst>
                          <a:path w="9003665" h="6350">
                            <a:moveTo>
                              <a:pt x="9003157" y="0"/>
                            </a:moveTo>
                            <a:lnTo>
                              <a:pt x="0" y="0"/>
                            </a:lnTo>
                            <a:lnTo>
                              <a:pt x="0" y="6095"/>
                            </a:lnTo>
                            <a:lnTo>
                              <a:pt x="9003157" y="6095"/>
                            </a:lnTo>
                            <a:lnTo>
                              <a:pt x="900315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198789D5" id="Graphic 227" o:spid="_x0000_s1026" alt="&quot;&quot;" style="position:absolute;margin-left:70.8pt;margin-top:541.2pt;width:708.95pt;height:.5pt;z-index:-251626496;visibility:visible;mso-wrap-style:square;mso-wrap-distance-left:0;mso-wrap-distance-top:0;mso-wrap-distance-right:0;mso-wrap-distance-bottom:0;mso-position-horizontal:absolute;mso-position-horizontal-relative:page;mso-position-vertical:absolute;mso-position-vertical-relative:page;v-text-anchor:top" coordsize="90036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" path="m9003157,l,,,6095r9003157,l9003157,xe" fillcolor="#4d665b" stroked="f">
              <v:path arrowok="t"/>
              <w10:wrap anchorx="page" anchory="page"/>
            </v:shape>
          </w:pict>
        </mc:Fallback>
      </mc:AlternateContent>
    </w:r>
    <w:r>
      <w:rPr>
        <w:noProof/>
      </w:rPr>
      <mc:AlternateContent>
        <mc:Choice Requires="wps">
          <w:drawing>
            <wp:anchor distT="0" distB="0" distL="0" distR="0" simplePos="0" relativeHeight="251691008" behindDoc="1" locked="0" layoutInCell="1" allowOverlap="1" wp14:anchorId="697F92AA" wp14:editId="5E2A6B28">
              <wp:simplePos x="0" y="0"/>
              <wp:positionH relativeFrom="page">
                <wp:posOffset>9184893</wp:posOffset>
              </wp:positionH>
              <wp:positionV relativeFrom="page">
                <wp:posOffset>6894433</wp:posOffset>
              </wp:positionV>
              <wp:extent cx="229235" cy="1803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14ED61CC"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47</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697F92AA" id="_x0000_t202" coordsize="21600,21600" o:spt="202" path="m,l,21600r21600,l21600,xe">
              <v:stroke joinstyle="miter"/>
              <v:path gradientshapeok="t" o:connecttype="rect"/>
            </v:shapetype>
            <v:shape id="Textbox 228" o:spid="_x0000_s1034" type="#_x0000_t202" style="position:absolute;margin-left:723.2pt;margin-top:542.85pt;width:18.05pt;height:14.2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" filled="f" stroked="f">
              <v:textbox inset="0,0,0,0">
                <w:txbxContent>
                  <w:p w14:paraId="14ED61CC"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47</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92032" behindDoc="1" locked="0" layoutInCell="1" allowOverlap="1" wp14:anchorId="1C5DD0D9" wp14:editId="5621DD36">
              <wp:simplePos x="0" y="0"/>
              <wp:positionH relativeFrom="page">
                <wp:posOffset>886764</wp:posOffset>
              </wp:positionH>
              <wp:positionV relativeFrom="page">
                <wp:posOffset>6918157</wp:posOffset>
              </wp:positionV>
              <wp:extent cx="3286760" cy="259079"/>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59079"/>
                      </a:xfrm>
                      <a:prstGeom prst="rect">
                        <a:avLst/>
                      </a:prstGeom>
                    </wps:spPr>
                    <wps:txbx>
                      <w:txbxContent>
                        <w:p w14:paraId="78533568" w14:textId="77777777" w:rsidR="00811887" w:rsidRDefault="00811887">
                          <w:pPr>
                            <w:spacing w:before="14" w:line="197" w:lineRule="exact"/>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2B34C381" w14:textId="77777777" w:rsidR="00811887" w:rsidRDefault="00811887">
                          <w:pPr>
                            <w:spacing w:line="165" w:lineRule="exact"/>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1C5DD0D9" id="Textbox 229" o:spid="_x0000_s1035" type="#_x0000_t202" style="position:absolute;margin-left:69.8pt;margin-top:544.75pt;width:258.8pt;height:20.4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" filled="f" stroked="f">
              <v:textbox inset="0,0,0,0">
                <w:txbxContent>
                  <w:p w14:paraId="78533568" w14:textId="77777777" w:rsidR="00811887" w:rsidRDefault="00811887">
                    <w:pPr>
                      <w:spacing w:before="14" w:line="197" w:lineRule="exact"/>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2B34C381" w14:textId="77777777" w:rsidR="00811887" w:rsidRDefault="00811887">
                    <w:pPr>
                      <w:spacing w:line="165" w:lineRule="exact"/>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C5E45" w14:textId="77777777" w:rsidR="00811887" w:rsidRDefault="00811887">
    <w:pPr>
      <w:pStyle w:val="BodyText"/>
      <w:spacing w:line="14" w:lineRule="auto"/>
    </w:pPr>
    <w:r>
      <w:rPr>
        <w:noProof/>
      </w:rPr>
      <mc:AlternateContent>
        <mc:Choice Requires="wps">
          <w:drawing>
            <wp:anchor distT="0" distB="0" distL="0" distR="0" simplePos="0" relativeHeight="251693056" behindDoc="1" locked="0" layoutInCell="1" allowOverlap="1" wp14:anchorId="6C304C49" wp14:editId="13EB8D66">
              <wp:simplePos x="0" y="0"/>
              <wp:positionH relativeFrom="page">
                <wp:posOffset>792784</wp:posOffset>
              </wp:positionH>
              <wp:positionV relativeFrom="page">
                <wp:posOffset>10003231</wp:posOffset>
              </wp:positionV>
              <wp:extent cx="5788025" cy="6350"/>
              <wp:effectExtent l="0" t="0" r="0" b="0"/>
              <wp:wrapNone/>
              <wp:docPr id="234" name="Graphic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6350"/>
                      </a:xfrm>
                      <a:custGeom>
                        <a:avLst/>
                        <a:gdLst/>
                        <a:ahLst/>
                        <a:cxnLst/>
                        <a:rect l="l" t="t" r="r" b="b"/>
                        <a:pathLst>
                          <a:path w="5788025" h="6350">
                            <a:moveTo>
                              <a:pt x="5787517" y="0"/>
                            </a:moveTo>
                            <a:lnTo>
                              <a:pt x="0" y="0"/>
                            </a:lnTo>
                            <a:lnTo>
                              <a:pt x="0" y="6095"/>
                            </a:lnTo>
                            <a:lnTo>
                              <a:pt x="5787517" y="6095"/>
                            </a:lnTo>
                            <a:lnTo>
                              <a:pt x="5787517"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12D621AD" id="Graphic 234" o:spid="_x0000_s1026" alt="&quot;&quot;" style="position:absolute;margin-left:62.4pt;margin-top:787.65pt;width:455.75pt;height:.5pt;z-index:-251623424;visibility:visible;mso-wrap-style:square;mso-wrap-distance-left:0;mso-wrap-distance-top:0;mso-wrap-distance-right:0;mso-wrap-distance-bottom:0;mso-position-horizontal:absolute;mso-position-horizontal-relative:page;mso-position-vertical:absolute;mso-position-vertical-relative:page;v-text-anchor:top" coordsize="57880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" path="m5787517,l,,,6095r5787517,l5787517,xe" fillcolor="#4d665b" stroked="f">
              <v:path arrowok="t"/>
              <w10:wrap anchorx="page" anchory="page"/>
            </v:shape>
          </w:pict>
        </mc:Fallback>
      </mc:AlternateContent>
    </w:r>
    <w:r>
      <w:rPr>
        <w:noProof/>
      </w:rPr>
      <mc:AlternateContent>
        <mc:Choice Requires="wps">
          <w:drawing>
            <wp:anchor distT="0" distB="0" distL="0" distR="0" simplePos="0" relativeHeight="251694080" behindDoc="1" locked="0" layoutInCell="1" allowOverlap="1" wp14:anchorId="4E9C45B7" wp14:editId="5C2B5824">
              <wp:simplePos x="0" y="0"/>
              <wp:positionH relativeFrom="page">
                <wp:posOffset>6288913</wp:posOffset>
              </wp:positionH>
              <wp:positionV relativeFrom="page">
                <wp:posOffset>10025033</wp:posOffset>
              </wp:positionV>
              <wp:extent cx="229235" cy="18034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178CB909"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52</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4E9C45B7" id="_x0000_t202" coordsize="21600,21600" o:spt="202" path="m,l,21600r21600,l21600,xe">
              <v:stroke joinstyle="miter"/>
              <v:path gradientshapeok="t" o:connecttype="rect"/>
            </v:shapetype>
            <v:shape id="Textbox 235" o:spid="_x0000_s1036" type="#_x0000_t202" style="position:absolute;margin-left:495.2pt;margin-top:789.35pt;width:18.05pt;height:14.2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" filled="f" stroked="f">
              <v:textbox inset="0,0,0,0">
                <w:txbxContent>
                  <w:p w14:paraId="178CB909"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52</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95104" behindDoc="1" locked="0" layoutInCell="1" allowOverlap="1" wp14:anchorId="05E1550B" wp14:editId="3088330E">
              <wp:simplePos x="0" y="0"/>
              <wp:positionH relativeFrom="page">
                <wp:posOffset>780084</wp:posOffset>
              </wp:positionH>
              <wp:positionV relativeFrom="page">
                <wp:posOffset>10048757</wp:posOffset>
              </wp:positionV>
              <wp:extent cx="3286760" cy="26162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61620"/>
                      </a:xfrm>
                      <a:prstGeom prst="rect">
                        <a:avLst/>
                      </a:prstGeom>
                    </wps:spPr>
                    <wps:txbx>
                      <w:txbxContent>
                        <w:p w14:paraId="6E68CAB2"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534EFFF"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05E1550B" id="Textbox 236" o:spid="_x0000_s1037" type="#_x0000_t202" style="position:absolute;margin-left:61.4pt;margin-top:791.25pt;width:258.8pt;height:20.6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" filled="f" stroked="f">
              <v:textbox inset="0,0,0,0">
                <w:txbxContent>
                  <w:p w14:paraId="6E68CAB2" w14:textId="77777777" w:rsidR="00811887" w:rsidRDefault="00811887">
                    <w:pPr>
                      <w:spacing w:before="14"/>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4534EFFF" w14:textId="77777777" w:rsidR="00811887" w:rsidRDefault="00811887">
                    <w:pPr>
                      <w:spacing w:before="4"/>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F1963" w14:textId="77777777" w:rsidR="00811887" w:rsidRDefault="00811887">
    <w:pPr>
      <w:pStyle w:val="BodyText"/>
      <w:spacing w:line="14" w:lineRule="auto"/>
    </w:pPr>
    <w:r>
      <w:rPr>
        <w:noProof/>
      </w:rPr>
      <mc:AlternateContent>
        <mc:Choice Requires="wps">
          <w:drawing>
            <wp:anchor distT="0" distB="0" distL="0" distR="0" simplePos="0" relativeHeight="251696128" behindDoc="1" locked="0" layoutInCell="1" allowOverlap="1" wp14:anchorId="741B726E" wp14:editId="5C01D7B3">
              <wp:simplePos x="0" y="0"/>
              <wp:positionH relativeFrom="page">
                <wp:posOffset>899464</wp:posOffset>
              </wp:positionH>
              <wp:positionV relativeFrom="page">
                <wp:posOffset>6872935</wp:posOffset>
              </wp:positionV>
              <wp:extent cx="8905875" cy="6350"/>
              <wp:effectExtent l="0" t="0" r="0" b="0"/>
              <wp:wrapNone/>
              <wp:docPr id="239" name="Graphic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5875" cy="6350"/>
                      </a:xfrm>
                      <a:custGeom>
                        <a:avLst/>
                        <a:gdLst/>
                        <a:ahLst/>
                        <a:cxnLst/>
                        <a:rect l="l" t="t" r="r" b="b"/>
                        <a:pathLst>
                          <a:path w="8905875" h="6350">
                            <a:moveTo>
                              <a:pt x="8905621" y="0"/>
                            </a:moveTo>
                            <a:lnTo>
                              <a:pt x="0" y="0"/>
                            </a:lnTo>
                            <a:lnTo>
                              <a:pt x="0" y="6095"/>
                            </a:lnTo>
                            <a:lnTo>
                              <a:pt x="8905621" y="6095"/>
                            </a:lnTo>
                            <a:lnTo>
                              <a:pt x="8905621" y="0"/>
                            </a:lnTo>
                            <a:close/>
                          </a:path>
                        </a:pathLst>
                      </a:custGeom>
                      <a:solidFill>
                        <a:srgbClr val="4D665B"/>
                      </a:solidFill>
                    </wps:spPr>
                    <wps:bodyPr wrap="square" lIns="0" tIns="0" rIns="0" bIns="0" rtlCol="0">
                      <a:prstTxWarp prst="textNoShape">
                        <a:avLst/>
                      </a:prstTxWarp>
                      <a:noAutofit/>
                    </wps:bodyPr>
                  </wps:wsp>
                </a:graphicData>
              </a:graphic>
            </wp:anchor>
          </w:drawing>
        </mc:Choice>
        <mc:Fallback>
          <w:pict>
            <v:shape w14:anchorId="5132D5DE" id="Graphic 239" o:spid="_x0000_s1026" alt="&quot;&quot;" style="position:absolute;margin-left:70.8pt;margin-top:541.2pt;width:701.25pt;height:.5pt;z-index:-251620352;visibility:visible;mso-wrap-style:square;mso-wrap-distance-left:0;mso-wrap-distance-top:0;mso-wrap-distance-right:0;mso-wrap-distance-bottom:0;mso-position-horizontal:absolute;mso-position-horizontal-relative:page;mso-position-vertical:absolute;mso-position-vertical-relative:page;v-text-anchor:top" coordsize="89058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" path="m8905621,l,,,6095r8905621,l8905621,xe" fillcolor="#4d665b" stroked="f">
              <v:path arrowok="t"/>
              <w10:wrap anchorx="page" anchory="page"/>
            </v:shape>
          </w:pict>
        </mc:Fallback>
      </mc:AlternateContent>
    </w:r>
    <w:r>
      <w:rPr>
        <w:noProof/>
      </w:rPr>
      <mc:AlternateContent>
        <mc:Choice Requires="wps">
          <w:drawing>
            <wp:anchor distT="0" distB="0" distL="0" distR="0" simplePos="0" relativeHeight="251697152" behindDoc="1" locked="0" layoutInCell="1" allowOverlap="1" wp14:anchorId="4DBCE40A" wp14:editId="628530B1">
              <wp:simplePos x="0" y="0"/>
              <wp:positionH relativeFrom="page">
                <wp:posOffset>9456166</wp:posOffset>
              </wp:positionH>
              <wp:positionV relativeFrom="page">
                <wp:posOffset>6894433</wp:posOffset>
              </wp:positionV>
              <wp:extent cx="229235" cy="18034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340"/>
                      </a:xfrm>
                      <a:prstGeom prst="rect">
                        <a:avLst/>
                      </a:prstGeom>
                    </wps:spPr>
                    <wps:txbx>
                      <w:txbxContent>
                        <w:p w14:paraId="4CC99418"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58</w:t>
                          </w:r>
                          <w:r>
                            <w:rPr>
                              <w:rFonts w:ascii="Book Antiqua"/>
                              <w:b/>
                              <w:color w:val="4D665B"/>
                              <w:spacing w:val="-5"/>
                              <w:sz w:val="20"/>
                            </w:rPr>
                            <w:fldChar w:fldCharType="end"/>
                          </w:r>
                        </w:p>
                      </w:txbxContent>
                    </wps:txbx>
                    <wps:bodyPr wrap="square" lIns="0" tIns="0" rIns="0" bIns="0" rtlCol="0">
                      <a:noAutofit/>
                    </wps:bodyPr>
                  </wps:wsp>
                </a:graphicData>
              </a:graphic>
            </wp:anchor>
          </w:drawing>
        </mc:Choice>
        <mc:Fallback>
          <w:pict>
            <v:shapetype w14:anchorId="4DBCE40A" id="_x0000_t202" coordsize="21600,21600" o:spt="202" path="m,l,21600r21600,l21600,xe">
              <v:stroke joinstyle="miter"/>
              <v:path gradientshapeok="t" o:connecttype="rect"/>
            </v:shapetype>
            <v:shape id="Textbox 240" o:spid="_x0000_s1038" type="#_x0000_t202" style="position:absolute;margin-left:744.6pt;margin-top:542.85pt;width:18.05pt;height:14.2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" filled="f" stroked="f">
              <v:textbox inset="0,0,0,0">
                <w:txbxContent>
                  <w:p w14:paraId="4CC99418" w14:textId="77777777" w:rsidR="00811887" w:rsidRDefault="00811887">
                    <w:pPr>
                      <w:spacing w:before="18"/>
                      <w:ind w:left="60"/>
                      <w:rPr>
                        <w:rFonts w:ascii="Book Antiqua"/>
                        <w:b/>
                        <w:sz w:val="20"/>
                      </w:rPr>
                    </w:pPr>
                    <w:r>
                      <w:rPr>
                        <w:rFonts w:ascii="Book Antiqua"/>
                        <w:b/>
                        <w:color w:val="4D665B"/>
                        <w:spacing w:val="-5"/>
                        <w:sz w:val="20"/>
                      </w:rPr>
                      <w:fldChar w:fldCharType="begin"/>
                    </w:r>
                    <w:r>
                      <w:rPr>
                        <w:rFonts w:ascii="Book Antiqua"/>
                        <w:b/>
                        <w:color w:val="4D665B"/>
                        <w:spacing w:val="-5"/>
                        <w:sz w:val="20"/>
                      </w:rPr>
                      <w:instrText xml:space="preserve"> PAGE </w:instrText>
                    </w:r>
                    <w:r>
                      <w:rPr>
                        <w:rFonts w:ascii="Book Antiqua"/>
                        <w:b/>
                        <w:color w:val="4D665B"/>
                        <w:spacing w:val="-5"/>
                        <w:sz w:val="20"/>
                      </w:rPr>
                      <w:fldChar w:fldCharType="separate"/>
                    </w:r>
                    <w:r>
                      <w:rPr>
                        <w:rFonts w:ascii="Book Antiqua"/>
                        <w:b/>
                        <w:color w:val="4D665B"/>
                        <w:spacing w:val="-5"/>
                        <w:sz w:val="20"/>
                      </w:rPr>
                      <w:t>58</w:t>
                    </w:r>
                    <w:r>
                      <w:rPr>
                        <w:rFonts w:ascii="Book Antiqua"/>
                        <w:b/>
                        <w:color w:val="4D665B"/>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98176" behindDoc="1" locked="0" layoutInCell="1" allowOverlap="1" wp14:anchorId="2AA9E712" wp14:editId="53125F2D">
              <wp:simplePos x="0" y="0"/>
              <wp:positionH relativeFrom="page">
                <wp:posOffset>886764</wp:posOffset>
              </wp:positionH>
              <wp:positionV relativeFrom="page">
                <wp:posOffset>6918157</wp:posOffset>
              </wp:positionV>
              <wp:extent cx="3286760" cy="259079"/>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760" cy="259079"/>
                      </a:xfrm>
                      <a:prstGeom prst="rect">
                        <a:avLst/>
                      </a:prstGeom>
                    </wps:spPr>
                    <wps:txbx>
                      <w:txbxContent>
                        <w:p w14:paraId="6CD2781D" w14:textId="77777777" w:rsidR="00811887" w:rsidRDefault="00811887">
                          <w:pPr>
                            <w:spacing w:before="14" w:line="197" w:lineRule="exact"/>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6156EA71" w14:textId="77777777" w:rsidR="00811887" w:rsidRDefault="00811887">
                          <w:pPr>
                            <w:spacing w:line="165" w:lineRule="exact"/>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wps:txbx>
                    <wps:bodyPr wrap="square" lIns="0" tIns="0" rIns="0" bIns="0" rtlCol="0">
                      <a:noAutofit/>
                    </wps:bodyPr>
                  </wps:wsp>
                </a:graphicData>
              </a:graphic>
            </wp:anchor>
          </w:drawing>
        </mc:Choice>
        <mc:Fallback>
          <w:pict>
            <v:shape w14:anchorId="2AA9E712" id="Textbox 241" o:spid="_x0000_s1039" type="#_x0000_t202" style="position:absolute;margin-left:69.8pt;margin-top:544.75pt;width:258.8pt;height:20.4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" filled="f" stroked="f">
              <v:textbox inset="0,0,0,0">
                <w:txbxContent>
                  <w:p w14:paraId="6CD2781D" w14:textId="77777777" w:rsidR="00811887" w:rsidRDefault="00811887">
                    <w:pPr>
                      <w:spacing w:before="14" w:line="197" w:lineRule="exact"/>
                      <w:ind w:left="20"/>
                      <w:rPr>
                        <w:rFonts w:ascii="Arial Black"/>
                        <w:sz w:val="14"/>
                      </w:rPr>
                    </w:pPr>
                    <w:r>
                      <w:rPr>
                        <w:rFonts w:ascii="Arial Black"/>
                        <w:color w:val="4D665B"/>
                        <w:w w:val="85"/>
                        <w:sz w:val="14"/>
                      </w:rPr>
                      <w:t>ABORIGINAL</w:t>
                    </w:r>
                    <w:r>
                      <w:rPr>
                        <w:rFonts w:ascii="Arial Black"/>
                        <w:color w:val="4D665B"/>
                        <w:spacing w:val="55"/>
                        <w:sz w:val="14"/>
                      </w:rPr>
                      <w:t xml:space="preserve"> </w:t>
                    </w:r>
                    <w:r>
                      <w:rPr>
                        <w:rFonts w:ascii="Arial Black"/>
                        <w:color w:val="4D665B"/>
                        <w:w w:val="85"/>
                        <w:sz w:val="14"/>
                      </w:rPr>
                      <w:t>AND</w:t>
                    </w:r>
                    <w:r>
                      <w:rPr>
                        <w:rFonts w:ascii="Arial Black"/>
                        <w:color w:val="4D665B"/>
                        <w:spacing w:val="59"/>
                        <w:sz w:val="14"/>
                      </w:rPr>
                      <w:t xml:space="preserve"> </w:t>
                    </w:r>
                    <w:r>
                      <w:rPr>
                        <w:rFonts w:ascii="Arial Black"/>
                        <w:color w:val="4D665B"/>
                        <w:w w:val="85"/>
                        <w:sz w:val="14"/>
                      </w:rPr>
                      <w:t>TORRES</w:t>
                    </w:r>
                    <w:r>
                      <w:rPr>
                        <w:rFonts w:ascii="Arial Black"/>
                        <w:color w:val="4D665B"/>
                        <w:spacing w:val="53"/>
                        <w:sz w:val="14"/>
                      </w:rPr>
                      <w:t xml:space="preserve"> </w:t>
                    </w:r>
                    <w:r>
                      <w:rPr>
                        <w:rFonts w:ascii="Arial Black"/>
                        <w:color w:val="4D665B"/>
                        <w:w w:val="85"/>
                        <w:sz w:val="14"/>
                      </w:rPr>
                      <w:t>STRAIT</w:t>
                    </w:r>
                    <w:r>
                      <w:rPr>
                        <w:rFonts w:ascii="Arial Black"/>
                        <w:color w:val="4D665B"/>
                        <w:spacing w:val="48"/>
                        <w:sz w:val="14"/>
                      </w:rPr>
                      <w:t xml:space="preserve"> </w:t>
                    </w:r>
                    <w:r>
                      <w:rPr>
                        <w:rFonts w:ascii="Arial Black"/>
                        <w:color w:val="4D665B"/>
                        <w:w w:val="85"/>
                        <w:sz w:val="14"/>
                      </w:rPr>
                      <w:t>ISLANDER</w:t>
                    </w:r>
                    <w:r>
                      <w:rPr>
                        <w:rFonts w:ascii="Arial Black"/>
                        <w:color w:val="4D665B"/>
                        <w:spacing w:val="56"/>
                        <w:sz w:val="14"/>
                      </w:rPr>
                      <w:t xml:space="preserve"> </w:t>
                    </w:r>
                    <w:r>
                      <w:rPr>
                        <w:rFonts w:ascii="Arial Black"/>
                        <w:color w:val="4D665B"/>
                        <w:w w:val="85"/>
                        <w:sz w:val="14"/>
                      </w:rPr>
                      <w:t>HOUSING</w:t>
                    </w:r>
                    <w:r>
                      <w:rPr>
                        <w:rFonts w:ascii="Arial Black"/>
                        <w:color w:val="4D665B"/>
                        <w:spacing w:val="52"/>
                        <w:sz w:val="14"/>
                      </w:rPr>
                      <w:t xml:space="preserve"> </w:t>
                    </w:r>
                    <w:r>
                      <w:rPr>
                        <w:rFonts w:ascii="Arial Black"/>
                        <w:color w:val="4D665B"/>
                        <w:w w:val="85"/>
                        <w:sz w:val="14"/>
                      </w:rPr>
                      <w:t>DATA</w:t>
                    </w:r>
                    <w:r>
                      <w:rPr>
                        <w:rFonts w:ascii="Arial Black"/>
                        <w:color w:val="4D665B"/>
                        <w:spacing w:val="51"/>
                        <w:sz w:val="14"/>
                      </w:rPr>
                      <w:t xml:space="preserve"> </w:t>
                    </w:r>
                    <w:r>
                      <w:rPr>
                        <w:rFonts w:ascii="Arial Black"/>
                        <w:color w:val="4D665B"/>
                        <w:spacing w:val="-2"/>
                        <w:w w:val="85"/>
                        <w:sz w:val="14"/>
                      </w:rPr>
                      <w:t>REVIEW</w:t>
                    </w:r>
                  </w:p>
                  <w:p w14:paraId="6156EA71" w14:textId="77777777" w:rsidR="00811887" w:rsidRDefault="00811887">
                    <w:pPr>
                      <w:spacing w:line="165" w:lineRule="exact"/>
                      <w:ind w:left="20"/>
                      <w:rPr>
                        <w:rFonts w:ascii="Lucida Sans"/>
                        <w:sz w:val="14"/>
                      </w:rPr>
                    </w:pPr>
                    <w:r>
                      <w:rPr>
                        <w:rFonts w:ascii="Lucida Sans"/>
                        <w:color w:val="4D665B"/>
                        <w:sz w:val="14"/>
                      </w:rPr>
                      <w:t>EQUITY</w:t>
                    </w:r>
                    <w:r>
                      <w:rPr>
                        <w:rFonts w:ascii="Lucida Sans"/>
                        <w:color w:val="4D665B"/>
                        <w:spacing w:val="16"/>
                        <w:sz w:val="14"/>
                      </w:rPr>
                      <w:t xml:space="preserve"> </w:t>
                    </w:r>
                    <w:r>
                      <w:rPr>
                        <w:rFonts w:ascii="Lucida Sans"/>
                        <w:color w:val="4D665B"/>
                        <w:spacing w:val="9"/>
                        <w:sz w:val="14"/>
                      </w:rPr>
                      <w:t>ECONOMICS</w:t>
                    </w:r>
                    <w:r>
                      <w:rPr>
                        <w:rFonts w:ascii="Lucida Sans"/>
                        <w:color w:val="4D665B"/>
                        <w:spacing w:val="22"/>
                        <w:sz w:val="14"/>
                      </w:rPr>
                      <w:t xml:space="preserve"> </w:t>
                    </w:r>
                    <w:r>
                      <w:rPr>
                        <w:rFonts w:ascii="Lucida Sans"/>
                        <w:color w:val="4D665B"/>
                        <w:spacing w:val="7"/>
                        <w:sz w:val="14"/>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84236042"/>
      <w:docPartObj>
        <w:docPartGallery w:val="Page Numbers (Bottom of Page)"/>
        <w:docPartUnique/>
      </w:docPartObj>
    </w:sdtPr>
    <w:sdtEndPr>
      <w:rPr>
        <w:rStyle w:val="PageNumber"/>
        <w:sz w:val="18"/>
        <w:szCs w:val="20"/>
      </w:rPr>
    </w:sdtEndPr>
    <w:sdtContent>
      <w:p w14:paraId="01523098" w14:textId="3B0C6367" w:rsidR="002D24E0" w:rsidRPr="002D24E0" w:rsidRDefault="002D24E0" w:rsidP="00253A0D">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sidRPr="002D24E0">
          <w:rPr>
            <w:rStyle w:val="PageNumber"/>
            <w:noProof/>
            <w:sz w:val="18"/>
            <w:szCs w:val="20"/>
          </w:rPr>
          <w:t>5</w:t>
        </w:r>
        <w:r w:rsidRPr="002D24E0">
          <w:rPr>
            <w:rStyle w:val="PageNumber"/>
            <w:sz w:val="18"/>
            <w:szCs w:val="20"/>
          </w:rPr>
          <w:fldChar w:fldCharType="end"/>
        </w:r>
      </w:p>
    </w:sdtContent>
  </w:sdt>
  <w:p w14:paraId="1BBD9C82" w14:textId="37311465" w:rsidR="002D24E0" w:rsidRPr="002D24E0" w:rsidRDefault="002D24E0" w:rsidP="002D24E0">
    <w:pPr>
      <w:pStyle w:val="Footer"/>
      <w:ind w:right="360"/>
      <w:rPr>
        <w:sz w:val="18"/>
        <w:szCs w:val="20"/>
      </w:rPr>
    </w:pPr>
    <w:r>
      <w:rPr>
        <w:sz w:val="18"/>
        <w:szCs w:val="20"/>
      </w:rPr>
      <w:t>EIAC 2024 Report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1FB0" w14:textId="77777777" w:rsidR="00000000" w:rsidRDefault="00000000">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2DE75" w14:textId="46EDF734" w:rsidR="00C355EE" w:rsidRPr="00C355EE" w:rsidRDefault="00C355EE" w:rsidP="00C355EE">
    <w:pPr>
      <w:pStyle w:val="Footer"/>
      <w:ind w:right="360"/>
      <w:rPr>
        <w:sz w:val="18"/>
        <w:szCs w:val="20"/>
      </w:rPr>
    </w:pPr>
    <w:r>
      <w:rPr>
        <w:sz w:val="18"/>
        <w:szCs w:val="20"/>
      </w:rPr>
      <w:t>EIAC 2024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B04A" w14:textId="77777777" w:rsidR="00B652C8" w:rsidRDefault="00B652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10FAC" w14:textId="77777777" w:rsidR="00B652C8" w:rsidRDefault="00B652C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F6783" w14:textId="77777777" w:rsidR="00B652C8" w:rsidRDefault="00B652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3DF84" w14:textId="77777777" w:rsidR="00B652C8" w:rsidRDefault="00B652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B2B99" w14:textId="77777777" w:rsidR="00C61B2A" w:rsidRDefault="00C61B2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E3B54" w14:textId="77777777" w:rsidR="00811887" w:rsidRDefault="00811887">
    <w:pPr>
      <w:pStyle w:val="BodyText"/>
      <w:spacing w:line="14" w:lineRule="auto"/>
    </w:pPr>
    <w:r>
      <w:rPr>
        <w:noProof/>
      </w:rPr>
      <mc:AlternateContent>
        <mc:Choice Requires="wps">
          <w:drawing>
            <wp:anchor distT="0" distB="0" distL="0" distR="0" simplePos="0" relativeHeight="251677696" behindDoc="1" locked="0" layoutInCell="1" allowOverlap="1" wp14:anchorId="1C74059E" wp14:editId="2A08449C">
              <wp:simplePos x="0" y="0"/>
              <wp:positionH relativeFrom="page">
                <wp:posOffset>3056431</wp:posOffset>
              </wp:positionH>
              <wp:positionV relativeFrom="page">
                <wp:posOffset>10313200</wp:posOffset>
              </wp:positionV>
              <wp:extent cx="1447800" cy="1384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38430"/>
                      </a:xfrm>
                      <a:prstGeom prst="rect">
                        <a:avLst/>
                      </a:prstGeom>
                    </wps:spPr>
                    <wps:txbx>
                      <w:txbxContent>
                        <w:p w14:paraId="14EC41EE" w14:textId="77777777" w:rsidR="00811887" w:rsidRDefault="00811887">
                          <w:pPr>
                            <w:spacing w:before="13"/>
                            <w:ind w:left="20"/>
                            <w:rPr>
                              <w:rFonts w:ascii="Times New Roman"/>
                              <w:sz w:val="16"/>
                            </w:rPr>
                          </w:pPr>
                          <w:r>
                            <w:rPr>
                              <w:rFonts w:ascii="Times New Roman"/>
                              <w:sz w:val="16"/>
                            </w:rPr>
                            <w:t xml:space="preserve">Authorised Version </w:t>
                          </w:r>
                          <w:r>
                            <w:rPr>
                              <w:rFonts w:ascii="Times New Roman"/>
                              <w:spacing w:val="-2"/>
                              <w:sz w:val="16"/>
                            </w:rPr>
                            <w:t>C2023A00112</w:t>
                          </w:r>
                        </w:p>
                      </w:txbxContent>
                    </wps:txbx>
                    <wps:bodyPr wrap="square" lIns="0" tIns="0" rIns="0" bIns="0" rtlCol="0">
                      <a:noAutofit/>
                    </wps:bodyPr>
                  </wps:wsp>
                </a:graphicData>
              </a:graphic>
            </wp:anchor>
          </w:drawing>
        </mc:Choice>
        <mc:Fallback>
          <w:pict>
            <v:shapetype w14:anchorId="1C74059E" id="_x0000_t202" coordsize="21600,21600" o:spt="202" path="m,l,21600r21600,l21600,xe">
              <v:stroke joinstyle="miter"/>
              <v:path gradientshapeok="t" o:connecttype="rect"/>
            </v:shapetype>
            <v:shape id="Textbox 1" o:spid="_x0000_s1026" type="#_x0000_t202" style="position:absolute;margin-left:240.65pt;margin-top:812.05pt;width:114pt;height:10.9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" filled="f" stroked="f">
              <v:textbox inset="0,0,0,0">
                <w:txbxContent>
                  <w:p w14:paraId="14EC41EE" w14:textId="77777777" w:rsidR="00811887" w:rsidRDefault="00811887">
                    <w:pPr>
                      <w:spacing w:before="13"/>
                      <w:ind w:left="20"/>
                      <w:rPr>
                        <w:rFonts w:ascii="Times New Roman"/>
                        <w:sz w:val="16"/>
                      </w:rPr>
                    </w:pPr>
                    <w:r>
                      <w:rPr>
                        <w:rFonts w:ascii="Times New Roman"/>
                        <w:sz w:val="16"/>
                      </w:rPr>
                      <w:t xml:space="preserve">Authorised Version </w:t>
                    </w:r>
                    <w:r>
                      <w:rPr>
                        <w:rFonts w:ascii="Times New Roman"/>
                        <w:spacing w:val="-2"/>
                        <w:sz w:val="16"/>
                      </w:rPr>
                      <w:t>C2023A00112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728FB" w14:textId="77777777" w:rsidR="00E854B2" w:rsidRDefault="00E854B2" w:rsidP="00D24350">
      <w:pPr>
        <w:spacing w:after="0"/>
      </w:pPr>
      <w:r>
        <w:separator/>
      </w:r>
    </w:p>
  </w:footnote>
  <w:footnote w:type="continuationSeparator" w:id="0">
    <w:p w14:paraId="3618CFE0" w14:textId="77777777" w:rsidR="00E854B2" w:rsidRDefault="00E854B2" w:rsidP="00D24350">
      <w:pPr>
        <w:spacing w:after="0"/>
      </w:pPr>
      <w:r>
        <w:continuationSeparator/>
      </w:r>
    </w:p>
  </w:footnote>
  <w:footnote w:id="1">
    <w:p w14:paraId="004A38CF" w14:textId="3453EAD4" w:rsidR="00D24350" w:rsidRDefault="00D24350" w:rsidP="00D24350">
      <w:pPr>
        <w:pStyle w:val="CaptionA"/>
      </w:pPr>
      <w:r>
        <w:rPr>
          <w:vertAlign w:val="superscript"/>
        </w:rPr>
        <w:footnoteRef/>
      </w:r>
      <w:r>
        <w:t>  (McClure, 2015, p 9)</w:t>
      </w:r>
    </w:p>
  </w:footnote>
  <w:footnote w:id="2">
    <w:p w14:paraId="42924A11" w14:textId="22F586F1" w:rsidR="00D24350" w:rsidRDefault="00D24350" w:rsidP="00D24350">
      <w:pPr>
        <w:pStyle w:val="CaptionA"/>
      </w:pPr>
      <w:r>
        <w:rPr>
          <w:vertAlign w:val="superscript"/>
        </w:rPr>
        <w:footnoteRef/>
      </w:r>
      <w:r>
        <w:t>  This is higher than the 2.0% change in the CPI over the six months between March and September, because the increase applied is based on the change in the CPI between December 2022 and June 2023, when the inflation rate had been higher. This “indexation lag effect” means that the real rate of payment is measured as rising when inflation is falling but falling when inflation is increasing.</w:t>
      </w:r>
    </w:p>
  </w:footnote>
  <w:footnote w:id="3">
    <w:p w14:paraId="35AEE2F6" w14:textId="40468ACA" w:rsidR="00D24350" w:rsidRDefault="00D24350" w:rsidP="00D24350">
      <w:pPr>
        <w:pStyle w:val="CaptionA"/>
      </w:pPr>
      <w:r>
        <w:rPr>
          <w:vertAlign w:val="superscript"/>
        </w:rPr>
        <w:footnoteRef/>
      </w:r>
      <w:r>
        <w:t>  (ABS, 2024)</w:t>
      </w:r>
    </w:p>
  </w:footnote>
  <w:footnote w:id="4">
    <w:p w14:paraId="3BF0F87D" w14:textId="6D474CE9" w:rsidR="00D24350" w:rsidRDefault="00D24350" w:rsidP="00D24350">
      <w:pPr>
        <w:pStyle w:val="CaptionA"/>
      </w:pPr>
      <w:r>
        <w:rPr>
          <w:vertAlign w:val="superscript"/>
        </w:rPr>
        <w:footnoteRef/>
      </w:r>
      <w:r>
        <w:t>  Since the first quarter of 2022, the Henderson Poverty Line has fallen by more than 10% in real terms.</w:t>
      </w:r>
    </w:p>
  </w:footnote>
  <w:footnote w:id="5">
    <w:p w14:paraId="24AD8549" w14:textId="635E6534" w:rsidR="00D24350" w:rsidRDefault="00D24350" w:rsidP="00D24350">
      <w:pPr>
        <w:pStyle w:val="CaptionA"/>
      </w:pPr>
      <w:r>
        <w:rPr>
          <w:vertAlign w:val="superscript"/>
        </w:rPr>
        <w:footnoteRef/>
      </w:r>
      <w:r>
        <w:t>  Poverty line values in PolicyMod incorporate the latest tax and income support changes and economic parameters up to and including 2023 MYEFO. The estimate is based on equivalised income using the OECD modified equivalence scale.</w:t>
      </w:r>
    </w:p>
  </w:footnote>
  <w:footnote w:id="6">
    <w:p w14:paraId="1BE77895" w14:textId="375D5E92" w:rsidR="00D24350" w:rsidRDefault="00D24350" w:rsidP="00D24350">
      <w:pPr>
        <w:pStyle w:val="CaptionA"/>
      </w:pPr>
      <w:r>
        <w:rPr>
          <w:vertAlign w:val="superscript"/>
        </w:rPr>
        <w:footnoteRef/>
      </w:r>
      <w:r>
        <w:t>  The poverty gap is the ratio by which the mean income of the poor falls below the poverty line used. The poverty gap measures the depth of poverty, while the poverty rate only measures the share of the population below the poverty line. A policy change that helps the most disadvantaged may not change the poverty rate but can still reduce the depth of poverty and disadvantage.</w:t>
      </w:r>
    </w:p>
  </w:footnote>
  <w:footnote w:id="7">
    <w:p w14:paraId="7E598DAF" w14:textId="18BAED5C" w:rsidR="00D24350" w:rsidRDefault="00D24350" w:rsidP="00D24350">
      <w:pPr>
        <w:pStyle w:val="CaptionA"/>
      </w:pPr>
      <w:r>
        <w:rPr>
          <w:vertAlign w:val="superscript"/>
        </w:rPr>
        <w:footnoteRef/>
      </w:r>
      <w:r>
        <w:t>  https://www.oecd.org/social/benefits-and-wages/</w:t>
      </w:r>
    </w:p>
  </w:footnote>
  <w:footnote w:id="8">
    <w:p w14:paraId="4ECA93BB" w14:textId="7528E3F4" w:rsidR="00D24350" w:rsidRDefault="00D24350" w:rsidP="00D24350">
      <w:pPr>
        <w:pStyle w:val="CaptionA"/>
      </w:pPr>
      <w:r>
        <w:rPr>
          <w:vertAlign w:val="superscript"/>
        </w:rPr>
        <w:footnoteRef/>
      </w:r>
      <w:r>
        <w:t>  HILDA increases this amount through time roughly in line with prices and is now $4000.</w:t>
      </w:r>
    </w:p>
  </w:footnote>
  <w:footnote w:id="9">
    <w:p w14:paraId="22199275" w14:textId="2419D05A" w:rsidR="00D24350" w:rsidRDefault="00D24350" w:rsidP="00D24350">
      <w:pPr>
        <w:pStyle w:val="CaptionA"/>
      </w:pPr>
      <w:r>
        <w:rPr>
          <w:vertAlign w:val="superscript"/>
        </w:rPr>
        <w:footnoteRef/>
      </w:r>
      <w:r>
        <w:t xml:space="preserve">  Further analysis could be undertaken for the Committee on the timing of COVID payments and when the stress questions were asked. </w:t>
      </w:r>
    </w:p>
  </w:footnote>
  <w:footnote w:id="10">
    <w:p w14:paraId="0AB8B2B9" w14:textId="0D5AD11C" w:rsidR="00D24350" w:rsidRDefault="00D24350" w:rsidP="00D24350">
      <w:pPr>
        <w:pStyle w:val="CaptionA"/>
      </w:pPr>
      <w:r>
        <w:rPr>
          <w:vertAlign w:val="superscript"/>
        </w:rPr>
        <w:footnoteRef/>
      </w:r>
      <w:r>
        <w:t>  Phillips (2024) estimates include an additional financial stress question relating to the ability to raise funds in an emergency, so are not directly comparable to the DSS estimates. The relativities in financial stress between payments are not significant, however.</w:t>
      </w:r>
    </w:p>
  </w:footnote>
  <w:footnote w:id="11">
    <w:p w14:paraId="10290845" w14:textId="28D6186C" w:rsidR="00D24350" w:rsidRDefault="00D24350" w:rsidP="00D24350">
      <w:pPr>
        <w:pStyle w:val="CaptionA"/>
      </w:pPr>
      <w:r>
        <w:rPr>
          <w:vertAlign w:val="superscript"/>
        </w:rPr>
        <w:footnoteRef/>
      </w:r>
      <w:r>
        <w:t>  Ownership includes those both with and without a mortgage.</w:t>
      </w:r>
    </w:p>
  </w:footnote>
  <w:footnote w:id="12">
    <w:p w14:paraId="548848B9" w14:textId="3873B1F0" w:rsidR="00D24350" w:rsidRDefault="00D24350" w:rsidP="00D24350">
      <w:pPr>
        <w:pStyle w:val="CaptionA"/>
      </w:pPr>
      <w:r>
        <w:rPr>
          <w:vertAlign w:val="superscript"/>
        </w:rPr>
        <w:footnoteRef/>
      </w:r>
      <w:r>
        <w:t>  It should be noted that these financial stress measures apply for 2021 and 2022, before the most recent increases in payments and so cannot capture any effects of the increases in payment rates or the shifting of single parents from JobSeeker Payment to Parenting Payment Single.</w:t>
      </w:r>
    </w:p>
  </w:footnote>
  <w:footnote w:id="13">
    <w:p w14:paraId="34111E29" w14:textId="0D3359B8" w:rsidR="00D24350" w:rsidRDefault="00D24350" w:rsidP="00D24350">
      <w:pPr>
        <w:pStyle w:val="CaptionA"/>
      </w:pPr>
      <w:r>
        <w:rPr>
          <w:vertAlign w:val="superscript"/>
        </w:rPr>
        <w:footnoteRef/>
      </w:r>
      <w:r>
        <w:t>  Daniels, D. (2011) Social security payments for the aged, people with disabilities and carers 1901 to 2010, Parliamentary Library Background note, 21 February 2011, Canberra.</w:t>
      </w:r>
    </w:p>
  </w:footnote>
  <w:footnote w:id="14">
    <w:p w14:paraId="27404A28" w14:textId="0605AE48" w:rsidR="00D24350" w:rsidRDefault="00D24350" w:rsidP="00D24350">
      <w:pPr>
        <w:pStyle w:val="CaptionA"/>
      </w:pPr>
      <w:r>
        <w:rPr>
          <w:vertAlign w:val="superscript"/>
        </w:rPr>
        <w:footnoteRef/>
      </w:r>
      <w:r>
        <w:t>  That is, in 1951.</w:t>
      </w:r>
    </w:p>
  </w:footnote>
  <w:footnote w:id="15">
    <w:p w14:paraId="35CFFD5B" w14:textId="630D3009" w:rsidR="00D24350" w:rsidRDefault="00D24350" w:rsidP="00D24350">
      <w:pPr>
        <w:pStyle w:val="CaptionA"/>
      </w:pPr>
      <w:r>
        <w:rPr>
          <w:vertAlign w:val="superscript"/>
        </w:rPr>
        <w:footnoteRef/>
      </w:r>
      <w:r>
        <w:t>  Indexation of pensions had started in the 1930s but was suspended, and again reintroduced for some of the 1940s (Daniels, 2020).</w:t>
      </w:r>
    </w:p>
  </w:footnote>
  <w:footnote w:id="16">
    <w:p w14:paraId="7224E78B" w14:textId="0BF8ACB4" w:rsidR="00D24350" w:rsidRDefault="00D24350" w:rsidP="00D24350">
      <w:pPr>
        <w:pStyle w:val="CaptionA"/>
      </w:pPr>
      <w:r>
        <w:rPr>
          <w:vertAlign w:val="superscript"/>
        </w:rPr>
        <w:footnoteRef/>
      </w:r>
      <w:r>
        <w:t>  The two supplements available to pensioners at this time were Pharmaceutical Allowance and Telephone Allowance, which were worth $7.35 combined per fortnight.</w:t>
      </w:r>
    </w:p>
  </w:footnote>
  <w:footnote w:id="17">
    <w:p w14:paraId="32BBA435" w14:textId="20A88C2A" w:rsidR="00D24350" w:rsidRDefault="00D24350" w:rsidP="00D24350">
      <w:pPr>
        <w:pStyle w:val="CaptionA"/>
      </w:pPr>
      <w:r>
        <w:rPr>
          <w:vertAlign w:val="superscript"/>
        </w:rPr>
        <w:footnoteRef/>
      </w:r>
      <w:r>
        <w:t>  The Age Pension rate has been used to calculate the value of supplements as eligibility for Utilities Allowance excluded DSP for a period.</w:t>
      </w:r>
    </w:p>
  </w:footnote>
  <w:footnote w:id="18">
    <w:p w14:paraId="63976276" w14:textId="77777777" w:rsidR="00D24350" w:rsidRDefault="00D24350" w:rsidP="00D24350">
      <w:pPr>
        <w:pStyle w:val="CaptionA"/>
      </w:pPr>
      <w:r>
        <w:rPr>
          <w:vertAlign w:val="superscript"/>
        </w:rPr>
        <w:footnoteRef/>
      </w:r>
      <w:r>
        <w:t>  The Review had found that single pensioners living by themselves were finding it much more difficult to meet their living costs compared to couple pensioners.</w:t>
      </w:r>
    </w:p>
    <w:p w14:paraId="41A94792" w14:textId="77777777" w:rsidR="00D24350" w:rsidRDefault="00D24350" w:rsidP="00D24350">
      <w:pPr>
        <w:pStyle w:val="CaptionA"/>
      </w:pPr>
    </w:p>
  </w:footnote>
  <w:footnote w:id="19">
    <w:p w14:paraId="1F9EF032" w14:textId="5AEAB5B1" w:rsidR="00D24350" w:rsidRDefault="00D24350" w:rsidP="00D24350">
      <w:pPr>
        <w:pStyle w:val="CaptionA"/>
      </w:pPr>
      <w:r>
        <w:rPr>
          <w:vertAlign w:val="superscript"/>
        </w:rPr>
        <w:footnoteRef/>
      </w:r>
      <w:r>
        <w:t>  The indexation increases to payments in March 2024 slightly widened the gap in payments to $257.90 for basic payments and $344.80 for payments plus supplements.</w:t>
      </w:r>
    </w:p>
  </w:footnote>
  <w:footnote w:id="20">
    <w:p w14:paraId="2E9E6104" w14:textId="787AEE62" w:rsidR="00D24350" w:rsidRDefault="00D24350" w:rsidP="00D24350">
      <w:pPr>
        <w:pStyle w:val="CaptionA"/>
      </w:pPr>
      <w:r>
        <w:rPr>
          <w:vertAlign w:val="superscript"/>
        </w:rPr>
        <w:footnoteRef/>
      </w:r>
      <w:r>
        <w:t>  Officially known as the Other Government Transfer Recipient Living Cost Index, which comprises Government pension or benefit recipients (apart from Age Pension or DVA pension).</w:t>
      </w:r>
    </w:p>
  </w:footnote>
  <w:footnote w:id="21">
    <w:p w14:paraId="5174C7EA" w14:textId="41F627DA" w:rsidR="00D24350" w:rsidRDefault="00D24350" w:rsidP="00D24350">
      <w:pPr>
        <w:pStyle w:val="CaptionA"/>
      </w:pPr>
      <w:r>
        <w:rPr>
          <w:vertAlign w:val="superscript"/>
        </w:rPr>
        <w:footnoteRef/>
      </w:r>
      <w:r>
        <w:t>  The Hawke Government set benchmarks of adequacy establishing the rate per child for families receiving income support and in low-paid work as 15% of the married rate of pension for children up to 12 years of age and 20% for those aged 13-15 years. Assistance per child was increased under the Howard Government, but the change in benchmarking and suspension of indexation means that the current maximum payment rate for a younger child is around 14% of the married rate of pension and for older children the rate is 18.4%.</w:t>
      </w:r>
    </w:p>
  </w:footnote>
  <w:footnote w:id="22">
    <w:p w14:paraId="3D28F4CA" w14:textId="5CA9C0D1" w:rsidR="00D24350" w:rsidRDefault="00D24350" w:rsidP="00D24350">
      <w:pPr>
        <w:pStyle w:val="CaptionA"/>
      </w:pPr>
      <w:r>
        <w:rPr>
          <w:vertAlign w:val="superscript"/>
        </w:rPr>
        <w:footnoteRef/>
      </w:r>
      <w:r>
        <w:t>  Markham, F. (2024), The Poor Pay More: Why the Remote Area Allowance Needs Urgent Reform</w:t>
      </w:r>
      <w:r>
        <w:br/>
        <w:t>• 12 February 2024, AusTaxPolicy, https://www.austaxpolicy.com/the-poor-pay-more-why-the-remote-area-allowance-needs-urgent-reform/</w:t>
      </w:r>
    </w:p>
  </w:footnote>
  <w:footnote w:id="23">
    <w:p w14:paraId="2C1B6519" w14:textId="7756F6DA" w:rsidR="00D24350" w:rsidRDefault="00D24350" w:rsidP="00D24350">
      <w:pPr>
        <w:pStyle w:val="CaptionA"/>
      </w:pPr>
      <w:r>
        <w:rPr>
          <w:vertAlign w:val="superscript"/>
        </w:rPr>
        <w:footnoteRef/>
      </w:r>
      <w:r>
        <w:t>  “Expenditure weights are primarily derived from a household expenditure survey in two remote Indigenous communities, with an updated weight for weighting for tobacco products using 2018 sales data extracted from Thomas et al. (2021). Food prices refer to a national 2020 analysis by the Commonwealth Government. Differentials in transport costs are approximated by comparing the retail price of diesel in Northern territory remote Indigenous communities with that in Darwin, as reported through MyFuelNT on 1 February 2024. Tobacco prices are based on a comparison of remote store data extracted from  Thomas et al. (2021) with national data recorded by Scollo and Bayly (2023). The price differentials for ‘other goods and services’ are based on a conservative assumption that the price premium is half that reported for groceries.” (Markham, 2024. p.6.)</w:t>
      </w:r>
    </w:p>
  </w:footnote>
  <w:footnote w:id="24">
    <w:p w14:paraId="1B28A7F0" w14:textId="76381063" w:rsidR="00D24350" w:rsidRDefault="00D24350" w:rsidP="00D24350">
      <w:pPr>
        <w:pStyle w:val="CaptionA"/>
      </w:pPr>
      <w:r>
        <w:rPr>
          <w:vertAlign w:val="superscript"/>
        </w:rPr>
        <w:footnoteRef/>
      </w:r>
      <w:r>
        <w:t>  Johannes Schmeider and Till von Wachter (2016), ‘The effects of unemployment insurance benefits: New evidence and interpretation’, Annual Review of Economics, 8, p.553.</w:t>
      </w:r>
    </w:p>
  </w:footnote>
  <w:footnote w:id="25">
    <w:p w14:paraId="2579BE98" w14:textId="1F161FF2" w:rsidR="00D24350" w:rsidRDefault="00D24350" w:rsidP="00D24350">
      <w:pPr>
        <w:pStyle w:val="CaptionA"/>
      </w:pPr>
      <w:r>
        <w:rPr>
          <w:vertAlign w:val="superscript"/>
        </w:rPr>
        <w:footnoteRef/>
      </w:r>
      <w:r>
        <w:t>  Tito Boeri and Jan van Ours (2016), The Economics of Imperfect Labour Markets (Princeton University Press; 2nd edition), p.317.</w:t>
      </w:r>
    </w:p>
  </w:footnote>
  <w:footnote w:id="26">
    <w:p w14:paraId="4DDA549E" w14:textId="5ABE815D" w:rsidR="00D24350" w:rsidRDefault="00D24350" w:rsidP="00D24350">
      <w:pPr>
        <w:pStyle w:val="CaptionA"/>
      </w:pPr>
      <w:r>
        <w:rPr>
          <w:vertAlign w:val="superscript"/>
        </w:rPr>
        <w:footnoteRef/>
      </w:r>
      <w:r>
        <w:t>  The major difficulty with estimating the impact of changes to payment level on job search is finding a way to identify the causal impact. Early Australian studies studied the impact on unemployment duration of changes over time in the payment or replacement rate (for a review, see Jeff Borland and Ian McDonald, 2000, ‘Disaggregated models of unemployment’, Melbourne Institute Working Paper 16/00). However, those changes are likely to have reflected macroeconomic conditions. A more recent study estimates a large short-term impact on unemployment duration from increased income via early superannuation withdrawal in Australia (as part of Government policy following the onset of COVID-19) (see Tristram Sainsbury, Robert Breunig and Timothy Watson, 2022, ‘COVID 19 private pension withdrawals and unemployment tenures’, IZA Working Paper no.15399). However, this policy, which allowed withdrawals from superannuation of up to $10,000, at a time when COVID 19 was affecting the labour market, seems a very different policy exercise to increasing the base rate of the JobSeeker Payment.</w:t>
      </w:r>
    </w:p>
  </w:footnote>
  <w:footnote w:id="27">
    <w:p w14:paraId="63220ECF" w14:textId="4605774C" w:rsidR="00D24350" w:rsidRDefault="00D24350" w:rsidP="00D24350">
      <w:pPr>
        <w:pStyle w:val="CaptionA"/>
      </w:pPr>
      <w:r>
        <w:rPr>
          <w:vertAlign w:val="superscript"/>
        </w:rPr>
        <w:footnoteRef/>
      </w:r>
      <w:r>
        <w:t>  Johannes Schmeider and Till von Wachter (2016), op.cit., p.563.</w:t>
      </w:r>
    </w:p>
  </w:footnote>
  <w:footnote w:id="28">
    <w:p w14:paraId="6B813767" w14:textId="5975B60F" w:rsidR="00D24350" w:rsidRDefault="00D24350" w:rsidP="00D24350">
      <w:pPr>
        <w:pStyle w:val="CaptionA"/>
      </w:pPr>
      <w:r>
        <w:rPr>
          <w:vertAlign w:val="superscript"/>
        </w:rPr>
        <w:footnoteRef/>
      </w:r>
      <w:r>
        <w:t>  Tito Boeri and Jan van Ours (2016), op.cit., pp.332-33.</w:t>
      </w:r>
    </w:p>
  </w:footnote>
  <w:footnote w:id="29">
    <w:p w14:paraId="01F6FF0D" w14:textId="00AD89EE" w:rsidR="00D24350" w:rsidRDefault="00D24350" w:rsidP="00D24350">
      <w:pPr>
        <w:pStyle w:val="CaptionA"/>
      </w:pPr>
      <w:r>
        <w:rPr>
          <w:vertAlign w:val="superscript"/>
        </w:rPr>
        <w:footnoteRef/>
      </w:r>
      <w:r>
        <w:t>  Based on a single Age Pension payment of $548.35 (including supplements).</w:t>
      </w:r>
    </w:p>
  </w:footnote>
  <w:footnote w:id="30">
    <w:p w14:paraId="40A0EDB2" w14:textId="1C9118F9" w:rsidR="00D24350" w:rsidRDefault="00D24350" w:rsidP="00D24350">
      <w:pPr>
        <w:pStyle w:val="CaptionA"/>
      </w:pPr>
      <w:r>
        <w:rPr>
          <w:vertAlign w:val="superscript"/>
        </w:rPr>
        <w:footnoteRef/>
      </w:r>
      <w:r>
        <w:t>  In fact, the majority of JobSeeker recipients are likely to obtain employment with higher earnings. For example, a large proportion of unemployed persons have high levels of education attainment – in May 2023, 25.2% with a Bachelor degree or above and 24.0% with Certificate III/IV or Advanced Diploma (compared respectively to 37.1% and 28.8% for employed persons) (ABS, Education and Work 2023, Table 22).</w:t>
      </w:r>
    </w:p>
  </w:footnote>
  <w:footnote w:id="31">
    <w:p w14:paraId="36682CE6" w14:textId="1105A8EF" w:rsidR="00D24350" w:rsidRDefault="00D24350" w:rsidP="00D24350">
      <w:pPr>
        <w:pStyle w:val="CaptionA"/>
      </w:pPr>
      <w:r>
        <w:rPr>
          <w:vertAlign w:val="superscript"/>
        </w:rPr>
        <w:footnoteRef/>
      </w:r>
      <w:r>
        <w:t>  For reviews of this research, see Rainer Winkelmann (2014), ‘Unemployment and happiness’, IZA World of Labor, October; https://wol.iza.org/uploads/articles/94/pdfs/unemployment-and-happiness.pdf; David Johnston and Olena Stavrunova (2021), ‘Subjective well-being dynamics’, Australian Economic Review, 54(4): 518-29; and Colin Mathers and Deborah Schofield (1998), ‘The health consequences of unemployment: The evidence’, Medical Journal of Australia, 168(4): 178-82.</w:t>
      </w:r>
    </w:p>
  </w:footnote>
  <w:footnote w:id="32">
    <w:p w14:paraId="7456FBD8" w14:textId="212E84CF" w:rsidR="00D24350" w:rsidRDefault="00D24350" w:rsidP="00D24350">
      <w:pPr>
        <w:pStyle w:val="CaptionA"/>
      </w:pPr>
      <w:r>
        <w:rPr>
          <w:vertAlign w:val="superscript"/>
        </w:rPr>
        <w:footnoteRef/>
      </w:r>
      <w:r>
        <w:t>  Schmeider and von Wachter, op.cit., p.566.</w:t>
      </w:r>
    </w:p>
  </w:footnote>
  <w:footnote w:id="33">
    <w:p w14:paraId="0B4C8FF1" w14:textId="10A9C495" w:rsidR="00D24350" w:rsidRDefault="00D24350" w:rsidP="00D24350">
      <w:pPr>
        <w:pStyle w:val="CaptionA"/>
      </w:pPr>
      <w:r>
        <w:rPr>
          <w:vertAlign w:val="superscript"/>
        </w:rPr>
        <w:footnoteRef/>
      </w:r>
      <w:r>
        <w:t>  For an international comparison of the ratio of unemployment income payments to average labour market earnings, see Interim Economic Inclusion Advisory Committee (2023), 2023-34 Report to the Australian Government, Figure 7. As shown in the First Report of the Interim Economic Inclusion Advisory Committee (2023), the level of benefits for the short-term unemployed in Australia is the lowest in the OECD. As discussed above, if the current higher rate had applied in 2022, it would still have been the lowest in the OECD. An increase to 90% of pension rate, would move Australia to being the 4th lowest in the OECD, marginally higher than in New Zealand and exceeding the United States and the United Kingdom.</w:t>
      </w:r>
    </w:p>
  </w:footnote>
  <w:footnote w:id="34">
    <w:p w14:paraId="510BEBE1" w14:textId="5BE73143" w:rsidR="00D24350" w:rsidRDefault="00D24350" w:rsidP="00D24350">
      <w:pPr>
        <w:pStyle w:val="CaptionA"/>
      </w:pPr>
      <w:r>
        <w:rPr>
          <w:vertAlign w:val="superscript"/>
        </w:rPr>
        <w:footnoteRef/>
      </w:r>
      <w:r>
        <w:t>  Erin Clarke, Nicole Adams, Gianni La Cava and Matt Nolan (2023), ‘Does JobSeeker target those who need it?’, e61 Research note no.7; accessed at: https://e61.in/wp-content/uploads/2023/04/Does-JobSeeker-target-those-who-need-it-1.pdf</w:t>
      </w:r>
    </w:p>
  </w:footnote>
  <w:footnote w:id="35">
    <w:p w14:paraId="26D8E1AD" w14:textId="4F59CCD4" w:rsidR="00D24350" w:rsidRDefault="00D24350" w:rsidP="00D24350">
      <w:pPr>
        <w:pStyle w:val="CaptionA"/>
      </w:pPr>
      <w:r>
        <w:rPr>
          <w:vertAlign w:val="superscript"/>
        </w:rPr>
        <w:footnoteRef/>
      </w:r>
      <w:r>
        <w:t>  Studies of the impact of the United States Federal Pandemic Unemployment Compensation find that the increase in unemployment payments had only a small negative impact on employment. A major explanation was that the high number of jobseekers relative to available vacancies reduced the benefit of job search and made the choice of job search intensity less responsive to the level of unemployment payments. For a review, see Jeff Borland (2021), ‘Increasing unemployment payments as counter-cyclical macroeconomic policy: Lessons from the US Federal Pandemic Unemployment Compensation’, Labour Market Snapshot #81: access at: https://drive.google.com/file/d/1iU3VJl0-iPqMfM7hDXx1HHoyYJj2PFpG/view.</w:t>
      </w:r>
    </w:p>
  </w:footnote>
  <w:footnote w:id="36">
    <w:p w14:paraId="320D61E7" w14:textId="079A4E11" w:rsidR="00D24350" w:rsidRDefault="00D24350" w:rsidP="00D24350">
      <w:pPr>
        <w:pStyle w:val="CaptionA"/>
      </w:pPr>
      <w:r>
        <w:rPr>
          <w:vertAlign w:val="superscript"/>
        </w:rPr>
        <w:footnoteRef/>
      </w:r>
      <w:r>
        <w:t>  On time and bandwidth effects, see Sendil Mullainathan and Eldar Shafir (2013), Scarcity (Picador), p.4. On cost effects, see John Daley et al. (2020), ‘The recovery book: What Australian Governments should do now’, Grattan Institute Report; accessed at: https://grattan.edu.au/report/recovery-book/</w:t>
      </w:r>
    </w:p>
  </w:footnote>
  <w:footnote w:id="37">
    <w:p w14:paraId="10C08437" w14:textId="0BC50A69" w:rsidR="00D24350" w:rsidRDefault="00D24350" w:rsidP="00D24350">
      <w:pPr>
        <w:pStyle w:val="CaptionA"/>
      </w:pPr>
      <w:r>
        <w:rPr>
          <w:vertAlign w:val="superscript"/>
        </w:rPr>
        <w:footnoteRef/>
      </w:r>
      <w:r>
        <w:t>  SQM Research (2024), Weekly Rents – National, 12 March 2024</w:t>
      </w:r>
    </w:p>
  </w:footnote>
  <w:footnote w:id="38">
    <w:p w14:paraId="53D35763" w14:textId="212D125F" w:rsidR="00D24350" w:rsidRDefault="00D24350" w:rsidP="00D24350">
      <w:pPr>
        <w:pStyle w:val="CaptionA"/>
      </w:pPr>
      <w:r>
        <w:rPr>
          <w:vertAlign w:val="superscript"/>
        </w:rPr>
        <w:footnoteRef/>
      </w:r>
      <w:r>
        <w:t>  Reynolds, M., Parkinson, S., De Vries, J and Hulse, K. (2024) Affordable private rental supply and demand: short-term disruption (2016–2021) and longer-term structural change (1996–2021), AHURI Final Report No. 416, Australian Housing and Urban Research Institute Limited, Melbourne, https://www.ahuri.edu.au/research/finalreports/416, doi: 10.18408/ahuri5128501.</w:t>
      </w:r>
    </w:p>
  </w:footnote>
  <w:footnote w:id="39">
    <w:p w14:paraId="548C0DE8" w14:textId="59269124" w:rsidR="00D24350" w:rsidRDefault="00D24350" w:rsidP="00D24350">
      <w:pPr>
        <w:pStyle w:val="CaptionA"/>
      </w:pPr>
      <w:r>
        <w:rPr>
          <w:vertAlign w:val="superscript"/>
        </w:rPr>
        <w:footnoteRef/>
      </w:r>
      <w:r>
        <w:t>  (Matthew Thomas, and Alicia Hall (2016) https://www.aph.gov.au/about_parliament/parliamentary_departments/parliamentary_library/pubs/briefingbook45p/housingaffordability 2016).</w:t>
      </w:r>
    </w:p>
  </w:footnote>
  <w:footnote w:id="40">
    <w:p w14:paraId="0AC52AE1" w14:textId="1A35B741" w:rsidR="00D24350" w:rsidRDefault="00D24350" w:rsidP="00D24350">
      <w:pPr>
        <w:pStyle w:val="CaptionA"/>
      </w:pPr>
      <w:r>
        <w:rPr>
          <w:vertAlign w:val="superscript"/>
        </w:rPr>
        <w:footnoteRef/>
      </w:r>
      <w:r>
        <w:t>  This is based on analysis of the ABS Surveys of Income and Housing for these years.</w:t>
      </w:r>
    </w:p>
  </w:footnote>
  <w:footnote w:id="41">
    <w:p w14:paraId="3CC8C471" w14:textId="21B0E45E" w:rsidR="00D24350" w:rsidRDefault="00D24350" w:rsidP="00D24350">
      <w:pPr>
        <w:pStyle w:val="CaptionA"/>
      </w:pPr>
      <w:r>
        <w:rPr>
          <w:vertAlign w:val="superscript"/>
        </w:rPr>
        <w:footnoteRef/>
      </w:r>
      <w:r>
        <w:t>  Of these families, around 28,000 income units, with 50.6 thousand children were receiving Family Tax Benefit (FTB) only.</w:t>
      </w:r>
    </w:p>
  </w:footnote>
  <w:footnote w:id="42">
    <w:p w14:paraId="0E824E74" w14:textId="7248F12E" w:rsidR="00D24350" w:rsidRDefault="00D24350" w:rsidP="00D24350">
      <w:pPr>
        <w:pStyle w:val="CaptionA"/>
      </w:pPr>
      <w:r>
        <w:rPr>
          <w:vertAlign w:val="superscript"/>
        </w:rPr>
        <w:footnoteRef/>
      </w:r>
      <w:r>
        <w:t>  Note: Low income relates to those renters in the bottom 40% of the income distribution using equivalised disposable income.</w:t>
      </w:r>
    </w:p>
  </w:footnote>
  <w:footnote w:id="43">
    <w:p w14:paraId="35ADE2BA" w14:textId="73595D74" w:rsidR="00D24350" w:rsidRDefault="00D24350" w:rsidP="00D24350">
      <w:pPr>
        <w:pStyle w:val="CaptionA"/>
      </w:pPr>
      <w:r>
        <w:rPr>
          <w:vertAlign w:val="superscript"/>
        </w:rPr>
        <w:footnoteRef/>
      </w:r>
      <w:r>
        <w:t>  Reserve Bank of Australia, “Statement on Monetary Policy,” (Reserve Bank of Australia, 2023), February 9, 2023: https://www.rba.gov.au/publications/smp/2023/feb/pdf/statement-on-monetary-policy-2023-02.pdf.</w:t>
      </w:r>
    </w:p>
  </w:footnote>
  <w:footnote w:id="44">
    <w:p w14:paraId="26E97E63" w14:textId="47651EAC" w:rsidR="00D24350" w:rsidRDefault="00D24350" w:rsidP="00D24350">
      <w:pPr>
        <w:pStyle w:val="CaptionA"/>
      </w:pPr>
      <w:r>
        <w:rPr>
          <w:vertAlign w:val="superscript"/>
        </w:rPr>
        <w:footnoteRef/>
      </w:r>
      <w:r>
        <w:t>  Note: Low-income households are defined as any renter household with a disposable income in the bottom 40% of the equivalised income distribution for all households in a given year. Adjustments were made account for changes in income definitions in the 2007 income survey and for all subsequent years.</w:t>
      </w:r>
    </w:p>
  </w:footnote>
  <w:footnote w:id="45">
    <w:p w14:paraId="013235A6" w14:textId="0D5692EA" w:rsidR="00D24350" w:rsidRDefault="00D24350" w:rsidP="00D24350">
      <w:pPr>
        <w:pStyle w:val="CaptionA"/>
      </w:pPr>
      <w:r>
        <w:rPr>
          <w:vertAlign w:val="superscript"/>
        </w:rPr>
        <w:footnoteRef/>
      </w:r>
      <w:r>
        <w:t>  Department of Treasury, “Australia’s Future Tax System – Report to the Treasurer,” (Commonwealth of Australia, 2010): 610.</w:t>
      </w:r>
    </w:p>
  </w:footnote>
  <w:footnote w:id="46">
    <w:p w14:paraId="1AA27224" w14:textId="4D4EDA19" w:rsidR="00D24350" w:rsidRDefault="00D24350" w:rsidP="00D24350">
      <w:pPr>
        <w:pStyle w:val="CaptionA"/>
      </w:pPr>
      <w:r>
        <w:rPr>
          <w:vertAlign w:val="superscript"/>
        </w:rPr>
        <w:footnoteRef/>
      </w:r>
      <w:r>
        <w:t>  Note: Author’s calculations using 2021 Census Tablebuilder and ABS (2023), Consumer Price Index – December Quarter, Chart 6</w:t>
      </w:r>
    </w:p>
  </w:footnote>
  <w:footnote w:id="47">
    <w:p w14:paraId="053C9BCC" w14:textId="6511C8AC" w:rsidR="00D24350" w:rsidRDefault="00D24350" w:rsidP="00D24350">
      <w:pPr>
        <w:pStyle w:val="CaptionA"/>
      </w:pPr>
      <w:r>
        <w:rPr>
          <w:vertAlign w:val="superscript"/>
        </w:rPr>
        <w:footnoteRef/>
      </w:r>
      <w:r>
        <w:t>  Joey Moloney and Brendan Coates, “Renters spend 10 times as much on housing as petrol. Where’s their relief?” The Conversation, April 12, 2022, https://theconversation.com/renters-spend-10-times-as-much-on-housing-as-petrol-wheres-their-relief-180702.</w:t>
      </w:r>
    </w:p>
  </w:footnote>
  <w:footnote w:id="48">
    <w:p w14:paraId="66910AFD" w14:textId="764C5548" w:rsidR="00D24350" w:rsidRDefault="00D24350" w:rsidP="00D24350">
      <w:pPr>
        <w:pStyle w:val="CaptionA"/>
      </w:pPr>
      <w:r>
        <w:rPr>
          <w:vertAlign w:val="superscript"/>
        </w:rPr>
        <w:footnoteRef/>
      </w:r>
      <w:r>
        <w:t>  Rachel Ong et al.,” Demand side assistance in Australia’s rental housing market: exploring reform options,” AHURI Final Report 342 (Melbourne: Australian Housing and Urban Research Institute Limited, 2020), doi:10.18408/ahuri8120801.</w:t>
      </w:r>
    </w:p>
  </w:footnote>
  <w:footnote w:id="49">
    <w:p w14:paraId="1BC8E61B" w14:textId="0B249E59" w:rsidR="00D24350" w:rsidRDefault="00D24350" w:rsidP="00D24350">
      <w:pPr>
        <w:pStyle w:val="CaptionA"/>
      </w:pPr>
      <w:r>
        <w:rPr>
          <w:vertAlign w:val="superscript"/>
        </w:rPr>
        <w:footnoteRef/>
      </w:r>
      <w:r>
        <w:t>  Working Future, The Australian Government’s White Paper on Jobs and Opportunities, September 2023 https://treasury.gov.au/employment-whitepaper/final-report</w:t>
      </w:r>
    </w:p>
  </w:footnote>
  <w:footnote w:id="50">
    <w:p w14:paraId="2D646967" w14:textId="16DB6505" w:rsidR="00D24350" w:rsidRDefault="00D24350" w:rsidP="00D24350">
      <w:pPr>
        <w:pStyle w:val="CaptionA"/>
      </w:pPr>
      <w:r>
        <w:rPr>
          <w:vertAlign w:val="superscript"/>
        </w:rPr>
        <w:footnoteRef/>
      </w:r>
      <w:r>
        <w:t>  Rebuilding Employment Services, Final report on Workforce Australia Employment Services, House of Representatives Select Committee on Workforce Australia Employment Services https://www.aph.gov.au/Parliamentary_Business/Committees/House/Workforce_Australia_Employment_Services/WorkforceAustralia/Report</w:t>
      </w:r>
    </w:p>
  </w:footnote>
  <w:footnote w:id="51">
    <w:p w14:paraId="416F6417" w14:textId="5F659A05" w:rsidR="00D24350" w:rsidRDefault="00D24350" w:rsidP="00D24350">
      <w:pPr>
        <w:pStyle w:val="CaptionA"/>
      </w:pPr>
      <w:r>
        <w:rPr>
          <w:vertAlign w:val="superscript"/>
        </w:rPr>
        <w:footnoteRef/>
      </w:r>
      <w:r>
        <w:t>  Working Future, p.vii</w:t>
      </w:r>
    </w:p>
  </w:footnote>
  <w:footnote w:id="52">
    <w:p w14:paraId="163DCAF5" w14:textId="57D2A069" w:rsidR="00D24350" w:rsidRDefault="00D24350" w:rsidP="00D24350">
      <w:pPr>
        <w:pStyle w:val="CaptionA"/>
      </w:pPr>
      <w:r>
        <w:rPr>
          <w:vertAlign w:val="superscript"/>
        </w:rPr>
        <w:footnoteRef/>
      </w:r>
      <w:r>
        <w:t>  Working Future, p.141</w:t>
      </w:r>
    </w:p>
  </w:footnote>
  <w:footnote w:id="53">
    <w:p w14:paraId="1BA285CC" w14:textId="4660B9E1" w:rsidR="00D24350" w:rsidRDefault="00D24350" w:rsidP="00D24350">
      <w:pPr>
        <w:pStyle w:val="CaptionA"/>
      </w:pPr>
      <w:r>
        <w:rPr>
          <w:vertAlign w:val="superscript"/>
        </w:rPr>
        <w:footnoteRef/>
      </w:r>
      <w:r>
        <w:t>  Working Future, p.x</w:t>
      </w:r>
    </w:p>
  </w:footnote>
  <w:footnote w:id="54">
    <w:p w14:paraId="54AA7333" w14:textId="07C7CF7F" w:rsidR="00D24350" w:rsidRDefault="00D24350" w:rsidP="00D24350">
      <w:pPr>
        <w:pStyle w:val="CaptionA"/>
      </w:pPr>
      <w:r>
        <w:rPr>
          <w:vertAlign w:val="superscript"/>
        </w:rPr>
        <w:footnoteRef/>
      </w:r>
      <w:r>
        <w:t>  Working Future, p.x</w:t>
      </w:r>
    </w:p>
  </w:footnote>
  <w:footnote w:id="55">
    <w:p w14:paraId="1BE782B5" w14:textId="176FFE0D" w:rsidR="00D24350" w:rsidRDefault="00D24350" w:rsidP="00D24350">
      <w:pPr>
        <w:pStyle w:val="CaptionA"/>
      </w:pPr>
      <w:r>
        <w:rPr>
          <w:vertAlign w:val="superscript"/>
        </w:rPr>
        <w:footnoteRef/>
      </w:r>
      <w:r>
        <w:t xml:space="preserve">  Working Future, p.x. See also Independent Review into the National Disability Insurance Scheme, Final Report, October 2023, pp. 58, 62, 64. </w:t>
      </w:r>
    </w:p>
  </w:footnote>
  <w:footnote w:id="56">
    <w:p w14:paraId="372D991C" w14:textId="3E71F411" w:rsidR="00D24350" w:rsidRDefault="00D24350" w:rsidP="00D24350">
      <w:pPr>
        <w:pStyle w:val="CaptionA"/>
      </w:pPr>
      <w:r>
        <w:rPr>
          <w:vertAlign w:val="superscript"/>
        </w:rPr>
        <w:footnoteRef/>
      </w:r>
      <w:r>
        <w:t>  Working Future, p.x</w:t>
      </w:r>
    </w:p>
  </w:footnote>
  <w:footnote w:id="57">
    <w:p w14:paraId="1B69E608" w14:textId="34AD049F" w:rsidR="00D24350" w:rsidRDefault="00D24350" w:rsidP="00D24350">
      <w:pPr>
        <w:pStyle w:val="CaptionA"/>
      </w:pPr>
      <w:r>
        <w:rPr>
          <w:vertAlign w:val="superscript"/>
        </w:rPr>
        <w:footnoteRef/>
      </w:r>
      <w:r>
        <w:t>  Working Future, p.x. See also Women’s Economic Equality Taskforce (WEET), Final Report, October 2023.</w:t>
      </w:r>
    </w:p>
  </w:footnote>
  <w:footnote w:id="58">
    <w:p w14:paraId="515341D6" w14:textId="6C97166F" w:rsidR="00D24350" w:rsidRDefault="00D24350" w:rsidP="00D24350">
      <w:pPr>
        <w:pStyle w:val="CaptionA"/>
      </w:pPr>
      <w:r>
        <w:rPr>
          <w:vertAlign w:val="superscript"/>
        </w:rPr>
        <w:footnoteRef/>
      </w:r>
      <w:r>
        <w:t>  Working Future, p. 23. See also the WEET Final Report, p. 67</w:t>
      </w:r>
    </w:p>
  </w:footnote>
  <w:footnote w:id="59">
    <w:p w14:paraId="78E1E912" w14:textId="76515DEE" w:rsidR="00D24350" w:rsidRDefault="00D24350" w:rsidP="00D24350">
      <w:pPr>
        <w:pStyle w:val="CaptionA"/>
      </w:pPr>
      <w:r>
        <w:rPr>
          <w:vertAlign w:val="superscript"/>
        </w:rPr>
        <w:footnoteRef/>
      </w:r>
      <w:r>
        <w:t>  Working Future, p.139</w:t>
      </w:r>
    </w:p>
  </w:footnote>
  <w:footnote w:id="60">
    <w:p w14:paraId="4AB15F19" w14:textId="2A8D7DB5" w:rsidR="00D24350" w:rsidRDefault="00D24350" w:rsidP="00D24350">
      <w:pPr>
        <w:pStyle w:val="CaptionA"/>
      </w:pPr>
      <w:r>
        <w:rPr>
          <w:vertAlign w:val="superscript"/>
        </w:rPr>
        <w:footnoteRef/>
      </w:r>
      <w:r>
        <w:t>  Working Future, p.150</w:t>
      </w:r>
    </w:p>
  </w:footnote>
  <w:footnote w:id="61">
    <w:p w14:paraId="620E08CF" w14:textId="06115101" w:rsidR="00D24350" w:rsidRDefault="00D24350" w:rsidP="00D24350">
      <w:pPr>
        <w:pStyle w:val="CaptionA"/>
      </w:pPr>
      <w:r>
        <w:rPr>
          <w:vertAlign w:val="superscript"/>
        </w:rPr>
        <w:footnoteRef/>
      </w:r>
      <w:r>
        <w:t>  Rebuilding Employment Services, p.xii</w:t>
      </w:r>
    </w:p>
  </w:footnote>
  <w:footnote w:id="62">
    <w:p w14:paraId="4E4C7912" w14:textId="615D3C7F" w:rsidR="00D24350" w:rsidRDefault="00D24350" w:rsidP="00D24350">
      <w:pPr>
        <w:pStyle w:val="CaptionA"/>
      </w:pPr>
      <w:r>
        <w:rPr>
          <w:vertAlign w:val="superscript"/>
        </w:rPr>
        <w:footnoteRef/>
      </w:r>
      <w:r>
        <w:t>  ‘What does a review of quantitative research on Mutual Obligation tell us about how the system should be designed?’, Paper prepared for the Economic Inclusion Advisory Committee by Jeff Borland, Department of Economics, University of Melbourne, February 2024</w:t>
      </w:r>
    </w:p>
  </w:footnote>
  <w:footnote w:id="63">
    <w:p w14:paraId="76A6C3DD" w14:textId="4C68B719" w:rsidR="00D24350" w:rsidRDefault="00D24350" w:rsidP="00D24350">
      <w:pPr>
        <w:pStyle w:val="CaptionA"/>
      </w:pPr>
      <w:r>
        <w:rPr>
          <w:vertAlign w:val="superscript"/>
        </w:rPr>
        <w:footnoteRef/>
      </w:r>
      <w:r>
        <w:t>  Interim Economic Inclusion Advisory Committee, 2023–24 Report to the Australian Government, p.5</w:t>
      </w:r>
    </w:p>
  </w:footnote>
  <w:footnote w:id="64">
    <w:p w14:paraId="136C19ED" w14:textId="52044B6C" w:rsidR="00D24350" w:rsidRDefault="00D24350" w:rsidP="00D24350">
      <w:pPr>
        <w:pStyle w:val="CaptionA"/>
      </w:pPr>
      <w:r>
        <w:rPr>
          <w:vertAlign w:val="superscript"/>
        </w:rPr>
        <w:footnoteRef/>
      </w:r>
      <w:r>
        <w:t>  Rebuilding Employment Services, p.xii</w:t>
      </w:r>
    </w:p>
  </w:footnote>
  <w:footnote w:id="65">
    <w:p w14:paraId="5B7B5A2C" w14:textId="7E5ADA01" w:rsidR="00D24350" w:rsidRDefault="00D24350" w:rsidP="00D24350">
      <w:pPr>
        <w:pStyle w:val="CaptionA"/>
      </w:pPr>
      <w:r>
        <w:rPr>
          <w:vertAlign w:val="superscript"/>
        </w:rPr>
        <w:footnoteRef/>
      </w:r>
      <w:r>
        <w:t>  DSS data, supplied</w:t>
      </w:r>
    </w:p>
  </w:footnote>
  <w:footnote w:id="66">
    <w:p w14:paraId="6302BCA5" w14:textId="7E6A5318" w:rsidR="00D24350" w:rsidRDefault="00D24350" w:rsidP="00D24350">
      <w:pPr>
        <w:pStyle w:val="CaptionA"/>
      </w:pPr>
      <w:r>
        <w:rPr>
          <w:vertAlign w:val="superscript"/>
        </w:rPr>
        <w:footnoteRef/>
      </w:r>
      <w:r>
        <w:t>  Rebuilding Employment Services, p.xiii</w:t>
      </w:r>
    </w:p>
  </w:footnote>
  <w:footnote w:id="67">
    <w:p w14:paraId="14AE29A3" w14:textId="67CF6F7A" w:rsidR="00D24350" w:rsidRDefault="00D24350" w:rsidP="00D24350">
      <w:pPr>
        <w:pStyle w:val="CaptionA"/>
      </w:pPr>
      <w:r>
        <w:rPr>
          <w:vertAlign w:val="superscript"/>
        </w:rPr>
        <w:footnoteRef/>
      </w:r>
      <w:r>
        <w:t>  Productivity Commission 2020, Mental Health, Report no. 95, Canberra, p.55 https://www.pc.gov.au/inquiries/completed/mental-health/report</w:t>
      </w:r>
    </w:p>
  </w:footnote>
  <w:footnote w:id="68">
    <w:p w14:paraId="645B5278" w14:textId="5CB4F856" w:rsidR="00D24350" w:rsidRDefault="00D24350" w:rsidP="00D24350">
      <w:pPr>
        <w:pStyle w:val="CaptionA"/>
      </w:pPr>
      <w:r>
        <w:rPr>
          <w:vertAlign w:val="superscript"/>
        </w:rPr>
        <w:footnoteRef/>
      </w:r>
      <w:r>
        <w:t>  Australian Institute of Health and Welfare (AIHW) 2023, Aboriginal and Torres Strait Islander Health Performance Framework; summary report 2023. Canberra: AIHW. Viewed 19 February 2024. Available at: indigenoushpf.gov.au/getattachment/4a44660b-5db7-48d0-bcec-1e0a49b587fc/2023-july-ihpf-summary-report.pdf</w:t>
      </w:r>
    </w:p>
  </w:footnote>
  <w:footnote w:id="69">
    <w:p w14:paraId="6FE12356" w14:textId="148F68D2" w:rsidR="00D24350" w:rsidRDefault="00D24350" w:rsidP="00D24350">
      <w:pPr>
        <w:pStyle w:val="CaptionA"/>
      </w:pPr>
      <w:r>
        <w:rPr>
          <w:vertAlign w:val="superscript"/>
        </w:rPr>
        <w:footnoteRef/>
      </w:r>
      <w:r>
        <w:t>  AIHW 2021, Housing circumstances for First Nations people, Analysis of ABS Census Population and Housing 2021. Canberra: AIHW. Viewed 19 February 2024. Available at: https://www.aihw.gov.au/reports/australias-welfare/indigenous-housing</w:t>
      </w:r>
    </w:p>
  </w:footnote>
  <w:footnote w:id="70">
    <w:p w14:paraId="74DEAFA9" w14:textId="25A7CFFD" w:rsidR="00D24350" w:rsidRDefault="00D24350" w:rsidP="00D24350">
      <w:pPr>
        <w:pStyle w:val="CaptionA"/>
      </w:pPr>
      <w:r>
        <w:rPr>
          <w:vertAlign w:val="superscript"/>
        </w:rPr>
        <w:footnoteRef/>
      </w:r>
      <w:r>
        <w:t>  Remote residents living in housing owned by community housing associations have access to CRA, however this is a very small proportion.</w:t>
      </w:r>
    </w:p>
  </w:footnote>
  <w:footnote w:id="71">
    <w:p w14:paraId="62A0366F" w14:textId="31E2E119" w:rsidR="00D24350" w:rsidRDefault="00D24350" w:rsidP="00D24350">
      <w:pPr>
        <w:pStyle w:val="CaptionA"/>
      </w:pPr>
      <w:r>
        <w:rPr>
          <w:vertAlign w:val="superscript"/>
        </w:rPr>
        <w:footnoteRef/>
      </w:r>
      <w:r>
        <w:t>  ABS Census Data 2021. Estimates from the 2021 Census indicate that around 24,900 Indigenous Australians were homeless on Census night (3.1% of the Indigenous population). The homelessness rate for Indigenous Australians was 8.8 times the rate for non-Indigenous Australians in 2021 (307 compared with 35 per 10,000 population).</w:t>
      </w:r>
    </w:p>
  </w:footnote>
  <w:footnote w:id="72">
    <w:p w14:paraId="5A630631" w14:textId="67E23ACB" w:rsidR="00D24350" w:rsidRDefault="00D24350" w:rsidP="00D24350">
      <w:pPr>
        <w:pStyle w:val="CaptionA"/>
      </w:pPr>
      <w:r>
        <w:rPr>
          <w:vertAlign w:val="superscript"/>
        </w:rPr>
        <w:footnoteRef/>
      </w:r>
      <w:r>
        <w:t>  ABS (2022), Housing Statistics for Aboriginal and Torres Strait Islander Peoples.</w:t>
      </w:r>
    </w:p>
  </w:footnote>
  <w:footnote w:id="73">
    <w:p w14:paraId="7ECC3E4A" w14:textId="6CF67F38" w:rsidR="00D24350" w:rsidRDefault="00D24350" w:rsidP="00D24350">
      <w:pPr>
        <w:pStyle w:val="CaptionA"/>
      </w:pPr>
      <w:r>
        <w:rPr>
          <w:vertAlign w:val="superscript"/>
        </w:rPr>
        <w:footnoteRef/>
      </w:r>
      <w:r>
        <w:t>  The Housing Policy Partnership (HPP) was established under the Closing the Gap Agreement to bring all governments and Aboriginal and Torres Strait Islander community-controlled representatives and experts together to support coordinated action on the design and delivery of Aboriginal and Torres Strait Islander housing services. The new NATSIHA co-chairs the HPP with the DSS.</w:t>
      </w:r>
    </w:p>
  </w:footnote>
  <w:footnote w:id="74">
    <w:p w14:paraId="1EBC596B" w14:textId="110309E0" w:rsidR="00D24350" w:rsidRDefault="00D24350" w:rsidP="00D24350">
      <w:pPr>
        <w:pStyle w:val="CaptionA"/>
      </w:pPr>
      <w:r>
        <w:rPr>
          <w:vertAlign w:val="superscript"/>
        </w:rPr>
        <w:footnoteRef/>
      </w:r>
      <w:r>
        <w:t>  See South Australian Royal Commission report, p. 88; Productivity Commission draft report, p. 4.</w:t>
      </w:r>
    </w:p>
  </w:footnote>
  <w:footnote w:id="75">
    <w:p w14:paraId="524AEF80" w14:textId="3C9E911F" w:rsidR="00D24350" w:rsidRDefault="00D24350" w:rsidP="00D24350">
      <w:pPr>
        <w:pStyle w:val="CaptionA"/>
      </w:pPr>
      <w:r>
        <w:rPr>
          <w:vertAlign w:val="superscript"/>
        </w:rPr>
        <w:footnoteRef/>
      </w:r>
      <w:r>
        <w:t>  https://www.pmc.gov.au/sites/default/files/resource/download/womens-economic-equality-taskforce-final-report.pdf</w:t>
      </w:r>
    </w:p>
  </w:footnote>
  <w:footnote w:id="76">
    <w:p w14:paraId="7643F523" w14:textId="2A321553" w:rsidR="00D24350" w:rsidRDefault="00D24350" w:rsidP="00D24350">
      <w:pPr>
        <w:pStyle w:val="CaptionA"/>
      </w:pPr>
      <w:r>
        <w:rPr>
          <w:vertAlign w:val="superscript"/>
        </w:rPr>
        <w:footnoteRef/>
      </w:r>
      <w:r>
        <w:t>  As defined in Starting Better, Centre for Policy Development, p.5. https://cpd.org.au/wp-content/uploads/2021/11/CPD-Starting-Better-Report.pdf</w:t>
      </w:r>
    </w:p>
  </w:footnote>
  <w:footnote w:id="77">
    <w:p w14:paraId="78522B57" w14:textId="7E3C5A05" w:rsidR="00D24350" w:rsidRDefault="00D24350" w:rsidP="00D24350">
      <w:pPr>
        <w:pStyle w:val="CaptionA"/>
      </w:pPr>
      <w:r>
        <w:rPr>
          <w:vertAlign w:val="superscript"/>
        </w:rPr>
        <w:footnoteRef/>
      </w:r>
      <w:r>
        <w:t>  Productivity Commission (2023), A path to universal early childhood education and care Draft Report p.4</w:t>
      </w:r>
    </w:p>
  </w:footnote>
  <w:footnote w:id="78">
    <w:p w14:paraId="057F5E4D" w14:textId="1B8D9FC5" w:rsidR="00D24350" w:rsidRDefault="00D24350" w:rsidP="00D24350">
      <w:pPr>
        <w:pStyle w:val="CaptionA"/>
      </w:pPr>
      <w:r>
        <w:rPr>
          <w:vertAlign w:val="superscript"/>
        </w:rPr>
        <w:footnoteRef/>
      </w:r>
      <w:r>
        <w:t>  Work related activities include paid work, and studying.  Some hours of volunteering and job search can also be counted towards meeting the Activity Test</w:t>
      </w:r>
    </w:p>
  </w:footnote>
  <w:footnote w:id="79">
    <w:p w14:paraId="07E81E60" w14:textId="24408A6B" w:rsidR="00D24350" w:rsidRDefault="00D24350" w:rsidP="00D24350">
      <w:pPr>
        <w:pStyle w:val="CaptionA"/>
      </w:pPr>
      <w:r>
        <w:rPr>
          <w:vertAlign w:val="superscript"/>
        </w:rPr>
        <w:footnoteRef/>
      </w:r>
      <w:r>
        <w:t>  Royal Commission into Early Childhood Education and Care (2023) Final Report. Recommendation 8 b) and c) p. 10.</w:t>
      </w:r>
    </w:p>
  </w:footnote>
  <w:footnote w:id="80">
    <w:p w14:paraId="6E41D55E" w14:textId="5B0AF6D9" w:rsidR="00D24350" w:rsidRDefault="00D24350" w:rsidP="00D24350">
      <w:pPr>
        <w:pStyle w:val="CaptionA"/>
      </w:pPr>
      <w:r>
        <w:rPr>
          <w:vertAlign w:val="superscript"/>
        </w:rPr>
        <w:footnoteRef/>
      </w:r>
      <w:r>
        <w:t>  Social Ventures Australia (2023), Happy, healthy and thriving: enhancing the impact of our Integrated Child and Family Centres in Australia.</w:t>
      </w:r>
    </w:p>
  </w:footnote>
  <w:footnote w:id="81">
    <w:p w14:paraId="0E54DE65" w14:textId="19D44788" w:rsidR="00D24350" w:rsidRDefault="00D24350" w:rsidP="00D24350">
      <w:pPr>
        <w:pStyle w:val="CaptionA"/>
        <w:rPr>
          <w:rStyle w:val="BasicSansItalic"/>
        </w:rPr>
      </w:pPr>
      <w:r>
        <w:rPr>
          <w:vertAlign w:val="superscript"/>
        </w:rPr>
        <w:footnoteRef/>
      </w:r>
      <w:r>
        <w:t>  Note that the FTB Part A population examined is the FTB Part A active population. This definition excludes FTB Part A recipients who receive a zero-rate due to their income estimate being too high. The following analysis examines FTB Part A receipt for FTB instalment recipients. Families claiming FTB as a lump sum at the end of the year are excluded from the analysis (around 6% of FTB families). FTB A families are the focus as FTB Part A is the primary form of support available to income support and other low and middle-income families to assist with the direct costs of dependent children. FTB Part B is not separately examined as nearly all (over 99%) FTB Part B families receive both Part A and Part B, and analysis would largely duplicate this analysis.</w:t>
      </w:r>
      <w:r>
        <w:br/>
      </w:r>
      <w:r>
        <w:rPr>
          <w:rStyle w:val="BasicSansItalic"/>
        </w:rPr>
        <w:t xml:space="preserve">NOTE: FTB Part A and ABS data are not directly comparable. ABS data is an undercount of families potentially eligible for FTB Part A, particularly for single parent families. This occurs as an FTB child can appear in more than one FTB Part A family where FTB Part A is shared between parents/carers, whereas in ABS data a child is allocated to one family (generally the parent with greater care). </w:t>
      </w:r>
    </w:p>
    <w:p w14:paraId="01362ADB" w14:textId="5607DAB9" w:rsidR="00DE6E02" w:rsidRPr="00DE6E02" w:rsidRDefault="00DE6E02" w:rsidP="00DE6E02">
      <w:pPr>
        <w:pStyle w:val="CaptionA"/>
      </w:pPr>
      <w:r>
        <w:t xml:space="preserve">At June 2001 there were: </w:t>
      </w:r>
      <w:r>
        <w:br/>
      </w:r>
      <w:r>
        <w:rPr>
          <w:rFonts w:ascii="BasicSans-Bold" w:hAnsi="BasicSans-Bold" w:cs="BasicSans-Bold"/>
          <w:b/>
          <w:bCs/>
        </w:rPr>
        <w:t>2.179 million</w:t>
      </w:r>
      <w:r>
        <w:t xml:space="preserve"> families with a child aged under 15 compared to </w:t>
      </w:r>
      <w:r>
        <w:rPr>
          <w:rFonts w:ascii="BasicSans-Bold" w:hAnsi="BasicSans-Bold" w:cs="BasicSans-Bold"/>
          <w:b/>
          <w:bCs/>
        </w:rPr>
        <w:t>2.746 million</w:t>
      </w:r>
      <w:r>
        <w:t xml:space="preserve"> at June 2023. This compares to 1.049 million </w:t>
      </w:r>
      <w:r>
        <w:br/>
        <w:t xml:space="preserve">FTB Part A families with a child aged under 15 at June 2023. The figure for FTB Part A families is 38% of the ABS family count. </w:t>
      </w:r>
      <w:r>
        <w:br/>
      </w:r>
      <w:r>
        <w:rPr>
          <w:rFonts w:ascii="BasicSans-Bold" w:hAnsi="BasicSans-Bold" w:cs="BasicSans-Bold"/>
          <w:b/>
          <w:bCs/>
        </w:rPr>
        <w:t>1.706 million</w:t>
      </w:r>
      <w:r>
        <w:t xml:space="preserve"> couple families with a child aged under 15 compared to </w:t>
      </w:r>
      <w:r>
        <w:rPr>
          <w:rFonts w:ascii="BasicSans-Bold" w:hAnsi="BasicSans-Bold" w:cs="BasicSans-Bold"/>
          <w:b/>
          <w:bCs/>
        </w:rPr>
        <w:t>2.205 million</w:t>
      </w:r>
      <w:r>
        <w:t xml:space="preserve"> at June 2023. This compares to 483,000 FTB Part A couple families with a child aged under 15 at June 2023. The figure for FTB Part A couple families is 22% of the ABS couple family count.</w:t>
      </w:r>
      <w:r>
        <w:br/>
      </w:r>
      <w:r>
        <w:rPr>
          <w:rFonts w:ascii="BasicSans-Bold" w:hAnsi="BasicSans-Bold" w:cs="BasicSans-Bold"/>
          <w:b/>
          <w:bCs/>
        </w:rPr>
        <w:t xml:space="preserve">472,000 </w:t>
      </w:r>
      <w:r>
        <w:t xml:space="preserve">single parent families with a child aged under 15 compared to </w:t>
      </w:r>
      <w:r>
        <w:rPr>
          <w:rFonts w:ascii="BasicSans-Bold" w:hAnsi="BasicSans-Bold" w:cs="BasicSans-Bold"/>
          <w:b/>
          <w:bCs/>
        </w:rPr>
        <w:t>541,000</w:t>
      </w:r>
      <w:r>
        <w:t xml:space="preserve"> at June 2023. This compares to 566,000 FTB Part A single parent families with a child aged under 15 at June 2023. The figure for FTB Part A single parent families is 105% of the ABS single parent family count.</w:t>
      </w:r>
    </w:p>
  </w:footnote>
  <w:footnote w:id="82">
    <w:p w14:paraId="23C96946" w14:textId="7FC8F60F" w:rsidR="00D24350" w:rsidRDefault="00D24350" w:rsidP="00D24350">
      <w:pPr>
        <w:pStyle w:val="CaptionA"/>
      </w:pPr>
      <w:r>
        <w:rPr>
          <w:vertAlign w:val="superscript"/>
        </w:rPr>
        <w:footnoteRef/>
      </w:r>
      <w:r>
        <w:t xml:space="preserve">  Labour Force Status of Families, June 2023, Australian Bureau of Statistics. </w:t>
      </w:r>
    </w:p>
  </w:footnote>
  <w:footnote w:id="83">
    <w:p w14:paraId="08BA5C0F" w14:textId="22DBAB5E" w:rsidR="00D24350" w:rsidRDefault="00D24350" w:rsidP="00D24350">
      <w:pPr>
        <w:pStyle w:val="CaptionA"/>
      </w:pPr>
      <w:r>
        <w:rPr>
          <w:vertAlign w:val="superscript"/>
        </w:rPr>
        <w:footnoteRef/>
      </w:r>
      <w:r>
        <w:t xml:space="preserve"> Stewart, M, Porter, E, Bowman, D &amp; Millane, E 2023, </w:t>
      </w:r>
      <w:r>
        <w:rPr>
          <w:rFonts w:ascii="BasicSans-RegularIt" w:hAnsi="BasicSans-RegularIt" w:cs="BasicSans-RegularIt"/>
        </w:rPr>
        <w:t>Growing pains: Family Tax Benefit issues and options for reform</w:t>
      </w:r>
      <w:r>
        <w:t>, Brotherhood of St. Laurence, Fitzroy, Vic.</w:t>
      </w:r>
      <w:r>
        <w:br/>
        <w:t> https://library.bsl.org.au/bsljspui/bitstream/1/13398/1/StewartPorterBowmanMillane_Growing-Pains_FTB_Issues.pdf</w:t>
      </w:r>
    </w:p>
  </w:footnote>
  <w:footnote w:id="84">
    <w:p w14:paraId="39BD5ECF" w14:textId="604A0B04" w:rsidR="00D24350" w:rsidRDefault="00D24350" w:rsidP="00D24350">
      <w:pPr>
        <w:pStyle w:val="CaptionA"/>
      </w:pPr>
      <w:r>
        <w:rPr>
          <w:vertAlign w:val="superscript"/>
        </w:rPr>
        <w:footnoteRef/>
      </w:r>
      <w:r>
        <w:t>  Women’s Economic Equality Taskforce, “A 10-year plan to unleash the full capacity and contribution of women to the Australian economy” Commonwealth of Australia, 2023.</w:t>
      </w:r>
    </w:p>
  </w:footnote>
  <w:footnote w:id="85">
    <w:p w14:paraId="42BA277A" w14:textId="13957870" w:rsidR="00D24350" w:rsidRDefault="00D24350" w:rsidP="00D24350">
      <w:pPr>
        <w:pStyle w:val="CaptionA"/>
      </w:pPr>
      <w:r>
        <w:rPr>
          <w:vertAlign w:val="superscript"/>
        </w:rPr>
        <w:footnoteRef/>
      </w:r>
      <w:r>
        <w:t>  Christine Skinner et al., “The potential of child support to reduce lone mother poverty: comparing population survey data in Australia and the UK,” Journal of Poverty and Social Justice 25, no. 1 (2017): 79-94.</w:t>
      </w:r>
    </w:p>
  </w:footnote>
  <w:footnote w:id="86">
    <w:p w14:paraId="02059CB0" w14:textId="683A2E50" w:rsidR="00D24350" w:rsidRDefault="00D24350" w:rsidP="00D24350">
      <w:pPr>
        <w:pStyle w:val="CaptionA"/>
      </w:pPr>
      <w:r>
        <w:rPr>
          <w:vertAlign w:val="superscript"/>
        </w:rPr>
        <w:footnoteRef/>
      </w:r>
      <w:r>
        <w:t>  DSS, “Child Support Program Information,” September 2023 (data.gov.au, 2023), https://data.gov.au/dataset/ds-dga-6379b974-e547-4303-a361-6edebbb52550/details?q=child%20support.</w:t>
      </w:r>
    </w:p>
  </w:footnote>
  <w:footnote w:id="87">
    <w:p w14:paraId="65748301" w14:textId="1B0F93CC" w:rsidR="00D24350" w:rsidRDefault="00D24350" w:rsidP="00D24350">
      <w:pPr>
        <w:pStyle w:val="CaptionA"/>
      </w:pPr>
      <w:r>
        <w:rPr>
          <w:vertAlign w:val="superscript"/>
        </w:rPr>
        <w:footnoteRef/>
      </w:r>
      <w:r>
        <w:t>  Australian Bureau of Statistics, “Snapshot of Australia, 2021” Summary of Census data, last modified 28 June 2022, https://www.abs.gov.au/statistics/people/people-and-communities/snapshot-australia/latest-release#our-families-and-households</w:t>
      </w:r>
    </w:p>
  </w:footnote>
  <w:footnote w:id="88">
    <w:p w14:paraId="4BC52099" w14:textId="3FA5BFB1" w:rsidR="00D24350" w:rsidRDefault="00D24350" w:rsidP="00D24350">
      <w:pPr>
        <w:pStyle w:val="CaptionA"/>
      </w:pPr>
      <w:r>
        <w:rPr>
          <w:vertAlign w:val="superscript"/>
        </w:rPr>
        <w:footnoteRef/>
      </w:r>
      <w:r>
        <w:t>  DSS, 2023</w:t>
      </w:r>
    </w:p>
  </w:footnote>
  <w:footnote w:id="89">
    <w:p w14:paraId="2EF7F5CB" w14:textId="56BD2F93" w:rsidR="00D24350" w:rsidRDefault="00D24350" w:rsidP="00D24350">
      <w:pPr>
        <w:pStyle w:val="CaptionA"/>
      </w:pPr>
      <w:r>
        <w:rPr>
          <w:vertAlign w:val="superscript"/>
        </w:rPr>
        <w:footnoteRef/>
      </w:r>
      <w:r>
        <w:t>  Australian Bureau of Statistics,” Household Income and Wealth, Australia,” Summary of Results 2019-20, last modified April 4, 2023, https://www.abs.gov.au/statistics/economy/finance/household-income-and-wealth-australia/latest-release; Melbourne Institute, ‘The Household, Income and Labour Dynamics in Australia Survey: Selected Findings from Waves 1 to 20’, University of Melbourne, 2022.</w:t>
      </w:r>
    </w:p>
  </w:footnote>
  <w:footnote w:id="90">
    <w:p w14:paraId="1F793363" w14:textId="32D70A59" w:rsidR="00D24350" w:rsidRDefault="00D24350" w:rsidP="00D24350">
      <w:pPr>
        <w:pStyle w:val="CaptionA"/>
      </w:pPr>
      <w:r>
        <w:rPr>
          <w:vertAlign w:val="superscript"/>
        </w:rPr>
        <w:footnoteRef/>
      </w:r>
      <w:r>
        <w:t>  A Summers, ‘The Choice: Violence or Poverty’, University of Technology Sydney, 2022</w:t>
      </w:r>
    </w:p>
  </w:footnote>
  <w:footnote w:id="91">
    <w:p w14:paraId="47E894DC" w14:textId="7EB4BA0A" w:rsidR="00D24350" w:rsidRDefault="00D24350" w:rsidP="00D24350">
      <w:pPr>
        <w:pStyle w:val="CaptionA"/>
      </w:pPr>
      <w:r>
        <w:rPr>
          <w:vertAlign w:val="superscript"/>
        </w:rPr>
        <w:footnoteRef/>
      </w:r>
      <w:r>
        <w:t>  DSS, “Child Support Program Information (data.gov.au, 2018-2023), https://data.gov.au/dataset/ds-dga-6379b974-e547-4303-a361-6edebbb52550/details?q=child%20support.</w:t>
      </w:r>
    </w:p>
  </w:footnote>
  <w:footnote w:id="92">
    <w:p w14:paraId="6127CF51" w14:textId="76521D4C" w:rsidR="00D24350" w:rsidRDefault="00D24350" w:rsidP="00D24350">
      <w:pPr>
        <w:pStyle w:val="CaptionA"/>
      </w:pPr>
      <w:r>
        <w:rPr>
          <w:vertAlign w:val="superscript"/>
        </w:rPr>
        <w:footnoteRef/>
      </w:r>
      <w:r>
        <w:t>  Australian Government, “Family Assistance Guide”, January 2024 (3.1.5.70 Exemptions from the maintenance action test) https://guides.dss.gov.au/family-assistance-guide/3/1/5/70</w:t>
      </w:r>
    </w:p>
  </w:footnote>
  <w:footnote w:id="93">
    <w:p w14:paraId="4914CC9D" w14:textId="473ADCA1" w:rsidR="00D24350" w:rsidRDefault="00D24350" w:rsidP="00D24350">
      <w:pPr>
        <w:pStyle w:val="CaptionA"/>
      </w:pPr>
      <w:r>
        <w:rPr>
          <w:vertAlign w:val="superscript"/>
        </w:rPr>
        <w:footnoteRef/>
      </w:r>
      <w:r>
        <w:t>  Commonwealth of Australia, “National Plan to End Violence against Women and Children 2022-2032”.</w:t>
      </w:r>
    </w:p>
  </w:footnote>
  <w:footnote w:id="94">
    <w:p w14:paraId="4B67C823" w14:textId="382ED53F" w:rsidR="00D24350" w:rsidRDefault="00D24350" w:rsidP="00D24350">
      <w:pPr>
        <w:pStyle w:val="CaptionA"/>
      </w:pPr>
      <w:r>
        <w:rPr>
          <w:vertAlign w:val="superscript"/>
        </w:rPr>
        <w:footnoteRef/>
      </w:r>
      <w:r>
        <w:t>  Summer, 2022</w:t>
      </w:r>
    </w:p>
  </w:footnote>
  <w:footnote w:id="95">
    <w:p w14:paraId="2A6BE4A4" w14:textId="77B793AC" w:rsidR="00D24350" w:rsidRDefault="00D24350" w:rsidP="00D24350">
      <w:pPr>
        <w:pStyle w:val="CaptionA"/>
      </w:pPr>
      <w:r>
        <w:rPr>
          <w:vertAlign w:val="superscript"/>
        </w:rPr>
        <w:footnoteRef/>
      </w:r>
      <w:r>
        <w:t>  K Cook, A Byrt, R Burgin, T Edwards, A Coen and G Dimopolous, ‘Financial Abuse: The Weaponisation of Child Support in Australia’, Swinburne</w:t>
      </w:r>
    </w:p>
  </w:footnote>
  <w:footnote w:id="96">
    <w:p w14:paraId="14B75C88" w14:textId="436C0A15" w:rsidR="00D24350" w:rsidRDefault="00D24350" w:rsidP="00D24350">
      <w:pPr>
        <w:pStyle w:val="CaptionA"/>
      </w:pPr>
      <w:r>
        <w:rPr>
          <w:vertAlign w:val="superscript"/>
        </w:rPr>
        <w:footnoteRef/>
      </w:r>
      <w:r>
        <w:t>  Skinner C, Meyer D, Cook K &amp; Fletcher M (2017). Child maintenance and social security interactions: the poverty reduction effects in model lone parent families across four countries. Journal of Social Policy. 46(3): 495-516.</w:t>
      </w:r>
    </w:p>
  </w:footnote>
  <w:footnote w:id="97">
    <w:p w14:paraId="2A2480B3" w14:textId="22CB94CF" w:rsidR="00D24350" w:rsidRDefault="00D24350" w:rsidP="00D24350">
      <w:pPr>
        <w:pStyle w:val="CaptionA"/>
      </w:pPr>
      <w:r>
        <w:rPr>
          <w:vertAlign w:val="superscript"/>
        </w:rPr>
        <w:footnoteRef/>
      </w:r>
      <w:r>
        <w:t>  Interim Economic Inclusion Advisory Committee, “2023–24 Report to the Australian Government”.</w:t>
      </w:r>
    </w:p>
  </w:footnote>
  <w:footnote w:id="98">
    <w:p w14:paraId="64A159D2" w14:textId="7718801E" w:rsidR="00D24350" w:rsidRDefault="00D24350" w:rsidP="00D24350">
      <w:pPr>
        <w:pStyle w:val="CaptionA"/>
      </w:pPr>
      <w:r>
        <w:rPr>
          <w:vertAlign w:val="superscript"/>
        </w:rPr>
        <w:footnoteRef/>
      </w:r>
      <w:r>
        <w:t>  Ibid, Recommendation 33.</w:t>
      </w:r>
    </w:p>
  </w:footnote>
  <w:footnote w:id="99">
    <w:p w14:paraId="17FD602E" w14:textId="01F80493" w:rsidR="00D24350" w:rsidRDefault="00D24350" w:rsidP="00D24350">
      <w:pPr>
        <w:pStyle w:val="CaptionA"/>
      </w:pPr>
      <w:r>
        <w:rPr>
          <w:vertAlign w:val="superscript"/>
        </w:rPr>
        <w:footnoteRef/>
      </w:r>
      <w:r>
        <w:t>  https://www.pmc.gov.au/sites/default/files/resource/download/womens-economic-equality-taskforce-final-report.pdf</w:t>
      </w:r>
    </w:p>
  </w:footnote>
  <w:footnote w:id="100">
    <w:p w14:paraId="5F535DF4" w14:textId="22D430AE" w:rsidR="00D24350" w:rsidRDefault="00D24350" w:rsidP="00D24350">
      <w:pPr>
        <w:pStyle w:val="CaptionA"/>
      </w:pPr>
      <w:r>
        <w:rPr>
          <w:vertAlign w:val="superscript"/>
        </w:rPr>
        <w:footnoteRef/>
      </w:r>
      <w:r>
        <w:t>  Joint Select Committee on Australia’s Family Law System, Australia’s Child Support Scheme; Third interim Report, Joint Committees (Commonwealth of Australia, 2021); Women’s Economic Equality Taskforce 2023; Women’s Budget Statement (Commonwealth of Australia, 2023).</w:t>
      </w:r>
    </w:p>
  </w:footnote>
  <w:footnote w:id="101">
    <w:p w14:paraId="1AF13014" w14:textId="415C3C4F" w:rsidR="00D24350" w:rsidRDefault="00D24350" w:rsidP="00D24350">
      <w:pPr>
        <w:pStyle w:val="CaptionA"/>
      </w:pPr>
      <w:r>
        <w:rPr>
          <w:vertAlign w:val="superscript"/>
        </w:rPr>
        <w:footnoteRef/>
      </w:r>
      <w:r>
        <w:t>  DSS, “Child Support Expert Panel” (DSS, December 2023), https://www.dss.gov.au/families-and-children-programs-services-the-child-support-scheme/child-support-expert-panel</w:t>
      </w:r>
    </w:p>
  </w:footnote>
  <w:footnote w:id="102">
    <w:p w14:paraId="4FD7B980" w14:textId="12169F42" w:rsidR="00D24350" w:rsidRDefault="00D24350" w:rsidP="00D24350">
      <w:pPr>
        <w:pStyle w:val="CaptionA"/>
      </w:pPr>
      <w:r>
        <w:rPr>
          <w:vertAlign w:val="superscript"/>
        </w:rPr>
        <w:footnoteRef/>
      </w:r>
      <w:r>
        <w:t>  Royal Commission into the Robodebt Scheme (2023) Report, Volume 1, p.xxiii</w:t>
      </w:r>
    </w:p>
  </w:footnote>
  <w:footnote w:id="103">
    <w:p w14:paraId="3282FD09" w14:textId="5DBE1CDA" w:rsidR="00D24350" w:rsidRDefault="00D24350" w:rsidP="00D24350">
      <w:pPr>
        <w:pStyle w:val="CaptionA"/>
      </w:pPr>
      <w:r>
        <w:rPr>
          <w:vertAlign w:val="superscript"/>
        </w:rPr>
        <w:footnoteRef/>
      </w:r>
      <w:r>
        <w:t>  It was also a time that Government temporarily doubled unemployment payments and relaxed a large number of conditions tied to payment receipt – a tacit recognition of the limitations of the existing system in meeting the everyday needs and expectations of Australians who rely on it.</w:t>
      </w:r>
    </w:p>
  </w:footnote>
  <w:footnote w:id="104">
    <w:p w14:paraId="2B44F1A8" w14:textId="6165AE7C" w:rsidR="00D24350" w:rsidRDefault="00D24350" w:rsidP="00D24350">
      <w:pPr>
        <w:pStyle w:val="CaptionA"/>
      </w:pPr>
      <w:r>
        <w:rPr>
          <w:vertAlign w:val="superscript"/>
        </w:rPr>
        <w:footnoteRef/>
      </w:r>
      <w:r>
        <w:t>  Wilkins, R 2017, The Household, Income and Labour Dynamics in Australia survey: selected findings from waves 1 to 15, Melbourne Institute of Applied Economic and Social Research, The University of Melbourne.</w:t>
      </w:r>
    </w:p>
  </w:footnote>
  <w:footnote w:id="105">
    <w:p w14:paraId="4805454F" w14:textId="14E3BC57" w:rsidR="00D24350" w:rsidRPr="00521D34" w:rsidRDefault="00D24350" w:rsidP="00D24350">
      <w:pPr>
        <w:pStyle w:val="CaptionA"/>
        <w:rPr>
          <w:spacing w:val="-2"/>
        </w:rPr>
      </w:pPr>
      <w:r>
        <w:rPr>
          <w:vertAlign w:val="superscript"/>
        </w:rPr>
        <w:footnoteRef/>
      </w:r>
      <w:r>
        <w:t xml:space="preserve">  Bowman, D, Banks, M, Whiteford, P, de Silva, A, Anantharama, N, Csereklyei, Z &amp; Mallett, S (2020), Everyone counts: uncovering patterns of Newstart </w:t>
      </w:r>
      <w:r>
        <w:rPr>
          <w:spacing w:val="-2"/>
        </w:rPr>
        <w:t>Allowance, Brotherhood of St. Laurence, Fitzroy, Vic. P.4</w:t>
      </w:r>
    </w:p>
  </w:footnote>
  <w:footnote w:id="106">
    <w:p w14:paraId="07D4E23D" w14:textId="1A1F8891" w:rsidR="00D24350" w:rsidRDefault="00D24350" w:rsidP="00D24350">
      <w:pPr>
        <w:pStyle w:val="CaptionA"/>
      </w:pPr>
      <w:r>
        <w:rPr>
          <w:vertAlign w:val="superscript"/>
        </w:rPr>
        <w:footnoteRef/>
      </w:r>
      <w:r>
        <w:t>  Australian Bureau of Statistics (June 2023), National, State and Territory Population data release.</w:t>
      </w:r>
    </w:p>
  </w:footnote>
  <w:footnote w:id="107">
    <w:p w14:paraId="21DDAAC8" w14:textId="7FEF0F68" w:rsidR="00D24350" w:rsidRDefault="00D24350" w:rsidP="00D24350">
      <w:pPr>
        <w:pStyle w:val="CaptionA"/>
      </w:pPr>
      <w:r>
        <w:rPr>
          <w:vertAlign w:val="superscript"/>
        </w:rPr>
        <w:footnoteRef/>
      </w:r>
      <w:r>
        <w:t>  This point-in-time snapshot is illuminating but an analysis of the caseload over, say, the period of a year would capture a larger proportion of people who are more job-ready and who received income support for a comparatively short period.</w:t>
      </w:r>
    </w:p>
  </w:footnote>
  <w:footnote w:id="108">
    <w:p w14:paraId="65757FB1" w14:textId="1041AA4D" w:rsidR="00D24350" w:rsidRDefault="00D24350" w:rsidP="00D24350">
      <w:pPr>
        <w:pStyle w:val="CaptionA"/>
      </w:pPr>
      <w:r>
        <w:rPr>
          <w:vertAlign w:val="superscript"/>
        </w:rPr>
        <w:footnoteRef/>
      </w:r>
      <w:r>
        <w:t xml:space="preserve">  Bowman, D, Thornton, D, &amp; Mallett, S 2019, </w:t>
      </w:r>
      <w:r>
        <w:rPr>
          <w:rFonts w:ascii="BasicSans-RegularIt" w:hAnsi="BasicSans-RegularIt" w:cs="BasicSans-RegularIt"/>
        </w:rPr>
        <w:t xml:space="preserve">Reclaiming social security for a just future: </w:t>
      </w:r>
      <w:r>
        <w:rPr>
          <w:rFonts w:ascii="BasicSans-RegularIt" w:hAnsi="BasicSans-RegularIt" w:cs="BasicSans-RegularIt"/>
        </w:rPr>
        <w:br/>
        <w:t>A principled approach to reform</w:t>
      </w:r>
      <w:r>
        <w:t>, Brotherhood of St. Laurence, Fitzroy, Vic.</w:t>
      </w:r>
      <w:r>
        <w:br/>
        <w:t>https://library.bsl.org.au/jspui/bitstream/1/11443/1/Bowman_etal_Reclaiming_social_security_for_a_just_future_2019.pdf</w:t>
      </w:r>
    </w:p>
  </w:footnote>
  <w:footnote w:id="109">
    <w:p w14:paraId="7A6744F4" w14:textId="2E419336" w:rsidR="00D24350" w:rsidRDefault="00D24350" w:rsidP="00D24350">
      <w:pPr>
        <w:pStyle w:val="CaptionA"/>
      </w:pPr>
      <w:r>
        <w:rPr>
          <w:vertAlign w:val="superscript"/>
        </w:rPr>
        <w:footnoteRef/>
      </w:r>
      <w:r>
        <w:t>  Royal Commission into the Robodebt Scheme (2023). Report Volume 1. Page i</w:t>
      </w:r>
    </w:p>
  </w:footnote>
  <w:footnote w:id="110">
    <w:p w14:paraId="6A05392A" w14:textId="7AB2197A" w:rsidR="00D24350" w:rsidRDefault="00D24350" w:rsidP="00D24350">
      <w:pPr>
        <w:pStyle w:val="CaptionA"/>
      </w:pPr>
      <w:r>
        <w:rPr>
          <w:vertAlign w:val="superscript"/>
        </w:rPr>
        <w:footnoteRef/>
      </w:r>
      <w:r>
        <w:t>  Services Australia Telephony Report FYTD 31 August 23, available at: https://www.aph.gov.au/-/media/Estimates/ca/supp2324/Social_Services/01_TabledDoc_ServicesAustralia_Telephony_Report_31Aug2023.pdf?la=en&amp;hash=</w:t>
      </w:r>
      <w:r>
        <w:br/>
        <w:t>1F0DF658A51BAE8D5D6439997353B1BCB0985A74</w:t>
      </w:r>
    </w:p>
  </w:footnote>
  <w:footnote w:id="111">
    <w:p w14:paraId="6BFBFCDC" w14:textId="7AEC067A" w:rsidR="00D24350" w:rsidRDefault="00D24350" w:rsidP="00D24350">
      <w:pPr>
        <w:pStyle w:val="CaptionA"/>
      </w:pPr>
      <w:r>
        <w:rPr>
          <w:vertAlign w:val="superscript"/>
        </w:rPr>
        <w:footnoteRef/>
      </w:r>
      <w:r>
        <w:t>  House of Representatives Select Committee on Workforce Australia Employment Services (2023). Rebuilding Employment Services, 70</w:t>
      </w:r>
    </w:p>
  </w:footnote>
  <w:footnote w:id="112">
    <w:p w14:paraId="20ADD180" w14:textId="52829136" w:rsidR="00D24350" w:rsidRDefault="00D24350" w:rsidP="00D24350">
      <w:pPr>
        <w:pStyle w:val="CaptionA"/>
      </w:pPr>
      <w:r>
        <w:rPr>
          <w:vertAlign w:val="superscript"/>
        </w:rPr>
        <w:footnoteRef/>
      </w:r>
      <w:r>
        <w:t>  Royal Commission into the Robodebt Scheme (2023). Report Volume 1. Page i</w:t>
      </w:r>
    </w:p>
  </w:footnote>
  <w:footnote w:id="113">
    <w:p w14:paraId="202ECDBD" w14:textId="7816E18B" w:rsidR="00D24350" w:rsidRDefault="00D24350" w:rsidP="00D24350">
      <w:pPr>
        <w:pStyle w:val="CaptionA"/>
      </w:pPr>
      <w:r>
        <w:rPr>
          <w:vertAlign w:val="superscript"/>
        </w:rPr>
        <w:footnoteRef/>
      </w:r>
      <w:r>
        <w:t>  ACOSS https://www.acoss.org.au/wp-content/uploads/2023/03/Select-Cttee-Workforce-Australia-ACOSSsub.pdf</w:t>
      </w:r>
    </w:p>
  </w:footnote>
  <w:footnote w:id="114">
    <w:p w14:paraId="57C6B2ED" w14:textId="09D9E6F9" w:rsidR="00D24350" w:rsidRDefault="00D24350" w:rsidP="00D24350">
      <w:pPr>
        <w:pStyle w:val="CaptionA"/>
      </w:pPr>
      <w:r>
        <w:rPr>
          <w:vertAlign w:val="superscript"/>
        </w:rPr>
        <w:footnoteRef/>
      </w:r>
      <w:r>
        <w:t>  House of Representatives Select Committee on Workforce Australia Employment Service (2023). Rebuilding Employment Services xvi.</w:t>
      </w:r>
    </w:p>
  </w:footnote>
  <w:footnote w:id="115">
    <w:p w14:paraId="1421B22E" w14:textId="20D78902" w:rsidR="00D24350" w:rsidRDefault="00D24350" w:rsidP="00D24350">
      <w:pPr>
        <w:pStyle w:val="CaptionA"/>
      </w:pPr>
      <w:r>
        <w:rPr>
          <w:vertAlign w:val="superscript"/>
        </w:rPr>
        <w:footnoteRef/>
      </w:r>
      <w:r>
        <w:t>  House of Representatives Select Committee on Workforce Australia Employment Service (2023). Rebuilding Employment Services, 29.</w:t>
      </w:r>
    </w:p>
  </w:footnote>
  <w:footnote w:id="116">
    <w:p w14:paraId="5A0AD5CB" w14:textId="1AD8A1B0" w:rsidR="00D24350" w:rsidRDefault="00D24350" w:rsidP="00D24350">
      <w:pPr>
        <w:pStyle w:val="CaptionA"/>
      </w:pPr>
      <w:r>
        <w:rPr>
          <w:vertAlign w:val="superscript"/>
        </w:rPr>
        <w:footnoteRef/>
      </w:r>
      <w:r>
        <w:t>  Social Security Scotland (2019). Our Charter.</w:t>
      </w:r>
    </w:p>
  </w:footnote>
  <w:footnote w:id="117">
    <w:p w14:paraId="452561E0" w14:textId="49870643" w:rsidR="001E7795" w:rsidRDefault="001E7795" w:rsidP="001E7795">
      <w:pPr>
        <w:pStyle w:val="CaptionA"/>
      </w:pPr>
      <w:r>
        <w:rPr>
          <w:vertAlign w:val="superscript"/>
        </w:rPr>
        <w:footnoteRef/>
      </w:r>
      <w:r>
        <w:t>  Bradbury, B., M. Bedford and Y. Naidoo (2023), Budget standards for low-paid families, Social Policy Research Centre, University of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1B4E3" w14:textId="5544484F" w:rsidR="006D7E2B" w:rsidRDefault="006D7E2B">
    <w:pPr>
      <w:pStyle w:val="Header"/>
    </w:pPr>
    <w:r>
      <w:rPr>
        <w:noProof/>
      </w:rPr>
      <w:drawing>
        <wp:anchor distT="0" distB="0" distL="114300" distR="114300" simplePos="0" relativeHeight="251675648" behindDoc="1" locked="0" layoutInCell="1" allowOverlap="1" wp14:anchorId="3796E31B" wp14:editId="65096866">
          <wp:simplePos x="0" y="0"/>
          <wp:positionH relativeFrom="column">
            <wp:posOffset>-914400</wp:posOffset>
          </wp:positionH>
          <wp:positionV relativeFrom="paragraph">
            <wp:posOffset>-440055</wp:posOffset>
          </wp:positionV>
          <wp:extent cx="7553325" cy="10688967"/>
          <wp:effectExtent l="0" t="0" r="3175" b="4445"/>
          <wp:wrapNone/>
          <wp:docPr id="6946932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3264"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96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5440E" w14:textId="414F662A" w:rsidR="00B652C8" w:rsidRDefault="00B652C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D231E" w14:textId="1A94E1FF" w:rsidR="00B652C8" w:rsidRDefault="00B652C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6712F" w14:textId="504D9EA9" w:rsidR="00C61B2A" w:rsidRDefault="00C61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C94F3" w14:textId="02ED64E4" w:rsidR="004125C3" w:rsidRDefault="004125C3">
    <w:pPr>
      <w:pStyle w:val="Header"/>
    </w:pPr>
    <w:r>
      <w:rPr>
        <w:noProof/>
      </w:rPr>
      <w:drawing>
        <wp:anchor distT="0" distB="0" distL="114300" distR="114300" simplePos="0" relativeHeight="251659264" behindDoc="1" locked="0" layoutInCell="1" allowOverlap="1" wp14:anchorId="68442ACF" wp14:editId="1A19C495">
          <wp:simplePos x="0" y="0"/>
          <wp:positionH relativeFrom="column">
            <wp:posOffset>-904875</wp:posOffset>
          </wp:positionH>
          <wp:positionV relativeFrom="paragraph">
            <wp:posOffset>-449580</wp:posOffset>
          </wp:positionV>
          <wp:extent cx="7551970" cy="10687050"/>
          <wp:effectExtent l="0" t="0" r="5080" b="0"/>
          <wp:wrapNone/>
          <wp:docPr id="2711587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874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87" cy="106959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F71BB" w14:textId="07809A40" w:rsidR="006D7E2B" w:rsidRDefault="006D7E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D87B6" w14:textId="7E35EF4D" w:rsidR="006D7E2B" w:rsidRDefault="006D7E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27E76" w14:textId="6E32631C" w:rsidR="00DC43EE" w:rsidRDefault="00DC43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F6BE6" w14:textId="1694C8CE" w:rsidR="007350B0" w:rsidRDefault="007350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DD38C" w14:textId="278E8507" w:rsidR="00921054" w:rsidRDefault="009210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FAFA7" w14:textId="3FEF7D25" w:rsidR="00B652C8" w:rsidRDefault="00B652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84A7" w14:textId="3470F677" w:rsidR="00B652C8" w:rsidRDefault="00B65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503B2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E8E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4E36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783EBC"/>
    <w:multiLevelType w:val="hybridMultilevel"/>
    <w:tmpl w:val="994C8A7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497492"/>
    <w:multiLevelType w:val="hybridMultilevel"/>
    <w:tmpl w:val="BA78173E"/>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D146D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C37500"/>
    <w:multiLevelType w:val="hybridMultilevel"/>
    <w:tmpl w:val="A6AEF5FC"/>
    <w:lvl w:ilvl="0" w:tplc="8A2E7818">
      <w:numFmt w:val="bullet"/>
      <w:lvlText w:val=""/>
      <w:lvlJc w:val="left"/>
      <w:pPr>
        <w:ind w:left="1228" w:hanging="361"/>
      </w:pPr>
      <w:rPr>
        <w:rFonts w:ascii="Symbol" w:eastAsia="Symbol" w:hAnsi="Symbol" w:cs="Symbol" w:hint="default"/>
        <w:b w:val="0"/>
        <w:bCs w:val="0"/>
        <w:i w:val="0"/>
        <w:iCs w:val="0"/>
        <w:color w:val="91A9A2"/>
        <w:spacing w:val="0"/>
        <w:w w:val="100"/>
        <w:sz w:val="20"/>
        <w:szCs w:val="20"/>
        <w:lang w:val="en-US" w:eastAsia="en-US" w:bidi="ar-SA"/>
      </w:rPr>
    </w:lvl>
    <w:lvl w:ilvl="1" w:tplc="AD4E3FEA">
      <w:numFmt w:val="bullet"/>
      <w:lvlText w:val="•"/>
      <w:lvlJc w:val="left"/>
      <w:pPr>
        <w:ind w:left="2142" w:hanging="361"/>
      </w:pPr>
      <w:rPr>
        <w:rFonts w:hint="default"/>
        <w:lang w:val="en-US" w:eastAsia="en-US" w:bidi="ar-SA"/>
      </w:rPr>
    </w:lvl>
    <w:lvl w:ilvl="2" w:tplc="70865D6C">
      <w:numFmt w:val="bullet"/>
      <w:lvlText w:val="•"/>
      <w:lvlJc w:val="left"/>
      <w:pPr>
        <w:ind w:left="3064" w:hanging="361"/>
      </w:pPr>
      <w:rPr>
        <w:rFonts w:hint="default"/>
        <w:lang w:val="en-US" w:eastAsia="en-US" w:bidi="ar-SA"/>
      </w:rPr>
    </w:lvl>
    <w:lvl w:ilvl="3" w:tplc="7150750A">
      <w:numFmt w:val="bullet"/>
      <w:lvlText w:val="•"/>
      <w:lvlJc w:val="left"/>
      <w:pPr>
        <w:ind w:left="3987" w:hanging="361"/>
      </w:pPr>
      <w:rPr>
        <w:rFonts w:hint="default"/>
        <w:lang w:val="en-US" w:eastAsia="en-US" w:bidi="ar-SA"/>
      </w:rPr>
    </w:lvl>
    <w:lvl w:ilvl="4" w:tplc="8A649CE4">
      <w:numFmt w:val="bullet"/>
      <w:lvlText w:val="•"/>
      <w:lvlJc w:val="left"/>
      <w:pPr>
        <w:ind w:left="4909" w:hanging="361"/>
      </w:pPr>
      <w:rPr>
        <w:rFonts w:hint="default"/>
        <w:lang w:val="en-US" w:eastAsia="en-US" w:bidi="ar-SA"/>
      </w:rPr>
    </w:lvl>
    <w:lvl w:ilvl="5" w:tplc="78526B8A">
      <w:numFmt w:val="bullet"/>
      <w:lvlText w:val="•"/>
      <w:lvlJc w:val="left"/>
      <w:pPr>
        <w:ind w:left="5832" w:hanging="361"/>
      </w:pPr>
      <w:rPr>
        <w:rFonts w:hint="default"/>
        <w:lang w:val="en-US" w:eastAsia="en-US" w:bidi="ar-SA"/>
      </w:rPr>
    </w:lvl>
    <w:lvl w:ilvl="6" w:tplc="28D8370E">
      <w:numFmt w:val="bullet"/>
      <w:lvlText w:val="•"/>
      <w:lvlJc w:val="left"/>
      <w:pPr>
        <w:ind w:left="6754" w:hanging="361"/>
      </w:pPr>
      <w:rPr>
        <w:rFonts w:hint="default"/>
        <w:lang w:val="en-US" w:eastAsia="en-US" w:bidi="ar-SA"/>
      </w:rPr>
    </w:lvl>
    <w:lvl w:ilvl="7" w:tplc="77FA57D2">
      <w:numFmt w:val="bullet"/>
      <w:lvlText w:val="•"/>
      <w:lvlJc w:val="left"/>
      <w:pPr>
        <w:ind w:left="7676" w:hanging="361"/>
      </w:pPr>
      <w:rPr>
        <w:rFonts w:hint="default"/>
        <w:lang w:val="en-US" w:eastAsia="en-US" w:bidi="ar-SA"/>
      </w:rPr>
    </w:lvl>
    <w:lvl w:ilvl="8" w:tplc="7C2E635E">
      <w:numFmt w:val="bullet"/>
      <w:lvlText w:val="•"/>
      <w:lvlJc w:val="left"/>
      <w:pPr>
        <w:ind w:left="8599" w:hanging="361"/>
      </w:pPr>
      <w:rPr>
        <w:rFonts w:hint="default"/>
        <w:lang w:val="en-US" w:eastAsia="en-US" w:bidi="ar-SA"/>
      </w:rPr>
    </w:lvl>
  </w:abstractNum>
  <w:abstractNum w:abstractNumId="7" w15:restartNumberingAfterBreak="0">
    <w:nsid w:val="0D4C570E"/>
    <w:multiLevelType w:val="hybridMultilevel"/>
    <w:tmpl w:val="02302978"/>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843B26"/>
    <w:multiLevelType w:val="hybridMultilevel"/>
    <w:tmpl w:val="AEA21420"/>
    <w:lvl w:ilvl="0" w:tplc="704A34A6">
      <w:numFmt w:val="bullet"/>
      <w:lvlText w:val=""/>
      <w:lvlJc w:val="left"/>
      <w:pPr>
        <w:ind w:left="826" w:hanging="361"/>
      </w:pPr>
      <w:rPr>
        <w:rFonts w:ascii="Symbol" w:eastAsia="Symbol" w:hAnsi="Symbol" w:cs="Symbol" w:hint="default"/>
        <w:spacing w:val="0"/>
        <w:w w:val="100"/>
        <w:lang w:val="en-US" w:eastAsia="en-US" w:bidi="ar-SA"/>
      </w:rPr>
    </w:lvl>
    <w:lvl w:ilvl="1" w:tplc="34F4C3FE">
      <w:numFmt w:val="bullet"/>
      <w:lvlText w:val="•"/>
      <w:lvlJc w:val="left"/>
      <w:pPr>
        <w:ind w:left="1678" w:hanging="361"/>
      </w:pPr>
      <w:rPr>
        <w:rFonts w:hint="default"/>
        <w:lang w:val="en-US" w:eastAsia="en-US" w:bidi="ar-SA"/>
      </w:rPr>
    </w:lvl>
    <w:lvl w:ilvl="2" w:tplc="5B94D656">
      <w:numFmt w:val="bullet"/>
      <w:lvlText w:val="•"/>
      <w:lvlJc w:val="left"/>
      <w:pPr>
        <w:ind w:left="2537" w:hanging="361"/>
      </w:pPr>
      <w:rPr>
        <w:rFonts w:hint="default"/>
        <w:lang w:val="en-US" w:eastAsia="en-US" w:bidi="ar-SA"/>
      </w:rPr>
    </w:lvl>
    <w:lvl w:ilvl="3" w:tplc="2DB01916">
      <w:numFmt w:val="bullet"/>
      <w:lvlText w:val="•"/>
      <w:lvlJc w:val="left"/>
      <w:pPr>
        <w:ind w:left="3396" w:hanging="361"/>
      </w:pPr>
      <w:rPr>
        <w:rFonts w:hint="default"/>
        <w:lang w:val="en-US" w:eastAsia="en-US" w:bidi="ar-SA"/>
      </w:rPr>
    </w:lvl>
    <w:lvl w:ilvl="4" w:tplc="D7AA0C56">
      <w:numFmt w:val="bullet"/>
      <w:lvlText w:val="•"/>
      <w:lvlJc w:val="left"/>
      <w:pPr>
        <w:ind w:left="4254" w:hanging="361"/>
      </w:pPr>
      <w:rPr>
        <w:rFonts w:hint="default"/>
        <w:lang w:val="en-US" w:eastAsia="en-US" w:bidi="ar-SA"/>
      </w:rPr>
    </w:lvl>
    <w:lvl w:ilvl="5" w:tplc="95125CB2">
      <w:numFmt w:val="bullet"/>
      <w:lvlText w:val="•"/>
      <w:lvlJc w:val="left"/>
      <w:pPr>
        <w:ind w:left="5113" w:hanging="361"/>
      </w:pPr>
      <w:rPr>
        <w:rFonts w:hint="default"/>
        <w:lang w:val="en-US" w:eastAsia="en-US" w:bidi="ar-SA"/>
      </w:rPr>
    </w:lvl>
    <w:lvl w:ilvl="6" w:tplc="86921F60">
      <w:numFmt w:val="bullet"/>
      <w:lvlText w:val="•"/>
      <w:lvlJc w:val="left"/>
      <w:pPr>
        <w:ind w:left="5972" w:hanging="361"/>
      </w:pPr>
      <w:rPr>
        <w:rFonts w:hint="default"/>
        <w:lang w:val="en-US" w:eastAsia="en-US" w:bidi="ar-SA"/>
      </w:rPr>
    </w:lvl>
    <w:lvl w:ilvl="7" w:tplc="193A2B48">
      <w:numFmt w:val="bullet"/>
      <w:lvlText w:val="•"/>
      <w:lvlJc w:val="left"/>
      <w:pPr>
        <w:ind w:left="6830" w:hanging="361"/>
      </w:pPr>
      <w:rPr>
        <w:rFonts w:hint="default"/>
        <w:lang w:val="en-US" w:eastAsia="en-US" w:bidi="ar-SA"/>
      </w:rPr>
    </w:lvl>
    <w:lvl w:ilvl="8" w:tplc="C598F7B2">
      <w:numFmt w:val="bullet"/>
      <w:lvlText w:val="•"/>
      <w:lvlJc w:val="left"/>
      <w:pPr>
        <w:ind w:left="7689" w:hanging="361"/>
      </w:pPr>
      <w:rPr>
        <w:rFonts w:hint="default"/>
        <w:lang w:val="en-US" w:eastAsia="en-US" w:bidi="ar-SA"/>
      </w:rPr>
    </w:lvl>
  </w:abstractNum>
  <w:abstractNum w:abstractNumId="9" w15:restartNumberingAfterBreak="0">
    <w:nsid w:val="10F94C21"/>
    <w:multiLevelType w:val="hybridMultilevel"/>
    <w:tmpl w:val="B3B80DCC"/>
    <w:lvl w:ilvl="0" w:tplc="C2F274D4">
      <w:numFmt w:val="bullet"/>
      <w:lvlText w:val="-"/>
      <w:lvlJc w:val="left"/>
      <w:pPr>
        <w:ind w:left="464" w:hanging="360"/>
      </w:pPr>
      <w:rPr>
        <w:rFonts w:ascii="Calibri" w:eastAsia="Calibri" w:hAnsi="Calibri" w:cs="Calibri" w:hint="default"/>
        <w:b w:val="0"/>
        <w:bCs w:val="0"/>
        <w:i w:val="0"/>
        <w:iCs w:val="0"/>
        <w:spacing w:val="0"/>
        <w:w w:val="101"/>
        <w:sz w:val="18"/>
        <w:szCs w:val="18"/>
        <w:lang w:val="en-US" w:eastAsia="en-US" w:bidi="ar-SA"/>
      </w:rPr>
    </w:lvl>
    <w:lvl w:ilvl="1" w:tplc="70DC093C">
      <w:numFmt w:val="bullet"/>
      <w:lvlText w:val="•"/>
      <w:lvlJc w:val="left"/>
      <w:pPr>
        <w:ind w:left="1065" w:hanging="360"/>
      </w:pPr>
      <w:rPr>
        <w:rFonts w:hint="default"/>
        <w:lang w:val="en-US" w:eastAsia="en-US" w:bidi="ar-SA"/>
      </w:rPr>
    </w:lvl>
    <w:lvl w:ilvl="2" w:tplc="8676BF46">
      <w:numFmt w:val="bullet"/>
      <w:lvlText w:val="•"/>
      <w:lvlJc w:val="left"/>
      <w:pPr>
        <w:ind w:left="1670" w:hanging="360"/>
      </w:pPr>
      <w:rPr>
        <w:rFonts w:hint="default"/>
        <w:lang w:val="en-US" w:eastAsia="en-US" w:bidi="ar-SA"/>
      </w:rPr>
    </w:lvl>
    <w:lvl w:ilvl="3" w:tplc="9620D5E2">
      <w:numFmt w:val="bullet"/>
      <w:lvlText w:val="•"/>
      <w:lvlJc w:val="left"/>
      <w:pPr>
        <w:ind w:left="2275" w:hanging="360"/>
      </w:pPr>
      <w:rPr>
        <w:rFonts w:hint="default"/>
        <w:lang w:val="en-US" w:eastAsia="en-US" w:bidi="ar-SA"/>
      </w:rPr>
    </w:lvl>
    <w:lvl w:ilvl="4" w:tplc="B5F62B22">
      <w:numFmt w:val="bullet"/>
      <w:lvlText w:val="•"/>
      <w:lvlJc w:val="left"/>
      <w:pPr>
        <w:ind w:left="2880" w:hanging="360"/>
      </w:pPr>
      <w:rPr>
        <w:rFonts w:hint="default"/>
        <w:lang w:val="en-US" w:eastAsia="en-US" w:bidi="ar-SA"/>
      </w:rPr>
    </w:lvl>
    <w:lvl w:ilvl="5" w:tplc="27FEB10A">
      <w:numFmt w:val="bullet"/>
      <w:lvlText w:val="•"/>
      <w:lvlJc w:val="left"/>
      <w:pPr>
        <w:ind w:left="3485" w:hanging="360"/>
      </w:pPr>
      <w:rPr>
        <w:rFonts w:hint="default"/>
        <w:lang w:val="en-US" w:eastAsia="en-US" w:bidi="ar-SA"/>
      </w:rPr>
    </w:lvl>
    <w:lvl w:ilvl="6" w:tplc="49860076">
      <w:numFmt w:val="bullet"/>
      <w:lvlText w:val="•"/>
      <w:lvlJc w:val="left"/>
      <w:pPr>
        <w:ind w:left="4090" w:hanging="360"/>
      </w:pPr>
      <w:rPr>
        <w:rFonts w:hint="default"/>
        <w:lang w:val="en-US" w:eastAsia="en-US" w:bidi="ar-SA"/>
      </w:rPr>
    </w:lvl>
    <w:lvl w:ilvl="7" w:tplc="16C6F83E">
      <w:numFmt w:val="bullet"/>
      <w:lvlText w:val="•"/>
      <w:lvlJc w:val="left"/>
      <w:pPr>
        <w:ind w:left="4695" w:hanging="360"/>
      </w:pPr>
      <w:rPr>
        <w:rFonts w:hint="default"/>
        <w:lang w:val="en-US" w:eastAsia="en-US" w:bidi="ar-SA"/>
      </w:rPr>
    </w:lvl>
    <w:lvl w:ilvl="8" w:tplc="E34447B4">
      <w:numFmt w:val="bullet"/>
      <w:lvlText w:val="•"/>
      <w:lvlJc w:val="left"/>
      <w:pPr>
        <w:ind w:left="5300" w:hanging="360"/>
      </w:pPr>
      <w:rPr>
        <w:rFonts w:hint="default"/>
        <w:lang w:val="en-US" w:eastAsia="en-US" w:bidi="ar-SA"/>
      </w:rPr>
    </w:lvl>
  </w:abstractNum>
  <w:abstractNum w:abstractNumId="10" w15:restartNumberingAfterBreak="0">
    <w:nsid w:val="135D1026"/>
    <w:multiLevelType w:val="hybridMultilevel"/>
    <w:tmpl w:val="8F3EB412"/>
    <w:lvl w:ilvl="0" w:tplc="96C6A012">
      <w:numFmt w:val="bullet"/>
      <w:lvlText w:val=""/>
      <w:lvlJc w:val="left"/>
      <w:pPr>
        <w:ind w:left="830" w:hanging="360"/>
      </w:pPr>
      <w:rPr>
        <w:rFonts w:ascii="Symbol" w:eastAsia="Symbol" w:hAnsi="Symbol" w:cs="Symbol" w:hint="default"/>
        <w:b w:val="0"/>
        <w:bCs w:val="0"/>
        <w:i w:val="0"/>
        <w:iCs w:val="0"/>
        <w:color w:val="91A9A2"/>
        <w:spacing w:val="0"/>
        <w:w w:val="101"/>
        <w:sz w:val="18"/>
        <w:szCs w:val="18"/>
        <w:lang w:val="en-US" w:eastAsia="en-US" w:bidi="ar-SA"/>
      </w:rPr>
    </w:lvl>
    <w:lvl w:ilvl="1" w:tplc="51BA9E4C">
      <w:numFmt w:val="bullet"/>
      <w:lvlText w:val="•"/>
      <w:lvlJc w:val="left"/>
      <w:pPr>
        <w:ind w:left="1075" w:hanging="360"/>
      </w:pPr>
      <w:rPr>
        <w:rFonts w:hint="default"/>
        <w:lang w:val="en-US" w:eastAsia="en-US" w:bidi="ar-SA"/>
      </w:rPr>
    </w:lvl>
    <w:lvl w:ilvl="2" w:tplc="3D7A05B4">
      <w:numFmt w:val="bullet"/>
      <w:lvlText w:val="•"/>
      <w:lvlJc w:val="left"/>
      <w:pPr>
        <w:ind w:left="1310" w:hanging="360"/>
      </w:pPr>
      <w:rPr>
        <w:rFonts w:hint="default"/>
        <w:lang w:val="en-US" w:eastAsia="en-US" w:bidi="ar-SA"/>
      </w:rPr>
    </w:lvl>
    <w:lvl w:ilvl="3" w:tplc="0242DE8E">
      <w:numFmt w:val="bullet"/>
      <w:lvlText w:val="•"/>
      <w:lvlJc w:val="left"/>
      <w:pPr>
        <w:ind w:left="1545" w:hanging="360"/>
      </w:pPr>
      <w:rPr>
        <w:rFonts w:hint="default"/>
        <w:lang w:val="en-US" w:eastAsia="en-US" w:bidi="ar-SA"/>
      </w:rPr>
    </w:lvl>
    <w:lvl w:ilvl="4" w:tplc="8794E388">
      <w:numFmt w:val="bullet"/>
      <w:lvlText w:val="•"/>
      <w:lvlJc w:val="left"/>
      <w:pPr>
        <w:ind w:left="1780" w:hanging="360"/>
      </w:pPr>
      <w:rPr>
        <w:rFonts w:hint="default"/>
        <w:lang w:val="en-US" w:eastAsia="en-US" w:bidi="ar-SA"/>
      </w:rPr>
    </w:lvl>
    <w:lvl w:ilvl="5" w:tplc="866A09EC">
      <w:numFmt w:val="bullet"/>
      <w:lvlText w:val="•"/>
      <w:lvlJc w:val="left"/>
      <w:pPr>
        <w:ind w:left="2016" w:hanging="360"/>
      </w:pPr>
      <w:rPr>
        <w:rFonts w:hint="default"/>
        <w:lang w:val="en-US" w:eastAsia="en-US" w:bidi="ar-SA"/>
      </w:rPr>
    </w:lvl>
    <w:lvl w:ilvl="6" w:tplc="F752C13E">
      <w:numFmt w:val="bullet"/>
      <w:lvlText w:val="•"/>
      <w:lvlJc w:val="left"/>
      <w:pPr>
        <w:ind w:left="2251" w:hanging="360"/>
      </w:pPr>
      <w:rPr>
        <w:rFonts w:hint="default"/>
        <w:lang w:val="en-US" w:eastAsia="en-US" w:bidi="ar-SA"/>
      </w:rPr>
    </w:lvl>
    <w:lvl w:ilvl="7" w:tplc="07A20ACA">
      <w:numFmt w:val="bullet"/>
      <w:lvlText w:val="•"/>
      <w:lvlJc w:val="left"/>
      <w:pPr>
        <w:ind w:left="2486" w:hanging="360"/>
      </w:pPr>
      <w:rPr>
        <w:rFonts w:hint="default"/>
        <w:lang w:val="en-US" w:eastAsia="en-US" w:bidi="ar-SA"/>
      </w:rPr>
    </w:lvl>
    <w:lvl w:ilvl="8" w:tplc="58727378">
      <w:numFmt w:val="bullet"/>
      <w:lvlText w:val="•"/>
      <w:lvlJc w:val="left"/>
      <w:pPr>
        <w:ind w:left="2721" w:hanging="360"/>
      </w:pPr>
      <w:rPr>
        <w:rFonts w:hint="default"/>
        <w:lang w:val="en-US" w:eastAsia="en-US" w:bidi="ar-SA"/>
      </w:rPr>
    </w:lvl>
  </w:abstractNum>
  <w:abstractNum w:abstractNumId="11" w15:restartNumberingAfterBreak="0">
    <w:nsid w:val="137E00BE"/>
    <w:multiLevelType w:val="hybridMultilevel"/>
    <w:tmpl w:val="2A60F93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C85B15"/>
    <w:multiLevelType w:val="hybridMultilevel"/>
    <w:tmpl w:val="E626033E"/>
    <w:lvl w:ilvl="0" w:tplc="D622574E">
      <w:numFmt w:val="bullet"/>
      <w:lvlText w:val=""/>
      <w:lvlJc w:val="left"/>
      <w:pPr>
        <w:ind w:left="830" w:hanging="360"/>
      </w:pPr>
      <w:rPr>
        <w:rFonts w:ascii="Symbol" w:eastAsia="Symbol" w:hAnsi="Symbol" w:cs="Symbol" w:hint="default"/>
        <w:b w:val="0"/>
        <w:bCs w:val="0"/>
        <w:i w:val="0"/>
        <w:iCs w:val="0"/>
        <w:color w:val="91A9A2"/>
        <w:spacing w:val="0"/>
        <w:w w:val="101"/>
        <w:sz w:val="18"/>
        <w:szCs w:val="18"/>
        <w:lang w:val="en-US" w:eastAsia="en-US" w:bidi="ar-SA"/>
      </w:rPr>
    </w:lvl>
    <w:lvl w:ilvl="1" w:tplc="A7108DE6">
      <w:numFmt w:val="bullet"/>
      <w:lvlText w:val="•"/>
      <w:lvlJc w:val="left"/>
      <w:pPr>
        <w:ind w:left="1101" w:hanging="360"/>
      </w:pPr>
      <w:rPr>
        <w:rFonts w:hint="default"/>
        <w:lang w:val="en-US" w:eastAsia="en-US" w:bidi="ar-SA"/>
      </w:rPr>
    </w:lvl>
    <w:lvl w:ilvl="2" w:tplc="4FF28B0E">
      <w:numFmt w:val="bullet"/>
      <w:lvlText w:val="•"/>
      <w:lvlJc w:val="left"/>
      <w:pPr>
        <w:ind w:left="1363" w:hanging="360"/>
      </w:pPr>
      <w:rPr>
        <w:rFonts w:hint="default"/>
        <w:lang w:val="en-US" w:eastAsia="en-US" w:bidi="ar-SA"/>
      </w:rPr>
    </w:lvl>
    <w:lvl w:ilvl="3" w:tplc="0860B0C8">
      <w:numFmt w:val="bullet"/>
      <w:lvlText w:val="•"/>
      <w:lvlJc w:val="left"/>
      <w:pPr>
        <w:ind w:left="1625" w:hanging="360"/>
      </w:pPr>
      <w:rPr>
        <w:rFonts w:hint="default"/>
        <w:lang w:val="en-US" w:eastAsia="en-US" w:bidi="ar-SA"/>
      </w:rPr>
    </w:lvl>
    <w:lvl w:ilvl="4" w:tplc="978691A0">
      <w:numFmt w:val="bullet"/>
      <w:lvlText w:val="•"/>
      <w:lvlJc w:val="left"/>
      <w:pPr>
        <w:ind w:left="1886" w:hanging="360"/>
      </w:pPr>
      <w:rPr>
        <w:rFonts w:hint="default"/>
        <w:lang w:val="en-US" w:eastAsia="en-US" w:bidi="ar-SA"/>
      </w:rPr>
    </w:lvl>
    <w:lvl w:ilvl="5" w:tplc="16DC4330">
      <w:numFmt w:val="bullet"/>
      <w:lvlText w:val="•"/>
      <w:lvlJc w:val="left"/>
      <w:pPr>
        <w:ind w:left="2148" w:hanging="360"/>
      </w:pPr>
      <w:rPr>
        <w:rFonts w:hint="default"/>
        <w:lang w:val="en-US" w:eastAsia="en-US" w:bidi="ar-SA"/>
      </w:rPr>
    </w:lvl>
    <w:lvl w:ilvl="6" w:tplc="18A005C6">
      <w:numFmt w:val="bullet"/>
      <w:lvlText w:val="•"/>
      <w:lvlJc w:val="left"/>
      <w:pPr>
        <w:ind w:left="2410" w:hanging="360"/>
      </w:pPr>
      <w:rPr>
        <w:rFonts w:hint="default"/>
        <w:lang w:val="en-US" w:eastAsia="en-US" w:bidi="ar-SA"/>
      </w:rPr>
    </w:lvl>
    <w:lvl w:ilvl="7" w:tplc="FF725298">
      <w:numFmt w:val="bullet"/>
      <w:lvlText w:val="•"/>
      <w:lvlJc w:val="left"/>
      <w:pPr>
        <w:ind w:left="2671" w:hanging="360"/>
      </w:pPr>
      <w:rPr>
        <w:rFonts w:hint="default"/>
        <w:lang w:val="en-US" w:eastAsia="en-US" w:bidi="ar-SA"/>
      </w:rPr>
    </w:lvl>
    <w:lvl w:ilvl="8" w:tplc="F948E4CC">
      <w:numFmt w:val="bullet"/>
      <w:lvlText w:val="•"/>
      <w:lvlJc w:val="left"/>
      <w:pPr>
        <w:ind w:left="2933" w:hanging="360"/>
      </w:pPr>
      <w:rPr>
        <w:rFonts w:hint="default"/>
        <w:lang w:val="en-US" w:eastAsia="en-US" w:bidi="ar-SA"/>
      </w:rPr>
    </w:lvl>
  </w:abstractNum>
  <w:abstractNum w:abstractNumId="13" w15:restartNumberingAfterBreak="0">
    <w:nsid w:val="172B7137"/>
    <w:multiLevelType w:val="hybridMultilevel"/>
    <w:tmpl w:val="336E5088"/>
    <w:lvl w:ilvl="0" w:tplc="02E21494">
      <w:numFmt w:val="bullet"/>
      <w:lvlText w:val=""/>
      <w:lvlJc w:val="left"/>
      <w:pPr>
        <w:ind w:left="465" w:hanging="360"/>
      </w:pPr>
      <w:rPr>
        <w:rFonts w:ascii="Symbol" w:eastAsia="Symbol" w:hAnsi="Symbol" w:cs="Symbol" w:hint="default"/>
        <w:b w:val="0"/>
        <w:bCs w:val="0"/>
        <w:i w:val="0"/>
        <w:iCs w:val="0"/>
        <w:color w:val="91A9A2"/>
        <w:spacing w:val="0"/>
        <w:w w:val="100"/>
        <w:sz w:val="20"/>
        <w:szCs w:val="20"/>
        <w:lang w:val="en-US" w:eastAsia="en-US" w:bidi="ar-SA"/>
      </w:rPr>
    </w:lvl>
    <w:lvl w:ilvl="1" w:tplc="DAC2FD28">
      <w:numFmt w:val="bullet"/>
      <w:lvlText w:val="•"/>
      <w:lvlJc w:val="left"/>
      <w:pPr>
        <w:ind w:left="681" w:hanging="360"/>
      </w:pPr>
      <w:rPr>
        <w:rFonts w:hint="default"/>
        <w:lang w:val="en-US" w:eastAsia="en-US" w:bidi="ar-SA"/>
      </w:rPr>
    </w:lvl>
    <w:lvl w:ilvl="2" w:tplc="7A98B2F4">
      <w:numFmt w:val="bullet"/>
      <w:lvlText w:val="•"/>
      <w:lvlJc w:val="left"/>
      <w:pPr>
        <w:ind w:left="903" w:hanging="360"/>
      </w:pPr>
      <w:rPr>
        <w:rFonts w:hint="default"/>
        <w:lang w:val="en-US" w:eastAsia="en-US" w:bidi="ar-SA"/>
      </w:rPr>
    </w:lvl>
    <w:lvl w:ilvl="3" w:tplc="E41487F2">
      <w:numFmt w:val="bullet"/>
      <w:lvlText w:val="•"/>
      <w:lvlJc w:val="left"/>
      <w:pPr>
        <w:ind w:left="1125" w:hanging="360"/>
      </w:pPr>
      <w:rPr>
        <w:rFonts w:hint="default"/>
        <w:lang w:val="en-US" w:eastAsia="en-US" w:bidi="ar-SA"/>
      </w:rPr>
    </w:lvl>
    <w:lvl w:ilvl="4" w:tplc="C032F71C">
      <w:numFmt w:val="bullet"/>
      <w:lvlText w:val="•"/>
      <w:lvlJc w:val="left"/>
      <w:pPr>
        <w:ind w:left="1347" w:hanging="360"/>
      </w:pPr>
      <w:rPr>
        <w:rFonts w:hint="default"/>
        <w:lang w:val="en-US" w:eastAsia="en-US" w:bidi="ar-SA"/>
      </w:rPr>
    </w:lvl>
    <w:lvl w:ilvl="5" w:tplc="A9E64B68">
      <w:numFmt w:val="bullet"/>
      <w:lvlText w:val="•"/>
      <w:lvlJc w:val="left"/>
      <w:pPr>
        <w:ind w:left="1569" w:hanging="360"/>
      </w:pPr>
      <w:rPr>
        <w:rFonts w:hint="default"/>
        <w:lang w:val="en-US" w:eastAsia="en-US" w:bidi="ar-SA"/>
      </w:rPr>
    </w:lvl>
    <w:lvl w:ilvl="6" w:tplc="69A41CCE">
      <w:numFmt w:val="bullet"/>
      <w:lvlText w:val="•"/>
      <w:lvlJc w:val="left"/>
      <w:pPr>
        <w:ind w:left="1791" w:hanging="360"/>
      </w:pPr>
      <w:rPr>
        <w:rFonts w:hint="default"/>
        <w:lang w:val="en-US" w:eastAsia="en-US" w:bidi="ar-SA"/>
      </w:rPr>
    </w:lvl>
    <w:lvl w:ilvl="7" w:tplc="5C0499B4">
      <w:numFmt w:val="bullet"/>
      <w:lvlText w:val="•"/>
      <w:lvlJc w:val="left"/>
      <w:pPr>
        <w:ind w:left="2013" w:hanging="360"/>
      </w:pPr>
      <w:rPr>
        <w:rFonts w:hint="default"/>
        <w:lang w:val="en-US" w:eastAsia="en-US" w:bidi="ar-SA"/>
      </w:rPr>
    </w:lvl>
    <w:lvl w:ilvl="8" w:tplc="29C4A97C">
      <w:numFmt w:val="bullet"/>
      <w:lvlText w:val="•"/>
      <w:lvlJc w:val="left"/>
      <w:pPr>
        <w:ind w:left="2235" w:hanging="360"/>
      </w:pPr>
      <w:rPr>
        <w:rFonts w:hint="default"/>
        <w:lang w:val="en-US" w:eastAsia="en-US" w:bidi="ar-SA"/>
      </w:rPr>
    </w:lvl>
  </w:abstractNum>
  <w:abstractNum w:abstractNumId="14" w15:restartNumberingAfterBreak="0">
    <w:nsid w:val="19A03C78"/>
    <w:multiLevelType w:val="hybridMultilevel"/>
    <w:tmpl w:val="27A68972"/>
    <w:lvl w:ilvl="0" w:tplc="6D6EAA8E">
      <w:numFmt w:val="bullet"/>
      <w:lvlText w:val=""/>
      <w:lvlJc w:val="left"/>
      <w:pPr>
        <w:ind w:left="1190" w:hanging="360"/>
      </w:pPr>
      <w:rPr>
        <w:rFonts w:ascii="Symbol" w:eastAsia="Symbol" w:hAnsi="Symbol" w:cs="Symbol" w:hint="default"/>
        <w:b w:val="0"/>
        <w:bCs w:val="0"/>
        <w:i w:val="0"/>
        <w:iCs w:val="0"/>
        <w:color w:val="91A9A2"/>
        <w:spacing w:val="0"/>
        <w:w w:val="100"/>
        <w:sz w:val="21"/>
        <w:szCs w:val="21"/>
        <w:lang w:val="en-US" w:eastAsia="en-US" w:bidi="ar-SA"/>
      </w:rPr>
    </w:lvl>
    <w:lvl w:ilvl="1" w:tplc="AF1A0610">
      <w:numFmt w:val="bullet"/>
      <w:lvlText w:val="•"/>
      <w:lvlJc w:val="left"/>
      <w:pPr>
        <w:ind w:left="1906" w:hanging="360"/>
      </w:pPr>
      <w:rPr>
        <w:rFonts w:hint="default"/>
        <w:lang w:val="en-US" w:eastAsia="en-US" w:bidi="ar-SA"/>
      </w:rPr>
    </w:lvl>
    <w:lvl w:ilvl="2" w:tplc="DB2A7044">
      <w:numFmt w:val="bullet"/>
      <w:lvlText w:val="•"/>
      <w:lvlJc w:val="left"/>
      <w:pPr>
        <w:ind w:left="2613" w:hanging="360"/>
      </w:pPr>
      <w:rPr>
        <w:rFonts w:hint="default"/>
        <w:lang w:val="en-US" w:eastAsia="en-US" w:bidi="ar-SA"/>
      </w:rPr>
    </w:lvl>
    <w:lvl w:ilvl="3" w:tplc="7374930C">
      <w:numFmt w:val="bullet"/>
      <w:lvlText w:val="•"/>
      <w:lvlJc w:val="left"/>
      <w:pPr>
        <w:ind w:left="3320" w:hanging="360"/>
      </w:pPr>
      <w:rPr>
        <w:rFonts w:hint="default"/>
        <w:lang w:val="en-US" w:eastAsia="en-US" w:bidi="ar-SA"/>
      </w:rPr>
    </w:lvl>
    <w:lvl w:ilvl="4" w:tplc="AC1EB09A">
      <w:numFmt w:val="bullet"/>
      <w:lvlText w:val="•"/>
      <w:lvlJc w:val="left"/>
      <w:pPr>
        <w:ind w:left="4027" w:hanging="360"/>
      </w:pPr>
      <w:rPr>
        <w:rFonts w:hint="default"/>
        <w:lang w:val="en-US" w:eastAsia="en-US" w:bidi="ar-SA"/>
      </w:rPr>
    </w:lvl>
    <w:lvl w:ilvl="5" w:tplc="9DCC22B6">
      <w:numFmt w:val="bullet"/>
      <w:lvlText w:val="•"/>
      <w:lvlJc w:val="left"/>
      <w:pPr>
        <w:ind w:left="4734" w:hanging="360"/>
      </w:pPr>
      <w:rPr>
        <w:rFonts w:hint="default"/>
        <w:lang w:val="en-US" w:eastAsia="en-US" w:bidi="ar-SA"/>
      </w:rPr>
    </w:lvl>
    <w:lvl w:ilvl="6" w:tplc="116251E6">
      <w:numFmt w:val="bullet"/>
      <w:lvlText w:val="•"/>
      <w:lvlJc w:val="left"/>
      <w:pPr>
        <w:ind w:left="5441" w:hanging="360"/>
      </w:pPr>
      <w:rPr>
        <w:rFonts w:hint="default"/>
        <w:lang w:val="en-US" w:eastAsia="en-US" w:bidi="ar-SA"/>
      </w:rPr>
    </w:lvl>
    <w:lvl w:ilvl="7" w:tplc="3F60CF42">
      <w:numFmt w:val="bullet"/>
      <w:lvlText w:val="•"/>
      <w:lvlJc w:val="left"/>
      <w:pPr>
        <w:ind w:left="6148" w:hanging="360"/>
      </w:pPr>
      <w:rPr>
        <w:rFonts w:hint="default"/>
        <w:lang w:val="en-US" w:eastAsia="en-US" w:bidi="ar-SA"/>
      </w:rPr>
    </w:lvl>
    <w:lvl w:ilvl="8" w:tplc="C4DA8342">
      <w:numFmt w:val="bullet"/>
      <w:lvlText w:val="•"/>
      <w:lvlJc w:val="left"/>
      <w:pPr>
        <w:ind w:left="6855" w:hanging="360"/>
      </w:pPr>
      <w:rPr>
        <w:rFonts w:hint="default"/>
        <w:lang w:val="en-US" w:eastAsia="en-US" w:bidi="ar-SA"/>
      </w:rPr>
    </w:lvl>
  </w:abstractNum>
  <w:abstractNum w:abstractNumId="15" w15:restartNumberingAfterBreak="0">
    <w:nsid w:val="1A7107F6"/>
    <w:multiLevelType w:val="hybridMultilevel"/>
    <w:tmpl w:val="43323BD8"/>
    <w:lvl w:ilvl="0" w:tplc="32008C8E">
      <w:start w:val="1"/>
      <w:numFmt w:val="upperLetter"/>
      <w:lvlText w:val="%1."/>
      <w:lvlJc w:val="left"/>
      <w:pPr>
        <w:ind w:left="758" w:hanging="221"/>
      </w:pPr>
      <w:rPr>
        <w:rFonts w:ascii="Calibri" w:eastAsia="Calibri" w:hAnsi="Calibri" w:cs="Calibri" w:hint="default"/>
        <w:b w:val="0"/>
        <w:bCs w:val="0"/>
        <w:i w:val="0"/>
        <w:iCs w:val="0"/>
        <w:spacing w:val="-2"/>
        <w:w w:val="94"/>
        <w:sz w:val="20"/>
        <w:szCs w:val="20"/>
        <w:lang w:val="en-US" w:eastAsia="en-US" w:bidi="ar-SA"/>
      </w:rPr>
    </w:lvl>
    <w:lvl w:ilvl="1" w:tplc="9E8CEF36">
      <w:numFmt w:val="bullet"/>
      <w:lvlText w:val="•"/>
      <w:lvlJc w:val="left"/>
      <w:pPr>
        <w:ind w:left="1728" w:hanging="221"/>
      </w:pPr>
      <w:rPr>
        <w:rFonts w:hint="default"/>
        <w:lang w:val="en-US" w:eastAsia="en-US" w:bidi="ar-SA"/>
      </w:rPr>
    </w:lvl>
    <w:lvl w:ilvl="2" w:tplc="86BC6E5C">
      <w:numFmt w:val="bullet"/>
      <w:lvlText w:val="•"/>
      <w:lvlJc w:val="left"/>
      <w:pPr>
        <w:ind w:left="2696" w:hanging="221"/>
      </w:pPr>
      <w:rPr>
        <w:rFonts w:hint="default"/>
        <w:lang w:val="en-US" w:eastAsia="en-US" w:bidi="ar-SA"/>
      </w:rPr>
    </w:lvl>
    <w:lvl w:ilvl="3" w:tplc="34FC3512">
      <w:numFmt w:val="bullet"/>
      <w:lvlText w:val="•"/>
      <w:lvlJc w:val="left"/>
      <w:pPr>
        <w:ind w:left="3665" w:hanging="221"/>
      </w:pPr>
      <w:rPr>
        <w:rFonts w:hint="default"/>
        <w:lang w:val="en-US" w:eastAsia="en-US" w:bidi="ar-SA"/>
      </w:rPr>
    </w:lvl>
    <w:lvl w:ilvl="4" w:tplc="50DC91DE">
      <w:numFmt w:val="bullet"/>
      <w:lvlText w:val="•"/>
      <w:lvlJc w:val="left"/>
      <w:pPr>
        <w:ind w:left="4633" w:hanging="221"/>
      </w:pPr>
      <w:rPr>
        <w:rFonts w:hint="default"/>
        <w:lang w:val="en-US" w:eastAsia="en-US" w:bidi="ar-SA"/>
      </w:rPr>
    </w:lvl>
    <w:lvl w:ilvl="5" w:tplc="7C880912">
      <w:numFmt w:val="bullet"/>
      <w:lvlText w:val="•"/>
      <w:lvlJc w:val="left"/>
      <w:pPr>
        <w:ind w:left="5602" w:hanging="221"/>
      </w:pPr>
      <w:rPr>
        <w:rFonts w:hint="default"/>
        <w:lang w:val="en-US" w:eastAsia="en-US" w:bidi="ar-SA"/>
      </w:rPr>
    </w:lvl>
    <w:lvl w:ilvl="6" w:tplc="5050748C">
      <w:numFmt w:val="bullet"/>
      <w:lvlText w:val="•"/>
      <w:lvlJc w:val="left"/>
      <w:pPr>
        <w:ind w:left="6570" w:hanging="221"/>
      </w:pPr>
      <w:rPr>
        <w:rFonts w:hint="default"/>
        <w:lang w:val="en-US" w:eastAsia="en-US" w:bidi="ar-SA"/>
      </w:rPr>
    </w:lvl>
    <w:lvl w:ilvl="7" w:tplc="9ABE163E">
      <w:numFmt w:val="bullet"/>
      <w:lvlText w:val="•"/>
      <w:lvlJc w:val="left"/>
      <w:pPr>
        <w:ind w:left="7538" w:hanging="221"/>
      </w:pPr>
      <w:rPr>
        <w:rFonts w:hint="default"/>
        <w:lang w:val="en-US" w:eastAsia="en-US" w:bidi="ar-SA"/>
      </w:rPr>
    </w:lvl>
    <w:lvl w:ilvl="8" w:tplc="A5FA1744">
      <w:numFmt w:val="bullet"/>
      <w:lvlText w:val="•"/>
      <w:lvlJc w:val="left"/>
      <w:pPr>
        <w:ind w:left="8507" w:hanging="221"/>
      </w:pPr>
      <w:rPr>
        <w:rFonts w:hint="default"/>
        <w:lang w:val="en-US" w:eastAsia="en-US" w:bidi="ar-SA"/>
      </w:rPr>
    </w:lvl>
  </w:abstractNum>
  <w:abstractNum w:abstractNumId="16" w15:restartNumberingAfterBreak="0">
    <w:nsid w:val="1B471C09"/>
    <w:multiLevelType w:val="hybridMultilevel"/>
    <w:tmpl w:val="8724DEA0"/>
    <w:lvl w:ilvl="0" w:tplc="63181C56">
      <w:numFmt w:val="bullet"/>
      <w:lvlText w:val=""/>
      <w:lvlJc w:val="left"/>
      <w:pPr>
        <w:ind w:left="1228" w:hanging="361"/>
      </w:pPr>
      <w:rPr>
        <w:rFonts w:ascii="Symbol" w:eastAsia="Symbol" w:hAnsi="Symbol" w:cs="Symbol" w:hint="default"/>
        <w:b w:val="0"/>
        <w:bCs w:val="0"/>
        <w:i w:val="0"/>
        <w:iCs w:val="0"/>
        <w:color w:val="91A9A2"/>
        <w:spacing w:val="0"/>
        <w:w w:val="100"/>
        <w:sz w:val="20"/>
        <w:szCs w:val="20"/>
        <w:lang w:val="en-US" w:eastAsia="en-US" w:bidi="ar-SA"/>
      </w:rPr>
    </w:lvl>
    <w:lvl w:ilvl="1" w:tplc="8822FE6C">
      <w:numFmt w:val="bullet"/>
      <w:lvlText w:val="•"/>
      <w:lvlJc w:val="left"/>
      <w:pPr>
        <w:ind w:left="2142" w:hanging="361"/>
      </w:pPr>
      <w:rPr>
        <w:rFonts w:hint="default"/>
        <w:lang w:val="en-US" w:eastAsia="en-US" w:bidi="ar-SA"/>
      </w:rPr>
    </w:lvl>
    <w:lvl w:ilvl="2" w:tplc="24ECBBB0">
      <w:numFmt w:val="bullet"/>
      <w:lvlText w:val="•"/>
      <w:lvlJc w:val="left"/>
      <w:pPr>
        <w:ind w:left="3064" w:hanging="361"/>
      </w:pPr>
      <w:rPr>
        <w:rFonts w:hint="default"/>
        <w:lang w:val="en-US" w:eastAsia="en-US" w:bidi="ar-SA"/>
      </w:rPr>
    </w:lvl>
    <w:lvl w:ilvl="3" w:tplc="EE9A31E4">
      <w:numFmt w:val="bullet"/>
      <w:lvlText w:val="•"/>
      <w:lvlJc w:val="left"/>
      <w:pPr>
        <w:ind w:left="3987" w:hanging="361"/>
      </w:pPr>
      <w:rPr>
        <w:rFonts w:hint="default"/>
        <w:lang w:val="en-US" w:eastAsia="en-US" w:bidi="ar-SA"/>
      </w:rPr>
    </w:lvl>
    <w:lvl w:ilvl="4" w:tplc="7CCC3E7A">
      <w:numFmt w:val="bullet"/>
      <w:lvlText w:val="•"/>
      <w:lvlJc w:val="left"/>
      <w:pPr>
        <w:ind w:left="4909" w:hanging="361"/>
      </w:pPr>
      <w:rPr>
        <w:rFonts w:hint="default"/>
        <w:lang w:val="en-US" w:eastAsia="en-US" w:bidi="ar-SA"/>
      </w:rPr>
    </w:lvl>
    <w:lvl w:ilvl="5" w:tplc="2E9690DC">
      <w:numFmt w:val="bullet"/>
      <w:lvlText w:val="•"/>
      <w:lvlJc w:val="left"/>
      <w:pPr>
        <w:ind w:left="5832" w:hanging="361"/>
      </w:pPr>
      <w:rPr>
        <w:rFonts w:hint="default"/>
        <w:lang w:val="en-US" w:eastAsia="en-US" w:bidi="ar-SA"/>
      </w:rPr>
    </w:lvl>
    <w:lvl w:ilvl="6" w:tplc="EE6E7A7E">
      <w:numFmt w:val="bullet"/>
      <w:lvlText w:val="•"/>
      <w:lvlJc w:val="left"/>
      <w:pPr>
        <w:ind w:left="6754" w:hanging="361"/>
      </w:pPr>
      <w:rPr>
        <w:rFonts w:hint="default"/>
        <w:lang w:val="en-US" w:eastAsia="en-US" w:bidi="ar-SA"/>
      </w:rPr>
    </w:lvl>
    <w:lvl w:ilvl="7" w:tplc="ADFC441E">
      <w:numFmt w:val="bullet"/>
      <w:lvlText w:val="•"/>
      <w:lvlJc w:val="left"/>
      <w:pPr>
        <w:ind w:left="7676" w:hanging="361"/>
      </w:pPr>
      <w:rPr>
        <w:rFonts w:hint="default"/>
        <w:lang w:val="en-US" w:eastAsia="en-US" w:bidi="ar-SA"/>
      </w:rPr>
    </w:lvl>
    <w:lvl w:ilvl="8" w:tplc="828EF596">
      <w:numFmt w:val="bullet"/>
      <w:lvlText w:val="•"/>
      <w:lvlJc w:val="left"/>
      <w:pPr>
        <w:ind w:left="8599" w:hanging="361"/>
      </w:pPr>
      <w:rPr>
        <w:rFonts w:hint="default"/>
        <w:lang w:val="en-US" w:eastAsia="en-US" w:bidi="ar-SA"/>
      </w:rPr>
    </w:lvl>
  </w:abstractNum>
  <w:abstractNum w:abstractNumId="17" w15:restartNumberingAfterBreak="0">
    <w:nsid w:val="1B5F3AB1"/>
    <w:multiLevelType w:val="hybridMultilevel"/>
    <w:tmpl w:val="9F783A46"/>
    <w:lvl w:ilvl="0" w:tplc="FC6E8DBC">
      <w:numFmt w:val="bullet"/>
      <w:lvlText w:val=""/>
      <w:lvlJc w:val="left"/>
      <w:pPr>
        <w:ind w:left="821" w:hanging="360"/>
      </w:pPr>
      <w:rPr>
        <w:rFonts w:ascii="Symbol" w:eastAsia="Symbol" w:hAnsi="Symbol" w:cs="Symbol" w:hint="default"/>
        <w:b w:val="0"/>
        <w:bCs w:val="0"/>
        <w:i w:val="0"/>
        <w:iCs w:val="0"/>
        <w:spacing w:val="0"/>
        <w:w w:val="101"/>
        <w:sz w:val="18"/>
        <w:szCs w:val="18"/>
        <w:lang w:val="en-US" w:eastAsia="en-US" w:bidi="ar-SA"/>
      </w:rPr>
    </w:lvl>
    <w:lvl w:ilvl="1" w:tplc="D50A9C54">
      <w:numFmt w:val="bullet"/>
      <w:lvlText w:val="•"/>
      <w:lvlJc w:val="left"/>
      <w:pPr>
        <w:ind w:left="1002" w:hanging="360"/>
      </w:pPr>
      <w:rPr>
        <w:rFonts w:hint="default"/>
        <w:lang w:val="en-US" w:eastAsia="en-US" w:bidi="ar-SA"/>
      </w:rPr>
    </w:lvl>
    <w:lvl w:ilvl="2" w:tplc="D5C0D958">
      <w:numFmt w:val="bullet"/>
      <w:lvlText w:val="•"/>
      <w:lvlJc w:val="left"/>
      <w:pPr>
        <w:ind w:left="1185" w:hanging="360"/>
      </w:pPr>
      <w:rPr>
        <w:rFonts w:hint="default"/>
        <w:lang w:val="en-US" w:eastAsia="en-US" w:bidi="ar-SA"/>
      </w:rPr>
    </w:lvl>
    <w:lvl w:ilvl="3" w:tplc="85A69380">
      <w:numFmt w:val="bullet"/>
      <w:lvlText w:val="•"/>
      <w:lvlJc w:val="left"/>
      <w:pPr>
        <w:ind w:left="1368" w:hanging="360"/>
      </w:pPr>
      <w:rPr>
        <w:rFonts w:hint="default"/>
        <w:lang w:val="en-US" w:eastAsia="en-US" w:bidi="ar-SA"/>
      </w:rPr>
    </w:lvl>
    <w:lvl w:ilvl="4" w:tplc="06AA18AC">
      <w:numFmt w:val="bullet"/>
      <w:lvlText w:val="•"/>
      <w:lvlJc w:val="left"/>
      <w:pPr>
        <w:ind w:left="1550" w:hanging="360"/>
      </w:pPr>
      <w:rPr>
        <w:rFonts w:hint="default"/>
        <w:lang w:val="en-US" w:eastAsia="en-US" w:bidi="ar-SA"/>
      </w:rPr>
    </w:lvl>
    <w:lvl w:ilvl="5" w:tplc="D284B334">
      <w:numFmt w:val="bullet"/>
      <w:lvlText w:val="•"/>
      <w:lvlJc w:val="left"/>
      <w:pPr>
        <w:ind w:left="1733" w:hanging="360"/>
      </w:pPr>
      <w:rPr>
        <w:rFonts w:hint="default"/>
        <w:lang w:val="en-US" w:eastAsia="en-US" w:bidi="ar-SA"/>
      </w:rPr>
    </w:lvl>
    <w:lvl w:ilvl="6" w:tplc="6AE8BE80">
      <w:numFmt w:val="bullet"/>
      <w:lvlText w:val="•"/>
      <w:lvlJc w:val="left"/>
      <w:pPr>
        <w:ind w:left="1916" w:hanging="360"/>
      </w:pPr>
      <w:rPr>
        <w:rFonts w:hint="default"/>
        <w:lang w:val="en-US" w:eastAsia="en-US" w:bidi="ar-SA"/>
      </w:rPr>
    </w:lvl>
    <w:lvl w:ilvl="7" w:tplc="D7D22DB2">
      <w:numFmt w:val="bullet"/>
      <w:lvlText w:val="•"/>
      <w:lvlJc w:val="left"/>
      <w:pPr>
        <w:ind w:left="2098" w:hanging="360"/>
      </w:pPr>
      <w:rPr>
        <w:rFonts w:hint="default"/>
        <w:lang w:val="en-US" w:eastAsia="en-US" w:bidi="ar-SA"/>
      </w:rPr>
    </w:lvl>
    <w:lvl w:ilvl="8" w:tplc="7A6E5C40">
      <w:numFmt w:val="bullet"/>
      <w:lvlText w:val="•"/>
      <w:lvlJc w:val="left"/>
      <w:pPr>
        <w:ind w:left="2281" w:hanging="360"/>
      </w:pPr>
      <w:rPr>
        <w:rFonts w:hint="default"/>
        <w:lang w:val="en-US" w:eastAsia="en-US" w:bidi="ar-SA"/>
      </w:rPr>
    </w:lvl>
  </w:abstractNum>
  <w:abstractNum w:abstractNumId="18" w15:restartNumberingAfterBreak="0">
    <w:nsid w:val="1C064CB4"/>
    <w:multiLevelType w:val="hybridMultilevel"/>
    <w:tmpl w:val="B526F576"/>
    <w:lvl w:ilvl="0" w:tplc="36EA3C78">
      <w:start w:val="1"/>
      <w:numFmt w:val="decimal"/>
      <w:lvlText w:val="%1"/>
      <w:lvlJc w:val="left"/>
      <w:pPr>
        <w:ind w:left="1910" w:hanging="240"/>
      </w:pPr>
      <w:rPr>
        <w:rFonts w:ascii="Times New Roman" w:eastAsia="Times New Roman" w:hAnsi="Times New Roman" w:cs="Times New Roman" w:hint="default"/>
        <w:b/>
        <w:bCs/>
        <w:i w:val="0"/>
        <w:iCs w:val="0"/>
        <w:spacing w:val="0"/>
        <w:w w:val="100"/>
        <w:sz w:val="24"/>
        <w:szCs w:val="24"/>
        <w:lang w:val="en-US" w:eastAsia="en-US" w:bidi="ar-SA"/>
      </w:rPr>
    </w:lvl>
    <w:lvl w:ilvl="1" w:tplc="52E20D86">
      <w:start w:val="1"/>
      <w:numFmt w:val="decimal"/>
      <w:lvlText w:val="(%2)"/>
      <w:lvlJc w:val="left"/>
      <w:pPr>
        <w:ind w:left="2803" w:hanging="371"/>
      </w:pPr>
      <w:rPr>
        <w:rFonts w:ascii="Times New Roman" w:eastAsia="Times New Roman" w:hAnsi="Times New Roman" w:cs="Times New Roman" w:hint="default"/>
        <w:b w:val="0"/>
        <w:bCs w:val="0"/>
        <w:i w:val="0"/>
        <w:iCs w:val="0"/>
        <w:spacing w:val="0"/>
        <w:w w:val="100"/>
        <w:sz w:val="22"/>
        <w:szCs w:val="22"/>
        <w:lang w:val="en-US" w:eastAsia="en-US" w:bidi="ar-SA"/>
      </w:rPr>
    </w:lvl>
    <w:lvl w:ilvl="2" w:tplc="4A6434B6">
      <w:start w:val="1"/>
      <w:numFmt w:val="lowerLetter"/>
      <w:lvlText w:val="(%3)"/>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3" w:tplc="9724C7DA">
      <w:start w:val="1"/>
      <w:numFmt w:val="lowerRoman"/>
      <w:lvlText w:val="(%4)"/>
      <w:lvlJc w:val="left"/>
      <w:pPr>
        <w:ind w:left="3768" w:hanging="322"/>
      </w:pPr>
      <w:rPr>
        <w:rFonts w:ascii="Times New Roman" w:eastAsia="Times New Roman" w:hAnsi="Times New Roman" w:cs="Times New Roman" w:hint="default"/>
        <w:b w:val="0"/>
        <w:bCs w:val="0"/>
        <w:i w:val="0"/>
        <w:iCs w:val="0"/>
        <w:spacing w:val="0"/>
        <w:w w:val="100"/>
        <w:sz w:val="22"/>
        <w:szCs w:val="22"/>
        <w:lang w:val="en-US" w:eastAsia="en-US" w:bidi="ar-SA"/>
      </w:rPr>
    </w:lvl>
    <w:lvl w:ilvl="4" w:tplc="84C887D0">
      <w:numFmt w:val="bullet"/>
      <w:lvlText w:val="•"/>
      <w:lvlJc w:val="left"/>
      <w:pPr>
        <w:ind w:left="4714" w:hanging="322"/>
      </w:pPr>
      <w:rPr>
        <w:rFonts w:hint="default"/>
        <w:lang w:val="en-US" w:eastAsia="en-US" w:bidi="ar-SA"/>
      </w:rPr>
    </w:lvl>
    <w:lvl w:ilvl="5" w:tplc="9A0C3518">
      <w:numFmt w:val="bullet"/>
      <w:lvlText w:val="•"/>
      <w:lvlJc w:val="left"/>
      <w:pPr>
        <w:ind w:left="5669" w:hanging="322"/>
      </w:pPr>
      <w:rPr>
        <w:rFonts w:hint="default"/>
        <w:lang w:val="en-US" w:eastAsia="en-US" w:bidi="ar-SA"/>
      </w:rPr>
    </w:lvl>
    <w:lvl w:ilvl="6" w:tplc="346C6680">
      <w:numFmt w:val="bullet"/>
      <w:lvlText w:val="•"/>
      <w:lvlJc w:val="left"/>
      <w:pPr>
        <w:ind w:left="6624" w:hanging="322"/>
      </w:pPr>
      <w:rPr>
        <w:rFonts w:hint="default"/>
        <w:lang w:val="en-US" w:eastAsia="en-US" w:bidi="ar-SA"/>
      </w:rPr>
    </w:lvl>
    <w:lvl w:ilvl="7" w:tplc="C2AA83B6">
      <w:numFmt w:val="bullet"/>
      <w:lvlText w:val="•"/>
      <w:lvlJc w:val="left"/>
      <w:pPr>
        <w:ind w:left="7579" w:hanging="322"/>
      </w:pPr>
      <w:rPr>
        <w:rFonts w:hint="default"/>
        <w:lang w:val="en-US" w:eastAsia="en-US" w:bidi="ar-SA"/>
      </w:rPr>
    </w:lvl>
    <w:lvl w:ilvl="8" w:tplc="4A3092BC">
      <w:numFmt w:val="bullet"/>
      <w:lvlText w:val="•"/>
      <w:lvlJc w:val="left"/>
      <w:pPr>
        <w:ind w:left="8534" w:hanging="322"/>
      </w:pPr>
      <w:rPr>
        <w:rFonts w:hint="default"/>
        <w:lang w:val="en-US" w:eastAsia="en-US" w:bidi="ar-SA"/>
      </w:rPr>
    </w:lvl>
  </w:abstractNum>
  <w:abstractNum w:abstractNumId="19" w15:restartNumberingAfterBreak="0">
    <w:nsid w:val="1DF156AB"/>
    <w:multiLevelType w:val="hybridMultilevel"/>
    <w:tmpl w:val="585079E4"/>
    <w:lvl w:ilvl="0" w:tplc="91749EEA">
      <w:numFmt w:val="bullet"/>
      <w:lvlText w:val=""/>
      <w:lvlJc w:val="left"/>
      <w:pPr>
        <w:ind w:left="1228" w:hanging="361"/>
      </w:pPr>
      <w:rPr>
        <w:rFonts w:ascii="Symbol" w:eastAsia="Symbol" w:hAnsi="Symbol" w:cs="Symbol" w:hint="default"/>
        <w:spacing w:val="0"/>
        <w:w w:val="100"/>
        <w:lang w:val="en-US" w:eastAsia="en-US" w:bidi="ar-SA"/>
      </w:rPr>
    </w:lvl>
    <w:lvl w:ilvl="1" w:tplc="28CC6B88">
      <w:numFmt w:val="bullet"/>
      <w:lvlText w:val="•"/>
      <w:lvlJc w:val="left"/>
      <w:pPr>
        <w:ind w:left="2142" w:hanging="361"/>
      </w:pPr>
      <w:rPr>
        <w:rFonts w:hint="default"/>
        <w:lang w:val="en-US" w:eastAsia="en-US" w:bidi="ar-SA"/>
      </w:rPr>
    </w:lvl>
    <w:lvl w:ilvl="2" w:tplc="CFE87DA2">
      <w:numFmt w:val="bullet"/>
      <w:lvlText w:val="•"/>
      <w:lvlJc w:val="left"/>
      <w:pPr>
        <w:ind w:left="3064" w:hanging="361"/>
      </w:pPr>
      <w:rPr>
        <w:rFonts w:hint="default"/>
        <w:lang w:val="en-US" w:eastAsia="en-US" w:bidi="ar-SA"/>
      </w:rPr>
    </w:lvl>
    <w:lvl w:ilvl="3" w:tplc="3BBCE548">
      <w:numFmt w:val="bullet"/>
      <w:lvlText w:val="•"/>
      <w:lvlJc w:val="left"/>
      <w:pPr>
        <w:ind w:left="3987" w:hanging="361"/>
      </w:pPr>
      <w:rPr>
        <w:rFonts w:hint="default"/>
        <w:lang w:val="en-US" w:eastAsia="en-US" w:bidi="ar-SA"/>
      </w:rPr>
    </w:lvl>
    <w:lvl w:ilvl="4" w:tplc="99BC5F4E">
      <w:numFmt w:val="bullet"/>
      <w:lvlText w:val="•"/>
      <w:lvlJc w:val="left"/>
      <w:pPr>
        <w:ind w:left="4909" w:hanging="361"/>
      </w:pPr>
      <w:rPr>
        <w:rFonts w:hint="default"/>
        <w:lang w:val="en-US" w:eastAsia="en-US" w:bidi="ar-SA"/>
      </w:rPr>
    </w:lvl>
    <w:lvl w:ilvl="5" w:tplc="AFA24D04">
      <w:numFmt w:val="bullet"/>
      <w:lvlText w:val="•"/>
      <w:lvlJc w:val="left"/>
      <w:pPr>
        <w:ind w:left="5832" w:hanging="361"/>
      </w:pPr>
      <w:rPr>
        <w:rFonts w:hint="default"/>
        <w:lang w:val="en-US" w:eastAsia="en-US" w:bidi="ar-SA"/>
      </w:rPr>
    </w:lvl>
    <w:lvl w:ilvl="6" w:tplc="2C004500">
      <w:numFmt w:val="bullet"/>
      <w:lvlText w:val="•"/>
      <w:lvlJc w:val="left"/>
      <w:pPr>
        <w:ind w:left="6754" w:hanging="361"/>
      </w:pPr>
      <w:rPr>
        <w:rFonts w:hint="default"/>
        <w:lang w:val="en-US" w:eastAsia="en-US" w:bidi="ar-SA"/>
      </w:rPr>
    </w:lvl>
    <w:lvl w:ilvl="7" w:tplc="89B688B2">
      <w:numFmt w:val="bullet"/>
      <w:lvlText w:val="•"/>
      <w:lvlJc w:val="left"/>
      <w:pPr>
        <w:ind w:left="7676" w:hanging="361"/>
      </w:pPr>
      <w:rPr>
        <w:rFonts w:hint="default"/>
        <w:lang w:val="en-US" w:eastAsia="en-US" w:bidi="ar-SA"/>
      </w:rPr>
    </w:lvl>
    <w:lvl w:ilvl="8" w:tplc="87AAFCF6">
      <w:numFmt w:val="bullet"/>
      <w:lvlText w:val="•"/>
      <w:lvlJc w:val="left"/>
      <w:pPr>
        <w:ind w:left="8599" w:hanging="361"/>
      </w:pPr>
      <w:rPr>
        <w:rFonts w:hint="default"/>
        <w:lang w:val="en-US" w:eastAsia="en-US" w:bidi="ar-SA"/>
      </w:rPr>
    </w:lvl>
  </w:abstractNum>
  <w:abstractNum w:abstractNumId="20" w15:restartNumberingAfterBreak="0">
    <w:nsid w:val="2062155D"/>
    <w:multiLevelType w:val="hybridMultilevel"/>
    <w:tmpl w:val="6E00586C"/>
    <w:lvl w:ilvl="0" w:tplc="9E40731C">
      <w:start w:val="1"/>
      <w:numFmt w:val="lowerLetter"/>
      <w:lvlText w:val="(%1)"/>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69762CF6">
      <w:numFmt w:val="bullet"/>
      <w:lvlText w:val="•"/>
      <w:lvlJc w:val="left"/>
      <w:pPr>
        <w:ind w:left="4032" w:hanging="358"/>
      </w:pPr>
      <w:rPr>
        <w:rFonts w:hint="default"/>
        <w:lang w:val="en-US" w:eastAsia="en-US" w:bidi="ar-SA"/>
      </w:rPr>
    </w:lvl>
    <w:lvl w:ilvl="2" w:tplc="21B2F09E">
      <w:numFmt w:val="bullet"/>
      <w:lvlText w:val="•"/>
      <w:lvlJc w:val="left"/>
      <w:pPr>
        <w:ind w:left="4744" w:hanging="358"/>
      </w:pPr>
      <w:rPr>
        <w:rFonts w:hint="default"/>
        <w:lang w:val="en-US" w:eastAsia="en-US" w:bidi="ar-SA"/>
      </w:rPr>
    </w:lvl>
    <w:lvl w:ilvl="3" w:tplc="A2505460">
      <w:numFmt w:val="bullet"/>
      <w:lvlText w:val="•"/>
      <w:lvlJc w:val="left"/>
      <w:pPr>
        <w:ind w:left="5457" w:hanging="358"/>
      </w:pPr>
      <w:rPr>
        <w:rFonts w:hint="default"/>
        <w:lang w:val="en-US" w:eastAsia="en-US" w:bidi="ar-SA"/>
      </w:rPr>
    </w:lvl>
    <w:lvl w:ilvl="4" w:tplc="6540A7C0">
      <w:numFmt w:val="bullet"/>
      <w:lvlText w:val="•"/>
      <w:lvlJc w:val="left"/>
      <w:pPr>
        <w:ind w:left="6169" w:hanging="358"/>
      </w:pPr>
      <w:rPr>
        <w:rFonts w:hint="default"/>
        <w:lang w:val="en-US" w:eastAsia="en-US" w:bidi="ar-SA"/>
      </w:rPr>
    </w:lvl>
    <w:lvl w:ilvl="5" w:tplc="FD10EE56">
      <w:numFmt w:val="bullet"/>
      <w:lvlText w:val="•"/>
      <w:lvlJc w:val="left"/>
      <w:pPr>
        <w:ind w:left="6882" w:hanging="358"/>
      </w:pPr>
      <w:rPr>
        <w:rFonts w:hint="default"/>
        <w:lang w:val="en-US" w:eastAsia="en-US" w:bidi="ar-SA"/>
      </w:rPr>
    </w:lvl>
    <w:lvl w:ilvl="6" w:tplc="EFD8D002">
      <w:numFmt w:val="bullet"/>
      <w:lvlText w:val="•"/>
      <w:lvlJc w:val="left"/>
      <w:pPr>
        <w:ind w:left="7594" w:hanging="358"/>
      </w:pPr>
      <w:rPr>
        <w:rFonts w:hint="default"/>
        <w:lang w:val="en-US" w:eastAsia="en-US" w:bidi="ar-SA"/>
      </w:rPr>
    </w:lvl>
    <w:lvl w:ilvl="7" w:tplc="9A949F0C">
      <w:numFmt w:val="bullet"/>
      <w:lvlText w:val="•"/>
      <w:lvlJc w:val="left"/>
      <w:pPr>
        <w:ind w:left="8306" w:hanging="358"/>
      </w:pPr>
      <w:rPr>
        <w:rFonts w:hint="default"/>
        <w:lang w:val="en-US" w:eastAsia="en-US" w:bidi="ar-SA"/>
      </w:rPr>
    </w:lvl>
    <w:lvl w:ilvl="8" w:tplc="17B289B2">
      <w:numFmt w:val="bullet"/>
      <w:lvlText w:val="•"/>
      <w:lvlJc w:val="left"/>
      <w:pPr>
        <w:ind w:left="9019" w:hanging="358"/>
      </w:pPr>
      <w:rPr>
        <w:rFonts w:hint="default"/>
        <w:lang w:val="en-US" w:eastAsia="en-US" w:bidi="ar-SA"/>
      </w:rPr>
    </w:lvl>
  </w:abstractNum>
  <w:abstractNum w:abstractNumId="21" w15:restartNumberingAfterBreak="0">
    <w:nsid w:val="20AE5A58"/>
    <w:multiLevelType w:val="hybridMultilevel"/>
    <w:tmpl w:val="56487A6C"/>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1F358E"/>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5933681"/>
    <w:multiLevelType w:val="hybridMultilevel"/>
    <w:tmpl w:val="F46C6AFA"/>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971D1A"/>
    <w:multiLevelType w:val="hybridMultilevel"/>
    <w:tmpl w:val="327C2434"/>
    <w:lvl w:ilvl="0" w:tplc="5D4494DA">
      <w:numFmt w:val="bullet"/>
      <w:lvlText w:val=""/>
      <w:lvlJc w:val="left"/>
      <w:pPr>
        <w:ind w:left="465" w:hanging="360"/>
      </w:pPr>
      <w:rPr>
        <w:rFonts w:ascii="Symbol" w:eastAsia="Symbol" w:hAnsi="Symbol" w:cs="Symbol" w:hint="default"/>
        <w:b w:val="0"/>
        <w:bCs w:val="0"/>
        <w:i w:val="0"/>
        <w:iCs w:val="0"/>
        <w:color w:val="91A9A2"/>
        <w:spacing w:val="0"/>
        <w:w w:val="100"/>
        <w:sz w:val="20"/>
        <w:szCs w:val="20"/>
        <w:lang w:val="en-US" w:eastAsia="en-US" w:bidi="ar-SA"/>
      </w:rPr>
    </w:lvl>
    <w:lvl w:ilvl="1" w:tplc="E14A55EC">
      <w:numFmt w:val="bullet"/>
      <w:lvlText w:val="•"/>
      <w:lvlJc w:val="left"/>
      <w:pPr>
        <w:ind w:left="681" w:hanging="360"/>
      </w:pPr>
      <w:rPr>
        <w:rFonts w:hint="default"/>
        <w:lang w:val="en-US" w:eastAsia="en-US" w:bidi="ar-SA"/>
      </w:rPr>
    </w:lvl>
    <w:lvl w:ilvl="2" w:tplc="9092A5A4">
      <w:numFmt w:val="bullet"/>
      <w:lvlText w:val="•"/>
      <w:lvlJc w:val="left"/>
      <w:pPr>
        <w:ind w:left="903" w:hanging="360"/>
      </w:pPr>
      <w:rPr>
        <w:rFonts w:hint="default"/>
        <w:lang w:val="en-US" w:eastAsia="en-US" w:bidi="ar-SA"/>
      </w:rPr>
    </w:lvl>
    <w:lvl w:ilvl="3" w:tplc="0186DC12">
      <w:numFmt w:val="bullet"/>
      <w:lvlText w:val="•"/>
      <w:lvlJc w:val="left"/>
      <w:pPr>
        <w:ind w:left="1125" w:hanging="360"/>
      </w:pPr>
      <w:rPr>
        <w:rFonts w:hint="default"/>
        <w:lang w:val="en-US" w:eastAsia="en-US" w:bidi="ar-SA"/>
      </w:rPr>
    </w:lvl>
    <w:lvl w:ilvl="4" w:tplc="16B200A0">
      <w:numFmt w:val="bullet"/>
      <w:lvlText w:val="•"/>
      <w:lvlJc w:val="left"/>
      <w:pPr>
        <w:ind w:left="1347" w:hanging="360"/>
      </w:pPr>
      <w:rPr>
        <w:rFonts w:hint="default"/>
        <w:lang w:val="en-US" w:eastAsia="en-US" w:bidi="ar-SA"/>
      </w:rPr>
    </w:lvl>
    <w:lvl w:ilvl="5" w:tplc="3BD24338">
      <w:numFmt w:val="bullet"/>
      <w:lvlText w:val="•"/>
      <w:lvlJc w:val="left"/>
      <w:pPr>
        <w:ind w:left="1569" w:hanging="360"/>
      </w:pPr>
      <w:rPr>
        <w:rFonts w:hint="default"/>
        <w:lang w:val="en-US" w:eastAsia="en-US" w:bidi="ar-SA"/>
      </w:rPr>
    </w:lvl>
    <w:lvl w:ilvl="6" w:tplc="2BBC2E8A">
      <w:numFmt w:val="bullet"/>
      <w:lvlText w:val="•"/>
      <w:lvlJc w:val="left"/>
      <w:pPr>
        <w:ind w:left="1791" w:hanging="360"/>
      </w:pPr>
      <w:rPr>
        <w:rFonts w:hint="default"/>
        <w:lang w:val="en-US" w:eastAsia="en-US" w:bidi="ar-SA"/>
      </w:rPr>
    </w:lvl>
    <w:lvl w:ilvl="7" w:tplc="EC6A31AE">
      <w:numFmt w:val="bullet"/>
      <w:lvlText w:val="•"/>
      <w:lvlJc w:val="left"/>
      <w:pPr>
        <w:ind w:left="2013" w:hanging="360"/>
      </w:pPr>
      <w:rPr>
        <w:rFonts w:hint="default"/>
        <w:lang w:val="en-US" w:eastAsia="en-US" w:bidi="ar-SA"/>
      </w:rPr>
    </w:lvl>
    <w:lvl w:ilvl="8" w:tplc="4822ACEE">
      <w:numFmt w:val="bullet"/>
      <w:lvlText w:val="•"/>
      <w:lvlJc w:val="left"/>
      <w:pPr>
        <w:ind w:left="2235" w:hanging="360"/>
      </w:pPr>
      <w:rPr>
        <w:rFonts w:hint="default"/>
        <w:lang w:val="en-US" w:eastAsia="en-US" w:bidi="ar-SA"/>
      </w:rPr>
    </w:lvl>
  </w:abstractNum>
  <w:abstractNum w:abstractNumId="25" w15:restartNumberingAfterBreak="0">
    <w:nsid w:val="2D92795A"/>
    <w:multiLevelType w:val="hybridMultilevel"/>
    <w:tmpl w:val="90465242"/>
    <w:lvl w:ilvl="0" w:tplc="2BC6D8E0">
      <w:numFmt w:val="bullet"/>
      <w:lvlText w:val=""/>
      <w:lvlJc w:val="left"/>
      <w:pPr>
        <w:ind w:left="829" w:hanging="360"/>
      </w:pPr>
      <w:rPr>
        <w:rFonts w:ascii="Symbol" w:eastAsia="Symbol" w:hAnsi="Symbol" w:cs="Symbol" w:hint="default"/>
        <w:b w:val="0"/>
        <w:bCs w:val="0"/>
        <w:i w:val="0"/>
        <w:iCs w:val="0"/>
        <w:spacing w:val="0"/>
        <w:w w:val="101"/>
        <w:sz w:val="18"/>
        <w:szCs w:val="18"/>
        <w:lang w:val="en-US" w:eastAsia="en-US" w:bidi="ar-SA"/>
      </w:rPr>
    </w:lvl>
    <w:lvl w:ilvl="1" w:tplc="C9C4F356">
      <w:numFmt w:val="bullet"/>
      <w:lvlText w:val="•"/>
      <w:lvlJc w:val="left"/>
      <w:pPr>
        <w:ind w:left="1318" w:hanging="360"/>
      </w:pPr>
      <w:rPr>
        <w:rFonts w:hint="default"/>
        <w:lang w:val="en-US" w:eastAsia="en-US" w:bidi="ar-SA"/>
      </w:rPr>
    </w:lvl>
    <w:lvl w:ilvl="2" w:tplc="B7F02AAE">
      <w:numFmt w:val="bullet"/>
      <w:lvlText w:val="•"/>
      <w:lvlJc w:val="left"/>
      <w:pPr>
        <w:ind w:left="1817" w:hanging="360"/>
      </w:pPr>
      <w:rPr>
        <w:rFonts w:hint="default"/>
        <w:lang w:val="en-US" w:eastAsia="en-US" w:bidi="ar-SA"/>
      </w:rPr>
    </w:lvl>
    <w:lvl w:ilvl="3" w:tplc="D3DC2ADE">
      <w:numFmt w:val="bullet"/>
      <w:lvlText w:val="•"/>
      <w:lvlJc w:val="left"/>
      <w:pPr>
        <w:ind w:left="2315" w:hanging="360"/>
      </w:pPr>
      <w:rPr>
        <w:rFonts w:hint="default"/>
        <w:lang w:val="en-US" w:eastAsia="en-US" w:bidi="ar-SA"/>
      </w:rPr>
    </w:lvl>
    <w:lvl w:ilvl="4" w:tplc="F3886FCC">
      <w:numFmt w:val="bullet"/>
      <w:lvlText w:val="•"/>
      <w:lvlJc w:val="left"/>
      <w:pPr>
        <w:ind w:left="2814" w:hanging="360"/>
      </w:pPr>
      <w:rPr>
        <w:rFonts w:hint="default"/>
        <w:lang w:val="en-US" w:eastAsia="en-US" w:bidi="ar-SA"/>
      </w:rPr>
    </w:lvl>
    <w:lvl w:ilvl="5" w:tplc="6B04F9F4">
      <w:numFmt w:val="bullet"/>
      <w:lvlText w:val="•"/>
      <w:lvlJc w:val="left"/>
      <w:pPr>
        <w:ind w:left="3313" w:hanging="360"/>
      </w:pPr>
      <w:rPr>
        <w:rFonts w:hint="default"/>
        <w:lang w:val="en-US" w:eastAsia="en-US" w:bidi="ar-SA"/>
      </w:rPr>
    </w:lvl>
    <w:lvl w:ilvl="6" w:tplc="CB8A1058">
      <w:numFmt w:val="bullet"/>
      <w:lvlText w:val="•"/>
      <w:lvlJc w:val="left"/>
      <w:pPr>
        <w:ind w:left="3811" w:hanging="360"/>
      </w:pPr>
      <w:rPr>
        <w:rFonts w:hint="default"/>
        <w:lang w:val="en-US" w:eastAsia="en-US" w:bidi="ar-SA"/>
      </w:rPr>
    </w:lvl>
    <w:lvl w:ilvl="7" w:tplc="4864B67E">
      <w:numFmt w:val="bullet"/>
      <w:lvlText w:val="•"/>
      <w:lvlJc w:val="left"/>
      <w:pPr>
        <w:ind w:left="4310" w:hanging="360"/>
      </w:pPr>
      <w:rPr>
        <w:rFonts w:hint="default"/>
        <w:lang w:val="en-US" w:eastAsia="en-US" w:bidi="ar-SA"/>
      </w:rPr>
    </w:lvl>
    <w:lvl w:ilvl="8" w:tplc="7F5A158E">
      <w:numFmt w:val="bullet"/>
      <w:lvlText w:val="•"/>
      <w:lvlJc w:val="left"/>
      <w:pPr>
        <w:ind w:left="4808" w:hanging="360"/>
      </w:pPr>
      <w:rPr>
        <w:rFonts w:hint="default"/>
        <w:lang w:val="en-US" w:eastAsia="en-US" w:bidi="ar-SA"/>
      </w:rPr>
    </w:lvl>
  </w:abstractNum>
  <w:abstractNum w:abstractNumId="26" w15:restartNumberingAfterBreak="0">
    <w:nsid w:val="304A43D9"/>
    <w:multiLevelType w:val="hybridMultilevel"/>
    <w:tmpl w:val="20C0B896"/>
    <w:lvl w:ilvl="0" w:tplc="C1D20DBA">
      <w:numFmt w:val="bullet"/>
      <w:lvlText w:val=""/>
      <w:lvlJc w:val="left"/>
      <w:pPr>
        <w:ind w:left="868" w:hanging="361"/>
      </w:pPr>
      <w:rPr>
        <w:rFonts w:ascii="Symbol" w:eastAsia="Symbol" w:hAnsi="Symbol" w:cs="Symbol" w:hint="default"/>
        <w:b w:val="0"/>
        <w:bCs w:val="0"/>
        <w:i w:val="0"/>
        <w:iCs w:val="0"/>
        <w:color w:val="91A9A2"/>
        <w:spacing w:val="0"/>
        <w:w w:val="100"/>
        <w:sz w:val="21"/>
        <w:szCs w:val="21"/>
        <w:lang w:val="en-US" w:eastAsia="en-US" w:bidi="ar-SA"/>
      </w:rPr>
    </w:lvl>
    <w:lvl w:ilvl="1" w:tplc="FB269840">
      <w:numFmt w:val="bullet"/>
      <w:lvlText w:val="•"/>
      <w:lvlJc w:val="left"/>
      <w:pPr>
        <w:ind w:left="1744" w:hanging="361"/>
      </w:pPr>
      <w:rPr>
        <w:rFonts w:hint="default"/>
        <w:lang w:val="en-US" w:eastAsia="en-US" w:bidi="ar-SA"/>
      </w:rPr>
    </w:lvl>
    <w:lvl w:ilvl="2" w:tplc="3DE03E32">
      <w:numFmt w:val="bullet"/>
      <w:lvlText w:val="•"/>
      <w:lvlJc w:val="left"/>
      <w:pPr>
        <w:ind w:left="2628" w:hanging="361"/>
      </w:pPr>
      <w:rPr>
        <w:rFonts w:hint="default"/>
        <w:lang w:val="en-US" w:eastAsia="en-US" w:bidi="ar-SA"/>
      </w:rPr>
    </w:lvl>
    <w:lvl w:ilvl="3" w:tplc="89ECA520">
      <w:numFmt w:val="bullet"/>
      <w:lvlText w:val="•"/>
      <w:lvlJc w:val="left"/>
      <w:pPr>
        <w:ind w:left="3513" w:hanging="361"/>
      </w:pPr>
      <w:rPr>
        <w:rFonts w:hint="default"/>
        <w:lang w:val="en-US" w:eastAsia="en-US" w:bidi="ar-SA"/>
      </w:rPr>
    </w:lvl>
    <w:lvl w:ilvl="4" w:tplc="4AD4FCB2">
      <w:numFmt w:val="bullet"/>
      <w:lvlText w:val="•"/>
      <w:lvlJc w:val="left"/>
      <w:pPr>
        <w:ind w:left="4397" w:hanging="361"/>
      </w:pPr>
      <w:rPr>
        <w:rFonts w:hint="default"/>
        <w:lang w:val="en-US" w:eastAsia="en-US" w:bidi="ar-SA"/>
      </w:rPr>
    </w:lvl>
    <w:lvl w:ilvl="5" w:tplc="C366AB60">
      <w:numFmt w:val="bullet"/>
      <w:lvlText w:val="•"/>
      <w:lvlJc w:val="left"/>
      <w:pPr>
        <w:ind w:left="5282" w:hanging="361"/>
      </w:pPr>
      <w:rPr>
        <w:rFonts w:hint="default"/>
        <w:lang w:val="en-US" w:eastAsia="en-US" w:bidi="ar-SA"/>
      </w:rPr>
    </w:lvl>
    <w:lvl w:ilvl="6" w:tplc="03D671FA">
      <w:numFmt w:val="bullet"/>
      <w:lvlText w:val="•"/>
      <w:lvlJc w:val="left"/>
      <w:pPr>
        <w:ind w:left="6166" w:hanging="361"/>
      </w:pPr>
      <w:rPr>
        <w:rFonts w:hint="default"/>
        <w:lang w:val="en-US" w:eastAsia="en-US" w:bidi="ar-SA"/>
      </w:rPr>
    </w:lvl>
    <w:lvl w:ilvl="7" w:tplc="FE6AC6E6">
      <w:numFmt w:val="bullet"/>
      <w:lvlText w:val="•"/>
      <w:lvlJc w:val="left"/>
      <w:pPr>
        <w:ind w:left="7050" w:hanging="361"/>
      </w:pPr>
      <w:rPr>
        <w:rFonts w:hint="default"/>
        <w:lang w:val="en-US" w:eastAsia="en-US" w:bidi="ar-SA"/>
      </w:rPr>
    </w:lvl>
    <w:lvl w:ilvl="8" w:tplc="096A80BC">
      <w:numFmt w:val="bullet"/>
      <w:lvlText w:val="•"/>
      <w:lvlJc w:val="left"/>
      <w:pPr>
        <w:ind w:left="7935" w:hanging="361"/>
      </w:pPr>
      <w:rPr>
        <w:rFonts w:hint="default"/>
        <w:lang w:val="en-US" w:eastAsia="en-US" w:bidi="ar-SA"/>
      </w:rPr>
    </w:lvl>
  </w:abstractNum>
  <w:abstractNum w:abstractNumId="27" w15:restartNumberingAfterBreak="0">
    <w:nsid w:val="323F6574"/>
    <w:multiLevelType w:val="hybridMultilevel"/>
    <w:tmpl w:val="B0E243DE"/>
    <w:lvl w:ilvl="0" w:tplc="237A5CD0">
      <w:numFmt w:val="bullet"/>
      <w:lvlText w:val=""/>
      <w:lvlJc w:val="left"/>
      <w:pPr>
        <w:ind w:left="1190" w:hanging="360"/>
      </w:pPr>
      <w:rPr>
        <w:rFonts w:ascii="Symbol" w:eastAsia="Symbol" w:hAnsi="Symbol" w:cs="Symbol" w:hint="default"/>
        <w:b w:val="0"/>
        <w:bCs w:val="0"/>
        <w:i w:val="0"/>
        <w:iCs w:val="0"/>
        <w:color w:val="91A9A2"/>
        <w:spacing w:val="0"/>
        <w:w w:val="100"/>
        <w:sz w:val="21"/>
        <w:szCs w:val="21"/>
        <w:lang w:val="en-US" w:eastAsia="en-US" w:bidi="ar-SA"/>
      </w:rPr>
    </w:lvl>
    <w:lvl w:ilvl="1" w:tplc="21425B46">
      <w:numFmt w:val="bullet"/>
      <w:lvlText w:val="•"/>
      <w:lvlJc w:val="left"/>
      <w:pPr>
        <w:ind w:left="1906" w:hanging="360"/>
      </w:pPr>
      <w:rPr>
        <w:rFonts w:hint="default"/>
        <w:lang w:val="en-US" w:eastAsia="en-US" w:bidi="ar-SA"/>
      </w:rPr>
    </w:lvl>
    <w:lvl w:ilvl="2" w:tplc="F69A230C">
      <w:numFmt w:val="bullet"/>
      <w:lvlText w:val="•"/>
      <w:lvlJc w:val="left"/>
      <w:pPr>
        <w:ind w:left="2613" w:hanging="360"/>
      </w:pPr>
      <w:rPr>
        <w:rFonts w:hint="default"/>
        <w:lang w:val="en-US" w:eastAsia="en-US" w:bidi="ar-SA"/>
      </w:rPr>
    </w:lvl>
    <w:lvl w:ilvl="3" w:tplc="E67E24D8">
      <w:numFmt w:val="bullet"/>
      <w:lvlText w:val="•"/>
      <w:lvlJc w:val="left"/>
      <w:pPr>
        <w:ind w:left="3320" w:hanging="360"/>
      </w:pPr>
      <w:rPr>
        <w:rFonts w:hint="default"/>
        <w:lang w:val="en-US" w:eastAsia="en-US" w:bidi="ar-SA"/>
      </w:rPr>
    </w:lvl>
    <w:lvl w:ilvl="4" w:tplc="FE744BFC">
      <w:numFmt w:val="bullet"/>
      <w:lvlText w:val="•"/>
      <w:lvlJc w:val="left"/>
      <w:pPr>
        <w:ind w:left="4027" w:hanging="360"/>
      </w:pPr>
      <w:rPr>
        <w:rFonts w:hint="default"/>
        <w:lang w:val="en-US" w:eastAsia="en-US" w:bidi="ar-SA"/>
      </w:rPr>
    </w:lvl>
    <w:lvl w:ilvl="5" w:tplc="744C248A">
      <w:numFmt w:val="bullet"/>
      <w:lvlText w:val="•"/>
      <w:lvlJc w:val="left"/>
      <w:pPr>
        <w:ind w:left="4734" w:hanging="360"/>
      </w:pPr>
      <w:rPr>
        <w:rFonts w:hint="default"/>
        <w:lang w:val="en-US" w:eastAsia="en-US" w:bidi="ar-SA"/>
      </w:rPr>
    </w:lvl>
    <w:lvl w:ilvl="6" w:tplc="113437A4">
      <w:numFmt w:val="bullet"/>
      <w:lvlText w:val="•"/>
      <w:lvlJc w:val="left"/>
      <w:pPr>
        <w:ind w:left="5441" w:hanging="360"/>
      </w:pPr>
      <w:rPr>
        <w:rFonts w:hint="default"/>
        <w:lang w:val="en-US" w:eastAsia="en-US" w:bidi="ar-SA"/>
      </w:rPr>
    </w:lvl>
    <w:lvl w:ilvl="7" w:tplc="07049EEE">
      <w:numFmt w:val="bullet"/>
      <w:lvlText w:val="•"/>
      <w:lvlJc w:val="left"/>
      <w:pPr>
        <w:ind w:left="6148" w:hanging="360"/>
      </w:pPr>
      <w:rPr>
        <w:rFonts w:hint="default"/>
        <w:lang w:val="en-US" w:eastAsia="en-US" w:bidi="ar-SA"/>
      </w:rPr>
    </w:lvl>
    <w:lvl w:ilvl="8" w:tplc="9EAA56AE">
      <w:numFmt w:val="bullet"/>
      <w:lvlText w:val="•"/>
      <w:lvlJc w:val="left"/>
      <w:pPr>
        <w:ind w:left="6855" w:hanging="360"/>
      </w:pPr>
      <w:rPr>
        <w:rFonts w:hint="default"/>
        <w:lang w:val="en-US" w:eastAsia="en-US" w:bidi="ar-SA"/>
      </w:rPr>
    </w:lvl>
  </w:abstractNum>
  <w:abstractNum w:abstractNumId="28" w15:restartNumberingAfterBreak="0">
    <w:nsid w:val="341959FC"/>
    <w:multiLevelType w:val="hybridMultilevel"/>
    <w:tmpl w:val="D4F667CA"/>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EC0477"/>
    <w:multiLevelType w:val="hybridMultilevel"/>
    <w:tmpl w:val="E1CE15CC"/>
    <w:lvl w:ilvl="0" w:tplc="912245D8">
      <w:numFmt w:val="bullet"/>
      <w:lvlText w:val="-"/>
      <w:lvlJc w:val="left"/>
      <w:pPr>
        <w:ind w:left="464" w:hanging="360"/>
      </w:pPr>
      <w:rPr>
        <w:rFonts w:ascii="Calibri" w:eastAsia="Calibri" w:hAnsi="Calibri" w:cs="Calibri" w:hint="default"/>
        <w:b w:val="0"/>
        <w:bCs w:val="0"/>
        <w:i w:val="0"/>
        <w:iCs w:val="0"/>
        <w:spacing w:val="0"/>
        <w:w w:val="101"/>
        <w:sz w:val="18"/>
        <w:szCs w:val="18"/>
        <w:lang w:val="en-US" w:eastAsia="en-US" w:bidi="ar-SA"/>
      </w:rPr>
    </w:lvl>
    <w:lvl w:ilvl="1" w:tplc="E706811A">
      <w:numFmt w:val="bullet"/>
      <w:lvlText w:val="•"/>
      <w:lvlJc w:val="left"/>
      <w:pPr>
        <w:ind w:left="1065" w:hanging="360"/>
      </w:pPr>
      <w:rPr>
        <w:rFonts w:hint="default"/>
        <w:lang w:val="en-US" w:eastAsia="en-US" w:bidi="ar-SA"/>
      </w:rPr>
    </w:lvl>
    <w:lvl w:ilvl="2" w:tplc="4402648A">
      <w:numFmt w:val="bullet"/>
      <w:lvlText w:val="•"/>
      <w:lvlJc w:val="left"/>
      <w:pPr>
        <w:ind w:left="1670" w:hanging="360"/>
      </w:pPr>
      <w:rPr>
        <w:rFonts w:hint="default"/>
        <w:lang w:val="en-US" w:eastAsia="en-US" w:bidi="ar-SA"/>
      </w:rPr>
    </w:lvl>
    <w:lvl w:ilvl="3" w:tplc="93F6E402">
      <w:numFmt w:val="bullet"/>
      <w:lvlText w:val="•"/>
      <w:lvlJc w:val="left"/>
      <w:pPr>
        <w:ind w:left="2275" w:hanging="360"/>
      </w:pPr>
      <w:rPr>
        <w:rFonts w:hint="default"/>
        <w:lang w:val="en-US" w:eastAsia="en-US" w:bidi="ar-SA"/>
      </w:rPr>
    </w:lvl>
    <w:lvl w:ilvl="4" w:tplc="A97EFC06">
      <w:numFmt w:val="bullet"/>
      <w:lvlText w:val="•"/>
      <w:lvlJc w:val="left"/>
      <w:pPr>
        <w:ind w:left="2880" w:hanging="360"/>
      </w:pPr>
      <w:rPr>
        <w:rFonts w:hint="default"/>
        <w:lang w:val="en-US" w:eastAsia="en-US" w:bidi="ar-SA"/>
      </w:rPr>
    </w:lvl>
    <w:lvl w:ilvl="5" w:tplc="1B142766">
      <w:numFmt w:val="bullet"/>
      <w:lvlText w:val="•"/>
      <w:lvlJc w:val="left"/>
      <w:pPr>
        <w:ind w:left="3485" w:hanging="360"/>
      </w:pPr>
      <w:rPr>
        <w:rFonts w:hint="default"/>
        <w:lang w:val="en-US" w:eastAsia="en-US" w:bidi="ar-SA"/>
      </w:rPr>
    </w:lvl>
    <w:lvl w:ilvl="6" w:tplc="DDF23C98">
      <w:numFmt w:val="bullet"/>
      <w:lvlText w:val="•"/>
      <w:lvlJc w:val="left"/>
      <w:pPr>
        <w:ind w:left="4090" w:hanging="360"/>
      </w:pPr>
      <w:rPr>
        <w:rFonts w:hint="default"/>
        <w:lang w:val="en-US" w:eastAsia="en-US" w:bidi="ar-SA"/>
      </w:rPr>
    </w:lvl>
    <w:lvl w:ilvl="7" w:tplc="E676D446">
      <w:numFmt w:val="bullet"/>
      <w:lvlText w:val="•"/>
      <w:lvlJc w:val="left"/>
      <w:pPr>
        <w:ind w:left="4695" w:hanging="360"/>
      </w:pPr>
      <w:rPr>
        <w:rFonts w:hint="default"/>
        <w:lang w:val="en-US" w:eastAsia="en-US" w:bidi="ar-SA"/>
      </w:rPr>
    </w:lvl>
    <w:lvl w:ilvl="8" w:tplc="147658F6">
      <w:numFmt w:val="bullet"/>
      <w:lvlText w:val="•"/>
      <w:lvlJc w:val="left"/>
      <w:pPr>
        <w:ind w:left="5300" w:hanging="360"/>
      </w:pPr>
      <w:rPr>
        <w:rFonts w:hint="default"/>
        <w:lang w:val="en-US" w:eastAsia="en-US" w:bidi="ar-SA"/>
      </w:rPr>
    </w:lvl>
  </w:abstractNum>
  <w:abstractNum w:abstractNumId="30" w15:restartNumberingAfterBreak="0">
    <w:nsid w:val="377F3ED4"/>
    <w:multiLevelType w:val="hybridMultilevel"/>
    <w:tmpl w:val="3B906E4A"/>
    <w:lvl w:ilvl="0" w:tplc="9D4A92FA">
      <w:numFmt w:val="bullet"/>
      <w:lvlText w:val=""/>
      <w:lvlJc w:val="left"/>
      <w:pPr>
        <w:ind w:left="830" w:hanging="360"/>
      </w:pPr>
      <w:rPr>
        <w:rFonts w:ascii="Symbol" w:eastAsia="Symbol" w:hAnsi="Symbol" w:cs="Symbol" w:hint="default"/>
        <w:b w:val="0"/>
        <w:bCs w:val="0"/>
        <w:i w:val="0"/>
        <w:iCs w:val="0"/>
        <w:color w:val="91A9A2"/>
        <w:spacing w:val="0"/>
        <w:w w:val="101"/>
        <w:sz w:val="18"/>
        <w:szCs w:val="18"/>
        <w:lang w:val="en-US" w:eastAsia="en-US" w:bidi="ar-SA"/>
      </w:rPr>
    </w:lvl>
    <w:lvl w:ilvl="1" w:tplc="F70AFCBC">
      <w:numFmt w:val="bullet"/>
      <w:lvlText w:val="•"/>
      <w:lvlJc w:val="left"/>
      <w:pPr>
        <w:ind w:left="1030" w:hanging="360"/>
      </w:pPr>
      <w:rPr>
        <w:rFonts w:hint="default"/>
        <w:lang w:val="en-US" w:eastAsia="en-US" w:bidi="ar-SA"/>
      </w:rPr>
    </w:lvl>
    <w:lvl w:ilvl="2" w:tplc="55922E50">
      <w:numFmt w:val="bullet"/>
      <w:lvlText w:val="•"/>
      <w:lvlJc w:val="left"/>
      <w:pPr>
        <w:ind w:left="1220" w:hanging="360"/>
      </w:pPr>
      <w:rPr>
        <w:rFonts w:hint="default"/>
        <w:lang w:val="en-US" w:eastAsia="en-US" w:bidi="ar-SA"/>
      </w:rPr>
    </w:lvl>
    <w:lvl w:ilvl="3" w:tplc="1B0E530A">
      <w:numFmt w:val="bullet"/>
      <w:lvlText w:val="•"/>
      <w:lvlJc w:val="left"/>
      <w:pPr>
        <w:ind w:left="1410" w:hanging="360"/>
      </w:pPr>
      <w:rPr>
        <w:rFonts w:hint="default"/>
        <w:lang w:val="en-US" w:eastAsia="en-US" w:bidi="ar-SA"/>
      </w:rPr>
    </w:lvl>
    <w:lvl w:ilvl="4" w:tplc="3092A36A">
      <w:numFmt w:val="bullet"/>
      <w:lvlText w:val="•"/>
      <w:lvlJc w:val="left"/>
      <w:pPr>
        <w:ind w:left="1600" w:hanging="360"/>
      </w:pPr>
      <w:rPr>
        <w:rFonts w:hint="default"/>
        <w:lang w:val="en-US" w:eastAsia="en-US" w:bidi="ar-SA"/>
      </w:rPr>
    </w:lvl>
    <w:lvl w:ilvl="5" w:tplc="982EBAA0">
      <w:numFmt w:val="bullet"/>
      <w:lvlText w:val="•"/>
      <w:lvlJc w:val="left"/>
      <w:pPr>
        <w:ind w:left="1790" w:hanging="360"/>
      </w:pPr>
      <w:rPr>
        <w:rFonts w:hint="default"/>
        <w:lang w:val="en-US" w:eastAsia="en-US" w:bidi="ar-SA"/>
      </w:rPr>
    </w:lvl>
    <w:lvl w:ilvl="6" w:tplc="05E45D44">
      <w:numFmt w:val="bullet"/>
      <w:lvlText w:val="•"/>
      <w:lvlJc w:val="left"/>
      <w:pPr>
        <w:ind w:left="1980" w:hanging="360"/>
      </w:pPr>
      <w:rPr>
        <w:rFonts w:hint="default"/>
        <w:lang w:val="en-US" w:eastAsia="en-US" w:bidi="ar-SA"/>
      </w:rPr>
    </w:lvl>
    <w:lvl w:ilvl="7" w:tplc="7630A054">
      <w:numFmt w:val="bullet"/>
      <w:lvlText w:val="•"/>
      <w:lvlJc w:val="left"/>
      <w:pPr>
        <w:ind w:left="2170" w:hanging="360"/>
      </w:pPr>
      <w:rPr>
        <w:rFonts w:hint="default"/>
        <w:lang w:val="en-US" w:eastAsia="en-US" w:bidi="ar-SA"/>
      </w:rPr>
    </w:lvl>
    <w:lvl w:ilvl="8" w:tplc="3CACFA16">
      <w:numFmt w:val="bullet"/>
      <w:lvlText w:val="•"/>
      <w:lvlJc w:val="left"/>
      <w:pPr>
        <w:ind w:left="2360" w:hanging="360"/>
      </w:pPr>
      <w:rPr>
        <w:rFonts w:hint="default"/>
        <w:lang w:val="en-US" w:eastAsia="en-US" w:bidi="ar-SA"/>
      </w:rPr>
    </w:lvl>
  </w:abstractNum>
  <w:abstractNum w:abstractNumId="31" w15:restartNumberingAfterBreak="0">
    <w:nsid w:val="37811689"/>
    <w:multiLevelType w:val="hybridMultilevel"/>
    <w:tmpl w:val="72441A04"/>
    <w:lvl w:ilvl="0" w:tplc="4AD89B24">
      <w:start w:val="1"/>
      <w:numFmt w:val="lowerLetter"/>
      <w:lvlText w:val="(%1)"/>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3D2ACFB6">
      <w:numFmt w:val="bullet"/>
      <w:lvlText w:val="•"/>
      <w:lvlJc w:val="left"/>
      <w:pPr>
        <w:ind w:left="4032" w:hanging="358"/>
      </w:pPr>
      <w:rPr>
        <w:rFonts w:hint="default"/>
        <w:lang w:val="en-US" w:eastAsia="en-US" w:bidi="ar-SA"/>
      </w:rPr>
    </w:lvl>
    <w:lvl w:ilvl="2" w:tplc="2250D35C">
      <w:numFmt w:val="bullet"/>
      <w:lvlText w:val="•"/>
      <w:lvlJc w:val="left"/>
      <w:pPr>
        <w:ind w:left="4744" w:hanging="358"/>
      </w:pPr>
      <w:rPr>
        <w:rFonts w:hint="default"/>
        <w:lang w:val="en-US" w:eastAsia="en-US" w:bidi="ar-SA"/>
      </w:rPr>
    </w:lvl>
    <w:lvl w:ilvl="3" w:tplc="26B2C6C0">
      <w:numFmt w:val="bullet"/>
      <w:lvlText w:val="•"/>
      <w:lvlJc w:val="left"/>
      <w:pPr>
        <w:ind w:left="5457" w:hanging="358"/>
      </w:pPr>
      <w:rPr>
        <w:rFonts w:hint="default"/>
        <w:lang w:val="en-US" w:eastAsia="en-US" w:bidi="ar-SA"/>
      </w:rPr>
    </w:lvl>
    <w:lvl w:ilvl="4" w:tplc="45124534">
      <w:numFmt w:val="bullet"/>
      <w:lvlText w:val="•"/>
      <w:lvlJc w:val="left"/>
      <w:pPr>
        <w:ind w:left="6169" w:hanging="358"/>
      </w:pPr>
      <w:rPr>
        <w:rFonts w:hint="default"/>
        <w:lang w:val="en-US" w:eastAsia="en-US" w:bidi="ar-SA"/>
      </w:rPr>
    </w:lvl>
    <w:lvl w:ilvl="5" w:tplc="470E513A">
      <w:numFmt w:val="bullet"/>
      <w:lvlText w:val="•"/>
      <w:lvlJc w:val="left"/>
      <w:pPr>
        <w:ind w:left="6882" w:hanging="358"/>
      </w:pPr>
      <w:rPr>
        <w:rFonts w:hint="default"/>
        <w:lang w:val="en-US" w:eastAsia="en-US" w:bidi="ar-SA"/>
      </w:rPr>
    </w:lvl>
    <w:lvl w:ilvl="6" w:tplc="872628EC">
      <w:numFmt w:val="bullet"/>
      <w:lvlText w:val="•"/>
      <w:lvlJc w:val="left"/>
      <w:pPr>
        <w:ind w:left="7594" w:hanging="358"/>
      </w:pPr>
      <w:rPr>
        <w:rFonts w:hint="default"/>
        <w:lang w:val="en-US" w:eastAsia="en-US" w:bidi="ar-SA"/>
      </w:rPr>
    </w:lvl>
    <w:lvl w:ilvl="7" w:tplc="313045DE">
      <w:numFmt w:val="bullet"/>
      <w:lvlText w:val="•"/>
      <w:lvlJc w:val="left"/>
      <w:pPr>
        <w:ind w:left="8306" w:hanging="358"/>
      </w:pPr>
      <w:rPr>
        <w:rFonts w:hint="default"/>
        <w:lang w:val="en-US" w:eastAsia="en-US" w:bidi="ar-SA"/>
      </w:rPr>
    </w:lvl>
    <w:lvl w:ilvl="8" w:tplc="CB40F036">
      <w:numFmt w:val="bullet"/>
      <w:lvlText w:val="•"/>
      <w:lvlJc w:val="left"/>
      <w:pPr>
        <w:ind w:left="9019" w:hanging="358"/>
      </w:pPr>
      <w:rPr>
        <w:rFonts w:hint="default"/>
        <w:lang w:val="en-US" w:eastAsia="en-US" w:bidi="ar-SA"/>
      </w:rPr>
    </w:lvl>
  </w:abstractNum>
  <w:abstractNum w:abstractNumId="32" w15:restartNumberingAfterBreak="0">
    <w:nsid w:val="38500331"/>
    <w:multiLevelType w:val="hybridMultilevel"/>
    <w:tmpl w:val="EBD4D23A"/>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94844EC"/>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99973FA"/>
    <w:multiLevelType w:val="hybridMultilevel"/>
    <w:tmpl w:val="2B3E5F82"/>
    <w:lvl w:ilvl="0" w:tplc="8A6A7146">
      <w:numFmt w:val="bullet"/>
      <w:lvlText w:val=""/>
      <w:lvlJc w:val="left"/>
      <w:pPr>
        <w:ind w:left="974" w:hanging="360"/>
      </w:pPr>
      <w:rPr>
        <w:rFonts w:ascii="Symbol" w:eastAsia="Symbol" w:hAnsi="Symbol" w:cs="Symbol" w:hint="default"/>
        <w:b w:val="0"/>
        <w:bCs w:val="0"/>
        <w:i w:val="0"/>
        <w:iCs w:val="0"/>
        <w:color w:val="91A9A2"/>
        <w:spacing w:val="0"/>
        <w:w w:val="100"/>
        <w:sz w:val="20"/>
        <w:szCs w:val="20"/>
        <w:lang w:val="en-US" w:eastAsia="en-US" w:bidi="ar-SA"/>
      </w:rPr>
    </w:lvl>
    <w:lvl w:ilvl="1" w:tplc="FB441C3C">
      <w:numFmt w:val="bullet"/>
      <w:lvlText w:val="•"/>
      <w:lvlJc w:val="left"/>
      <w:pPr>
        <w:ind w:left="1926" w:hanging="360"/>
      </w:pPr>
      <w:rPr>
        <w:rFonts w:hint="default"/>
        <w:lang w:val="en-US" w:eastAsia="en-US" w:bidi="ar-SA"/>
      </w:rPr>
    </w:lvl>
    <w:lvl w:ilvl="2" w:tplc="80F6C6B4">
      <w:numFmt w:val="bullet"/>
      <w:lvlText w:val="•"/>
      <w:lvlJc w:val="left"/>
      <w:pPr>
        <w:ind w:left="2872" w:hanging="360"/>
      </w:pPr>
      <w:rPr>
        <w:rFonts w:hint="default"/>
        <w:lang w:val="en-US" w:eastAsia="en-US" w:bidi="ar-SA"/>
      </w:rPr>
    </w:lvl>
    <w:lvl w:ilvl="3" w:tplc="9440DD38">
      <w:numFmt w:val="bullet"/>
      <w:lvlText w:val="•"/>
      <w:lvlJc w:val="left"/>
      <w:pPr>
        <w:ind w:left="3819" w:hanging="360"/>
      </w:pPr>
      <w:rPr>
        <w:rFonts w:hint="default"/>
        <w:lang w:val="en-US" w:eastAsia="en-US" w:bidi="ar-SA"/>
      </w:rPr>
    </w:lvl>
    <w:lvl w:ilvl="4" w:tplc="4746D30A">
      <w:numFmt w:val="bullet"/>
      <w:lvlText w:val="•"/>
      <w:lvlJc w:val="left"/>
      <w:pPr>
        <w:ind w:left="4765" w:hanging="360"/>
      </w:pPr>
      <w:rPr>
        <w:rFonts w:hint="default"/>
        <w:lang w:val="en-US" w:eastAsia="en-US" w:bidi="ar-SA"/>
      </w:rPr>
    </w:lvl>
    <w:lvl w:ilvl="5" w:tplc="A524F702">
      <w:numFmt w:val="bullet"/>
      <w:lvlText w:val="•"/>
      <w:lvlJc w:val="left"/>
      <w:pPr>
        <w:ind w:left="5712" w:hanging="360"/>
      </w:pPr>
      <w:rPr>
        <w:rFonts w:hint="default"/>
        <w:lang w:val="en-US" w:eastAsia="en-US" w:bidi="ar-SA"/>
      </w:rPr>
    </w:lvl>
    <w:lvl w:ilvl="6" w:tplc="C8AE62CC">
      <w:numFmt w:val="bullet"/>
      <w:lvlText w:val="•"/>
      <w:lvlJc w:val="left"/>
      <w:pPr>
        <w:ind w:left="6658" w:hanging="360"/>
      </w:pPr>
      <w:rPr>
        <w:rFonts w:hint="default"/>
        <w:lang w:val="en-US" w:eastAsia="en-US" w:bidi="ar-SA"/>
      </w:rPr>
    </w:lvl>
    <w:lvl w:ilvl="7" w:tplc="A120E952">
      <w:numFmt w:val="bullet"/>
      <w:lvlText w:val="•"/>
      <w:lvlJc w:val="left"/>
      <w:pPr>
        <w:ind w:left="7604" w:hanging="360"/>
      </w:pPr>
      <w:rPr>
        <w:rFonts w:hint="default"/>
        <w:lang w:val="en-US" w:eastAsia="en-US" w:bidi="ar-SA"/>
      </w:rPr>
    </w:lvl>
    <w:lvl w:ilvl="8" w:tplc="9042DAA6">
      <w:numFmt w:val="bullet"/>
      <w:lvlText w:val="•"/>
      <w:lvlJc w:val="left"/>
      <w:pPr>
        <w:ind w:left="8551" w:hanging="360"/>
      </w:pPr>
      <w:rPr>
        <w:rFonts w:hint="default"/>
        <w:lang w:val="en-US" w:eastAsia="en-US" w:bidi="ar-SA"/>
      </w:rPr>
    </w:lvl>
  </w:abstractNum>
  <w:abstractNum w:abstractNumId="35" w15:restartNumberingAfterBreak="0">
    <w:nsid w:val="3B364EF3"/>
    <w:multiLevelType w:val="multilevel"/>
    <w:tmpl w:val="03D2E0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E3963EE"/>
    <w:multiLevelType w:val="hybridMultilevel"/>
    <w:tmpl w:val="D1FA23F0"/>
    <w:lvl w:ilvl="0" w:tplc="2D347030">
      <w:numFmt w:val="bullet"/>
      <w:lvlText w:val="-"/>
      <w:lvlJc w:val="left"/>
      <w:pPr>
        <w:ind w:left="464" w:hanging="360"/>
      </w:pPr>
      <w:rPr>
        <w:rFonts w:ascii="Calibri" w:eastAsia="Calibri" w:hAnsi="Calibri" w:cs="Calibri" w:hint="default"/>
        <w:b w:val="0"/>
        <w:bCs w:val="0"/>
        <w:i w:val="0"/>
        <w:iCs w:val="0"/>
        <w:spacing w:val="0"/>
        <w:w w:val="101"/>
        <w:sz w:val="18"/>
        <w:szCs w:val="18"/>
        <w:lang w:val="en-US" w:eastAsia="en-US" w:bidi="ar-SA"/>
      </w:rPr>
    </w:lvl>
    <w:lvl w:ilvl="1" w:tplc="52EE0878">
      <w:numFmt w:val="bullet"/>
      <w:lvlText w:val="•"/>
      <w:lvlJc w:val="left"/>
      <w:pPr>
        <w:ind w:left="1065" w:hanging="360"/>
      </w:pPr>
      <w:rPr>
        <w:rFonts w:hint="default"/>
        <w:lang w:val="en-US" w:eastAsia="en-US" w:bidi="ar-SA"/>
      </w:rPr>
    </w:lvl>
    <w:lvl w:ilvl="2" w:tplc="486A5B52">
      <w:numFmt w:val="bullet"/>
      <w:lvlText w:val="•"/>
      <w:lvlJc w:val="left"/>
      <w:pPr>
        <w:ind w:left="1670" w:hanging="360"/>
      </w:pPr>
      <w:rPr>
        <w:rFonts w:hint="default"/>
        <w:lang w:val="en-US" w:eastAsia="en-US" w:bidi="ar-SA"/>
      </w:rPr>
    </w:lvl>
    <w:lvl w:ilvl="3" w:tplc="B0403E92">
      <w:numFmt w:val="bullet"/>
      <w:lvlText w:val="•"/>
      <w:lvlJc w:val="left"/>
      <w:pPr>
        <w:ind w:left="2275" w:hanging="360"/>
      </w:pPr>
      <w:rPr>
        <w:rFonts w:hint="default"/>
        <w:lang w:val="en-US" w:eastAsia="en-US" w:bidi="ar-SA"/>
      </w:rPr>
    </w:lvl>
    <w:lvl w:ilvl="4" w:tplc="B688F51C">
      <w:numFmt w:val="bullet"/>
      <w:lvlText w:val="•"/>
      <w:lvlJc w:val="left"/>
      <w:pPr>
        <w:ind w:left="2880" w:hanging="360"/>
      </w:pPr>
      <w:rPr>
        <w:rFonts w:hint="default"/>
        <w:lang w:val="en-US" w:eastAsia="en-US" w:bidi="ar-SA"/>
      </w:rPr>
    </w:lvl>
    <w:lvl w:ilvl="5" w:tplc="BB88CE32">
      <w:numFmt w:val="bullet"/>
      <w:lvlText w:val="•"/>
      <w:lvlJc w:val="left"/>
      <w:pPr>
        <w:ind w:left="3485" w:hanging="360"/>
      </w:pPr>
      <w:rPr>
        <w:rFonts w:hint="default"/>
        <w:lang w:val="en-US" w:eastAsia="en-US" w:bidi="ar-SA"/>
      </w:rPr>
    </w:lvl>
    <w:lvl w:ilvl="6" w:tplc="E0440F50">
      <w:numFmt w:val="bullet"/>
      <w:lvlText w:val="•"/>
      <w:lvlJc w:val="left"/>
      <w:pPr>
        <w:ind w:left="4090" w:hanging="360"/>
      </w:pPr>
      <w:rPr>
        <w:rFonts w:hint="default"/>
        <w:lang w:val="en-US" w:eastAsia="en-US" w:bidi="ar-SA"/>
      </w:rPr>
    </w:lvl>
    <w:lvl w:ilvl="7" w:tplc="E7646506">
      <w:numFmt w:val="bullet"/>
      <w:lvlText w:val="•"/>
      <w:lvlJc w:val="left"/>
      <w:pPr>
        <w:ind w:left="4695" w:hanging="360"/>
      </w:pPr>
      <w:rPr>
        <w:rFonts w:hint="default"/>
        <w:lang w:val="en-US" w:eastAsia="en-US" w:bidi="ar-SA"/>
      </w:rPr>
    </w:lvl>
    <w:lvl w:ilvl="8" w:tplc="13A88DEA">
      <w:numFmt w:val="bullet"/>
      <w:lvlText w:val="•"/>
      <w:lvlJc w:val="left"/>
      <w:pPr>
        <w:ind w:left="5300" w:hanging="360"/>
      </w:pPr>
      <w:rPr>
        <w:rFonts w:hint="default"/>
        <w:lang w:val="en-US" w:eastAsia="en-US" w:bidi="ar-SA"/>
      </w:rPr>
    </w:lvl>
  </w:abstractNum>
  <w:abstractNum w:abstractNumId="37" w15:restartNumberingAfterBreak="0">
    <w:nsid w:val="3ED830AD"/>
    <w:multiLevelType w:val="hybridMultilevel"/>
    <w:tmpl w:val="56E4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4F04C7"/>
    <w:multiLevelType w:val="hybridMultilevel"/>
    <w:tmpl w:val="DED2E3A6"/>
    <w:lvl w:ilvl="0" w:tplc="104810EC">
      <w:numFmt w:val="bullet"/>
      <w:lvlText w:val=""/>
      <w:lvlJc w:val="left"/>
      <w:pPr>
        <w:ind w:left="829" w:hanging="360"/>
      </w:pPr>
      <w:rPr>
        <w:rFonts w:ascii="Symbol" w:eastAsia="Symbol" w:hAnsi="Symbol" w:cs="Symbol" w:hint="default"/>
        <w:spacing w:val="0"/>
        <w:w w:val="101"/>
        <w:lang w:val="en-US" w:eastAsia="en-US" w:bidi="ar-SA"/>
      </w:rPr>
    </w:lvl>
    <w:lvl w:ilvl="1" w:tplc="8CDEC058">
      <w:numFmt w:val="bullet"/>
      <w:lvlText w:val="•"/>
      <w:lvlJc w:val="left"/>
      <w:pPr>
        <w:ind w:left="1318" w:hanging="360"/>
      </w:pPr>
      <w:rPr>
        <w:rFonts w:hint="default"/>
        <w:lang w:val="en-US" w:eastAsia="en-US" w:bidi="ar-SA"/>
      </w:rPr>
    </w:lvl>
    <w:lvl w:ilvl="2" w:tplc="A754F660">
      <w:numFmt w:val="bullet"/>
      <w:lvlText w:val="•"/>
      <w:lvlJc w:val="left"/>
      <w:pPr>
        <w:ind w:left="1817" w:hanging="360"/>
      </w:pPr>
      <w:rPr>
        <w:rFonts w:hint="default"/>
        <w:lang w:val="en-US" w:eastAsia="en-US" w:bidi="ar-SA"/>
      </w:rPr>
    </w:lvl>
    <w:lvl w:ilvl="3" w:tplc="5A3C0136">
      <w:numFmt w:val="bullet"/>
      <w:lvlText w:val="•"/>
      <w:lvlJc w:val="left"/>
      <w:pPr>
        <w:ind w:left="2315" w:hanging="360"/>
      </w:pPr>
      <w:rPr>
        <w:rFonts w:hint="default"/>
        <w:lang w:val="en-US" w:eastAsia="en-US" w:bidi="ar-SA"/>
      </w:rPr>
    </w:lvl>
    <w:lvl w:ilvl="4" w:tplc="B29CA8C4">
      <w:numFmt w:val="bullet"/>
      <w:lvlText w:val="•"/>
      <w:lvlJc w:val="left"/>
      <w:pPr>
        <w:ind w:left="2814" w:hanging="360"/>
      </w:pPr>
      <w:rPr>
        <w:rFonts w:hint="default"/>
        <w:lang w:val="en-US" w:eastAsia="en-US" w:bidi="ar-SA"/>
      </w:rPr>
    </w:lvl>
    <w:lvl w:ilvl="5" w:tplc="1B5C0F9A">
      <w:numFmt w:val="bullet"/>
      <w:lvlText w:val="•"/>
      <w:lvlJc w:val="left"/>
      <w:pPr>
        <w:ind w:left="3313" w:hanging="360"/>
      </w:pPr>
      <w:rPr>
        <w:rFonts w:hint="default"/>
        <w:lang w:val="en-US" w:eastAsia="en-US" w:bidi="ar-SA"/>
      </w:rPr>
    </w:lvl>
    <w:lvl w:ilvl="6" w:tplc="E0ACB474">
      <w:numFmt w:val="bullet"/>
      <w:lvlText w:val="•"/>
      <w:lvlJc w:val="left"/>
      <w:pPr>
        <w:ind w:left="3811" w:hanging="360"/>
      </w:pPr>
      <w:rPr>
        <w:rFonts w:hint="default"/>
        <w:lang w:val="en-US" w:eastAsia="en-US" w:bidi="ar-SA"/>
      </w:rPr>
    </w:lvl>
    <w:lvl w:ilvl="7" w:tplc="50706142">
      <w:numFmt w:val="bullet"/>
      <w:lvlText w:val="•"/>
      <w:lvlJc w:val="left"/>
      <w:pPr>
        <w:ind w:left="4310" w:hanging="360"/>
      </w:pPr>
      <w:rPr>
        <w:rFonts w:hint="default"/>
        <w:lang w:val="en-US" w:eastAsia="en-US" w:bidi="ar-SA"/>
      </w:rPr>
    </w:lvl>
    <w:lvl w:ilvl="8" w:tplc="B39AA196">
      <w:numFmt w:val="bullet"/>
      <w:lvlText w:val="•"/>
      <w:lvlJc w:val="left"/>
      <w:pPr>
        <w:ind w:left="4808" w:hanging="360"/>
      </w:pPr>
      <w:rPr>
        <w:rFonts w:hint="default"/>
        <w:lang w:val="en-US" w:eastAsia="en-US" w:bidi="ar-SA"/>
      </w:rPr>
    </w:lvl>
  </w:abstractNum>
  <w:abstractNum w:abstractNumId="39" w15:restartNumberingAfterBreak="0">
    <w:nsid w:val="3FA72A5C"/>
    <w:multiLevelType w:val="hybridMultilevel"/>
    <w:tmpl w:val="A342891A"/>
    <w:lvl w:ilvl="0" w:tplc="27FE8F8A">
      <w:numFmt w:val="bullet"/>
      <w:lvlText w:val=""/>
      <w:lvlJc w:val="left"/>
      <w:pPr>
        <w:ind w:left="821" w:hanging="360"/>
      </w:pPr>
      <w:rPr>
        <w:rFonts w:ascii="Symbol" w:eastAsia="Symbol" w:hAnsi="Symbol" w:cs="Symbol" w:hint="default"/>
        <w:b w:val="0"/>
        <w:bCs w:val="0"/>
        <w:i w:val="0"/>
        <w:iCs w:val="0"/>
        <w:spacing w:val="0"/>
        <w:w w:val="101"/>
        <w:sz w:val="18"/>
        <w:szCs w:val="18"/>
        <w:lang w:val="en-US" w:eastAsia="en-US" w:bidi="ar-SA"/>
      </w:rPr>
    </w:lvl>
    <w:lvl w:ilvl="1" w:tplc="17125F2C">
      <w:numFmt w:val="bullet"/>
      <w:lvlText w:val="•"/>
      <w:lvlJc w:val="left"/>
      <w:pPr>
        <w:ind w:left="1002" w:hanging="360"/>
      </w:pPr>
      <w:rPr>
        <w:rFonts w:hint="default"/>
        <w:lang w:val="en-US" w:eastAsia="en-US" w:bidi="ar-SA"/>
      </w:rPr>
    </w:lvl>
    <w:lvl w:ilvl="2" w:tplc="8B720EFC">
      <w:numFmt w:val="bullet"/>
      <w:lvlText w:val="•"/>
      <w:lvlJc w:val="left"/>
      <w:pPr>
        <w:ind w:left="1185" w:hanging="360"/>
      </w:pPr>
      <w:rPr>
        <w:rFonts w:hint="default"/>
        <w:lang w:val="en-US" w:eastAsia="en-US" w:bidi="ar-SA"/>
      </w:rPr>
    </w:lvl>
    <w:lvl w:ilvl="3" w:tplc="36F83FD0">
      <w:numFmt w:val="bullet"/>
      <w:lvlText w:val="•"/>
      <w:lvlJc w:val="left"/>
      <w:pPr>
        <w:ind w:left="1368" w:hanging="360"/>
      </w:pPr>
      <w:rPr>
        <w:rFonts w:hint="default"/>
        <w:lang w:val="en-US" w:eastAsia="en-US" w:bidi="ar-SA"/>
      </w:rPr>
    </w:lvl>
    <w:lvl w:ilvl="4" w:tplc="70F49BB4">
      <w:numFmt w:val="bullet"/>
      <w:lvlText w:val="•"/>
      <w:lvlJc w:val="left"/>
      <w:pPr>
        <w:ind w:left="1550" w:hanging="360"/>
      </w:pPr>
      <w:rPr>
        <w:rFonts w:hint="default"/>
        <w:lang w:val="en-US" w:eastAsia="en-US" w:bidi="ar-SA"/>
      </w:rPr>
    </w:lvl>
    <w:lvl w:ilvl="5" w:tplc="DD88305E">
      <w:numFmt w:val="bullet"/>
      <w:lvlText w:val="•"/>
      <w:lvlJc w:val="left"/>
      <w:pPr>
        <w:ind w:left="1733" w:hanging="360"/>
      </w:pPr>
      <w:rPr>
        <w:rFonts w:hint="default"/>
        <w:lang w:val="en-US" w:eastAsia="en-US" w:bidi="ar-SA"/>
      </w:rPr>
    </w:lvl>
    <w:lvl w:ilvl="6" w:tplc="05C4A660">
      <w:numFmt w:val="bullet"/>
      <w:lvlText w:val="•"/>
      <w:lvlJc w:val="left"/>
      <w:pPr>
        <w:ind w:left="1916" w:hanging="360"/>
      </w:pPr>
      <w:rPr>
        <w:rFonts w:hint="default"/>
        <w:lang w:val="en-US" w:eastAsia="en-US" w:bidi="ar-SA"/>
      </w:rPr>
    </w:lvl>
    <w:lvl w:ilvl="7" w:tplc="37F410A8">
      <w:numFmt w:val="bullet"/>
      <w:lvlText w:val="•"/>
      <w:lvlJc w:val="left"/>
      <w:pPr>
        <w:ind w:left="2098" w:hanging="360"/>
      </w:pPr>
      <w:rPr>
        <w:rFonts w:hint="default"/>
        <w:lang w:val="en-US" w:eastAsia="en-US" w:bidi="ar-SA"/>
      </w:rPr>
    </w:lvl>
    <w:lvl w:ilvl="8" w:tplc="453EB25C">
      <w:numFmt w:val="bullet"/>
      <w:lvlText w:val="•"/>
      <w:lvlJc w:val="left"/>
      <w:pPr>
        <w:ind w:left="2281" w:hanging="360"/>
      </w:pPr>
      <w:rPr>
        <w:rFonts w:hint="default"/>
        <w:lang w:val="en-US" w:eastAsia="en-US" w:bidi="ar-SA"/>
      </w:rPr>
    </w:lvl>
  </w:abstractNum>
  <w:abstractNum w:abstractNumId="40" w15:restartNumberingAfterBreak="0">
    <w:nsid w:val="40677537"/>
    <w:multiLevelType w:val="hybridMultilevel"/>
    <w:tmpl w:val="03320F9E"/>
    <w:lvl w:ilvl="0" w:tplc="674C3E66">
      <w:numFmt w:val="bullet"/>
      <w:lvlText w:val=""/>
      <w:lvlJc w:val="left"/>
      <w:pPr>
        <w:ind w:left="1190" w:hanging="360"/>
      </w:pPr>
      <w:rPr>
        <w:rFonts w:ascii="Symbol" w:eastAsia="Symbol" w:hAnsi="Symbol" w:cs="Symbol" w:hint="default"/>
        <w:b w:val="0"/>
        <w:bCs w:val="0"/>
        <w:i w:val="0"/>
        <w:iCs w:val="0"/>
        <w:color w:val="91A9A2"/>
        <w:spacing w:val="0"/>
        <w:w w:val="100"/>
        <w:sz w:val="21"/>
        <w:szCs w:val="21"/>
        <w:lang w:val="en-US" w:eastAsia="en-US" w:bidi="ar-SA"/>
      </w:rPr>
    </w:lvl>
    <w:lvl w:ilvl="1" w:tplc="1FA2EC76">
      <w:numFmt w:val="bullet"/>
      <w:lvlText w:val="•"/>
      <w:lvlJc w:val="left"/>
      <w:pPr>
        <w:ind w:left="1906" w:hanging="360"/>
      </w:pPr>
      <w:rPr>
        <w:rFonts w:hint="default"/>
        <w:lang w:val="en-US" w:eastAsia="en-US" w:bidi="ar-SA"/>
      </w:rPr>
    </w:lvl>
    <w:lvl w:ilvl="2" w:tplc="32CC3738">
      <w:numFmt w:val="bullet"/>
      <w:lvlText w:val="•"/>
      <w:lvlJc w:val="left"/>
      <w:pPr>
        <w:ind w:left="2613" w:hanging="360"/>
      </w:pPr>
      <w:rPr>
        <w:rFonts w:hint="default"/>
        <w:lang w:val="en-US" w:eastAsia="en-US" w:bidi="ar-SA"/>
      </w:rPr>
    </w:lvl>
    <w:lvl w:ilvl="3" w:tplc="C122C4B2">
      <w:numFmt w:val="bullet"/>
      <w:lvlText w:val="•"/>
      <w:lvlJc w:val="left"/>
      <w:pPr>
        <w:ind w:left="3320" w:hanging="360"/>
      </w:pPr>
      <w:rPr>
        <w:rFonts w:hint="default"/>
        <w:lang w:val="en-US" w:eastAsia="en-US" w:bidi="ar-SA"/>
      </w:rPr>
    </w:lvl>
    <w:lvl w:ilvl="4" w:tplc="9A4A6DC0">
      <w:numFmt w:val="bullet"/>
      <w:lvlText w:val="•"/>
      <w:lvlJc w:val="left"/>
      <w:pPr>
        <w:ind w:left="4027" w:hanging="360"/>
      </w:pPr>
      <w:rPr>
        <w:rFonts w:hint="default"/>
        <w:lang w:val="en-US" w:eastAsia="en-US" w:bidi="ar-SA"/>
      </w:rPr>
    </w:lvl>
    <w:lvl w:ilvl="5" w:tplc="E5C0B1F2">
      <w:numFmt w:val="bullet"/>
      <w:lvlText w:val="•"/>
      <w:lvlJc w:val="left"/>
      <w:pPr>
        <w:ind w:left="4734" w:hanging="360"/>
      </w:pPr>
      <w:rPr>
        <w:rFonts w:hint="default"/>
        <w:lang w:val="en-US" w:eastAsia="en-US" w:bidi="ar-SA"/>
      </w:rPr>
    </w:lvl>
    <w:lvl w:ilvl="6" w:tplc="2BB071D0">
      <w:numFmt w:val="bullet"/>
      <w:lvlText w:val="•"/>
      <w:lvlJc w:val="left"/>
      <w:pPr>
        <w:ind w:left="5441" w:hanging="360"/>
      </w:pPr>
      <w:rPr>
        <w:rFonts w:hint="default"/>
        <w:lang w:val="en-US" w:eastAsia="en-US" w:bidi="ar-SA"/>
      </w:rPr>
    </w:lvl>
    <w:lvl w:ilvl="7" w:tplc="C0C0FEDE">
      <w:numFmt w:val="bullet"/>
      <w:lvlText w:val="•"/>
      <w:lvlJc w:val="left"/>
      <w:pPr>
        <w:ind w:left="6148" w:hanging="360"/>
      </w:pPr>
      <w:rPr>
        <w:rFonts w:hint="default"/>
        <w:lang w:val="en-US" w:eastAsia="en-US" w:bidi="ar-SA"/>
      </w:rPr>
    </w:lvl>
    <w:lvl w:ilvl="8" w:tplc="4C8E79F6">
      <w:numFmt w:val="bullet"/>
      <w:lvlText w:val="•"/>
      <w:lvlJc w:val="left"/>
      <w:pPr>
        <w:ind w:left="6855" w:hanging="360"/>
      </w:pPr>
      <w:rPr>
        <w:rFonts w:hint="default"/>
        <w:lang w:val="en-US" w:eastAsia="en-US" w:bidi="ar-SA"/>
      </w:rPr>
    </w:lvl>
  </w:abstractNum>
  <w:abstractNum w:abstractNumId="41" w15:restartNumberingAfterBreak="0">
    <w:nsid w:val="444F5106"/>
    <w:multiLevelType w:val="hybridMultilevel"/>
    <w:tmpl w:val="405EBF34"/>
    <w:lvl w:ilvl="0" w:tplc="D256EE82">
      <w:numFmt w:val="bullet"/>
      <w:lvlText w:val=""/>
      <w:lvlJc w:val="left"/>
      <w:pPr>
        <w:ind w:left="700" w:hanging="361"/>
      </w:pPr>
      <w:rPr>
        <w:rFonts w:ascii="Symbol" w:eastAsia="Symbol" w:hAnsi="Symbol" w:cs="Symbol" w:hint="default"/>
        <w:b w:val="0"/>
        <w:bCs w:val="0"/>
        <w:i w:val="0"/>
        <w:iCs w:val="0"/>
        <w:color w:val="91A9A2"/>
        <w:spacing w:val="0"/>
        <w:w w:val="100"/>
        <w:sz w:val="20"/>
        <w:szCs w:val="20"/>
        <w:lang w:val="en-US" w:eastAsia="en-US" w:bidi="ar-SA"/>
      </w:rPr>
    </w:lvl>
    <w:lvl w:ilvl="1" w:tplc="8918C474">
      <w:numFmt w:val="bullet"/>
      <w:lvlText w:val="•"/>
      <w:lvlJc w:val="left"/>
      <w:pPr>
        <w:ind w:left="1600" w:hanging="361"/>
      </w:pPr>
      <w:rPr>
        <w:rFonts w:hint="default"/>
        <w:lang w:val="en-US" w:eastAsia="en-US" w:bidi="ar-SA"/>
      </w:rPr>
    </w:lvl>
    <w:lvl w:ilvl="2" w:tplc="1256DA34">
      <w:numFmt w:val="bullet"/>
      <w:lvlText w:val="•"/>
      <w:lvlJc w:val="left"/>
      <w:pPr>
        <w:ind w:left="2500" w:hanging="361"/>
      </w:pPr>
      <w:rPr>
        <w:rFonts w:hint="default"/>
        <w:lang w:val="en-US" w:eastAsia="en-US" w:bidi="ar-SA"/>
      </w:rPr>
    </w:lvl>
    <w:lvl w:ilvl="3" w:tplc="9C6095C2">
      <w:numFmt w:val="bullet"/>
      <w:lvlText w:val="•"/>
      <w:lvlJc w:val="left"/>
      <w:pPr>
        <w:ind w:left="3401" w:hanging="361"/>
      </w:pPr>
      <w:rPr>
        <w:rFonts w:hint="default"/>
        <w:lang w:val="en-US" w:eastAsia="en-US" w:bidi="ar-SA"/>
      </w:rPr>
    </w:lvl>
    <w:lvl w:ilvl="4" w:tplc="C7269036">
      <w:numFmt w:val="bullet"/>
      <w:lvlText w:val="•"/>
      <w:lvlJc w:val="left"/>
      <w:pPr>
        <w:ind w:left="4301" w:hanging="361"/>
      </w:pPr>
      <w:rPr>
        <w:rFonts w:hint="default"/>
        <w:lang w:val="en-US" w:eastAsia="en-US" w:bidi="ar-SA"/>
      </w:rPr>
    </w:lvl>
    <w:lvl w:ilvl="5" w:tplc="089490AC">
      <w:numFmt w:val="bullet"/>
      <w:lvlText w:val="•"/>
      <w:lvlJc w:val="left"/>
      <w:pPr>
        <w:ind w:left="5202" w:hanging="361"/>
      </w:pPr>
      <w:rPr>
        <w:rFonts w:hint="default"/>
        <w:lang w:val="en-US" w:eastAsia="en-US" w:bidi="ar-SA"/>
      </w:rPr>
    </w:lvl>
    <w:lvl w:ilvl="6" w:tplc="881E8AEC">
      <w:numFmt w:val="bullet"/>
      <w:lvlText w:val="•"/>
      <w:lvlJc w:val="left"/>
      <w:pPr>
        <w:ind w:left="6102" w:hanging="361"/>
      </w:pPr>
      <w:rPr>
        <w:rFonts w:hint="default"/>
        <w:lang w:val="en-US" w:eastAsia="en-US" w:bidi="ar-SA"/>
      </w:rPr>
    </w:lvl>
    <w:lvl w:ilvl="7" w:tplc="EA0EBF32">
      <w:numFmt w:val="bullet"/>
      <w:lvlText w:val="•"/>
      <w:lvlJc w:val="left"/>
      <w:pPr>
        <w:ind w:left="7002" w:hanging="361"/>
      </w:pPr>
      <w:rPr>
        <w:rFonts w:hint="default"/>
        <w:lang w:val="en-US" w:eastAsia="en-US" w:bidi="ar-SA"/>
      </w:rPr>
    </w:lvl>
    <w:lvl w:ilvl="8" w:tplc="60F290E8">
      <w:numFmt w:val="bullet"/>
      <w:lvlText w:val="•"/>
      <w:lvlJc w:val="left"/>
      <w:pPr>
        <w:ind w:left="7903" w:hanging="361"/>
      </w:pPr>
      <w:rPr>
        <w:rFonts w:hint="default"/>
        <w:lang w:val="en-US" w:eastAsia="en-US" w:bidi="ar-SA"/>
      </w:rPr>
    </w:lvl>
  </w:abstractNum>
  <w:abstractNum w:abstractNumId="42" w15:restartNumberingAfterBreak="0">
    <w:nsid w:val="479A3402"/>
    <w:multiLevelType w:val="hybridMultilevel"/>
    <w:tmpl w:val="86F2742A"/>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81459D1"/>
    <w:multiLevelType w:val="hybridMultilevel"/>
    <w:tmpl w:val="F83471F8"/>
    <w:lvl w:ilvl="0" w:tplc="C7664E5A">
      <w:numFmt w:val="bullet"/>
      <w:lvlText w:val=""/>
      <w:lvlJc w:val="left"/>
      <w:pPr>
        <w:ind w:left="829" w:hanging="360"/>
      </w:pPr>
      <w:rPr>
        <w:rFonts w:ascii="Symbol" w:eastAsia="Symbol" w:hAnsi="Symbol" w:cs="Symbol" w:hint="default"/>
        <w:b w:val="0"/>
        <w:bCs w:val="0"/>
        <w:i w:val="0"/>
        <w:iCs w:val="0"/>
        <w:color w:val="91A9A2"/>
        <w:spacing w:val="0"/>
        <w:w w:val="101"/>
        <w:sz w:val="18"/>
        <w:szCs w:val="18"/>
        <w:lang w:val="en-US" w:eastAsia="en-US" w:bidi="ar-SA"/>
      </w:rPr>
    </w:lvl>
    <w:lvl w:ilvl="1" w:tplc="6C4E43A0">
      <w:numFmt w:val="bullet"/>
      <w:lvlText w:val="•"/>
      <w:lvlJc w:val="left"/>
      <w:pPr>
        <w:ind w:left="1318" w:hanging="360"/>
      </w:pPr>
      <w:rPr>
        <w:rFonts w:hint="default"/>
        <w:lang w:val="en-US" w:eastAsia="en-US" w:bidi="ar-SA"/>
      </w:rPr>
    </w:lvl>
    <w:lvl w:ilvl="2" w:tplc="B652E2F4">
      <w:numFmt w:val="bullet"/>
      <w:lvlText w:val="•"/>
      <w:lvlJc w:val="left"/>
      <w:pPr>
        <w:ind w:left="1817" w:hanging="360"/>
      </w:pPr>
      <w:rPr>
        <w:rFonts w:hint="default"/>
        <w:lang w:val="en-US" w:eastAsia="en-US" w:bidi="ar-SA"/>
      </w:rPr>
    </w:lvl>
    <w:lvl w:ilvl="3" w:tplc="415CD744">
      <w:numFmt w:val="bullet"/>
      <w:lvlText w:val="•"/>
      <w:lvlJc w:val="left"/>
      <w:pPr>
        <w:ind w:left="2315" w:hanging="360"/>
      </w:pPr>
      <w:rPr>
        <w:rFonts w:hint="default"/>
        <w:lang w:val="en-US" w:eastAsia="en-US" w:bidi="ar-SA"/>
      </w:rPr>
    </w:lvl>
    <w:lvl w:ilvl="4" w:tplc="DA9AF748">
      <w:numFmt w:val="bullet"/>
      <w:lvlText w:val="•"/>
      <w:lvlJc w:val="left"/>
      <w:pPr>
        <w:ind w:left="2814" w:hanging="360"/>
      </w:pPr>
      <w:rPr>
        <w:rFonts w:hint="default"/>
        <w:lang w:val="en-US" w:eastAsia="en-US" w:bidi="ar-SA"/>
      </w:rPr>
    </w:lvl>
    <w:lvl w:ilvl="5" w:tplc="32623C72">
      <w:numFmt w:val="bullet"/>
      <w:lvlText w:val="•"/>
      <w:lvlJc w:val="left"/>
      <w:pPr>
        <w:ind w:left="3313" w:hanging="360"/>
      </w:pPr>
      <w:rPr>
        <w:rFonts w:hint="default"/>
        <w:lang w:val="en-US" w:eastAsia="en-US" w:bidi="ar-SA"/>
      </w:rPr>
    </w:lvl>
    <w:lvl w:ilvl="6" w:tplc="47D8BF7E">
      <w:numFmt w:val="bullet"/>
      <w:lvlText w:val="•"/>
      <w:lvlJc w:val="left"/>
      <w:pPr>
        <w:ind w:left="3811" w:hanging="360"/>
      </w:pPr>
      <w:rPr>
        <w:rFonts w:hint="default"/>
        <w:lang w:val="en-US" w:eastAsia="en-US" w:bidi="ar-SA"/>
      </w:rPr>
    </w:lvl>
    <w:lvl w:ilvl="7" w:tplc="F38A94F0">
      <w:numFmt w:val="bullet"/>
      <w:lvlText w:val="•"/>
      <w:lvlJc w:val="left"/>
      <w:pPr>
        <w:ind w:left="4310" w:hanging="360"/>
      </w:pPr>
      <w:rPr>
        <w:rFonts w:hint="default"/>
        <w:lang w:val="en-US" w:eastAsia="en-US" w:bidi="ar-SA"/>
      </w:rPr>
    </w:lvl>
    <w:lvl w:ilvl="8" w:tplc="469E9C72">
      <w:numFmt w:val="bullet"/>
      <w:lvlText w:val="•"/>
      <w:lvlJc w:val="left"/>
      <w:pPr>
        <w:ind w:left="4808" w:hanging="360"/>
      </w:pPr>
      <w:rPr>
        <w:rFonts w:hint="default"/>
        <w:lang w:val="en-US" w:eastAsia="en-US" w:bidi="ar-SA"/>
      </w:rPr>
    </w:lvl>
  </w:abstractNum>
  <w:abstractNum w:abstractNumId="44" w15:restartNumberingAfterBreak="0">
    <w:nsid w:val="48C26F5F"/>
    <w:multiLevelType w:val="hybridMultilevel"/>
    <w:tmpl w:val="3B0A7564"/>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92C71C2"/>
    <w:multiLevelType w:val="hybridMultilevel"/>
    <w:tmpl w:val="FF46C75A"/>
    <w:lvl w:ilvl="0" w:tplc="68888E96">
      <w:numFmt w:val="bullet"/>
      <w:lvlText w:val=""/>
      <w:lvlJc w:val="left"/>
      <w:pPr>
        <w:ind w:left="829" w:hanging="360"/>
      </w:pPr>
      <w:rPr>
        <w:rFonts w:ascii="Symbol" w:eastAsia="Symbol" w:hAnsi="Symbol" w:cs="Symbol" w:hint="default"/>
        <w:b w:val="0"/>
        <w:bCs w:val="0"/>
        <w:i w:val="0"/>
        <w:iCs w:val="0"/>
        <w:spacing w:val="0"/>
        <w:w w:val="101"/>
        <w:sz w:val="18"/>
        <w:szCs w:val="18"/>
        <w:lang w:val="en-US" w:eastAsia="en-US" w:bidi="ar-SA"/>
      </w:rPr>
    </w:lvl>
    <w:lvl w:ilvl="1" w:tplc="93C0950C">
      <w:numFmt w:val="bullet"/>
      <w:lvlText w:val="•"/>
      <w:lvlJc w:val="left"/>
      <w:pPr>
        <w:ind w:left="1318" w:hanging="360"/>
      </w:pPr>
      <w:rPr>
        <w:rFonts w:hint="default"/>
        <w:lang w:val="en-US" w:eastAsia="en-US" w:bidi="ar-SA"/>
      </w:rPr>
    </w:lvl>
    <w:lvl w:ilvl="2" w:tplc="877C3392">
      <w:numFmt w:val="bullet"/>
      <w:lvlText w:val="•"/>
      <w:lvlJc w:val="left"/>
      <w:pPr>
        <w:ind w:left="1817" w:hanging="360"/>
      </w:pPr>
      <w:rPr>
        <w:rFonts w:hint="default"/>
        <w:lang w:val="en-US" w:eastAsia="en-US" w:bidi="ar-SA"/>
      </w:rPr>
    </w:lvl>
    <w:lvl w:ilvl="3" w:tplc="F2008B74">
      <w:numFmt w:val="bullet"/>
      <w:lvlText w:val="•"/>
      <w:lvlJc w:val="left"/>
      <w:pPr>
        <w:ind w:left="2315" w:hanging="360"/>
      </w:pPr>
      <w:rPr>
        <w:rFonts w:hint="default"/>
        <w:lang w:val="en-US" w:eastAsia="en-US" w:bidi="ar-SA"/>
      </w:rPr>
    </w:lvl>
    <w:lvl w:ilvl="4" w:tplc="465C95E4">
      <w:numFmt w:val="bullet"/>
      <w:lvlText w:val="•"/>
      <w:lvlJc w:val="left"/>
      <w:pPr>
        <w:ind w:left="2814" w:hanging="360"/>
      </w:pPr>
      <w:rPr>
        <w:rFonts w:hint="default"/>
        <w:lang w:val="en-US" w:eastAsia="en-US" w:bidi="ar-SA"/>
      </w:rPr>
    </w:lvl>
    <w:lvl w:ilvl="5" w:tplc="E00EF46E">
      <w:numFmt w:val="bullet"/>
      <w:lvlText w:val="•"/>
      <w:lvlJc w:val="left"/>
      <w:pPr>
        <w:ind w:left="3313" w:hanging="360"/>
      </w:pPr>
      <w:rPr>
        <w:rFonts w:hint="default"/>
        <w:lang w:val="en-US" w:eastAsia="en-US" w:bidi="ar-SA"/>
      </w:rPr>
    </w:lvl>
    <w:lvl w:ilvl="6" w:tplc="A3D21E52">
      <w:numFmt w:val="bullet"/>
      <w:lvlText w:val="•"/>
      <w:lvlJc w:val="left"/>
      <w:pPr>
        <w:ind w:left="3811" w:hanging="360"/>
      </w:pPr>
      <w:rPr>
        <w:rFonts w:hint="default"/>
        <w:lang w:val="en-US" w:eastAsia="en-US" w:bidi="ar-SA"/>
      </w:rPr>
    </w:lvl>
    <w:lvl w:ilvl="7" w:tplc="B2AE6ACC">
      <w:numFmt w:val="bullet"/>
      <w:lvlText w:val="•"/>
      <w:lvlJc w:val="left"/>
      <w:pPr>
        <w:ind w:left="4310" w:hanging="360"/>
      </w:pPr>
      <w:rPr>
        <w:rFonts w:hint="default"/>
        <w:lang w:val="en-US" w:eastAsia="en-US" w:bidi="ar-SA"/>
      </w:rPr>
    </w:lvl>
    <w:lvl w:ilvl="8" w:tplc="83221BEC">
      <w:numFmt w:val="bullet"/>
      <w:lvlText w:val="•"/>
      <w:lvlJc w:val="left"/>
      <w:pPr>
        <w:ind w:left="4808" w:hanging="360"/>
      </w:pPr>
      <w:rPr>
        <w:rFonts w:hint="default"/>
        <w:lang w:val="en-US" w:eastAsia="en-US" w:bidi="ar-SA"/>
      </w:rPr>
    </w:lvl>
  </w:abstractNum>
  <w:abstractNum w:abstractNumId="46" w15:restartNumberingAfterBreak="0">
    <w:nsid w:val="4C6B6EBC"/>
    <w:multiLevelType w:val="hybridMultilevel"/>
    <w:tmpl w:val="5810AFF0"/>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EFB44D2"/>
    <w:multiLevelType w:val="hybridMultilevel"/>
    <w:tmpl w:val="D9369F94"/>
    <w:lvl w:ilvl="0" w:tplc="81AC36AA">
      <w:numFmt w:val="bullet"/>
      <w:lvlText w:val="-"/>
      <w:lvlJc w:val="left"/>
      <w:pPr>
        <w:ind w:left="464" w:hanging="360"/>
      </w:pPr>
      <w:rPr>
        <w:rFonts w:ascii="Calibri" w:eastAsia="Calibri" w:hAnsi="Calibri" w:cs="Calibri" w:hint="default"/>
        <w:b w:val="0"/>
        <w:bCs w:val="0"/>
        <w:i w:val="0"/>
        <w:iCs w:val="0"/>
        <w:spacing w:val="0"/>
        <w:w w:val="101"/>
        <w:sz w:val="18"/>
        <w:szCs w:val="18"/>
        <w:lang w:val="en-US" w:eastAsia="en-US" w:bidi="ar-SA"/>
      </w:rPr>
    </w:lvl>
    <w:lvl w:ilvl="1" w:tplc="62FCF3E0">
      <w:numFmt w:val="bullet"/>
      <w:lvlText w:val="•"/>
      <w:lvlJc w:val="left"/>
      <w:pPr>
        <w:ind w:left="1065" w:hanging="360"/>
      </w:pPr>
      <w:rPr>
        <w:rFonts w:hint="default"/>
        <w:lang w:val="en-US" w:eastAsia="en-US" w:bidi="ar-SA"/>
      </w:rPr>
    </w:lvl>
    <w:lvl w:ilvl="2" w:tplc="636228EC">
      <w:numFmt w:val="bullet"/>
      <w:lvlText w:val="•"/>
      <w:lvlJc w:val="left"/>
      <w:pPr>
        <w:ind w:left="1670" w:hanging="360"/>
      </w:pPr>
      <w:rPr>
        <w:rFonts w:hint="default"/>
        <w:lang w:val="en-US" w:eastAsia="en-US" w:bidi="ar-SA"/>
      </w:rPr>
    </w:lvl>
    <w:lvl w:ilvl="3" w:tplc="316E975C">
      <w:numFmt w:val="bullet"/>
      <w:lvlText w:val="•"/>
      <w:lvlJc w:val="left"/>
      <w:pPr>
        <w:ind w:left="2275" w:hanging="360"/>
      </w:pPr>
      <w:rPr>
        <w:rFonts w:hint="default"/>
        <w:lang w:val="en-US" w:eastAsia="en-US" w:bidi="ar-SA"/>
      </w:rPr>
    </w:lvl>
    <w:lvl w:ilvl="4" w:tplc="2A52F94C">
      <w:numFmt w:val="bullet"/>
      <w:lvlText w:val="•"/>
      <w:lvlJc w:val="left"/>
      <w:pPr>
        <w:ind w:left="2880" w:hanging="360"/>
      </w:pPr>
      <w:rPr>
        <w:rFonts w:hint="default"/>
        <w:lang w:val="en-US" w:eastAsia="en-US" w:bidi="ar-SA"/>
      </w:rPr>
    </w:lvl>
    <w:lvl w:ilvl="5" w:tplc="7C0C5314">
      <w:numFmt w:val="bullet"/>
      <w:lvlText w:val="•"/>
      <w:lvlJc w:val="left"/>
      <w:pPr>
        <w:ind w:left="3485" w:hanging="360"/>
      </w:pPr>
      <w:rPr>
        <w:rFonts w:hint="default"/>
        <w:lang w:val="en-US" w:eastAsia="en-US" w:bidi="ar-SA"/>
      </w:rPr>
    </w:lvl>
    <w:lvl w:ilvl="6" w:tplc="A0AC4F2C">
      <w:numFmt w:val="bullet"/>
      <w:lvlText w:val="•"/>
      <w:lvlJc w:val="left"/>
      <w:pPr>
        <w:ind w:left="4090" w:hanging="360"/>
      </w:pPr>
      <w:rPr>
        <w:rFonts w:hint="default"/>
        <w:lang w:val="en-US" w:eastAsia="en-US" w:bidi="ar-SA"/>
      </w:rPr>
    </w:lvl>
    <w:lvl w:ilvl="7" w:tplc="B888D2EA">
      <w:numFmt w:val="bullet"/>
      <w:lvlText w:val="•"/>
      <w:lvlJc w:val="left"/>
      <w:pPr>
        <w:ind w:left="4695" w:hanging="360"/>
      </w:pPr>
      <w:rPr>
        <w:rFonts w:hint="default"/>
        <w:lang w:val="en-US" w:eastAsia="en-US" w:bidi="ar-SA"/>
      </w:rPr>
    </w:lvl>
    <w:lvl w:ilvl="8" w:tplc="F9A833EE">
      <w:numFmt w:val="bullet"/>
      <w:lvlText w:val="•"/>
      <w:lvlJc w:val="left"/>
      <w:pPr>
        <w:ind w:left="5300" w:hanging="360"/>
      </w:pPr>
      <w:rPr>
        <w:rFonts w:hint="default"/>
        <w:lang w:val="en-US" w:eastAsia="en-US" w:bidi="ar-SA"/>
      </w:rPr>
    </w:lvl>
  </w:abstractNum>
  <w:abstractNum w:abstractNumId="48" w15:restartNumberingAfterBreak="0">
    <w:nsid w:val="52491045"/>
    <w:multiLevelType w:val="hybridMultilevel"/>
    <w:tmpl w:val="95AEC580"/>
    <w:lvl w:ilvl="0" w:tplc="6BA8ACBE">
      <w:start w:val="1"/>
      <w:numFmt w:val="lowerLetter"/>
      <w:lvlText w:val="(%1)"/>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A3E62E9A">
      <w:numFmt w:val="bullet"/>
      <w:lvlText w:val="•"/>
      <w:lvlJc w:val="left"/>
      <w:pPr>
        <w:ind w:left="4032" w:hanging="358"/>
      </w:pPr>
      <w:rPr>
        <w:rFonts w:hint="default"/>
        <w:lang w:val="en-US" w:eastAsia="en-US" w:bidi="ar-SA"/>
      </w:rPr>
    </w:lvl>
    <w:lvl w:ilvl="2" w:tplc="1FB613FA">
      <w:numFmt w:val="bullet"/>
      <w:lvlText w:val="•"/>
      <w:lvlJc w:val="left"/>
      <w:pPr>
        <w:ind w:left="4744" w:hanging="358"/>
      </w:pPr>
      <w:rPr>
        <w:rFonts w:hint="default"/>
        <w:lang w:val="en-US" w:eastAsia="en-US" w:bidi="ar-SA"/>
      </w:rPr>
    </w:lvl>
    <w:lvl w:ilvl="3" w:tplc="C3A42456">
      <w:numFmt w:val="bullet"/>
      <w:lvlText w:val="•"/>
      <w:lvlJc w:val="left"/>
      <w:pPr>
        <w:ind w:left="5457" w:hanging="358"/>
      </w:pPr>
      <w:rPr>
        <w:rFonts w:hint="default"/>
        <w:lang w:val="en-US" w:eastAsia="en-US" w:bidi="ar-SA"/>
      </w:rPr>
    </w:lvl>
    <w:lvl w:ilvl="4" w:tplc="4BC8A3D8">
      <w:numFmt w:val="bullet"/>
      <w:lvlText w:val="•"/>
      <w:lvlJc w:val="left"/>
      <w:pPr>
        <w:ind w:left="6169" w:hanging="358"/>
      </w:pPr>
      <w:rPr>
        <w:rFonts w:hint="default"/>
        <w:lang w:val="en-US" w:eastAsia="en-US" w:bidi="ar-SA"/>
      </w:rPr>
    </w:lvl>
    <w:lvl w:ilvl="5" w:tplc="0870F470">
      <w:numFmt w:val="bullet"/>
      <w:lvlText w:val="•"/>
      <w:lvlJc w:val="left"/>
      <w:pPr>
        <w:ind w:left="6882" w:hanging="358"/>
      </w:pPr>
      <w:rPr>
        <w:rFonts w:hint="default"/>
        <w:lang w:val="en-US" w:eastAsia="en-US" w:bidi="ar-SA"/>
      </w:rPr>
    </w:lvl>
    <w:lvl w:ilvl="6" w:tplc="254C601A">
      <w:numFmt w:val="bullet"/>
      <w:lvlText w:val="•"/>
      <w:lvlJc w:val="left"/>
      <w:pPr>
        <w:ind w:left="7594" w:hanging="358"/>
      </w:pPr>
      <w:rPr>
        <w:rFonts w:hint="default"/>
        <w:lang w:val="en-US" w:eastAsia="en-US" w:bidi="ar-SA"/>
      </w:rPr>
    </w:lvl>
    <w:lvl w:ilvl="7" w:tplc="60701598">
      <w:numFmt w:val="bullet"/>
      <w:lvlText w:val="•"/>
      <w:lvlJc w:val="left"/>
      <w:pPr>
        <w:ind w:left="8306" w:hanging="358"/>
      </w:pPr>
      <w:rPr>
        <w:rFonts w:hint="default"/>
        <w:lang w:val="en-US" w:eastAsia="en-US" w:bidi="ar-SA"/>
      </w:rPr>
    </w:lvl>
    <w:lvl w:ilvl="8" w:tplc="EB245C30">
      <w:numFmt w:val="bullet"/>
      <w:lvlText w:val="•"/>
      <w:lvlJc w:val="left"/>
      <w:pPr>
        <w:ind w:left="9019" w:hanging="358"/>
      </w:pPr>
      <w:rPr>
        <w:rFonts w:hint="default"/>
        <w:lang w:val="en-US" w:eastAsia="en-US" w:bidi="ar-SA"/>
      </w:rPr>
    </w:lvl>
  </w:abstractNum>
  <w:abstractNum w:abstractNumId="49" w15:restartNumberingAfterBreak="0">
    <w:nsid w:val="55A61817"/>
    <w:multiLevelType w:val="hybridMultilevel"/>
    <w:tmpl w:val="D9566554"/>
    <w:lvl w:ilvl="0" w:tplc="B3E01058">
      <w:numFmt w:val="bullet"/>
      <w:lvlText w:val=""/>
      <w:lvlJc w:val="left"/>
      <w:pPr>
        <w:ind w:left="829" w:hanging="360"/>
      </w:pPr>
      <w:rPr>
        <w:rFonts w:ascii="Symbol" w:eastAsia="Symbol" w:hAnsi="Symbol" w:cs="Symbol" w:hint="default"/>
        <w:b w:val="0"/>
        <w:bCs w:val="0"/>
        <w:i w:val="0"/>
        <w:iCs w:val="0"/>
        <w:spacing w:val="0"/>
        <w:w w:val="101"/>
        <w:sz w:val="18"/>
        <w:szCs w:val="18"/>
        <w:lang w:val="en-US" w:eastAsia="en-US" w:bidi="ar-SA"/>
      </w:rPr>
    </w:lvl>
    <w:lvl w:ilvl="1" w:tplc="639CCEBC">
      <w:numFmt w:val="bullet"/>
      <w:lvlText w:val="•"/>
      <w:lvlJc w:val="left"/>
      <w:pPr>
        <w:ind w:left="1318" w:hanging="360"/>
      </w:pPr>
      <w:rPr>
        <w:rFonts w:hint="default"/>
        <w:lang w:val="en-US" w:eastAsia="en-US" w:bidi="ar-SA"/>
      </w:rPr>
    </w:lvl>
    <w:lvl w:ilvl="2" w:tplc="B134A3D8">
      <w:numFmt w:val="bullet"/>
      <w:lvlText w:val="•"/>
      <w:lvlJc w:val="left"/>
      <w:pPr>
        <w:ind w:left="1817" w:hanging="360"/>
      </w:pPr>
      <w:rPr>
        <w:rFonts w:hint="default"/>
        <w:lang w:val="en-US" w:eastAsia="en-US" w:bidi="ar-SA"/>
      </w:rPr>
    </w:lvl>
    <w:lvl w:ilvl="3" w:tplc="478AD48E">
      <w:numFmt w:val="bullet"/>
      <w:lvlText w:val="•"/>
      <w:lvlJc w:val="left"/>
      <w:pPr>
        <w:ind w:left="2315" w:hanging="360"/>
      </w:pPr>
      <w:rPr>
        <w:rFonts w:hint="default"/>
        <w:lang w:val="en-US" w:eastAsia="en-US" w:bidi="ar-SA"/>
      </w:rPr>
    </w:lvl>
    <w:lvl w:ilvl="4" w:tplc="EF5AF45A">
      <w:numFmt w:val="bullet"/>
      <w:lvlText w:val="•"/>
      <w:lvlJc w:val="left"/>
      <w:pPr>
        <w:ind w:left="2814" w:hanging="360"/>
      </w:pPr>
      <w:rPr>
        <w:rFonts w:hint="default"/>
        <w:lang w:val="en-US" w:eastAsia="en-US" w:bidi="ar-SA"/>
      </w:rPr>
    </w:lvl>
    <w:lvl w:ilvl="5" w:tplc="E326AD42">
      <w:numFmt w:val="bullet"/>
      <w:lvlText w:val="•"/>
      <w:lvlJc w:val="left"/>
      <w:pPr>
        <w:ind w:left="3313" w:hanging="360"/>
      </w:pPr>
      <w:rPr>
        <w:rFonts w:hint="default"/>
        <w:lang w:val="en-US" w:eastAsia="en-US" w:bidi="ar-SA"/>
      </w:rPr>
    </w:lvl>
    <w:lvl w:ilvl="6" w:tplc="5A3C222A">
      <w:numFmt w:val="bullet"/>
      <w:lvlText w:val="•"/>
      <w:lvlJc w:val="left"/>
      <w:pPr>
        <w:ind w:left="3811" w:hanging="360"/>
      </w:pPr>
      <w:rPr>
        <w:rFonts w:hint="default"/>
        <w:lang w:val="en-US" w:eastAsia="en-US" w:bidi="ar-SA"/>
      </w:rPr>
    </w:lvl>
    <w:lvl w:ilvl="7" w:tplc="EBD869A4">
      <w:numFmt w:val="bullet"/>
      <w:lvlText w:val="•"/>
      <w:lvlJc w:val="left"/>
      <w:pPr>
        <w:ind w:left="4310" w:hanging="360"/>
      </w:pPr>
      <w:rPr>
        <w:rFonts w:hint="default"/>
        <w:lang w:val="en-US" w:eastAsia="en-US" w:bidi="ar-SA"/>
      </w:rPr>
    </w:lvl>
    <w:lvl w:ilvl="8" w:tplc="306618C2">
      <w:numFmt w:val="bullet"/>
      <w:lvlText w:val="•"/>
      <w:lvlJc w:val="left"/>
      <w:pPr>
        <w:ind w:left="4808" w:hanging="360"/>
      </w:pPr>
      <w:rPr>
        <w:rFonts w:hint="default"/>
        <w:lang w:val="en-US" w:eastAsia="en-US" w:bidi="ar-SA"/>
      </w:rPr>
    </w:lvl>
  </w:abstractNum>
  <w:abstractNum w:abstractNumId="50" w15:restartNumberingAfterBreak="0">
    <w:nsid w:val="566F1863"/>
    <w:multiLevelType w:val="hybridMultilevel"/>
    <w:tmpl w:val="629C9358"/>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602983"/>
    <w:multiLevelType w:val="hybridMultilevel"/>
    <w:tmpl w:val="717AE7D2"/>
    <w:lvl w:ilvl="0" w:tplc="E41A5F98">
      <w:numFmt w:val="bullet"/>
      <w:lvlText w:val="-"/>
      <w:lvlJc w:val="left"/>
      <w:pPr>
        <w:ind w:left="464" w:hanging="360"/>
      </w:pPr>
      <w:rPr>
        <w:rFonts w:ascii="Calibri" w:eastAsia="Calibri" w:hAnsi="Calibri" w:cs="Calibri" w:hint="default"/>
        <w:b w:val="0"/>
        <w:bCs w:val="0"/>
        <w:i w:val="0"/>
        <w:iCs w:val="0"/>
        <w:spacing w:val="0"/>
        <w:w w:val="101"/>
        <w:sz w:val="18"/>
        <w:szCs w:val="18"/>
        <w:lang w:val="en-US" w:eastAsia="en-US" w:bidi="ar-SA"/>
      </w:rPr>
    </w:lvl>
    <w:lvl w:ilvl="1" w:tplc="9EF488BC">
      <w:numFmt w:val="bullet"/>
      <w:lvlText w:val="•"/>
      <w:lvlJc w:val="left"/>
      <w:pPr>
        <w:ind w:left="1065" w:hanging="360"/>
      </w:pPr>
      <w:rPr>
        <w:rFonts w:hint="default"/>
        <w:lang w:val="en-US" w:eastAsia="en-US" w:bidi="ar-SA"/>
      </w:rPr>
    </w:lvl>
    <w:lvl w:ilvl="2" w:tplc="10A637EE">
      <w:numFmt w:val="bullet"/>
      <w:lvlText w:val="•"/>
      <w:lvlJc w:val="left"/>
      <w:pPr>
        <w:ind w:left="1670" w:hanging="360"/>
      </w:pPr>
      <w:rPr>
        <w:rFonts w:hint="default"/>
        <w:lang w:val="en-US" w:eastAsia="en-US" w:bidi="ar-SA"/>
      </w:rPr>
    </w:lvl>
    <w:lvl w:ilvl="3" w:tplc="F8A20D9A">
      <w:numFmt w:val="bullet"/>
      <w:lvlText w:val="•"/>
      <w:lvlJc w:val="left"/>
      <w:pPr>
        <w:ind w:left="2275" w:hanging="360"/>
      </w:pPr>
      <w:rPr>
        <w:rFonts w:hint="default"/>
        <w:lang w:val="en-US" w:eastAsia="en-US" w:bidi="ar-SA"/>
      </w:rPr>
    </w:lvl>
    <w:lvl w:ilvl="4" w:tplc="4D7A9F30">
      <w:numFmt w:val="bullet"/>
      <w:lvlText w:val="•"/>
      <w:lvlJc w:val="left"/>
      <w:pPr>
        <w:ind w:left="2880" w:hanging="360"/>
      </w:pPr>
      <w:rPr>
        <w:rFonts w:hint="default"/>
        <w:lang w:val="en-US" w:eastAsia="en-US" w:bidi="ar-SA"/>
      </w:rPr>
    </w:lvl>
    <w:lvl w:ilvl="5" w:tplc="8398DAC4">
      <w:numFmt w:val="bullet"/>
      <w:lvlText w:val="•"/>
      <w:lvlJc w:val="left"/>
      <w:pPr>
        <w:ind w:left="3485" w:hanging="360"/>
      </w:pPr>
      <w:rPr>
        <w:rFonts w:hint="default"/>
        <w:lang w:val="en-US" w:eastAsia="en-US" w:bidi="ar-SA"/>
      </w:rPr>
    </w:lvl>
    <w:lvl w:ilvl="6" w:tplc="201AF084">
      <w:numFmt w:val="bullet"/>
      <w:lvlText w:val="•"/>
      <w:lvlJc w:val="left"/>
      <w:pPr>
        <w:ind w:left="4090" w:hanging="360"/>
      </w:pPr>
      <w:rPr>
        <w:rFonts w:hint="default"/>
        <w:lang w:val="en-US" w:eastAsia="en-US" w:bidi="ar-SA"/>
      </w:rPr>
    </w:lvl>
    <w:lvl w:ilvl="7" w:tplc="8E9ED4F8">
      <w:numFmt w:val="bullet"/>
      <w:lvlText w:val="•"/>
      <w:lvlJc w:val="left"/>
      <w:pPr>
        <w:ind w:left="4695" w:hanging="360"/>
      </w:pPr>
      <w:rPr>
        <w:rFonts w:hint="default"/>
        <w:lang w:val="en-US" w:eastAsia="en-US" w:bidi="ar-SA"/>
      </w:rPr>
    </w:lvl>
    <w:lvl w:ilvl="8" w:tplc="A7982666">
      <w:numFmt w:val="bullet"/>
      <w:lvlText w:val="•"/>
      <w:lvlJc w:val="left"/>
      <w:pPr>
        <w:ind w:left="5300" w:hanging="360"/>
      </w:pPr>
      <w:rPr>
        <w:rFonts w:hint="default"/>
        <w:lang w:val="en-US" w:eastAsia="en-US" w:bidi="ar-SA"/>
      </w:rPr>
    </w:lvl>
  </w:abstractNum>
  <w:abstractNum w:abstractNumId="52" w15:restartNumberingAfterBreak="0">
    <w:nsid w:val="59AD04F8"/>
    <w:multiLevelType w:val="hybridMultilevel"/>
    <w:tmpl w:val="78B08130"/>
    <w:lvl w:ilvl="0" w:tplc="9CECB17A">
      <w:numFmt w:val="bullet"/>
      <w:lvlText w:val=""/>
      <w:lvlJc w:val="left"/>
      <w:pPr>
        <w:ind w:left="830" w:hanging="360"/>
      </w:pPr>
      <w:rPr>
        <w:rFonts w:ascii="Symbol" w:eastAsia="Symbol" w:hAnsi="Symbol" w:cs="Symbol" w:hint="default"/>
        <w:b w:val="0"/>
        <w:bCs w:val="0"/>
        <w:i w:val="0"/>
        <w:iCs w:val="0"/>
        <w:color w:val="91A9A2"/>
        <w:spacing w:val="0"/>
        <w:w w:val="101"/>
        <w:sz w:val="18"/>
        <w:szCs w:val="18"/>
        <w:lang w:val="en-US" w:eastAsia="en-US" w:bidi="ar-SA"/>
      </w:rPr>
    </w:lvl>
    <w:lvl w:ilvl="1" w:tplc="47CE220E">
      <w:numFmt w:val="bullet"/>
      <w:lvlText w:val="•"/>
      <w:lvlJc w:val="left"/>
      <w:pPr>
        <w:ind w:left="1075" w:hanging="360"/>
      </w:pPr>
      <w:rPr>
        <w:rFonts w:hint="default"/>
        <w:lang w:val="en-US" w:eastAsia="en-US" w:bidi="ar-SA"/>
      </w:rPr>
    </w:lvl>
    <w:lvl w:ilvl="2" w:tplc="FA0A1368">
      <w:numFmt w:val="bullet"/>
      <w:lvlText w:val="•"/>
      <w:lvlJc w:val="left"/>
      <w:pPr>
        <w:ind w:left="1311" w:hanging="360"/>
      </w:pPr>
      <w:rPr>
        <w:rFonts w:hint="default"/>
        <w:lang w:val="en-US" w:eastAsia="en-US" w:bidi="ar-SA"/>
      </w:rPr>
    </w:lvl>
    <w:lvl w:ilvl="3" w:tplc="D1345E1C">
      <w:numFmt w:val="bullet"/>
      <w:lvlText w:val="•"/>
      <w:lvlJc w:val="left"/>
      <w:pPr>
        <w:ind w:left="1547" w:hanging="360"/>
      </w:pPr>
      <w:rPr>
        <w:rFonts w:hint="default"/>
        <w:lang w:val="en-US" w:eastAsia="en-US" w:bidi="ar-SA"/>
      </w:rPr>
    </w:lvl>
    <w:lvl w:ilvl="4" w:tplc="B4D8742E">
      <w:numFmt w:val="bullet"/>
      <w:lvlText w:val="•"/>
      <w:lvlJc w:val="left"/>
      <w:pPr>
        <w:ind w:left="1782" w:hanging="360"/>
      </w:pPr>
      <w:rPr>
        <w:rFonts w:hint="default"/>
        <w:lang w:val="en-US" w:eastAsia="en-US" w:bidi="ar-SA"/>
      </w:rPr>
    </w:lvl>
    <w:lvl w:ilvl="5" w:tplc="A5DC6994">
      <w:numFmt w:val="bullet"/>
      <w:lvlText w:val="•"/>
      <w:lvlJc w:val="left"/>
      <w:pPr>
        <w:ind w:left="2018" w:hanging="360"/>
      </w:pPr>
      <w:rPr>
        <w:rFonts w:hint="default"/>
        <w:lang w:val="en-US" w:eastAsia="en-US" w:bidi="ar-SA"/>
      </w:rPr>
    </w:lvl>
    <w:lvl w:ilvl="6" w:tplc="B3A0B22C">
      <w:numFmt w:val="bullet"/>
      <w:lvlText w:val="•"/>
      <w:lvlJc w:val="left"/>
      <w:pPr>
        <w:ind w:left="2254" w:hanging="360"/>
      </w:pPr>
      <w:rPr>
        <w:rFonts w:hint="default"/>
        <w:lang w:val="en-US" w:eastAsia="en-US" w:bidi="ar-SA"/>
      </w:rPr>
    </w:lvl>
    <w:lvl w:ilvl="7" w:tplc="AFAE3C20">
      <w:numFmt w:val="bullet"/>
      <w:lvlText w:val="•"/>
      <w:lvlJc w:val="left"/>
      <w:pPr>
        <w:ind w:left="2489" w:hanging="360"/>
      </w:pPr>
      <w:rPr>
        <w:rFonts w:hint="default"/>
        <w:lang w:val="en-US" w:eastAsia="en-US" w:bidi="ar-SA"/>
      </w:rPr>
    </w:lvl>
    <w:lvl w:ilvl="8" w:tplc="E2CE87B4">
      <w:numFmt w:val="bullet"/>
      <w:lvlText w:val="•"/>
      <w:lvlJc w:val="left"/>
      <w:pPr>
        <w:ind w:left="2725" w:hanging="360"/>
      </w:pPr>
      <w:rPr>
        <w:rFonts w:hint="default"/>
        <w:lang w:val="en-US" w:eastAsia="en-US" w:bidi="ar-SA"/>
      </w:rPr>
    </w:lvl>
  </w:abstractNum>
  <w:abstractNum w:abstractNumId="53" w15:restartNumberingAfterBreak="0">
    <w:nsid w:val="5C614CAD"/>
    <w:multiLevelType w:val="hybridMultilevel"/>
    <w:tmpl w:val="4684B162"/>
    <w:lvl w:ilvl="0" w:tplc="302437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CE62BF3"/>
    <w:multiLevelType w:val="hybridMultilevel"/>
    <w:tmpl w:val="697AF1BC"/>
    <w:lvl w:ilvl="0" w:tplc="4178FFC0">
      <w:start w:val="1"/>
      <w:numFmt w:val="decimal"/>
      <w:lvlText w:val="%1"/>
      <w:lvlJc w:val="left"/>
      <w:pPr>
        <w:ind w:left="3768" w:hanging="680"/>
      </w:pPr>
      <w:rPr>
        <w:rFonts w:ascii="Times New Roman" w:eastAsia="Times New Roman" w:hAnsi="Times New Roman" w:cs="Times New Roman" w:hint="default"/>
        <w:b w:val="0"/>
        <w:bCs w:val="0"/>
        <w:i w:val="0"/>
        <w:iCs w:val="0"/>
        <w:spacing w:val="0"/>
        <w:w w:val="100"/>
        <w:sz w:val="18"/>
        <w:szCs w:val="18"/>
        <w:lang w:val="en-US" w:eastAsia="en-US" w:bidi="ar-SA"/>
      </w:rPr>
    </w:lvl>
    <w:lvl w:ilvl="1" w:tplc="293430DC">
      <w:numFmt w:val="bullet"/>
      <w:lvlText w:val="•"/>
      <w:lvlJc w:val="left"/>
      <w:pPr>
        <w:ind w:left="4428" w:hanging="680"/>
      </w:pPr>
      <w:rPr>
        <w:rFonts w:hint="default"/>
        <w:lang w:val="en-US" w:eastAsia="en-US" w:bidi="ar-SA"/>
      </w:rPr>
    </w:lvl>
    <w:lvl w:ilvl="2" w:tplc="E34EC452">
      <w:numFmt w:val="bullet"/>
      <w:lvlText w:val="•"/>
      <w:lvlJc w:val="left"/>
      <w:pPr>
        <w:ind w:left="5096" w:hanging="680"/>
      </w:pPr>
      <w:rPr>
        <w:rFonts w:hint="default"/>
        <w:lang w:val="en-US" w:eastAsia="en-US" w:bidi="ar-SA"/>
      </w:rPr>
    </w:lvl>
    <w:lvl w:ilvl="3" w:tplc="17628CDA">
      <w:numFmt w:val="bullet"/>
      <w:lvlText w:val="•"/>
      <w:lvlJc w:val="left"/>
      <w:pPr>
        <w:ind w:left="5765" w:hanging="680"/>
      </w:pPr>
      <w:rPr>
        <w:rFonts w:hint="default"/>
        <w:lang w:val="en-US" w:eastAsia="en-US" w:bidi="ar-SA"/>
      </w:rPr>
    </w:lvl>
    <w:lvl w:ilvl="4" w:tplc="11A43522">
      <w:numFmt w:val="bullet"/>
      <w:lvlText w:val="•"/>
      <w:lvlJc w:val="left"/>
      <w:pPr>
        <w:ind w:left="6433" w:hanging="680"/>
      </w:pPr>
      <w:rPr>
        <w:rFonts w:hint="default"/>
        <w:lang w:val="en-US" w:eastAsia="en-US" w:bidi="ar-SA"/>
      </w:rPr>
    </w:lvl>
    <w:lvl w:ilvl="5" w:tplc="D19C01D2">
      <w:numFmt w:val="bullet"/>
      <w:lvlText w:val="•"/>
      <w:lvlJc w:val="left"/>
      <w:pPr>
        <w:ind w:left="7102" w:hanging="680"/>
      </w:pPr>
      <w:rPr>
        <w:rFonts w:hint="default"/>
        <w:lang w:val="en-US" w:eastAsia="en-US" w:bidi="ar-SA"/>
      </w:rPr>
    </w:lvl>
    <w:lvl w:ilvl="6" w:tplc="2254612E">
      <w:numFmt w:val="bullet"/>
      <w:lvlText w:val="•"/>
      <w:lvlJc w:val="left"/>
      <w:pPr>
        <w:ind w:left="7770" w:hanging="680"/>
      </w:pPr>
      <w:rPr>
        <w:rFonts w:hint="default"/>
        <w:lang w:val="en-US" w:eastAsia="en-US" w:bidi="ar-SA"/>
      </w:rPr>
    </w:lvl>
    <w:lvl w:ilvl="7" w:tplc="9320ACD0">
      <w:numFmt w:val="bullet"/>
      <w:lvlText w:val="•"/>
      <w:lvlJc w:val="left"/>
      <w:pPr>
        <w:ind w:left="8438" w:hanging="680"/>
      </w:pPr>
      <w:rPr>
        <w:rFonts w:hint="default"/>
        <w:lang w:val="en-US" w:eastAsia="en-US" w:bidi="ar-SA"/>
      </w:rPr>
    </w:lvl>
    <w:lvl w:ilvl="8" w:tplc="4816D8A8">
      <w:numFmt w:val="bullet"/>
      <w:lvlText w:val="•"/>
      <w:lvlJc w:val="left"/>
      <w:pPr>
        <w:ind w:left="9107" w:hanging="680"/>
      </w:pPr>
      <w:rPr>
        <w:rFonts w:hint="default"/>
        <w:lang w:val="en-US" w:eastAsia="en-US" w:bidi="ar-SA"/>
      </w:rPr>
    </w:lvl>
  </w:abstractNum>
  <w:abstractNum w:abstractNumId="55" w15:restartNumberingAfterBreak="0">
    <w:nsid w:val="5EC86845"/>
    <w:multiLevelType w:val="hybridMultilevel"/>
    <w:tmpl w:val="CD98CBBC"/>
    <w:lvl w:ilvl="0" w:tplc="81D2EC32">
      <w:numFmt w:val="bullet"/>
      <w:lvlText w:val=""/>
      <w:lvlJc w:val="left"/>
      <w:pPr>
        <w:ind w:left="829" w:hanging="360"/>
      </w:pPr>
      <w:rPr>
        <w:rFonts w:ascii="Symbol" w:eastAsia="Symbol" w:hAnsi="Symbol" w:cs="Symbol" w:hint="default"/>
        <w:b w:val="0"/>
        <w:bCs w:val="0"/>
        <w:i w:val="0"/>
        <w:iCs w:val="0"/>
        <w:color w:val="91A9A2"/>
        <w:spacing w:val="0"/>
        <w:w w:val="101"/>
        <w:sz w:val="18"/>
        <w:szCs w:val="18"/>
        <w:lang w:val="en-US" w:eastAsia="en-US" w:bidi="ar-SA"/>
      </w:rPr>
    </w:lvl>
    <w:lvl w:ilvl="1" w:tplc="DF92745A">
      <w:numFmt w:val="bullet"/>
      <w:lvlText w:val="•"/>
      <w:lvlJc w:val="left"/>
      <w:pPr>
        <w:ind w:left="1318" w:hanging="360"/>
      </w:pPr>
      <w:rPr>
        <w:rFonts w:hint="default"/>
        <w:lang w:val="en-US" w:eastAsia="en-US" w:bidi="ar-SA"/>
      </w:rPr>
    </w:lvl>
    <w:lvl w:ilvl="2" w:tplc="3CB681F4">
      <w:numFmt w:val="bullet"/>
      <w:lvlText w:val="•"/>
      <w:lvlJc w:val="left"/>
      <w:pPr>
        <w:ind w:left="1817" w:hanging="360"/>
      </w:pPr>
      <w:rPr>
        <w:rFonts w:hint="default"/>
        <w:lang w:val="en-US" w:eastAsia="en-US" w:bidi="ar-SA"/>
      </w:rPr>
    </w:lvl>
    <w:lvl w:ilvl="3" w:tplc="D9D66314">
      <w:numFmt w:val="bullet"/>
      <w:lvlText w:val="•"/>
      <w:lvlJc w:val="left"/>
      <w:pPr>
        <w:ind w:left="2315" w:hanging="360"/>
      </w:pPr>
      <w:rPr>
        <w:rFonts w:hint="default"/>
        <w:lang w:val="en-US" w:eastAsia="en-US" w:bidi="ar-SA"/>
      </w:rPr>
    </w:lvl>
    <w:lvl w:ilvl="4" w:tplc="786ADD0A">
      <w:numFmt w:val="bullet"/>
      <w:lvlText w:val="•"/>
      <w:lvlJc w:val="left"/>
      <w:pPr>
        <w:ind w:left="2814" w:hanging="360"/>
      </w:pPr>
      <w:rPr>
        <w:rFonts w:hint="default"/>
        <w:lang w:val="en-US" w:eastAsia="en-US" w:bidi="ar-SA"/>
      </w:rPr>
    </w:lvl>
    <w:lvl w:ilvl="5" w:tplc="608A01C8">
      <w:numFmt w:val="bullet"/>
      <w:lvlText w:val="•"/>
      <w:lvlJc w:val="left"/>
      <w:pPr>
        <w:ind w:left="3313" w:hanging="360"/>
      </w:pPr>
      <w:rPr>
        <w:rFonts w:hint="default"/>
        <w:lang w:val="en-US" w:eastAsia="en-US" w:bidi="ar-SA"/>
      </w:rPr>
    </w:lvl>
    <w:lvl w:ilvl="6" w:tplc="C4C44AE6">
      <w:numFmt w:val="bullet"/>
      <w:lvlText w:val="•"/>
      <w:lvlJc w:val="left"/>
      <w:pPr>
        <w:ind w:left="3811" w:hanging="360"/>
      </w:pPr>
      <w:rPr>
        <w:rFonts w:hint="default"/>
        <w:lang w:val="en-US" w:eastAsia="en-US" w:bidi="ar-SA"/>
      </w:rPr>
    </w:lvl>
    <w:lvl w:ilvl="7" w:tplc="B4D61FC0">
      <w:numFmt w:val="bullet"/>
      <w:lvlText w:val="•"/>
      <w:lvlJc w:val="left"/>
      <w:pPr>
        <w:ind w:left="4310" w:hanging="360"/>
      </w:pPr>
      <w:rPr>
        <w:rFonts w:hint="default"/>
        <w:lang w:val="en-US" w:eastAsia="en-US" w:bidi="ar-SA"/>
      </w:rPr>
    </w:lvl>
    <w:lvl w:ilvl="8" w:tplc="8B163372">
      <w:numFmt w:val="bullet"/>
      <w:lvlText w:val="•"/>
      <w:lvlJc w:val="left"/>
      <w:pPr>
        <w:ind w:left="4808" w:hanging="360"/>
      </w:pPr>
      <w:rPr>
        <w:rFonts w:hint="default"/>
        <w:lang w:val="en-US" w:eastAsia="en-US" w:bidi="ar-SA"/>
      </w:rPr>
    </w:lvl>
  </w:abstractNum>
  <w:abstractNum w:abstractNumId="56" w15:restartNumberingAfterBreak="0">
    <w:nsid w:val="5EEF377B"/>
    <w:multiLevelType w:val="hybridMultilevel"/>
    <w:tmpl w:val="60CC0772"/>
    <w:lvl w:ilvl="0" w:tplc="09E8450C">
      <w:start w:val="1"/>
      <w:numFmt w:val="decimal"/>
      <w:lvlText w:val="%1."/>
      <w:lvlJc w:val="left"/>
      <w:pPr>
        <w:ind w:left="1228" w:hanging="361"/>
      </w:pPr>
      <w:rPr>
        <w:rFonts w:ascii="Book Antiqua" w:eastAsia="Book Antiqua" w:hAnsi="Book Antiqua" w:cs="Book Antiqua" w:hint="default"/>
        <w:b w:val="0"/>
        <w:bCs w:val="0"/>
        <w:i w:val="0"/>
        <w:iCs w:val="0"/>
        <w:color w:val="58857D"/>
        <w:spacing w:val="0"/>
        <w:w w:val="100"/>
        <w:sz w:val="20"/>
        <w:szCs w:val="20"/>
        <w:lang w:val="en-US" w:eastAsia="en-US" w:bidi="ar-SA"/>
      </w:rPr>
    </w:lvl>
    <w:lvl w:ilvl="1" w:tplc="6130DF6E">
      <w:numFmt w:val="bullet"/>
      <w:lvlText w:val="•"/>
      <w:lvlJc w:val="left"/>
      <w:pPr>
        <w:ind w:left="2142" w:hanging="361"/>
      </w:pPr>
      <w:rPr>
        <w:rFonts w:hint="default"/>
        <w:lang w:val="en-US" w:eastAsia="en-US" w:bidi="ar-SA"/>
      </w:rPr>
    </w:lvl>
    <w:lvl w:ilvl="2" w:tplc="13DA0F7A">
      <w:numFmt w:val="bullet"/>
      <w:lvlText w:val="•"/>
      <w:lvlJc w:val="left"/>
      <w:pPr>
        <w:ind w:left="3064" w:hanging="361"/>
      </w:pPr>
      <w:rPr>
        <w:rFonts w:hint="default"/>
        <w:lang w:val="en-US" w:eastAsia="en-US" w:bidi="ar-SA"/>
      </w:rPr>
    </w:lvl>
    <w:lvl w:ilvl="3" w:tplc="FBDA76B2">
      <w:numFmt w:val="bullet"/>
      <w:lvlText w:val="•"/>
      <w:lvlJc w:val="left"/>
      <w:pPr>
        <w:ind w:left="3987" w:hanging="361"/>
      </w:pPr>
      <w:rPr>
        <w:rFonts w:hint="default"/>
        <w:lang w:val="en-US" w:eastAsia="en-US" w:bidi="ar-SA"/>
      </w:rPr>
    </w:lvl>
    <w:lvl w:ilvl="4" w:tplc="1F2A1A34">
      <w:numFmt w:val="bullet"/>
      <w:lvlText w:val="•"/>
      <w:lvlJc w:val="left"/>
      <w:pPr>
        <w:ind w:left="4909" w:hanging="361"/>
      </w:pPr>
      <w:rPr>
        <w:rFonts w:hint="default"/>
        <w:lang w:val="en-US" w:eastAsia="en-US" w:bidi="ar-SA"/>
      </w:rPr>
    </w:lvl>
    <w:lvl w:ilvl="5" w:tplc="84A8BEFE">
      <w:numFmt w:val="bullet"/>
      <w:lvlText w:val="•"/>
      <w:lvlJc w:val="left"/>
      <w:pPr>
        <w:ind w:left="5832" w:hanging="361"/>
      </w:pPr>
      <w:rPr>
        <w:rFonts w:hint="default"/>
        <w:lang w:val="en-US" w:eastAsia="en-US" w:bidi="ar-SA"/>
      </w:rPr>
    </w:lvl>
    <w:lvl w:ilvl="6" w:tplc="B02E6008">
      <w:numFmt w:val="bullet"/>
      <w:lvlText w:val="•"/>
      <w:lvlJc w:val="left"/>
      <w:pPr>
        <w:ind w:left="6754" w:hanging="361"/>
      </w:pPr>
      <w:rPr>
        <w:rFonts w:hint="default"/>
        <w:lang w:val="en-US" w:eastAsia="en-US" w:bidi="ar-SA"/>
      </w:rPr>
    </w:lvl>
    <w:lvl w:ilvl="7" w:tplc="B100CF2A">
      <w:numFmt w:val="bullet"/>
      <w:lvlText w:val="•"/>
      <w:lvlJc w:val="left"/>
      <w:pPr>
        <w:ind w:left="7676" w:hanging="361"/>
      </w:pPr>
      <w:rPr>
        <w:rFonts w:hint="default"/>
        <w:lang w:val="en-US" w:eastAsia="en-US" w:bidi="ar-SA"/>
      </w:rPr>
    </w:lvl>
    <w:lvl w:ilvl="8" w:tplc="0EBCBE8A">
      <w:numFmt w:val="bullet"/>
      <w:lvlText w:val="•"/>
      <w:lvlJc w:val="left"/>
      <w:pPr>
        <w:ind w:left="8599" w:hanging="361"/>
      </w:pPr>
      <w:rPr>
        <w:rFonts w:hint="default"/>
        <w:lang w:val="en-US" w:eastAsia="en-US" w:bidi="ar-SA"/>
      </w:rPr>
    </w:lvl>
  </w:abstractNum>
  <w:abstractNum w:abstractNumId="57" w15:restartNumberingAfterBreak="0">
    <w:nsid w:val="5EFC2D1C"/>
    <w:multiLevelType w:val="hybridMultilevel"/>
    <w:tmpl w:val="7D628F1A"/>
    <w:lvl w:ilvl="0" w:tplc="70B2FE34">
      <w:numFmt w:val="bullet"/>
      <w:lvlText w:val=""/>
      <w:lvlJc w:val="left"/>
      <w:pPr>
        <w:ind w:left="830" w:hanging="360"/>
      </w:pPr>
      <w:rPr>
        <w:rFonts w:ascii="Symbol" w:eastAsia="Symbol" w:hAnsi="Symbol" w:cs="Symbol" w:hint="default"/>
        <w:b w:val="0"/>
        <w:bCs w:val="0"/>
        <w:i w:val="0"/>
        <w:iCs w:val="0"/>
        <w:color w:val="91A9A2"/>
        <w:spacing w:val="0"/>
        <w:w w:val="101"/>
        <w:sz w:val="18"/>
        <w:szCs w:val="18"/>
        <w:lang w:val="en-US" w:eastAsia="en-US" w:bidi="ar-SA"/>
      </w:rPr>
    </w:lvl>
    <w:lvl w:ilvl="1" w:tplc="94FE5E6C">
      <w:numFmt w:val="bullet"/>
      <w:lvlText w:val="•"/>
      <w:lvlJc w:val="left"/>
      <w:pPr>
        <w:ind w:left="1101" w:hanging="360"/>
      </w:pPr>
      <w:rPr>
        <w:rFonts w:hint="default"/>
        <w:lang w:val="en-US" w:eastAsia="en-US" w:bidi="ar-SA"/>
      </w:rPr>
    </w:lvl>
    <w:lvl w:ilvl="2" w:tplc="BC103554">
      <w:numFmt w:val="bullet"/>
      <w:lvlText w:val="•"/>
      <w:lvlJc w:val="left"/>
      <w:pPr>
        <w:ind w:left="1363" w:hanging="360"/>
      </w:pPr>
      <w:rPr>
        <w:rFonts w:hint="default"/>
        <w:lang w:val="en-US" w:eastAsia="en-US" w:bidi="ar-SA"/>
      </w:rPr>
    </w:lvl>
    <w:lvl w:ilvl="3" w:tplc="1E005DD2">
      <w:numFmt w:val="bullet"/>
      <w:lvlText w:val="•"/>
      <w:lvlJc w:val="left"/>
      <w:pPr>
        <w:ind w:left="1625" w:hanging="360"/>
      </w:pPr>
      <w:rPr>
        <w:rFonts w:hint="default"/>
        <w:lang w:val="en-US" w:eastAsia="en-US" w:bidi="ar-SA"/>
      </w:rPr>
    </w:lvl>
    <w:lvl w:ilvl="4" w:tplc="B8622398">
      <w:numFmt w:val="bullet"/>
      <w:lvlText w:val="•"/>
      <w:lvlJc w:val="left"/>
      <w:pPr>
        <w:ind w:left="1886" w:hanging="360"/>
      </w:pPr>
      <w:rPr>
        <w:rFonts w:hint="default"/>
        <w:lang w:val="en-US" w:eastAsia="en-US" w:bidi="ar-SA"/>
      </w:rPr>
    </w:lvl>
    <w:lvl w:ilvl="5" w:tplc="E578B542">
      <w:numFmt w:val="bullet"/>
      <w:lvlText w:val="•"/>
      <w:lvlJc w:val="left"/>
      <w:pPr>
        <w:ind w:left="2148" w:hanging="360"/>
      </w:pPr>
      <w:rPr>
        <w:rFonts w:hint="default"/>
        <w:lang w:val="en-US" w:eastAsia="en-US" w:bidi="ar-SA"/>
      </w:rPr>
    </w:lvl>
    <w:lvl w:ilvl="6" w:tplc="32D6C3F6">
      <w:numFmt w:val="bullet"/>
      <w:lvlText w:val="•"/>
      <w:lvlJc w:val="left"/>
      <w:pPr>
        <w:ind w:left="2410" w:hanging="360"/>
      </w:pPr>
      <w:rPr>
        <w:rFonts w:hint="default"/>
        <w:lang w:val="en-US" w:eastAsia="en-US" w:bidi="ar-SA"/>
      </w:rPr>
    </w:lvl>
    <w:lvl w:ilvl="7" w:tplc="304A0832">
      <w:numFmt w:val="bullet"/>
      <w:lvlText w:val="•"/>
      <w:lvlJc w:val="left"/>
      <w:pPr>
        <w:ind w:left="2671" w:hanging="360"/>
      </w:pPr>
      <w:rPr>
        <w:rFonts w:hint="default"/>
        <w:lang w:val="en-US" w:eastAsia="en-US" w:bidi="ar-SA"/>
      </w:rPr>
    </w:lvl>
    <w:lvl w:ilvl="8" w:tplc="D206A924">
      <w:numFmt w:val="bullet"/>
      <w:lvlText w:val="•"/>
      <w:lvlJc w:val="left"/>
      <w:pPr>
        <w:ind w:left="2933" w:hanging="360"/>
      </w:pPr>
      <w:rPr>
        <w:rFonts w:hint="default"/>
        <w:lang w:val="en-US" w:eastAsia="en-US" w:bidi="ar-SA"/>
      </w:rPr>
    </w:lvl>
  </w:abstractNum>
  <w:abstractNum w:abstractNumId="58" w15:restartNumberingAfterBreak="0">
    <w:nsid w:val="5FD06DA5"/>
    <w:multiLevelType w:val="hybridMultilevel"/>
    <w:tmpl w:val="21984E06"/>
    <w:lvl w:ilvl="0" w:tplc="B466349A">
      <w:start w:val="1"/>
      <w:numFmt w:val="decimal"/>
      <w:lvlText w:val="(%1)"/>
      <w:lvlJc w:val="left"/>
      <w:pPr>
        <w:ind w:left="2803" w:hanging="371"/>
      </w:pPr>
      <w:rPr>
        <w:rFonts w:ascii="Times New Roman" w:eastAsia="Times New Roman" w:hAnsi="Times New Roman" w:cs="Times New Roman" w:hint="default"/>
        <w:b w:val="0"/>
        <w:bCs w:val="0"/>
        <w:i w:val="0"/>
        <w:iCs w:val="0"/>
        <w:spacing w:val="0"/>
        <w:w w:val="100"/>
        <w:sz w:val="22"/>
        <w:szCs w:val="22"/>
        <w:lang w:val="en-US" w:eastAsia="en-US" w:bidi="ar-SA"/>
      </w:rPr>
    </w:lvl>
    <w:lvl w:ilvl="1" w:tplc="58CC186E">
      <w:start w:val="1"/>
      <w:numFmt w:val="lowerLetter"/>
      <w:lvlText w:val="(%2)"/>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2" w:tplc="989E8516">
      <w:numFmt w:val="bullet"/>
      <w:lvlText w:val="•"/>
      <w:lvlJc w:val="left"/>
      <w:pPr>
        <w:ind w:left="4111" w:hanging="358"/>
      </w:pPr>
      <w:rPr>
        <w:rFonts w:hint="default"/>
        <w:lang w:val="en-US" w:eastAsia="en-US" w:bidi="ar-SA"/>
      </w:rPr>
    </w:lvl>
    <w:lvl w:ilvl="3" w:tplc="3EFE0E44">
      <w:numFmt w:val="bullet"/>
      <w:lvlText w:val="•"/>
      <w:lvlJc w:val="left"/>
      <w:pPr>
        <w:ind w:left="4903" w:hanging="358"/>
      </w:pPr>
      <w:rPr>
        <w:rFonts w:hint="default"/>
        <w:lang w:val="en-US" w:eastAsia="en-US" w:bidi="ar-SA"/>
      </w:rPr>
    </w:lvl>
    <w:lvl w:ilvl="4" w:tplc="A5CAB13E">
      <w:numFmt w:val="bullet"/>
      <w:lvlText w:val="•"/>
      <w:lvlJc w:val="left"/>
      <w:pPr>
        <w:ind w:left="5694" w:hanging="358"/>
      </w:pPr>
      <w:rPr>
        <w:rFonts w:hint="default"/>
        <w:lang w:val="en-US" w:eastAsia="en-US" w:bidi="ar-SA"/>
      </w:rPr>
    </w:lvl>
    <w:lvl w:ilvl="5" w:tplc="36B2BB68">
      <w:numFmt w:val="bullet"/>
      <w:lvlText w:val="•"/>
      <w:lvlJc w:val="left"/>
      <w:pPr>
        <w:ind w:left="6486" w:hanging="358"/>
      </w:pPr>
      <w:rPr>
        <w:rFonts w:hint="default"/>
        <w:lang w:val="en-US" w:eastAsia="en-US" w:bidi="ar-SA"/>
      </w:rPr>
    </w:lvl>
    <w:lvl w:ilvl="6" w:tplc="083066C8">
      <w:numFmt w:val="bullet"/>
      <w:lvlText w:val="•"/>
      <w:lvlJc w:val="left"/>
      <w:pPr>
        <w:ind w:left="7277" w:hanging="358"/>
      </w:pPr>
      <w:rPr>
        <w:rFonts w:hint="default"/>
        <w:lang w:val="en-US" w:eastAsia="en-US" w:bidi="ar-SA"/>
      </w:rPr>
    </w:lvl>
    <w:lvl w:ilvl="7" w:tplc="75A0FDBE">
      <w:numFmt w:val="bullet"/>
      <w:lvlText w:val="•"/>
      <w:lvlJc w:val="left"/>
      <w:pPr>
        <w:ind w:left="8069" w:hanging="358"/>
      </w:pPr>
      <w:rPr>
        <w:rFonts w:hint="default"/>
        <w:lang w:val="en-US" w:eastAsia="en-US" w:bidi="ar-SA"/>
      </w:rPr>
    </w:lvl>
    <w:lvl w:ilvl="8" w:tplc="0AF012F2">
      <w:numFmt w:val="bullet"/>
      <w:lvlText w:val="•"/>
      <w:lvlJc w:val="left"/>
      <w:pPr>
        <w:ind w:left="8860" w:hanging="358"/>
      </w:pPr>
      <w:rPr>
        <w:rFonts w:hint="default"/>
        <w:lang w:val="en-US" w:eastAsia="en-US" w:bidi="ar-SA"/>
      </w:rPr>
    </w:lvl>
  </w:abstractNum>
  <w:abstractNum w:abstractNumId="59" w15:restartNumberingAfterBreak="0">
    <w:nsid w:val="630A35E7"/>
    <w:multiLevelType w:val="hybridMultilevel"/>
    <w:tmpl w:val="5BC65878"/>
    <w:lvl w:ilvl="0" w:tplc="864EC294">
      <w:start w:val="1"/>
      <w:numFmt w:val="lowerLetter"/>
      <w:lvlText w:val="(%1)"/>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510A85F8">
      <w:numFmt w:val="bullet"/>
      <w:lvlText w:val="•"/>
      <w:lvlJc w:val="left"/>
      <w:pPr>
        <w:ind w:left="4032" w:hanging="358"/>
      </w:pPr>
      <w:rPr>
        <w:rFonts w:hint="default"/>
        <w:lang w:val="en-US" w:eastAsia="en-US" w:bidi="ar-SA"/>
      </w:rPr>
    </w:lvl>
    <w:lvl w:ilvl="2" w:tplc="1B420692">
      <w:numFmt w:val="bullet"/>
      <w:lvlText w:val="•"/>
      <w:lvlJc w:val="left"/>
      <w:pPr>
        <w:ind w:left="4744" w:hanging="358"/>
      </w:pPr>
      <w:rPr>
        <w:rFonts w:hint="default"/>
        <w:lang w:val="en-US" w:eastAsia="en-US" w:bidi="ar-SA"/>
      </w:rPr>
    </w:lvl>
    <w:lvl w:ilvl="3" w:tplc="5566B5AC">
      <w:numFmt w:val="bullet"/>
      <w:lvlText w:val="•"/>
      <w:lvlJc w:val="left"/>
      <w:pPr>
        <w:ind w:left="5457" w:hanging="358"/>
      </w:pPr>
      <w:rPr>
        <w:rFonts w:hint="default"/>
        <w:lang w:val="en-US" w:eastAsia="en-US" w:bidi="ar-SA"/>
      </w:rPr>
    </w:lvl>
    <w:lvl w:ilvl="4" w:tplc="0BAC1E36">
      <w:numFmt w:val="bullet"/>
      <w:lvlText w:val="•"/>
      <w:lvlJc w:val="left"/>
      <w:pPr>
        <w:ind w:left="6169" w:hanging="358"/>
      </w:pPr>
      <w:rPr>
        <w:rFonts w:hint="default"/>
        <w:lang w:val="en-US" w:eastAsia="en-US" w:bidi="ar-SA"/>
      </w:rPr>
    </w:lvl>
    <w:lvl w:ilvl="5" w:tplc="81401468">
      <w:numFmt w:val="bullet"/>
      <w:lvlText w:val="•"/>
      <w:lvlJc w:val="left"/>
      <w:pPr>
        <w:ind w:left="6882" w:hanging="358"/>
      </w:pPr>
      <w:rPr>
        <w:rFonts w:hint="default"/>
        <w:lang w:val="en-US" w:eastAsia="en-US" w:bidi="ar-SA"/>
      </w:rPr>
    </w:lvl>
    <w:lvl w:ilvl="6" w:tplc="458C868E">
      <w:numFmt w:val="bullet"/>
      <w:lvlText w:val="•"/>
      <w:lvlJc w:val="left"/>
      <w:pPr>
        <w:ind w:left="7594" w:hanging="358"/>
      </w:pPr>
      <w:rPr>
        <w:rFonts w:hint="default"/>
        <w:lang w:val="en-US" w:eastAsia="en-US" w:bidi="ar-SA"/>
      </w:rPr>
    </w:lvl>
    <w:lvl w:ilvl="7" w:tplc="885A60F2">
      <w:numFmt w:val="bullet"/>
      <w:lvlText w:val="•"/>
      <w:lvlJc w:val="left"/>
      <w:pPr>
        <w:ind w:left="8306" w:hanging="358"/>
      </w:pPr>
      <w:rPr>
        <w:rFonts w:hint="default"/>
        <w:lang w:val="en-US" w:eastAsia="en-US" w:bidi="ar-SA"/>
      </w:rPr>
    </w:lvl>
    <w:lvl w:ilvl="8" w:tplc="93E2C5EE">
      <w:numFmt w:val="bullet"/>
      <w:lvlText w:val="•"/>
      <w:lvlJc w:val="left"/>
      <w:pPr>
        <w:ind w:left="9019" w:hanging="358"/>
      </w:pPr>
      <w:rPr>
        <w:rFonts w:hint="default"/>
        <w:lang w:val="en-US" w:eastAsia="en-US" w:bidi="ar-SA"/>
      </w:rPr>
    </w:lvl>
  </w:abstractNum>
  <w:abstractNum w:abstractNumId="60" w15:restartNumberingAfterBreak="0">
    <w:nsid w:val="63AD1EBA"/>
    <w:multiLevelType w:val="hybridMultilevel"/>
    <w:tmpl w:val="5BE6EE32"/>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4205D77"/>
    <w:multiLevelType w:val="hybridMultilevel"/>
    <w:tmpl w:val="60B8D52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5467D0E"/>
    <w:multiLevelType w:val="hybridMultilevel"/>
    <w:tmpl w:val="B8309318"/>
    <w:lvl w:ilvl="0" w:tplc="6526FAF6">
      <w:start w:val="1"/>
      <w:numFmt w:val="lowerLetter"/>
      <w:lvlText w:val="(%1)"/>
      <w:lvlJc w:val="left"/>
      <w:pPr>
        <w:ind w:left="3314"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1" w:tplc="41B644FE">
      <w:numFmt w:val="bullet"/>
      <w:lvlText w:val="•"/>
      <w:lvlJc w:val="left"/>
      <w:pPr>
        <w:ind w:left="4032" w:hanging="358"/>
      </w:pPr>
      <w:rPr>
        <w:rFonts w:hint="default"/>
        <w:lang w:val="en-US" w:eastAsia="en-US" w:bidi="ar-SA"/>
      </w:rPr>
    </w:lvl>
    <w:lvl w:ilvl="2" w:tplc="1B224D56">
      <w:numFmt w:val="bullet"/>
      <w:lvlText w:val="•"/>
      <w:lvlJc w:val="left"/>
      <w:pPr>
        <w:ind w:left="4744" w:hanging="358"/>
      </w:pPr>
      <w:rPr>
        <w:rFonts w:hint="default"/>
        <w:lang w:val="en-US" w:eastAsia="en-US" w:bidi="ar-SA"/>
      </w:rPr>
    </w:lvl>
    <w:lvl w:ilvl="3" w:tplc="3D7C08A4">
      <w:numFmt w:val="bullet"/>
      <w:lvlText w:val="•"/>
      <w:lvlJc w:val="left"/>
      <w:pPr>
        <w:ind w:left="5457" w:hanging="358"/>
      </w:pPr>
      <w:rPr>
        <w:rFonts w:hint="default"/>
        <w:lang w:val="en-US" w:eastAsia="en-US" w:bidi="ar-SA"/>
      </w:rPr>
    </w:lvl>
    <w:lvl w:ilvl="4" w:tplc="B7DE50E0">
      <w:numFmt w:val="bullet"/>
      <w:lvlText w:val="•"/>
      <w:lvlJc w:val="left"/>
      <w:pPr>
        <w:ind w:left="6169" w:hanging="358"/>
      </w:pPr>
      <w:rPr>
        <w:rFonts w:hint="default"/>
        <w:lang w:val="en-US" w:eastAsia="en-US" w:bidi="ar-SA"/>
      </w:rPr>
    </w:lvl>
    <w:lvl w:ilvl="5" w:tplc="33824E0C">
      <w:numFmt w:val="bullet"/>
      <w:lvlText w:val="•"/>
      <w:lvlJc w:val="left"/>
      <w:pPr>
        <w:ind w:left="6882" w:hanging="358"/>
      </w:pPr>
      <w:rPr>
        <w:rFonts w:hint="default"/>
        <w:lang w:val="en-US" w:eastAsia="en-US" w:bidi="ar-SA"/>
      </w:rPr>
    </w:lvl>
    <w:lvl w:ilvl="6" w:tplc="BA38AAC4">
      <w:numFmt w:val="bullet"/>
      <w:lvlText w:val="•"/>
      <w:lvlJc w:val="left"/>
      <w:pPr>
        <w:ind w:left="7594" w:hanging="358"/>
      </w:pPr>
      <w:rPr>
        <w:rFonts w:hint="default"/>
        <w:lang w:val="en-US" w:eastAsia="en-US" w:bidi="ar-SA"/>
      </w:rPr>
    </w:lvl>
    <w:lvl w:ilvl="7" w:tplc="CBA89EF4">
      <w:numFmt w:val="bullet"/>
      <w:lvlText w:val="•"/>
      <w:lvlJc w:val="left"/>
      <w:pPr>
        <w:ind w:left="8306" w:hanging="358"/>
      </w:pPr>
      <w:rPr>
        <w:rFonts w:hint="default"/>
        <w:lang w:val="en-US" w:eastAsia="en-US" w:bidi="ar-SA"/>
      </w:rPr>
    </w:lvl>
    <w:lvl w:ilvl="8" w:tplc="9A924F56">
      <w:numFmt w:val="bullet"/>
      <w:lvlText w:val="•"/>
      <w:lvlJc w:val="left"/>
      <w:pPr>
        <w:ind w:left="9019" w:hanging="358"/>
      </w:pPr>
      <w:rPr>
        <w:rFonts w:hint="default"/>
        <w:lang w:val="en-US" w:eastAsia="en-US" w:bidi="ar-SA"/>
      </w:rPr>
    </w:lvl>
  </w:abstractNum>
  <w:abstractNum w:abstractNumId="63" w15:restartNumberingAfterBreak="0">
    <w:nsid w:val="654F510A"/>
    <w:multiLevelType w:val="hybridMultilevel"/>
    <w:tmpl w:val="3262554C"/>
    <w:lvl w:ilvl="0" w:tplc="08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C595FE8"/>
    <w:multiLevelType w:val="hybridMultilevel"/>
    <w:tmpl w:val="949C97A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C944737"/>
    <w:multiLevelType w:val="hybridMultilevel"/>
    <w:tmpl w:val="98626798"/>
    <w:lvl w:ilvl="0" w:tplc="8E1EB83A">
      <w:numFmt w:val="bullet"/>
      <w:lvlText w:val=""/>
      <w:lvlJc w:val="left"/>
      <w:pPr>
        <w:ind w:left="1228" w:hanging="361"/>
      </w:pPr>
      <w:rPr>
        <w:rFonts w:ascii="Symbol" w:eastAsia="Symbol" w:hAnsi="Symbol" w:cs="Symbol" w:hint="default"/>
        <w:spacing w:val="0"/>
        <w:w w:val="100"/>
        <w:lang w:val="en-US" w:eastAsia="en-US" w:bidi="ar-SA"/>
      </w:rPr>
    </w:lvl>
    <w:lvl w:ilvl="1" w:tplc="0EFC39FC">
      <w:numFmt w:val="bullet"/>
      <w:lvlText w:val=""/>
      <w:lvlJc w:val="left"/>
      <w:pPr>
        <w:ind w:left="2669" w:hanging="360"/>
      </w:pPr>
      <w:rPr>
        <w:rFonts w:ascii="Wingdings" w:eastAsia="Wingdings" w:hAnsi="Wingdings" w:cs="Wingdings" w:hint="default"/>
        <w:b w:val="0"/>
        <w:bCs w:val="0"/>
        <w:i w:val="0"/>
        <w:iCs w:val="0"/>
        <w:spacing w:val="0"/>
        <w:w w:val="100"/>
        <w:sz w:val="20"/>
        <w:szCs w:val="20"/>
        <w:lang w:val="en-US" w:eastAsia="en-US" w:bidi="ar-SA"/>
      </w:rPr>
    </w:lvl>
    <w:lvl w:ilvl="2" w:tplc="F3188B26">
      <w:numFmt w:val="bullet"/>
      <w:lvlText w:val="•"/>
      <w:lvlJc w:val="left"/>
      <w:pPr>
        <w:ind w:left="3524" w:hanging="360"/>
      </w:pPr>
      <w:rPr>
        <w:rFonts w:hint="default"/>
        <w:lang w:val="en-US" w:eastAsia="en-US" w:bidi="ar-SA"/>
      </w:rPr>
    </w:lvl>
    <w:lvl w:ilvl="3" w:tplc="C8FADDC6">
      <w:numFmt w:val="bullet"/>
      <w:lvlText w:val="•"/>
      <w:lvlJc w:val="left"/>
      <w:pPr>
        <w:ind w:left="4389" w:hanging="360"/>
      </w:pPr>
      <w:rPr>
        <w:rFonts w:hint="default"/>
        <w:lang w:val="en-US" w:eastAsia="en-US" w:bidi="ar-SA"/>
      </w:rPr>
    </w:lvl>
    <w:lvl w:ilvl="4" w:tplc="A6EE638C">
      <w:numFmt w:val="bullet"/>
      <w:lvlText w:val="•"/>
      <w:lvlJc w:val="left"/>
      <w:pPr>
        <w:ind w:left="5254" w:hanging="360"/>
      </w:pPr>
      <w:rPr>
        <w:rFonts w:hint="default"/>
        <w:lang w:val="en-US" w:eastAsia="en-US" w:bidi="ar-SA"/>
      </w:rPr>
    </w:lvl>
    <w:lvl w:ilvl="5" w:tplc="7D3A8948">
      <w:numFmt w:val="bullet"/>
      <w:lvlText w:val="•"/>
      <w:lvlJc w:val="left"/>
      <w:pPr>
        <w:ind w:left="6119" w:hanging="360"/>
      </w:pPr>
      <w:rPr>
        <w:rFonts w:hint="default"/>
        <w:lang w:val="en-US" w:eastAsia="en-US" w:bidi="ar-SA"/>
      </w:rPr>
    </w:lvl>
    <w:lvl w:ilvl="6" w:tplc="2090B9AA">
      <w:numFmt w:val="bullet"/>
      <w:lvlText w:val="•"/>
      <w:lvlJc w:val="left"/>
      <w:pPr>
        <w:ind w:left="6984" w:hanging="360"/>
      </w:pPr>
      <w:rPr>
        <w:rFonts w:hint="default"/>
        <w:lang w:val="en-US" w:eastAsia="en-US" w:bidi="ar-SA"/>
      </w:rPr>
    </w:lvl>
    <w:lvl w:ilvl="7" w:tplc="449474EE">
      <w:numFmt w:val="bullet"/>
      <w:lvlText w:val="•"/>
      <w:lvlJc w:val="left"/>
      <w:pPr>
        <w:ind w:left="7849" w:hanging="360"/>
      </w:pPr>
      <w:rPr>
        <w:rFonts w:hint="default"/>
        <w:lang w:val="en-US" w:eastAsia="en-US" w:bidi="ar-SA"/>
      </w:rPr>
    </w:lvl>
    <w:lvl w:ilvl="8" w:tplc="2AE624EA">
      <w:numFmt w:val="bullet"/>
      <w:lvlText w:val="•"/>
      <w:lvlJc w:val="left"/>
      <w:pPr>
        <w:ind w:left="8714" w:hanging="360"/>
      </w:pPr>
      <w:rPr>
        <w:rFonts w:hint="default"/>
        <w:lang w:val="en-US" w:eastAsia="en-US" w:bidi="ar-SA"/>
      </w:rPr>
    </w:lvl>
  </w:abstractNum>
  <w:abstractNum w:abstractNumId="66" w15:restartNumberingAfterBreak="0">
    <w:nsid w:val="73462143"/>
    <w:multiLevelType w:val="hybridMultilevel"/>
    <w:tmpl w:val="9F68C376"/>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3A4206D"/>
    <w:multiLevelType w:val="multilevel"/>
    <w:tmpl w:val="28D832EC"/>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75BC0CA0"/>
    <w:multiLevelType w:val="hybridMultilevel"/>
    <w:tmpl w:val="FC3671EA"/>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5E65682"/>
    <w:multiLevelType w:val="hybridMultilevel"/>
    <w:tmpl w:val="1C3CADB6"/>
    <w:lvl w:ilvl="0" w:tplc="A5BE1432">
      <w:start w:val="1"/>
      <w:numFmt w:val="decimal"/>
      <w:lvlText w:val="%1."/>
      <w:lvlJc w:val="left"/>
      <w:pPr>
        <w:ind w:left="1075" w:hanging="284"/>
      </w:pPr>
      <w:rPr>
        <w:rFonts w:ascii="Georgia" w:eastAsia="Georgia" w:hAnsi="Georgia" w:cs="Georgia" w:hint="default"/>
        <w:b w:val="0"/>
        <w:bCs w:val="0"/>
        <w:i w:val="0"/>
        <w:iCs w:val="0"/>
        <w:color w:val="91A9A2"/>
        <w:spacing w:val="-1"/>
        <w:w w:val="100"/>
        <w:sz w:val="20"/>
        <w:szCs w:val="20"/>
        <w:lang w:val="en-US" w:eastAsia="en-US" w:bidi="ar-SA"/>
      </w:rPr>
    </w:lvl>
    <w:lvl w:ilvl="1" w:tplc="3EB27F18">
      <w:numFmt w:val="bullet"/>
      <w:lvlText w:val=""/>
      <w:lvlJc w:val="left"/>
      <w:pPr>
        <w:ind w:left="1228" w:hanging="361"/>
      </w:pPr>
      <w:rPr>
        <w:rFonts w:ascii="Symbol" w:eastAsia="Symbol" w:hAnsi="Symbol" w:cs="Symbol" w:hint="default"/>
        <w:b w:val="0"/>
        <w:bCs w:val="0"/>
        <w:i w:val="0"/>
        <w:iCs w:val="0"/>
        <w:color w:val="91A9A2"/>
        <w:spacing w:val="0"/>
        <w:w w:val="100"/>
        <w:sz w:val="20"/>
        <w:szCs w:val="20"/>
        <w:lang w:val="en-US" w:eastAsia="en-US" w:bidi="ar-SA"/>
      </w:rPr>
    </w:lvl>
    <w:lvl w:ilvl="2" w:tplc="2C563DC4">
      <w:numFmt w:val="bullet"/>
      <w:lvlText w:val="•"/>
      <w:lvlJc w:val="left"/>
      <w:pPr>
        <w:ind w:left="2244" w:hanging="361"/>
      </w:pPr>
      <w:rPr>
        <w:rFonts w:hint="default"/>
        <w:lang w:val="en-US" w:eastAsia="en-US" w:bidi="ar-SA"/>
      </w:rPr>
    </w:lvl>
    <w:lvl w:ilvl="3" w:tplc="D15EC034">
      <w:numFmt w:val="bullet"/>
      <w:lvlText w:val="•"/>
      <w:lvlJc w:val="left"/>
      <w:pPr>
        <w:ind w:left="3269" w:hanging="361"/>
      </w:pPr>
      <w:rPr>
        <w:rFonts w:hint="default"/>
        <w:lang w:val="en-US" w:eastAsia="en-US" w:bidi="ar-SA"/>
      </w:rPr>
    </w:lvl>
    <w:lvl w:ilvl="4" w:tplc="1918037E">
      <w:numFmt w:val="bullet"/>
      <w:lvlText w:val="•"/>
      <w:lvlJc w:val="left"/>
      <w:pPr>
        <w:ind w:left="4294" w:hanging="361"/>
      </w:pPr>
      <w:rPr>
        <w:rFonts w:hint="default"/>
        <w:lang w:val="en-US" w:eastAsia="en-US" w:bidi="ar-SA"/>
      </w:rPr>
    </w:lvl>
    <w:lvl w:ilvl="5" w:tplc="5CFEED16">
      <w:numFmt w:val="bullet"/>
      <w:lvlText w:val="•"/>
      <w:lvlJc w:val="left"/>
      <w:pPr>
        <w:ind w:left="5319" w:hanging="361"/>
      </w:pPr>
      <w:rPr>
        <w:rFonts w:hint="default"/>
        <w:lang w:val="en-US" w:eastAsia="en-US" w:bidi="ar-SA"/>
      </w:rPr>
    </w:lvl>
    <w:lvl w:ilvl="6" w:tplc="FA58C478">
      <w:numFmt w:val="bullet"/>
      <w:lvlText w:val="•"/>
      <w:lvlJc w:val="left"/>
      <w:pPr>
        <w:ind w:left="6344" w:hanging="361"/>
      </w:pPr>
      <w:rPr>
        <w:rFonts w:hint="default"/>
        <w:lang w:val="en-US" w:eastAsia="en-US" w:bidi="ar-SA"/>
      </w:rPr>
    </w:lvl>
    <w:lvl w:ilvl="7" w:tplc="B1FEE2C4">
      <w:numFmt w:val="bullet"/>
      <w:lvlText w:val="•"/>
      <w:lvlJc w:val="left"/>
      <w:pPr>
        <w:ind w:left="7369" w:hanging="361"/>
      </w:pPr>
      <w:rPr>
        <w:rFonts w:hint="default"/>
        <w:lang w:val="en-US" w:eastAsia="en-US" w:bidi="ar-SA"/>
      </w:rPr>
    </w:lvl>
    <w:lvl w:ilvl="8" w:tplc="0FB4EF94">
      <w:numFmt w:val="bullet"/>
      <w:lvlText w:val="•"/>
      <w:lvlJc w:val="left"/>
      <w:pPr>
        <w:ind w:left="8394" w:hanging="361"/>
      </w:pPr>
      <w:rPr>
        <w:rFonts w:hint="default"/>
        <w:lang w:val="en-US" w:eastAsia="en-US" w:bidi="ar-SA"/>
      </w:rPr>
    </w:lvl>
  </w:abstractNum>
  <w:abstractNum w:abstractNumId="70" w15:restartNumberingAfterBreak="0">
    <w:nsid w:val="76754375"/>
    <w:multiLevelType w:val="hybridMultilevel"/>
    <w:tmpl w:val="CB5AD490"/>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C17EEF"/>
    <w:multiLevelType w:val="hybridMultilevel"/>
    <w:tmpl w:val="B0F4EE1E"/>
    <w:lvl w:ilvl="0" w:tplc="3B244FB2">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7E676AC"/>
    <w:multiLevelType w:val="hybridMultilevel"/>
    <w:tmpl w:val="1172A330"/>
    <w:lvl w:ilvl="0" w:tplc="3B244FB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7FC5802"/>
    <w:multiLevelType w:val="hybridMultilevel"/>
    <w:tmpl w:val="F9D855DC"/>
    <w:lvl w:ilvl="0" w:tplc="5B66D526">
      <w:numFmt w:val="bullet"/>
      <w:lvlText w:val=""/>
      <w:lvlJc w:val="left"/>
      <w:pPr>
        <w:ind w:left="826" w:hanging="361"/>
      </w:pPr>
      <w:rPr>
        <w:rFonts w:ascii="Symbol" w:eastAsia="Symbol" w:hAnsi="Symbol" w:cs="Symbol" w:hint="default"/>
        <w:b w:val="0"/>
        <w:bCs w:val="0"/>
        <w:i w:val="0"/>
        <w:iCs w:val="0"/>
        <w:color w:val="58857D"/>
        <w:spacing w:val="0"/>
        <w:w w:val="100"/>
        <w:sz w:val="20"/>
        <w:szCs w:val="20"/>
        <w:lang w:val="en-US" w:eastAsia="en-US" w:bidi="ar-SA"/>
      </w:rPr>
    </w:lvl>
    <w:lvl w:ilvl="1" w:tplc="A3DA90EE">
      <w:numFmt w:val="bullet"/>
      <w:lvlText w:val="•"/>
      <w:lvlJc w:val="left"/>
      <w:pPr>
        <w:ind w:left="1678" w:hanging="361"/>
      </w:pPr>
      <w:rPr>
        <w:rFonts w:hint="default"/>
        <w:lang w:val="en-US" w:eastAsia="en-US" w:bidi="ar-SA"/>
      </w:rPr>
    </w:lvl>
    <w:lvl w:ilvl="2" w:tplc="70D2A72A">
      <w:numFmt w:val="bullet"/>
      <w:lvlText w:val="•"/>
      <w:lvlJc w:val="left"/>
      <w:pPr>
        <w:ind w:left="2537" w:hanging="361"/>
      </w:pPr>
      <w:rPr>
        <w:rFonts w:hint="default"/>
        <w:lang w:val="en-US" w:eastAsia="en-US" w:bidi="ar-SA"/>
      </w:rPr>
    </w:lvl>
    <w:lvl w:ilvl="3" w:tplc="5F522508">
      <w:numFmt w:val="bullet"/>
      <w:lvlText w:val="•"/>
      <w:lvlJc w:val="left"/>
      <w:pPr>
        <w:ind w:left="3396" w:hanging="361"/>
      </w:pPr>
      <w:rPr>
        <w:rFonts w:hint="default"/>
        <w:lang w:val="en-US" w:eastAsia="en-US" w:bidi="ar-SA"/>
      </w:rPr>
    </w:lvl>
    <w:lvl w:ilvl="4" w:tplc="2126215A">
      <w:numFmt w:val="bullet"/>
      <w:lvlText w:val="•"/>
      <w:lvlJc w:val="left"/>
      <w:pPr>
        <w:ind w:left="4254" w:hanging="361"/>
      </w:pPr>
      <w:rPr>
        <w:rFonts w:hint="default"/>
        <w:lang w:val="en-US" w:eastAsia="en-US" w:bidi="ar-SA"/>
      </w:rPr>
    </w:lvl>
    <w:lvl w:ilvl="5" w:tplc="F036DE9A">
      <w:numFmt w:val="bullet"/>
      <w:lvlText w:val="•"/>
      <w:lvlJc w:val="left"/>
      <w:pPr>
        <w:ind w:left="5113" w:hanging="361"/>
      </w:pPr>
      <w:rPr>
        <w:rFonts w:hint="default"/>
        <w:lang w:val="en-US" w:eastAsia="en-US" w:bidi="ar-SA"/>
      </w:rPr>
    </w:lvl>
    <w:lvl w:ilvl="6" w:tplc="7E1ED8E4">
      <w:numFmt w:val="bullet"/>
      <w:lvlText w:val="•"/>
      <w:lvlJc w:val="left"/>
      <w:pPr>
        <w:ind w:left="5972" w:hanging="361"/>
      </w:pPr>
      <w:rPr>
        <w:rFonts w:hint="default"/>
        <w:lang w:val="en-US" w:eastAsia="en-US" w:bidi="ar-SA"/>
      </w:rPr>
    </w:lvl>
    <w:lvl w:ilvl="7" w:tplc="3AD45212">
      <w:numFmt w:val="bullet"/>
      <w:lvlText w:val="•"/>
      <w:lvlJc w:val="left"/>
      <w:pPr>
        <w:ind w:left="6830" w:hanging="361"/>
      </w:pPr>
      <w:rPr>
        <w:rFonts w:hint="default"/>
        <w:lang w:val="en-US" w:eastAsia="en-US" w:bidi="ar-SA"/>
      </w:rPr>
    </w:lvl>
    <w:lvl w:ilvl="8" w:tplc="EB6660AC">
      <w:numFmt w:val="bullet"/>
      <w:lvlText w:val="•"/>
      <w:lvlJc w:val="left"/>
      <w:pPr>
        <w:ind w:left="7689" w:hanging="361"/>
      </w:pPr>
      <w:rPr>
        <w:rFonts w:hint="default"/>
        <w:lang w:val="en-US" w:eastAsia="en-US" w:bidi="ar-SA"/>
      </w:rPr>
    </w:lvl>
  </w:abstractNum>
  <w:abstractNum w:abstractNumId="74" w15:restartNumberingAfterBreak="0">
    <w:nsid w:val="78E35F69"/>
    <w:multiLevelType w:val="hybridMultilevel"/>
    <w:tmpl w:val="2DE2BA48"/>
    <w:lvl w:ilvl="0" w:tplc="EC7290C6">
      <w:numFmt w:val="bullet"/>
      <w:lvlText w:val=""/>
      <w:lvlJc w:val="left"/>
      <w:pPr>
        <w:ind w:left="829" w:hanging="360"/>
      </w:pPr>
      <w:rPr>
        <w:rFonts w:ascii="Symbol" w:eastAsia="Symbol" w:hAnsi="Symbol" w:cs="Symbol" w:hint="default"/>
        <w:b w:val="0"/>
        <w:bCs w:val="0"/>
        <w:i w:val="0"/>
        <w:iCs w:val="0"/>
        <w:color w:val="91A9A2"/>
        <w:spacing w:val="0"/>
        <w:w w:val="101"/>
        <w:sz w:val="18"/>
        <w:szCs w:val="18"/>
        <w:lang w:val="en-US" w:eastAsia="en-US" w:bidi="ar-SA"/>
      </w:rPr>
    </w:lvl>
    <w:lvl w:ilvl="1" w:tplc="62C2394E">
      <w:numFmt w:val="bullet"/>
      <w:lvlText w:val="-"/>
      <w:lvlJc w:val="left"/>
      <w:pPr>
        <w:ind w:left="1549" w:hanging="360"/>
      </w:pPr>
      <w:rPr>
        <w:rFonts w:ascii="Calibri" w:eastAsia="Calibri" w:hAnsi="Calibri" w:cs="Calibri" w:hint="default"/>
        <w:b w:val="0"/>
        <w:bCs w:val="0"/>
        <w:i w:val="0"/>
        <w:iCs w:val="0"/>
        <w:spacing w:val="0"/>
        <w:w w:val="101"/>
        <w:sz w:val="18"/>
        <w:szCs w:val="18"/>
        <w:lang w:val="en-US" w:eastAsia="en-US" w:bidi="ar-SA"/>
      </w:rPr>
    </w:lvl>
    <w:lvl w:ilvl="2" w:tplc="F20C60B8">
      <w:numFmt w:val="bullet"/>
      <w:lvlText w:val="•"/>
      <w:lvlJc w:val="left"/>
      <w:pPr>
        <w:ind w:left="2014" w:hanging="360"/>
      </w:pPr>
      <w:rPr>
        <w:rFonts w:hint="default"/>
        <w:lang w:val="en-US" w:eastAsia="en-US" w:bidi="ar-SA"/>
      </w:rPr>
    </w:lvl>
    <w:lvl w:ilvl="3" w:tplc="EB2EE9EE">
      <w:numFmt w:val="bullet"/>
      <w:lvlText w:val="•"/>
      <w:lvlJc w:val="left"/>
      <w:pPr>
        <w:ind w:left="2488" w:hanging="360"/>
      </w:pPr>
      <w:rPr>
        <w:rFonts w:hint="default"/>
        <w:lang w:val="en-US" w:eastAsia="en-US" w:bidi="ar-SA"/>
      </w:rPr>
    </w:lvl>
    <w:lvl w:ilvl="4" w:tplc="DA20ACBA">
      <w:numFmt w:val="bullet"/>
      <w:lvlText w:val="•"/>
      <w:lvlJc w:val="left"/>
      <w:pPr>
        <w:ind w:left="2962" w:hanging="360"/>
      </w:pPr>
      <w:rPr>
        <w:rFonts w:hint="default"/>
        <w:lang w:val="en-US" w:eastAsia="en-US" w:bidi="ar-SA"/>
      </w:rPr>
    </w:lvl>
    <w:lvl w:ilvl="5" w:tplc="EF180540">
      <w:numFmt w:val="bullet"/>
      <w:lvlText w:val="•"/>
      <w:lvlJc w:val="left"/>
      <w:pPr>
        <w:ind w:left="3436" w:hanging="360"/>
      </w:pPr>
      <w:rPr>
        <w:rFonts w:hint="default"/>
        <w:lang w:val="en-US" w:eastAsia="en-US" w:bidi="ar-SA"/>
      </w:rPr>
    </w:lvl>
    <w:lvl w:ilvl="6" w:tplc="BEE27B2E">
      <w:numFmt w:val="bullet"/>
      <w:lvlText w:val="•"/>
      <w:lvlJc w:val="left"/>
      <w:pPr>
        <w:ind w:left="3910" w:hanging="360"/>
      </w:pPr>
      <w:rPr>
        <w:rFonts w:hint="default"/>
        <w:lang w:val="en-US" w:eastAsia="en-US" w:bidi="ar-SA"/>
      </w:rPr>
    </w:lvl>
    <w:lvl w:ilvl="7" w:tplc="3432F0D8">
      <w:numFmt w:val="bullet"/>
      <w:lvlText w:val="•"/>
      <w:lvlJc w:val="left"/>
      <w:pPr>
        <w:ind w:left="4384" w:hanging="360"/>
      </w:pPr>
      <w:rPr>
        <w:rFonts w:hint="default"/>
        <w:lang w:val="en-US" w:eastAsia="en-US" w:bidi="ar-SA"/>
      </w:rPr>
    </w:lvl>
    <w:lvl w:ilvl="8" w:tplc="1A42CD4E">
      <w:numFmt w:val="bullet"/>
      <w:lvlText w:val="•"/>
      <w:lvlJc w:val="left"/>
      <w:pPr>
        <w:ind w:left="4858" w:hanging="360"/>
      </w:pPr>
      <w:rPr>
        <w:rFonts w:hint="default"/>
        <w:lang w:val="en-US" w:eastAsia="en-US" w:bidi="ar-SA"/>
      </w:rPr>
    </w:lvl>
  </w:abstractNum>
  <w:abstractNum w:abstractNumId="75" w15:restartNumberingAfterBreak="0">
    <w:nsid w:val="79E931A2"/>
    <w:multiLevelType w:val="hybridMultilevel"/>
    <w:tmpl w:val="B1080046"/>
    <w:lvl w:ilvl="0" w:tplc="D34A7750">
      <w:numFmt w:val="bullet"/>
      <w:lvlText w:val=""/>
      <w:lvlJc w:val="left"/>
      <w:pPr>
        <w:ind w:left="1228" w:hanging="361"/>
      </w:pPr>
      <w:rPr>
        <w:rFonts w:ascii="Symbol" w:eastAsia="Symbol" w:hAnsi="Symbol" w:cs="Symbol" w:hint="default"/>
        <w:b w:val="0"/>
        <w:bCs w:val="0"/>
        <w:i w:val="0"/>
        <w:iCs w:val="0"/>
        <w:color w:val="91A9A2"/>
        <w:spacing w:val="0"/>
        <w:w w:val="100"/>
        <w:sz w:val="20"/>
        <w:szCs w:val="20"/>
        <w:lang w:val="en-US" w:eastAsia="en-US" w:bidi="ar-SA"/>
      </w:rPr>
    </w:lvl>
    <w:lvl w:ilvl="1" w:tplc="A6BE6016">
      <w:numFmt w:val="bullet"/>
      <w:lvlText w:val="•"/>
      <w:lvlJc w:val="left"/>
      <w:pPr>
        <w:ind w:left="2142" w:hanging="361"/>
      </w:pPr>
      <w:rPr>
        <w:rFonts w:hint="default"/>
        <w:lang w:val="en-US" w:eastAsia="en-US" w:bidi="ar-SA"/>
      </w:rPr>
    </w:lvl>
    <w:lvl w:ilvl="2" w:tplc="99FCCBDA">
      <w:numFmt w:val="bullet"/>
      <w:lvlText w:val="•"/>
      <w:lvlJc w:val="left"/>
      <w:pPr>
        <w:ind w:left="3064" w:hanging="361"/>
      </w:pPr>
      <w:rPr>
        <w:rFonts w:hint="default"/>
        <w:lang w:val="en-US" w:eastAsia="en-US" w:bidi="ar-SA"/>
      </w:rPr>
    </w:lvl>
    <w:lvl w:ilvl="3" w:tplc="FD8A3BEE">
      <w:numFmt w:val="bullet"/>
      <w:lvlText w:val="•"/>
      <w:lvlJc w:val="left"/>
      <w:pPr>
        <w:ind w:left="3987" w:hanging="361"/>
      </w:pPr>
      <w:rPr>
        <w:rFonts w:hint="default"/>
        <w:lang w:val="en-US" w:eastAsia="en-US" w:bidi="ar-SA"/>
      </w:rPr>
    </w:lvl>
    <w:lvl w:ilvl="4" w:tplc="9232ED32">
      <w:numFmt w:val="bullet"/>
      <w:lvlText w:val="•"/>
      <w:lvlJc w:val="left"/>
      <w:pPr>
        <w:ind w:left="4909" w:hanging="361"/>
      </w:pPr>
      <w:rPr>
        <w:rFonts w:hint="default"/>
        <w:lang w:val="en-US" w:eastAsia="en-US" w:bidi="ar-SA"/>
      </w:rPr>
    </w:lvl>
    <w:lvl w:ilvl="5" w:tplc="43A448A6">
      <w:numFmt w:val="bullet"/>
      <w:lvlText w:val="•"/>
      <w:lvlJc w:val="left"/>
      <w:pPr>
        <w:ind w:left="5832" w:hanging="361"/>
      </w:pPr>
      <w:rPr>
        <w:rFonts w:hint="default"/>
        <w:lang w:val="en-US" w:eastAsia="en-US" w:bidi="ar-SA"/>
      </w:rPr>
    </w:lvl>
    <w:lvl w:ilvl="6" w:tplc="9928F9E8">
      <w:numFmt w:val="bullet"/>
      <w:lvlText w:val="•"/>
      <w:lvlJc w:val="left"/>
      <w:pPr>
        <w:ind w:left="6754" w:hanging="361"/>
      </w:pPr>
      <w:rPr>
        <w:rFonts w:hint="default"/>
        <w:lang w:val="en-US" w:eastAsia="en-US" w:bidi="ar-SA"/>
      </w:rPr>
    </w:lvl>
    <w:lvl w:ilvl="7" w:tplc="CE86977E">
      <w:numFmt w:val="bullet"/>
      <w:lvlText w:val="•"/>
      <w:lvlJc w:val="left"/>
      <w:pPr>
        <w:ind w:left="7676" w:hanging="361"/>
      </w:pPr>
      <w:rPr>
        <w:rFonts w:hint="default"/>
        <w:lang w:val="en-US" w:eastAsia="en-US" w:bidi="ar-SA"/>
      </w:rPr>
    </w:lvl>
    <w:lvl w:ilvl="8" w:tplc="5E0A380A">
      <w:numFmt w:val="bullet"/>
      <w:lvlText w:val="•"/>
      <w:lvlJc w:val="left"/>
      <w:pPr>
        <w:ind w:left="8599" w:hanging="361"/>
      </w:pPr>
      <w:rPr>
        <w:rFonts w:hint="default"/>
        <w:lang w:val="en-US" w:eastAsia="en-US" w:bidi="ar-SA"/>
      </w:rPr>
    </w:lvl>
  </w:abstractNum>
  <w:abstractNum w:abstractNumId="76" w15:restartNumberingAfterBreak="0">
    <w:nsid w:val="7BBC2A8C"/>
    <w:multiLevelType w:val="hybridMultilevel"/>
    <w:tmpl w:val="018A8820"/>
    <w:lvl w:ilvl="0" w:tplc="3B244F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FC2C20"/>
    <w:multiLevelType w:val="hybridMultilevel"/>
    <w:tmpl w:val="125E2782"/>
    <w:lvl w:ilvl="0" w:tplc="E99A4458">
      <w:numFmt w:val="bullet"/>
      <w:lvlText w:val=""/>
      <w:lvlJc w:val="left"/>
      <w:pPr>
        <w:ind w:left="829" w:hanging="360"/>
      </w:pPr>
      <w:rPr>
        <w:rFonts w:ascii="Symbol" w:eastAsia="Symbol" w:hAnsi="Symbol" w:cs="Symbol" w:hint="default"/>
        <w:b w:val="0"/>
        <w:bCs w:val="0"/>
        <w:i w:val="0"/>
        <w:iCs w:val="0"/>
        <w:spacing w:val="0"/>
        <w:w w:val="101"/>
        <w:sz w:val="18"/>
        <w:szCs w:val="18"/>
        <w:lang w:val="en-US" w:eastAsia="en-US" w:bidi="ar-SA"/>
      </w:rPr>
    </w:lvl>
    <w:lvl w:ilvl="1" w:tplc="7846816A">
      <w:numFmt w:val="bullet"/>
      <w:lvlText w:val="•"/>
      <w:lvlJc w:val="left"/>
      <w:pPr>
        <w:ind w:left="1318" w:hanging="360"/>
      </w:pPr>
      <w:rPr>
        <w:rFonts w:hint="default"/>
        <w:lang w:val="en-US" w:eastAsia="en-US" w:bidi="ar-SA"/>
      </w:rPr>
    </w:lvl>
    <w:lvl w:ilvl="2" w:tplc="36C0ECE8">
      <w:numFmt w:val="bullet"/>
      <w:lvlText w:val="•"/>
      <w:lvlJc w:val="left"/>
      <w:pPr>
        <w:ind w:left="1817" w:hanging="360"/>
      </w:pPr>
      <w:rPr>
        <w:rFonts w:hint="default"/>
        <w:lang w:val="en-US" w:eastAsia="en-US" w:bidi="ar-SA"/>
      </w:rPr>
    </w:lvl>
    <w:lvl w:ilvl="3" w:tplc="349EF4E8">
      <w:numFmt w:val="bullet"/>
      <w:lvlText w:val="•"/>
      <w:lvlJc w:val="left"/>
      <w:pPr>
        <w:ind w:left="2315" w:hanging="360"/>
      </w:pPr>
      <w:rPr>
        <w:rFonts w:hint="default"/>
        <w:lang w:val="en-US" w:eastAsia="en-US" w:bidi="ar-SA"/>
      </w:rPr>
    </w:lvl>
    <w:lvl w:ilvl="4" w:tplc="E7FAE286">
      <w:numFmt w:val="bullet"/>
      <w:lvlText w:val="•"/>
      <w:lvlJc w:val="left"/>
      <w:pPr>
        <w:ind w:left="2814" w:hanging="360"/>
      </w:pPr>
      <w:rPr>
        <w:rFonts w:hint="default"/>
        <w:lang w:val="en-US" w:eastAsia="en-US" w:bidi="ar-SA"/>
      </w:rPr>
    </w:lvl>
    <w:lvl w:ilvl="5" w:tplc="BFA22FBE">
      <w:numFmt w:val="bullet"/>
      <w:lvlText w:val="•"/>
      <w:lvlJc w:val="left"/>
      <w:pPr>
        <w:ind w:left="3313" w:hanging="360"/>
      </w:pPr>
      <w:rPr>
        <w:rFonts w:hint="default"/>
        <w:lang w:val="en-US" w:eastAsia="en-US" w:bidi="ar-SA"/>
      </w:rPr>
    </w:lvl>
    <w:lvl w:ilvl="6" w:tplc="F940CB18">
      <w:numFmt w:val="bullet"/>
      <w:lvlText w:val="•"/>
      <w:lvlJc w:val="left"/>
      <w:pPr>
        <w:ind w:left="3811" w:hanging="360"/>
      </w:pPr>
      <w:rPr>
        <w:rFonts w:hint="default"/>
        <w:lang w:val="en-US" w:eastAsia="en-US" w:bidi="ar-SA"/>
      </w:rPr>
    </w:lvl>
    <w:lvl w:ilvl="7" w:tplc="03DEC0AA">
      <w:numFmt w:val="bullet"/>
      <w:lvlText w:val="•"/>
      <w:lvlJc w:val="left"/>
      <w:pPr>
        <w:ind w:left="4310" w:hanging="360"/>
      </w:pPr>
      <w:rPr>
        <w:rFonts w:hint="default"/>
        <w:lang w:val="en-US" w:eastAsia="en-US" w:bidi="ar-SA"/>
      </w:rPr>
    </w:lvl>
    <w:lvl w:ilvl="8" w:tplc="BDF85FCA">
      <w:numFmt w:val="bullet"/>
      <w:lvlText w:val="•"/>
      <w:lvlJc w:val="left"/>
      <w:pPr>
        <w:ind w:left="4808" w:hanging="360"/>
      </w:pPr>
      <w:rPr>
        <w:rFonts w:hint="default"/>
        <w:lang w:val="en-US" w:eastAsia="en-US" w:bidi="ar-SA"/>
      </w:rPr>
    </w:lvl>
  </w:abstractNum>
  <w:num w:numId="1" w16cid:durableId="766270594">
    <w:abstractNumId w:val="37"/>
  </w:num>
  <w:num w:numId="2" w16cid:durableId="2007705771">
    <w:abstractNumId w:val="67"/>
  </w:num>
  <w:num w:numId="3" w16cid:durableId="1638796949">
    <w:abstractNumId w:val="0"/>
  </w:num>
  <w:num w:numId="4" w16cid:durableId="1597203993">
    <w:abstractNumId w:val="1"/>
  </w:num>
  <w:num w:numId="5" w16cid:durableId="1809518141">
    <w:abstractNumId w:val="2"/>
  </w:num>
  <w:num w:numId="6" w16cid:durableId="1865560021">
    <w:abstractNumId w:val="42"/>
  </w:num>
  <w:num w:numId="7" w16cid:durableId="1950772959">
    <w:abstractNumId w:val="46"/>
  </w:num>
  <w:num w:numId="8" w16cid:durableId="1030184866">
    <w:abstractNumId w:val="63"/>
  </w:num>
  <w:num w:numId="9" w16cid:durableId="332614893">
    <w:abstractNumId w:val="32"/>
  </w:num>
  <w:num w:numId="10" w16cid:durableId="1684015840">
    <w:abstractNumId w:val="53"/>
  </w:num>
  <w:num w:numId="11" w16cid:durableId="102462946">
    <w:abstractNumId w:val="21"/>
  </w:num>
  <w:num w:numId="12" w16cid:durableId="1817213918">
    <w:abstractNumId w:val="28"/>
  </w:num>
  <w:num w:numId="13" w16cid:durableId="2119178668">
    <w:abstractNumId w:val="5"/>
  </w:num>
  <w:num w:numId="14" w16cid:durableId="546913495">
    <w:abstractNumId w:val="33"/>
  </w:num>
  <w:num w:numId="15" w16cid:durableId="1179123806">
    <w:abstractNumId w:val="35"/>
  </w:num>
  <w:num w:numId="16" w16cid:durableId="2132623438">
    <w:abstractNumId w:val="22"/>
  </w:num>
  <w:num w:numId="17" w16cid:durableId="1033505657">
    <w:abstractNumId w:val="66"/>
  </w:num>
  <w:num w:numId="18" w16cid:durableId="1777485919">
    <w:abstractNumId w:val="60"/>
  </w:num>
  <w:num w:numId="19" w16cid:durableId="538324957">
    <w:abstractNumId w:val="23"/>
  </w:num>
  <w:num w:numId="20" w16cid:durableId="467088749">
    <w:abstractNumId w:val="64"/>
  </w:num>
  <w:num w:numId="21" w16cid:durableId="1441878662">
    <w:abstractNumId w:val="61"/>
  </w:num>
  <w:num w:numId="22" w16cid:durableId="1515535097">
    <w:abstractNumId w:val="44"/>
  </w:num>
  <w:num w:numId="23" w16cid:durableId="824903005">
    <w:abstractNumId w:val="70"/>
  </w:num>
  <w:num w:numId="24" w16cid:durableId="1368679341">
    <w:abstractNumId w:val="50"/>
  </w:num>
  <w:num w:numId="25" w16cid:durableId="1551838306">
    <w:abstractNumId w:val="71"/>
  </w:num>
  <w:num w:numId="26" w16cid:durableId="1987272958">
    <w:abstractNumId w:val="3"/>
  </w:num>
  <w:num w:numId="27" w16cid:durableId="131870449">
    <w:abstractNumId w:val="4"/>
  </w:num>
  <w:num w:numId="28" w16cid:durableId="24647808">
    <w:abstractNumId w:val="7"/>
  </w:num>
  <w:num w:numId="29" w16cid:durableId="1625966929">
    <w:abstractNumId w:val="72"/>
  </w:num>
  <w:num w:numId="30" w16cid:durableId="1919560752">
    <w:abstractNumId w:val="68"/>
  </w:num>
  <w:num w:numId="31" w16cid:durableId="2003119106">
    <w:abstractNumId w:val="11"/>
  </w:num>
  <w:num w:numId="32" w16cid:durableId="17977445">
    <w:abstractNumId w:val="76"/>
  </w:num>
  <w:num w:numId="33" w16cid:durableId="1045567956">
    <w:abstractNumId w:val="19"/>
  </w:num>
  <w:num w:numId="34" w16cid:durableId="404567522">
    <w:abstractNumId w:val="77"/>
  </w:num>
  <w:num w:numId="35" w16cid:durableId="218174847">
    <w:abstractNumId w:val="39"/>
  </w:num>
  <w:num w:numId="36" w16cid:durableId="1083062466">
    <w:abstractNumId w:val="49"/>
  </w:num>
  <w:num w:numId="37" w16cid:durableId="1272470316">
    <w:abstractNumId w:val="17"/>
  </w:num>
  <w:num w:numId="38" w16cid:durableId="540560714">
    <w:abstractNumId w:val="25"/>
  </w:num>
  <w:num w:numId="39" w16cid:durableId="2109962124">
    <w:abstractNumId w:val="45"/>
  </w:num>
  <w:num w:numId="40" w16cid:durableId="990718830">
    <w:abstractNumId w:val="38"/>
  </w:num>
  <w:num w:numId="41" w16cid:durableId="340543782">
    <w:abstractNumId w:val="55"/>
  </w:num>
  <w:num w:numId="42" w16cid:durableId="29695263">
    <w:abstractNumId w:val="43"/>
  </w:num>
  <w:num w:numId="43" w16cid:durableId="2125490979">
    <w:abstractNumId w:val="74"/>
  </w:num>
  <w:num w:numId="44" w16cid:durableId="1177113535">
    <w:abstractNumId w:val="41"/>
  </w:num>
  <w:num w:numId="45" w16cid:durableId="2098860530">
    <w:abstractNumId w:val="27"/>
  </w:num>
  <w:num w:numId="46" w16cid:durableId="1801801858">
    <w:abstractNumId w:val="14"/>
  </w:num>
  <w:num w:numId="47" w16cid:durableId="1217082337">
    <w:abstractNumId w:val="40"/>
  </w:num>
  <w:num w:numId="48" w16cid:durableId="2121410206">
    <w:abstractNumId w:val="29"/>
  </w:num>
  <w:num w:numId="49" w16cid:durableId="780420040">
    <w:abstractNumId w:val="9"/>
  </w:num>
  <w:num w:numId="50" w16cid:durableId="83888792">
    <w:abstractNumId w:val="36"/>
  </w:num>
  <w:num w:numId="51" w16cid:durableId="1059085887">
    <w:abstractNumId w:val="51"/>
  </w:num>
  <w:num w:numId="52" w16cid:durableId="2111505046">
    <w:abstractNumId w:val="47"/>
  </w:num>
  <w:num w:numId="53" w16cid:durableId="922375996">
    <w:abstractNumId w:val="26"/>
  </w:num>
  <w:num w:numId="54" w16cid:durableId="908537523">
    <w:abstractNumId w:val="57"/>
  </w:num>
  <w:num w:numId="55" w16cid:durableId="248316899">
    <w:abstractNumId w:val="52"/>
  </w:num>
  <w:num w:numId="56" w16cid:durableId="382800565">
    <w:abstractNumId w:val="10"/>
  </w:num>
  <w:num w:numId="57" w16cid:durableId="1588731067">
    <w:abstractNumId w:val="12"/>
  </w:num>
  <w:num w:numId="58" w16cid:durableId="1364285933">
    <w:abstractNumId w:val="30"/>
  </w:num>
  <w:num w:numId="59" w16cid:durableId="1953050211">
    <w:abstractNumId w:val="69"/>
  </w:num>
  <w:num w:numId="60" w16cid:durableId="1511993813">
    <w:abstractNumId w:val="16"/>
  </w:num>
  <w:num w:numId="61" w16cid:durableId="91442518">
    <w:abstractNumId w:val="24"/>
  </w:num>
  <w:num w:numId="62" w16cid:durableId="1230309532">
    <w:abstractNumId w:val="13"/>
  </w:num>
  <w:num w:numId="63" w16cid:durableId="1041974385">
    <w:abstractNumId w:val="6"/>
  </w:num>
  <w:num w:numId="64" w16cid:durableId="608394062">
    <w:abstractNumId w:val="34"/>
  </w:num>
  <w:num w:numId="65" w16cid:durableId="951859372">
    <w:abstractNumId w:val="75"/>
  </w:num>
  <w:num w:numId="66" w16cid:durableId="87695618">
    <w:abstractNumId w:val="56"/>
  </w:num>
  <w:num w:numId="67" w16cid:durableId="468595934">
    <w:abstractNumId w:val="73"/>
  </w:num>
  <w:num w:numId="68" w16cid:durableId="319389329">
    <w:abstractNumId w:val="65"/>
  </w:num>
  <w:num w:numId="69" w16cid:durableId="1452238860">
    <w:abstractNumId w:val="8"/>
  </w:num>
  <w:num w:numId="70" w16cid:durableId="1817603775">
    <w:abstractNumId w:val="15"/>
  </w:num>
  <w:num w:numId="71" w16cid:durableId="1727414895">
    <w:abstractNumId w:val="20"/>
  </w:num>
  <w:num w:numId="72" w16cid:durableId="2106805774">
    <w:abstractNumId w:val="31"/>
  </w:num>
  <w:num w:numId="73" w16cid:durableId="1899123372">
    <w:abstractNumId w:val="59"/>
  </w:num>
  <w:num w:numId="74" w16cid:durableId="357299">
    <w:abstractNumId w:val="58"/>
  </w:num>
  <w:num w:numId="75" w16cid:durableId="957882332">
    <w:abstractNumId w:val="48"/>
  </w:num>
  <w:num w:numId="76" w16cid:durableId="621771009">
    <w:abstractNumId w:val="62"/>
  </w:num>
  <w:num w:numId="77" w16cid:durableId="700084277">
    <w:abstractNumId w:val="18"/>
  </w:num>
  <w:num w:numId="78" w16cid:durableId="467360022">
    <w:abstractNumId w:val="5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61"/>
    <w:rsid w:val="00020503"/>
    <w:rsid w:val="00023091"/>
    <w:rsid w:val="00023C01"/>
    <w:rsid w:val="000540D9"/>
    <w:rsid w:val="0007323A"/>
    <w:rsid w:val="0009306C"/>
    <w:rsid w:val="000B5710"/>
    <w:rsid w:val="000B687E"/>
    <w:rsid w:val="000B6F5A"/>
    <w:rsid w:val="000C5B56"/>
    <w:rsid w:val="000C5DC7"/>
    <w:rsid w:val="000E50FC"/>
    <w:rsid w:val="000E7896"/>
    <w:rsid w:val="00106700"/>
    <w:rsid w:val="0012579D"/>
    <w:rsid w:val="00155761"/>
    <w:rsid w:val="00171E6E"/>
    <w:rsid w:val="001B1A3A"/>
    <w:rsid w:val="001E7795"/>
    <w:rsid w:val="00235747"/>
    <w:rsid w:val="00262D09"/>
    <w:rsid w:val="00267281"/>
    <w:rsid w:val="002C62EF"/>
    <w:rsid w:val="002D24E0"/>
    <w:rsid w:val="002F4FFF"/>
    <w:rsid w:val="00334281"/>
    <w:rsid w:val="00374B98"/>
    <w:rsid w:val="003777DD"/>
    <w:rsid w:val="00393534"/>
    <w:rsid w:val="0039440B"/>
    <w:rsid w:val="003F7709"/>
    <w:rsid w:val="004061F3"/>
    <w:rsid w:val="004125C3"/>
    <w:rsid w:val="0042329A"/>
    <w:rsid w:val="0043069D"/>
    <w:rsid w:val="00475350"/>
    <w:rsid w:val="0049597D"/>
    <w:rsid w:val="00495CFB"/>
    <w:rsid w:val="004D500C"/>
    <w:rsid w:val="005069E1"/>
    <w:rsid w:val="00521D34"/>
    <w:rsid w:val="0053795E"/>
    <w:rsid w:val="005444C6"/>
    <w:rsid w:val="00594E79"/>
    <w:rsid w:val="00596803"/>
    <w:rsid w:val="005A4C78"/>
    <w:rsid w:val="005B12B4"/>
    <w:rsid w:val="005B53FF"/>
    <w:rsid w:val="005B6ED1"/>
    <w:rsid w:val="005C6684"/>
    <w:rsid w:val="005C7B9D"/>
    <w:rsid w:val="005D5A36"/>
    <w:rsid w:val="005F273B"/>
    <w:rsid w:val="0061582F"/>
    <w:rsid w:val="00637477"/>
    <w:rsid w:val="00653881"/>
    <w:rsid w:val="006767D5"/>
    <w:rsid w:val="00684925"/>
    <w:rsid w:val="00687881"/>
    <w:rsid w:val="006D7E2B"/>
    <w:rsid w:val="007126F8"/>
    <w:rsid w:val="00713A82"/>
    <w:rsid w:val="00733181"/>
    <w:rsid w:val="007350B0"/>
    <w:rsid w:val="007770DA"/>
    <w:rsid w:val="007D40D6"/>
    <w:rsid w:val="007D5C10"/>
    <w:rsid w:val="007E245B"/>
    <w:rsid w:val="007E2F2A"/>
    <w:rsid w:val="007E46BA"/>
    <w:rsid w:val="007F5623"/>
    <w:rsid w:val="00803B74"/>
    <w:rsid w:val="00811887"/>
    <w:rsid w:val="00817072"/>
    <w:rsid w:val="008677E7"/>
    <w:rsid w:val="0087472C"/>
    <w:rsid w:val="008E198C"/>
    <w:rsid w:val="00921054"/>
    <w:rsid w:val="00930DF9"/>
    <w:rsid w:val="00935792"/>
    <w:rsid w:val="00944244"/>
    <w:rsid w:val="00977D8C"/>
    <w:rsid w:val="00990E04"/>
    <w:rsid w:val="009A10E4"/>
    <w:rsid w:val="009E7BD6"/>
    <w:rsid w:val="009F44A8"/>
    <w:rsid w:val="009F4EDC"/>
    <w:rsid w:val="009F5B82"/>
    <w:rsid w:val="009F6360"/>
    <w:rsid w:val="00A36DE0"/>
    <w:rsid w:val="00A726F2"/>
    <w:rsid w:val="00AF347E"/>
    <w:rsid w:val="00AF6C87"/>
    <w:rsid w:val="00B04945"/>
    <w:rsid w:val="00B24C40"/>
    <w:rsid w:val="00B303D2"/>
    <w:rsid w:val="00B652C8"/>
    <w:rsid w:val="00B95D46"/>
    <w:rsid w:val="00BE60A2"/>
    <w:rsid w:val="00C312D2"/>
    <w:rsid w:val="00C355EE"/>
    <w:rsid w:val="00C52545"/>
    <w:rsid w:val="00C54256"/>
    <w:rsid w:val="00C61B2A"/>
    <w:rsid w:val="00CC2348"/>
    <w:rsid w:val="00CF29A5"/>
    <w:rsid w:val="00D24350"/>
    <w:rsid w:val="00D43352"/>
    <w:rsid w:val="00D737F8"/>
    <w:rsid w:val="00D81C00"/>
    <w:rsid w:val="00D867CE"/>
    <w:rsid w:val="00DA56F2"/>
    <w:rsid w:val="00DA589B"/>
    <w:rsid w:val="00DB26EB"/>
    <w:rsid w:val="00DC43EE"/>
    <w:rsid w:val="00DD1A2D"/>
    <w:rsid w:val="00DE6E02"/>
    <w:rsid w:val="00DE7D93"/>
    <w:rsid w:val="00DE7FE0"/>
    <w:rsid w:val="00E00226"/>
    <w:rsid w:val="00E02107"/>
    <w:rsid w:val="00E028CF"/>
    <w:rsid w:val="00E854B2"/>
    <w:rsid w:val="00E907D5"/>
    <w:rsid w:val="00EC4EDE"/>
    <w:rsid w:val="00ED4DD0"/>
    <w:rsid w:val="00EF1B34"/>
    <w:rsid w:val="00F347F5"/>
    <w:rsid w:val="00F34C6F"/>
    <w:rsid w:val="00F57B7C"/>
    <w:rsid w:val="00FA004A"/>
    <w:rsid w:val="00FA0836"/>
    <w:rsid w:val="00FB2FE9"/>
    <w:rsid w:val="00FB5B72"/>
    <w:rsid w:val="00FB722E"/>
    <w:rsid w:val="00FD0395"/>
    <w:rsid w:val="00FD7A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D39A"/>
  <w15:chartTrackingRefBased/>
  <w15:docId w15:val="{682FD1F2-7297-6B44-9076-092E9E016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5A"/>
    <w:pPr>
      <w:spacing w:after="120"/>
    </w:pPr>
    <w:rPr>
      <w:rFonts w:ascii="Arial" w:hAnsi="Arial"/>
      <w:color w:val="0E2841" w:themeColor="text2"/>
      <w:sz w:val="22"/>
    </w:rPr>
  </w:style>
  <w:style w:type="paragraph" w:styleId="Heading1">
    <w:name w:val="heading 1"/>
    <w:basedOn w:val="Normal"/>
    <w:next w:val="Normal"/>
    <w:link w:val="Heading1Char"/>
    <w:uiPriority w:val="9"/>
    <w:qFormat/>
    <w:rsid w:val="000B6F5A"/>
    <w:pPr>
      <w:keepNext/>
      <w:keepLines/>
      <w:spacing w:before="360"/>
      <w:outlineLvl w:val="0"/>
    </w:pPr>
    <w:rPr>
      <w:rFonts w:eastAsiaTheme="majorEastAsia" w:cstheme="majorBidi"/>
      <w:b/>
      <w:sz w:val="56"/>
      <w:szCs w:val="40"/>
    </w:rPr>
  </w:style>
  <w:style w:type="paragraph" w:styleId="Heading2">
    <w:name w:val="heading 2"/>
    <w:basedOn w:val="Normal"/>
    <w:next w:val="Normal"/>
    <w:link w:val="Heading2Char"/>
    <w:uiPriority w:val="9"/>
    <w:unhideWhenUsed/>
    <w:qFormat/>
    <w:rsid w:val="00D867CE"/>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D867CE"/>
    <w:pPr>
      <w:keepNext/>
      <w:keepLines/>
      <w:spacing w:before="160" w:after="80"/>
      <w:outlineLvl w:val="2"/>
    </w:pPr>
    <w:rPr>
      <w:rFonts w:eastAsiaTheme="majorEastAsia" w:cstheme="majorBidi"/>
      <w:b/>
      <w:sz w:val="24"/>
      <w:szCs w:val="28"/>
    </w:rPr>
  </w:style>
  <w:style w:type="paragraph" w:styleId="Heading4">
    <w:name w:val="heading 4"/>
    <w:aliases w:val="Table headings"/>
    <w:basedOn w:val="Normal"/>
    <w:next w:val="Normal"/>
    <w:link w:val="Heading4Char"/>
    <w:uiPriority w:val="9"/>
    <w:unhideWhenUsed/>
    <w:qFormat/>
    <w:rsid w:val="003777DD"/>
    <w:pPr>
      <w:keepNext/>
      <w:keepLines/>
      <w:spacing w:before="80"/>
      <w:outlineLvl w:val="3"/>
    </w:pPr>
    <w:rPr>
      <w:rFonts w:eastAsiaTheme="majorEastAsia" w:cstheme="majorBidi"/>
      <w:b/>
      <w:iCs/>
      <w:color w:val="131727" w:themeColor="text1"/>
    </w:rPr>
  </w:style>
  <w:style w:type="paragraph" w:styleId="Heading5">
    <w:name w:val="heading 5"/>
    <w:basedOn w:val="Normal"/>
    <w:next w:val="Normal"/>
    <w:link w:val="Heading5Char"/>
    <w:uiPriority w:val="9"/>
    <w:unhideWhenUsed/>
    <w:qFormat/>
    <w:rsid w:val="000B6F5A"/>
    <w:pPr>
      <w:keepNext/>
      <w:keepLines/>
      <w:spacing w:before="80" w:after="160"/>
      <w:outlineLvl w:val="4"/>
    </w:pPr>
    <w:rPr>
      <w:rFonts w:eastAsiaTheme="majorEastAsia" w:cstheme="majorBidi"/>
      <w:b/>
      <w:sz w:val="28"/>
    </w:rPr>
  </w:style>
  <w:style w:type="paragraph" w:styleId="Heading6">
    <w:name w:val="heading 6"/>
    <w:basedOn w:val="Normal"/>
    <w:next w:val="Normal"/>
    <w:link w:val="Heading6Char"/>
    <w:uiPriority w:val="9"/>
    <w:unhideWhenUsed/>
    <w:qFormat/>
    <w:rsid w:val="00155761"/>
    <w:pPr>
      <w:keepNext/>
      <w:keepLines/>
      <w:spacing w:before="40"/>
      <w:outlineLvl w:val="5"/>
    </w:pPr>
    <w:rPr>
      <w:rFonts w:eastAsiaTheme="majorEastAsia" w:cstheme="majorBidi"/>
      <w:i/>
      <w:iCs/>
      <w:color w:val="465590" w:themeColor="text1" w:themeTint="A6"/>
    </w:rPr>
  </w:style>
  <w:style w:type="paragraph" w:styleId="Heading7">
    <w:name w:val="heading 7"/>
    <w:basedOn w:val="Normal"/>
    <w:next w:val="Normal"/>
    <w:link w:val="Heading7Char"/>
    <w:uiPriority w:val="1"/>
    <w:unhideWhenUsed/>
    <w:qFormat/>
    <w:rsid w:val="00155761"/>
    <w:pPr>
      <w:keepNext/>
      <w:keepLines/>
      <w:spacing w:before="40"/>
      <w:outlineLvl w:val="6"/>
    </w:pPr>
    <w:rPr>
      <w:rFonts w:eastAsiaTheme="majorEastAsia" w:cstheme="majorBidi"/>
      <w:color w:val="465590" w:themeColor="text1" w:themeTint="A6"/>
    </w:rPr>
  </w:style>
  <w:style w:type="paragraph" w:styleId="Heading8">
    <w:name w:val="heading 8"/>
    <w:basedOn w:val="Normal"/>
    <w:next w:val="Normal"/>
    <w:link w:val="Heading8Char"/>
    <w:uiPriority w:val="1"/>
    <w:unhideWhenUsed/>
    <w:qFormat/>
    <w:rsid w:val="00155761"/>
    <w:pPr>
      <w:keepNext/>
      <w:keepLines/>
      <w:outlineLvl w:val="7"/>
    </w:pPr>
    <w:rPr>
      <w:rFonts w:eastAsiaTheme="majorEastAsia" w:cstheme="majorBidi"/>
      <w:i/>
      <w:iCs/>
      <w:color w:val="293255" w:themeColor="text1" w:themeTint="D8"/>
    </w:rPr>
  </w:style>
  <w:style w:type="paragraph" w:styleId="Heading9">
    <w:name w:val="heading 9"/>
    <w:basedOn w:val="Normal"/>
    <w:next w:val="Normal"/>
    <w:link w:val="Heading9Char"/>
    <w:uiPriority w:val="1"/>
    <w:unhideWhenUsed/>
    <w:qFormat/>
    <w:rsid w:val="00155761"/>
    <w:pPr>
      <w:keepNext/>
      <w:keepLines/>
      <w:outlineLvl w:val="8"/>
    </w:pPr>
    <w:rPr>
      <w:rFonts w:eastAsiaTheme="majorEastAsia" w:cstheme="majorBidi"/>
      <w:color w:val="293255"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5A"/>
    <w:rPr>
      <w:rFonts w:ascii="Arial" w:eastAsiaTheme="majorEastAsia" w:hAnsi="Arial" w:cstheme="majorBidi"/>
      <w:b/>
      <w:color w:val="0E2841" w:themeColor="text2"/>
      <w:sz w:val="56"/>
      <w:szCs w:val="40"/>
    </w:rPr>
  </w:style>
  <w:style w:type="character" w:customStyle="1" w:styleId="Heading2Char">
    <w:name w:val="Heading 2 Char"/>
    <w:basedOn w:val="DefaultParagraphFont"/>
    <w:link w:val="Heading2"/>
    <w:uiPriority w:val="9"/>
    <w:rsid w:val="00D867CE"/>
    <w:rPr>
      <w:rFonts w:ascii="Arial" w:eastAsiaTheme="majorEastAsia" w:hAnsi="Arial" w:cstheme="majorBidi"/>
      <w:b/>
      <w:color w:val="0E2841" w:themeColor="text2"/>
      <w:sz w:val="32"/>
      <w:szCs w:val="32"/>
    </w:rPr>
  </w:style>
  <w:style w:type="character" w:customStyle="1" w:styleId="Heading3Char">
    <w:name w:val="Heading 3 Char"/>
    <w:basedOn w:val="DefaultParagraphFont"/>
    <w:link w:val="Heading3"/>
    <w:uiPriority w:val="9"/>
    <w:rsid w:val="00D867CE"/>
    <w:rPr>
      <w:rFonts w:ascii="Arial" w:eastAsiaTheme="majorEastAsia" w:hAnsi="Arial" w:cstheme="majorBidi"/>
      <w:b/>
      <w:color w:val="0E2841" w:themeColor="text2"/>
      <w:szCs w:val="28"/>
    </w:rPr>
  </w:style>
  <w:style w:type="character" w:customStyle="1" w:styleId="Heading4Char">
    <w:name w:val="Heading 4 Char"/>
    <w:aliases w:val="Table headings Char"/>
    <w:basedOn w:val="DefaultParagraphFont"/>
    <w:link w:val="Heading4"/>
    <w:uiPriority w:val="9"/>
    <w:rsid w:val="003777DD"/>
    <w:rPr>
      <w:rFonts w:ascii="Arial" w:eastAsiaTheme="majorEastAsia" w:hAnsi="Arial" w:cstheme="majorBidi"/>
      <w:b/>
      <w:iCs/>
      <w:color w:val="131727" w:themeColor="text1"/>
      <w:sz w:val="22"/>
    </w:rPr>
  </w:style>
  <w:style w:type="character" w:customStyle="1" w:styleId="Heading5Char">
    <w:name w:val="Heading 5 Char"/>
    <w:basedOn w:val="DefaultParagraphFont"/>
    <w:link w:val="Heading5"/>
    <w:uiPriority w:val="9"/>
    <w:rsid w:val="000B6F5A"/>
    <w:rPr>
      <w:rFonts w:ascii="Arial" w:eastAsiaTheme="majorEastAsia" w:hAnsi="Arial" w:cstheme="majorBidi"/>
      <w:b/>
      <w:color w:val="0E2841" w:themeColor="text2"/>
      <w:sz w:val="28"/>
    </w:rPr>
  </w:style>
  <w:style w:type="character" w:customStyle="1" w:styleId="Heading6Char">
    <w:name w:val="Heading 6 Char"/>
    <w:basedOn w:val="DefaultParagraphFont"/>
    <w:link w:val="Heading6"/>
    <w:uiPriority w:val="9"/>
    <w:rsid w:val="00155761"/>
    <w:rPr>
      <w:rFonts w:eastAsiaTheme="majorEastAsia" w:cstheme="majorBidi"/>
      <w:i/>
      <w:iCs/>
      <w:color w:val="465590" w:themeColor="text1" w:themeTint="A6"/>
    </w:rPr>
  </w:style>
  <w:style w:type="character" w:customStyle="1" w:styleId="Heading7Char">
    <w:name w:val="Heading 7 Char"/>
    <w:basedOn w:val="DefaultParagraphFont"/>
    <w:link w:val="Heading7"/>
    <w:uiPriority w:val="9"/>
    <w:rsid w:val="00155761"/>
    <w:rPr>
      <w:rFonts w:eastAsiaTheme="majorEastAsia" w:cstheme="majorBidi"/>
      <w:color w:val="465590" w:themeColor="text1" w:themeTint="A6"/>
    </w:rPr>
  </w:style>
  <w:style w:type="character" w:customStyle="1" w:styleId="Heading8Char">
    <w:name w:val="Heading 8 Char"/>
    <w:basedOn w:val="DefaultParagraphFont"/>
    <w:link w:val="Heading8"/>
    <w:uiPriority w:val="9"/>
    <w:rsid w:val="00155761"/>
    <w:rPr>
      <w:rFonts w:eastAsiaTheme="majorEastAsia" w:cstheme="majorBidi"/>
      <w:i/>
      <w:iCs/>
      <w:color w:val="293255" w:themeColor="text1" w:themeTint="D8"/>
    </w:rPr>
  </w:style>
  <w:style w:type="character" w:customStyle="1" w:styleId="Heading9Char">
    <w:name w:val="Heading 9 Char"/>
    <w:basedOn w:val="DefaultParagraphFont"/>
    <w:link w:val="Heading9"/>
    <w:uiPriority w:val="9"/>
    <w:rsid w:val="00155761"/>
    <w:rPr>
      <w:rFonts w:eastAsiaTheme="majorEastAsia" w:cstheme="majorBidi"/>
      <w:color w:val="293255" w:themeColor="text1" w:themeTint="D8"/>
    </w:rPr>
  </w:style>
  <w:style w:type="paragraph" w:styleId="Title">
    <w:name w:val="Title"/>
    <w:basedOn w:val="Normal"/>
    <w:next w:val="Normal"/>
    <w:link w:val="TitleChar"/>
    <w:uiPriority w:val="10"/>
    <w:qFormat/>
    <w:rsid w:val="00155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61"/>
    <w:pPr>
      <w:numPr>
        <w:ilvl w:val="1"/>
      </w:numPr>
      <w:spacing w:after="160"/>
    </w:pPr>
    <w:rPr>
      <w:rFonts w:eastAsiaTheme="majorEastAsia" w:cstheme="majorBidi"/>
      <w:color w:val="465590" w:themeColor="text1" w:themeTint="A6"/>
      <w:spacing w:val="15"/>
      <w:sz w:val="28"/>
      <w:szCs w:val="28"/>
    </w:rPr>
  </w:style>
  <w:style w:type="character" w:customStyle="1" w:styleId="SubtitleChar">
    <w:name w:val="Subtitle Char"/>
    <w:basedOn w:val="DefaultParagraphFont"/>
    <w:link w:val="Subtitle"/>
    <w:uiPriority w:val="11"/>
    <w:rsid w:val="00155761"/>
    <w:rPr>
      <w:rFonts w:eastAsiaTheme="majorEastAsia" w:cstheme="majorBidi"/>
      <w:color w:val="465590" w:themeColor="text1" w:themeTint="A6"/>
      <w:spacing w:val="15"/>
      <w:sz w:val="28"/>
      <w:szCs w:val="28"/>
    </w:rPr>
  </w:style>
  <w:style w:type="paragraph" w:styleId="Quote">
    <w:name w:val="Quote"/>
    <w:basedOn w:val="Normal"/>
    <w:next w:val="Normal"/>
    <w:link w:val="QuoteChar"/>
    <w:uiPriority w:val="29"/>
    <w:qFormat/>
    <w:rsid w:val="00155761"/>
    <w:pPr>
      <w:spacing w:before="160" w:after="160"/>
      <w:jc w:val="center"/>
    </w:pPr>
    <w:rPr>
      <w:i/>
      <w:iCs/>
      <w:color w:val="384373" w:themeColor="text1" w:themeTint="BF"/>
    </w:rPr>
  </w:style>
  <w:style w:type="character" w:customStyle="1" w:styleId="QuoteChar">
    <w:name w:val="Quote Char"/>
    <w:basedOn w:val="DefaultParagraphFont"/>
    <w:link w:val="Quote"/>
    <w:uiPriority w:val="29"/>
    <w:rsid w:val="00155761"/>
    <w:rPr>
      <w:i/>
      <w:iCs/>
      <w:color w:val="384373" w:themeColor="text1" w:themeTint="BF"/>
    </w:rPr>
  </w:style>
  <w:style w:type="paragraph" w:styleId="ListParagraph">
    <w:name w:val="List Paragraph"/>
    <w:basedOn w:val="Normal"/>
    <w:uiPriority w:val="1"/>
    <w:qFormat/>
    <w:rsid w:val="00155761"/>
    <w:pPr>
      <w:ind w:left="720"/>
      <w:contextualSpacing/>
    </w:pPr>
  </w:style>
  <w:style w:type="character" w:styleId="IntenseEmphasis">
    <w:name w:val="Intense Emphasis"/>
    <w:basedOn w:val="DefaultParagraphFont"/>
    <w:uiPriority w:val="21"/>
    <w:qFormat/>
    <w:rsid w:val="00155761"/>
    <w:rPr>
      <w:i/>
      <w:iCs/>
      <w:color w:val="EA591F" w:themeColor="accent1" w:themeShade="BF"/>
    </w:rPr>
  </w:style>
  <w:style w:type="paragraph" w:styleId="IntenseQuote">
    <w:name w:val="Intense Quote"/>
    <w:basedOn w:val="Normal"/>
    <w:next w:val="Normal"/>
    <w:link w:val="IntenseQuoteChar"/>
    <w:uiPriority w:val="30"/>
    <w:qFormat/>
    <w:rsid w:val="00155761"/>
    <w:pPr>
      <w:pBdr>
        <w:top w:val="single" w:sz="4" w:space="10" w:color="EA591F" w:themeColor="accent1" w:themeShade="BF"/>
        <w:bottom w:val="single" w:sz="4" w:space="10" w:color="EA591F" w:themeColor="accent1" w:themeShade="BF"/>
      </w:pBdr>
      <w:spacing w:before="360" w:after="360"/>
      <w:ind w:left="864" w:right="864"/>
      <w:jc w:val="center"/>
    </w:pPr>
    <w:rPr>
      <w:i/>
      <w:iCs/>
      <w:color w:val="EA591F" w:themeColor="accent1" w:themeShade="BF"/>
    </w:rPr>
  </w:style>
  <w:style w:type="character" w:customStyle="1" w:styleId="IntenseQuoteChar">
    <w:name w:val="Intense Quote Char"/>
    <w:basedOn w:val="DefaultParagraphFont"/>
    <w:link w:val="IntenseQuote"/>
    <w:uiPriority w:val="30"/>
    <w:rsid w:val="00155761"/>
    <w:rPr>
      <w:i/>
      <w:iCs/>
      <w:color w:val="EA591F" w:themeColor="accent1" w:themeShade="BF"/>
    </w:rPr>
  </w:style>
  <w:style w:type="character" w:styleId="IntenseReference">
    <w:name w:val="Intense Reference"/>
    <w:basedOn w:val="DefaultParagraphFont"/>
    <w:uiPriority w:val="32"/>
    <w:qFormat/>
    <w:rsid w:val="00155761"/>
    <w:rPr>
      <w:b/>
      <w:bCs/>
      <w:smallCaps/>
      <w:color w:val="EA591F" w:themeColor="accent1" w:themeShade="BF"/>
      <w:spacing w:val="5"/>
    </w:rPr>
  </w:style>
  <w:style w:type="character" w:styleId="SubtleEmphasis">
    <w:name w:val="Subtle Emphasis"/>
    <w:basedOn w:val="DefaultParagraphFont"/>
    <w:uiPriority w:val="19"/>
    <w:qFormat/>
    <w:rsid w:val="005C6684"/>
    <w:rPr>
      <w:rFonts w:ascii="Arial" w:hAnsi="Arial"/>
      <w:b w:val="0"/>
      <w:i/>
      <w:iCs/>
      <w:color w:val="131727" w:themeColor="text1"/>
    </w:rPr>
  </w:style>
  <w:style w:type="character" w:styleId="Emphasis">
    <w:name w:val="Emphasis"/>
    <w:aliases w:val="Breakout text"/>
    <w:basedOn w:val="DefaultParagraphFont"/>
    <w:uiPriority w:val="20"/>
    <w:qFormat/>
    <w:rsid w:val="00155761"/>
    <w:rPr>
      <w:rFonts w:ascii="Arial" w:hAnsi="Arial"/>
      <w:b w:val="0"/>
      <w:i w:val="0"/>
      <w:iCs/>
      <w:sz w:val="28"/>
    </w:rPr>
  </w:style>
  <w:style w:type="paragraph" w:styleId="NoSpacing">
    <w:name w:val="No Spacing"/>
    <w:link w:val="NoSpacingChar"/>
    <w:uiPriority w:val="1"/>
    <w:qFormat/>
    <w:rsid w:val="00155761"/>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55761"/>
    <w:rPr>
      <w:rFonts w:eastAsiaTheme="minorEastAsia"/>
      <w:kern w:val="0"/>
      <w:sz w:val="22"/>
      <w:szCs w:val="22"/>
      <w:lang w:val="en-US" w:eastAsia="zh-CN"/>
      <w14:ligatures w14:val="none"/>
    </w:rPr>
  </w:style>
  <w:style w:type="paragraph" w:styleId="TOC1">
    <w:name w:val="toc 1"/>
    <w:basedOn w:val="Normal"/>
    <w:next w:val="Normal"/>
    <w:autoRedefine/>
    <w:uiPriority w:val="1"/>
    <w:unhideWhenUsed/>
    <w:qFormat/>
    <w:rsid w:val="00155761"/>
    <w:pPr>
      <w:spacing w:before="240"/>
    </w:pPr>
    <w:rPr>
      <w:rFonts w:asciiTheme="minorHAnsi" w:hAnsiTheme="minorHAnsi"/>
      <w:b/>
      <w:bCs/>
      <w:sz w:val="20"/>
      <w:szCs w:val="20"/>
    </w:rPr>
  </w:style>
  <w:style w:type="paragraph" w:styleId="TOC2">
    <w:name w:val="toc 2"/>
    <w:basedOn w:val="Normal"/>
    <w:next w:val="Normal"/>
    <w:autoRedefine/>
    <w:uiPriority w:val="1"/>
    <w:unhideWhenUsed/>
    <w:qFormat/>
    <w:rsid w:val="00155761"/>
    <w:pPr>
      <w:spacing w:before="120" w:after="0"/>
      <w:ind w:left="220"/>
    </w:pPr>
    <w:rPr>
      <w:rFonts w:asciiTheme="minorHAnsi" w:hAnsiTheme="minorHAnsi"/>
      <w:i/>
      <w:iCs/>
      <w:sz w:val="20"/>
      <w:szCs w:val="20"/>
    </w:rPr>
  </w:style>
  <w:style w:type="paragraph" w:styleId="TOC3">
    <w:name w:val="toc 3"/>
    <w:basedOn w:val="Normal"/>
    <w:next w:val="Normal"/>
    <w:autoRedefine/>
    <w:uiPriority w:val="1"/>
    <w:unhideWhenUsed/>
    <w:qFormat/>
    <w:rsid w:val="00155761"/>
    <w:pPr>
      <w:spacing w:after="0"/>
      <w:ind w:left="440"/>
    </w:pPr>
    <w:rPr>
      <w:rFonts w:asciiTheme="minorHAnsi" w:hAnsiTheme="minorHAnsi"/>
      <w:sz w:val="20"/>
      <w:szCs w:val="20"/>
    </w:rPr>
  </w:style>
  <w:style w:type="paragraph" w:styleId="TOC4">
    <w:name w:val="toc 4"/>
    <w:basedOn w:val="Normal"/>
    <w:next w:val="Normal"/>
    <w:autoRedefine/>
    <w:uiPriority w:val="1"/>
    <w:unhideWhenUsed/>
    <w:qFormat/>
    <w:rsid w:val="00155761"/>
    <w:pPr>
      <w:spacing w:after="0"/>
      <w:ind w:left="660"/>
    </w:pPr>
    <w:rPr>
      <w:rFonts w:asciiTheme="minorHAnsi" w:hAnsiTheme="minorHAnsi"/>
      <w:sz w:val="20"/>
      <w:szCs w:val="20"/>
    </w:rPr>
  </w:style>
  <w:style w:type="paragraph" w:styleId="TOC5">
    <w:name w:val="toc 5"/>
    <w:basedOn w:val="Normal"/>
    <w:next w:val="Normal"/>
    <w:autoRedefine/>
    <w:uiPriority w:val="1"/>
    <w:unhideWhenUsed/>
    <w:qFormat/>
    <w:rsid w:val="001557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557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557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557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55761"/>
    <w:pPr>
      <w:spacing w:after="0"/>
      <w:ind w:left="1760"/>
    </w:pPr>
    <w:rPr>
      <w:rFonts w:asciiTheme="minorHAnsi" w:hAnsiTheme="minorHAnsi"/>
      <w:sz w:val="20"/>
      <w:szCs w:val="20"/>
    </w:rPr>
  </w:style>
  <w:style w:type="paragraph" w:customStyle="1" w:styleId="FeaturetextAp">
    <w:name w:val="Feature text A (p)"/>
    <w:basedOn w:val="Normal"/>
    <w:uiPriority w:val="99"/>
    <w:rsid w:val="00155761"/>
    <w:pPr>
      <w:suppressAutoHyphens/>
      <w:autoSpaceDE w:val="0"/>
      <w:autoSpaceDN w:val="0"/>
      <w:adjustRightInd w:val="0"/>
      <w:spacing w:after="170" w:line="288" w:lineRule="auto"/>
      <w:textAlignment w:val="center"/>
    </w:pPr>
    <w:rPr>
      <w:rFonts w:ascii="BasicSans-Bold" w:hAnsi="BasicSans-Bold" w:cs="BasicSans-Bold"/>
      <w:b/>
      <w:bCs/>
      <w:color w:val="161938"/>
      <w:spacing w:val="4"/>
      <w:kern w:val="0"/>
      <w:sz w:val="40"/>
      <w:szCs w:val="40"/>
      <w:lang w:val="en-US"/>
    </w:rPr>
  </w:style>
  <w:style w:type="character" w:customStyle="1" w:styleId="NavyDarkColour">
    <w:name w:val="Navy Dark (Colour)"/>
    <w:uiPriority w:val="99"/>
    <w:rsid w:val="00155761"/>
    <w:rPr>
      <w:color w:val="161938"/>
    </w:rPr>
  </w:style>
  <w:style w:type="paragraph" w:customStyle="1" w:styleId="Bodyp">
    <w:name w:val="Body (p)"/>
    <w:basedOn w:val="Normal"/>
    <w:uiPriority w:val="99"/>
    <w:rsid w:val="00155761"/>
    <w:pPr>
      <w:suppressAutoHyphens/>
      <w:autoSpaceDE w:val="0"/>
      <w:autoSpaceDN w:val="0"/>
      <w:adjustRightInd w:val="0"/>
      <w:spacing w:after="113" w:line="250" w:lineRule="atLeast"/>
      <w:textAlignment w:val="center"/>
    </w:pPr>
    <w:rPr>
      <w:rFonts w:ascii="BasicSans-Regular" w:hAnsi="BasicSans-Regular" w:cs="BasicSans-Regular"/>
      <w:color w:val="161938"/>
      <w:spacing w:val="2"/>
      <w:kern w:val="0"/>
      <w:sz w:val="20"/>
      <w:szCs w:val="20"/>
      <w:u w:color="000000"/>
      <w:lang w:val="en-GB"/>
    </w:rPr>
  </w:style>
  <w:style w:type="character" w:customStyle="1" w:styleId="BasicSansBold">
    <w:name w:val="Basic Sans Bold"/>
    <w:uiPriority w:val="99"/>
    <w:rsid w:val="00155761"/>
    <w:rPr>
      <w:rFonts w:ascii="BasicSans-Bold" w:hAnsi="BasicSans-Bold" w:cs="BasicSans-Bold"/>
      <w:b/>
      <w:bCs/>
    </w:rPr>
  </w:style>
  <w:style w:type="paragraph" w:customStyle="1" w:styleId="HeadingAH3">
    <w:name w:val="Heading A (H3)"/>
    <w:basedOn w:val="Normal"/>
    <w:uiPriority w:val="99"/>
    <w:rsid w:val="0087472C"/>
    <w:pPr>
      <w:suppressAutoHyphens/>
      <w:autoSpaceDE w:val="0"/>
      <w:autoSpaceDN w:val="0"/>
      <w:adjustRightInd w:val="0"/>
      <w:spacing w:after="170" w:line="288" w:lineRule="auto"/>
      <w:textAlignment w:val="center"/>
    </w:pPr>
    <w:rPr>
      <w:rFonts w:ascii="Staatliches" w:hAnsi="Staatliches" w:cs="Staatliches"/>
      <w:color w:val="161938"/>
      <w:kern w:val="0"/>
      <w:sz w:val="32"/>
      <w:szCs w:val="32"/>
      <w:lang w:val="en-US"/>
    </w:rPr>
  </w:style>
  <w:style w:type="paragraph" w:customStyle="1" w:styleId="BreakouttextAp">
    <w:name w:val="Breakout text A (p)"/>
    <w:basedOn w:val="Normal"/>
    <w:uiPriority w:val="99"/>
    <w:rsid w:val="0087472C"/>
    <w:pPr>
      <w:suppressAutoHyphens/>
      <w:autoSpaceDE w:val="0"/>
      <w:autoSpaceDN w:val="0"/>
      <w:adjustRightInd w:val="0"/>
      <w:spacing w:after="170" w:line="400" w:lineRule="atLeast"/>
      <w:textAlignment w:val="center"/>
    </w:pPr>
    <w:rPr>
      <w:rFonts w:ascii="Staatliches" w:hAnsi="Staatliches" w:cs="Staatliches"/>
      <w:caps/>
      <w:color w:val="161938"/>
      <w:kern w:val="0"/>
      <w:sz w:val="32"/>
      <w:szCs w:val="32"/>
      <w:u w:val="thick" w:color="F39571"/>
      <w:lang w:val="en-US"/>
    </w:rPr>
  </w:style>
  <w:style w:type="paragraph" w:customStyle="1" w:styleId="Bodybulletsp">
    <w:name w:val="Body bullets (p)"/>
    <w:basedOn w:val="Bodyp"/>
    <w:uiPriority w:val="99"/>
    <w:rsid w:val="0087472C"/>
    <w:pPr>
      <w:spacing w:after="57"/>
      <w:ind w:left="170" w:hanging="170"/>
    </w:pPr>
  </w:style>
  <w:style w:type="paragraph" w:customStyle="1" w:styleId="FeaturetextBp">
    <w:name w:val="Feature text B (p)"/>
    <w:basedOn w:val="Normal"/>
    <w:uiPriority w:val="99"/>
    <w:rsid w:val="0087472C"/>
    <w:pPr>
      <w:suppressAutoHyphens/>
      <w:autoSpaceDE w:val="0"/>
      <w:autoSpaceDN w:val="0"/>
      <w:adjustRightInd w:val="0"/>
      <w:spacing w:after="170" w:line="288" w:lineRule="auto"/>
      <w:textAlignment w:val="center"/>
    </w:pPr>
    <w:rPr>
      <w:rFonts w:ascii="BasicSans-Bold" w:hAnsi="BasicSans-Bold" w:cs="BasicSans-Bold"/>
      <w:b/>
      <w:bCs/>
      <w:color w:val="161938"/>
      <w:spacing w:val="3"/>
      <w:kern w:val="0"/>
      <w:sz w:val="28"/>
      <w:szCs w:val="28"/>
      <w:lang w:val="en-US"/>
    </w:rPr>
  </w:style>
  <w:style w:type="paragraph" w:customStyle="1" w:styleId="FeaturetextCp">
    <w:name w:val="Feature text C (p)"/>
    <w:basedOn w:val="FeaturetextBp"/>
    <w:uiPriority w:val="99"/>
    <w:rsid w:val="0087472C"/>
    <w:rPr>
      <w:spacing w:val="2"/>
      <w:sz w:val="24"/>
      <w:szCs w:val="24"/>
    </w:rPr>
  </w:style>
  <w:style w:type="paragraph" w:customStyle="1" w:styleId="FeaturetextDp">
    <w:name w:val="Feature text D (p)"/>
    <w:basedOn w:val="FeaturetextCp"/>
    <w:uiPriority w:val="99"/>
    <w:rsid w:val="00FB722E"/>
    <w:pPr>
      <w:spacing w:after="113"/>
    </w:pPr>
    <w:rPr>
      <w:sz w:val="22"/>
      <w:szCs w:val="22"/>
    </w:rPr>
  </w:style>
  <w:style w:type="paragraph" w:customStyle="1" w:styleId="Bodylettersp">
    <w:name w:val="Body letters (p)"/>
    <w:basedOn w:val="Normal"/>
    <w:uiPriority w:val="99"/>
    <w:rsid w:val="00FB722E"/>
    <w:pPr>
      <w:suppressAutoHyphens/>
      <w:autoSpaceDE w:val="0"/>
      <w:autoSpaceDN w:val="0"/>
      <w:adjustRightInd w:val="0"/>
      <w:spacing w:after="57" w:line="250" w:lineRule="atLeast"/>
      <w:ind w:left="283" w:hanging="283"/>
      <w:textAlignment w:val="center"/>
    </w:pPr>
    <w:rPr>
      <w:rFonts w:ascii="BasicSans-Regular" w:hAnsi="BasicSans-Regular" w:cs="BasicSans-Regular"/>
      <w:color w:val="161938"/>
      <w:spacing w:val="2"/>
      <w:kern w:val="0"/>
      <w:sz w:val="20"/>
      <w:szCs w:val="20"/>
      <w:u w:color="000000"/>
      <w:lang w:val="en-GB"/>
    </w:rPr>
  </w:style>
  <w:style w:type="paragraph" w:customStyle="1" w:styleId="Bodybulletslevel2p">
    <w:name w:val="Body bullets level 2 (p)"/>
    <w:basedOn w:val="Bodybulletsp"/>
    <w:uiPriority w:val="99"/>
    <w:rsid w:val="00FB722E"/>
    <w:pPr>
      <w:ind w:left="397"/>
    </w:pPr>
  </w:style>
  <w:style w:type="paragraph" w:styleId="ListBullet3">
    <w:name w:val="List Bullet 3"/>
    <w:basedOn w:val="Normal"/>
    <w:uiPriority w:val="99"/>
    <w:unhideWhenUsed/>
    <w:rsid w:val="00DA56F2"/>
    <w:pPr>
      <w:numPr>
        <w:numId w:val="3"/>
      </w:numPr>
      <w:contextualSpacing/>
    </w:pPr>
  </w:style>
  <w:style w:type="paragraph" w:styleId="ListBullet2">
    <w:name w:val="List Bullet 2"/>
    <w:basedOn w:val="Normal"/>
    <w:uiPriority w:val="99"/>
    <w:unhideWhenUsed/>
    <w:rsid w:val="00DA56F2"/>
    <w:pPr>
      <w:numPr>
        <w:numId w:val="4"/>
      </w:numPr>
      <w:contextualSpacing/>
    </w:pPr>
  </w:style>
  <w:style w:type="paragraph" w:styleId="ListBullet">
    <w:name w:val="List Bullet"/>
    <w:basedOn w:val="Normal"/>
    <w:uiPriority w:val="99"/>
    <w:unhideWhenUsed/>
    <w:rsid w:val="003777DD"/>
    <w:pPr>
      <w:numPr>
        <w:numId w:val="5"/>
      </w:numPr>
      <w:contextualSpacing/>
    </w:pPr>
  </w:style>
  <w:style w:type="character" w:customStyle="1" w:styleId="BasicSansItalic">
    <w:name w:val="Basic Sans Italic"/>
    <w:uiPriority w:val="99"/>
    <w:rsid w:val="003777DD"/>
    <w:rPr>
      <w:rFonts w:ascii="BasicSans-RegularIt" w:hAnsi="BasicSans-RegularIt" w:cs="BasicSans-RegularIt"/>
    </w:rPr>
  </w:style>
  <w:style w:type="paragraph" w:customStyle="1" w:styleId="FrameworkHeading">
    <w:name w:val="Framework Heading"/>
    <w:basedOn w:val="Normal"/>
    <w:uiPriority w:val="99"/>
    <w:rsid w:val="003777DD"/>
    <w:pPr>
      <w:suppressAutoHyphens/>
      <w:autoSpaceDE w:val="0"/>
      <w:autoSpaceDN w:val="0"/>
      <w:adjustRightInd w:val="0"/>
      <w:spacing w:after="57" w:line="260" w:lineRule="atLeast"/>
      <w:textAlignment w:val="center"/>
    </w:pPr>
    <w:rPr>
      <w:rFonts w:ascii="Staatliches" w:hAnsi="Staatliches" w:cs="Staatliches"/>
      <w:caps/>
      <w:color w:val="161938"/>
      <w:kern w:val="0"/>
      <w:sz w:val="20"/>
      <w:szCs w:val="20"/>
      <w:u w:color="274267"/>
      <w:lang w:val="en-US"/>
    </w:rPr>
  </w:style>
  <w:style w:type="paragraph" w:customStyle="1" w:styleId="CaptionA">
    <w:name w:val="Caption A"/>
    <w:basedOn w:val="Bodyp"/>
    <w:uiPriority w:val="99"/>
    <w:rsid w:val="003777DD"/>
    <w:pPr>
      <w:spacing w:line="200" w:lineRule="atLeast"/>
    </w:pPr>
    <w:rPr>
      <w:sz w:val="16"/>
      <w:szCs w:val="16"/>
    </w:rPr>
  </w:style>
  <w:style w:type="paragraph" w:customStyle="1" w:styleId="Captionbullets">
    <w:name w:val="Caption bullets"/>
    <w:basedOn w:val="CaptionA"/>
    <w:uiPriority w:val="99"/>
    <w:rsid w:val="003777DD"/>
    <w:pPr>
      <w:spacing w:after="28"/>
      <w:ind w:left="113" w:hanging="113"/>
    </w:pPr>
  </w:style>
  <w:style w:type="character" w:customStyle="1" w:styleId="NavyLightColour">
    <w:name w:val="Navy Light (Colour)"/>
    <w:basedOn w:val="NavyDarkColour"/>
    <w:uiPriority w:val="99"/>
    <w:rsid w:val="003777DD"/>
    <w:rPr>
      <w:color w:val="274267"/>
    </w:rPr>
  </w:style>
  <w:style w:type="paragraph" w:customStyle="1" w:styleId="TableFigureHeadingp">
    <w:name w:val="Table/Figure Heading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4"/>
      <w:lang w:val="en-US"/>
    </w:rPr>
  </w:style>
  <w:style w:type="paragraph" w:customStyle="1" w:styleId="Quotecaptiontablep">
    <w:name w:val="Quote caption/table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0"/>
      <w:szCs w:val="20"/>
      <w:lang w:val="en-GB"/>
    </w:rPr>
  </w:style>
  <w:style w:type="character" w:customStyle="1" w:styleId="WhiteColour">
    <w:name w:val="White (Colour)"/>
    <w:uiPriority w:val="99"/>
    <w:rsid w:val="003777DD"/>
    <w:rPr>
      <w:outline/>
    </w:rPr>
  </w:style>
  <w:style w:type="paragraph" w:customStyle="1" w:styleId="stats">
    <w:name w:val="*stats"/>
    <w:basedOn w:val="BreakouttextAp"/>
    <w:uiPriority w:val="99"/>
    <w:rsid w:val="007126F8"/>
    <w:pPr>
      <w:spacing w:line="460" w:lineRule="atLeast"/>
    </w:pPr>
    <w:rPr>
      <w:sz w:val="44"/>
      <w:szCs w:val="44"/>
      <w:u w:val="none" w:color="F4E0CC"/>
    </w:rPr>
  </w:style>
  <w:style w:type="paragraph" w:customStyle="1" w:styleId="NoParagraphStyle">
    <w:name w:val="[No Paragraph Style]"/>
    <w:rsid w:val="00D2435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BH4">
    <w:name w:val="Heading B (H4)"/>
    <w:basedOn w:val="HeadingAH3"/>
    <w:uiPriority w:val="99"/>
    <w:rsid w:val="00D24350"/>
    <w:pPr>
      <w:spacing w:before="57" w:after="113"/>
    </w:pPr>
    <w:rPr>
      <w:sz w:val="24"/>
      <w:szCs w:val="24"/>
    </w:rPr>
  </w:style>
  <w:style w:type="paragraph" w:customStyle="1" w:styleId="Bodynumberingp">
    <w:name w:val="Body numbering (p)"/>
    <w:basedOn w:val="Bodybulletsp"/>
    <w:uiPriority w:val="99"/>
    <w:rsid w:val="00D24350"/>
    <w:pPr>
      <w:ind w:left="283" w:hanging="283"/>
    </w:pPr>
  </w:style>
  <w:style w:type="paragraph" w:customStyle="1" w:styleId="Speechbubble">
    <w:name w:val="Speech bubble"/>
    <w:basedOn w:val="Bodyp"/>
    <w:uiPriority w:val="99"/>
    <w:rsid w:val="00D24350"/>
    <w:pPr>
      <w:ind w:left="340" w:right="340"/>
    </w:pPr>
    <w:rPr>
      <w:rFonts w:ascii="BasicSans-Bold" w:hAnsi="BasicSans-Bold" w:cs="BasicSans-Bold"/>
      <w:b/>
      <w:bCs/>
      <w:color w:val="274267"/>
    </w:rPr>
  </w:style>
  <w:style w:type="paragraph" w:customStyle="1" w:styleId="BreakouttextB">
    <w:name w:val="Breakout text B"/>
    <w:basedOn w:val="BreakouttextAp"/>
    <w:uiPriority w:val="99"/>
    <w:rsid w:val="00D24350"/>
    <w:rPr>
      <w:color w:val="274267"/>
      <w:u w:color="274267"/>
    </w:rPr>
  </w:style>
  <w:style w:type="paragraph" w:customStyle="1" w:styleId="Speechbubble2">
    <w:name w:val="Speech bubble 2"/>
    <w:basedOn w:val="BreakouttextB"/>
    <w:uiPriority w:val="99"/>
    <w:rsid w:val="00D24350"/>
    <w:pPr>
      <w:spacing w:line="360" w:lineRule="atLeast"/>
      <w:ind w:left="340" w:right="340"/>
    </w:pPr>
    <w:rPr>
      <w:sz w:val="28"/>
      <w:szCs w:val="28"/>
    </w:rPr>
  </w:style>
  <w:style w:type="paragraph" w:customStyle="1" w:styleId="BreakouttextA-small">
    <w:name w:val="Breakout text A - small"/>
    <w:basedOn w:val="BreakouttextAp"/>
    <w:uiPriority w:val="99"/>
    <w:rsid w:val="00D24350"/>
    <w:pPr>
      <w:spacing w:after="57" w:line="260" w:lineRule="atLeast"/>
    </w:pPr>
    <w:rPr>
      <w:sz w:val="20"/>
      <w:szCs w:val="20"/>
    </w:rPr>
  </w:style>
  <w:style w:type="paragraph" w:customStyle="1" w:styleId="BreakouttextB-small">
    <w:name w:val="Breakout text B - small"/>
    <w:basedOn w:val="BreakouttextA-small"/>
    <w:uiPriority w:val="99"/>
    <w:rsid w:val="00D24350"/>
    <w:rPr>
      <w:u w:color="274267"/>
    </w:rPr>
  </w:style>
  <w:style w:type="paragraph" w:customStyle="1" w:styleId="BreakouttextB-medium">
    <w:name w:val="Breakout text B - medium"/>
    <w:basedOn w:val="BreakouttextB-small"/>
    <w:uiPriority w:val="99"/>
    <w:rsid w:val="00D24350"/>
    <w:rPr>
      <w:sz w:val="24"/>
      <w:szCs w:val="24"/>
    </w:rPr>
  </w:style>
  <w:style w:type="paragraph" w:customStyle="1" w:styleId="Recommendationheadingp">
    <w:name w:val="Recommendation heading (p)"/>
    <w:basedOn w:val="BreakouttextB-medium"/>
    <w:uiPriority w:val="99"/>
    <w:rsid w:val="00D24350"/>
    <w:rPr>
      <w:u w:val="none"/>
    </w:rPr>
  </w:style>
  <w:style w:type="character" w:customStyle="1" w:styleId="Superscript">
    <w:name w:val="Superscript"/>
    <w:uiPriority w:val="99"/>
    <w:rsid w:val="00D24350"/>
    <w:rPr>
      <w:vertAlign w:val="superscript"/>
    </w:rPr>
  </w:style>
  <w:style w:type="character" w:customStyle="1" w:styleId="Nounderline">
    <w:name w:val="No underline"/>
    <w:basedOn w:val="Superscript"/>
    <w:uiPriority w:val="99"/>
    <w:rsid w:val="00D24350"/>
    <w:rPr>
      <w:u w:val="none"/>
      <w:vertAlign w:val="superscript"/>
    </w:rPr>
  </w:style>
  <w:style w:type="paragraph" w:styleId="Caption">
    <w:name w:val="caption"/>
    <w:basedOn w:val="Normal"/>
    <w:next w:val="Normal"/>
    <w:uiPriority w:val="35"/>
    <w:unhideWhenUsed/>
    <w:qFormat/>
    <w:rsid w:val="005B53FF"/>
    <w:pPr>
      <w:spacing w:after="200"/>
    </w:pPr>
    <w:rPr>
      <w:iCs/>
      <w:color w:val="131727" w:themeColor="text1"/>
      <w:sz w:val="18"/>
      <w:szCs w:val="18"/>
    </w:rPr>
  </w:style>
  <w:style w:type="paragraph" w:customStyle="1" w:styleId="ChapterHeadingAH2">
    <w:name w:val="Chapter Heading A (H2)"/>
    <w:basedOn w:val="NoParagraphStyle"/>
    <w:uiPriority w:val="99"/>
    <w:rsid w:val="009F6360"/>
    <w:pPr>
      <w:suppressAutoHyphens/>
      <w:spacing w:after="227" w:line="1200" w:lineRule="atLeast"/>
    </w:pPr>
    <w:rPr>
      <w:rFonts w:ascii="Staatliches" w:hAnsi="Staatliches" w:cs="Staatliches"/>
      <w:color w:val="F4E0CC"/>
      <w:sz w:val="120"/>
      <w:szCs w:val="120"/>
    </w:rPr>
  </w:style>
  <w:style w:type="paragraph" w:styleId="Header">
    <w:name w:val="header"/>
    <w:basedOn w:val="Normal"/>
    <w:link w:val="HeaderChar"/>
    <w:uiPriority w:val="99"/>
    <w:unhideWhenUsed/>
    <w:rsid w:val="002D24E0"/>
    <w:pPr>
      <w:tabs>
        <w:tab w:val="center" w:pos="4513"/>
        <w:tab w:val="right" w:pos="9026"/>
      </w:tabs>
      <w:spacing w:after="0"/>
    </w:pPr>
  </w:style>
  <w:style w:type="character" w:customStyle="1" w:styleId="HeaderChar">
    <w:name w:val="Header Char"/>
    <w:basedOn w:val="DefaultParagraphFont"/>
    <w:link w:val="Header"/>
    <w:uiPriority w:val="99"/>
    <w:rsid w:val="002D24E0"/>
    <w:rPr>
      <w:rFonts w:ascii="Arial" w:hAnsi="Arial"/>
      <w:sz w:val="22"/>
    </w:rPr>
  </w:style>
  <w:style w:type="paragraph" w:styleId="Footer">
    <w:name w:val="footer"/>
    <w:basedOn w:val="Normal"/>
    <w:link w:val="FooterChar"/>
    <w:uiPriority w:val="99"/>
    <w:unhideWhenUsed/>
    <w:rsid w:val="002D24E0"/>
    <w:pPr>
      <w:tabs>
        <w:tab w:val="center" w:pos="4513"/>
        <w:tab w:val="right" w:pos="9026"/>
      </w:tabs>
      <w:spacing w:after="0"/>
    </w:pPr>
  </w:style>
  <w:style w:type="character" w:customStyle="1" w:styleId="FooterChar">
    <w:name w:val="Footer Char"/>
    <w:basedOn w:val="DefaultParagraphFont"/>
    <w:link w:val="Footer"/>
    <w:uiPriority w:val="99"/>
    <w:rsid w:val="002D24E0"/>
    <w:rPr>
      <w:rFonts w:ascii="Arial" w:hAnsi="Arial"/>
      <w:sz w:val="22"/>
    </w:rPr>
  </w:style>
  <w:style w:type="character" w:styleId="PageNumber">
    <w:name w:val="page number"/>
    <w:basedOn w:val="DefaultParagraphFont"/>
    <w:uiPriority w:val="99"/>
    <w:semiHidden/>
    <w:unhideWhenUsed/>
    <w:rsid w:val="002D24E0"/>
  </w:style>
  <w:style w:type="table" w:styleId="TableGrid">
    <w:name w:val="Table Grid"/>
    <w:aliases w:val="Table style 1"/>
    <w:basedOn w:val="TableNormal"/>
    <w:uiPriority w:val="39"/>
    <w:rsid w:val="008E198C"/>
    <w:rPr>
      <w:rFonts w:ascii="Arial" w:hAnsi="Arial"/>
      <w:sz w:val="22"/>
    </w:rPr>
    <w:tblPr>
      <w:tblStyleRowBandSize w:val="1"/>
      <w:tblBorders>
        <w:bottom w:val="single" w:sz="4" w:space="0" w:color="auto"/>
        <w:insideH w:val="single" w:sz="4" w:space="0" w:color="auto"/>
      </w:tblBorders>
    </w:tblPr>
    <w:tblStylePr w:type="firstRow">
      <w:rPr>
        <w:color w:val="FFFFFF" w:themeColor="background1"/>
      </w:rPr>
      <w:tblPr/>
      <w:trPr>
        <w:tblHeader/>
      </w:trPr>
      <w:tcPr>
        <w:shd w:val="clear" w:color="auto" w:fill="0E2841" w:themeFill="text2"/>
      </w:tcPr>
    </w:tblStylePr>
    <w:tblStylePr w:type="band1Horz">
      <w:tblPr/>
      <w:tcPr>
        <w:shd w:val="clear" w:color="auto" w:fill="F2F2F2" w:themeFill="background1" w:themeFillShade="F2"/>
      </w:tcPr>
    </w:tblStylePr>
  </w:style>
  <w:style w:type="paragraph" w:customStyle="1" w:styleId="Tablebody">
    <w:name w:val="Table body"/>
    <w:basedOn w:val="Bodyp"/>
    <w:uiPriority w:val="99"/>
    <w:rsid w:val="0009306C"/>
    <w:pPr>
      <w:spacing w:line="220" w:lineRule="atLeast"/>
    </w:pPr>
    <w:rPr>
      <w:color w:val="000005"/>
      <w:sz w:val="18"/>
      <w:szCs w:val="18"/>
    </w:rPr>
  </w:style>
  <w:style w:type="character" w:styleId="Strong">
    <w:name w:val="Strong"/>
    <w:uiPriority w:val="22"/>
    <w:qFormat/>
    <w:rsid w:val="00811887"/>
    <w:rPr>
      <w:b/>
      <w:bCs/>
    </w:rPr>
  </w:style>
  <w:style w:type="character" w:styleId="SubtleReference">
    <w:name w:val="Subtle Reference"/>
    <w:uiPriority w:val="31"/>
    <w:qFormat/>
    <w:rsid w:val="00811887"/>
    <w:rPr>
      <w:smallCaps/>
    </w:rPr>
  </w:style>
  <w:style w:type="character" w:styleId="BookTitle">
    <w:name w:val="Book Title"/>
    <w:uiPriority w:val="33"/>
    <w:qFormat/>
    <w:rsid w:val="00811887"/>
    <w:rPr>
      <w:i/>
      <w:iCs/>
      <w:smallCaps/>
      <w:spacing w:val="5"/>
    </w:rPr>
  </w:style>
  <w:style w:type="paragraph" w:styleId="TOCHeading">
    <w:name w:val="TOC Heading"/>
    <w:basedOn w:val="Heading1"/>
    <w:next w:val="Normal"/>
    <w:uiPriority w:val="39"/>
    <w:semiHidden/>
    <w:unhideWhenUsed/>
    <w:qFormat/>
    <w:rsid w:val="00811887"/>
    <w:pPr>
      <w:keepNext w:val="0"/>
      <w:keepLines w:val="0"/>
      <w:widowControl w:val="0"/>
      <w:autoSpaceDE w:val="0"/>
      <w:autoSpaceDN w:val="0"/>
      <w:spacing w:before="480" w:after="0"/>
      <w:contextualSpacing/>
      <w:outlineLvl w:val="9"/>
    </w:pPr>
    <w:rPr>
      <w:rFonts w:ascii="Calibri" w:hAnsi="Calibri"/>
      <w:bCs/>
      <w:color w:val="auto"/>
      <w:kern w:val="0"/>
      <w:sz w:val="32"/>
      <w:szCs w:val="28"/>
      <w:lang w:val="en-US" w:bidi="en-US"/>
      <w14:ligatures w14:val="none"/>
    </w:rPr>
  </w:style>
  <w:style w:type="paragraph" w:styleId="BodyText">
    <w:name w:val="Body Text"/>
    <w:basedOn w:val="Normal"/>
    <w:link w:val="BodyTextChar"/>
    <w:uiPriority w:val="1"/>
    <w:qFormat/>
    <w:rsid w:val="00811887"/>
    <w:pPr>
      <w:widowControl w:val="0"/>
      <w:autoSpaceDE w:val="0"/>
      <w:autoSpaceDN w:val="0"/>
      <w:spacing w:after="0"/>
    </w:pPr>
    <w:rPr>
      <w:rFonts w:ascii="Calibri" w:eastAsia="Calibri" w:hAnsi="Calibri" w:cs="Calibri"/>
      <w:color w:val="auto"/>
      <w:kern w:val="0"/>
      <w:sz w:val="20"/>
      <w:szCs w:val="20"/>
      <w:lang w:val="en-US"/>
      <w14:ligatures w14:val="none"/>
    </w:rPr>
  </w:style>
  <w:style w:type="character" w:customStyle="1" w:styleId="BodyTextChar">
    <w:name w:val="Body Text Char"/>
    <w:basedOn w:val="DefaultParagraphFont"/>
    <w:link w:val="BodyText"/>
    <w:uiPriority w:val="1"/>
    <w:rsid w:val="00811887"/>
    <w:rPr>
      <w:rFonts w:ascii="Calibri" w:eastAsia="Calibri" w:hAnsi="Calibri" w:cs="Calibri"/>
      <w:kern w:val="0"/>
      <w:sz w:val="20"/>
      <w:szCs w:val="20"/>
      <w:lang w:val="en-US"/>
      <w14:ligatures w14:val="none"/>
    </w:rPr>
  </w:style>
  <w:style w:type="paragraph" w:customStyle="1" w:styleId="TableParagraph">
    <w:name w:val="Table Paragraph"/>
    <w:basedOn w:val="Normal"/>
    <w:uiPriority w:val="1"/>
    <w:qFormat/>
    <w:rsid w:val="00811887"/>
    <w:pPr>
      <w:widowControl w:val="0"/>
      <w:autoSpaceDE w:val="0"/>
      <w:autoSpaceDN w:val="0"/>
      <w:spacing w:after="0" w:line="244" w:lineRule="exact"/>
    </w:pPr>
    <w:rPr>
      <w:rFonts w:ascii="Calibri" w:eastAsia="Calibri" w:hAnsi="Calibri" w:cs="Calibri"/>
      <w:color w:val="auto"/>
      <w:kern w:val="0"/>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abs.gov.au/statistics/people/aboriginal-and-torres-strait-islander-peoples/national-aboriginal-and-torres-strait-" TargetMode="External"/><Relationship Id="rId21" Type="http://schemas.openxmlformats.org/officeDocument/2006/relationships/image" Target="media/image7.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5.jpeg"/><Relationship Id="rId68" Type="http://schemas.openxmlformats.org/officeDocument/2006/relationships/image" Target="media/image38.png"/><Relationship Id="rId84" Type="http://schemas.openxmlformats.org/officeDocument/2006/relationships/hyperlink" Target="https://www.abs.gov.au/statistics/people/housing/estimating-homelessness-census/latest-release" TargetMode="External"/><Relationship Id="rId89" Type="http://schemas.openxmlformats.org/officeDocument/2006/relationships/image" Target="media/image41.emf"/><Relationship Id="rId112" Type="http://schemas.openxmlformats.org/officeDocument/2006/relationships/hyperlink" Target="http://www.infrastructureaustralia.gov.au/policy-" TargetMode="External"/><Relationship Id="rId133" Type="http://schemas.openxmlformats.org/officeDocument/2006/relationships/footer" Target="footer18.xml"/><Relationship Id="rId138" Type="http://schemas.openxmlformats.org/officeDocument/2006/relationships/image" Target="media/image48.jpeg"/><Relationship Id="rId16" Type="http://schemas.openxmlformats.org/officeDocument/2006/relationships/image" Target="media/image4.png"/><Relationship Id="rId107" Type="http://schemas.openxmlformats.org/officeDocument/2006/relationships/image" Target="media/image43.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footer" Target="footer4.xml"/><Relationship Id="rId53" Type="http://schemas.openxmlformats.org/officeDocument/2006/relationships/image" Target="media/image28.png"/><Relationship Id="rId58" Type="http://schemas.openxmlformats.org/officeDocument/2006/relationships/image" Target="media/image30.jpeg"/><Relationship Id="rId74" Type="http://schemas.openxmlformats.org/officeDocument/2006/relationships/footer" Target="footer14.xml"/><Relationship Id="rId79" Type="http://schemas.openxmlformats.org/officeDocument/2006/relationships/hyperlink" Target="https://www.ahuri.edu.au/research/final-reports/194" TargetMode="External"/><Relationship Id="rId102" Type="http://schemas.openxmlformats.org/officeDocument/2006/relationships/hyperlink" Target="https://www.niaa.gov.au/indigenous-affairs/closing-gap/implementation-measures/housing-sector-strengthening-plan-partnership-action" TargetMode="External"/><Relationship Id="rId123" Type="http://schemas.openxmlformats.org/officeDocument/2006/relationships/footer" Target="footer15.xml"/><Relationship Id="rId128" Type="http://schemas.openxmlformats.org/officeDocument/2006/relationships/hyperlink" Target="https://www.niaa.gov.au/indigenous-affairs/grants-and-funding/funding-under-ias/evaluation-work-plan/indigenous-housing-data-mapping-project" TargetMode="External"/><Relationship Id="rId144" Type="http://schemas.openxmlformats.org/officeDocument/2006/relationships/image" Target="media/image52.png"/><Relationship Id="rId149" Type="http://schemas.openxmlformats.org/officeDocument/2006/relationships/footer" Target="footer20.xml"/><Relationship Id="rId5" Type="http://schemas.openxmlformats.org/officeDocument/2006/relationships/webSettings" Target="webSettings.xml"/><Relationship Id="rId90" Type="http://schemas.openxmlformats.org/officeDocument/2006/relationships/hyperlink" Target="http://www.finance.gov.au/government/australian-" TargetMode="External"/><Relationship Id="rId95"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hyperlink" Target="https://www.fwc.gov.au/hearings-decisions/major-cases/annual-wage-reviews/annual-wage-review-2022-23/research-annual-wage" TargetMode="External"/><Relationship Id="rId69" Type="http://schemas.openxmlformats.org/officeDocument/2006/relationships/footer" Target="footer12.xml"/><Relationship Id="rId113" Type="http://schemas.openxmlformats.org/officeDocument/2006/relationships/hyperlink" Target="http://www.anao.gov.au/work/performance-audit/implementation-the-national-partnership-agreement-remote-indigenous-housing-the-" TargetMode="External"/><Relationship Id="rId118" Type="http://schemas.openxmlformats.org/officeDocument/2006/relationships/hyperlink" Target="http://www.pc.gov.au/ongoing/report-on-government-services" TargetMode="External"/><Relationship Id="rId134" Type="http://schemas.openxmlformats.org/officeDocument/2006/relationships/footer" Target="footer19.xml"/><Relationship Id="rId139" Type="http://schemas.openxmlformats.org/officeDocument/2006/relationships/image" Target="media/image49.png"/><Relationship Id="rId80" Type="http://schemas.openxmlformats.org/officeDocument/2006/relationships/hyperlink" Target="https://iris.who.int/bitstream/handle/10665/276001/9789241550376-eng.pdf?sequence=1" TargetMode="External"/><Relationship Id="rId85" Type="http://schemas.openxmlformats.org/officeDocument/2006/relationships/hyperlink" Target="https://www.abs.gov.au/statistics/people/aboriginal-and-torres-strait-islander-peoples/housing-statistics-aboriginal-and-torres-strait-islander-peoples/latest-release" TargetMode="External"/><Relationship Id="rId150"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9.xml"/><Relationship Id="rId46" Type="http://schemas.openxmlformats.org/officeDocument/2006/relationships/footer" Target="footer6.xml"/><Relationship Id="rId59" Type="http://schemas.openxmlformats.org/officeDocument/2006/relationships/image" Target="media/image31.jpeg"/><Relationship Id="rId67" Type="http://schemas.openxmlformats.org/officeDocument/2006/relationships/footer" Target="footer11.xml"/><Relationship Id="rId103" Type="http://schemas.openxmlformats.org/officeDocument/2006/relationships/hyperlink" Target="https://www.niaa.gov.au/indigenous-affairs/closing-gap/implementation-measures/housing-sector-strengthening-plan-partnership-action" TargetMode="External"/><Relationship Id="rId108" Type="http://schemas.openxmlformats.org/officeDocument/2006/relationships/image" Target="media/image44.png"/><Relationship Id="rId116" Type="http://schemas.openxmlformats.org/officeDocument/2006/relationships/hyperlink" Target="https://performancedashboard.d61.io/aus" TargetMode="External"/><Relationship Id="rId124" Type="http://schemas.openxmlformats.org/officeDocument/2006/relationships/footer" Target="footer16.xml"/><Relationship Id="rId129" Type="http://schemas.openxmlformats.org/officeDocument/2006/relationships/hyperlink" Target="https://www.niaa.gov.au/indigenous-affairs/grants-and-funding/funding-under-ias/evaluation-work-plan/indigenous-housing-data-mapping-project" TargetMode="External"/><Relationship Id="rId13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hyperlink" Target="http://www.legislation.gov.au/" TargetMode="External"/><Relationship Id="rId62" Type="http://schemas.openxmlformats.org/officeDocument/2006/relationships/image" Target="media/image34.jpeg"/><Relationship Id="rId70" Type="http://schemas.openxmlformats.org/officeDocument/2006/relationships/footer" Target="footer13.xml"/><Relationship Id="rId75" Type="http://schemas.openxmlformats.org/officeDocument/2006/relationships/hyperlink" Target="https://www.pm.gov.au/media/landmark-4-billion-investment-remote-housing-northern-territory-help-close-gap" TargetMode="External"/><Relationship Id="rId83" Type="http://schemas.openxmlformats.org/officeDocument/2006/relationships/hyperlink" Target="https://www.abs.gov.au/statistics/people/housing/estimating-homelessness-census/latest-release" TargetMode="External"/><Relationship Id="rId88" Type="http://schemas.openxmlformats.org/officeDocument/2006/relationships/image" Target="media/image40.png"/><Relationship Id="rId91" Type="http://schemas.openxmlformats.org/officeDocument/2006/relationships/hyperlink" Target="https://treasury.gov.au/housing-policy/shap" TargetMode="External"/><Relationship Id="rId96"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111" Type="http://schemas.openxmlformats.org/officeDocument/2006/relationships/hyperlink" Target="http://www.infrastructureaustralia.gov.au/sites/default/files/2020-09/2019_AIAudit_may2020_update.pdf" TargetMode="External"/><Relationship Id="rId132" Type="http://schemas.openxmlformats.org/officeDocument/2006/relationships/footer" Target="footer17.xml"/><Relationship Id="rId140" Type="http://schemas.openxmlformats.org/officeDocument/2006/relationships/image" Target="media/image50.png"/><Relationship Id="rId145" Type="http://schemas.openxmlformats.org/officeDocument/2006/relationships/hyperlink" Target="http://www.twitter.com/EconomicsEqu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8.xml"/><Relationship Id="rId49" Type="http://schemas.openxmlformats.org/officeDocument/2006/relationships/header" Target="header11.xml"/><Relationship Id="rId57" Type="http://schemas.openxmlformats.org/officeDocument/2006/relationships/image" Target="media/image29.png"/><Relationship Id="rId106" Type="http://schemas.openxmlformats.org/officeDocument/2006/relationships/image" Target="media/image42.png"/><Relationship Id="rId114" Type="http://schemas.openxmlformats.org/officeDocument/2006/relationships/hyperlink" Target="http://www.abs.gov.au/census/about-census" TargetMode="External"/><Relationship Id="rId119" Type="http://schemas.openxmlformats.org/officeDocument/2006/relationships/hyperlink" Target="https://treasury.gov.au/review/report-government-services-and-reporting-dashboard/terms-reference" TargetMode="External"/><Relationship Id="rId127" Type="http://schemas.openxmlformats.org/officeDocument/2006/relationships/hyperlink" Target="https://www.ahuri.edu.au/research/final-reports/368"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footer" Target="footer8.xml"/><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hyperlink" Target="http://www.aihw.gov.au/reports/australias-welfare/indigenous-housing" TargetMode="External"/><Relationship Id="rId78" Type="http://schemas.openxmlformats.org/officeDocument/2006/relationships/hyperlink" Target="http://www.indigenoushpf.gov.au/measures/2-01-housing" TargetMode="External"/><Relationship Id="rId81" Type="http://schemas.openxmlformats.org/officeDocument/2006/relationships/hyperlink" Target="http://www.indigenoushpf.gov.au/measures/2-01-housing" TargetMode="External"/><Relationship Id="rId86" Type="http://schemas.openxmlformats.org/officeDocument/2006/relationships/hyperlink" Target="https://www.abs.gov.au/statistics/people/aboriginal-and-torres-strait-islander-peoples/housing-statistics-aboriginal-and-torres-strait-islander-peoples/latest-release" TargetMode="External"/><Relationship Id="rId94"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99"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101"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122" Type="http://schemas.openxmlformats.org/officeDocument/2006/relationships/hyperlink" Target="http://www.pc.gov.au/__data/assets/pdf_file/0006/337560/sub055-housing-homelessness.pdf" TargetMode="External"/><Relationship Id="rId130" Type="http://schemas.openxmlformats.org/officeDocument/2006/relationships/hyperlink" Target="https://www.aihw.gov.au/getmedia/836e0f83-0fff-492f-8862-8ae43ceb6ab4/17595.pdf?v=20230605181202&amp;inline=true" TargetMode="External"/><Relationship Id="rId135" Type="http://schemas.openxmlformats.org/officeDocument/2006/relationships/hyperlink" Target="http://www.legislation.gov.au/F2023L01637/asmade/text" TargetMode="External"/><Relationship Id="rId143" Type="http://schemas.openxmlformats.org/officeDocument/2006/relationships/hyperlink" Target="mailto:info@equityeconomics.com.au" TargetMode="External"/><Relationship Id="rId148" Type="http://schemas.openxmlformats.org/officeDocument/2006/relationships/hyperlink" Target="http://www.linkedin.com/company/equity-economics/"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footer" Target="footer5.xml"/><Relationship Id="rId109" Type="http://schemas.openxmlformats.org/officeDocument/2006/relationships/image" Target="media/image45.png"/><Relationship Id="rId34" Type="http://schemas.openxmlformats.org/officeDocument/2006/relationships/image" Target="media/image19.png"/><Relationship Id="rId50" Type="http://schemas.openxmlformats.org/officeDocument/2006/relationships/footer" Target="footer7.xml"/><Relationship Id="rId55" Type="http://schemas.openxmlformats.org/officeDocument/2006/relationships/footer" Target="footer9.xml"/><Relationship Id="rId76" Type="http://schemas.openxmlformats.org/officeDocument/2006/relationships/hyperlink" Target="https://www.closingthegap.gov.au/national-agreement/targets" TargetMode="External"/><Relationship Id="rId97" Type="http://schemas.openxmlformats.org/officeDocument/2006/relationships/hyperlink" Target="https://www.closingthegap.gov.au/national-agreement/targets" TargetMode="External"/><Relationship Id="rId104" Type="http://schemas.openxmlformats.org/officeDocument/2006/relationships/hyperlink" Target="https://www.niaa.gov.au/indigenous-affairs/closing-gap/implementation-measures/housing-policy-partnership-dss" TargetMode="External"/><Relationship Id="rId120" Type="http://schemas.openxmlformats.org/officeDocument/2006/relationships/hyperlink" Target="http://www.aihw.gov.au/about-our-data/our-data-collections/national-social-housing-" TargetMode="External"/><Relationship Id="rId125" Type="http://schemas.openxmlformats.org/officeDocument/2006/relationships/hyperlink" Target="http://www.niaa.gov.au/sites/default/files/publications/ctg-annual-report-and-implementation-plan-hq.pdf" TargetMode="External"/><Relationship Id="rId141" Type="http://schemas.openxmlformats.org/officeDocument/2006/relationships/hyperlink" Target="http://www.equityeconomics.com.au/" TargetMode="External"/><Relationship Id="rId14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s://www.indigenoushpf.gov.au/getattachment/4a44660b-5db7-48d0-bcec-1e0a49b587fc/2023-july-ihpf-summary-report.pdf" TargetMode="External"/><Relationship Id="rId92" Type="http://schemas.openxmlformats.org/officeDocument/2006/relationships/hyperlink" Target="https://www.dss.gov.au/housing-support-programs-services-homelessness/national-housing-and-homelessness-agreement"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1.png"/><Relationship Id="rId45" Type="http://schemas.openxmlformats.org/officeDocument/2006/relationships/header" Target="header10.xml"/><Relationship Id="rId66" Type="http://schemas.openxmlformats.org/officeDocument/2006/relationships/image" Target="media/image37.jpeg"/><Relationship Id="rId87" Type="http://schemas.openxmlformats.org/officeDocument/2006/relationships/image" Target="media/image39.emf"/><Relationship Id="rId110" Type="http://schemas.openxmlformats.org/officeDocument/2006/relationships/hyperlink" Target="http://www.infrastructureaustralia.gov.au/sites/default/files/2020-09/2019_AIAudit_may2020_update.pdf" TargetMode="External"/><Relationship Id="rId115" Type="http://schemas.openxmlformats.org/officeDocument/2006/relationships/hyperlink" Target="http://www.abs.gov.au/methodologies/estimating-homelessness-census-methodology/2021" TargetMode="External"/><Relationship Id="rId131" Type="http://schemas.openxmlformats.org/officeDocument/2006/relationships/hyperlink" Target="https://www.abs.gov.au/articles/aboriginal-and-torres-strait-islander-peoples-experiencing-homelessness" TargetMode="External"/><Relationship Id="rId136" Type="http://schemas.openxmlformats.org/officeDocument/2006/relationships/image" Target="media/image46.jpeg"/><Relationship Id="rId61" Type="http://schemas.openxmlformats.org/officeDocument/2006/relationships/image" Target="media/image33.jpeg"/><Relationship Id="rId82" Type="http://schemas.openxmlformats.org/officeDocument/2006/relationships/hyperlink" Target="http://www.indigenoushpf.gov.au/measures/2-01-housing" TargetMode="External"/><Relationship Id="rId19" Type="http://schemas.openxmlformats.org/officeDocument/2006/relationships/image" Target="media/image5.png"/><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image" Target="media/image20.png"/><Relationship Id="rId56" Type="http://schemas.openxmlformats.org/officeDocument/2006/relationships/footer" Target="footer10.xml"/><Relationship Id="rId77" Type="http://schemas.openxmlformats.org/officeDocument/2006/relationships/hyperlink" Target="http://www.indigenoushpf.gov.au/measures/2-01-housing" TargetMode="External"/><Relationship Id="rId100" Type="http://schemas.openxmlformats.org/officeDocument/2006/relationships/hyperlink" Target="https://www.niaa.gov.au/2023-commonwealth-closing-gap-implementation-plan/delivering-outcomes-and-targets/outcome-9-aboriginal-and-torres-strait-islander-people-secure-appropriate-affordable-housing-aligned-their-priorities-and-need" TargetMode="External"/><Relationship Id="rId105" Type="http://schemas.openxmlformats.org/officeDocument/2006/relationships/hyperlink" Target="https://www.pm.gov.au/media/landmark-4-billion-investment-remote-housing-northern-territory-help-close-gap" TargetMode="External"/><Relationship Id="rId126" Type="http://schemas.openxmlformats.org/officeDocument/2006/relationships/hyperlink" Target="http://www.infrastructureaustralia.gov.au/sites/default/files/2020-09/2019_AIAudit_may2020_update.pdf" TargetMode="External"/><Relationship Id="rId147" Type="http://schemas.openxmlformats.org/officeDocument/2006/relationships/hyperlink" Target="http://www.linkedin.com/company/equity-economics/" TargetMode="External"/><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hyperlink" Target="https://www.indigenoushpf.gov.au/getattachment/4a44660b-5db7-48d0-bcec-1e0a49b587fc/2023-july-ihpf-summary-report.pdf" TargetMode="External"/><Relationship Id="rId93" Type="http://schemas.openxmlformats.org/officeDocument/2006/relationships/hyperlink" Target="http://www.niaa.gov.au/indigenous-affairs/closing-gap/implementation-measures/national-housing-and-homelessness-agreement-" TargetMode="External"/><Relationship Id="rId98" Type="http://schemas.openxmlformats.org/officeDocument/2006/relationships/hyperlink" Target="https://www.closingthegap.gov.au/national-agreement/targets" TargetMode="External"/><Relationship Id="rId121" Type="http://schemas.openxmlformats.org/officeDocument/2006/relationships/hyperlink" Target="https://www.rific.gov.au/" TargetMode="External"/><Relationship Id="rId142" Type="http://schemas.openxmlformats.org/officeDocument/2006/relationships/image" Target="media/image5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EIAC">
      <a:dk1>
        <a:srgbClr val="131727"/>
      </a:dk1>
      <a:lt1>
        <a:srgbClr val="FFFFFF"/>
      </a:lt1>
      <a:dk2>
        <a:srgbClr val="0E2841"/>
      </a:dk2>
      <a:lt2>
        <a:srgbClr val="F9F1E7"/>
      </a:lt2>
      <a:accent1>
        <a:srgbClr val="F29671"/>
      </a:accent1>
      <a:accent2>
        <a:srgbClr val="FAF1E8"/>
      </a:accent2>
      <a:accent3>
        <a:srgbClr val="161938"/>
      </a:accent3>
      <a:accent4>
        <a:srgbClr val="264168"/>
      </a:accent4>
      <a:accent5>
        <a:srgbClr val="F39771"/>
      </a:accent5>
      <a:accent6>
        <a:srgbClr val="F9C4AB"/>
      </a:accent6>
      <a:hlink>
        <a:srgbClr val="0000F3"/>
      </a:hlink>
      <a:folHlink>
        <a:srgbClr val="61009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811EB-F958-6945-ABD2-E3FAEAD25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257</Pages>
  <Words>84160</Words>
  <Characters>477191</Characters>
  <Application>Microsoft Office Word</Application>
  <DocSecurity>0</DocSecurity>
  <Lines>19087</Lines>
  <Paragraphs>11943</Paragraphs>
  <ScaleCrop>false</ScaleCrop>
  <HeadingPairs>
    <vt:vector size="2" baseType="variant">
      <vt:variant>
        <vt:lpstr>Title</vt:lpstr>
      </vt:variant>
      <vt:variant>
        <vt:i4>1</vt:i4>
      </vt:variant>
    </vt:vector>
  </HeadingPairs>
  <TitlesOfParts>
    <vt:vector size="1" baseType="lpstr">
      <vt:lpstr>Economic Inclusion Advisory Committee</vt:lpstr>
    </vt:vector>
  </TitlesOfParts>
  <Manager/>
  <Company/>
  <LinksUpToDate>false</LinksUpToDate>
  <CharactersWithSpaces>549408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Inclusion Advisory Committee</dc:title>
  <dc:subject/>
  <dc:creator>WHITER, Shaun</dc:creator>
  <cp:keywords>[SEC=UNOFFICIAL]</cp:keywords>
  <dc:description/>
  <cp:lastModifiedBy>WHITER, Shaun</cp:lastModifiedBy>
  <cp:revision>3</cp:revision>
  <dcterms:created xsi:type="dcterms:W3CDTF">2024-09-13T00:42:00Z</dcterms:created>
  <dcterms:modified xsi:type="dcterms:W3CDTF">2024-09-13T00:42:00Z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c3c0a9-12dd-4b95-92ca-a006af7b6583_ContentBits">
    <vt:lpwstr>0</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MSIP_Label_48c3c0a9-12dd-4b95-92ca-a006af7b6583_SetDate">
    <vt:lpwstr>2024-04-30T04:35:07Z</vt:lpwstr>
  </property>
  <property fmtid="{D5CDD505-2E9C-101B-9397-08002B2CF9AE}" pid="7" name="PM_Note">
    <vt:lpwstr/>
  </property>
  <property fmtid="{D5CDD505-2E9C-101B-9397-08002B2CF9AE}" pid="8" name="PMHMAC">
    <vt:lpwstr>v=2022.1;a=SHA256;h=84AAF3879803F01672A3643883E3B2510E0C18A227C035AB9FB49DB1A6B14F55</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ProtectiveMarkingValue_Header">
    <vt:lpwstr>UNOFFICIAL</vt:lpwstr>
  </property>
  <property fmtid="{D5CDD505-2E9C-101B-9397-08002B2CF9AE}" pid="12" name="PM_OriginationTimeStamp">
    <vt:lpwstr>2024-04-30T04:35:07Z</vt:lpwstr>
  </property>
  <property fmtid="{D5CDD505-2E9C-101B-9397-08002B2CF9AE}" pid="13" name="MSIP_Label_48c3c0a9-12dd-4b95-92ca-a006af7b6583_Method">
    <vt:lpwstr>Privileged</vt:lpwstr>
  </property>
  <property fmtid="{D5CDD505-2E9C-101B-9397-08002B2CF9AE}" pid="14" name="PM_Markers">
    <vt:lpwstr/>
  </property>
  <property fmtid="{D5CDD505-2E9C-101B-9397-08002B2CF9AE}" pid="15" name="MSIP_Label_48c3c0a9-12dd-4b95-92ca-a006af7b6583_Name">
    <vt:lpwstr>UNOFFICIAL</vt:lpwstr>
  </property>
  <property fmtid="{D5CDD505-2E9C-101B-9397-08002B2CF9AE}" pid="16" name="MSIP_Label_48c3c0a9-12dd-4b95-92ca-a006af7b6583_SiteId">
    <vt:lpwstr>61e36dd1-ca6e-4d61-aa0a-2b4eb88317a3</vt:lpwstr>
  </property>
  <property fmtid="{D5CDD505-2E9C-101B-9397-08002B2CF9AE}" pid="17" name="MSIP_Label_48c3c0a9-12dd-4b95-92ca-a006af7b6583_Enabled">
    <vt:lpwstr>true</vt:lpwstr>
  </property>
  <property fmtid="{D5CDD505-2E9C-101B-9397-08002B2CF9AE}" pid="18" name="MSIP_Label_48c3c0a9-12dd-4b95-92ca-a006af7b6583_ActionId">
    <vt:lpwstr>d61e073495354e049f88595c7b736932</vt:lpwstr>
  </property>
  <property fmtid="{D5CDD505-2E9C-101B-9397-08002B2CF9AE}" pid="19" name="PM_InsertionValue">
    <vt:lpwstr>UNOFFICIAL</vt:lpwstr>
  </property>
  <property fmtid="{D5CDD505-2E9C-101B-9397-08002B2CF9AE}" pid="20" name="PM_Originator_Hash_SHA1">
    <vt:lpwstr>F2B1A0DBBCFE88AA5B1F312AB77B9B9984DBCA1F</vt:lpwstr>
  </property>
  <property fmtid="{D5CDD505-2E9C-101B-9397-08002B2CF9AE}" pid="21" name="PM_DisplayValueSecClassificationWithQualifier">
    <vt:lpwstr>UNOFFICIAL</vt:lpwstr>
  </property>
  <property fmtid="{D5CDD505-2E9C-101B-9397-08002B2CF9AE}" pid="22" name="PM_Originating_FileId">
    <vt:lpwstr>4D91F792A2C7411285B49342C5471485</vt:lpwstr>
  </property>
  <property fmtid="{D5CDD505-2E9C-101B-9397-08002B2CF9AE}" pid="23" name="PM_ProtectiveMarkingValue_Footer">
    <vt:lpwstr>UNOFFICIAL</vt:lpwstr>
  </property>
  <property fmtid="{D5CDD505-2E9C-101B-9397-08002B2CF9AE}" pid="24" name="PM_ProtectiveMarkingImage_Header">
    <vt:lpwstr>C:\Program Files (x86)\Common Files\janusNET Shared\janusSEAL\Images\DocumentSlashBlue.png</vt:lpwstr>
  </property>
  <property fmtid="{D5CDD505-2E9C-101B-9397-08002B2CF9AE}" pid="25" name="PM_ProtectiveMarkingImage_Footer">
    <vt:lpwstr>C:\Program Files (x86)\Common Files\janusNET Shared\janusSEAL\Images\DocumentSlashBlue.png</vt:lpwstr>
  </property>
  <property fmtid="{D5CDD505-2E9C-101B-9397-08002B2CF9AE}" pid="26" name="PM_Display">
    <vt:lpwstr>UNOFFICIAL</vt:lpwstr>
  </property>
  <property fmtid="{D5CDD505-2E9C-101B-9397-08002B2CF9AE}" pid="27" name="PM_OriginatorUserAccountName_SHA256">
    <vt:lpwstr>52B97822998D45A5FE76FBF575035034760AD13EE13D3825DB38D567D3AEDC5E</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2DF56BDC849A002E9EF758E236720995</vt:lpwstr>
  </property>
  <property fmtid="{D5CDD505-2E9C-101B-9397-08002B2CF9AE}" pid="32" name="PM_Hash_Salt">
    <vt:lpwstr>2DF56BDC849A002E9EF758E236720995</vt:lpwstr>
  </property>
  <property fmtid="{D5CDD505-2E9C-101B-9397-08002B2CF9AE}" pid="33" name="PM_Hash_SHA1">
    <vt:lpwstr>3D69714D5AD982E3781AF59B08AD345DC161853A</vt:lpwstr>
  </property>
</Properties>
</file>