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4489" w14:textId="033F1B11" w:rsidR="001D0F6D" w:rsidRDefault="005368E3" w:rsidP="00DB145C">
      <w:pPr>
        <w:pStyle w:val="Crestwithrule"/>
      </w:pPr>
      <w:r>
        <w:drawing>
          <wp:inline distT="0" distB="0" distL="0" distR="0" wp14:anchorId="26FE1446" wp14:editId="39590021">
            <wp:extent cx="6927850" cy="1745226"/>
            <wp:effectExtent l="0" t="0" r="6350" b="7620"/>
            <wp:docPr id="1745997246" name="Picture 1" descr="Australian Government Department of Social Services. Transition to Independent Living Allowance. Helping young people from out-of-home care to indepen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997246" name="Picture 1" descr="Australian Government Department of Social Services. Transition to Independent Living Allowance. Helping young people from out-of-home care to indepen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98439" cy="1763009"/>
                    </a:xfrm>
                    <a:prstGeom prst="rect">
                      <a:avLst/>
                    </a:prstGeom>
                  </pic:spPr>
                </pic:pic>
              </a:graphicData>
            </a:graphic>
          </wp:inline>
        </w:drawing>
      </w:r>
    </w:p>
    <w:p w14:paraId="7265E354" w14:textId="77777777" w:rsidR="00FA7485" w:rsidRDefault="00FA7485" w:rsidP="00DB145C">
      <w:pPr>
        <w:pStyle w:val="Crestwithrule"/>
      </w:pPr>
    </w:p>
    <w:p w14:paraId="49CF0A1F" w14:textId="77777777" w:rsidR="00FA7485" w:rsidRDefault="00FA7485" w:rsidP="00DB145C">
      <w:pPr>
        <w:pStyle w:val="Crestwithrule"/>
        <w:sectPr w:rsidR="00FA7485" w:rsidSect="00157A93">
          <w:headerReference w:type="default" r:id="rId12"/>
          <w:headerReference w:type="first" r:id="rId13"/>
          <w:footerReference w:type="first" r:id="rId14"/>
          <w:pgSz w:w="11906" w:h="16838"/>
          <w:pgMar w:top="851" w:right="851" w:bottom="1134" w:left="851" w:header="0" w:footer="0" w:gutter="0"/>
          <w:pgNumType w:start="2"/>
          <w:cols w:space="708"/>
          <w:titlePg/>
          <w:docGrid w:linePitch="360"/>
        </w:sectPr>
      </w:pPr>
    </w:p>
    <w:p w14:paraId="4D9E2F76" w14:textId="24CBB0A1" w:rsidR="00C57001" w:rsidRPr="00C175D2" w:rsidRDefault="00544A0A" w:rsidP="00DB145C">
      <w:pPr>
        <w:pStyle w:val="Heading1withsubtitle"/>
        <w:rPr>
          <w:i/>
          <w:iCs/>
          <w:smallCaps/>
        </w:rPr>
      </w:pPr>
      <w:r>
        <w:t>Guide for caseworkers</w:t>
      </w:r>
    </w:p>
    <w:p w14:paraId="488FA05A" w14:textId="2FB389B4" w:rsidR="00F148C2" w:rsidRPr="00C175D2" w:rsidRDefault="00544A0A" w:rsidP="00DB145C">
      <w:pPr>
        <w:pStyle w:val="Subtitle"/>
      </w:pPr>
      <w:bookmarkStart w:id="0" w:name="_Toc395536189"/>
      <w:r>
        <w:t>Transition to Independent Living Allowance</w:t>
      </w:r>
    </w:p>
    <w:p w14:paraId="5F3231C9" w14:textId="77777777" w:rsidR="007467FD" w:rsidRDefault="007467FD" w:rsidP="007467FD">
      <w:pPr>
        <w:pBdr>
          <w:top w:val="single" w:sz="18" w:space="1" w:color="00B0B9" w:themeColor="accent2"/>
          <w:left w:val="single" w:sz="18" w:space="4" w:color="00B0B9" w:themeColor="accent2"/>
          <w:bottom w:val="single" w:sz="18" w:space="1" w:color="00B0B9" w:themeColor="accent2"/>
          <w:right w:val="single" w:sz="18" w:space="4" w:color="00B0B9" w:themeColor="accent2"/>
        </w:pBdr>
        <w:spacing w:before="240"/>
      </w:pPr>
      <w:r>
        <w:t xml:space="preserve">This guide is to assist you as the caseworker, support the young person you are working with to transition to independent living, apply for the TILA payment. We recognise that for a young person leaving out-of-home care to independent living can be a positive yet challenging time, and with your assistance young people with an out-of-home care experience can reach their goals. </w:t>
      </w:r>
    </w:p>
    <w:p w14:paraId="23ACE2DC" w14:textId="77777777" w:rsidR="007467FD" w:rsidRDefault="007467FD" w:rsidP="007467FD">
      <w:pPr>
        <w:pBdr>
          <w:top w:val="single" w:sz="18" w:space="1" w:color="00B0B9" w:themeColor="accent2"/>
          <w:left w:val="single" w:sz="18" w:space="4" w:color="00B0B9" w:themeColor="accent2"/>
          <w:bottom w:val="single" w:sz="18" w:space="1" w:color="00B0B9" w:themeColor="accent2"/>
          <w:right w:val="single" w:sz="18" w:space="4" w:color="00B0B9" w:themeColor="accent2"/>
        </w:pBdr>
        <w:spacing w:before="240"/>
      </w:pPr>
      <w:r>
        <w:rPr>
          <w:szCs w:val="22"/>
        </w:rPr>
        <w:t xml:space="preserve">If you require further information on TILA, please contact the TILA team at </w:t>
      </w:r>
      <w:hyperlink r:id="rId15" w:history="1">
        <w:r>
          <w:rPr>
            <w:rStyle w:val="Hyperlink"/>
            <w:szCs w:val="22"/>
          </w:rPr>
          <w:t>tila@dss.gov.au</w:t>
        </w:r>
      </w:hyperlink>
    </w:p>
    <w:p w14:paraId="4A4616A9" w14:textId="77777777" w:rsidR="007467FD" w:rsidRDefault="007467FD" w:rsidP="007467FD">
      <w:pPr>
        <w:pStyle w:val="IntroductionQuote"/>
        <w:shd w:val="clear" w:color="auto" w:fill="B3FBFF" w:themeFill="accent6" w:themeFillTint="33"/>
        <w:spacing w:after="0" w:line="240" w:lineRule="auto"/>
        <w:rPr>
          <w:color w:val="auto"/>
          <w:sz w:val="22"/>
        </w:rPr>
      </w:pPr>
    </w:p>
    <w:p w14:paraId="6932CD5A" w14:textId="6EE4600F" w:rsidR="007467FD" w:rsidRDefault="007467FD" w:rsidP="007467FD">
      <w:pPr>
        <w:pStyle w:val="IntroductionQuote"/>
        <w:shd w:val="clear" w:color="auto" w:fill="B3FBFF" w:themeFill="accent6" w:themeFillTint="33"/>
        <w:rPr>
          <w:color w:val="auto"/>
          <w:sz w:val="22"/>
        </w:rPr>
      </w:pPr>
      <w:r w:rsidRPr="007467FD">
        <w:rPr>
          <w:color w:val="auto"/>
          <w:sz w:val="22"/>
        </w:rPr>
        <w:t xml:space="preserve">This guide should be read in conjunction with the </w:t>
      </w:r>
      <w:hyperlink r:id="rId16" w:history="1">
        <w:r w:rsidRPr="007467FD">
          <w:rPr>
            <w:rStyle w:val="Hyperlink"/>
            <w:sz w:val="22"/>
          </w:rPr>
          <w:t>TILA Operational Guidelines.</w:t>
        </w:r>
      </w:hyperlink>
    </w:p>
    <w:p w14:paraId="6EB1128B" w14:textId="77777777" w:rsidR="007467FD" w:rsidRPr="007467FD" w:rsidRDefault="007467FD" w:rsidP="007467FD">
      <w:pPr>
        <w:pStyle w:val="IntroductionQuote"/>
        <w:shd w:val="clear" w:color="auto" w:fill="B3FBFF" w:themeFill="accent6" w:themeFillTint="33"/>
        <w:rPr>
          <w:color w:val="auto"/>
          <w:sz w:val="4"/>
          <w:szCs w:val="6"/>
        </w:rPr>
      </w:pPr>
    </w:p>
    <w:p w14:paraId="265E4910" w14:textId="77777777" w:rsidR="003809B4" w:rsidRPr="003809B4" w:rsidRDefault="003809B4" w:rsidP="00D2679A">
      <w:pPr>
        <w:pStyle w:val="Heading2"/>
      </w:pPr>
      <w:r w:rsidRPr="003809B4">
        <w:t>Overview</w:t>
      </w:r>
    </w:p>
    <w:p w14:paraId="0A25A2B6" w14:textId="77777777" w:rsidR="003809B4" w:rsidRDefault="003809B4" w:rsidP="003809B4">
      <w:pPr>
        <w:pStyle w:val="IntroductionQuote"/>
        <w:rPr>
          <w:color w:val="auto"/>
          <w:sz w:val="22"/>
        </w:rPr>
      </w:pPr>
      <w:r w:rsidRPr="003809B4">
        <w:rPr>
          <w:color w:val="auto"/>
          <w:sz w:val="22"/>
        </w:rPr>
        <w:t>Follow these steps to help the young person you are assisting apply for the TILA payment:</w:t>
      </w:r>
    </w:p>
    <w:p w14:paraId="4009A275" w14:textId="25A3DB08" w:rsidR="007467FD" w:rsidRPr="003809B4" w:rsidRDefault="007467FD" w:rsidP="003809B4">
      <w:pPr>
        <w:pStyle w:val="IntroductionQuote"/>
        <w:rPr>
          <w:color w:val="auto"/>
          <w:sz w:val="22"/>
        </w:rPr>
      </w:pPr>
      <w:r>
        <w:rPr>
          <w:noProof/>
        </w:rPr>
        <w:drawing>
          <wp:inline distT="0" distB="0" distL="0" distR="0" wp14:anchorId="1A1699BA" wp14:editId="3F4F6286">
            <wp:extent cx="6479540" cy="950595"/>
            <wp:effectExtent l="0" t="0" r="0" b="1905"/>
            <wp:docPr id="454796099" name="Picture 1" descr="Pre assessment then Privacy Notice then TILA application process then Purchas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796099" name="Picture 1" descr="Pre assessment then Privacy Notice then TILA application process then Purchase process."/>
                    <pic:cNvPicPr/>
                  </pic:nvPicPr>
                  <pic:blipFill>
                    <a:blip r:embed="rId17"/>
                    <a:stretch>
                      <a:fillRect/>
                    </a:stretch>
                  </pic:blipFill>
                  <pic:spPr>
                    <a:xfrm>
                      <a:off x="0" y="0"/>
                      <a:ext cx="6479540" cy="950595"/>
                    </a:xfrm>
                    <a:prstGeom prst="rect">
                      <a:avLst/>
                    </a:prstGeom>
                  </pic:spPr>
                </pic:pic>
              </a:graphicData>
            </a:graphic>
          </wp:inline>
        </w:drawing>
      </w:r>
    </w:p>
    <w:p w14:paraId="1E279F03" w14:textId="77777777" w:rsidR="003809B4" w:rsidRPr="003809B4" w:rsidRDefault="003809B4" w:rsidP="00D2679A">
      <w:pPr>
        <w:pStyle w:val="Heading2"/>
      </w:pPr>
      <w:r w:rsidRPr="003809B4">
        <w:t>Pre assessment check</w:t>
      </w:r>
    </w:p>
    <w:p w14:paraId="710BF1E1" w14:textId="257C7427" w:rsidR="003809B4" w:rsidRPr="003809B4" w:rsidRDefault="003809B4" w:rsidP="003809B4">
      <w:pPr>
        <w:pStyle w:val="IntroductionQuote"/>
        <w:rPr>
          <w:sz w:val="22"/>
          <w:szCs w:val="20"/>
        </w:rPr>
      </w:pPr>
      <w:r w:rsidRPr="003809B4">
        <w:rPr>
          <w:sz w:val="22"/>
          <w:szCs w:val="20"/>
        </w:rPr>
        <w:t xml:space="preserve">Before completing a </w:t>
      </w:r>
      <w:hyperlink r:id="rId18" w:history="1">
        <w:r w:rsidRPr="003809B4">
          <w:rPr>
            <w:rStyle w:val="Hyperlink"/>
            <w:sz w:val="22"/>
            <w:szCs w:val="20"/>
          </w:rPr>
          <w:t>TILA application form</w:t>
        </w:r>
      </w:hyperlink>
      <w:r w:rsidRPr="003809B4">
        <w:rPr>
          <w:sz w:val="22"/>
          <w:szCs w:val="20"/>
        </w:rPr>
        <w:t>, as a caseworker you must ensure:</w:t>
      </w:r>
    </w:p>
    <w:p w14:paraId="724B42FD" w14:textId="550C3B0F" w:rsidR="003809B4" w:rsidRPr="003809B4" w:rsidRDefault="003809B4" w:rsidP="00D2679A">
      <w:pPr>
        <w:pStyle w:val="IntroductionQuote"/>
        <w:numPr>
          <w:ilvl w:val="0"/>
          <w:numId w:val="18"/>
        </w:numPr>
        <w:spacing w:after="0"/>
        <w:rPr>
          <w:sz w:val="22"/>
          <w:szCs w:val="20"/>
        </w:rPr>
      </w:pPr>
      <w:r w:rsidRPr="003809B4">
        <w:rPr>
          <w:sz w:val="22"/>
          <w:szCs w:val="20"/>
        </w:rPr>
        <w:t xml:space="preserve">the young person meets all of the </w:t>
      </w:r>
      <w:hyperlink r:id="rId19" w:history="1">
        <w:r w:rsidRPr="003809B4">
          <w:rPr>
            <w:rStyle w:val="Hyperlink"/>
            <w:sz w:val="22"/>
            <w:szCs w:val="20"/>
          </w:rPr>
          <w:t>eligibility</w:t>
        </w:r>
      </w:hyperlink>
      <w:r w:rsidRPr="003809B4">
        <w:rPr>
          <w:sz w:val="22"/>
          <w:szCs w:val="20"/>
        </w:rPr>
        <w:t xml:space="preserve"> criteria outlined in the </w:t>
      </w:r>
      <w:hyperlink r:id="rId20" w:history="1">
        <w:r w:rsidRPr="003809B4">
          <w:rPr>
            <w:rStyle w:val="Hyperlink"/>
            <w:sz w:val="22"/>
            <w:szCs w:val="20"/>
          </w:rPr>
          <w:t>TILA Operational Guidelines</w:t>
        </w:r>
      </w:hyperlink>
      <w:r w:rsidRPr="003809B4">
        <w:rPr>
          <w:sz w:val="22"/>
          <w:szCs w:val="20"/>
        </w:rPr>
        <w:t xml:space="preserve"> </w:t>
      </w:r>
    </w:p>
    <w:p w14:paraId="4C55E6A9" w14:textId="77777777" w:rsidR="003809B4" w:rsidRPr="003809B4" w:rsidRDefault="003809B4" w:rsidP="00D2679A">
      <w:pPr>
        <w:pStyle w:val="IntroductionQuote"/>
        <w:numPr>
          <w:ilvl w:val="0"/>
          <w:numId w:val="18"/>
        </w:numPr>
        <w:spacing w:after="0"/>
        <w:rPr>
          <w:sz w:val="22"/>
          <w:szCs w:val="20"/>
        </w:rPr>
      </w:pPr>
      <w:r w:rsidRPr="003809B4">
        <w:rPr>
          <w:sz w:val="22"/>
          <w:szCs w:val="20"/>
        </w:rPr>
        <w:t xml:space="preserve">the young person has not already accessed their </w:t>
      </w:r>
      <w:r w:rsidRPr="003809B4">
        <w:rPr>
          <w:sz w:val="22"/>
          <w:szCs w:val="20"/>
          <w:u w:val="single"/>
        </w:rPr>
        <w:t>full</w:t>
      </w:r>
      <w:r w:rsidRPr="003809B4">
        <w:rPr>
          <w:sz w:val="22"/>
          <w:szCs w:val="20"/>
        </w:rPr>
        <w:t xml:space="preserve"> TILA entitlement</w:t>
      </w:r>
    </w:p>
    <w:p w14:paraId="653E0822" w14:textId="77777777" w:rsidR="00FF5A0B" w:rsidRDefault="003809B4" w:rsidP="003809B4">
      <w:pPr>
        <w:pStyle w:val="IntroductionQuote"/>
        <w:numPr>
          <w:ilvl w:val="0"/>
          <w:numId w:val="18"/>
        </w:numPr>
        <w:spacing w:after="0"/>
        <w:rPr>
          <w:sz w:val="22"/>
          <w:szCs w:val="20"/>
        </w:rPr>
      </w:pPr>
      <w:r w:rsidRPr="003809B4">
        <w:rPr>
          <w:sz w:val="22"/>
          <w:szCs w:val="20"/>
        </w:rPr>
        <w:t>the proposed amount, use of, and timing of the TILA funds are appropriate.</w:t>
      </w:r>
    </w:p>
    <w:p w14:paraId="314838D6" w14:textId="77777777" w:rsidR="00FF5A0B" w:rsidRDefault="00FF5A0B" w:rsidP="00FF5A0B">
      <w:pPr>
        <w:pStyle w:val="IntroductionQuote"/>
        <w:spacing w:after="0"/>
        <w:rPr>
          <w:sz w:val="22"/>
          <w:szCs w:val="20"/>
        </w:rPr>
      </w:pPr>
    </w:p>
    <w:p w14:paraId="2C6168F4" w14:textId="67BD1FF0" w:rsidR="003809B4" w:rsidRPr="003809B4" w:rsidRDefault="003809B4" w:rsidP="00FF5A0B">
      <w:pPr>
        <w:pStyle w:val="IntroductionQuote"/>
        <w:spacing w:after="0"/>
        <w:rPr>
          <w:sz w:val="22"/>
          <w:szCs w:val="20"/>
        </w:rPr>
      </w:pPr>
      <w:r w:rsidRPr="003809B4">
        <w:rPr>
          <w:sz w:val="22"/>
          <w:szCs w:val="20"/>
        </w:rPr>
        <w:t xml:space="preserve">You must verify the young person’s </w:t>
      </w:r>
      <w:hyperlink r:id="rId21" w:history="1">
        <w:r w:rsidRPr="003809B4">
          <w:rPr>
            <w:rStyle w:val="Hyperlink"/>
            <w:sz w:val="22"/>
            <w:szCs w:val="20"/>
          </w:rPr>
          <w:t>eligibility</w:t>
        </w:r>
      </w:hyperlink>
      <w:r w:rsidRPr="003809B4">
        <w:rPr>
          <w:sz w:val="22"/>
          <w:szCs w:val="20"/>
        </w:rPr>
        <w:t xml:space="preserve"> by sighting the following documentation that confirms the young person is:</w:t>
      </w:r>
    </w:p>
    <w:p w14:paraId="30042020" w14:textId="77777777" w:rsidR="003809B4" w:rsidRPr="003809B4" w:rsidRDefault="003809B4" w:rsidP="00663C3A">
      <w:pPr>
        <w:pStyle w:val="IntroductionQuote"/>
        <w:numPr>
          <w:ilvl w:val="0"/>
          <w:numId w:val="18"/>
        </w:numPr>
        <w:spacing w:after="0"/>
        <w:rPr>
          <w:sz w:val="22"/>
          <w:szCs w:val="20"/>
        </w:rPr>
      </w:pPr>
      <w:r w:rsidRPr="003809B4">
        <w:rPr>
          <w:sz w:val="22"/>
          <w:szCs w:val="20"/>
        </w:rPr>
        <w:t xml:space="preserve">an Australian citizen by either birth or has been granted Australian citizenship (e.g. birth certificate, citizenship certificate) </w:t>
      </w:r>
    </w:p>
    <w:p w14:paraId="29512A0B" w14:textId="77777777" w:rsidR="003809B4" w:rsidRPr="003809B4" w:rsidRDefault="003809B4" w:rsidP="00663C3A">
      <w:pPr>
        <w:pStyle w:val="IntroductionQuote"/>
        <w:numPr>
          <w:ilvl w:val="0"/>
          <w:numId w:val="18"/>
        </w:numPr>
        <w:spacing w:after="0"/>
        <w:rPr>
          <w:sz w:val="22"/>
          <w:szCs w:val="20"/>
        </w:rPr>
      </w:pPr>
      <w:r w:rsidRPr="003809B4">
        <w:rPr>
          <w:sz w:val="22"/>
          <w:szCs w:val="20"/>
        </w:rPr>
        <w:lastRenderedPageBreak/>
        <w:t xml:space="preserve">aged from 15 to 25 at the time of submitting application (e.g. birth certificate or driver’s licence) </w:t>
      </w:r>
    </w:p>
    <w:p w14:paraId="29C6A73D" w14:textId="72EFC48C" w:rsidR="003809B4" w:rsidRPr="003809B4" w:rsidRDefault="003809B4" w:rsidP="00663C3A">
      <w:pPr>
        <w:pStyle w:val="IntroductionQuote"/>
        <w:numPr>
          <w:ilvl w:val="0"/>
          <w:numId w:val="18"/>
        </w:numPr>
        <w:spacing w:after="0"/>
        <w:rPr>
          <w:sz w:val="22"/>
          <w:szCs w:val="20"/>
        </w:rPr>
      </w:pPr>
      <w:r w:rsidRPr="003809B4">
        <w:rPr>
          <w:sz w:val="22"/>
          <w:szCs w:val="20"/>
        </w:rPr>
        <w:t xml:space="preserve">has been in, or is currently in, formal care as described in the </w:t>
      </w:r>
      <w:hyperlink r:id="rId22" w:history="1">
        <w:r w:rsidRPr="003809B4">
          <w:rPr>
            <w:rStyle w:val="Hyperlink"/>
            <w:sz w:val="22"/>
            <w:szCs w:val="20"/>
          </w:rPr>
          <w:t>eligibility criteria</w:t>
        </w:r>
      </w:hyperlink>
    </w:p>
    <w:p w14:paraId="450A8E53" w14:textId="77777777" w:rsidR="003809B4" w:rsidRPr="003809B4" w:rsidRDefault="003809B4" w:rsidP="00663C3A">
      <w:pPr>
        <w:pStyle w:val="IntroductionQuote"/>
        <w:numPr>
          <w:ilvl w:val="0"/>
          <w:numId w:val="18"/>
        </w:numPr>
        <w:spacing w:after="0"/>
        <w:rPr>
          <w:sz w:val="22"/>
          <w:szCs w:val="20"/>
        </w:rPr>
      </w:pPr>
      <w:r w:rsidRPr="003809B4">
        <w:rPr>
          <w:sz w:val="22"/>
          <w:szCs w:val="20"/>
        </w:rPr>
        <w:t>has a transition to independence plan.</w:t>
      </w:r>
    </w:p>
    <w:p w14:paraId="4102E4B6" w14:textId="2563DBF8" w:rsidR="003809B4" w:rsidRPr="003809B4" w:rsidRDefault="003809B4" w:rsidP="00663C3A">
      <w:pPr>
        <w:pStyle w:val="Heading2"/>
      </w:pPr>
      <w:r w:rsidRPr="003809B4">
        <w:t>Privacy notice</w:t>
      </w:r>
    </w:p>
    <w:p w14:paraId="270CFCCD" w14:textId="231CA820" w:rsidR="003809B4" w:rsidRDefault="003809B4" w:rsidP="003809B4">
      <w:pPr>
        <w:pStyle w:val="IntroductionQuote"/>
        <w:rPr>
          <w:sz w:val="22"/>
          <w:szCs w:val="20"/>
        </w:rPr>
      </w:pPr>
      <w:r w:rsidRPr="003809B4">
        <w:rPr>
          <w:sz w:val="22"/>
          <w:szCs w:val="20"/>
        </w:rPr>
        <w:t xml:space="preserve">You must explain the following privacy notification to the young person as outlined in Section 3 of the </w:t>
      </w:r>
      <w:hyperlink r:id="rId23" w:history="1">
        <w:r w:rsidRPr="003809B4">
          <w:rPr>
            <w:rStyle w:val="Hyperlink"/>
            <w:sz w:val="22"/>
            <w:szCs w:val="20"/>
          </w:rPr>
          <w:t>TILA Operational Guidelines:</w:t>
        </w:r>
      </w:hyperlink>
      <w:r w:rsidRPr="003809B4">
        <w:rPr>
          <w:sz w:val="22"/>
          <w:szCs w:val="20"/>
        </w:rPr>
        <w:t xml:space="preserve"> </w:t>
      </w:r>
    </w:p>
    <w:p w14:paraId="1B54CA57" w14:textId="77777777" w:rsidR="007467FD" w:rsidRPr="00802726" w:rsidRDefault="007467FD" w:rsidP="007467FD">
      <w:pPr>
        <w:pBdr>
          <w:top w:val="single" w:sz="18" w:space="1" w:color="00B0B9" w:themeColor="accent2"/>
          <w:left w:val="single" w:sz="18" w:space="4" w:color="00B0B9" w:themeColor="accent2"/>
          <w:bottom w:val="single" w:sz="18" w:space="1" w:color="00B0B9" w:themeColor="accent2"/>
          <w:right w:val="single" w:sz="18" w:space="4" w:color="00B0B9" w:themeColor="accent2"/>
        </w:pBdr>
        <w:shd w:val="clear" w:color="auto" w:fill="B3FBFF" w:themeFill="accent6" w:themeFillTint="33"/>
        <w:rPr>
          <w:b/>
          <w:spacing w:val="4"/>
          <w:szCs w:val="22"/>
        </w:rPr>
      </w:pPr>
      <w:r w:rsidRPr="00802726">
        <w:rPr>
          <w:b/>
          <w:szCs w:val="22"/>
        </w:rPr>
        <w:t>Privacy Notice for Claimant</w:t>
      </w:r>
    </w:p>
    <w:p w14:paraId="1EE31917" w14:textId="77777777" w:rsidR="007467FD" w:rsidRPr="00802726" w:rsidRDefault="007467FD" w:rsidP="007467FD">
      <w:pPr>
        <w:pBdr>
          <w:top w:val="single" w:sz="18" w:space="1" w:color="00B0B9" w:themeColor="accent2"/>
          <w:left w:val="single" w:sz="18" w:space="4" w:color="00B0B9" w:themeColor="accent2"/>
          <w:bottom w:val="single" w:sz="18" w:space="1" w:color="00B0B9" w:themeColor="accent2"/>
          <w:right w:val="single" w:sz="18" w:space="4" w:color="00B0B9" w:themeColor="accent2"/>
        </w:pBdr>
        <w:shd w:val="clear" w:color="auto" w:fill="B3FBFF" w:themeFill="accent6" w:themeFillTint="33"/>
        <w:rPr>
          <w:spacing w:val="0"/>
          <w:szCs w:val="22"/>
        </w:rPr>
      </w:pPr>
      <w:r w:rsidRPr="00802726">
        <w:rPr>
          <w:szCs w:val="22"/>
        </w:rPr>
        <w:t>Your personal information is protected by law, including the Privacy Act 1988, and is collected by the Australian Government Department of Social Services and Services Australia for the assessment and administration of payments and services.  This information is required to process your application or claim.</w:t>
      </w:r>
    </w:p>
    <w:p w14:paraId="094644A7" w14:textId="77777777" w:rsidR="007467FD" w:rsidRPr="00802726" w:rsidRDefault="007467FD" w:rsidP="007467FD">
      <w:pPr>
        <w:pBdr>
          <w:top w:val="single" w:sz="18" w:space="1" w:color="00B0B9" w:themeColor="accent2"/>
          <w:left w:val="single" w:sz="18" w:space="4" w:color="00B0B9" w:themeColor="accent2"/>
          <w:bottom w:val="single" w:sz="18" w:space="1" w:color="00B0B9" w:themeColor="accent2"/>
          <w:right w:val="single" w:sz="18" w:space="4" w:color="00B0B9" w:themeColor="accent2"/>
        </w:pBdr>
        <w:shd w:val="clear" w:color="auto" w:fill="B3FBFF" w:themeFill="accent6" w:themeFillTint="33"/>
        <w:rPr>
          <w:szCs w:val="22"/>
        </w:rPr>
      </w:pPr>
      <w:r w:rsidRPr="00802726">
        <w:rPr>
          <w:szCs w:val="22"/>
        </w:rPr>
        <w:t>Your information may be used by the departments or given to other parties for the purposes of research, investigation or where you have agreed, or it is required or authorised by law.</w:t>
      </w:r>
    </w:p>
    <w:p w14:paraId="67C45E1B" w14:textId="77777777" w:rsidR="007467FD" w:rsidRPr="00802726" w:rsidRDefault="007467FD" w:rsidP="007467FD">
      <w:pPr>
        <w:pBdr>
          <w:top w:val="single" w:sz="18" w:space="1" w:color="00B0B9" w:themeColor="accent2"/>
          <w:left w:val="single" w:sz="18" w:space="4" w:color="00B0B9" w:themeColor="accent2"/>
          <w:bottom w:val="single" w:sz="18" w:space="1" w:color="00B0B9" w:themeColor="accent2"/>
          <w:right w:val="single" w:sz="18" w:space="4" w:color="00B0B9" w:themeColor="accent2"/>
        </w:pBdr>
        <w:shd w:val="clear" w:color="auto" w:fill="B3FBFF" w:themeFill="accent6" w:themeFillTint="33"/>
        <w:rPr>
          <w:szCs w:val="22"/>
        </w:rPr>
      </w:pPr>
      <w:r w:rsidRPr="00802726">
        <w:rPr>
          <w:szCs w:val="22"/>
        </w:rPr>
        <w:t xml:space="preserve">You can get more information about the way in which the Department of Social Services will manage your personal information, including the department’s privacy policy at </w:t>
      </w:r>
      <w:hyperlink r:id="rId24" w:history="1">
        <w:r w:rsidRPr="00F3764A">
          <w:rPr>
            <w:rStyle w:val="Hyperlink"/>
            <w:color w:val="00448F"/>
            <w:szCs w:val="22"/>
          </w:rPr>
          <w:t>dss.gov.au/privacy-policy</w:t>
        </w:r>
      </w:hyperlink>
      <w:r w:rsidRPr="00802726">
        <w:rPr>
          <w:szCs w:val="22"/>
        </w:rPr>
        <w:t xml:space="preserve"> or by requesting a copy from that department.</w:t>
      </w:r>
    </w:p>
    <w:p w14:paraId="735B2EC9" w14:textId="77777777" w:rsidR="007467FD" w:rsidRDefault="007467FD" w:rsidP="007467FD">
      <w:pPr>
        <w:pBdr>
          <w:top w:val="single" w:sz="18" w:space="1" w:color="00B0B9" w:themeColor="accent2"/>
          <w:left w:val="single" w:sz="18" w:space="4" w:color="00B0B9" w:themeColor="accent2"/>
          <w:bottom w:val="single" w:sz="18" w:space="1" w:color="00B0B9" w:themeColor="accent2"/>
          <w:right w:val="single" w:sz="18" w:space="4" w:color="00B0B9" w:themeColor="accent2"/>
        </w:pBdr>
        <w:shd w:val="clear" w:color="auto" w:fill="B3FBFF" w:themeFill="accent6" w:themeFillTint="33"/>
        <w:rPr>
          <w:szCs w:val="22"/>
        </w:rPr>
      </w:pPr>
      <w:r w:rsidRPr="00802726">
        <w:rPr>
          <w:szCs w:val="22"/>
        </w:rPr>
        <w:t xml:space="preserve">You can get more information about the way in which Services Australia will manage your personal information, including the department’s privacy policy at </w:t>
      </w:r>
      <w:hyperlink r:id="rId25" w:history="1">
        <w:r w:rsidRPr="00F3764A">
          <w:rPr>
            <w:rStyle w:val="Hyperlink"/>
            <w:color w:val="auto"/>
            <w:szCs w:val="22"/>
          </w:rPr>
          <w:t>servicesaustralia.gov.au/privacy</w:t>
        </w:r>
      </w:hyperlink>
      <w:r w:rsidRPr="00802726">
        <w:rPr>
          <w:szCs w:val="22"/>
        </w:rPr>
        <w:t xml:space="preserve"> or by requesting a copy from that department.</w:t>
      </w:r>
    </w:p>
    <w:p w14:paraId="1A63556E" w14:textId="77777777" w:rsidR="007467FD" w:rsidRPr="007467FD" w:rsidRDefault="007467FD" w:rsidP="007467FD">
      <w:pPr>
        <w:pBdr>
          <w:top w:val="single" w:sz="18" w:space="1" w:color="00B0B9" w:themeColor="accent2"/>
          <w:left w:val="single" w:sz="18" w:space="4" w:color="00B0B9" w:themeColor="accent2"/>
          <w:bottom w:val="single" w:sz="18" w:space="1" w:color="00B0B9" w:themeColor="accent2"/>
          <w:right w:val="single" w:sz="18" w:space="4" w:color="00B0B9" w:themeColor="accent2"/>
        </w:pBdr>
        <w:shd w:val="clear" w:color="auto" w:fill="B3FBFF" w:themeFill="accent6" w:themeFillTint="33"/>
        <w:rPr>
          <w:sz w:val="2"/>
          <w:szCs w:val="2"/>
        </w:rPr>
      </w:pPr>
    </w:p>
    <w:p w14:paraId="4C215F50" w14:textId="77777777" w:rsidR="003809B4" w:rsidRPr="003809B4" w:rsidRDefault="003809B4" w:rsidP="0018153A">
      <w:pPr>
        <w:pStyle w:val="Heading2"/>
      </w:pPr>
      <w:r w:rsidRPr="003809B4">
        <w:t>TILA application process</w:t>
      </w:r>
    </w:p>
    <w:p w14:paraId="37525242" w14:textId="77777777" w:rsidR="003809B4" w:rsidRPr="003809B4" w:rsidRDefault="003809B4" w:rsidP="003809B4">
      <w:pPr>
        <w:pStyle w:val="IntroductionQuote"/>
        <w:rPr>
          <w:sz w:val="22"/>
          <w:szCs w:val="22"/>
        </w:rPr>
      </w:pPr>
      <w:r w:rsidRPr="003809B4">
        <w:rPr>
          <w:sz w:val="22"/>
          <w:szCs w:val="22"/>
        </w:rPr>
        <w:t xml:space="preserve">Follow the below steps for a TILA application: </w:t>
      </w:r>
    </w:p>
    <w:p w14:paraId="38277D66" w14:textId="1FB4CE56" w:rsidR="003809B4" w:rsidRPr="003809B4" w:rsidRDefault="003809B4" w:rsidP="003809B4">
      <w:pPr>
        <w:pStyle w:val="IntroductionQuote"/>
        <w:rPr>
          <w:b/>
          <w:iCs/>
          <w:sz w:val="22"/>
          <w:szCs w:val="22"/>
        </w:rPr>
      </w:pPr>
      <w:r w:rsidRPr="003809B4">
        <w:rPr>
          <w:b/>
          <w:iCs/>
          <w:sz w:val="22"/>
          <w:szCs w:val="22"/>
        </w:rPr>
        <w:t xml:space="preserve">Table </w:t>
      </w:r>
      <w:r w:rsidRPr="003809B4">
        <w:rPr>
          <w:i/>
          <w:iCs/>
          <w:sz w:val="22"/>
          <w:szCs w:val="22"/>
        </w:rPr>
        <w:fldChar w:fldCharType="begin"/>
      </w:r>
      <w:r w:rsidRPr="003809B4">
        <w:rPr>
          <w:b/>
          <w:iCs/>
          <w:sz w:val="22"/>
          <w:szCs w:val="22"/>
        </w:rPr>
        <w:instrText xml:space="preserve"> SEQ Table \* ARABIC </w:instrText>
      </w:r>
      <w:r w:rsidRPr="003809B4">
        <w:rPr>
          <w:i/>
          <w:iCs/>
          <w:sz w:val="22"/>
          <w:szCs w:val="22"/>
        </w:rPr>
        <w:fldChar w:fldCharType="separate"/>
      </w:r>
      <w:r w:rsidR="002A5FB7">
        <w:rPr>
          <w:b/>
          <w:iCs/>
          <w:noProof/>
          <w:sz w:val="22"/>
          <w:szCs w:val="22"/>
        </w:rPr>
        <w:t>1</w:t>
      </w:r>
      <w:r w:rsidRPr="003809B4">
        <w:rPr>
          <w:sz w:val="22"/>
          <w:szCs w:val="22"/>
        </w:rPr>
        <w:fldChar w:fldCharType="end"/>
      </w:r>
      <w:r w:rsidR="005F4B14" w:rsidRPr="005F4B14">
        <w:rPr>
          <w:sz w:val="22"/>
          <w:szCs w:val="22"/>
        </w:rPr>
        <w:t>:</w:t>
      </w:r>
      <w:r w:rsidRPr="003809B4">
        <w:rPr>
          <w:b/>
          <w:iCs/>
          <w:sz w:val="22"/>
          <w:szCs w:val="22"/>
        </w:rPr>
        <w:t xml:space="preserve"> </w:t>
      </w:r>
      <w:r w:rsidRPr="003809B4">
        <w:rPr>
          <w:bCs/>
          <w:iCs/>
          <w:sz w:val="22"/>
          <w:szCs w:val="22"/>
        </w:rPr>
        <w:t>TILA application process</w:t>
      </w:r>
    </w:p>
    <w:tbl>
      <w:tblPr>
        <w:tblStyle w:val="GridTable5Dark-Accent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LA application process"/>
        <w:tblDescription w:val="This table notes the two step application process for caseworkers"/>
      </w:tblPr>
      <w:tblGrid>
        <w:gridCol w:w="1878"/>
        <w:gridCol w:w="8323"/>
      </w:tblGrid>
      <w:tr w:rsidR="003809B4" w:rsidRPr="003809B4" w14:paraId="6628954B" w14:textId="77777777" w:rsidTr="007467FD">
        <w:trPr>
          <w:cnfStyle w:val="100000000000" w:firstRow="1" w:lastRow="0" w:firstColumn="0" w:lastColumn="0" w:oddVBand="0" w:evenVBand="0" w:oddHBand="0" w:evenHBand="0" w:firstRowFirstColumn="0" w:firstRowLastColumn="0" w:lastRowFirstColumn="0" w:lastRowLastColumn="0"/>
          <w:trHeight w:val="471"/>
          <w:tblHeader/>
        </w:trPr>
        <w:tc>
          <w:tcPr>
            <w:cnfStyle w:val="001000000000" w:firstRow="0" w:lastRow="0" w:firstColumn="1" w:lastColumn="0" w:oddVBand="0" w:evenVBand="0" w:oddHBand="0" w:evenHBand="0" w:firstRowFirstColumn="0" w:firstRowLastColumn="0" w:lastRowFirstColumn="0" w:lastRowLastColumn="0"/>
            <w:tcW w:w="1878" w:type="dxa"/>
            <w:tcBorders>
              <w:top w:val="none" w:sz="0" w:space="0" w:color="auto"/>
              <w:left w:val="none" w:sz="0" w:space="0" w:color="auto"/>
              <w:right w:val="none" w:sz="0" w:space="0" w:color="auto"/>
            </w:tcBorders>
            <w:hideMark/>
          </w:tcPr>
          <w:p w14:paraId="5E028081" w14:textId="77777777" w:rsidR="003809B4" w:rsidRPr="003809B4" w:rsidRDefault="003809B4" w:rsidP="003809B4">
            <w:pPr>
              <w:pStyle w:val="IntroductionQuote"/>
              <w:rPr>
                <w:color w:val="FFFFFF" w:themeColor="background1"/>
                <w:sz w:val="22"/>
                <w:szCs w:val="22"/>
              </w:rPr>
            </w:pPr>
            <w:r w:rsidRPr="003809B4">
              <w:rPr>
                <w:color w:val="FFFFFF" w:themeColor="background1"/>
                <w:sz w:val="22"/>
                <w:szCs w:val="22"/>
              </w:rPr>
              <w:t>Steps</w:t>
            </w:r>
          </w:p>
        </w:tc>
        <w:tc>
          <w:tcPr>
            <w:tcW w:w="8323" w:type="dxa"/>
            <w:tcBorders>
              <w:top w:val="none" w:sz="0" w:space="0" w:color="auto"/>
              <w:left w:val="none" w:sz="0" w:space="0" w:color="auto"/>
              <w:right w:val="none" w:sz="0" w:space="0" w:color="auto"/>
            </w:tcBorders>
            <w:hideMark/>
          </w:tcPr>
          <w:p w14:paraId="2108B586" w14:textId="77777777" w:rsidR="003809B4" w:rsidRPr="003809B4" w:rsidRDefault="003809B4" w:rsidP="003809B4">
            <w:pPr>
              <w:pStyle w:val="IntroductionQuote"/>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3809B4">
              <w:rPr>
                <w:color w:val="FFFFFF" w:themeColor="background1"/>
                <w:sz w:val="22"/>
                <w:szCs w:val="22"/>
              </w:rPr>
              <w:t>Details</w:t>
            </w:r>
          </w:p>
        </w:tc>
      </w:tr>
      <w:tr w:rsidR="003809B4" w:rsidRPr="003809B4" w14:paraId="141768E8" w14:textId="77777777" w:rsidTr="005C7C10">
        <w:trPr>
          <w:cnfStyle w:val="000000100000" w:firstRow="0" w:lastRow="0" w:firstColumn="0" w:lastColumn="0" w:oddVBand="0" w:evenVBand="0" w:oddHBand="1" w:evenHBand="0" w:firstRowFirstColumn="0" w:firstRowLastColumn="0" w:lastRowFirstColumn="0" w:lastRowLastColumn="0"/>
          <w:trHeight w:val="929"/>
        </w:trPr>
        <w:tc>
          <w:tcPr>
            <w:cnfStyle w:val="001000000000" w:firstRow="0" w:lastRow="0" w:firstColumn="1" w:lastColumn="0" w:oddVBand="0" w:evenVBand="0" w:oddHBand="0" w:evenHBand="0" w:firstRowFirstColumn="0" w:firstRowLastColumn="0" w:lastRowFirstColumn="0" w:lastRowLastColumn="0"/>
            <w:tcW w:w="1878" w:type="dxa"/>
            <w:tcBorders>
              <w:left w:val="none" w:sz="0" w:space="0" w:color="auto"/>
            </w:tcBorders>
          </w:tcPr>
          <w:p w14:paraId="0163AA23" w14:textId="77777777" w:rsidR="003809B4" w:rsidRPr="003809B4" w:rsidRDefault="003809B4" w:rsidP="00AF205C">
            <w:pPr>
              <w:pStyle w:val="IntroductionQuote"/>
              <w:spacing w:before="1320"/>
              <w:rPr>
                <w:color w:val="FFFFFF" w:themeColor="background1"/>
                <w:sz w:val="22"/>
                <w:szCs w:val="22"/>
              </w:rPr>
            </w:pPr>
            <w:r w:rsidRPr="003809B4">
              <w:rPr>
                <w:color w:val="FFFFFF" w:themeColor="background1"/>
                <w:sz w:val="22"/>
                <w:szCs w:val="22"/>
              </w:rPr>
              <w:t xml:space="preserve">Step 1: </w:t>
            </w:r>
          </w:p>
          <w:p w14:paraId="1A229D2C" w14:textId="77777777" w:rsidR="003809B4" w:rsidRPr="003809B4" w:rsidRDefault="003809B4" w:rsidP="00AF205C">
            <w:pPr>
              <w:pStyle w:val="IntroductionQuote"/>
              <w:spacing w:before="840"/>
              <w:rPr>
                <w:sz w:val="22"/>
                <w:szCs w:val="22"/>
              </w:rPr>
            </w:pPr>
            <w:r w:rsidRPr="003809B4">
              <w:rPr>
                <w:color w:val="FFFFFF" w:themeColor="background1"/>
                <w:sz w:val="22"/>
                <w:szCs w:val="22"/>
              </w:rPr>
              <w:t>Assessment</w:t>
            </w:r>
          </w:p>
        </w:tc>
        <w:tc>
          <w:tcPr>
            <w:tcW w:w="8323" w:type="dxa"/>
            <w:shd w:val="clear" w:color="auto" w:fill="auto"/>
          </w:tcPr>
          <w:p w14:paraId="3CF4720F" w14:textId="77777777" w:rsidR="003809B4" w:rsidRPr="003809B4" w:rsidRDefault="003809B4" w:rsidP="003809B4">
            <w:pPr>
              <w:pStyle w:val="IntroductionQuote"/>
              <w:cnfStyle w:val="000000100000" w:firstRow="0" w:lastRow="0" w:firstColumn="0" w:lastColumn="0" w:oddVBand="0" w:evenVBand="0" w:oddHBand="1" w:evenHBand="0" w:firstRowFirstColumn="0" w:firstRowLastColumn="0" w:lastRowFirstColumn="0" w:lastRowLastColumn="0"/>
              <w:rPr>
                <w:sz w:val="22"/>
                <w:szCs w:val="22"/>
              </w:rPr>
            </w:pPr>
            <w:r w:rsidRPr="003809B4">
              <w:rPr>
                <w:sz w:val="22"/>
                <w:szCs w:val="22"/>
              </w:rPr>
              <w:t>You will need to:</w:t>
            </w:r>
          </w:p>
          <w:p w14:paraId="08C87176" w14:textId="75A04CC8" w:rsidR="003809B4" w:rsidRPr="003809B4" w:rsidRDefault="003809B4" w:rsidP="00E301EA">
            <w:pPr>
              <w:pStyle w:val="IntroductionQuote"/>
              <w:numPr>
                <w:ilvl w:val="0"/>
                <w:numId w:val="19"/>
              </w:numPr>
              <w:spacing w:after="0"/>
              <w:cnfStyle w:val="000000100000" w:firstRow="0" w:lastRow="0" w:firstColumn="0" w:lastColumn="0" w:oddVBand="0" w:evenVBand="0" w:oddHBand="1" w:evenHBand="0" w:firstRowFirstColumn="0" w:firstRowLastColumn="0" w:lastRowFirstColumn="0" w:lastRowLastColumn="0"/>
              <w:rPr>
                <w:sz w:val="22"/>
                <w:szCs w:val="22"/>
              </w:rPr>
            </w:pPr>
            <w:r w:rsidRPr="003809B4">
              <w:rPr>
                <w:sz w:val="22"/>
                <w:szCs w:val="22"/>
              </w:rPr>
              <w:t xml:space="preserve">Discuss the </w:t>
            </w:r>
            <w:hyperlink r:id="rId26" w:history="1">
              <w:r w:rsidRPr="003809B4">
                <w:rPr>
                  <w:rStyle w:val="Hyperlink"/>
                  <w:sz w:val="22"/>
                  <w:szCs w:val="22"/>
                </w:rPr>
                <w:t>transition to independence plan</w:t>
              </w:r>
            </w:hyperlink>
            <w:r w:rsidRPr="003809B4">
              <w:rPr>
                <w:sz w:val="22"/>
                <w:szCs w:val="22"/>
              </w:rPr>
              <w:t xml:space="preserve"> with the young person applying for TILA.</w:t>
            </w:r>
          </w:p>
          <w:p w14:paraId="0CB55E56" w14:textId="3D9CDF39" w:rsidR="003809B4" w:rsidRPr="003809B4" w:rsidRDefault="003809B4" w:rsidP="00E301EA">
            <w:pPr>
              <w:pStyle w:val="IntroductionQuote"/>
              <w:numPr>
                <w:ilvl w:val="0"/>
                <w:numId w:val="19"/>
              </w:numPr>
              <w:spacing w:after="0"/>
              <w:cnfStyle w:val="000000100000" w:firstRow="0" w:lastRow="0" w:firstColumn="0" w:lastColumn="0" w:oddVBand="0" w:evenVBand="0" w:oddHBand="1" w:evenHBand="0" w:firstRowFirstColumn="0" w:firstRowLastColumn="0" w:lastRowFirstColumn="0" w:lastRowLastColumn="0"/>
              <w:rPr>
                <w:sz w:val="22"/>
                <w:szCs w:val="22"/>
              </w:rPr>
            </w:pPr>
            <w:r w:rsidRPr="003809B4">
              <w:rPr>
                <w:sz w:val="22"/>
                <w:szCs w:val="22"/>
              </w:rPr>
              <w:t xml:space="preserve">Assess whether the young person is </w:t>
            </w:r>
            <w:hyperlink r:id="rId27" w:history="1">
              <w:r w:rsidRPr="003809B4">
                <w:rPr>
                  <w:rStyle w:val="Hyperlink"/>
                  <w:sz w:val="22"/>
                  <w:szCs w:val="22"/>
                </w:rPr>
                <w:t>eligible</w:t>
              </w:r>
            </w:hyperlink>
            <w:r w:rsidRPr="003809B4">
              <w:rPr>
                <w:sz w:val="22"/>
                <w:szCs w:val="22"/>
              </w:rPr>
              <w:t xml:space="preserve"> for TILA and it is applicable at this time. </w:t>
            </w:r>
          </w:p>
          <w:p w14:paraId="24F0D200" w14:textId="77777777" w:rsidR="003809B4" w:rsidRPr="003809B4" w:rsidRDefault="003809B4" w:rsidP="003809B4">
            <w:pPr>
              <w:pStyle w:val="IntroductionQuote"/>
              <w:numPr>
                <w:ilvl w:val="0"/>
                <w:numId w:val="19"/>
              </w:numPr>
              <w:cnfStyle w:val="000000100000" w:firstRow="0" w:lastRow="0" w:firstColumn="0" w:lastColumn="0" w:oddVBand="0" w:evenVBand="0" w:oddHBand="1" w:evenHBand="0" w:firstRowFirstColumn="0" w:firstRowLastColumn="0" w:lastRowFirstColumn="0" w:lastRowLastColumn="0"/>
              <w:rPr>
                <w:sz w:val="22"/>
                <w:szCs w:val="22"/>
              </w:rPr>
            </w:pPr>
            <w:r w:rsidRPr="003809B4">
              <w:rPr>
                <w:sz w:val="22"/>
                <w:szCs w:val="22"/>
              </w:rPr>
              <w:t>Agree on what TILA will be used for and whether a lump sum payment or instalments at a minimum of $250 is the best approach for the young person.</w:t>
            </w:r>
          </w:p>
          <w:p w14:paraId="45B50BC9" w14:textId="77777777" w:rsidR="003809B4" w:rsidRPr="003809B4" w:rsidRDefault="003809B4" w:rsidP="008F5D58">
            <w:pPr>
              <w:pStyle w:val="IntroductionQuote"/>
              <w:numPr>
                <w:ilvl w:val="0"/>
                <w:numId w:val="19"/>
              </w:numPr>
              <w:spacing w:after="0"/>
              <w:cnfStyle w:val="000000100000" w:firstRow="0" w:lastRow="0" w:firstColumn="0" w:lastColumn="0" w:oddVBand="0" w:evenVBand="0" w:oddHBand="1" w:evenHBand="0" w:firstRowFirstColumn="0" w:firstRowLastColumn="0" w:lastRowFirstColumn="0" w:lastRowLastColumn="0"/>
              <w:rPr>
                <w:sz w:val="22"/>
                <w:szCs w:val="22"/>
              </w:rPr>
            </w:pPr>
            <w:r w:rsidRPr="003809B4">
              <w:rPr>
                <w:sz w:val="22"/>
                <w:szCs w:val="22"/>
              </w:rPr>
              <w:t xml:space="preserve">Do not apply for the full amount of $1500 if the young person does not need this amount </w:t>
            </w:r>
            <w:proofErr w:type="gramStart"/>
            <w:r w:rsidRPr="003809B4">
              <w:rPr>
                <w:sz w:val="22"/>
                <w:szCs w:val="22"/>
              </w:rPr>
              <w:t>at this time</w:t>
            </w:r>
            <w:proofErr w:type="gramEnd"/>
            <w:r w:rsidRPr="003809B4">
              <w:rPr>
                <w:sz w:val="22"/>
                <w:szCs w:val="22"/>
              </w:rPr>
              <w:t xml:space="preserve">. </w:t>
            </w:r>
          </w:p>
          <w:p w14:paraId="4D920A4A" w14:textId="31796E3A" w:rsidR="003809B4" w:rsidRPr="003809B4" w:rsidRDefault="003809B4" w:rsidP="008F5D58">
            <w:pPr>
              <w:pStyle w:val="IntroductionQuote"/>
              <w:numPr>
                <w:ilvl w:val="0"/>
                <w:numId w:val="19"/>
              </w:numPr>
              <w:spacing w:after="0"/>
              <w:cnfStyle w:val="000000100000" w:firstRow="0" w:lastRow="0" w:firstColumn="0" w:lastColumn="0" w:oddVBand="0" w:evenVBand="0" w:oddHBand="1" w:evenHBand="0" w:firstRowFirstColumn="0" w:firstRowLastColumn="0" w:lastRowFirstColumn="0" w:lastRowLastColumn="0"/>
              <w:rPr>
                <w:sz w:val="22"/>
                <w:szCs w:val="22"/>
              </w:rPr>
            </w:pPr>
            <w:r w:rsidRPr="003809B4">
              <w:rPr>
                <w:sz w:val="22"/>
                <w:szCs w:val="22"/>
              </w:rPr>
              <w:t xml:space="preserve">Items can include whitegoods, furniture, counselling, education and training courses, medical expenses, or a driver’s licence or lessons, plus much more. </w:t>
            </w:r>
            <w:r w:rsidRPr="003809B4">
              <w:rPr>
                <w:sz w:val="22"/>
                <w:szCs w:val="22"/>
              </w:rPr>
              <w:lastRenderedPageBreak/>
              <w:t xml:space="preserve">The </w:t>
            </w:r>
            <w:hyperlink r:id="rId28" w:history="1">
              <w:r w:rsidRPr="003809B4">
                <w:rPr>
                  <w:rStyle w:val="Hyperlink"/>
                  <w:sz w:val="22"/>
                  <w:szCs w:val="22"/>
                </w:rPr>
                <w:t>What can TILA be used for</w:t>
              </w:r>
            </w:hyperlink>
            <w:r w:rsidRPr="003809B4">
              <w:rPr>
                <w:sz w:val="22"/>
                <w:szCs w:val="22"/>
              </w:rPr>
              <w:t xml:space="preserve"> factsheet provides further information on the different goods and services TILA can be used for.</w:t>
            </w:r>
          </w:p>
          <w:p w14:paraId="76A1A4C7" w14:textId="77777777" w:rsidR="003809B4" w:rsidRPr="003809B4" w:rsidRDefault="003809B4" w:rsidP="008F5D58">
            <w:pPr>
              <w:pStyle w:val="IntroductionQuote"/>
              <w:numPr>
                <w:ilvl w:val="0"/>
                <w:numId w:val="20"/>
              </w:numPr>
              <w:spacing w:after="0"/>
              <w:cnfStyle w:val="000000100000" w:firstRow="0" w:lastRow="0" w:firstColumn="0" w:lastColumn="0" w:oddVBand="0" w:evenVBand="0" w:oddHBand="1" w:evenHBand="0" w:firstRowFirstColumn="0" w:firstRowLastColumn="0" w:lastRowFirstColumn="0" w:lastRowLastColumn="0"/>
              <w:rPr>
                <w:sz w:val="22"/>
                <w:szCs w:val="22"/>
              </w:rPr>
            </w:pPr>
            <w:r w:rsidRPr="003809B4">
              <w:rPr>
                <w:sz w:val="22"/>
                <w:szCs w:val="22"/>
              </w:rPr>
              <w:t xml:space="preserve">Only apply for what has been identified for the young person as an appropriate time and use of TILA funding to support the goals and activities of the young person’s transition or leaving care plan. </w:t>
            </w:r>
          </w:p>
          <w:p w14:paraId="323B55B6" w14:textId="78FD953D" w:rsidR="003809B4" w:rsidRPr="003809B4" w:rsidRDefault="003809B4" w:rsidP="008F5D58">
            <w:pPr>
              <w:pStyle w:val="IntroductionQuote"/>
              <w:numPr>
                <w:ilvl w:val="0"/>
                <w:numId w:val="20"/>
              </w:numPr>
              <w:spacing w:after="0"/>
              <w:cnfStyle w:val="000000100000" w:firstRow="0" w:lastRow="0" w:firstColumn="0" w:lastColumn="0" w:oddVBand="0" w:evenVBand="0" w:oddHBand="1" w:evenHBand="0" w:firstRowFirstColumn="0" w:firstRowLastColumn="0" w:lastRowFirstColumn="0" w:lastRowLastColumn="0"/>
              <w:rPr>
                <w:sz w:val="22"/>
                <w:szCs w:val="22"/>
              </w:rPr>
            </w:pPr>
            <w:r w:rsidRPr="003809B4">
              <w:rPr>
                <w:sz w:val="22"/>
                <w:szCs w:val="22"/>
              </w:rPr>
              <w:t xml:space="preserve">Complete and both sign the </w:t>
            </w:r>
            <w:hyperlink r:id="rId29" w:history="1">
              <w:r w:rsidRPr="003809B4">
                <w:rPr>
                  <w:rStyle w:val="Hyperlink"/>
                  <w:sz w:val="22"/>
                  <w:szCs w:val="22"/>
                </w:rPr>
                <w:t>TILA Application Form</w:t>
              </w:r>
            </w:hyperlink>
            <w:r w:rsidRPr="003809B4">
              <w:rPr>
                <w:sz w:val="22"/>
                <w:szCs w:val="22"/>
              </w:rPr>
              <w:t>.</w:t>
            </w:r>
          </w:p>
          <w:p w14:paraId="3A6DB20B" w14:textId="77777777" w:rsidR="001D6079" w:rsidRDefault="003809B4" w:rsidP="003809B4">
            <w:pPr>
              <w:pStyle w:val="IntroductionQuote"/>
              <w:numPr>
                <w:ilvl w:val="0"/>
                <w:numId w:val="19"/>
              </w:numPr>
              <w:spacing w:after="0"/>
              <w:cnfStyle w:val="000000100000" w:firstRow="0" w:lastRow="0" w:firstColumn="0" w:lastColumn="0" w:oddVBand="0" w:evenVBand="0" w:oddHBand="1" w:evenHBand="0" w:firstRowFirstColumn="0" w:firstRowLastColumn="0" w:lastRowFirstColumn="0" w:lastRowLastColumn="0"/>
              <w:rPr>
                <w:sz w:val="22"/>
                <w:szCs w:val="22"/>
              </w:rPr>
            </w:pPr>
            <w:r w:rsidRPr="003809B4">
              <w:rPr>
                <w:sz w:val="22"/>
                <w:szCs w:val="22"/>
              </w:rPr>
              <w:t>Have evidence of agreement such as an email or a detailed file note of the conversation with the young person, including date, time and reason why there were unable to sign the form in person. Retain the TILA form and other documentation for your organisation's records.</w:t>
            </w:r>
          </w:p>
          <w:p w14:paraId="3F1B1C55" w14:textId="77777777" w:rsidR="001D6079" w:rsidRPr="001D6079" w:rsidRDefault="001D6079" w:rsidP="001D6079">
            <w:pPr>
              <w:pStyle w:val="IntroductionQuote"/>
              <w:spacing w:after="0"/>
              <w:ind w:left="360"/>
              <w:cnfStyle w:val="000000100000" w:firstRow="0" w:lastRow="0" w:firstColumn="0" w:lastColumn="0" w:oddVBand="0" w:evenVBand="0" w:oddHBand="1" w:evenHBand="0" w:firstRowFirstColumn="0" w:firstRowLastColumn="0" w:lastRowFirstColumn="0" w:lastRowLastColumn="0"/>
              <w:rPr>
                <w:sz w:val="22"/>
                <w:szCs w:val="22"/>
              </w:rPr>
            </w:pPr>
          </w:p>
          <w:p w14:paraId="36FFF2EE" w14:textId="33FAF698" w:rsidR="003809B4" w:rsidRPr="003809B4" w:rsidRDefault="003809B4" w:rsidP="00D705E2">
            <w:pPr>
              <w:pStyle w:val="IntroductionQuote"/>
              <w:spacing w:after="0"/>
              <w:cnfStyle w:val="000000100000" w:firstRow="0" w:lastRow="0" w:firstColumn="0" w:lastColumn="0" w:oddVBand="0" w:evenVBand="0" w:oddHBand="1" w:evenHBand="0" w:firstRowFirstColumn="0" w:firstRowLastColumn="0" w:lastRowFirstColumn="0" w:lastRowLastColumn="0"/>
              <w:rPr>
                <w:sz w:val="22"/>
                <w:szCs w:val="22"/>
              </w:rPr>
            </w:pPr>
            <w:r w:rsidRPr="00D705E2">
              <w:rPr>
                <w:b/>
                <w:sz w:val="22"/>
                <w:szCs w:val="22"/>
              </w:rPr>
              <w:t>Note:</w:t>
            </w:r>
            <w:r w:rsidRPr="00D705E2">
              <w:rPr>
                <w:sz w:val="22"/>
                <w:szCs w:val="22"/>
              </w:rPr>
              <w:t xml:space="preserve"> If a signature is not able to be obtained from the young person, i.e. the application is completed over the phone or the young person is unable to sign the application form due to a disability, the caseworker is to review if consent can be secured and documented in a way other than a signature on the application form. This should be clearly reflected in the caseworker and young person’s records. </w:t>
            </w:r>
          </w:p>
        </w:tc>
      </w:tr>
      <w:tr w:rsidR="003809B4" w:rsidRPr="003809B4" w14:paraId="6727A647" w14:textId="77777777" w:rsidTr="005C7C10">
        <w:trPr>
          <w:trHeight w:val="1441"/>
        </w:trPr>
        <w:tc>
          <w:tcPr>
            <w:cnfStyle w:val="001000000000" w:firstRow="0" w:lastRow="0" w:firstColumn="1" w:lastColumn="0" w:oddVBand="0" w:evenVBand="0" w:oddHBand="0" w:evenHBand="0" w:firstRowFirstColumn="0" w:firstRowLastColumn="0" w:lastRowFirstColumn="0" w:lastRowLastColumn="0"/>
            <w:tcW w:w="1878" w:type="dxa"/>
            <w:tcBorders>
              <w:left w:val="none" w:sz="0" w:space="0" w:color="auto"/>
            </w:tcBorders>
          </w:tcPr>
          <w:p w14:paraId="61205AF4" w14:textId="77777777" w:rsidR="003809B4" w:rsidRPr="003809B4" w:rsidRDefault="003809B4" w:rsidP="003809B4">
            <w:pPr>
              <w:pStyle w:val="IntroductionQuote"/>
              <w:rPr>
                <w:sz w:val="22"/>
                <w:szCs w:val="22"/>
              </w:rPr>
            </w:pPr>
          </w:p>
          <w:p w14:paraId="314E3834" w14:textId="77777777" w:rsidR="003809B4" w:rsidRPr="003809B4" w:rsidRDefault="003809B4" w:rsidP="003809B4">
            <w:pPr>
              <w:pStyle w:val="IntroductionQuote"/>
              <w:rPr>
                <w:color w:val="FFFFFF" w:themeColor="background1"/>
                <w:sz w:val="22"/>
                <w:szCs w:val="22"/>
              </w:rPr>
            </w:pPr>
            <w:r w:rsidRPr="003809B4">
              <w:rPr>
                <w:color w:val="FFFFFF" w:themeColor="background1"/>
                <w:sz w:val="22"/>
                <w:szCs w:val="22"/>
              </w:rPr>
              <w:t xml:space="preserve">Step 2: </w:t>
            </w:r>
          </w:p>
          <w:p w14:paraId="20CEFC82" w14:textId="77777777" w:rsidR="003809B4" w:rsidRPr="003809B4" w:rsidRDefault="003809B4" w:rsidP="003809B4">
            <w:pPr>
              <w:pStyle w:val="IntroductionQuote"/>
              <w:rPr>
                <w:color w:val="FFFFFF" w:themeColor="background1"/>
                <w:sz w:val="22"/>
                <w:szCs w:val="22"/>
              </w:rPr>
            </w:pPr>
          </w:p>
          <w:p w14:paraId="3FB9C3FE" w14:textId="77777777" w:rsidR="003809B4" w:rsidRPr="003809B4" w:rsidRDefault="003809B4" w:rsidP="003809B4">
            <w:pPr>
              <w:pStyle w:val="IntroductionQuote"/>
              <w:rPr>
                <w:color w:val="FFFFFF" w:themeColor="background1"/>
                <w:sz w:val="22"/>
                <w:szCs w:val="22"/>
              </w:rPr>
            </w:pPr>
            <w:r w:rsidRPr="003809B4">
              <w:rPr>
                <w:color w:val="FFFFFF" w:themeColor="background1"/>
                <w:sz w:val="22"/>
                <w:szCs w:val="22"/>
              </w:rPr>
              <w:t>Claim lodgement</w:t>
            </w:r>
          </w:p>
          <w:p w14:paraId="54A0CD06" w14:textId="77777777" w:rsidR="003809B4" w:rsidRPr="003809B4" w:rsidRDefault="003809B4" w:rsidP="003809B4">
            <w:pPr>
              <w:pStyle w:val="IntroductionQuote"/>
              <w:rPr>
                <w:sz w:val="22"/>
                <w:szCs w:val="22"/>
              </w:rPr>
            </w:pPr>
          </w:p>
        </w:tc>
        <w:tc>
          <w:tcPr>
            <w:tcW w:w="8323" w:type="dxa"/>
            <w:shd w:val="clear" w:color="auto" w:fill="F2F2F2" w:themeFill="background1" w:themeFillShade="F2"/>
          </w:tcPr>
          <w:p w14:paraId="37E652A5" w14:textId="39CE5D55" w:rsidR="003809B4" w:rsidRPr="003809B4" w:rsidRDefault="003809B4" w:rsidP="004021C2">
            <w:pPr>
              <w:pStyle w:val="IntroductionQuote"/>
              <w:spacing w:before="240"/>
              <w:cnfStyle w:val="000000000000" w:firstRow="0" w:lastRow="0" w:firstColumn="0" w:lastColumn="0" w:oddVBand="0" w:evenVBand="0" w:oddHBand="0" w:evenHBand="0" w:firstRowFirstColumn="0" w:firstRowLastColumn="0" w:lastRowFirstColumn="0" w:lastRowLastColumn="0"/>
              <w:rPr>
                <w:sz w:val="22"/>
                <w:szCs w:val="22"/>
              </w:rPr>
            </w:pPr>
            <w:r w:rsidRPr="003809B4">
              <w:rPr>
                <w:sz w:val="22"/>
                <w:szCs w:val="22"/>
              </w:rPr>
              <w:t xml:space="preserve">Confirm with your </w:t>
            </w:r>
            <w:hyperlink r:id="rId30" w:history="1">
              <w:r w:rsidR="00513CB3" w:rsidRPr="00D82FC0">
                <w:rPr>
                  <w:rStyle w:val="Hyperlink"/>
                  <w:sz w:val="22"/>
                  <w:szCs w:val="22"/>
                </w:rPr>
                <w:t>state or territory contact</w:t>
              </w:r>
            </w:hyperlink>
            <w:r w:rsidRPr="003809B4">
              <w:rPr>
                <w:sz w:val="22"/>
                <w:szCs w:val="22"/>
              </w:rPr>
              <w:t xml:space="preserve"> the TILA application arrangements in your jurisdiction and your role in the application process, as this varies between jurisdictions.</w:t>
            </w:r>
          </w:p>
          <w:p w14:paraId="277C7969" w14:textId="05365779" w:rsidR="003809B4" w:rsidRPr="003809B4" w:rsidRDefault="003809B4" w:rsidP="004021C2">
            <w:pPr>
              <w:pStyle w:val="IntroductionQuote"/>
              <w:numPr>
                <w:ilvl w:val="0"/>
                <w:numId w:val="19"/>
              </w:numPr>
              <w:spacing w:after="0"/>
              <w:cnfStyle w:val="000000000000" w:firstRow="0" w:lastRow="0" w:firstColumn="0" w:lastColumn="0" w:oddVBand="0" w:evenVBand="0" w:oddHBand="0" w:evenHBand="0" w:firstRowFirstColumn="0" w:firstRowLastColumn="0" w:lastRowFirstColumn="0" w:lastRowLastColumn="0"/>
              <w:rPr>
                <w:rStyle w:val="Hyperlink"/>
                <w:sz w:val="22"/>
                <w:szCs w:val="22"/>
              </w:rPr>
            </w:pPr>
            <w:bookmarkStart w:id="1" w:name="_Toc382834119"/>
            <w:r w:rsidRPr="003809B4">
              <w:rPr>
                <w:sz w:val="22"/>
                <w:szCs w:val="22"/>
              </w:rPr>
              <w:t xml:space="preserve">Instructions for registering for </w:t>
            </w:r>
            <w:bookmarkEnd w:id="1"/>
            <w:r w:rsidRPr="003809B4">
              <w:rPr>
                <w:sz w:val="22"/>
                <w:szCs w:val="22"/>
              </w:rPr>
              <w:t xml:space="preserve">PRODA Business Hub access can be found at </w:t>
            </w:r>
            <w:hyperlink r:id="rId31" w:history="1">
              <w:r w:rsidRPr="003809B4">
                <w:rPr>
                  <w:rStyle w:val="Hyperlink"/>
                  <w:sz w:val="22"/>
                  <w:szCs w:val="22"/>
                </w:rPr>
                <w:t>Appendix 3</w:t>
              </w:r>
            </w:hyperlink>
            <w:r w:rsidRPr="003809B4">
              <w:rPr>
                <w:sz w:val="22"/>
                <w:szCs w:val="22"/>
              </w:rPr>
              <w:t xml:space="preserve"> of the </w:t>
            </w:r>
            <w:r w:rsidR="004E602A">
              <w:rPr>
                <w:sz w:val="22"/>
                <w:szCs w:val="22"/>
              </w:rPr>
              <w:fldChar w:fldCharType="begin"/>
            </w:r>
            <w:r w:rsidR="004E602A">
              <w:rPr>
                <w:sz w:val="22"/>
                <w:szCs w:val="22"/>
              </w:rPr>
              <w:instrText>HYPERLINK "https://www.dss.gov.au/our-responsibilities/families-and-children/benefits-payments/transition-to-independent-living-allowance-tila/tila-operational-guidelines"</w:instrText>
            </w:r>
            <w:r w:rsidR="004E602A">
              <w:rPr>
                <w:sz w:val="22"/>
                <w:szCs w:val="22"/>
              </w:rPr>
            </w:r>
            <w:r w:rsidR="004E602A">
              <w:rPr>
                <w:sz w:val="22"/>
                <w:szCs w:val="22"/>
              </w:rPr>
              <w:fldChar w:fldCharType="separate"/>
            </w:r>
            <w:r w:rsidRPr="003809B4">
              <w:rPr>
                <w:rStyle w:val="Hyperlink"/>
                <w:sz w:val="22"/>
                <w:szCs w:val="22"/>
              </w:rPr>
              <w:t>TILA Operational Guidelines.</w:t>
            </w:r>
          </w:p>
          <w:p w14:paraId="6D4A660B" w14:textId="6FF2F4FA" w:rsidR="003809B4" w:rsidRPr="003809B4" w:rsidRDefault="004E602A" w:rsidP="004021C2">
            <w:pPr>
              <w:pStyle w:val="IntroductionQuote"/>
              <w:numPr>
                <w:ilvl w:val="0"/>
                <w:numId w:val="19"/>
              </w:numPr>
              <w:spacing w:after="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fldChar w:fldCharType="end"/>
            </w:r>
            <w:r w:rsidR="003809B4" w:rsidRPr="003809B4">
              <w:rPr>
                <w:sz w:val="22"/>
                <w:szCs w:val="22"/>
              </w:rPr>
              <w:t>As per the TILA Operational Guidelines, Section 2.2 - Assessment of the TILA application, by submitting the TILA application in the Business Hub portal you are confirming you have:</w:t>
            </w:r>
          </w:p>
          <w:p w14:paraId="5A3996FA" w14:textId="77777777" w:rsidR="003809B4" w:rsidRPr="003809B4" w:rsidRDefault="003809B4" w:rsidP="004021C2">
            <w:pPr>
              <w:pStyle w:val="IntroductionQuote"/>
              <w:numPr>
                <w:ilvl w:val="1"/>
                <w:numId w:val="19"/>
              </w:numPr>
              <w:spacing w:after="0"/>
              <w:cnfStyle w:val="000000000000" w:firstRow="0" w:lastRow="0" w:firstColumn="0" w:lastColumn="0" w:oddVBand="0" w:evenVBand="0" w:oddHBand="0" w:evenHBand="0" w:firstRowFirstColumn="0" w:firstRowLastColumn="0" w:lastRowFirstColumn="0" w:lastRowLastColumn="0"/>
              <w:rPr>
                <w:sz w:val="22"/>
                <w:szCs w:val="22"/>
              </w:rPr>
            </w:pPr>
            <w:r w:rsidRPr="003809B4">
              <w:rPr>
                <w:sz w:val="22"/>
                <w:szCs w:val="22"/>
              </w:rPr>
              <w:t>Sighted the young person’s identification and citizenship documents.</w:t>
            </w:r>
          </w:p>
          <w:p w14:paraId="6E61CCB5" w14:textId="77777777" w:rsidR="003809B4" w:rsidRPr="003809B4" w:rsidRDefault="003809B4" w:rsidP="004021C2">
            <w:pPr>
              <w:pStyle w:val="IntroductionQuote"/>
              <w:numPr>
                <w:ilvl w:val="1"/>
                <w:numId w:val="19"/>
              </w:numPr>
              <w:spacing w:after="0"/>
              <w:cnfStyle w:val="000000000000" w:firstRow="0" w:lastRow="0" w:firstColumn="0" w:lastColumn="0" w:oddVBand="0" w:evenVBand="0" w:oddHBand="0" w:evenHBand="0" w:firstRowFirstColumn="0" w:firstRowLastColumn="0" w:lastRowFirstColumn="0" w:lastRowLastColumn="0"/>
              <w:rPr>
                <w:sz w:val="22"/>
                <w:szCs w:val="22"/>
              </w:rPr>
            </w:pPr>
            <w:r w:rsidRPr="003809B4">
              <w:rPr>
                <w:sz w:val="22"/>
                <w:szCs w:val="22"/>
              </w:rPr>
              <w:t>Read the privacy notification to the young person.</w:t>
            </w:r>
          </w:p>
          <w:p w14:paraId="38F73E6E" w14:textId="77777777" w:rsidR="003809B4" w:rsidRPr="003809B4" w:rsidRDefault="003809B4" w:rsidP="004021C2">
            <w:pPr>
              <w:pStyle w:val="IntroductionQuote"/>
              <w:numPr>
                <w:ilvl w:val="1"/>
                <w:numId w:val="19"/>
              </w:numPr>
              <w:spacing w:after="0"/>
              <w:cnfStyle w:val="000000000000" w:firstRow="0" w:lastRow="0" w:firstColumn="0" w:lastColumn="0" w:oddVBand="0" w:evenVBand="0" w:oddHBand="0" w:evenHBand="0" w:firstRowFirstColumn="0" w:firstRowLastColumn="0" w:lastRowFirstColumn="0" w:lastRowLastColumn="0"/>
              <w:rPr>
                <w:sz w:val="22"/>
                <w:szCs w:val="22"/>
              </w:rPr>
            </w:pPr>
            <w:r w:rsidRPr="003809B4">
              <w:rPr>
                <w:sz w:val="22"/>
                <w:szCs w:val="22"/>
              </w:rPr>
              <w:t>Obtained the young person’s signature on the form and signed the form yourself or if the young person’s signature cannot be obtained you have added a detailed file note on the young person’s record and referenced this on the TILA application form at the claimant’s signature block.</w:t>
            </w:r>
          </w:p>
          <w:p w14:paraId="6D9E2613" w14:textId="6D1884A7" w:rsidR="003809B4" w:rsidRPr="003809B4" w:rsidRDefault="003809B4" w:rsidP="008F5D58">
            <w:pPr>
              <w:pStyle w:val="IntroductionQuote"/>
              <w:numPr>
                <w:ilvl w:val="1"/>
                <w:numId w:val="19"/>
              </w:numPr>
              <w:cnfStyle w:val="000000000000" w:firstRow="0" w:lastRow="0" w:firstColumn="0" w:lastColumn="0" w:oddVBand="0" w:evenVBand="0" w:oddHBand="0" w:evenHBand="0" w:firstRowFirstColumn="0" w:firstRowLastColumn="0" w:lastRowFirstColumn="0" w:lastRowLastColumn="0"/>
              <w:rPr>
                <w:sz w:val="22"/>
                <w:szCs w:val="22"/>
              </w:rPr>
            </w:pPr>
            <w:r w:rsidRPr="003809B4">
              <w:rPr>
                <w:sz w:val="22"/>
                <w:szCs w:val="22"/>
              </w:rPr>
              <w:t>Kept the completed TILA application form and expenditure details at your organisation.</w:t>
            </w:r>
          </w:p>
        </w:tc>
      </w:tr>
      <w:tr w:rsidR="003809B4" w:rsidRPr="003809B4" w14:paraId="12FED50D" w14:textId="77777777" w:rsidTr="005C7C10">
        <w:trPr>
          <w:cnfStyle w:val="000000100000" w:firstRow="0" w:lastRow="0" w:firstColumn="0" w:lastColumn="0" w:oddVBand="0" w:evenVBand="0" w:oddHBand="1" w:evenHBand="0" w:firstRowFirstColumn="0" w:firstRowLastColumn="0" w:lastRowFirstColumn="0" w:lastRowLastColumn="0"/>
          <w:trHeight w:val="1441"/>
        </w:trPr>
        <w:tc>
          <w:tcPr>
            <w:cnfStyle w:val="001000000000" w:firstRow="0" w:lastRow="0" w:firstColumn="1" w:lastColumn="0" w:oddVBand="0" w:evenVBand="0" w:oddHBand="0" w:evenHBand="0" w:firstRowFirstColumn="0" w:firstRowLastColumn="0" w:lastRowFirstColumn="0" w:lastRowLastColumn="0"/>
            <w:tcW w:w="1878" w:type="dxa"/>
            <w:tcBorders>
              <w:left w:val="none" w:sz="0" w:space="0" w:color="auto"/>
              <w:bottom w:val="none" w:sz="0" w:space="0" w:color="auto"/>
            </w:tcBorders>
          </w:tcPr>
          <w:p w14:paraId="7722E9E6" w14:textId="77777777" w:rsidR="003809B4" w:rsidRPr="003809B4" w:rsidRDefault="003809B4" w:rsidP="003809B4">
            <w:pPr>
              <w:pStyle w:val="IntroductionQuote"/>
              <w:rPr>
                <w:sz w:val="22"/>
                <w:szCs w:val="22"/>
              </w:rPr>
            </w:pPr>
          </w:p>
          <w:p w14:paraId="11742347" w14:textId="77777777" w:rsidR="003809B4" w:rsidRPr="003809B4" w:rsidRDefault="003809B4" w:rsidP="003809B4">
            <w:pPr>
              <w:pStyle w:val="IntroductionQuote"/>
              <w:rPr>
                <w:color w:val="FFFFFF" w:themeColor="background1"/>
                <w:sz w:val="22"/>
                <w:szCs w:val="22"/>
              </w:rPr>
            </w:pPr>
            <w:r w:rsidRPr="003809B4">
              <w:rPr>
                <w:color w:val="FFFFFF" w:themeColor="background1"/>
                <w:sz w:val="22"/>
                <w:szCs w:val="22"/>
              </w:rPr>
              <w:t>Step 3:</w:t>
            </w:r>
          </w:p>
          <w:p w14:paraId="2F7A250C" w14:textId="77777777" w:rsidR="003809B4" w:rsidRPr="003809B4" w:rsidRDefault="003809B4" w:rsidP="003809B4">
            <w:pPr>
              <w:pStyle w:val="IntroductionQuote"/>
              <w:rPr>
                <w:color w:val="FFFFFF" w:themeColor="background1"/>
                <w:sz w:val="22"/>
                <w:szCs w:val="22"/>
              </w:rPr>
            </w:pPr>
          </w:p>
          <w:p w14:paraId="7BEC176B" w14:textId="77777777" w:rsidR="003809B4" w:rsidRPr="003809B4" w:rsidRDefault="003809B4" w:rsidP="003809B4">
            <w:pPr>
              <w:pStyle w:val="IntroductionQuote"/>
              <w:rPr>
                <w:sz w:val="22"/>
                <w:szCs w:val="22"/>
              </w:rPr>
            </w:pPr>
            <w:r w:rsidRPr="003809B4">
              <w:rPr>
                <w:color w:val="FFFFFF" w:themeColor="background1"/>
                <w:sz w:val="22"/>
                <w:szCs w:val="22"/>
              </w:rPr>
              <w:t>Payment process</w:t>
            </w:r>
          </w:p>
        </w:tc>
        <w:tc>
          <w:tcPr>
            <w:tcW w:w="8323" w:type="dxa"/>
            <w:shd w:val="clear" w:color="auto" w:fill="FFFFFF" w:themeFill="background1"/>
            <w:hideMark/>
          </w:tcPr>
          <w:p w14:paraId="2B4B70D0" w14:textId="77777777" w:rsidR="003809B4" w:rsidRPr="003809B4" w:rsidRDefault="003809B4" w:rsidP="004021C2">
            <w:pPr>
              <w:pStyle w:val="IntroductionQuote"/>
              <w:numPr>
                <w:ilvl w:val="0"/>
                <w:numId w:val="21"/>
              </w:numPr>
              <w:spacing w:after="0"/>
              <w:cnfStyle w:val="000000100000" w:firstRow="0" w:lastRow="0" w:firstColumn="0" w:lastColumn="0" w:oddVBand="0" w:evenVBand="0" w:oddHBand="1" w:evenHBand="0" w:firstRowFirstColumn="0" w:firstRowLastColumn="0" w:lastRowFirstColumn="0" w:lastRowLastColumn="0"/>
              <w:rPr>
                <w:sz w:val="22"/>
                <w:szCs w:val="22"/>
              </w:rPr>
            </w:pPr>
            <w:r w:rsidRPr="003809B4">
              <w:rPr>
                <w:sz w:val="22"/>
                <w:szCs w:val="22"/>
              </w:rPr>
              <w:t xml:space="preserve">TILA payments are electronically transferred to the organisation’s specified bank account provided at the time of PRODA Business Hub registration, for you to assist the young person in the purchases. </w:t>
            </w:r>
          </w:p>
          <w:p w14:paraId="0833A8AB" w14:textId="77777777" w:rsidR="003809B4" w:rsidRPr="003809B4" w:rsidRDefault="003809B4" w:rsidP="004021C2">
            <w:pPr>
              <w:pStyle w:val="IntroductionQuote"/>
              <w:numPr>
                <w:ilvl w:val="0"/>
                <w:numId w:val="21"/>
              </w:numPr>
              <w:spacing w:after="0"/>
              <w:cnfStyle w:val="000000100000" w:firstRow="0" w:lastRow="0" w:firstColumn="0" w:lastColumn="0" w:oddVBand="0" w:evenVBand="0" w:oddHBand="1" w:evenHBand="0" w:firstRowFirstColumn="0" w:firstRowLastColumn="0" w:lastRowFirstColumn="0" w:lastRowLastColumn="0"/>
              <w:rPr>
                <w:sz w:val="22"/>
                <w:szCs w:val="22"/>
              </w:rPr>
            </w:pPr>
            <w:r w:rsidRPr="003809B4">
              <w:rPr>
                <w:sz w:val="22"/>
                <w:szCs w:val="22"/>
              </w:rPr>
              <w:t xml:space="preserve">The young person </w:t>
            </w:r>
            <w:r w:rsidRPr="003809B4">
              <w:rPr>
                <w:sz w:val="22"/>
                <w:szCs w:val="22"/>
                <w:u w:val="single"/>
              </w:rPr>
              <w:t>will not</w:t>
            </w:r>
            <w:r w:rsidRPr="003809B4">
              <w:rPr>
                <w:sz w:val="22"/>
                <w:szCs w:val="22"/>
              </w:rPr>
              <w:t xml:space="preserve"> receive the TILA payment themselves.</w:t>
            </w:r>
          </w:p>
          <w:p w14:paraId="40DA5813" w14:textId="77777777" w:rsidR="003809B4" w:rsidRPr="003809B4" w:rsidRDefault="003809B4" w:rsidP="004021C2">
            <w:pPr>
              <w:pStyle w:val="IntroductionQuote"/>
              <w:numPr>
                <w:ilvl w:val="0"/>
                <w:numId w:val="21"/>
              </w:numPr>
              <w:spacing w:after="0"/>
              <w:cnfStyle w:val="000000100000" w:firstRow="0" w:lastRow="0" w:firstColumn="0" w:lastColumn="0" w:oddVBand="0" w:evenVBand="0" w:oddHBand="1" w:evenHBand="0" w:firstRowFirstColumn="0" w:firstRowLastColumn="0" w:lastRowFirstColumn="0" w:lastRowLastColumn="0"/>
              <w:rPr>
                <w:sz w:val="22"/>
                <w:szCs w:val="22"/>
              </w:rPr>
            </w:pPr>
            <w:r w:rsidRPr="003809B4">
              <w:rPr>
                <w:sz w:val="22"/>
                <w:szCs w:val="22"/>
              </w:rPr>
              <w:t>TILA funds cannot be paid directly to the young person either electronically or in cash.</w:t>
            </w:r>
          </w:p>
          <w:p w14:paraId="1371B456" w14:textId="77777777" w:rsidR="003809B4" w:rsidRPr="003809B4" w:rsidRDefault="003809B4" w:rsidP="004021C2">
            <w:pPr>
              <w:pStyle w:val="IntroductionQuote"/>
              <w:numPr>
                <w:ilvl w:val="0"/>
                <w:numId w:val="21"/>
              </w:numPr>
              <w:spacing w:after="0"/>
              <w:cnfStyle w:val="000000100000" w:firstRow="0" w:lastRow="0" w:firstColumn="0" w:lastColumn="0" w:oddVBand="0" w:evenVBand="0" w:oddHBand="1" w:evenHBand="0" w:firstRowFirstColumn="0" w:firstRowLastColumn="0" w:lastRowFirstColumn="0" w:lastRowLastColumn="0"/>
              <w:rPr>
                <w:sz w:val="22"/>
                <w:szCs w:val="22"/>
              </w:rPr>
            </w:pPr>
            <w:r w:rsidRPr="003809B4">
              <w:rPr>
                <w:sz w:val="22"/>
                <w:szCs w:val="22"/>
              </w:rPr>
              <w:t>If Services Australia is unable to match the young person to an existing Services Australia customer record, staff from Services Australia will contact you for further information.</w:t>
            </w:r>
          </w:p>
          <w:p w14:paraId="0C1FFC25" w14:textId="77777777" w:rsidR="003809B4" w:rsidRPr="003809B4" w:rsidRDefault="003809B4" w:rsidP="004021C2">
            <w:pPr>
              <w:pStyle w:val="IntroductionQuote"/>
              <w:numPr>
                <w:ilvl w:val="0"/>
                <w:numId w:val="21"/>
              </w:numPr>
              <w:spacing w:after="0"/>
              <w:cnfStyle w:val="000000100000" w:firstRow="0" w:lastRow="0" w:firstColumn="0" w:lastColumn="0" w:oddVBand="0" w:evenVBand="0" w:oddHBand="1" w:evenHBand="0" w:firstRowFirstColumn="0" w:firstRowLastColumn="0" w:lastRowFirstColumn="0" w:lastRowLastColumn="0"/>
              <w:rPr>
                <w:sz w:val="22"/>
                <w:szCs w:val="22"/>
              </w:rPr>
            </w:pPr>
            <w:r w:rsidRPr="003809B4">
              <w:rPr>
                <w:sz w:val="22"/>
                <w:szCs w:val="22"/>
              </w:rPr>
              <w:lastRenderedPageBreak/>
              <w:t xml:space="preserve">Once the application has been processed, Services Australia will issue a payment advice letter. </w:t>
            </w:r>
          </w:p>
          <w:p w14:paraId="4218D40F" w14:textId="77777777" w:rsidR="003809B4" w:rsidRPr="003809B4" w:rsidRDefault="003809B4" w:rsidP="004021C2">
            <w:pPr>
              <w:pStyle w:val="IntroductionQuote"/>
              <w:numPr>
                <w:ilvl w:val="0"/>
                <w:numId w:val="21"/>
              </w:numPr>
              <w:spacing w:after="0"/>
              <w:cnfStyle w:val="000000100000" w:firstRow="0" w:lastRow="0" w:firstColumn="0" w:lastColumn="0" w:oddVBand="0" w:evenVBand="0" w:oddHBand="1" w:evenHBand="0" w:firstRowFirstColumn="0" w:firstRowLastColumn="0" w:lastRowFirstColumn="0" w:lastRowLastColumn="0"/>
              <w:rPr>
                <w:sz w:val="22"/>
                <w:szCs w:val="22"/>
              </w:rPr>
            </w:pPr>
            <w:r w:rsidRPr="003809B4">
              <w:rPr>
                <w:sz w:val="22"/>
                <w:szCs w:val="22"/>
              </w:rPr>
              <w:t>Please allow up to five (5) working days for the application to be processed and longer for a response letter to reach the young person’s nominated mailing address.</w:t>
            </w:r>
          </w:p>
          <w:p w14:paraId="4D8C1B44" w14:textId="77777777" w:rsidR="003809B4" w:rsidRPr="003809B4" w:rsidRDefault="003809B4" w:rsidP="003809B4">
            <w:pPr>
              <w:pStyle w:val="IntroductionQuote"/>
              <w:cnfStyle w:val="000000100000" w:firstRow="0" w:lastRow="0" w:firstColumn="0" w:lastColumn="0" w:oddVBand="0" w:evenVBand="0" w:oddHBand="1" w:evenHBand="0" w:firstRowFirstColumn="0" w:firstRowLastColumn="0" w:lastRowFirstColumn="0" w:lastRowLastColumn="0"/>
              <w:rPr>
                <w:sz w:val="22"/>
                <w:szCs w:val="22"/>
              </w:rPr>
            </w:pPr>
            <w:r w:rsidRPr="003809B4">
              <w:rPr>
                <w:sz w:val="22"/>
                <w:szCs w:val="22"/>
              </w:rPr>
              <w:t xml:space="preserve">If the amount claimed will exceed the young person’s TILA limit, Services Australia will issue payment of the remaining balance. </w:t>
            </w:r>
          </w:p>
        </w:tc>
      </w:tr>
    </w:tbl>
    <w:p w14:paraId="554002ED" w14:textId="77777777" w:rsidR="003809B4" w:rsidRPr="003809B4" w:rsidRDefault="003809B4" w:rsidP="003809B4">
      <w:pPr>
        <w:pStyle w:val="IntroductionQuote"/>
        <w:rPr>
          <w:sz w:val="22"/>
          <w:szCs w:val="22"/>
        </w:rPr>
      </w:pPr>
    </w:p>
    <w:p w14:paraId="13BD2893" w14:textId="77777777" w:rsidR="003809B4" w:rsidRPr="003809B4" w:rsidRDefault="003809B4" w:rsidP="003809B4">
      <w:pPr>
        <w:pStyle w:val="IntroductionQuote"/>
        <w:rPr>
          <w:sz w:val="22"/>
          <w:szCs w:val="22"/>
        </w:rPr>
      </w:pPr>
      <w:r w:rsidRPr="003809B4">
        <w:rPr>
          <w:sz w:val="22"/>
          <w:szCs w:val="22"/>
        </w:rPr>
        <w:t>Once the TILA claim has been submitted in the PRODA Business Hub, Services Australia will:</w:t>
      </w:r>
    </w:p>
    <w:p w14:paraId="5ACA4726" w14:textId="77777777" w:rsidR="003809B4" w:rsidRPr="003809B4" w:rsidRDefault="003809B4" w:rsidP="005D7325">
      <w:pPr>
        <w:pStyle w:val="IntroductionQuote"/>
        <w:numPr>
          <w:ilvl w:val="0"/>
          <w:numId w:val="22"/>
        </w:numPr>
        <w:spacing w:after="0"/>
        <w:rPr>
          <w:sz w:val="22"/>
          <w:szCs w:val="22"/>
        </w:rPr>
      </w:pPr>
      <w:r w:rsidRPr="003809B4">
        <w:rPr>
          <w:sz w:val="22"/>
          <w:szCs w:val="22"/>
        </w:rPr>
        <w:t>match the young person to their existing Services Australia record</w:t>
      </w:r>
    </w:p>
    <w:p w14:paraId="1D185C0A" w14:textId="77777777" w:rsidR="003809B4" w:rsidRPr="003809B4" w:rsidRDefault="003809B4" w:rsidP="005D7325">
      <w:pPr>
        <w:pStyle w:val="IntroductionQuote"/>
        <w:numPr>
          <w:ilvl w:val="0"/>
          <w:numId w:val="22"/>
        </w:numPr>
        <w:spacing w:after="0"/>
        <w:rPr>
          <w:sz w:val="22"/>
          <w:szCs w:val="22"/>
        </w:rPr>
      </w:pPr>
      <w:r w:rsidRPr="003809B4">
        <w:rPr>
          <w:sz w:val="22"/>
          <w:szCs w:val="22"/>
        </w:rPr>
        <w:t xml:space="preserve">check whether the young person has already been paid $1,500 of TILA </w:t>
      </w:r>
    </w:p>
    <w:p w14:paraId="4A8FC04D" w14:textId="77777777" w:rsidR="003809B4" w:rsidRPr="003809B4" w:rsidRDefault="003809B4" w:rsidP="005D7325">
      <w:pPr>
        <w:pStyle w:val="IntroductionQuote"/>
        <w:numPr>
          <w:ilvl w:val="0"/>
          <w:numId w:val="22"/>
        </w:numPr>
        <w:spacing w:after="0"/>
        <w:rPr>
          <w:sz w:val="22"/>
          <w:szCs w:val="22"/>
        </w:rPr>
      </w:pPr>
      <w:r w:rsidRPr="003809B4">
        <w:rPr>
          <w:sz w:val="22"/>
          <w:szCs w:val="22"/>
        </w:rPr>
        <w:t>check whether issuing the approved amount of TILA in the claim, it will exceed the TILA limit of $1,500.</w:t>
      </w:r>
    </w:p>
    <w:p w14:paraId="07D12D8E" w14:textId="150C4833" w:rsidR="003809B4" w:rsidRPr="003809B4" w:rsidRDefault="003809B4" w:rsidP="00190AF0">
      <w:pPr>
        <w:pStyle w:val="Heading2"/>
      </w:pPr>
      <w:r w:rsidRPr="003809B4">
        <w:t xml:space="preserve">Purchase process </w:t>
      </w:r>
    </w:p>
    <w:p w14:paraId="7ECD636B" w14:textId="77777777" w:rsidR="003809B4" w:rsidRPr="003809B4" w:rsidRDefault="003809B4" w:rsidP="003809B4">
      <w:pPr>
        <w:pStyle w:val="IntroductionQuote"/>
        <w:rPr>
          <w:sz w:val="22"/>
          <w:szCs w:val="22"/>
        </w:rPr>
      </w:pPr>
      <w:r w:rsidRPr="003809B4">
        <w:rPr>
          <w:sz w:val="22"/>
          <w:szCs w:val="22"/>
        </w:rPr>
        <w:t xml:space="preserve">You are to purchase the agreed items and services for the young person and the receipts of the items purchased with TILA are not required to be submitted to the Australian Government. You are to monitor the use of TILA funds for the young person and maintain appropriate records. </w:t>
      </w:r>
      <w:bookmarkStart w:id="2" w:name="_Toc338837586"/>
      <w:bookmarkStart w:id="3" w:name="_Toc338837760"/>
      <w:bookmarkStart w:id="4" w:name="_Toc338837587"/>
      <w:bookmarkStart w:id="5" w:name="_Toc338837761"/>
      <w:bookmarkStart w:id="6" w:name="_Toc338837588"/>
      <w:bookmarkStart w:id="7" w:name="_Toc338837762"/>
      <w:bookmarkStart w:id="8" w:name="_Toc338837589"/>
      <w:bookmarkStart w:id="9" w:name="_Toc338837763"/>
      <w:bookmarkStart w:id="10" w:name="_Toc338837590"/>
      <w:bookmarkStart w:id="11" w:name="_Toc338837764"/>
      <w:bookmarkStart w:id="12" w:name="_Toc338837591"/>
      <w:bookmarkStart w:id="13" w:name="_Toc338837765"/>
      <w:bookmarkStart w:id="14" w:name="_Toc338837592"/>
      <w:bookmarkStart w:id="15" w:name="_Toc338837766"/>
      <w:bookmarkStart w:id="16" w:name="_Toc338837593"/>
      <w:bookmarkStart w:id="17" w:name="_Toc338837767"/>
      <w:bookmarkStart w:id="18" w:name="_Toc338837594"/>
      <w:bookmarkStart w:id="19" w:name="_Toc338837768"/>
      <w:bookmarkStart w:id="20" w:name="_Toc338837595"/>
      <w:bookmarkStart w:id="21" w:name="_Toc338837769"/>
      <w:bookmarkStart w:id="22" w:name="_Toc338837596"/>
      <w:bookmarkStart w:id="23" w:name="_Toc338837770"/>
      <w:bookmarkStart w:id="24" w:name="_Toc338837597"/>
      <w:bookmarkStart w:id="25" w:name="_Toc338837771"/>
      <w:bookmarkStart w:id="26" w:name="_Toc338837598"/>
      <w:bookmarkStart w:id="27" w:name="_Toc338837772"/>
      <w:bookmarkStart w:id="28" w:name="_Toc338837599"/>
      <w:bookmarkStart w:id="29" w:name="_Toc338837773"/>
      <w:bookmarkStart w:id="30" w:name="_Toc338837600"/>
      <w:bookmarkStart w:id="31" w:name="_Toc338837774"/>
      <w:bookmarkStart w:id="32" w:name="_Toc338837601"/>
      <w:bookmarkStart w:id="33" w:name="_Toc338837775"/>
      <w:bookmarkStart w:id="34" w:name="_Toc338837602"/>
      <w:bookmarkStart w:id="35" w:name="_Toc338837776"/>
      <w:bookmarkStart w:id="36" w:name="_Toc338837603"/>
      <w:bookmarkStart w:id="37" w:name="_Toc338837777"/>
      <w:bookmarkStart w:id="38" w:name="_Toc338837604"/>
      <w:bookmarkStart w:id="39" w:name="_Toc338837778"/>
      <w:bookmarkStart w:id="40" w:name="_Toc338837605"/>
      <w:bookmarkStart w:id="41" w:name="_Toc338837779"/>
      <w:bookmarkStart w:id="42" w:name="_Toc338837606"/>
      <w:bookmarkStart w:id="43" w:name="_Toc338837780"/>
      <w:bookmarkStart w:id="44" w:name="_Toc338837607"/>
      <w:bookmarkStart w:id="45" w:name="_Toc338837781"/>
      <w:bookmarkStart w:id="46" w:name="_Toc338837608"/>
      <w:bookmarkStart w:id="47" w:name="_Toc338837782"/>
      <w:bookmarkStart w:id="48" w:name="_Toc338837609"/>
      <w:bookmarkStart w:id="49" w:name="_Toc338837783"/>
      <w:bookmarkStart w:id="50" w:name="_Toc338837610"/>
      <w:bookmarkStart w:id="51" w:name="_Toc338837784"/>
      <w:bookmarkStart w:id="52" w:name="_Toc338837611"/>
      <w:bookmarkStart w:id="53" w:name="_Toc338837785"/>
      <w:bookmarkStart w:id="54" w:name="_Toc338837612"/>
      <w:bookmarkStart w:id="55" w:name="_Toc338837786"/>
      <w:bookmarkStart w:id="56" w:name="_Toc338837613"/>
      <w:bookmarkStart w:id="57" w:name="_Toc338837787"/>
      <w:bookmarkStart w:id="58" w:name="_Toc338837614"/>
      <w:bookmarkStart w:id="59" w:name="_Toc338837788"/>
      <w:bookmarkStart w:id="60" w:name="_Toc338837615"/>
      <w:bookmarkStart w:id="61" w:name="_Toc338837789"/>
      <w:bookmarkStart w:id="62" w:name="_Toc338837616"/>
      <w:bookmarkStart w:id="63" w:name="_Toc338837790"/>
      <w:bookmarkStart w:id="64" w:name="_Toc338837617"/>
      <w:bookmarkStart w:id="65" w:name="_Toc338837791"/>
      <w:bookmarkStart w:id="66" w:name="_Toc338837618"/>
      <w:bookmarkStart w:id="67" w:name="_Toc338837792"/>
      <w:bookmarkStart w:id="68" w:name="_Toc338837619"/>
      <w:bookmarkStart w:id="69" w:name="_Toc338837793"/>
      <w:bookmarkStart w:id="70" w:name="_Toc338837620"/>
      <w:bookmarkStart w:id="71" w:name="_Toc338837794"/>
      <w:bookmarkStart w:id="72" w:name="_Toc338837621"/>
      <w:bookmarkStart w:id="73" w:name="_Toc338837795"/>
      <w:bookmarkStart w:id="74" w:name="_Toc338837622"/>
      <w:bookmarkStart w:id="75" w:name="_Toc338837796"/>
      <w:bookmarkStart w:id="76" w:name="_Toc338837623"/>
      <w:bookmarkStart w:id="77" w:name="_Toc338837797"/>
      <w:bookmarkStart w:id="78" w:name="_Toc338837624"/>
      <w:bookmarkStart w:id="79" w:name="_Toc338837798"/>
      <w:bookmarkStart w:id="80" w:name="_Toc338837625"/>
      <w:bookmarkStart w:id="81" w:name="_Toc338837799"/>
      <w:bookmarkStart w:id="82" w:name="_Toc338837626"/>
      <w:bookmarkStart w:id="83" w:name="_Toc338837800"/>
      <w:bookmarkStart w:id="84" w:name="_Toc338837627"/>
      <w:bookmarkStart w:id="85" w:name="_Toc338837801"/>
      <w:bookmarkStart w:id="86" w:name="_Toc338837628"/>
      <w:bookmarkStart w:id="87" w:name="_Toc338837802"/>
      <w:bookmarkStart w:id="88" w:name="_Toc338837629"/>
      <w:bookmarkStart w:id="89" w:name="_Toc338837803"/>
      <w:bookmarkStart w:id="90" w:name="_Toc338837630"/>
      <w:bookmarkStart w:id="91" w:name="_Toc338837804"/>
      <w:bookmarkStart w:id="92" w:name="_Toc338837631"/>
      <w:bookmarkStart w:id="93" w:name="_Toc338837805"/>
      <w:bookmarkStart w:id="94" w:name="_Toc338837632"/>
      <w:bookmarkStart w:id="95" w:name="_Toc338837806"/>
      <w:bookmarkStart w:id="96" w:name="_Toc338837633"/>
      <w:bookmarkStart w:id="97" w:name="_Toc338837807"/>
      <w:bookmarkStart w:id="98" w:name="_Toc338837634"/>
      <w:bookmarkStart w:id="99" w:name="_Toc338837808"/>
      <w:bookmarkStart w:id="100" w:name="_Toc338837635"/>
      <w:bookmarkStart w:id="101" w:name="_Toc338837809"/>
      <w:bookmarkStart w:id="102" w:name="_Toc338837636"/>
      <w:bookmarkStart w:id="103" w:name="_Toc338837810"/>
      <w:bookmarkStart w:id="104" w:name="_Toc338837637"/>
      <w:bookmarkStart w:id="105" w:name="_Toc338837811"/>
      <w:bookmarkStart w:id="106" w:name="_Toc338837638"/>
      <w:bookmarkStart w:id="107" w:name="_Toc338837812"/>
      <w:bookmarkStart w:id="108" w:name="_Toc338837639"/>
      <w:bookmarkStart w:id="109" w:name="_Toc338837813"/>
      <w:bookmarkStart w:id="110" w:name="_Toc338837640"/>
      <w:bookmarkStart w:id="111" w:name="_Toc338837814"/>
      <w:bookmarkStart w:id="112" w:name="_Toc338837641"/>
      <w:bookmarkStart w:id="113" w:name="_Toc338837815"/>
      <w:bookmarkStart w:id="114" w:name="_Toc36900504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286C00F9" w14:textId="77777777" w:rsidR="003809B4" w:rsidRPr="003809B4" w:rsidRDefault="003809B4" w:rsidP="005C7C10">
      <w:pPr>
        <w:pStyle w:val="Heading2"/>
      </w:pPr>
      <w:r w:rsidRPr="003809B4">
        <w:t>Record keeping process</w:t>
      </w:r>
    </w:p>
    <w:p w14:paraId="526E2919" w14:textId="77777777" w:rsidR="003809B4" w:rsidRPr="003809B4" w:rsidRDefault="003809B4" w:rsidP="003809B4">
      <w:pPr>
        <w:pStyle w:val="IntroductionQuote"/>
        <w:rPr>
          <w:sz w:val="22"/>
          <w:szCs w:val="22"/>
        </w:rPr>
      </w:pPr>
      <w:r w:rsidRPr="003809B4">
        <w:rPr>
          <w:sz w:val="22"/>
          <w:szCs w:val="22"/>
        </w:rPr>
        <w:t>For auditing purposes, please ensure you keep records for future reference of the TILA application form, leaving care plan and notes of discussions and actions for the application.</w:t>
      </w:r>
      <w:bookmarkEnd w:id="0"/>
    </w:p>
    <w:sectPr w:rsidR="003809B4" w:rsidRPr="003809B4" w:rsidSect="002E0DD3">
      <w:type w:val="continuous"/>
      <w:pgSz w:w="11906" w:h="16838"/>
      <w:pgMar w:top="851" w:right="851" w:bottom="851"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F815E" w14:textId="77777777" w:rsidR="007565E1" w:rsidRDefault="007565E1" w:rsidP="008F3023">
      <w:pPr>
        <w:spacing w:after="0" w:line="240" w:lineRule="auto"/>
      </w:pPr>
      <w:r>
        <w:separator/>
      </w:r>
    </w:p>
  </w:endnote>
  <w:endnote w:type="continuationSeparator" w:id="0">
    <w:p w14:paraId="79EB49AB" w14:textId="77777777" w:rsidR="007565E1" w:rsidRDefault="007565E1" w:rsidP="008F3023">
      <w:pPr>
        <w:spacing w:after="0" w:line="240" w:lineRule="auto"/>
      </w:pPr>
      <w:r>
        <w:continuationSeparator/>
      </w:r>
    </w:p>
  </w:endnote>
  <w:endnote w:type="continuationNotice" w:id="1">
    <w:p w14:paraId="18AB1C87" w14:textId="77777777" w:rsidR="007565E1" w:rsidRDefault="00756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F9888" w14:textId="77777777" w:rsidR="008009CA" w:rsidRDefault="008009CA" w:rsidP="00D86E50">
    <w:pPr>
      <w:tabs>
        <w:tab w:val="left" w:pos="3040"/>
      </w:tabs>
      <w:jc w:val="center"/>
    </w:pPr>
    <w:r>
      <w:rPr>
        <w:noProof/>
        <w:color w:val="2B579A"/>
        <w:shd w:val="clear" w:color="auto" w:fill="E6E6E6"/>
        <w:lang w:eastAsia="en-AU"/>
      </w:rPr>
      <w:drawing>
        <wp:anchor distT="0" distB="0" distL="114300" distR="114300" simplePos="0" relativeHeight="251658240" behindDoc="1" locked="0" layoutInCell="1" allowOverlap="1" wp14:anchorId="67064BF6" wp14:editId="779D1992">
          <wp:simplePos x="0" y="0"/>
          <wp:positionH relativeFrom="page">
            <wp:posOffset>34945</wp:posOffset>
          </wp:positionH>
          <wp:positionV relativeFrom="page">
            <wp:align>bottom</wp:align>
          </wp:positionV>
          <wp:extent cx="7574400" cy="1184400"/>
          <wp:effectExtent l="0" t="0" r="762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84400"/>
                  </a:xfrm>
                  <a:prstGeom prst="rect">
                    <a:avLst/>
                  </a:prstGeom>
                </pic:spPr>
              </pic:pic>
            </a:graphicData>
          </a:graphic>
          <wp14:sizeRelH relativeFrom="page">
            <wp14:pctWidth>0</wp14:pctWidth>
          </wp14:sizeRelH>
          <wp14:sizeRelV relativeFrom="page">
            <wp14:pctHeight>0</wp14:pctHeight>
          </wp14:sizeRelV>
        </wp:anchor>
      </w:drawing>
    </w:r>
    <w:sdt>
      <w:sdtPr>
        <w:rPr>
          <w:color w:val="2B579A"/>
          <w:shd w:val="clear" w:color="auto" w:fill="E6E6E6"/>
        </w:rPr>
        <w:id w:val="95303039"/>
        <w:docPartObj>
          <w:docPartGallery w:val="Page Numbers (Bottom of Page)"/>
          <w:docPartUnique/>
        </w:docPartObj>
      </w:sdtPr>
      <w:sdtEndPr>
        <w:rPr>
          <w:noProof/>
          <w:color w:val="auto"/>
          <w:shd w:val="clear" w:color="auto" w:fill="auto"/>
        </w:rPr>
      </w:sdtEndPr>
      <w:sdtContent/>
    </w:sdt>
  </w:p>
  <w:p w14:paraId="7A2B9689" w14:textId="77777777"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037E6" w14:textId="77777777" w:rsidR="007565E1" w:rsidRDefault="007565E1" w:rsidP="008F3023">
      <w:pPr>
        <w:spacing w:after="0" w:line="240" w:lineRule="auto"/>
      </w:pPr>
      <w:r>
        <w:separator/>
      </w:r>
    </w:p>
  </w:footnote>
  <w:footnote w:type="continuationSeparator" w:id="0">
    <w:p w14:paraId="7CE0A931" w14:textId="77777777" w:rsidR="007565E1" w:rsidRDefault="007565E1" w:rsidP="008F3023">
      <w:pPr>
        <w:spacing w:after="0" w:line="240" w:lineRule="auto"/>
      </w:pPr>
      <w:r>
        <w:continuationSeparator/>
      </w:r>
    </w:p>
  </w:footnote>
  <w:footnote w:type="continuationNotice" w:id="1">
    <w:p w14:paraId="7471891A" w14:textId="77777777" w:rsidR="007565E1" w:rsidRDefault="007565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0C6CC" w14:textId="77777777" w:rsidR="008009CA" w:rsidRDefault="008009CA" w:rsidP="000E29D7">
    <w:pPr>
      <w:pStyle w:val="Header"/>
    </w:pPr>
    <w:r>
      <w:rPr>
        <w:noProof/>
        <w:shd w:val="clear" w:color="auto" w:fill="E6E6E6"/>
        <w:lang w:eastAsia="en-AU"/>
      </w:rPr>
      <w:drawing>
        <wp:anchor distT="0" distB="0" distL="114300" distR="114300" simplePos="0" relativeHeight="251658241" behindDoc="1" locked="0" layoutInCell="1" allowOverlap="1" wp14:anchorId="09F3F710" wp14:editId="6F59E72B">
          <wp:simplePos x="0" y="0"/>
          <wp:positionH relativeFrom="page">
            <wp:align>left</wp:align>
          </wp:positionH>
          <wp:positionV relativeFrom="page">
            <wp:align>bottom</wp:align>
          </wp:positionV>
          <wp:extent cx="7563600" cy="1184400"/>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18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74D88" w14:textId="77777777" w:rsidR="008009CA" w:rsidRDefault="008009CA" w:rsidP="000E2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DF057C3"/>
    <w:multiLevelType w:val="multilevel"/>
    <w:tmpl w:val="9FDEB948"/>
    <w:numStyleLink w:val="DSSBulletList"/>
  </w:abstractNum>
  <w:abstractNum w:abstractNumId="3"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7D605F"/>
    <w:multiLevelType w:val="hybridMultilevel"/>
    <w:tmpl w:val="ABBE49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44FF5"/>
    <w:multiLevelType w:val="hybridMultilevel"/>
    <w:tmpl w:val="82A8D6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3F4A2947"/>
    <w:multiLevelType w:val="hybridMultilevel"/>
    <w:tmpl w:val="139C8496"/>
    <w:lvl w:ilvl="0" w:tplc="D9065A0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47223805"/>
    <w:multiLevelType w:val="multilevel"/>
    <w:tmpl w:val="9FDEB948"/>
    <w:numStyleLink w:val="DSSBulletList"/>
  </w:abstractNum>
  <w:abstractNum w:abstractNumId="13" w15:restartNumberingAfterBreak="0">
    <w:nsid w:val="49824738"/>
    <w:multiLevelType w:val="multilevel"/>
    <w:tmpl w:val="9FDEB948"/>
    <w:numStyleLink w:val="DSSBulletList"/>
  </w:abstractNum>
  <w:abstractNum w:abstractNumId="14" w15:restartNumberingAfterBreak="0">
    <w:nsid w:val="51544687"/>
    <w:multiLevelType w:val="multilevel"/>
    <w:tmpl w:val="880CBA7E"/>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8B3FAA"/>
    <w:multiLevelType w:val="hybridMultilevel"/>
    <w:tmpl w:val="B91CFEF6"/>
    <w:lvl w:ilvl="0" w:tplc="D194BF5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697336C3"/>
    <w:multiLevelType w:val="hybridMultilevel"/>
    <w:tmpl w:val="301270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9" w15:restartNumberingAfterBreak="0">
    <w:nsid w:val="76074ECA"/>
    <w:multiLevelType w:val="multilevel"/>
    <w:tmpl w:val="9FDEB948"/>
    <w:numStyleLink w:val="DSSBulletList"/>
  </w:abstractNum>
  <w:abstractNum w:abstractNumId="20"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20"/>
  </w:num>
  <w:num w:numId="2" w16cid:durableId="603616384">
    <w:abstractNumId w:val="18"/>
  </w:num>
  <w:num w:numId="3" w16cid:durableId="1776898335">
    <w:abstractNumId w:val="1"/>
  </w:num>
  <w:num w:numId="4" w16cid:durableId="2095198095">
    <w:abstractNumId w:val="7"/>
  </w:num>
  <w:num w:numId="5" w16cid:durableId="1272399657">
    <w:abstractNumId w:val="15"/>
  </w:num>
  <w:num w:numId="6" w16cid:durableId="49574427">
    <w:abstractNumId w:val="6"/>
  </w:num>
  <w:num w:numId="7" w16cid:durableId="1516722866">
    <w:abstractNumId w:val="3"/>
  </w:num>
  <w:num w:numId="8" w16cid:durableId="164823704">
    <w:abstractNumId w:val="5"/>
  </w:num>
  <w:num w:numId="9" w16cid:durableId="1422482963">
    <w:abstractNumId w:val="14"/>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3"/>
  </w:num>
  <w:num w:numId="13" w16cid:durableId="1936858350">
    <w:abstractNumId w:val="4"/>
  </w:num>
  <w:num w:numId="14" w16cid:durableId="1314525174">
    <w:abstractNumId w:val="9"/>
  </w:num>
  <w:num w:numId="15" w16cid:durableId="843473068">
    <w:abstractNumId w:val="19"/>
  </w:num>
  <w:num w:numId="16" w16cid:durableId="287008484">
    <w:abstractNumId w:val="2"/>
  </w:num>
  <w:num w:numId="17" w16cid:durableId="2046100428">
    <w:abstractNumId w:val="12"/>
  </w:num>
  <w:num w:numId="18" w16cid:durableId="1704283454">
    <w:abstractNumId w:val="8"/>
  </w:num>
  <w:num w:numId="19" w16cid:durableId="1805733731">
    <w:abstractNumId w:val="16"/>
  </w:num>
  <w:num w:numId="20" w16cid:durableId="838235426">
    <w:abstractNumId w:val="10"/>
  </w:num>
  <w:num w:numId="21" w16cid:durableId="1880702334">
    <w:abstractNumId w:val="17"/>
  </w:num>
  <w:num w:numId="22" w16cid:durableId="157693436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E3"/>
    <w:rsid w:val="00003F94"/>
    <w:rsid w:val="000140B8"/>
    <w:rsid w:val="000317E3"/>
    <w:rsid w:val="00044684"/>
    <w:rsid w:val="00046C31"/>
    <w:rsid w:val="00054F5F"/>
    <w:rsid w:val="00064140"/>
    <w:rsid w:val="00065DCF"/>
    <w:rsid w:val="000750D2"/>
    <w:rsid w:val="00081610"/>
    <w:rsid w:val="00091ABE"/>
    <w:rsid w:val="000B5EF5"/>
    <w:rsid w:val="000B7D80"/>
    <w:rsid w:val="000C4A0F"/>
    <w:rsid w:val="000D0755"/>
    <w:rsid w:val="000D5965"/>
    <w:rsid w:val="000E29D7"/>
    <w:rsid w:val="000E6227"/>
    <w:rsid w:val="000E73CC"/>
    <w:rsid w:val="000F5B57"/>
    <w:rsid w:val="000F7266"/>
    <w:rsid w:val="000F75FC"/>
    <w:rsid w:val="001510D7"/>
    <w:rsid w:val="00153485"/>
    <w:rsid w:val="00157A93"/>
    <w:rsid w:val="00161696"/>
    <w:rsid w:val="0018153A"/>
    <w:rsid w:val="001900B2"/>
    <w:rsid w:val="00190AF0"/>
    <w:rsid w:val="001A7461"/>
    <w:rsid w:val="001C4603"/>
    <w:rsid w:val="001C64F8"/>
    <w:rsid w:val="001C7040"/>
    <w:rsid w:val="001D0F6D"/>
    <w:rsid w:val="001D6079"/>
    <w:rsid w:val="001D6D78"/>
    <w:rsid w:val="001E39FC"/>
    <w:rsid w:val="001E630D"/>
    <w:rsid w:val="001F6546"/>
    <w:rsid w:val="00201C6D"/>
    <w:rsid w:val="00214210"/>
    <w:rsid w:val="00216880"/>
    <w:rsid w:val="0022162B"/>
    <w:rsid w:val="002346B5"/>
    <w:rsid w:val="002408DC"/>
    <w:rsid w:val="00240A6E"/>
    <w:rsid w:val="00240F02"/>
    <w:rsid w:val="00242D59"/>
    <w:rsid w:val="002527B7"/>
    <w:rsid w:val="002532C0"/>
    <w:rsid w:val="0025756F"/>
    <w:rsid w:val="00262CDD"/>
    <w:rsid w:val="002642B1"/>
    <w:rsid w:val="00265257"/>
    <w:rsid w:val="00266B26"/>
    <w:rsid w:val="00267A25"/>
    <w:rsid w:val="0027075A"/>
    <w:rsid w:val="002755A4"/>
    <w:rsid w:val="00275EA9"/>
    <w:rsid w:val="00281DFB"/>
    <w:rsid w:val="00282835"/>
    <w:rsid w:val="00295934"/>
    <w:rsid w:val="002A5FB7"/>
    <w:rsid w:val="002B3CC6"/>
    <w:rsid w:val="002B7002"/>
    <w:rsid w:val="002E0DD3"/>
    <w:rsid w:val="002F2AD3"/>
    <w:rsid w:val="003021F2"/>
    <w:rsid w:val="003042A4"/>
    <w:rsid w:val="00311FC7"/>
    <w:rsid w:val="00314451"/>
    <w:rsid w:val="00331DEA"/>
    <w:rsid w:val="00335A14"/>
    <w:rsid w:val="00337926"/>
    <w:rsid w:val="00347FE0"/>
    <w:rsid w:val="00360364"/>
    <w:rsid w:val="00363FD6"/>
    <w:rsid w:val="0038044C"/>
    <w:rsid w:val="003809B4"/>
    <w:rsid w:val="003978F7"/>
    <w:rsid w:val="003A0D9B"/>
    <w:rsid w:val="003A70C3"/>
    <w:rsid w:val="003A7612"/>
    <w:rsid w:val="003B0D19"/>
    <w:rsid w:val="003B2BB8"/>
    <w:rsid w:val="003B6F90"/>
    <w:rsid w:val="003B7424"/>
    <w:rsid w:val="003C7303"/>
    <w:rsid w:val="003D34FF"/>
    <w:rsid w:val="003E0A57"/>
    <w:rsid w:val="003E10A6"/>
    <w:rsid w:val="003E2B62"/>
    <w:rsid w:val="0040002F"/>
    <w:rsid w:val="004021C2"/>
    <w:rsid w:val="00403055"/>
    <w:rsid w:val="00415B6C"/>
    <w:rsid w:val="004220FC"/>
    <w:rsid w:val="004243F2"/>
    <w:rsid w:val="004253A5"/>
    <w:rsid w:val="00431278"/>
    <w:rsid w:val="004354E6"/>
    <w:rsid w:val="00440CB8"/>
    <w:rsid w:val="00441FD7"/>
    <w:rsid w:val="0045365D"/>
    <w:rsid w:val="00471456"/>
    <w:rsid w:val="0047261D"/>
    <w:rsid w:val="00480D3E"/>
    <w:rsid w:val="00481EAA"/>
    <w:rsid w:val="004837A4"/>
    <w:rsid w:val="00490F3B"/>
    <w:rsid w:val="00491310"/>
    <w:rsid w:val="004A2151"/>
    <w:rsid w:val="004B54CA"/>
    <w:rsid w:val="004B653B"/>
    <w:rsid w:val="004D7310"/>
    <w:rsid w:val="004E5CBF"/>
    <w:rsid w:val="004E602A"/>
    <w:rsid w:val="004F77F4"/>
    <w:rsid w:val="0050098E"/>
    <w:rsid w:val="0050168B"/>
    <w:rsid w:val="005072B0"/>
    <w:rsid w:val="00513CB3"/>
    <w:rsid w:val="00515ED5"/>
    <w:rsid w:val="0051729F"/>
    <w:rsid w:val="00517AE4"/>
    <w:rsid w:val="00522101"/>
    <w:rsid w:val="005312DA"/>
    <w:rsid w:val="005368E3"/>
    <w:rsid w:val="00544A0A"/>
    <w:rsid w:val="0054621C"/>
    <w:rsid w:val="0054713E"/>
    <w:rsid w:val="00553508"/>
    <w:rsid w:val="005543A8"/>
    <w:rsid w:val="005638FD"/>
    <w:rsid w:val="00567053"/>
    <w:rsid w:val="00584FC1"/>
    <w:rsid w:val="00586246"/>
    <w:rsid w:val="005877DC"/>
    <w:rsid w:val="0059023E"/>
    <w:rsid w:val="00597852"/>
    <w:rsid w:val="005A7503"/>
    <w:rsid w:val="005A7913"/>
    <w:rsid w:val="005A7CD2"/>
    <w:rsid w:val="005B06DE"/>
    <w:rsid w:val="005B2DCB"/>
    <w:rsid w:val="005C3AA9"/>
    <w:rsid w:val="005C5548"/>
    <w:rsid w:val="005C5644"/>
    <w:rsid w:val="005C7C10"/>
    <w:rsid w:val="005D6069"/>
    <w:rsid w:val="005D7325"/>
    <w:rsid w:val="005E4DAE"/>
    <w:rsid w:val="005E6F55"/>
    <w:rsid w:val="005F2041"/>
    <w:rsid w:val="005F4B14"/>
    <w:rsid w:val="005F5EEF"/>
    <w:rsid w:val="00613437"/>
    <w:rsid w:val="00626821"/>
    <w:rsid w:val="00631A2C"/>
    <w:rsid w:val="0063297E"/>
    <w:rsid w:val="00643CDC"/>
    <w:rsid w:val="006555B8"/>
    <w:rsid w:val="00655B3F"/>
    <w:rsid w:val="00663C3A"/>
    <w:rsid w:val="00683BC0"/>
    <w:rsid w:val="00686716"/>
    <w:rsid w:val="00693D27"/>
    <w:rsid w:val="006A0A46"/>
    <w:rsid w:val="006A4CE7"/>
    <w:rsid w:val="006A7DD3"/>
    <w:rsid w:val="006B2D84"/>
    <w:rsid w:val="006C3D8F"/>
    <w:rsid w:val="006C574D"/>
    <w:rsid w:val="006D161A"/>
    <w:rsid w:val="006D2DA3"/>
    <w:rsid w:val="006D622A"/>
    <w:rsid w:val="006E4AF9"/>
    <w:rsid w:val="006F3D9C"/>
    <w:rsid w:val="007065F3"/>
    <w:rsid w:val="0073320E"/>
    <w:rsid w:val="00744CFE"/>
    <w:rsid w:val="00746215"/>
    <w:rsid w:val="007467FD"/>
    <w:rsid w:val="007565E1"/>
    <w:rsid w:val="00765A7C"/>
    <w:rsid w:val="00771F13"/>
    <w:rsid w:val="00785261"/>
    <w:rsid w:val="00791D12"/>
    <w:rsid w:val="007929FE"/>
    <w:rsid w:val="00795CEA"/>
    <w:rsid w:val="007A390A"/>
    <w:rsid w:val="007B0256"/>
    <w:rsid w:val="007C3D2E"/>
    <w:rsid w:val="007D1C2F"/>
    <w:rsid w:val="007D30A2"/>
    <w:rsid w:val="007E007C"/>
    <w:rsid w:val="007E3959"/>
    <w:rsid w:val="007E3B8B"/>
    <w:rsid w:val="008006FC"/>
    <w:rsid w:val="008009CA"/>
    <w:rsid w:val="00802726"/>
    <w:rsid w:val="0080363D"/>
    <w:rsid w:val="008063AF"/>
    <w:rsid w:val="00813D63"/>
    <w:rsid w:val="00815A31"/>
    <w:rsid w:val="0082068B"/>
    <w:rsid w:val="00831FDD"/>
    <w:rsid w:val="00837F4E"/>
    <w:rsid w:val="0084227C"/>
    <w:rsid w:val="0084343F"/>
    <w:rsid w:val="0084371F"/>
    <w:rsid w:val="0085088E"/>
    <w:rsid w:val="00850C04"/>
    <w:rsid w:val="008565DF"/>
    <w:rsid w:val="0085710F"/>
    <w:rsid w:val="00861027"/>
    <w:rsid w:val="00862EAA"/>
    <w:rsid w:val="00871AEF"/>
    <w:rsid w:val="00874643"/>
    <w:rsid w:val="00876CA6"/>
    <w:rsid w:val="00877018"/>
    <w:rsid w:val="008916D6"/>
    <w:rsid w:val="00891E2F"/>
    <w:rsid w:val="008B210B"/>
    <w:rsid w:val="008C3726"/>
    <w:rsid w:val="008D3758"/>
    <w:rsid w:val="008E0C72"/>
    <w:rsid w:val="008F1038"/>
    <w:rsid w:val="008F3023"/>
    <w:rsid w:val="008F5D58"/>
    <w:rsid w:val="009225F0"/>
    <w:rsid w:val="009229C4"/>
    <w:rsid w:val="0094563F"/>
    <w:rsid w:val="00946B15"/>
    <w:rsid w:val="00953F26"/>
    <w:rsid w:val="009548FF"/>
    <w:rsid w:val="00987714"/>
    <w:rsid w:val="00996415"/>
    <w:rsid w:val="009B26D3"/>
    <w:rsid w:val="009B5AB3"/>
    <w:rsid w:val="009B717B"/>
    <w:rsid w:val="009D2DF8"/>
    <w:rsid w:val="009D3CCB"/>
    <w:rsid w:val="009D4AC2"/>
    <w:rsid w:val="009F6D01"/>
    <w:rsid w:val="00A13549"/>
    <w:rsid w:val="00A35E42"/>
    <w:rsid w:val="00A43E66"/>
    <w:rsid w:val="00A4462B"/>
    <w:rsid w:val="00A4536B"/>
    <w:rsid w:val="00A51123"/>
    <w:rsid w:val="00A6317F"/>
    <w:rsid w:val="00A74769"/>
    <w:rsid w:val="00A7565C"/>
    <w:rsid w:val="00A80DE0"/>
    <w:rsid w:val="00A85365"/>
    <w:rsid w:val="00AA7226"/>
    <w:rsid w:val="00AB1B09"/>
    <w:rsid w:val="00AB62CC"/>
    <w:rsid w:val="00AD01EF"/>
    <w:rsid w:val="00AD627F"/>
    <w:rsid w:val="00AD6700"/>
    <w:rsid w:val="00AF205C"/>
    <w:rsid w:val="00AF77F3"/>
    <w:rsid w:val="00B023DA"/>
    <w:rsid w:val="00B10EA9"/>
    <w:rsid w:val="00B10EB1"/>
    <w:rsid w:val="00B1680A"/>
    <w:rsid w:val="00B246E8"/>
    <w:rsid w:val="00B25125"/>
    <w:rsid w:val="00B27B13"/>
    <w:rsid w:val="00B31D33"/>
    <w:rsid w:val="00B31E9D"/>
    <w:rsid w:val="00B36B86"/>
    <w:rsid w:val="00B37603"/>
    <w:rsid w:val="00B413E1"/>
    <w:rsid w:val="00B44F9B"/>
    <w:rsid w:val="00B6576E"/>
    <w:rsid w:val="00B71EDF"/>
    <w:rsid w:val="00B760FC"/>
    <w:rsid w:val="00B772ED"/>
    <w:rsid w:val="00B820CD"/>
    <w:rsid w:val="00B85379"/>
    <w:rsid w:val="00B8586C"/>
    <w:rsid w:val="00BA2DB9"/>
    <w:rsid w:val="00BA5842"/>
    <w:rsid w:val="00BA6A09"/>
    <w:rsid w:val="00BB03A8"/>
    <w:rsid w:val="00BC04D2"/>
    <w:rsid w:val="00BC0A30"/>
    <w:rsid w:val="00BC5AB7"/>
    <w:rsid w:val="00BC79CD"/>
    <w:rsid w:val="00BE0F6F"/>
    <w:rsid w:val="00BE32B9"/>
    <w:rsid w:val="00BE5938"/>
    <w:rsid w:val="00BE7148"/>
    <w:rsid w:val="00C027B8"/>
    <w:rsid w:val="00C10FE1"/>
    <w:rsid w:val="00C175D2"/>
    <w:rsid w:val="00C27ABB"/>
    <w:rsid w:val="00C36523"/>
    <w:rsid w:val="00C4058D"/>
    <w:rsid w:val="00C438A6"/>
    <w:rsid w:val="00C44576"/>
    <w:rsid w:val="00C53EA0"/>
    <w:rsid w:val="00C55DE7"/>
    <w:rsid w:val="00C57001"/>
    <w:rsid w:val="00C7347B"/>
    <w:rsid w:val="00C76B3D"/>
    <w:rsid w:val="00CA5D88"/>
    <w:rsid w:val="00CB718C"/>
    <w:rsid w:val="00CB74B3"/>
    <w:rsid w:val="00CC58D6"/>
    <w:rsid w:val="00CE0B04"/>
    <w:rsid w:val="00CE1CB4"/>
    <w:rsid w:val="00CE381E"/>
    <w:rsid w:val="00CE4A1F"/>
    <w:rsid w:val="00CF77DE"/>
    <w:rsid w:val="00D066BF"/>
    <w:rsid w:val="00D135EE"/>
    <w:rsid w:val="00D22A8A"/>
    <w:rsid w:val="00D2619A"/>
    <w:rsid w:val="00D2679A"/>
    <w:rsid w:val="00D40593"/>
    <w:rsid w:val="00D705E2"/>
    <w:rsid w:val="00D71C54"/>
    <w:rsid w:val="00D82FC0"/>
    <w:rsid w:val="00D83A7C"/>
    <w:rsid w:val="00D86E50"/>
    <w:rsid w:val="00D90D3C"/>
    <w:rsid w:val="00D91F38"/>
    <w:rsid w:val="00DA1B31"/>
    <w:rsid w:val="00DA33DB"/>
    <w:rsid w:val="00DA66C1"/>
    <w:rsid w:val="00DA7B4A"/>
    <w:rsid w:val="00DB012A"/>
    <w:rsid w:val="00DB145C"/>
    <w:rsid w:val="00DB33E4"/>
    <w:rsid w:val="00DC61A0"/>
    <w:rsid w:val="00DD6202"/>
    <w:rsid w:val="00DD68AB"/>
    <w:rsid w:val="00DF6274"/>
    <w:rsid w:val="00E301EA"/>
    <w:rsid w:val="00E30C3C"/>
    <w:rsid w:val="00E312EE"/>
    <w:rsid w:val="00E51EF1"/>
    <w:rsid w:val="00E643E0"/>
    <w:rsid w:val="00E708BB"/>
    <w:rsid w:val="00E761A2"/>
    <w:rsid w:val="00E82B90"/>
    <w:rsid w:val="00E858A7"/>
    <w:rsid w:val="00E86439"/>
    <w:rsid w:val="00E9285A"/>
    <w:rsid w:val="00E943B5"/>
    <w:rsid w:val="00E956B6"/>
    <w:rsid w:val="00E975C4"/>
    <w:rsid w:val="00EA550A"/>
    <w:rsid w:val="00EA66F0"/>
    <w:rsid w:val="00EB268B"/>
    <w:rsid w:val="00EB7949"/>
    <w:rsid w:val="00EC7AD6"/>
    <w:rsid w:val="00ED3F6A"/>
    <w:rsid w:val="00EE3834"/>
    <w:rsid w:val="00EE5D6C"/>
    <w:rsid w:val="00EE67D9"/>
    <w:rsid w:val="00EE68BA"/>
    <w:rsid w:val="00EF3823"/>
    <w:rsid w:val="00F00217"/>
    <w:rsid w:val="00F047F4"/>
    <w:rsid w:val="00F07D2D"/>
    <w:rsid w:val="00F12BA1"/>
    <w:rsid w:val="00F148C2"/>
    <w:rsid w:val="00F15211"/>
    <w:rsid w:val="00F212CF"/>
    <w:rsid w:val="00F30908"/>
    <w:rsid w:val="00F32AAD"/>
    <w:rsid w:val="00F3764A"/>
    <w:rsid w:val="00F37C38"/>
    <w:rsid w:val="00F42CAA"/>
    <w:rsid w:val="00F44F79"/>
    <w:rsid w:val="00F47F8D"/>
    <w:rsid w:val="00F77BC4"/>
    <w:rsid w:val="00F85669"/>
    <w:rsid w:val="00F90893"/>
    <w:rsid w:val="00F95B97"/>
    <w:rsid w:val="00FA1012"/>
    <w:rsid w:val="00FA7485"/>
    <w:rsid w:val="00FC143A"/>
    <w:rsid w:val="00FC3918"/>
    <w:rsid w:val="00FD2261"/>
    <w:rsid w:val="00FF1799"/>
    <w:rsid w:val="00FF5A0B"/>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01215"/>
  <w15:docId w15:val="{AB817D51-9C64-4D01-ABAF-3E6845DD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E0F6F"/>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semiHidden/>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0F6F"/>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0E29D7"/>
  </w:style>
  <w:style w:type="character" w:customStyle="1" w:styleId="HeaderChar">
    <w:name w:val="Header Char"/>
    <w:basedOn w:val="DefaultParagraphFont"/>
    <w:link w:val="Header"/>
    <w:uiPriority w:val="99"/>
    <w:semiHidden/>
    <w:rsid w:val="00BE0F6F"/>
    <w:rPr>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99"/>
    <w:unhideWhenUsed/>
    <w:qFormat/>
    <w:rsid w:val="009B26D3"/>
    <w:pPr>
      <w:ind w:left="714" w:hanging="357"/>
    </w:pPr>
  </w:style>
  <w:style w:type="paragraph" w:styleId="ListParagraph">
    <w:name w:val="List Paragraph"/>
    <w:basedOn w:val="Normal"/>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semiHidden/>
    <w:rsid w:val="00F047F4"/>
    <w:rPr>
      <w:color w:val="2B579A"/>
      <w:shd w:val="clear" w:color="auto" w:fill="E1DFDD"/>
    </w:rPr>
  </w:style>
  <w:style w:type="character" w:customStyle="1" w:styleId="Mention2">
    <w:name w:val="Mention2"/>
    <w:basedOn w:val="DefaultParagraphFont"/>
    <w:uiPriority w:val="99"/>
    <w:semiHidden/>
    <w:rsid w:val="002532C0"/>
    <w:rPr>
      <w:color w:val="2B579A"/>
      <w:shd w:val="clear" w:color="auto" w:fill="E6E6E6"/>
    </w:rPr>
  </w:style>
  <w:style w:type="paragraph" w:styleId="ListNumber">
    <w:name w:val="List Number"/>
    <w:basedOn w:val="Normal"/>
    <w:uiPriority w:val="99"/>
    <w:unhideWhenUsed/>
    <w:qFormat/>
    <w:rsid w:val="00BE0F6F"/>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table" w:styleId="GridTable5Dark-Accent5">
    <w:name w:val="Grid Table 5 Dark Accent 5"/>
    <w:basedOn w:val="TableNormal"/>
    <w:uiPriority w:val="50"/>
    <w:rsid w:val="003809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ED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5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5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5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542" w:themeFill="accent5"/>
      </w:tcPr>
    </w:tblStylePr>
    <w:tblStylePr w:type="band1Vert">
      <w:tblPr/>
      <w:tcPr>
        <w:shd w:val="clear" w:color="auto" w:fill="4DDBFF" w:themeFill="accent5" w:themeFillTint="66"/>
      </w:tcPr>
    </w:tblStylePr>
    <w:tblStylePr w:type="band1Horz">
      <w:tblPr/>
      <w:tcPr>
        <w:shd w:val="clear" w:color="auto" w:fill="4DDBFF" w:themeFill="accent5" w:themeFillTint="66"/>
      </w:tcPr>
    </w:tblStylePr>
  </w:style>
  <w:style w:type="table" w:styleId="GridTable5Dark-Accent6">
    <w:name w:val="Grid Table 5 Dark Accent 6"/>
    <w:basedOn w:val="TableNormal"/>
    <w:uiPriority w:val="50"/>
    <w:rsid w:val="005D73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B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C8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C8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C8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C82" w:themeFill="accent6"/>
      </w:tcPr>
    </w:tblStylePr>
    <w:tblStylePr w:type="band1Vert">
      <w:tblPr/>
      <w:tcPr>
        <w:shd w:val="clear" w:color="auto" w:fill="67F7FF" w:themeFill="accent6" w:themeFillTint="66"/>
      </w:tcPr>
    </w:tblStylePr>
    <w:tblStylePr w:type="band1Horz">
      <w:tblPr/>
      <w:tcPr>
        <w:shd w:val="clear" w:color="auto" w:fill="67F7FF"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19318711">
      <w:bodyDiv w:val="1"/>
      <w:marLeft w:val="0"/>
      <w:marRight w:val="0"/>
      <w:marTop w:val="0"/>
      <w:marBottom w:val="0"/>
      <w:divBdr>
        <w:top w:val="none" w:sz="0" w:space="0" w:color="auto"/>
        <w:left w:val="none" w:sz="0" w:space="0" w:color="auto"/>
        <w:bottom w:val="none" w:sz="0" w:space="0" w:color="auto"/>
        <w:right w:val="none" w:sz="0" w:space="0" w:color="auto"/>
      </w:divBdr>
    </w:div>
    <w:div w:id="8059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ss.gov.au/families-and-children/benefits-payments/transition-to-independent-living-allowance-tila/tila-application-form" TargetMode="External"/><Relationship Id="rId26" Type="http://schemas.openxmlformats.org/officeDocument/2006/relationships/hyperlink" Target="https://www.dss.gov.au/our-responsibilities/families-and-children/publications-articles/transitioning-from-out-of-home-care-to-independence-a-nationally-consistent-approach-to-planning-2011" TargetMode="External"/><Relationship Id="rId3" Type="http://schemas.openxmlformats.org/officeDocument/2006/relationships/customXml" Target="../customXml/item3.xml"/><Relationship Id="rId21" Type="http://schemas.openxmlformats.org/officeDocument/2006/relationships/hyperlink" Target="https://www.dss.gov.au/towards-adulthood/applying-transition-independent-living-allowance/eligibility-transition-independent-living-allowance?_gl=1*1dauyaa*_ga*NDIxMzkxNTQ1LjE3MjE2MTA3ODM.*_ga_9JJ1FJ00DK*MTczMzg3NDYxNi4xMDcuMS4xNzMzODc1NzQ2LjQ2LjAuM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s://www.servicesaustralia.gov.au/your-right-to-privacy?context=2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ss.gov.au/towards-adulthood/resource/transition-independent-living-allowance-tila-operational-guidelines" TargetMode="External"/><Relationship Id="rId20" Type="http://schemas.openxmlformats.org/officeDocument/2006/relationships/hyperlink" Target="https://www.dss.gov.au/our-responsibilities/families-and-children/benefits-payments/transition-to-independent-living-allowance-tila/tila-operational-guidelines" TargetMode="External"/><Relationship Id="rId29" Type="http://schemas.openxmlformats.org/officeDocument/2006/relationships/hyperlink" Target="https://www.dss.gov.au/families-and-children/benefits-payments/transition-to-independent-living-allowance-tila/tila-application-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ss.gov.au/using-our-website/privacy-polic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ila@dss.gov.au" TargetMode="External"/><Relationship Id="rId23" Type="http://schemas.openxmlformats.org/officeDocument/2006/relationships/hyperlink" Target="https://www.dss.gov.au/our-responsibilities/families-and-children/benefits-payments/transition-to-independent-living-allowance-tila/tila-operational-guidelines" TargetMode="External"/><Relationship Id="rId28" Type="http://schemas.openxmlformats.org/officeDocument/2006/relationships/hyperlink" Target="https://www.dss.gov.au/families-and-children-benefits-payments-transition-to-independent-living-allowance-tila/what-can-tila-be-used-for" TargetMode="External"/><Relationship Id="rId10" Type="http://schemas.openxmlformats.org/officeDocument/2006/relationships/endnotes" Target="endnotes.xml"/><Relationship Id="rId19" Type="http://schemas.openxmlformats.org/officeDocument/2006/relationships/hyperlink" Target="https://www.dss.gov.au/towards-adulthood/applying-transition-independent-living-allowance/eligibility-transition-independent-living-allowance?_gl=1*1dauyaa*_ga*NDIxMzkxNTQ1LjE3MjE2MTA3ODM.*_ga_9JJ1FJ00DK*MTczMzg3NDYxNi4xMDcuMS4xNzMzODc1NzQ2LjQ2LjAuMA.." TargetMode="External"/><Relationship Id="rId31" Type="http://schemas.openxmlformats.org/officeDocument/2006/relationships/hyperlink" Target="https://www.dss.gov.au/our-responsibilities/families-and-children/benefits-payments/transition-to-independent-living-allowance-tila/tila-operational-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ss.gov.au/towards-adulthood/applying-transition-independent-living-allowance/eligibility-transition-independent-living-allowance?_gl=1*1dauyaa*_ga*NDIxMzkxNTQ1LjE3MjE2MTA3ODM.*_ga_9JJ1FJ00DK*MTczMzg3NDYxNi4xMDcuMS4xNzMzODc1NzQ2LjQ2LjAuMA.." TargetMode="External"/><Relationship Id="rId27" Type="http://schemas.openxmlformats.org/officeDocument/2006/relationships/hyperlink" Target="https://www.dss.gov.au/towards-adulthood/applying-transition-independent-living-allowance/eligibility-transition-independent-living-allowance?_gl=1*1dauyaa*_ga*NDIxMzkxNTQ1LjE3MjE2MTA3ODM.*_ga_9JJ1FJ00DK*MTczMzg3NDYxNi4xMDcuMS4xNzMzODc1NzQ2LjQ2LjAuMA.." TargetMode="External"/><Relationship Id="rId30" Type="http://schemas.openxmlformats.org/officeDocument/2006/relationships/hyperlink" Target="https://www.dss.gov.au/towards-adulthood/applying-transition-independent-living-allow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servicesau.sharepoint.com/sites/OfficeTemplates/Shared%20Documents/DSS%20Templates/DSS%20-%20A4%20Fact%20Sheet%20Template.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6FF65C11D434B849394B55C1749B3" ma:contentTypeVersion="11" ma:contentTypeDescription="Create a new document." ma:contentTypeScope="" ma:versionID="2e93c427660f62ed1857611039e92307">
  <xsd:schema xmlns:xsd="http://www.w3.org/2001/XMLSchema" xmlns:xs="http://www.w3.org/2001/XMLSchema" xmlns:p="http://schemas.microsoft.com/office/2006/metadata/properties" xmlns:ns2="a7de5a0c-838e-4fa2-b328-8d94eb1863ff" xmlns:ns3="7407170d-51d3-4300-86b5-46709795e4a7" targetNamespace="http://schemas.microsoft.com/office/2006/metadata/properties" ma:root="true" ma:fieldsID="4e7785600457204d9fff10aa0470e169" ns2:_="" ns3:_="">
    <xsd:import namespace="a7de5a0c-838e-4fa2-b328-8d94eb1863ff"/>
    <xsd:import namespace="7407170d-51d3-4300-86b5-46709795e4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e5a0c-838e-4fa2-b328-8d94eb186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7170d-51d3-4300-86b5-46709795e4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2c5bf2-c0cd-4857-9401-0bc91054f31d}" ma:internalName="TaxCatchAll" ma:showField="CatchAllData" ma:web="7407170d-51d3-4300-86b5-46709795e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07170d-51d3-4300-86b5-46709795e4a7" xsi:nil="true"/>
    <lcf76f155ced4ddcb4097134ff3c332f xmlns="a7de5a0c-838e-4fa2-b328-8d94eb1863f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38300-2A56-4942-84D4-233154DE2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e5a0c-838e-4fa2-b328-8d94eb1863ff"/>
    <ds:schemaRef ds:uri="7407170d-51d3-4300-86b5-46709795e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3.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 ds:uri="7407170d-51d3-4300-86b5-46709795e4a7"/>
    <ds:schemaRef ds:uri="a7de5a0c-838e-4fa2-b328-8d94eb1863ff"/>
  </ds:schemaRefs>
</ds:datastoreItem>
</file>

<file path=customXml/itemProps4.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DSS%20-%20A4%20Fact%20Sheet%20Template</Template>
  <TotalTime>4</TotalTime>
  <Pages>4</Pages>
  <Words>1162</Words>
  <Characters>6111</Characters>
  <Application>Microsoft Office Word</Application>
  <DocSecurity>0</DocSecurity>
  <Lines>140</Lines>
  <Paragraphs>67</Paragraphs>
  <ScaleCrop>false</ScaleCrop>
  <HeadingPairs>
    <vt:vector size="2" baseType="variant">
      <vt:variant>
        <vt:lpstr>Title</vt:lpstr>
      </vt:variant>
      <vt:variant>
        <vt:i4>1</vt:i4>
      </vt:variant>
    </vt:vector>
  </HeadingPairs>
  <TitlesOfParts>
    <vt:vector size="1" baseType="lpstr">
      <vt:lpstr>DSS A4 Fact Sheet Template</vt:lpstr>
    </vt:vector>
  </TitlesOfParts>
  <Company>Department of Social Services</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Caseworkers - Transition to Independent Living Allowance (TILA)</dc:title>
  <dc:subject/>
  <cp:keywords>[SEC=OFFICIAL]</cp:keywords>
  <cp:lastModifiedBy>MCKELL, Karen</cp:lastModifiedBy>
  <cp:revision>5</cp:revision>
  <cp:lastPrinted>2025-03-19T00:43:00Z</cp:lastPrinted>
  <dcterms:created xsi:type="dcterms:W3CDTF">2025-03-19T00:42:00Z</dcterms:created>
  <dcterms:modified xsi:type="dcterms:W3CDTF">2025-03-20T00:56:00Z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89AA178AA5BE17FD93B0F4D11B751F0B9B7B6A78</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2487317CAC1A2AFF203565A7CCF0F925</vt:lpwstr>
  </property>
  <property fmtid="{D5CDD505-2E9C-101B-9397-08002B2CF9AE}" pid="21" name="PM_Hash_Salt">
    <vt:lpwstr>EB9AE8DABEE952A1FCBCA11D78F28977</vt:lpwstr>
  </property>
  <property fmtid="{D5CDD505-2E9C-101B-9397-08002B2CF9AE}" pid="22" name="PM_Hash_SHA1">
    <vt:lpwstr>30E667BF1C6203BC18E730D69F7E2F6E34592056</vt:lpwstr>
  </property>
  <property fmtid="{D5CDD505-2E9C-101B-9397-08002B2CF9AE}" pid="23" name="PM_OriginatorUserAccountName_SHA256">
    <vt:lpwstr>73AC4EAD9CE44ABE0D3975CCC32C94FA28991B0DAEA075717C6B657D5C5BAB9F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0x0101009E46FF65C11D434B849394B55C1749B3</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684662dc416645adbc46c19b8581dbda</vt:lpwstr>
  </property>
  <property fmtid="{D5CDD505-2E9C-101B-9397-08002B2CF9AE}" pid="35" name="MSIP_Label_eb34d90b-fc41-464d-af60-f74d721d0790_ContentBits">
    <vt:lpwstr>0</vt:lpwstr>
  </property>
  <property fmtid="{D5CDD505-2E9C-101B-9397-08002B2CF9AE}" pid="36" name="PMHMAC">
    <vt:lpwstr>v=2022.1;a=SHA256;h=165CA8630E5C0820A091CD10EDDF6CC929E9D230910C802F40F90BD44E295F61</vt:lpwstr>
  </property>
  <property fmtid="{D5CDD505-2E9C-101B-9397-08002B2CF9AE}" pid="37" name="PMUuid">
    <vt:lpwstr>v=2022.2;d=gov.au;g=46DD6D7C-8107-577B-BC6E-F348953B2E44</vt:lpwstr>
  </property>
</Properties>
</file>