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8FF7" w14:textId="396FDEA6" w:rsidR="00777128" w:rsidRDefault="00E10C6E" w:rsidP="00EC2FF6">
      <w:pPr>
        <w:pStyle w:val="Title"/>
        <w:tabs>
          <w:tab w:val="left" w:pos="2100"/>
        </w:tabs>
        <w:rPr>
          <w:rFonts w:eastAsia="Times New Roman"/>
          <w:lang w:eastAsia="en-AU"/>
        </w:rPr>
      </w:pPr>
      <w:r>
        <w:rPr>
          <w:rFonts w:eastAsia="Times New Roman"/>
          <w:noProof/>
          <w:lang w:eastAsia="en-AU"/>
        </w:rPr>
        <w:drawing>
          <wp:anchor distT="0" distB="0" distL="114300" distR="114300" simplePos="0" relativeHeight="251658240" behindDoc="1" locked="0" layoutInCell="1" allowOverlap="1" wp14:anchorId="56CC55F8" wp14:editId="5B893DD1">
            <wp:simplePos x="0" y="0"/>
            <wp:positionH relativeFrom="column">
              <wp:posOffset>-1033508</wp:posOffset>
            </wp:positionH>
            <wp:positionV relativeFrom="page">
              <wp:posOffset>-53975</wp:posOffset>
            </wp:positionV>
            <wp:extent cx="7625715" cy="10779125"/>
            <wp:effectExtent l="0" t="0" r="0" b="3175"/>
            <wp:wrapNone/>
            <wp:docPr id="2075037580"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37580" name="Picture 1" descr="Australian Government"/>
                    <pic:cNvPicPr/>
                  </pic:nvPicPr>
                  <pic:blipFill>
                    <a:blip r:embed="rId11">
                      <a:extLst>
                        <a:ext uri="{28A0092B-C50C-407E-A947-70E740481C1C}">
                          <a14:useLocalDpi xmlns:a14="http://schemas.microsoft.com/office/drawing/2010/main" val="0"/>
                        </a:ext>
                      </a:extLst>
                    </a:blip>
                    <a:stretch>
                      <a:fillRect/>
                    </a:stretch>
                  </pic:blipFill>
                  <pic:spPr>
                    <a:xfrm>
                      <a:off x="0" y="0"/>
                      <a:ext cx="7625715" cy="10779125"/>
                    </a:xfrm>
                    <a:prstGeom prst="rect">
                      <a:avLst/>
                    </a:prstGeom>
                  </pic:spPr>
                </pic:pic>
              </a:graphicData>
            </a:graphic>
            <wp14:sizeRelH relativeFrom="page">
              <wp14:pctWidth>0</wp14:pctWidth>
            </wp14:sizeRelH>
            <wp14:sizeRelV relativeFrom="page">
              <wp14:pctHeight>0</wp14:pctHeight>
            </wp14:sizeRelV>
          </wp:anchor>
        </w:drawing>
      </w:r>
    </w:p>
    <w:p w14:paraId="1742D5AA" w14:textId="77777777" w:rsidR="00E10C6E" w:rsidRDefault="00E10C6E" w:rsidP="00E10C6E">
      <w:pPr>
        <w:pStyle w:val="H-Title"/>
        <w:spacing w:line="240" w:lineRule="auto"/>
        <w:rPr>
          <w:sz w:val="86"/>
          <w:szCs w:val="86"/>
        </w:rPr>
      </w:pPr>
    </w:p>
    <w:p w14:paraId="37EADC5B" w14:textId="608CDE8E" w:rsidR="00E10C6E" w:rsidRPr="00E10C6E" w:rsidRDefault="00E10C6E" w:rsidP="00E10C6E">
      <w:pPr>
        <w:pStyle w:val="H-Title"/>
        <w:spacing w:line="240" w:lineRule="auto"/>
        <w:rPr>
          <w:color w:val="FF0000"/>
          <w:sz w:val="78"/>
          <w:szCs w:val="78"/>
        </w:rPr>
      </w:pPr>
      <w:r w:rsidRPr="00E10C6E">
        <w:rPr>
          <w:sz w:val="78"/>
          <w:szCs w:val="78"/>
        </w:rPr>
        <w:t>Ways of Working Statement</w:t>
      </w:r>
    </w:p>
    <w:p w14:paraId="481470FD" w14:textId="77777777" w:rsidR="00E10C6E" w:rsidRPr="00E10C6E" w:rsidRDefault="00E10C6E" w:rsidP="00E10C6E">
      <w:pPr>
        <w:pStyle w:val="Header1"/>
        <w:spacing w:line="240" w:lineRule="auto"/>
        <w:rPr>
          <w:color w:val="000000" w:themeColor="text1"/>
          <w:sz w:val="46"/>
          <w:szCs w:val="46"/>
        </w:rPr>
      </w:pPr>
      <w:r w:rsidRPr="00E10C6E">
        <w:rPr>
          <w:color w:val="000000" w:themeColor="text1"/>
          <w:sz w:val="46"/>
          <w:szCs w:val="46"/>
        </w:rPr>
        <w:t xml:space="preserve">An activity under the Community Sector </w:t>
      </w:r>
      <w:r w:rsidRPr="00E10C6E">
        <w:rPr>
          <w:color w:val="000000" w:themeColor="text1"/>
          <w:sz w:val="46"/>
          <w:szCs w:val="46"/>
        </w:rPr>
        <w:br/>
        <w:t>Grants Engagement Framework</w:t>
      </w:r>
    </w:p>
    <w:p w14:paraId="193BB22B" w14:textId="193596E7" w:rsidR="00E10C6E" w:rsidRDefault="00E10C6E" w:rsidP="00E10C6E">
      <w:pPr>
        <w:pStyle w:val="H-Title"/>
      </w:pPr>
    </w:p>
    <w:p w14:paraId="7556AF4F" w14:textId="66EFEDEB" w:rsidR="00E10C6E" w:rsidRDefault="00E10C6E" w:rsidP="00E10C6E">
      <w:pPr>
        <w:pStyle w:val="Title"/>
        <w:rPr>
          <w:rFonts w:eastAsia="Times New Roman"/>
          <w:lang w:eastAsia="en-AU"/>
        </w:rPr>
      </w:pPr>
      <w:r>
        <w:br w:type="page"/>
      </w:r>
      <w:r>
        <w:lastRenderedPageBreak/>
        <w:softHyphen/>
      </w:r>
      <w:r>
        <w:softHyphen/>
      </w:r>
      <w:r>
        <w:softHyphen/>
      </w:r>
      <w:r>
        <w:rPr>
          <w:rFonts w:eastAsia="Times New Roman"/>
          <w:lang w:eastAsia="en-AU"/>
        </w:rPr>
        <w:t>W</w:t>
      </w:r>
      <w:r w:rsidRPr="00CD0A8D">
        <w:rPr>
          <w:rFonts w:eastAsia="Times New Roman"/>
          <w:lang w:eastAsia="en-AU"/>
        </w:rPr>
        <w:t xml:space="preserve">ays of </w:t>
      </w:r>
      <w:r>
        <w:rPr>
          <w:rFonts w:eastAsia="Times New Roman"/>
          <w:lang w:eastAsia="en-AU"/>
        </w:rPr>
        <w:t>W</w:t>
      </w:r>
      <w:r w:rsidRPr="00CD0A8D">
        <w:rPr>
          <w:rFonts w:eastAsia="Times New Roman"/>
          <w:lang w:eastAsia="en-AU"/>
        </w:rPr>
        <w:t xml:space="preserve">orking </w:t>
      </w:r>
      <w:r w:rsidRPr="00604A9C">
        <w:rPr>
          <w:rFonts w:eastAsia="Times New Roman"/>
          <w:lang w:eastAsia="en-AU"/>
        </w:rPr>
        <w:t>Statement</w:t>
      </w:r>
    </w:p>
    <w:p w14:paraId="6AA3CF26" w14:textId="77777777" w:rsidR="00E10C6E" w:rsidRPr="00E10C6E" w:rsidRDefault="00E10C6E" w:rsidP="00E10C6E">
      <w:pPr>
        <w:rPr>
          <w:lang w:eastAsia="en-AU"/>
        </w:rPr>
      </w:pPr>
    </w:p>
    <w:p w14:paraId="5AFE0451" w14:textId="199056A6" w:rsidR="00082BF3" w:rsidRPr="00E10C6E" w:rsidRDefault="00082BF3" w:rsidP="00E10C6E">
      <w:pPr>
        <w:rPr>
          <w:rFonts w:ascii="OpenSans-Bold" w:hAnsi="OpenSans-Bold" w:cs="OpenSans-Bold"/>
          <w:b/>
          <w:bCs/>
          <w:color w:val="000000"/>
          <w:sz w:val="42"/>
          <w:szCs w:val="42"/>
          <w:lang w:val="en-US"/>
        </w:rPr>
      </w:pPr>
      <w:r w:rsidRPr="00BC3DA1">
        <w:rPr>
          <w:rFonts w:eastAsia="Times New Roman" w:cstheme="majorBidi"/>
          <w:bCs/>
          <w:color w:val="082640"/>
          <w:spacing w:val="4"/>
          <w:sz w:val="36"/>
          <w:szCs w:val="28"/>
          <w:lang w:eastAsia="en-AU"/>
        </w:rPr>
        <w:t>Pu</w:t>
      </w:r>
      <w:r w:rsidRPr="00E10C6E">
        <w:rPr>
          <w:rFonts w:eastAsia="Times New Roman" w:cstheme="majorBidi"/>
          <w:bCs/>
          <w:color w:val="082640"/>
          <w:spacing w:val="4"/>
          <w:sz w:val="36"/>
          <w:szCs w:val="28"/>
          <w:lang w:eastAsia="en-AU"/>
        </w:rPr>
        <w:t>rpose</w:t>
      </w:r>
    </w:p>
    <w:p w14:paraId="5DF87C21" w14:textId="2AB53981" w:rsidR="00082BF3" w:rsidRPr="009B07F8" w:rsidRDefault="00082BF3" w:rsidP="00082BF3">
      <w:pPr>
        <w:spacing w:line="256" w:lineRule="auto"/>
        <w:rPr>
          <w:rFonts w:eastAsia="Calibri" w:cs="Open Sans"/>
        </w:rPr>
      </w:pPr>
      <w:r w:rsidRPr="009B07F8">
        <w:rPr>
          <w:rFonts w:eastAsia="Calibri" w:cs="Open Sans"/>
        </w:rPr>
        <w:t xml:space="preserve">The Ways of Working Statement is a commitment </w:t>
      </w:r>
      <w:r w:rsidR="00505121" w:rsidRPr="009B07F8">
        <w:rPr>
          <w:rFonts w:eastAsia="Calibri" w:cs="Open Sans"/>
        </w:rPr>
        <w:t xml:space="preserve">from </w:t>
      </w:r>
      <w:r w:rsidRPr="009B07F8">
        <w:rPr>
          <w:rFonts w:eastAsia="Calibri" w:cs="Open Sans"/>
        </w:rPr>
        <w:t xml:space="preserve">the Australian Government (the </w:t>
      </w:r>
      <w:r w:rsidR="00CD63AB" w:rsidRPr="009B07F8">
        <w:rPr>
          <w:rFonts w:eastAsia="Calibri" w:cs="Open Sans"/>
        </w:rPr>
        <w:t>g</w:t>
      </w:r>
      <w:r w:rsidRPr="009B07F8">
        <w:rPr>
          <w:rFonts w:eastAsia="Calibri" w:cs="Open Sans"/>
        </w:rPr>
        <w:t xml:space="preserve">overnment) </w:t>
      </w:r>
      <w:r w:rsidR="000A4526" w:rsidRPr="009B07F8">
        <w:rPr>
          <w:rFonts w:eastAsia="Calibri" w:cs="Open Sans"/>
        </w:rPr>
        <w:t xml:space="preserve">to </w:t>
      </w:r>
      <w:r w:rsidR="00745E65" w:rsidRPr="009B07F8">
        <w:rPr>
          <w:rFonts w:eastAsia="Calibri" w:cs="Open Sans"/>
        </w:rPr>
        <w:t xml:space="preserve">work effectively with </w:t>
      </w:r>
      <w:r w:rsidRPr="009B07F8">
        <w:rPr>
          <w:rFonts w:eastAsia="Calibri" w:cs="Open Sans"/>
        </w:rPr>
        <w:t xml:space="preserve">the community services sector (the sector) </w:t>
      </w:r>
      <w:r w:rsidR="00745E65" w:rsidRPr="009B07F8">
        <w:rPr>
          <w:rFonts w:eastAsia="Calibri" w:cs="Open Sans"/>
        </w:rPr>
        <w:t>to support</w:t>
      </w:r>
      <w:r w:rsidRPr="009B07F8">
        <w:rPr>
          <w:rFonts w:eastAsia="Calibri" w:cs="Open Sans"/>
        </w:rPr>
        <w:t xml:space="preserve"> deliver</w:t>
      </w:r>
      <w:r w:rsidR="00745E65" w:rsidRPr="009B07F8">
        <w:rPr>
          <w:rFonts w:eastAsia="Calibri" w:cs="Open Sans"/>
        </w:rPr>
        <w:t>y of</w:t>
      </w:r>
      <w:r w:rsidRPr="009B07F8">
        <w:rPr>
          <w:rFonts w:eastAsia="Calibri" w:cs="Open Sans"/>
        </w:rPr>
        <w:t xml:space="preserve"> </w:t>
      </w:r>
      <w:r w:rsidR="008F2AC6" w:rsidRPr="009B07F8">
        <w:rPr>
          <w:rFonts w:eastAsia="Calibri" w:cs="Open Sans"/>
        </w:rPr>
        <w:t>high-quality</w:t>
      </w:r>
      <w:r w:rsidRPr="009B07F8">
        <w:rPr>
          <w:rFonts w:eastAsia="Calibri" w:cs="Open Sans"/>
        </w:rPr>
        <w:t xml:space="preserve"> services through grant programs that benefit the health, wellbeing and safety of Australian communities. </w:t>
      </w:r>
      <w:r w:rsidR="00FC6F1C" w:rsidRPr="009B07F8">
        <w:rPr>
          <w:rFonts w:eastAsia="Calibri" w:cs="Open Sans"/>
        </w:rPr>
        <w:t>This commitment is about placing</w:t>
      </w:r>
      <w:r w:rsidR="00015347" w:rsidRPr="009B07F8">
        <w:rPr>
          <w:rFonts w:eastAsia="Calibri" w:cs="Open Sans"/>
        </w:rPr>
        <w:t xml:space="preserve"> the</w:t>
      </w:r>
      <w:r w:rsidR="00FC6F1C" w:rsidRPr="009B07F8">
        <w:rPr>
          <w:rFonts w:eastAsia="Calibri" w:cs="Open Sans"/>
        </w:rPr>
        <w:t xml:space="preserve"> </w:t>
      </w:r>
      <w:r w:rsidRPr="009B07F8">
        <w:rPr>
          <w:rFonts w:eastAsia="Calibri" w:cs="Open Sans"/>
        </w:rPr>
        <w:t xml:space="preserve">needs of individuals, families and communities at the centre of policy design, service delivery and interactions involving </w:t>
      </w:r>
      <w:r w:rsidR="00CD63AB" w:rsidRPr="009B07F8">
        <w:rPr>
          <w:rFonts w:eastAsia="Calibri" w:cs="Open Sans"/>
        </w:rPr>
        <w:t>g</w:t>
      </w:r>
      <w:r w:rsidRPr="009B07F8">
        <w:rPr>
          <w:rFonts w:eastAsia="Calibri" w:cs="Open Sans"/>
        </w:rPr>
        <w:t>overnment and the sector.</w:t>
      </w:r>
      <w:r w:rsidR="00446B02" w:rsidRPr="009B07F8">
        <w:rPr>
          <w:rFonts w:eastAsia="Calibri" w:cs="Open Sans"/>
        </w:rPr>
        <w:t xml:space="preserve"> It acknowledges that delivering services that meet the needs of individuals, families and communities is a joint responsibility which also </w:t>
      </w:r>
      <w:r w:rsidR="00015347" w:rsidRPr="009B07F8">
        <w:rPr>
          <w:rFonts w:eastAsia="Calibri" w:cs="Open Sans"/>
        </w:rPr>
        <w:t xml:space="preserve">requires </w:t>
      </w:r>
      <w:r w:rsidR="00921AD3" w:rsidRPr="009B07F8">
        <w:rPr>
          <w:rFonts w:eastAsia="Calibri" w:cs="Open Sans"/>
        </w:rPr>
        <w:t xml:space="preserve">the sector </w:t>
      </w:r>
      <w:r w:rsidR="00015347" w:rsidRPr="009B07F8">
        <w:rPr>
          <w:rFonts w:eastAsia="Calibri" w:cs="Open Sans"/>
        </w:rPr>
        <w:t>to</w:t>
      </w:r>
      <w:r w:rsidR="00921AD3" w:rsidRPr="009B07F8">
        <w:rPr>
          <w:rFonts w:eastAsia="Calibri" w:cs="Open Sans"/>
        </w:rPr>
        <w:t xml:space="preserve"> work effectively with</w:t>
      </w:r>
      <w:r w:rsidR="008F2AC6" w:rsidRPr="009B07F8">
        <w:rPr>
          <w:rFonts w:eastAsia="Calibri" w:cs="Open Sans"/>
        </w:rPr>
        <w:t xml:space="preserve"> the</w:t>
      </w:r>
      <w:r w:rsidR="00921AD3" w:rsidRPr="009B07F8">
        <w:rPr>
          <w:rFonts w:eastAsia="Calibri" w:cs="Open Sans"/>
        </w:rPr>
        <w:t xml:space="preserve"> government.</w:t>
      </w:r>
    </w:p>
    <w:p w14:paraId="20BEDCA0" w14:textId="513C1C95" w:rsidR="00082BF3" w:rsidRPr="009B07F8" w:rsidRDefault="00082BF3" w:rsidP="00821994">
      <w:pPr>
        <w:spacing w:line="257" w:lineRule="auto"/>
        <w:rPr>
          <w:rFonts w:eastAsia="Calibri" w:cs="Open Sans"/>
        </w:rPr>
      </w:pPr>
      <w:r w:rsidRPr="009B07F8">
        <w:rPr>
          <w:rFonts w:eastAsia="Calibri" w:cs="Open Sans"/>
        </w:rPr>
        <w:t xml:space="preserve">The Ways of Working Statement forms part of the Community Sector </w:t>
      </w:r>
      <w:r w:rsidR="008929A5" w:rsidRPr="009B07F8">
        <w:rPr>
          <w:rFonts w:eastAsia="Calibri" w:cs="Open Sans"/>
        </w:rPr>
        <w:t>Grants</w:t>
      </w:r>
      <w:r w:rsidR="00212354" w:rsidRPr="009B07F8">
        <w:rPr>
          <w:rFonts w:eastAsia="Calibri" w:cs="Open Sans"/>
        </w:rPr>
        <w:t xml:space="preserve"> Engagement</w:t>
      </w:r>
      <w:r w:rsidR="008929A5" w:rsidRPr="009B07F8">
        <w:rPr>
          <w:rFonts w:eastAsia="Calibri" w:cs="Open Sans"/>
        </w:rPr>
        <w:t xml:space="preserve"> </w:t>
      </w:r>
      <w:r w:rsidRPr="009B07F8">
        <w:rPr>
          <w:rFonts w:eastAsia="Calibri" w:cs="Open Sans"/>
        </w:rPr>
        <w:t>Framework</w:t>
      </w:r>
      <w:r w:rsidR="00286B60" w:rsidRPr="009B07F8">
        <w:rPr>
          <w:rFonts w:eastAsia="Calibri" w:cs="Open Sans"/>
        </w:rPr>
        <w:t xml:space="preserve"> (the Framework)</w:t>
      </w:r>
      <w:r w:rsidRPr="009B07F8">
        <w:rPr>
          <w:rFonts w:eastAsia="Calibri" w:cs="Open Sans"/>
        </w:rPr>
        <w:t xml:space="preserve">, to drive administrative and cultural change </w:t>
      </w:r>
      <w:r w:rsidR="003C5519" w:rsidRPr="009B07F8">
        <w:rPr>
          <w:rFonts w:eastAsia="Calibri" w:cs="Open Sans"/>
        </w:rPr>
        <w:t>across the Australian Public Service (APS)</w:t>
      </w:r>
      <w:r w:rsidRPr="009B07F8">
        <w:rPr>
          <w:rFonts w:eastAsia="Calibri" w:cs="Open Sans"/>
        </w:rPr>
        <w:t>, to deliver grants that:</w:t>
      </w:r>
    </w:p>
    <w:p w14:paraId="5522A969" w14:textId="77777777" w:rsidR="00082BF3" w:rsidRPr="00604A9C" w:rsidRDefault="00082BF3" w:rsidP="006301C5">
      <w:pPr>
        <w:numPr>
          <w:ilvl w:val="0"/>
          <w:numId w:val="2"/>
        </w:numPr>
        <w:spacing w:after="0" w:line="240" w:lineRule="auto"/>
        <w:contextualSpacing/>
      </w:pPr>
      <w:r w:rsidRPr="00604A9C">
        <w:t>better serve the sustainability of the sector; and</w:t>
      </w:r>
    </w:p>
    <w:p w14:paraId="2DC9FF55" w14:textId="7248CD68" w:rsidR="00082BF3" w:rsidRPr="009B07F8" w:rsidRDefault="00082BF3" w:rsidP="006301C5">
      <w:pPr>
        <w:numPr>
          <w:ilvl w:val="0"/>
          <w:numId w:val="2"/>
        </w:numPr>
        <w:spacing w:after="240" w:line="240" w:lineRule="auto"/>
        <w:ind w:left="714" w:hanging="357"/>
        <w:rPr>
          <w:rFonts w:cs="Open Sans"/>
        </w:rPr>
      </w:pPr>
      <w:r w:rsidRPr="00604A9C">
        <w:t>ensure better outcomes for communities</w:t>
      </w:r>
      <w:r w:rsidR="00EA4AD7">
        <w:t xml:space="preserve"> are achieved</w:t>
      </w:r>
      <w:r w:rsidRPr="00604A9C">
        <w:t xml:space="preserve"> in </w:t>
      </w:r>
      <w:r w:rsidRPr="009B07F8">
        <w:rPr>
          <w:rFonts w:eastAsia="Calibri" w:cs="Open Sans"/>
        </w:rPr>
        <w:t xml:space="preserve">delivering </w:t>
      </w:r>
      <w:r w:rsidR="00CD63AB" w:rsidRPr="009B07F8">
        <w:rPr>
          <w:rFonts w:eastAsia="Calibri" w:cs="Open Sans"/>
        </w:rPr>
        <w:t>g</w:t>
      </w:r>
      <w:r w:rsidRPr="009B07F8">
        <w:rPr>
          <w:rFonts w:eastAsia="Calibri" w:cs="Open Sans"/>
        </w:rPr>
        <w:t>overnment policy.</w:t>
      </w:r>
    </w:p>
    <w:p w14:paraId="39551FB8" w14:textId="4007EA09" w:rsidR="00082BF3" w:rsidRPr="009B07F8" w:rsidRDefault="00082BF3" w:rsidP="00082BF3">
      <w:pPr>
        <w:spacing w:line="256" w:lineRule="auto"/>
        <w:rPr>
          <w:rFonts w:eastAsia="Calibri" w:cs="Open Sans"/>
        </w:rPr>
      </w:pPr>
      <w:r w:rsidRPr="009B07F8">
        <w:rPr>
          <w:rFonts w:eastAsia="Calibri" w:cs="Open Sans"/>
        </w:rPr>
        <w:t xml:space="preserve">Together, the Ways of Working Statement and the Framework will </w:t>
      </w:r>
      <w:r w:rsidR="003C6018" w:rsidRPr="009B07F8">
        <w:rPr>
          <w:rFonts w:eastAsia="Calibri" w:cs="Open Sans"/>
        </w:rPr>
        <w:t xml:space="preserve">improve the governments </w:t>
      </w:r>
      <w:r w:rsidRPr="009B07F8">
        <w:rPr>
          <w:rFonts w:eastAsia="Calibri" w:cs="Open Sans"/>
        </w:rPr>
        <w:t>support</w:t>
      </w:r>
      <w:r w:rsidR="003C6018" w:rsidRPr="009B07F8">
        <w:rPr>
          <w:rFonts w:eastAsia="Calibri" w:cs="Open Sans"/>
        </w:rPr>
        <w:t xml:space="preserve"> to</w:t>
      </w:r>
      <w:r w:rsidRPr="009B07F8">
        <w:rPr>
          <w:rFonts w:eastAsia="Calibri" w:cs="Open Sans"/>
        </w:rPr>
        <w:t xml:space="preserve"> Australian individuals, families and communities</w:t>
      </w:r>
      <w:r w:rsidR="0026253C" w:rsidRPr="009B07F8">
        <w:rPr>
          <w:rFonts w:eastAsia="Calibri" w:cs="Open Sans"/>
        </w:rPr>
        <w:t>,</w:t>
      </w:r>
      <w:r w:rsidR="001C7D1F" w:rsidRPr="009B07F8">
        <w:rPr>
          <w:rFonts w:eastAsia="Calibri" w:cs="Open Sans"/>
        </w:rPr>
        <w:t xml:space="preserve"> </w:t>
      </w:r>
      <w:r w:rsidR="003C6018" w:rsidRPr="009B07F8">
        <w:rPr>
          <w:rFonts w:eastAsia="Calibri" w:cs="Open Sans"/>
        </w:rPr>
        <w:t>while c</w:t>
      </w:r>
      <w:r w:rsidR="001C7D1F" w:rsidRPr="009B07F8">
        <w:rPr>
          <w:rFonts w:eastAsia="Calibri" w:cs="Open Sans"/>
        </w:rPr>
        <w:t>ontributing to</w:t>
      </w:r>
      <w:r w:rsidR="004162CD" w:rsidRPr="009B07F8">
        <w:rPr>
          <w:rFonts w:eastAsia="Calibri" w:cs="Open Sans"/>
        </w:rPr>
        <w:t xml:space="preserve"> broader government </w:t>
      </w:r>
      <w:r w:rsidR="00372A9F" w:rsidRPr="009B07F8">
        <w:rPr>
          <w:rFonts w:eastAsia="Calibri" w:cs="Open Sans"/>
        </w:rPr>
        <w:t xml:space="preserve">initiatives and </w:t>
      </w:r>
      <w:r w:rsidR="004162CD" w:rsidRPr="009B07F8">
        <w:rPr>
          <w:rFonts w:eastAsia="Calibri" w:cs="Open Sans"/>
        </w:rPr>
        <w:t>reform</w:t>
      </w:r>
      <w:r w:rsidR="00745E65" w:rsidRPr="009B07F8">
        <w:rPr>
          <w:rFonts w:eastAsia="Calibri" w:cs="Open Sans"/>
        </w:rPr>
        <w:t>s</w:t>
      </w:r>
      <w:r w:rsidR="00E537AD" w:rsidRPr="009B07F8">
        <w:rPr>
          <w:rFonts w:eastAsia="Calibri" w:cs="Open Sans"/>
        </w:rPr>
        <w:t xml:space="preserve"> such as</w:t>
      </w:r>
      <w:r w:rsidR="00474DFA" w:rsidRPr="009B07F8">
        <w:rPr>
          <w:rFonts w:eastAsia="Calibri" w:cs="Open Sans"/>
        </w:rPr>
        <w:t xml:space="preserve"> the </w:t>
      </w:r>
      <w:r w:rsidR="0055256B" w:rsidRPr="009B07F8">
        <w:rPr>
          <w:rFonts w:eastAsia="Calibri" w:cs="Open Sans"/>
        </w:rPr>
        <w:t>Charter of Partnerships and Engagement as part of th</w:t>
      </w:r>
      <w:r w:rsidR="00474DFA" w:rsidRPr="009B07F8">
        <w:rPr>
          <w:rFonts w:eastAsia="Calibri" w:cs="Open Sans"/>
        </w:rPr>
        <w:t>e APS Reform</w:t>
      </w:r>
      <w:r w:rsidR="0055256B" w:rsidRPr="009B07F8">
        <w:rPr>
          <w:rFonts w:eastAsia="Calibri" w:cs="Open Sans"/>
        </w:rPr>
        <w:t>.</w:t>
      </w:r>
    </w:p>
    <w:p w14:paraId="1CFAE270" w14:textId="51BA5B81" w:rsidR="001F55F3" w:rsidRPr="009B07F8" w:rsidRDefault="00C226DF" w:rsidP="00082BF3">
      <w:pPr>
        <w:spacing w:line="256" w:lineRule="auto"/>
        <w:rPr>
          <w:rFonts w:eastAsia="Calibri" w:cs="Open Sans"/>
        </w:rPr>
      </w:pPr>
      <w:r w:rsidRPr="009B07F8">
        <w:rPr>
          <w:rFonts w:eastAsia="Calibri" w:cs="Open Sans"/>
        </w:rPr>
        <w:t>Both the Ways of Working Statement and the Framework will be reviewed as part of the Framework</w:t>
      </w:r>
      <w:r w:rsidR="005368C5" w:rsidRPr="009B07F8">
        <w:rPr>
          <w:rFonts w:eastAsia="Calibri" w:cs="Open Sans"/>
        </w:rPr>
        <w:t xml:space="preserve"> review processes</w:t>
      </w:r>
      <w:r w:rsidRPr="009B07F8">
        <w:rPr>
          <w:rFonts w:eastAsia="Calibri" w:cs="Open Sans"/>
        </w:rPr>
        <w:t xml:space="preserve"> t</w:t>
      </w:r>
      <w:r w:rsidR="001F55F3" w:rsidRPr="009B07F8">
        <w:rPr>
          <w:rFonts w:eastAsia="Calibri" w:cs="Open Sans"/>
        </w:rPr>
        <w:t xml:space="preserve">o ensure </w:t>
      </w:r>
      <w:r w:rsidRPr="009B07F8">
        <w:rPr>
          <w:rFonts w:eastAsia="Calibri" w:cs="Open Sans"/>
        </w:rPr>
        <w:t>the</w:t>
      </w:r>
      <w:r w:rsidR="004E462E" w:rsidRPr="009B07F8">
        <w:rPr>
          <w:rFonts w:eastAsia="Calibri" w:cs="Open Sans"/>
        </w:rPr>
        <w:t xml:space="preserve">y are </w:t>
      </w:r>
      <w:r w:rsidRPr="009B07F8">
        <w:rPr>
          <w:rFonts w:eastAsia="Calibri" w:cs="Open Sans"/>
        </w:rPr>
        <w:t xml:space="preserve">meeting </w:t>
      </w:r>
      <w:r w:rsidR="004E462E" w:rsidRPr="009B07F8">
        <w:rPr>
          <w:rFonts w:eastAsia="Calibri" w:cs="Open Sans"/>
        </w:rPr>
        <w:t>their</w:t>
      </w:r>
      <w:r w:rsidRPr="009B07F8">
        <w:rPr>
          <w:rFonts w:eastAsia="Calibri" w:cs="Open Sans"/>
        </w:rPr>
        <w:t xml:space="preserve"> intended purpose</w:t>
      </w:r>
      <w:r w:rsidR="001F55F3" w:rsidRPr="009B07F8">
        <w:rPr>
          <w:rFonts w:eastAsia="Calibri" w:cs="Open Sans"/>
        </w:rPr>
        <w:t>.</w:t>
      </w:r>
    </w:p>
    <w:p w14:paraId="37F4E76D" w14:textId="77777777" w:rsidR="00747699" w:rsidRPr="00604A9C" w:rsidRDefault="00747699" w:rsidP="00277AF6">
      <w:pPr>
        <w:pStyle w:val="Heading1"/>
        <w:rPr>
          <w:rFonts w:eastAsia="Times New Roman"/>
        </w:rPr>
      </w:pPr>
      <w:r w:rsidRPr="00604A9C">
        <w:rPr>
          <w:rFonts w:eastAsia="Times New Roman"/>
        </w:rPr>
        <w:t>Context</w:t>
      </w:r>
    </w:p>
    <w:p w14:paraId="495F08C1" w14:textId="77777777" w:rsidR="00747699" w:rsidRPr="005A4795" w:rsidRDefault="00747699" w:rsidP="00747699">
      <w:pPr>
        <w:spacing w:line="256" w:lineRule="auto"/>
        <w:rPr>
          <w:rFonts w:eastAsia="Calibri" w:cs="Open Sans"/>
        </w:rPr>
      </w:pPr>
      <w:r w:rsidRPr="005A4795">
        <w:rPr>
          <w:rFonts w:eastAsia="Calibri" w:cs="Open Sans"/>
        </w:rPr>
        <w:t>The government is committed to improving the health, wellbeing and safety of Australian individuals, families and vulnerable members of communities. The sector provides critical services to support Australian communities and is a major contributor to Australia’s social and economic wellbeing.</w:t>
      </w:r>
    </w:p>
    <w:p w14:paraId="5DDFAAE1" w14:textId="1A7217AA" w:rsidR="00747699" w:rsidRPr="005A4795" w:rsidRDefault="00747699" w:rsidP="00747699">
      <w:pPr>
        <w:spacing w:line="256" w:lineRule="auto"/>
        <w:rPr>
          <w:rFonts w:eastAsia="Calibri" w:cs="Open Sans"/>
        </w:rPr>
      </w:pPr>
      <w:r w:rsidRPr="005A4795">
        <w:rPr>
          <w:rFonts w:eastAsia="Calibri" w:cs="Open Sans"/>
        </w:rPr>
        <w:t>The sector is experiencing significant challenges including workforce shortages</w:t>
      </w:r>
      <w:r w:rsidR="00947AC6" w:rsidRPr="005A4795">
        <w:rPr>
          <w:rFonts w:eastAsia="Calibri" w:cs="Open Sans"/>
        </w:rPr>
        <w:t xml:space="preserve"> </w:t>
      </w:r>
      <w:r w:rsidR="00DE2690" w:rsidRPr="005A4795">
        <w:rPr>
          <w:rFonts w:eastAsia="Calibri" w:cs="Open Sans"/>
        </w:rPr>
        <w:t>and a</w:t>
      </w:r>
      <w:r w:rsidRPr="005A4795">
        <w:rPr>
          <w:rFonts w:eastAsia="Calibri" w:cs="Open Sans"/>
        </w:rPr>
        <w:t xml:space="preserve"> reduction in volunteers,</w:t>
      </w:r>
      <w:r w:rsidR="0026253C" w:rsidRPr="005A4795">
        <w:rPr>
          <w:rFonts w:eastAsia="Calibri" w:cs="Open Sans"/>
        </w:rPr>
        <w:t xml:space="preserve"> the</w:t>
      </w:r>
      <w:r w:rsidRPr="005A4795">
        <w:rPr>
          <w:rFonts w:eastAsia="Calibri" w:cs="Open Sans"/>
        </w:rPr>
        <w:t xml:space="preserve"> impacts of </w:t>
      </w:r>
      <w:r w:rsidR="0026253C" w:rsidRPr="005A4795">
        <w:rPr>
          <w:rFonts w:eastAsia="Calibri" w:cs="Open Sans"/>
        </w:rPr>
        <w:t xml:space="preserve">the </w:t>
      </w:r>
      <w:r w:rsidRPr="005A4795">
        <w:rPr>
          <w:rFonts w:eastAsia="Calibri" w:cs="Open Sans"/>
        </w:rPr>
        <w:t xml:space="preserve">COVID-19 pandemic and disasters, </w:t>
      </w:r>
      <w:r w:rsidR="003239E8" w:rsidRPr="005A4795">
        <w:rPr>
          <w:rFonts w:eastAsia="Calibri" w:cs="Open Sans"/>
        </w:rPr>
        <w:t>and additional</w:t>
      </w:r>
      <w:r w:rsidR="00DE2690" w:rsidRPr="005A4795">
        <w:rPr>
          <w:rFonts w:eastAsia="Calibri" w:cs="Open Sans"/>
        </w:rPr>
        <w:t xml:space="preserve"> </w:t>
      </w:r>
      <w:r w:rsidRPr="005A4795">
        <w:rPr>
          <w:rFonts w:eastAsia="Calibri" w:cs="Open Sans"/>
        </w:rPr>
        <w:t xml:space="preserve">compliance </w:t>
      </w:r>
      <w:r w:rsidR="00DE2690" w:rsidRPr="005A4795">
        <w:rPr>
          <w:rFonts w:eastAsia="Calibri" w:cs="Open Sans"/>
        </w:rPr>
        <w:t xml:space="preserve">and administration </w:t>
      </w:r>
      <w:r w:rsidRPr="005A4795">
        <w:rPr>
          <w:rFonts w:eastAsia="Calibri" w:cs="Open Sans"/>
        </w:rPr>
        <w:t>requirements. These challenges are being compounded by greater costs of delivering services due to</w:t>
      </w:r>
      <w:r w:rsidR="0091278D" w:rsidRPr="005A4795">
        <w:rPr>
          <w:rFonts w:eastAsia="Calibri" w:cs="Open Sans"/>
        </w:rPr>
        <w:t xml:space="preserve"> inflation pressures</w:t>
      </w:r>
      <w:r w:rsidRPr="005A4795">
        <w:rPr>
          <w:rFonts w:eastAsia="Calibri" w:cs="Open Sans"/>
        </w:rPr>
        <w:t>, greater demand on services</w:t>
      </w:r>
      <w:r w:rsidR="009E5FA0" w:rsidRPr="005A4795">
        <w:rPr>
          <w:rFonts w:eastAsia="Calibri" w:cs="Open Sans"/>
        </w:rPr>
        <w:t>,</w:t>
      </w:r>
      <w:r w:rsidRPr="005A4795">
        <w:rPr>
          <w:rFonts w:eastAsia="Calibri" w:cs="Open Sans"/>
        </w:rPr>
        <w:t xml:space="preserve"> and increasing complexity of supports required.</w:t>
      </w:r>
    </w:p>
    <w:p w14:paraId="0F4734A4" w14:textId="0CF1B1EB" w:rsidR="0002439B" w:rsidRPr="005A4795" w:rsidRDefault="00747699" w:rsidP="00747699">
      <w:pPr>
        <w:spacing w:line="256" w:lineRule="auto"/>
        <w:rPr>
          <w:rFonts w:eastAsia="Calibri" w:cs="Open Sans"/>
        </w:rPr>
      </w:pPr>
      <w:r w:rsidRPr="005A4795">
        <w:rPr>
          <w:rFonts w:eastAsia="Calibri" w:cs="Open Sans"/>
        </w:rPr>
        <w:t>These challenges continue to impact the capacity of the sector to provide high quality services and support to Australian individuals, families and communities</w:t>
      </w:r>
      <w:r w:rsidR="00B93E3C" w:rsidRPr="005A4795">
        <w:rPr>
          <w:rFonts w:eastAsia="Calibri" w:cs="Open Sans"/>
        </w:rPr>
        <w:t>.</w:t>
      </w:r>
    </w:p>
    <w:p w14:paraId="72CBF356" w14:textId="7013A394" w:rsidR="00747699" w:rsidRPr="006301C5" w:rsidRDefault="00747699" w:rsidP="009E5FA0">
      <w:pPr>
        <w:pStyle w:val="Heading1"/>
        <w:rPr>
          <w:rFonts w:eastAsia="Times New Roman"/>
        </w:rPr>
      </w:pPr>
      <w:r w:rsidRPr="00135F0A">
        <w:rPr>
          <w:rFonts w:eastAsia="Times New Roman"/>
        </w:rPr>
        <w:lastRenderedPageBreak/>
        <w:t>Development of the W</w:t>
      </w:r>
      <w:r>
        <w:rPr>
          <w:rFonts w:eastAsia="Times New Roman"/>
        </w:rPr>
        <w:t xml:space="preserve">ays of </w:t>
      </w:r>
      <w:r w:rsidRPr="006301C5">
        <w:rPr>
          <w:rFonts w:eastAsia="Times New Roman"/>
        </w:rPr>
        <w:t>W</w:t>
      </w:r>
      <w:r>
        <w:rPr>
          <w:rFonts w:eastAsia="Times New Roman"/>
        </w:rPr>
        <w:t xml:space="preserve">orking </w:t>
      </w:r>
      <w:r w:rsidRPr="006301C5">
        <w:rPr>
          <w:rFonts w:eastAsia="Times New Roman"/>
        </w:rPr>
        <w:t>S</w:t>
      </w:r>
      <w:r>
        <w:rPr>
          <w:rFonts w:eastAsia="Times New Roman"/>
        </w:rPr>
        <w:t>tatement</w:t>
      </w:r>
    </w:p>
    <w:p w14:paraId="14D28AC4" w14:textId="60859CD4" w:rsidR="00843FC2" w:rsidRPr="005A4795" w:rsidRDefault="00843FC2" w:rsidP="00843FC2">
      <w:pPr>
        <w:spacing w:line="256" w:lineRule="auto"/>
        <w:rPr>
          <w:rFonts w:eastAsia="Calibri" w:cs="Open Sans"/>
        </w:rPr>
      </w:pPr>
      <w:r w:rsidRPr="005A4795">
        <w:rPr>
          <w:rFonts w:eastAsia="Calibri" w:cs="Open Sans"/>
        </w:rPr>
        <w:t xml:space="preserve">The Ways of Working Statement has been drafted in consultation with the Community Services Advisory Group (CSAG) </w:t>
      </w:r>
      <w:r w:rsidR="00833F88" w:rsidRPr="005A4795">
        <w:rPr>
          <w:rFonts w:eastAsia="Calibri" w:cs="Open Sans"/>
        </w:rPr>
        <w:t>and an Interdepartmental Committee on a stronger</w:t>
      </w:r>
      <w:r w:rsidR="007A4A77" w:rsidRPr="005A4795">
        <w:rPr>
          <w:rFonts w:eastAsia="Calibri" w:cs="Open Sans"/>
        </w:rPr>
        <w:t>,</w:t>
      </w:r>
      <w:r w:rsidR="00833F88" w:rsidRPr="005A4795">
        <w:rPr>
          <w:rFonts w:eastAsia="Calibri" w:cs="Open Sans"/>
        </w:rPr>
        <w:t xml:space="preserve"> more diverse and independent community sector</w:t>
      </w:r>
      <w:r w:rsidR="00C7117D" w:rsidRPr="005A4795">
        <w:rPr>
          <w:rFonts w:eastAsia="Calibri" w:cs="Open Sans"/>
        </w:rPr>
        <w:t>. It has been developed</w:t>
      </w:r>
      <w:r w:rsidR="00833F88" w:rsidRPr="005A4795">
        <w:rPr>
          <w:rFonts w:eastAsia="Calibri" w:cs="Open Sans"/>
        </w:rPr>
        <w:t xml:space="preserve"> </w:t>
      </w:r>
      <w:r w:rsidRPr="005A4795">
        <w:rPr>
          <w:rFonts w:eastAsia="Calibri" w:cs="Open Sans"/>
        </w:rPr>
        <w:t xml:space="preserve">as a living document with </w:t>
      </w:r>
      <w:r w:rsidR="00B44AAD" w:rsidRPr="005A4795">
        <w:rPr>
          <w:rFonts w:eastAsia="Calibri" w:cs="Open Sans"/>
        </w:rPr>
        <w:t>the</w:t>
      </w:r>
      <w:r w:rsidRPr="005A4795">
        <w:rPr>
          <w:rFonts w:eastAsia="Calibri" w:cs="Open Sans"/>
        </w:rPr>
        <w:t xml:space="preserve"> potential to broaden its </w:t>
      </w:r>
      <w:r w:rsidR="00B44AAD" w:rsidRPr="005A4795">
        <w:rPr>
          <w:rFonts w:eastAsia="Calibri" w:cs="Open Sans"/>
        </w:rPr>
        <w:t xml:space="preserve">scope and </w:t>
      </w:r>
      <w:r w:rsidRPr="005A4795">
        <w:rPr>
          <w:rFonts w:eastAsia="Calibri" w:cs="Open Sans"/>
        </w:rPr>
        <w:t>application in the future.</w:t>
      </w:r>
    </w:p>
    <w:p w14:paraId="53F87085" w14:textId="59D43FAC" w:rsidR="00684675" w:rsidRPr="005A4795" w:rsidRDefault="00DC3689" w:rsidP="00843FC2">
      <w:pPr>
        <w:spacing w:line="256" w:lineRule="auto"/>
        <w:rPr>
          <w:rFonts w:eastAsia="Calibri" w:cs="Open Sans"/>
        </w:rPr>
      </w:pPr>
      <w:r w:rsidRPr="005A4795">
        <w:rPr>
          <w:rFonts w:eastAsia="Calibri" w:cs="Open Sans"/>
        </w:rPr>
        <w:t>It is informed by 237 submissions received in response to public consultation on how to build a stronger, more diverse and independent community sector, conducted by the Department of Social Services in late 2023</w:t>
      </w:r>
      <w:r w:rsidR="004E04F5" w:rsidRPr="005A4795">
        <w:rPr>
          <w:rFonts w:eastAsia="Calibri" w:cs="Open Sans"/>
        </w:rPr>
        <w:t>.</w:t>
      </w:r>
      <w:r w:rsidRPr="005A4795">
        <w:rPr>
          <w:rFonts w:eastAsia="Calibri" w:cs="Open Sans"/>
          <w:vertAlign w:val="superscript"/>
        </w:rPr>
        <w:footnoteReference w:id="1"/>
      </w:r>
      <w:r w:rsidRPr="005A4795">
        <w:rPr>
          <w:rFonts w:eastAsia="Calibri" w:cs="Open Sans"/>
        </w:rPr>
        <w:t xml:space="preserve"> Additional validation of findings from the public consultation was achieved </w:t>
      </w:r>
      <w:r w:rsidR="00ED657F" w:rsidRPr="005A4795">
        <w:rPr>
          <w:rFonts w:eastAsia="Calibri" w:cs="Open Sans"/>
        </w:rPr>
        <w:t>through</w:t>
      </w:r>
      <w:r w:rsidRPr="005A4795">
        <w:rPr>
          <w:rFonts w:eastAsia="Calibri" w:cs="Open Sans"/>
        </w:rPr>
        <w:t xml:space="preserve"> a series of </w:t>
      </w:r>
      <w:r w:rsidR="00ED657F" w:rsidRPr="005A4795">
        <w:rPr>
          <w:rFonts w:eastAsia="Calibri" w:cs="Open Sans"/>
        </w:rPr>
        <w:t xml:space="preserve">targeted </w:t>
      </w:r>
      <w:r w:rsidR="003239E8" w:rsidRPr="005A4795">
        <w:rPr>
          <w:rFonts w:eastAsia="Calibri" w:cs="Open Sans"/>
        </w:rPr>
        <w:t>workshops with</w:t>
      </w:r>
      <w:r w:rsidRPr="005A4795">
        <w:rPr>
          <w:rFonts w:eastAsia="Calibri" w:cs="Open Sans"/>
        </w:rPr>
        <w:t xml:space="preserve"> community sector organisations</w:t>
      </w:r>
      <w:r w:rsidR="00CF1E50" w:rsidRPr="005A4795">
        <w:rPr>
          <w:rFonts w:eastAsia="Calibri" w:cs="Open Sans"/>
        </w:rPr>
        <w:t xml:space="preserve"> (CSOs)</w:t>
      </w:r>
      <w:r w:rsidRPr="005A4795">
        <w:rPr>
          <w:rFonts w:eastAsia="Calibri" w:cs="Open Sans"/>
        </w:rPr>
        <w:t xml:space="preserve"> </w:t>
      </w:r>
      <w:r w:rsidR="009E5FA0" w:rsidRPr="005A4795">
        <w:rPr>
          <w:rFonts w:eastAsia="Calibri" w:cs="Open Sans"/>
        </w:rPr>
        <w:t xml:space="preserve">in June 2024, </w:t>
      </w:r>
      <w:r w:rsidRPr="005A4795">
        <w:rPr>
          <w:rFonts w:eastAsia="Calibri" w:cs="Open Sans"/>
        </w:rPr>
        <w:t>which focused on key issues raised in consultation</w:t>
      </w:r>
      <w:r w:rsidR="009406F8" w:rsidRPr="005A4795">
        <w:rPr>
          <w:rFonts w:eastAsia="Calibri" w:cs="Open Sans"/>
        </w:rPr>
        <w:t>.</w:t>
      </w:r>
    </w:p>
    <w:p w14:paraId="78DDF1AF" w14:textId="29B25B38" w:rsidR="00DC3689" w:rsidRPr="00273D7A" w:rsidRDefault="00E10C6E" w:rsidP="00843FC2">
      <w:pPr>
        <w:spacing w:line="256" w:lineRule="auto"/>
        <w:rPr>
          <w:noProof/>
        </w:rPr>
      </w:pPr>
      <w:r>
        <w:rPr>
          <w:noProof/>
        </w:rPr>
        <w:drawing>
          <wp:inline distT="0" distB="0" distL="0" distR="0" wp14:anchorId="3A623535" wp14:editId="0F59CBBC">
            <wp:extent cx="5886450" cy="1980565"/>
            <wp:effectExtent l="0" t="0" r="6350" b="635"/>
            <wp:docPr id="2138599071" name="Picture 3" descr="This flowchart shows key stages of the consultation process with the Community Sector Advisory Group and Interdepartmental committee. They are as follows: &#10;12 September to 7 November 2023: Public consultations.&#10;March 2024: Summary of submissions from consultations.&#10;June 2024: Sector workshops to validate findings.&#10;November 2024: CSAG virtual workshop.&#10;Early 2025: Implementation of th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99071" name="Picture 3" descr="This flowchart shows key stages of the consultation process with the Community Sector Advisory Group and Interdepartmental committee. They are as follows: &#10;12 September to 7 November 2023: Public consultations.&#10;March 2024: Summary of submissions from consultations.&#10;June 2024: Sector workshops to validate findings.&#10;November 2024: CSAG virtual workshop.&#10;Early 2025: Implementation of the Framewor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6450" cy="1980565"/>
                    </a:xfrm>
                    <a:prstGeom prst="rect">
                      <a:avLst/>
                    </a:prstGeom>
                  </pic:spPr>
                </pic:pic>
              </a:graphicData>
            </a:graphic>
          </wp:inline>
        </w:drawing>
      </w:r>
    </w:p>
    <w:p w14:paraId="581BB3AF" w14:textId="7112BB83" w:rsidR="00082BF3" w:rsidRPr="00604A9C" w:rsidRDefault="00082BF3" w:rsidP="005A4795">
      <w:pPr>
        <w:pStyle w:val="Heading1"/>
        <w:keepNext/>
        <w:keepLines/>
        <w:rPr>
          <w:rFonts w:eastAsia="Times New Roman"/>
        </w:rPr>
      </w:pPr>
      <w:r w:rsidRPr="00604A9C">
        <w:rPr>
          <w:rFonts w:eastAsia="Times New Roman"/>
        </w:rPr>
        <w:t>Scope and Application</w:t>
      </w:r>
    </w:p>
    <w:p w14:paraId="39C91F82" w14:textId="4A9393F5" w:rsidR="00082BF3" w:rsidRPr="005A4795" w:rsidRDefault="00082BF3" w:rsidP="006815DF">
      <w:pPr>
        <w:keepNext/>
        <w:keepLines/>
        <w:spacing w:line="257" w:lineRule="auto"/>
        <w:rPr>
          <w:rFonts w:eastAsia="Calibri" w:cs="Open Sans"/>
        </w:rPr>
      </w:pPr>
      <w:r w:rsidRPr="005A4795">
        <w:rPr>
          <w:rFonts w:eastAsia="Calibri" w:cs="Open Sans"/>
        </w:rPr>
        <w:t>There are many different definitions of the sector, which can be broadly defined as delivering services that ‘provide support and assistance to individuals, families, and groups to maximise their potential and enhance community wellbeing’.</w:t>
      </w:r>
      <w:r w:rsidRPr="005A4795">
        <w:rPr>
          <w:rFonts w:eastAsia="Calibri" w:cs="Open Sans"/>
          <w:vertAlign w:val="superscript"/>
        </w:rPr>
        <w:footnoteReference w:id="2"/>
      </w:r>
      <w:r w:rsidRPr="005A4795">
        <w:rPr>
          <w:rFonts w:eastAsia="Calibri" w:cs="Open Sans"/>
        </w:rPr>
        <w:t xml:space="preserve"> The Ways of Working Statement acknowledges the sector consists of a range of organisations, including charities, not-for-profits and for profits, and the sector relies heavily on funding arrangements with all levels of government for the purpose of delivering services to people in need.</w:t>
      </w:r>
    </w:p>
    <w:p w14:paraId="73CA9D62" w14:textId="43A06649" w:rsidR="00082BF3" w:rsidRPr="005A4795" w:rsidRDefault="00082BF3" w:rsidP="005A4795">
      <w:pPr>
        <w:spacing w:line="257" w:lineRule="auto"/>
        <w:rPr>
          <w:rFonts w:eastAsia="Calibri" w:cs="Open Sans"/>
        </w:rPr>
      </w:pPr>
      <w:r w:rsidRPr="005A4795">
        <w:rPr>
          <w:rFonts w:eastAsia="Calibri" w:cs="Open Sans"/>
        </w:rPr>
        <w:t>While the Ways of Working Statement is relevant to all parts of the sector, given the sector</w:t>
      </w:r>
      <w:r w:rsidR="005C2BDF" w:rsidRPr="005A4795">
        <w:rPr>
          <w:rFonts w:eastAsia="Calibri" w:cs="Open Sans"/>
        </w:rPr>
        <w:t>'</w:t>
      </w:r>
      <w:r w:rsidRPr="005A4795">
        <w:rPr>
          <w:rFonts w:eastAsia="Calibri" w:cs="Open Sans"/>
        </w:rPr>
        <w:t>s breadth, the scope and application of this statement will be particularly focussed on organisations that are charities and not</w:t>
      </w:r>
      <w:r w:rsidR="00ED657F" w:rsidRPr="005A4795">
        <w:rPr>
          <w:rFonts w:eastAsia="Calibri" w:cs="Open Sans"/>
        </w:rPr>
        <w:t>-</w:t>
      </w:r>
      <w:r w:rsidRPr="005A4795">
        <w:rPr>
          <w:rFonts w:eastAsia="Calibri" w:cs="Open Sans"/>
        </w:rPr>
        <w:t>for</w:t>
      </w:r>
      <w:r w:rsidR="00ED657F" w:rsidRPr="005A4795">
        <w:rPr>
          <w:rFonts w:eastAsia="Calibri" w:cs="Open Sans"/>
        </w:rPr>
        <w:t>-</w:t>
      </w:r>
      <w:r w:rsidRPr="005A4795">
        <w:rPr>
          <w:rFonts w:eastAsia="Calibri" w:cs="Open Sans"/>
        </w:rPr>
        <w:t xml:space="preserve">profits, and that have or seek to have a funding relationship with the </w:t>
      </w:r>
      <w:r w:rsidR="00CD63AB" w:rsidRPr="005A4795">
        <w:rPr>
          <w:rFonts w:eastAsia="Calibri" w:cs="Open Sans"/>
        </w:rPr>
        <w:t>g</w:t>
      </w:r>
      <w:r w:rsidRPr="005A4795">
        <w:rPr>
          <w:rFonts w:eastAsia="Calibri" w:cs="Open Sans"/>
        </w:rPr>
        <w:t>overnment.</w:t>
      </w:r>
    </w:p>
    <w:p w14:paraId="3F04ACAA" w14:textId="114088D8" w:rsidR="00082BF3" w:rsidRPr="005A4795" w:rsidRDefault="00082BF3" w:rsidP="005A4795">
      <w:pPr>
        <w:spacing w:line="257" w:lineRule="auto"/>
        <w:rPr>
          <w:rFonts w:eastAsia="Calibri" w:cs="Open Sans"/>
        </w:rPr>
      </w:pPr>
      <w:r w:rsidRPr="005A4795">
        <w:rPr>
          <w:rFonts w:eastAsia="Calibri" w:cs="Open Sans"/>
        </w:rPr>
        <w:lastRenderedPageBreak/>
        <w:t xml:space="preserve">In terms of </w:t>
      </w:r>
      <w:r w:rsidR="00ED657F" w:rsidRPr="005A4795">
        <w:rPr>
          <w:rFonts w:eastAsia="Calibri" w:cs="Open Sans"/>
        </w:rPr>
        <w:t xml:space="preserve">the </w:t>
      </w:r>
      <w:r w:rsidR="00CD63AB" w:rsidRPr="005A4795">
        <w:rPr>
          <w:rFonts w:eastAsia="Calibri" w:cs="Open Sans"/>
        </w:rPr>
        <w:t>g</w:t>
      </w:r>
      <w:r w:rsidRPr="005A4795">
        <w:rPr>
          <w:rFonts w:eastAsia="Calibri" w:cs="Open Sans"/>
        </w:rPr>
        <w:t xml:space="preserve">overnment, the Ways of Working Statement is relevant to all </w:t>
      </w:r>
      <w:r w:rsidR="00CD63AB" w:rsidRPr="005A4795">
        <w:rPr>
          <w:rFonts w:eastAsia="Calibri" w:cs="Open Sans"/>
        </w:rPr>
        <w:t>g</w:t>
      </w:r>
      <w:r w:rsidRPr="005A4795">
        <w:rPr>
          <w:rFonts w:eastAsia="Calibri" w:cs="Open Sans"/>
        </w:rPr>
        <w:t xml:space="preserve">overnment agencies </w:t>
      </w:r>
      <w:r w:rsidR="009E5FA0" w:rsidRPr="005A4795">
        <w:rPr>
          <w:rFonts w:eastAsia="Calibri" w:cs="Open Sans"/>
        </w:rPr>
        <w:t>that</w:t>
      </w:r>
      <w:r w:rsidR="003239E8" w:rsidRPr="005A4795">
        <w:rPr>
          <w:rFonts w:eastAsia="Calibri" w:cs="Open Sans"/>
        </w:rPr>
        <w:t xml:space="preserve"> </w:t>
      </w:r>
      <w:r w:rsidRPr="005A4795">
        <w:rPr>
          <w:rFonts w:eastAsia="Calibri" w:cs="Open Sans"/>
        </w:rPr>
        <w:t>have a funding relationship with the sector.</w:t>
      </w:r>
      <w:r w:rsidR="0005526E" w:rsidRPr="005A4795">
        <w:rPr>
          <w:rFonts w:eastAsia="Calibri" w:cs="Open Sans"/>
        </w:rPr>
        <w:t xml:space="preserve"> </w:t>
      </w:r>
      <w:r w:rsidR="007A42CB" w:rsidRPr="005A4795">
        <w:rPr>
          <w:rFonts w:eastAsia="Calibri" w:cs="Open Sans"/>
        </w:rPr>
        <w:t>Increasingly</w:t>
      </w:r>
      <w:r w:rsidR="007A5C1A" w:rsidRPr="005A4795">
        <w:rPr>
          <w:rFonts w:eastAsia="Calibri" w:cs="Open Sans"/>
        </w:rPr>
        <w:t xml:space="preserve">, </w:t>
      </w:r>
      <w:r w:rsidR="00CD63AB" w:rsidRPr="005A4795">
        <w:rPr>
          <w:rFonts w:eastAsia="Calibri" w:cs="Open Sans"/>
        </w:rPr>
        <w:t>g</w:t>
      </w:r>
      <w:r w:rsidR="002E186F" w:rsidRPr="005A4795">
        <w:rPr>
          <w:rFonts w:eastAsia="Calibri" w:cs="Open Sans"/>
        </w:rPr>
        <w:t>overnment agencies</w:t>
      </w:r>
      <w:r w:rsidR="000468B3" w:rsidRPr="005A4795">
        <w:rPr>
          <w:rFonts w:eastAsia="Calibri" w:cs="Open Sans"/>
        </w:rPr>
        <w:t xml:space="preserve"> </w:t>
      </w:r>
      <w:r w:rsidR="007A5C1A" w:rsidRPr="005A4795">
        <w:rPr>
          <w:rFonts w:eastAsia="Calibri" w:cs="Open Sans"/>
        </w:rPr>
        <w:t>have been</w:t>
      </w:r>
      <w:r w:rsidR="000468B3" w:rsidRPr="005A4795">
        <w:rPr>
          <w:rFonts w:eastAsia="Calibri" w:cs="Open Sans"/>
        </w:rPr>
        <w:t xml:space="preserve"> mov</w:t>
      </w:r>
      <w:r w:rsidR="007A5C1A" w:rsidRPr="005A4795">
        <w:rPr>
          <w:rFonts w:eastAsia="Calibri" w:cs="Open Sans"/>
        </w:rPr>
        <w:t>ing</w:t>
      </w:r>
      <w:r w:rsidR="000468B3" w:rsidRPr="005A4795">
        <w:rPr>
          <w:rFonts w:eastAsia="Calibri" w:cs="Open Sans"/>
        </w:rPr>
        <w:t xml:space="preserve"> towards facilitating stronger</w:t>
      </w:r>
      <w:r w:rsidR="00816FCA" w:rsidRPr="005A4795">
        <w:rPr>
          <w:rFonts w:eastAsia="Calibri" w:cs="Open Sans"/>
        </w:rPr>
        <w:t xml:space="preserve"> relationship</w:t>
      </w:r>
      <w:r w:rsidR="00ED657F" w:rsidRPr="005A4795">
        <w:rPr>
          <w:rFonts w:eastAsia="Calibri" w:cs="Open Sans"/>
        </w:rPr>
        <w:t>s</w:t>
      </w:r>
      <w:r w:rsidR="00816FCA" w:rsidRPr="005A4795">
        <w:rPr>
          <w:rFonts w:eastAsia="Calibri" w:cs="Open Sans"/>
        </w:rPr>
        <w:t xml:space="preserve"> </w:t>
      </w:r>
      <w:r w:rsidR="002E186F" w:rsidRPr="005A4795">
        <w:rPr>
          <w:rFonts w:eastAsia="Calibri" w:cs="Open Sans"/>
        </w:rPr>
        <w:t xml:space="preserve">with the </w:t>
      </w:r>
      <w:r w:rsidR="005465A5" w:rsidRPr="005A4795">
        <w:rPr>
          <w:rFonts w:eastAsia="Calibri" w:cs="Open Sans"/>
        </w:rPr>
        <w:t>sector</w:t>
      </w:r>
      <w:r w:rsidR="002E186F" w:rsidRPr="005A4795">
        <w:rPr>
          <w:rFonts w:eastAsia="Calibri" w:cs="Open Sans"/>
        </w:rPr>
        <w:t xml:space="preserve">, </w:t>
      </w:r>
      <w:r w:rsidR="005465A5" w:rsidRPr="005A4795">
        <w:rPr>
          <w:rFonts w:eastAsia="Calibri" w:cs="Open Sans"/>
        </w:rPr>
        <w:t xml:space="preserve">while </w:t>
      </w:r>
      <w:r w:rsidR="002E186F" w:rsidRPr="005A4795">
        <w:rPr>
          <w:rFonts w:eastAsia="Calibri" w:cs="Open Sans"/>
        </w:rPr>
        <w:t>recognising the</w:t>
      </w:r>
      <w:r w:rsidR="000468B3" w:rsidRPr="005A4795">
        <w:rPr>
          <w:rFonts w:eastAsia="Calibri" w:cs="Open Sans"/>
        </w:rPr>
        <w:t xml:space="preserve"> real and</w:t>
      </w:r>
      <w:r w:rsidR="005465A5" w:rsidRPr="005A4795">
        <w:rPr>
          <w:rFonts w:eastAsia="Calibri" w:cs="Open Sans"/>
        </w:rPr>
        <w:t xml:space="preserve"> perceived</w:t>
      </w:r>
      <w:r w:rsidR="002E186F" w:rsidRPr="005A4795">
        <w:rPr>
          <w:rFonts w:eastAsia="Calibri" w:cs="Open Sans"/>
        </w:rPr>
        <w:t xml:space="preserve"> power imbalance</w:t>
      </w:r>
      <w:r w:rsidR="000468B3" w:rsidRPr="005A4795">
        <w:rPr>
          <w:rFonts w:eastAsia="Calibri" w:cs="Open Sans"/>
        </w:rPr>
        <w:t xml:space="preserve"> </w:t>
      </w:r>
      <w:r w:rsidR="00AC42B4" w:rsidRPr="005A4795">
        <w:rPr>
          <w:rFonts w:eastAsia="Calibri" w:cs="Open Sans"/>
        </w:rPr>
        <w:t xml:space="preserve">which </w:t>
      </w:r>
      <w:r w:rsidR="000468B3" w:rsidRPr="005A4795">
        <w:rPr>
          <w:rFonts w:eastAsia="Calibri" w:cs="Open Sans"/>
        </w:rPr>
        <w:t xml:space="preserve">may exist </w:t>
      </w:r>
      <w:r w:rsidR="00031409" w:rsidRPr="005A4795">
        <w:rPr>
          <w:rFonts w:eastAsia="Calibri" w:cs="Open Sans"/>
        </w:rPr>
        <w:t>due to</w:t>
      </w:r>
      <w:r w:rsidR="000468B3" w:rsidRPr="005A4795">
        <w:rPr>
          <w:rFonts w:eastAsia="Calibri" w:cs="Open Sans"/>
        </w:rPr>
        <w:t xml:space="preserve"> </w:t>
      </w:r>
      <w:r w:rsidR="00CD63AB" w:rsidRPr="005A4795">
        <w:rPr>
          <w:rFonts w:eastAsia="Calibri" w:cs="Open Sans"/>
        </w:rPr>
        <w:t>g</w:t>
      </w:r>
      <w:r w:rsidR="004A1A74" w:rsidRPr="005A4795">
        <w:rPr>
          <w:rFonts w:eastAsia="Calibri" w:cs="Open Sans"/>
        </w:rPr>
        <w:t xml:space="preserve">overnment </w:t>
      </w:r>
      <w:r w:rsidR="000468B3" w:rsidRPr="005A4795">
        <w:rPr>
          <w:rFonts w:eastAsia="Calibri" w:cs="Open Sans"/>
        </w:rPr>
        <w:t>agenc</w:t>
      </w:r>
      <w:r w:rsidR="008F2AC6" w:rsidRPr="005A4795">
        <w:rPr>
          <w:rFonts w:eastAsia="Calibri" w:cs="Open Sans"/>
        </w:rPr>
        <w:t>ies</w:t>
      </w:r>
      <w:r w:rsidR="000468B3" w:rsidRPr="005A4795">
        <w:rPr>
          <w:rFonts w:eastAsia="Calibri" w:cs="Open Sans"/>
        </w:rPr>
        <w:t xml:space="preserve"> role</w:t>
      </w:r>
      <w:r w:rsidR="005432B1" w:rsidRPr="005A4795">
        <w:rPr>
          <w:rFonts w:eastAsia="Calibri" w:cs="Open Sans"/>
        </w:rPr>
        <w:t>s</w:t>
      </w:r>
      <w:r w:rsidR="000468B3" w:rsidRPr="005A4795">
        <w:rPr>
          <w:rFonts w:eastAsia="Calibri" w:cs="Open Sans"/>
        </w:rPr>
        <w:t xml:space="preserve"> </w:t>
      </w:r>
      <w:r w:rsidR="00031409" w:rsidRPr="005A4795">
        <w:rPr>
          <w:rFonts w:eastAsia="Calibri" w:cs="Open Sans"/>
        </w:rPr>
        <w:t>in grant administration</w:t>
      </w:r>
      <w:r w:rsidR="005465A5" w:rsidRPr="005A4795">
        <w:rPr>
          <w:rFonts w:eastAsia="Calibri" w:cs="Open Sans"/>
        </w:rPr>
        <w:t>.</w:t>
      </w:r>
    </w:p>
    <w:p w14:paraId="3D100C97" w14:textId="60159C16" w:rsidR="00E064D0" w:rsidRPr="005A4795" w:rsidRDefault="00082BF3" w:rsidP="005A4795">
      <w:pPr>
        <w:rPr>
          <w:rFonts w:eastAsia="Calibri" w:cs="Open Sans"/>
        </w:rPr>
      </w:pPr>
      <w:r w:rsidRPr="005A4795">
        <w:rPr>
          <w:rFonts w:eastAsia="Calibri" w:cs="Open Sans"/>
        </w:rPr>
        <w:t xml:space="preserve">This scope aligns with the </w:t>
      </w:r>
      <w:r w:rsidR="00286B60" w:rsidRPr="005A4795">
        <w:rPr>
          <w:rFonts w:eastAsia="Calibri" w:cs="Open Sans"/>
        </w:rPr>
        <w:t>Framework</w:t>
      </w:r>
      <w:r w:rsidRPr="005A4795">
        <w:rPr>
          <w:rFonts w:eastAsia="Calibri" w:cs="Open Sans"/>
        </w:rPr>
        <w:t xml:space="preserve">. This scope and application are important to enable the measurement of progress against the </w:t>
      </w:r>
      <w:r w:rsidR="005D24D0" w:rsidRPr="005A4795">
        <w:rPr>
          <w:rFonts w:eastAsia="Calibri" w:cs="Open Sans"/>
        </w:rPr>
        <w:t xml:space="preserve">Ways of Working </w:t>
      </w:r>
      <w:r w:rsidRPr="005A4795">
        <w:rPr>
          <w:rFonts w:eastAsia="Calibri" w:cs="Open Sans"/>
        </w:rPr>
        <w:t xml:space="preserve">Statement and the </w:t>
      </w:r>
      <w:r w:rsidR="00286B60" w:rsidRPr="005A4795">
        <w:rPr>
          <w:rFonts w:eastAsia="Calibri" w:cs="Open Sans"/>
        </w:rPr>
        <w:t>Framework</w:t>
      </w:r>
      <w:r w:rsidRPr="005A4795">
        <w:rPr>
          <w:rFonts w:eastAsia="Calibri" w:cs="Open Sans"/>
        </w:rPr>
        <w:t>.</w:t>
      </w:r>
    </w:p>
    <w:p w14:paraId="6C1F9A32" w14:textId="1068134F" w:rsidR="00082BF3" w:rsidRPr="00604A9C" w:rsidRDefault="00833F88" w:rsidP="00273D7A">
      <w:pPr>
        <w:pStyle w:val="Heading1"/>
        <w:rPr>
          <w:rFonts w:eastAsia="Times New Roman"/>
        </w:rPr>
      </w:pPr>
      <w:r>
        <w:rPr>
          <w:rFonts w:eastAsia="Times New Roman"/>
        </w:rPr>
        <w:t>V</w:t>
      </w:r>
      <w:r w:rsidR="00082BF3" w:rsidRPr="00604A9C">
        <w:rPr>
          <w:rFonts w:eastAsia="Times New Roman"/>
        </w:rPr>
        <w:t>ision</w:t>
      </w:r>
    </w:p>
    <w:p w14:paraId="136B70AB" w14:textId="6F3C1084" w:rsidR="00082BF3" w:rsidRPr="005A4795" w:rsidRDefault="00082BF3" w:rsidP="00082BF3">
      <w:pPr>
        <w:spacing w:line="256" w:lineRule="auto"/>
        <w:rPr>
          <w:rFonts w:eastAsia="Calibri" w:cs="Open Sans"/>
        </w:rPr>
      </w:pPr>
      <w:r w:rsidRPr="005A4795">
        <w:rPr>
          <w:rFonts w:eastAsia="Calibri" w:cs="Open Sans"/>
        </w:rPr>
        <w:t>The health, wellbeing and safety of individuals, families and communities are supported</w:t>
      </w:r>
      <w:r w:rsidR="000126DE" w:rsidRPr="005A4795">
        <w:rPr>
          <w:rFonts w:eastAsia="Calibri" w:cs="Open Sans"/>
        </w:rPr>
        <w:t>,</w:t>
      </w:r>
      <w:r w:rsidRPr="005A4795">
        <w:rPr>
          <w:rFonts w:eastAsia="Calibri" w:cs="Open Sans"/>
        </w:rPr>
        <w:t xml:space="preserve"> and their unique needs are met through a vibrant and sustainable community services sector supported by the </w:t>
      </w:r>
      <w:r w:rsidR="00CD63AB" w:rsidRPr="005A4795">
        <w:rPr>
          <w:rFonts w:eastAsia="Calibri" w:cs="Open Sans"/>
        </w:rPr>
        <w:t>g</w:t>
      </w:r>
      <w:r w:rsidRPr="005A4795">
        <w:rPr>
          <w:rFonts w:eastAsia="Calibri" w:cs="Open Sans"/>
        </w:rPr>
        <w:t>overnment.</w:t>
      </w:r>
    </w:p>
    <w:p w14:paraId="1BCE1761" w14:textId="3BCDD54A" w:rsidR="00082BF3" w:rsidRPr="00604A9C" w:rsidRDefault="00082BF3" w:rsidP="00277AF6">
      <w:pPr>
        <w:pStyle w:val="Heading1"/>
        <w:rPr>
          <w:rFonts w:eastAsia="Times New Roman"/>
        </w:rPr>
      </w:pPr>
      <w:r w:rsidRPr="00604A9C">
        <w:rPr>
          <w:rFonts w:eastAsia="Times New Roman"/>
        </w:rPr>
        <w:t>Principles of engagement</w:t>
      </w:r>
    </w:p>
    <w:p w14:paraId="4C63B41D" w14:textId="518FF6B8" w:rsidR="00082BF3" w:rsidRPr="005A4795" w:rsidRDefault="00082BF3" w:rsidP="00082BF3">
      <w:pPr>
        <w:spacing w:line="256" w:lineRule="auto"/>
        <w:rPr>
          <w:rFonts w:eastAsia="Calibri" w:cs="Open Sans"/>
        </w:rPr>
      </w:pPr>
      <w:r w:rsidRPr="005A4795">
        <w:rPr>
          <w:rFonts w:eastAsia="Calibri" w:cs="Open Sans"/>
        </w:rPr>
        <w:t>The principles of engagement have been developed to put the goals and aspirations of individuals, families and communities at the forefront of all engagement between</w:t>
      </w:r>
      <w:r w:rsidR="00ED657F" w:rsidRPr="005A4795">
        <w:rPr>
          <w:rFonts w:eastAsia="Calibri" w:cs="Open Sans"/>
        </w:rPr>
        <w:t xml:space="preserve"> the</w:t>
      </w:r>
      <w:r w:rsidRPr="005A4795">
        <w:rPr>
          <w:rFonts w:eastAsia="Calibri" w:cs="Open Sans"/>
        </w:rPr>
        <w:t xml:space="preserve"> </w:t>
      </w:r>
      <w:r w:rsidR="00CD63AB" w:rsidRPr="005A4795">
        <w:rPr>
          <w:rFonts w:eastAsia="Calibri" w:cs="Open Sans"/>
        </w:rPr>
        <w:t>g</w:t>
      </w:r>
      <w:r w:rsidRPr="005A4795">
        <w:rPr>
          <w:rFonts w:eastAsia="Calibri" w:cs="Open Sans"/>
        </w:rPr>
        <w:t xml:space="preserve">overnment and the sector. </w:t>
      </w:r>
    </w:p>
    <w:p w14:paraId="28018824" w14:textId="73975BC9" w:rsidR="00082BF3" w:rsidRPr="005A4795" w:rsidRDefault="00082BF3" w:rsidP="00082BF3">
      <w:pPr>
        <w:spacing w:line="256" w:lineRule="auto"/>
        <w:rPr>
          <w:rFonts w:eastAsia="Calibri" w:cs="Open Sans"/>
        </w:rPr>
      </w:pPr>
      <w:r w:rsidRPr="005A4795">
        <w:rPr>
          <w:rFonts w:eastAsia="Calibri" w:cs="Open Sans"/>
        </w:rPr>
        <w:t xml:space="preserve">The </w:t>
      </w:r>
      <w:r w:rsidR="00CD63AB" w:rsidRPr="005A4795">
        <w:rPr>
          <w:rFonts w:eastAsia="Calibri" w:cs="Open Sans"/>
        </w:rPr>
        <w:t>g</w:t>
      </w:r>
      <w:r w:rsidRPr="005A4795">
        <w:rPr>
          <w:rFonts w:eastAsia="Calibri" w:cs="Open Sans"/>
        </w:rPr>
        <w:t xml:space="preserve">overnment will </w:t>
      </w:r>
      <w:r w:rsidR="00B55DEF" w:rsidRPr="005A4795">
        <w:rPr>
          <w:rFonts w:eastAsia="Calibri" w:cs="Open Sans"/>
        </w:rPr>
        <w:t xml:space="preserve">aim </w:t>
      </w:r>
      <w:r w:rsidR="00337672" w:rsidRPr="005A4795">
        <w:rPr>
          <w:rFonts w:eastAsia="Calibri" w:cs="Open Sans"/>
        </w:rPr>
        <w:t xml:space="preserve">to </w:t>
      </w:r>
      <w:r w:rsidRPr="005A4795">
        <w:rPr>
          <w:rFonts w:eastAsia="Calibri" w:cs="Open Sans"/>
        </w:rPr>
        <w:t>work</w:t>
      </w:r>
      <w:r w:rsidR="00B425BD" w:rsidRPr="005A4795">
        <w:rPr>
          <w:rFonts w:eastAsia="Calibri" w:cs="Open Sans"/>
        </w:rPr>
        <w:t xml:space="preserve"> with the sector </w:t>
      </w:r>
      <w:r w:rsidRPr="005A4795">
        <w:rPr>
          <w:rFonts w:eastAsia="Calibri" w:cs="Open Sans"/>
        </w:rPr>
        <w:t>to support Australian communities in ways that are:</w:t>
      </w:r>
    </w:p>
    <w:p w14:paraId="5DD08B1E" w14:textId="77777777" w:rsidR="00082BF3" w:rsidRPr="007334BE" w:rsidRDefault="00082BF3" w:rsidP="006301C5">
      <w:pPr>
        <w:keepNext/>
        <w:keepLines/>
        <w:numPr>
          <w:ilvl w:val="0"/>
          <w:numId w:val="3"/>
        </w:numPr>
        <w:spacing w:before="40" w:after="0" w:line="256" w:lineRule="auto"/>
        <w:outlineLvl w:val="2"/>
        <w:rPr>
          <w:rFonts w:eastAsia="Times New Roman" w:cs="Open Sans"/>
          <w:color w:val="082640"/>
          <w:sz w:val="28"/>
          <w:szCs w:val="28"/>
        </w:rPr>
      </w:pPr>
      <w:r w:rsidRPr="007334BE">
        <w:rPr>
          <w:rFonts w:eastAsia="Times New Roman" w:cs="Open Sans"/>
          <w:color w:val="082640"/>
          <w:sz w:val="28"/>
          <w:szCs w:val="28"/>
        </w:rPr>
        <w:t>Collaborative</w:t>
      </w:r>
    </w:p>
    <w:p w14:paraId="5A2CA4F3" w14:textId="000E062A" w:rsidR="00082BF3" w:rsidRPr="005A4795" w:rsidRDefault="00082BF3" w:rsidP="0095013C">
      <w:pPr>
        <w:numPr>
          <w:ilvl w:val="0"/>
          <w:numId w:val="4"/>
        </w:numPr>
        <w:spacing w:after="200" w:line="276" w:lineRule="auto"/>
        <w:contextualSpacing/>
        <w:rPr>
          <w:rFonts w:cs="Open Sans"/>
        </w:rPr>
      </w:pPr>
      <w:r w:rsidRPr="005A4795">
        <w:rPr>
          <w:rFonts w:cs="Open Sans"/>
        </w:rPr>
        <w:t xml:space="preserve">Build </w:t>
      </w:r>
      <w:r w:rsidR="00161E36" w:rsidRPr="005A4795">
        <w:rPr>
          <w:rFonts w:cs="Open Sans"/>
        </w:rPr>
        <w:t xml:space="preserve">trusted, </w:t>
      </w:r>
      <w:r w:rsidRPr="005A4795">
        <w:rPr>
          <w:rFonts w:cs="Open Sans"/>
        </w:rPr>
        <w:t xml:space="preserve">professional and respectful relationships </w:t>
      </w:r>
      <w:r w:rsidR="000A5E23" w:rsidRPr="005A4795">
        <w:rPr>
          <w:rFonts w:cs="Open Sans"/>
        </w:rPr>
        <w:t>with</w:t>
      </w:r>
      <w:r w:rsidRPr="005A4795">
        <w:rPr>
          <w:rFonts w:cs="Open Sans"/>
        </w:rPr>
        <w:t xml:space="preserve"> the sector and communities</w:t>
      </w:r>
      <w:r w:rsidR="000A5E23" w:rsidRPr="005A4795">
        <w:rPr>
          <w:rFonts w:cs="Open Sans"/>
        </w:rPr>
        <w:t>,</w:t>
      </w:r>
      <w:r w:rsidR="00B44AAD" w:rsidRPr="005A4795">
        <w:rPr>
          <w:rFonts w:cs="Open Sans"/>
        </w:rPr>
        <w:t xml:space="preserve"> </w:t>
      </w:r>
      <w:r w:rsidRPr="005A4795">
        <w:rPr>
          <w:rFonts w:cs="Open Sans"/>
        </w:rPr>
        <w:t>valu</w:t>
      </w:r>
      <w:r w:rsidR="00E6335D" w:rsidRPr="005A4795">
        <w:rPr>
          <w:rFonts w:cs="Open Sans"/>
        </w:rPr>
        <w:t>ing</w:t>
      </w:r>
      <w:r w:rsidRPr="005A4795">
        <w:rPr>
          <w:rFonts w:cs="Open Sans"/>
        </w:rPr>
        <w:t xml:space="preserve"> the unique perspectives and expertise each stakeholder can contribute</w:t>
      </w:r>
      <w:r w:rsidR="009E5FA0" w:rsidRPr="005A4795">
        <w:rPr>
          <w:rFonts w:cs="Open Sans"/>
        </w:rPr>
        <w:t>.</w:t>
      </w:r>
    </w:p>
    <w:p w14:paraId="340B93D9" w14:textId="084B243A" w:rsidR="00262AE0" w:rsidRPr="005A4795" w:rsidRDefault="00262AE0" w:rsidP="0095013C">
      <w:pPr>
        <w:numPr>
          <w:ilvl w:val="0"/>
          <w:numId w:val="4"/>
        </w:numPr>
        <w:spacing w:after="0" w:line="240" w:lineRule="auto"/>
        <w:ind w:left="717" w:hanging="357"/>
        <w:rPr>
          <w:rFonts w:cs="Open Sans"/>
        </w:rPr>
      </w:pPr>
      <w:r w:rsidRPr="005A4795">
        <w:rPr>
          <w:rFonts w:cs="Open Sans"/>
        </w:rPr>
        <w:t>Be clear on expectations, roles, responsibilities, and limitations, including what can be</w:t>
      </w:r>
      <w:r w:rsidR="00E86A96" w:rsidRPr="005A4795">
        <w:rPr>
          <w:rFonts w:cs="Open Sans"/>
        </w:rPr>
        <w:t> </w:t>
      </w:r>
      <w:r w:rsidRPr="005A4795">
        <w:rPr>
          <w:rFonts w:cs="Open Sans"/>
        </w:rPr>
        <w:t>collaborated on where there are shared interests</w:t>
      </w:r>
      <w:r w:rsidR="009E5FA0" w:rsidRPr="005A4795">
        <w:rPr>
          <w:rFonts w:cs="Open Sans"/>
        </w:rPr>
        <w:t>,</w:t>
      </w:r>
      <w:r w:rsidRPr="005A4795">
        <w:rPr>
          <w:rFonts w:cs="Open Sans"/>
        </w:rPr>
        <w:t xml:space="preserve"> and what outcomes are sought</w:t>
      </w:r>
      <w:r w:rsidR="009E5FA0" w:rsidRPr="005A4795">
        <w:rPr>
          <w:rFonts w:cs="Open Sans"/>
        </w:rPr>
        <w:t>.</w:t>
      </w:r>
    </w:p>
    <w:p w14:paraId="5AB6B59E" w14:textId="33D6CE79" w:rsidR="009B7B34" w:rsidRDefault="00152407" w:rsidP="0095013C">
      <w:pPr>
        <w:numPr>
          <w:ilvl w:val="0"/>
          <w:numId w:val="4"/>
        </w:numPr>
        <w:spacing w:after="200" w:line="276" w:lineRule="auto"/>
        <w:contextualSpacing/>
        <w:rPr>
          <w:rFonts w:cs="Open Sans"/>
        </w:rPr>
      </w:pPr>
      <w:r w:rsidRPr="005A4795">
        <w:rPr>
          <w:rFonts w:cs="Open Sans"/>
        </w:rPr>
        <w:t>Identify and engage through</w:t>
      </w:r>
      <w:r w:rsidR="00E1277C" w:rsidRPr="005A4795">
        <w:rPr>
          <w:rFonts w:cs="Open Sans"/>
        </w:rPr>
        <w:t xml:space="preserve"> existing</w:t>
      </w:r>
      <w:r w:rsidRPr="005A4795">
        <w:rPr>
          <w:rFonts w:cs="Open Sans"/>
        </w:rPr>
        <w:t xml:space="preserve"> mechanisms</w:t>
      </w:r>
      <w:r w:rsidR="00E1277C" w:rsidRPr="005A4795">
        <w:rPr>
          <w:rFonts w:cs="Open Sans"/>
        </w:rPr>
        <w:t xml:space="preserve"> and look for cross portfolio collaboration opportunities to </w:t>
      </w:r>
      <w:r w:rsidR="005620EC" w:rsidRPr="005A4795">
        <w:rPr>
          <w:rFonts w:cs="Open Sans"/>
        </w:rPr>
        <w:t>enable</w:t>
      </w:r>
      <w:r w:rsidR="00E1277C" w:rsidRPr="005A4795">
        <w:rPr>
          <w:rFonts w:cs="Open Sans"/>
        </w:rPr>
        <w:t xml:space="preserve"> consistent approach</w:t>
      </w:r>
      <w:r w:rsidR="00B44AAD" w:rsidRPr="005A4795">
        <w:rPr>
          <w:rFonts w:cs="Open Sans"/>
        </w:rPr>
        <w:t>es</w:t>
      </w:r>
      <w:r w:rsidR="000126DE" w:rsidRPr="005A4795">
        <w:rPr>
          <w:rFonts w:cs="Open Sans"/>
        </w:rPr>
        <w:t>.</w:t>
      </w:r>
    </w:p>
    <w:p w14:paraId="6A7A551A" w14:textId="59BE32FE" w:rsidR="00B82DFD" w:rsidRPr="005A4795" w:rsidRDefault="00E30166" w:rsidP="00B82DFD">
      <w:pPr>
        <w:spacing w:after="200" w:line="276" w:lineRule="auto"/>
        <w:ind w:left="720"/>
        <w:contextualSpacing/>
        <w:rPr>
          <w:rFonts w:cs="Open Sans"/>
        </w:rPr>
      </w:pPr>
      <w:r>
        <w:rPr>
          <w:noProof/>
        </w:rPr>
        <mc:AlternateContent>
          <mc:Choice Requires="wps">
            <w:drawing>
              <wp:anchor distT="0" distB="0" distL="114300" distR="114300" simplePos="0" relativeHeight="251661312" behindDoc="1" locked="0" layoutInCell="1" allowOverlap="1" wp14:anchorId="5688EDC6" wp14:editId="6901E354">
                <wp:simplePos x="0" y="0"/>
                <wp:positionH relativeFrom="margin">
                  <wp:align>center</wp:align>
                </wp:positionH>
                <wp:positionV relativeFrom="paragraph">
                  <wp:posOffset>60506</wp:posOffset>
                </wp:positionV>
                <wp:extent cx="6105525" cy="1227364"/>
                <wp:effectExtent l="76200" t="38100" r="85725" b="106680"/>
                <wp:wrapNone/>
                <wp:docPr id="134398947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5525" cy="1227364"/>
                        </a:xfrm>
                        <a:prstGeom prst="roundRect">
                          <a:avLst/>
                        </a:prstGeom>
                        <a:solidFill>
                          <a:schemeClr val="bg1"/>
                        </a:solidFill>
                        <a:ln w="38100">
                          <a:solidFill>
                            <a:srgbClr val="082640"/>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8E80D3" id="Rectangle: Rounded Corners 1" o:spid="_x0000_s1026" alt="&quot;&quot;" style="position:absolute;margin-left:0;margin-top:4.75pt;width:480.75pt;height:96.6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9E6AIAAEsGAAAOAAAAZHJzL2Uyb0RvYy54bWysVUtPGzEQvlfqf7B8L/sgCSFigyIQVSUE&#10;iFBxdrzerFWvx7WdbNJf37F3swkU9VCVg/HsjL+Z+eaRq+tdo8hWWCdBFzQ7SykRmkMp9bqg31/u&#10;vkwpcZ7pkinQoqB74ej1/POnq9bMRA41qFJYgiDazVpT0Np7M0sSx2vRMHcGRmhUVmAb5lG066S0&#10;rEX0RiV5mk6SFmxpLHDhHH697ZR0HvGrSnD/WFVOeKIKirH5eNp4rsKZzK/YbG2ZqSXvw2D/EEXD&#10;pEanA9Qt84xsrPwDqpHcgoPKn3FoEqgqyUXMAbPJ0nfZLGtmRMwFyXFmoMn9P1j+sF2aJ4s0tMbN&#10;HF5DFrvKNuE/xkd2kaz9QJbYecLx4yRLx+N8TAlHXZbnF+eTUaAzOT431vmvAhoSLgW1sNHlM5Yk&#10;MsW298539ge74NKBkuWdVCoKoQ3EjbJky7CAq3XWe3hjpTRpC3o+zdI0Ir9ROrteDQDpNJ+MYtEx&#10;yhMzlJQODkVsGQwsZr/xwi7rsiUrtbHPrCzoOJ2iE1LKkE/nEQXsp/EoDX+UMLXGQfCUWPCv0tex&#10;hoG8gBgSHYJZKcZ/dFQoU7MuxQjTJ9lbR0rhEEuUTsJMjnWLN79XIrhS+llURJZYqbxj5S2XjHOh&#10;fdapalaKzn82Dll0ZYlDGNiPPiNgQK6wOAN2D/AxdgfT24enXdzD475cf3s8vIieQfvhcSM12I8y&#10;U5hV77mzx/BPqAnXFZT7JxtKFJvbGX4nsTT3zPknZnEBYCFxqflHPCoF2F3Q3yipwf766Huwx7lE&#10;LSUtLpSCup8bZgUl6pvGib3MRth6xEdhNL7IUbCnmtWpRm+aG8CWz3B9Gh6vwd6rw7Wy0Lzi7lsE&#10;r6himqPvgnJvD8KN7xYdbk8uFotohlvHMH+vl4YH8MBqaLOX3Suzpp9TjyP+AIflw2bvJrWzDS81&#10;LDYeKhnH+MhrzzdurNg4/XYNK/FUjlbH34D5bwAAAP//AwBQSwMEFAAGAAgAAAAhAODyKpbdAAAA&#10;BgEAAA8AAABkcnMvZG93bnJldi54bWxMj09LxDAQxe+C3yGM4M1Nt2jZrU2Xogh6ENl1wWu2Gdti&#10;MilN+kc/veNpvb3hDe/9XrFbnBUTDqHzpGC9SkAg1d501Cg4vj/dbECEqMlo6wkVfGOAXXl5Uejc&#10;+Jn2OB1iIziEQq4VtDH2uZShbtHpsPI9EnuffnA68jk00gx65nBnZZokmXS6I25odY8PLdZfh9Fx&#10;iZ2n/Ye7nZ7x+PP2+vJYZdVYKXV9tVT3ICIu8fwMf/iMDiUznfxIJgirgIdEBds7EGxuszWLk4I0&#10;STcgy0L+xy9/AQAA//8DAFBLAQItABQABgAIAAAAIQC2gziS/gAAAOEBAAATAAAAAAAAAAAAAAAA&#10;AAAAAABbQ29udGVudF9UeXBlc10ueG1sUEsBAi0AFAAGAAgAAAAhADj9If/WAAAAlAEAAAsAAAAA&#10;AAAAAAAAAAAALwEAAF9yZWxzLy5yZWxzUEsBAi0AFAAGAAgAAAAhADBPf0ToAgAASwYAAA4AAAAA&#10;AAAAAAAAAAAALgIAAGRycy9lMm9Eb2MueG1sUEsBAi0AFAAGAAgAAAAhAODyKpbdAAAABgEAAA8A&#10;AAAAAAAAAAAAAAAAQgUAAGRycy9kb3ducmV2LnhtbFBLBQYAAAAABAAEAPMAAABMBgAAAAA=&#10;" fillcolor="white [3212]" strokecolor="#082640" strokeweight="3pt">
                <v:stroke joinstyle="miter"/>
                <v:shadow on="t" color="black" opacity="26214f" origin=",-.5" offset="0,3pt"/>
                <w10:wrap anchorx="margin"/>
              </v:roundrect>
            </w:pict>
          </mc:Fallback>
        </mc:AlternateContent>
      </w:r>
    </w:p>
    <w:p w14:paraId="2FF12398" w14:textId="7B96899C" w:rsidR="00D70C92" w:rsidRPr="00B82DFD" w:rsidRDefault="00EA1EB5" w:rsidP="00E30166">
      <w:pPr>
        <w:spacing w:before="240" w:after="0" w:line="276" w:lineRule="auto"/>
        <w:contextualSpacing/>
        <w:rPr>
          <w:b/>
          <w:bCs/>
          <w:i/>
          <w:iCs/>
        </w:rPr>
      </w:pPr>
      <w:r w:rsidRPr="00B82DFD">
        <w:rPr>
          <w:b/>
          <w:bCs/>
        </w:rPr>
        <w:t xml:space="preserve">Example </w:t>
      </w:r>
      <w:r w:rsidR="00D84241" w:rsidRPr="00B82DFD">
        <w:rPr>
          <w:b/>
          <w:bCs/>
        </w:rPr>
        <w:t xml:space="preserve">that </w:t>
      </w:r>
      <w:r w:rsidR="000A4EC0" w:rsidRPr="00B82DFD">
        <w:rPr>
          <w:b/>
          <w:bCs/>
        </w:rPr>
        <w:t>demonstrat</w:t>
      </w:r>
      <w:r w:rsidR="00D84241" w:rsidRPr="00B82DFD">
        <w:rPr>
          <w:b/>
          <w:bCs/>
        </w:rPr>
        <w:t>e</w:t>
      </w:r>
      <w:r w:rsidR="00B42984" w:rsidRPr="00B82DFD">
        <w:rPr>
          <w:b/>
          <w:bCs/>
        </w:rPr>
        <w:t>s</w:t>
      </w:r>
      <w:r w:rsidR="000A4EC0" w:rsidRPr="00B82DFD">
        <w:rPr>
          <w:b/>
          <w:bCs/>
        </w:rPr>
        <w:t xml:space="preserve"> </w:t>
      </w:r>
      <w:r w:rsidR="00D970D6" w:rsidRPr="00B82DFD">
        <w:rPr>
          <w:b/>
          <w:bCs/>
        </w:rPr>
        <w:t>this principle:</w:t>
      </w:r>
      <w:r w:rsidR="00D70C92" w:rsidRPr="00B82DFD">
        <w:rPr>
          <w:b/>
          <w:bCs/>
        </w:rPr>
        <w:t xml:space="preserve"> </w:t>
      </w:r>
    </w:p>
    <w:p w14:paraId="33C3B0E4" w14:textId="6B5F0C64" w:rsidR="00B42984" w:rsidRPr="0095013C" w:rsidRDefault="00B42984" w:rsidP="00E30166">
      <w:r w:rsidRPr="00B82DFD">
        <w:t>The National Coordination Group (NCG) utilises the expertise of community organisations to provide advice to the Minister for Social Services on Emergency Relief, Food Relief and Financial Counselling funding in response to cost</w:t>
      </w:r>
      <w:r w:rsidR="000126DE" w:rsidRPr="00B82DFD">
        <w:t>-</w:t>
      </w:r>
      <w:r w:rsidRPr="00B82DFD">
        <w:t>of</w:t>
      </w:r>
      <w:r w:rsidR="000126DE" w:rsidRPr="00B82DFD">
        <w:t>-</w:t>
      </w:r>
      <w:r w:rsidRPr="00B82DFD">
        <w:t>living pressures and natural disasters.</w:t>
      </w:r>
    </w:p>
    <w:p w14:paraId="45939CD1" w14:textId="31288B2B" w:rsidR="00B82DFD" w:rsidRDefault="00B82DFD" w:rsidP="00B82DFD">
      <w:pPr>
        <w:keepNext/>
        <w:keepLines/>
        <w:spacing w:before="40" w:after="0" w:line="256" w:lineRule="auto"/>
        <w:ind w:left="360"/>
        <w:outlineLvl w:val="2"/>
        <w:rPr>
          <w:rFonts w:eastAsia="Times New Roman" w:cs="Open Sans"/>
          <w:color w:val="1F4D78" w:themeColor="accent1" w:themeShade="7F"/>
          <w:sz w:val="24"/>
          <w:szCs w:val="24"/>
        </w:rPr>
      </w:pPr>
    </w:p>
    <w:p w14:paraId="37E6040A" w14:textId="77777777" w:rsidR="00E30166" w:rsidRDefault="00E30166">
      <w:pPr>
        <w:rPr>
          <w:rFonts w:eastAsia="Times New Roman" w:cs="Open Sans"/>
          <w:color w:val="1F4D78" w:themeColor="accent1" w:themeShade="7F"/>
          <w:sz w:val="24"/>
          <w:szCs w:val="24"/>
        </w:rPr>
      </w:pPr>
      <w:r>
        <w:rPr>
          <w:rFonts w:eastAsia="Times New Roman" w:cs="Open Sans"/>
          <w:color w:val="1F4D78" w:themeColor="accent1" w:themeShade="7F"/>
          <w:sz w:val="24"/>
          <w:szCs w:val="24"/>
        </w:rPr>
        <w:br w:type="page"/>
      </w:r>
    </w:p>
    <w:p w14:paraId="6A9D03A7" w14:textId="15E61CA8" w:rsidR="00082BF3" w:rsidRPr="007334BE" w:rsidRDefault="00082BF3" w:rsidP="006301C5">
      <w:pPr>
        <w:keepNext/>
        <w:keepLines/>
        <w:numPr>
          <w:ilvl w:val="0"/>
          <w:numId w:val="3"/>
        </w:numPr>
        <w:spacing w:before="40" w:after="0" w:line="256" w:lineRule="auto"/>
        <w:outlineLvl w:val="2"/>
        <w:rPr>
          <w:rFonts w:eastAsia="Times New Roman" w:cs="Open Sans"/>
          <w:color w:val="082640"/>
          <w:sz w:val="28"/>
          <w:szCs w:val="28"/>
        </w:rPr>
      </w:pPr>
      <w:r w:rsidRPr="007334BE">
        <w:rPr>
          <w:rFonts w:eastAsia="Times New Roman" w:cs="Open Sans"/>
          <w:color w:val="082640"/>
          <w:sz w:val="28"/>
          <w:szCs w:val="28"/>
        </w:rPr>
        <w:lastRenderedPageBreak/>
        <w:t>Open and transparent</w:t>
      </w:r>
    </w:p>
    <w:p w14:paraId="24A21A47" w14:textId="155ADC32" w:rsidR="00082BF3" w:rsidRPr="005A4795" w:rsidRDefault="00082BF3" w:rsidP="0095013C">
      <w:pPr>
        <w:numPr>
          <w:ilvl w:val="0"/>
          <w:numId w:val="4"/>
        </w:numPr>
        <w:spacing w:after="200" w:line="276" w:lineRule="auto"/>
        <w:contextualSpacing/>
        <w:rPr>
          <w:rFonts w:cs="Open Sans"/>
        </w:rPr>
      </w:pPr>
      <w:r w:rsidRPr="005A4795">
        <w:rPr>
          <w:rFonts w:cs="Open Sans"/>
        </w:rPr>
        <w:t>Plan and undertake engagement activities to identify the needs</w:t>
      </w:r>
      <w:r w:rsidR="0075175F" w:rsidRPr="005A4795">
        <w:rPr>
          <w:rFonts w:cs="Open Sans"/>
        </w:rPr>
        <w:t xml:space="preserve"> and views</w:t>
      </w:r>
      <w:r w:rsidRPr="005A4795">
        <w:rPr>
          <w:rFonts w:cs="Open Sans"/>
        </w:rPr>
        <w:t xml:space="preserve"> of individuals, families and communities</w:t>
      </w:r>
      <w:r w:rsidR="000A5E23" w:rsidRPr="005A4795">
        <w:rPr>
          <w:rFonts w:cs="Open Sans"/>
        </w:rPr>
        <w:t xml:space="preserve"> including</w:t>
      </w:r>
      <w:r w:rsidRPr="005A4795">
        <w:rPr>
          <w:rFonts w:cs="Open Sans"/>
        </w:rPr>
        <w:t xml:space="preserve"> through co-design and shared decision</w:t>
      </w:r>
      <w:r w:rsidR="009B49F6" w:rsidRPr="005A4795">
        <w:rPr>
          <w:rFonts w:cs="Open Sans"/>
        </w:rPr>
        <w:t>-</w:t>
      </w:r>
      <w:r w:rsidRPr="005A4795">
        <w:rPr>
          <w:rFonts w:cs="Open Sans"/>
        </w:rPr>
        <w:t>making processes</w:t>
      </w:r>
      <w:r w:rsidR="009425C3" w:rsidRPr="005A4795">
        <w:rPr>
          <w:rFonts w:cs="Open Sans"/>
        </w:rPr>
        <w:t>,</w:t>
      </w:r>
      <w:r w:rsidR="00337672" w:rsidRPr="005A4795">
        <w:rPr>
          <w:rFonts w:cs="Open Sans"/>
        </w:rPr>
        <w:t xml:space="preserve"> </w:t>
      </w:r>
      <w:r w:rsidR="008360CA" w:rsidRPr="005A4795">
        <w:rPr>
          <w:rFonts w:cs="Open Sans"/>
        </w:rPr>
        <w:t>whe</w:t>
      </w:r>
      <w:r w:rsidR="009425C3" w:rsidRPr="005A4795">
        <w:rPr>
          <w:rFonts w:cs="Open Sans"/>
        </w:rPr>
        <w:t>re appropriate</w:t>
      </w:r>
      <w:r w:rsidR="009B7B34" w:rsidRPr="005A4795">
        <w:rPr>
          <w:rFonts w:cs="Open Sans"/>
        </w:rPr>
        <w:t>, and avoiding duplication of consultation, where possible</w:t>
      </w:r>
      <w:r w:rsidR="009E5FA0" w:rsidRPr="005A4795">
        <w:rPr>
          <w:rFonts w:cs="Open Sans"/>
        </w:rPr>
        <w:t>.</w:t>
      </w:r>
    </w:p>
    <w:p w14:paraId="79D6CBE3" w14:textId="3103C15C" w:rsidR="00082BF3" w:rsidRPr="00604A9C" w:rsidRDefault="00082BF3" w:rsidP="0095013C">
      <w:pPr>
        <w:numPr>
          <w:ilvl w:val="0"/>
          <w:numId w:val="4"/>
        </w:numPr>
        <w:spacing w:after="200" w:line="276" w:lineRule="auto"/>
        <w:contextualSpacing/>
      </w:pPr>
      <w:r w:rsidRPr="00604A9C">
        <w:t>Clear and timely communication with impacted individuals, families and communities, ensuring diverse groups</w:t>
      </w:r>
      <w:r w:rsidR="006B7B1F" w:rsidRPr="00604A9C">
        <w:t xml:space="preserve"> </w:t>
      </w:r>
      <w:r w:rsidRPr="00604A9C">
        <w:t xml:space="preserve">are engaged </w:t>
      </w:r>
      <w:r w:rsidR="004C3D2A" w:rsidRPr="00604A9C">
        <w:t xml:space="preserve">in </w:t>
      </w:r>
      <w:r w:rsidR="002110DF" w:rsidRPr="00604A9C">
        <w:t>culturally appropriate</w:t>
      </w:r>
      <w:r w:rsidR="004C3D2A" w:rsidRPr="00604A9C">
        <w:t xml:space="preserve"> way</w:t>
      </w:r>
      <w:r w:rsidR="0088380C" w:rsidRPr="00604A9C">
        <w:t>s</w:t>
      </w:r>
      <w:r w:rsidR="00F562C3" w:rsidRPr="00604A9C">
        <w:t>,</w:t>
      </w:r>
      <w:r w:rsidRPr="00604A9C">
        <w:t xml:space="preserve"> </w:t>
      </w:r>
      <w:r w:rsidR="00F562C3" w:rsidRPr="00604A9C">
        <w:t xml:space="preserve">including </w:t>
      </w:r>
      <w:r w:rsidR="001A4CD5" w:rsidRPr="001A4CD5">
        <w:t xml:space="preserve">accessible information for people with disability and </w:t>
      </w:r>
      <w:r w:rsidR="000B3D16" w:rsidRPr="00604A9C">
        <w:t>in</w:t>
      </w:r>
      <w:r w:rsidR="00604BA8" w:rsidRPr="00604A9C">
        <w:rPr>
          <w:rFonts w:cstheme="minorHAnsi"/>
        </w:rPr>
        <w:t>-</w:t>
      </w:r>
      <w:r w:rsidR="000B3D16" w:rsidRPr="00604A9C">
        <w:t>language</w:t>
      </w:r>
      <w:r w:rsidR="002110DF" w:rsidRPr="00604A9C">
        <w:t xml:space="preserve"> for First Nations and culturally and linguistically diverse communities</w:t>
      </w:r>
      <w:r w:rsidR="000B3D16" w:rsidRPr="00604A9C">
        <w:t xml:space="preserve">, where </w:t>
      </w:r>
      <w:r w:rsidR="009425C3" w:rsidRPr="00604A9C">
        <w:t>appropriate</w:t>
      </w:r>
      <w:r w:rsidR="009E5FA0">
        <w:t>.</w:t>
      </w:r>
    </w:p>
    <w:p w14:paraId="4058C936" w14:textId="0D6510BF" w:rsidR="00082BF3" w:rsidRDefault="00082BF3" w:rsidP="00E30166">
      <w:pPr>
        <w:numPr>
          <w:ilvl w:val="0"/>
          <w:numId w:val="4"/>
        </w:numPr>
        <w:spacing w:after="200" w:line="276" w:lineRule="auto"/>
        <w:contextualSpacing/>
      </w:pPr>
      <w:r w:rsidRPr="00604A9C">
        <w:t xml:space="preserve">Ensure there are mechanisms to </w:t>
      </w:r>
      <w:r w:rsidR="009E475B" w:rsidRPr="00604A9C">
        <w:t>receive</w:t>
      </w:r>
      <w:r w:rsidRPr="00604A9C">
        <w:t xml:space="preserve"> feedback </w:t>
      </w:r>
      <w:r w:rsidR="000A5E23" w:rsidRPr="00604A9C">
        <w:t>and share how the</w:t>
      </w:r>
      <w:r w:rsidR="0037156D">
        <w:t xml:space="preserve"> perspectives of the</w:t>
      </w:r>
      <w:r w:rsidR="000A5E23" w:rsidRPr="00604A9C">
        <w:t xml:space="preserve"> sector</w:t>
      </w:r>
      <w:r w:rsidR="00ED657F">
        <w:t>, individuals, families</w:t>
      </w:r>
      <w:r w:rsidR="000A5E23" w:rsidRPr="00604A9C">
        <w:t xml:space="preserve"> and communities</w:t>
      </w:r>
      <w:r w:rsidR="00947AC6">
        <w:t xml:space="preserve"> </w:t>
      </w:r>
      <w:r w:rsidR="000A5E23" w:rsidRPr="00604A9C">
        <w:t>have contributed to decision-making</w:t>
      </w:r>
      <w:r w:rsidR="000126DE">
        <w:t>.</w:t>
      </w:r>
    </w:p>
    <w:p w14:paraId="337914FB" w14:textId="79401B4B" w:rsidR="00E30166" w:rsidRDefault="00E30166" w:rsidP="00E30166">
      <w:pPr>
        <w:spacing w:after="200" w:line="276" w:lineRule="auto"/>
        <w:ind w:left="720"/>
        <w:contextualSpacing/>
      </w:pPr>
      <w:r>
        <w:rPr>
          <w:noProof/>
        </w:rPr>
        <mc:AlternateContent>
          <mc:Choice Requires="wps">
            <w:drawing>
              <wp:anchor distT="0" distB="0" distL="114300" distR="114300" simplePos="0" relativeHeight="251663360" behindDoc="1" locked="0" layoutInCell="1" allowOverlap="1" wp14:anchorId="6E408C27" wp14:editId="5B3515D0">
                <wp:simplePos x="0" y="0"/>
                <wp:positionH relativeFrom="margin">
                  <wp:posOffset>-181701</wp:posOffset>
                </wp:positionH>
                <wp:positionV relativeFrom="paragraph">
                  <wp:posOffset>25400</wp:posOffset>
                </wp:positionV>
                <wp:extent cx="6105525" cy="3950970"/>
                <wp:effectExtent l="76200" t="38100" r="85725" b="106680"/>
                <wp:wrapNone/>
                <wp:docPr id="2072056539"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5525" cy="3950970"/>
                        </a:xfrm>
                        <a:prstGeom prst="roundRect">
                          <a:avLst>
                            <a:gd name="adj" fmla="val 11570"/>
                          </a:avLst>
                        </a:prstGeom>
                        <a:solidFill>
                          <a:schemeClr val="bg1"/>
                        </a:solidFill>
                        <a:ln w="38100">
                          <a:solidFill>
                            <a:srgbClr val="082640"/>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A8562E" id="Rectangle: Rounded Corners 1" o:spid="_x0000_s1026" alt="&quot;&quot;" style="position:absolute;margin-left:-14.3pt;margin-top:2pt;width:480.75pt;height:311.1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7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RX/gIAAHcGAAAOAAAAZHJzL2Uyb0RvYy54bWysVUtv2zAMvg/YfxB0X21ncZcGdYqgRYcB&#10;RVs0HXpW9Ii1yZImKXGyXz9KfiTdih2G9aCKJvmR/Egxl1f7RqEdd14aXeHiLMeIa2qY1JsKf32+&#10;/TDDyAeiGVFG8wofuMdXi/fvLls75xNTG8W4QwCi/by1Fa5DsPMs87TmDfFnxnINSmFcQwKIbpMx&#10;R1pAb1Q2yfPzrDWOWWco9x6+3nRKvEj4QnAaHoTwPCBVYcgtpNOlcx3PbHFJ5htHbC1pnwb5hywa&#10;IjUEHaFuSCBo6+QfUI2kzngjwhk1TWaEkJSnGqCaIv+tmlVNLE+1ADnejjT5/wdL73cr++iAhtb6&#10;uYdrrGIvXBP/Q35on8g6jGTxfUAUPp4XeVlOSowo6D5elPnFp0RndnS3zofP3DQoXirszFazJ2hJ&#10;Yors7nxIlDGkSQOzQdg3jESjoAE7olBRlCNibwzYA2b09EZJdiuVSkIcGX6tHALnCq83RWwueLyy&#10;Uhq1kO6syPOUxSuld5v1CJDPJufToaITM0BUOgbkabz6Isw2cLeqWYvWauueCKtwmc8gCGIy1t5F&#10;BAFmr5zm8Q8jojbwaAJGzoQXGerU70h0hI+FjsmsFaHfO9qUrUlXYoLpi+ytU8FjLkk6STM79jjd&#10;wkHxGErpJy6QZNDVScfKay4JpVyHolPVhPEuflHGKnqSB48UMwFGZAHNGbF7gMGyAxmwO5je/kjv&#10;6Ny362/OXaXgkSIbHUbnRmrj3qpMQVV95M4e0j+hJl7Xhh0eXWxRegje0lsJrbkjPjwSB7MKjYQF&#10;GB7gEMrAdJn+hlFt3M+3vkd7eMOgxaiF5VNh/2NLHMdIfdHwui+KKYweCkmYlp8mILhTzfpUo7fN&#10;tYGRL2DVWpqu0T6o4SqcaV5gTy5jVFARTSF2hWlwg3AduqUIm5by5TKZwYayJNzplaURPLIax+x5&#10;/0Kc7d90gHVwb4ZFRebpoXaMHm2jpzbLbTBChqg88toLsN3S4PSbOK7PUzlZHX8vFr8AAAD//wMA&#10;UEsDBBQABgAIAAAAIQDUdkOr4AAAAAkBAAAPAAAAZHJzL2Rvd25yZXYueG1sTI9BS8NAFITvgv9h&#10;eYK3dmOsSxrzUkSwIIjU1Iu3TfaZRLO7Ibtto7/e50mPwwwz3xSb2Q7iSFPovUO4WiYgyDXe9K5F&#10;eN0/LDIQIWpn9OAdIXxRgE15flbo3PiTe6FjFVvBJS7kGqGLccylDE1HVoelH8mx9+4nqyPLqZVm&#10;0icut4NMk0RJq3vHC50e6b6j5rM6WISb7S5Uz/vvWmUqWW136m1++nhEvLyY725BRJrjXxh+8Rkd&#10;Smaq/cGZIAaERZopjiKs+BL76+t0DaJGUKlKQZaF/P+g/AEAAP//AwBQSwECLQAUAAYACAAAACEA&#10;toM4kv4AAADhAQAAEwAAAAAAAAAAAAAAAAAAAAAAW0NvbnRlbnRfVHlwZXNdLnhtbFBLAQItABQA&#10;BgAIAAAAIQA4/SH/1gAAAJQBAAALAAAAAAAAAAAAAAAAAC8BAABfcmVscy8ucmVsc1BLAQItABQA&#10;BgAIAAAAIQDP3jRX/gIAAHcGAAAOAAAAAAAAAAAAAAAAAC4CAABkcnMvZTJvRG9jLnhtbFBLAQIt&#10;ABQABgAIAAAAIQDUdkOr4AAAAAkBAAAPAAAAAAAAAAAAAAAAAFgFAABkcnMvZG93bnJldi54bWxQ&#10;SwUGAAAAAAQABADzAAAAZQYAAAAA&#10;" fillcolor="white [3212]" strokecolor="#082640" strokeweight="3pt">
                <v:stroke joinstyle="miter"/>
                <v:shadow on="t" color="black" opacity="26214f" origin=",-.5" offset="0,3pt"/>
                <w10:wrap anchorx="margin"/>
              </v:roundrect>
            </w:pict>
          </mc:Fallback>
        </mc:AlternateContent>
      </w:r>
    </w:p>
    <w:p w14:paraId="2921821C" w14:textId="098B4F96" w:rsidR="00A07C67" w:rsidRPr="005A4795" w:rsidRDefault="00EA1EB5" w:rsidP="00E30166">
      <w:pPr>
        <w:spacing w:after="0" w:line="276" w:lineRule="auto"/>
        <w:rPr>
          <w:rFonts w:cs="Open Sans"/>
          <w:b/>
          <w:bCs/>
        </w:rPr>
      </w:pPr>
      <w:r w:rsidRPr="005A4795">
        <w:rPr>
          <w:rFonts w:cs="Open Sans"/>
          <w:b/>
          <w:bCs/>
        </w:rPr>
        <w:t xml:space="preserve">Example </w:t>
      </w:r>
      <w:r w:rsidR="00D84241" w:rsidRPr="005A4795">
        <w:rPr>
          <w:rFonts w:cs="Open Sans"/>
          <w:b/>
          <w:bCs/>
        </w:rPr>
        <w:t>that</w:t>
      </w:r>
      <w:r w:rsidR="00D970D6" w:rsidRPr="005A4795">
        <w:rPr>
          <w:rFonts w:cs="Open Sans"/>
          <w:b/>
          <w:bCs/>
        </w:rPr>
        <w:t xml:space="preserve"> </w:t>
      </w:r>
      <w:r w:rsidR="00A0558C" w:rsidRPr="005A4795">
        <w:rPr>
          <w:rFonts w:cs="Open Sans"/>
          <w:b/>
          <w:bCs/>
        </w:rPr>
        <w:t>demonstra</w:t>
      </w:r>
      <w:r w:rsidR="00D84241" w:rsidRPr="005A4795">
        <w:rPr>
          <w:rFonts w:cs="Open Sans"/>
          <w:b/>
          <w:bCs/>
        </w:rPr>
        <w:t>te</w:t>
      </w:r>
      <w:r w:rsidR="00B42984" w:rsidRPr="005A4795">
        <w:rPr>
          <w:rFonts w:cs="Open Sans"/>
          <w:b/>
          <w:bCs/>
        </w:rPr>
        <w:t>s</w:t>
      </w:r>
      <w:r w:rsidR="00D970D6" w:rsidRPr="005A4795">
        <w:rPr>
          <w:rFonts w:cs="Open Sans"/>
          <w:b/>
          <w:bCs/>
        </w:rPr>
        <w:t xml:space="preserve"> this principle: </w:t>
      </w:r>
    </w:p>
    <w:p w14:paraId="760C7FCC" w14:textId="3F3B9581" w:rsidR="00740D36" w:rsidRPr="005A4795" w:rsidRDefault="00740D36" w:rsidP="00E30166">
      <w:pPr>
        <w:rPr>
          <w:rFonts w:cs="Open Sans"/>
        </w:rPr>
      </w:pPr>
      <w:hyperlink r:id="rId13" w:anchor="design-of-the-improving-multidisciplinary-response-program" w:history="1">
        <w:r w:rsidRPr="005A4795">
          <w:rPr>
            <w:rStyle w:val="Hyperlink"/>
            <w:rFonts w:cs="Open Sans"/>
            <w:i/>
            <w:iCs/>
          </w:rPr>
          <w:t>The Improving Multidisciplinary Responses (IMR) program</w:t>
        </w:r>
      </w:hyperlink>
      <w:r w:rsidRPr="005A4795">
        <w:rPr>
          <w:rFonts w:cs="Open Sans"/>
        </w:rPr>
        <w:t xml:space="preserve"> – A measure of the 2021 Closing the Gap Implementation Plan and a Safe and Supported action, to address Target 12 (reduce the number of Aboriginal and Torres Strait Islander children in</w:t>
      </w:r>
      <w:r w:rsidR="00E86A96" w:rsidRPr="005A4795">
        <w:rPr>
          <w:rFonts w:cs="Open Sans"/>
        </w:rPr>
        <w:t> </w:t>
      </w:r>
      <w:r w:rsidRPr="005A4795">
        <w:rPr>
          <w:rFonts w:cs="Open Sans"/>
        </w:rPr>
        <w:t>out</w:t>
      </w:r>
      <w:r w:rsidR="00E86A96" w:rsidRPr="005A4795">
        <w:rPr>
          <w:rFonts w:cs="Open Sans"/>
        </w:rPr>
        <w:noBreakHyphen/>
      </w:r>
      <w:r w:rsidR="00ED657F" w:rsidRPr="005A4795">
        <w:rPr>
          <w:rFonts w:cs="Open Sans"/>
        </w:rPr>
        <w:t>o</w:t>
      </w:r>
      <w:r w:rsidRPr="005A4795">
        <w:rPr>
          <w:rFonts w:cs="Open Sans"/>
        </w:rPr>
        <w:t>f-home care). It is a national, multi-jurisdictional initiative, which aims to</w:t>
      </w:r>
      <w:r w:rsidR="00E86A96" w:rsidRPr="005A4795">
        <w:rPr>
          <w:rFonts w:cs="Open Sans"/>
        </w:rPr>
        <w:t> </w:t>
      </w:r>
      <w:r w:rsidRPr="005A4795">
        <w:rPr>
          <w:rFonts w:cs="Open Sans"/>
        </w:rPr>
        <w:t>enhance and support holistic responses to First Nations families with multiple and complex needs in culturally, geographically and socially diverse contexts. Examples of</w:t>
      </w:r>
      <w:r w:rsidR="00E86A96" w:rsidRPr="005A4795">
        <w:rPr>
          <w:rFonts w:cs="Open Sans"/>
        </w:rPr>
        <w:t> </w:t>
      </w:r>
      <w:r w:rsidRPr="005A4795">
        <w:rPr>
          <w:rFonts w:cs="Open Sans"/>
        </w:rPr>
        <w:t>shared decision-making spanned the design, implement</w:t>
      </w:r>
      <w:r w:rsidR="0037156D" w:rsidRPr="005A4795">
        <w:rPr>
          <w:rFonts w:cs="Open Sans"/>
        </w:rPr>
        <w:t>ation</w:t>
      </w:r>
      <w:r w:rsidRPr="005A4795">
        <w:rPr>
          <w:rFonts w:cs="Open Sans"/>
        </w:rPr>
        <w:t xml:space="preserve"> and evaluation phases, including:</w:t>
      </w:r>
    </w:p>
    <w:p w14:paraId="588F9AA3" w14:textId="645363AD" w:rsidR="00740D36" w:rsidRPr="005A4795" w:rsidRDefault="00740D36" w:rsidP="00E30166">
      <w:pPr>
        <w:pStyle w:val="ListParagraph"/>
        <w:numPr>
          <w:ilvl w:val="0"/>
          <w:numId w:val="11"/>
        </w:numPr>
        <w:spacing w:after="200" w:line="276" w:lineRule="auto"/>
        <w:ind w:left="360"/>
        <w:rPr>
          <w:rFonts w:cs="Open Sans"/>
        </w:rPr>
      </w:pPr>
      <w:r w:rsidRPr="005A4795">
        <w:rPr>
          <w:rFonts w:cs="Open Sans"/>
        </w:rPr>
        <w:t>co-developing Grant Opportunity Guidelines with the</w:t>
      </w:r>
      <w:r w:rsidR="006C1A20" w:rsidRPr="005A4795">
        <w:rPr>
          <w:rFonts w:cs="Open Sans"/>
        </w:rPr>
        <w:t xml:space="preserve"> Safe and Supported Aboriginal and Torres Strait Islander</w:t>
      </w:r>
      <w:r w:rsidRPr="005A4795">
        <w:rPr>
          <w:rFonts w:cs="Open Sans"/>
        </w:rPr>
        <w:t xml:space="preserve"> Leadership Group</w:t>
      </w:r>
    </w:p>
    <w:p w14:paraId="182C3DDA" w14:textId="5376ED80" w:rsidR="00740D36" w:rsidRPr="005A4795" w:rsidRDefault="00740D36" w:rsidP="00E30166">
      <w:pPr>
        <w:pStyle w:val="ListParagraph"/>
        <w:numPr>
          <w:ilvl w:val="0"/>
          <w:numId w:val="11"/>
        </w:numPr>
        <w:spacing w:after="200" w:line="276" w:lineRule="auto"/>
        <w:ind w:left="360"/>
        <w:rPr>
          <w:rFonts w:cs="Open Sans"/>
        </w:rPr>
      </w:pPr>
      <w:r w:rsidRPr="005A4795">
        <w:rPr>
          <w:rFonts w:cs="Open Sans"/>
        </w:rPr>
        <w:t xml:space="preserve">engaging First Nations providers to undertake community consultations in two locations  </w:t>
      </w:r>
    </w:p>
    <w:p w14:paraId="744D977A" w14:textId="294D861F" w:rsidR="00740D36" w:rsidRPr="005A4795" w:rsidRDefault="00740D36" w:rsidP="00E30166">
      <w:pPr>
        <w:pStyle w:val="ListParagraph"/>
        <w:numPr>
          <w:ilvl w:val="0"/>
          <w:numId w:val="11"/>
        </w:numPr>
        <w:spacing w:after="200" w:line="276" w:lineRule="auto"/>
        <w:ind w:left="360"/>
        <w:rPr>
          <w:rFonts w:cs="Open Sans"/>
        </w:rPr>
      </w:pPr>
      <w:r w:rsidRPr="005A4795">
        <w:rPr>
          <w:rFonts w:cs="Open Sans"/>
        </w:rPr>
        <w:t>engaging with community to promote the grant opportunity</w:t>
      </w:r>
    </w:p>
    <w:p w14:paraId="5FB927DE" w14:textId="30500AA5" w:rsidR="00740D36" w:rsidRPr="005A4795" w:rsidRDefault="00740D36" w:rsidP="00E30166">
      <w:pPr>
        <w:pStyle w:val="ListParagraph"/>
        <w:numPr>
          <w:ilvl w:val="0"/>
          <w:numId w:val="11"/>
        </w:numPr>
        <w:spacing w:after="200" w:line="276" w:lineRule="auto"/>
        <w:ind w:left="360"/>
        <w:rPr>
          <w:rFonts w:cs="Open Sans"/>
        </w:rPr>
      </w:pPr>
      <w:r w:rsidRPr="005A4795">
        <w:rPr>
          <w:rFonts w:cs="Open Sans"/>
        </w:rPr>
        <w:t xml:space="preserve">partnering with jurisdictions and First Nations representatives to co-select grant recipients </w:t>
      </w:r>
    </w:p>
    <w:p w14:paraId="5D3B55ED" w14:textId="4787BC40" w:rsidR="00740D36" w:rsidRDefault="00740D36" w:rsidP="00E30166">
      <w:pPr>
        <w:pStyle w:val="ListParagraph"/>
        <w:numPr>
          <w:ilvl w:val="0"/>
          <w:numId w:val="11"/>
        </w:numPr>
        <w:spacing w:after="200" w:line="276" w:lineRule="auto"/>
        <w:ind w:left="360"/>
        <w:rPr>
          <w:rFonts w:cs="Open Sans"/>
        </w:rPr>
      </w:pPr>
      <w:r w:rsidRPr="005A4795">
        <w:rPr>
          <w:rFonts w:cs="Open Sans"/>
        </w:rPr>
        <w:t xml:space="preserve">evaluation approaches to be co-designed with local community. </w:t>
      </w:r>
    </w:p>
    <w:p w14:paraId="2FF953DC" w14:textId="47D510BB" w:rsidR="00E30166" w:rsidRPr="005A4795" w:rsidRDefault="00E30166" w:rsidP="00E30166">
      <w:pPr>
        <w:pStyle w:val="ListParagraph"/>
        <w:spacing w:after="200" w:line="276" w:lineRule="auto"/>
        <w:ind w:left="360"/>
        <w:rPr>
          <w:rFonts w:cs="Open Sans"/>
        </w:rPr>
      </w:pPr>
    </w:p>
    <w:p w14:paraId="292BFF4D" w14:textId="5590ACC3" w:rsidR="00082BF3" w:rsidRPr="007334BE" w:rsidRDefault="00082BF3" w:rsidP="0095013C">
      <w:pPr>
        <w:keepNext/>
        <w:keepLines/>
        <w:numPr>
          <w:ilvl w:val="0"/>
          <w:numId w:val="3"/>
        </w:numPr>
        <w:spacing w:before="40" w:after="0" w:line="256" w:lineRule="auto"/>
        <w:ind w:hanging="357"/>
        <w:outlineLvl w:val="2"/>
        <w:rPr>
          <w:rFonts w:eastAsia="Times New Roman" w:cs="Open Sans"/>
          <w:color w:val="082640"/>
          <w:sz w:val="24"/>
          <w:szCs w:val="24"/>
        </w:rPr>
      </w:pPr>
      <w:r w:rsidRPr="007334BE">
        <w:rPr>
          <w:rFonts w:eastAsia="Times New Roman" w:cs="Open Sans"/>
          <w:color w:val="082640"/>
          <w:sz w:val="28"/>
          <w:szCs w:val="28"/>
        </w:rPr>
        <w:t>Innovative</w:t>
      </w:r>
    </w:p>
    <w:p w14:paraId="17EDE8EB" w14:textId="26854206" w:rsidR="00082BF3" w:rsidRPr="005A4795" w:rsidRDefault="00082BF3" w:rsidP="0095013C">
      <w:pPr>
        <w:keepNext/>
        <w:numPr>
          <w:ilvl w:val="0"/>
          <w:numId w:val="4"/>
        </w:numPr>
        <w:spacing w:after="200" w:line="276" w:lineRule="auto"/>
        <w:ind w:hanging="357"/>
        <w:contextualSpacing/>
        <w:rPr>
          <w:rFonts w:cs="Open Sans"/>
        </w:rPr>
      </w:pPr>
      <w:r w:rsidRPr="005A4795">
        <w:rPr>
          <w:rFonts w:cs="Open Sans"/>
        </w:rPr>
        <w:t>Identify barriers and explore opportunities for change to further improve outcomes for individuals, families and communities</w:t>
      </w:r>
      <w:r w:rsidR="0037156D" w:rsidRPr="005A4795">
        <w:rPr>
          <w:rFonts w:cs="Open Sans"/>
        </w:rPr>
        <w:t>.</w:t>
      </w:r>
    </w:p>
    <w:p w14:paraId="1D0D3ED6" w14:textId="647E47BC" w:rsidR="00082BF3" w:rsidRPr="005A4795" w:rsidRDefault="00082BF3" w:rsidP="0095013C">
      <w:pPr>
        <w:keepNext/>
        <w:numPr>
          <w:ilvl w:val="0"/>
          <w:numId w:val="4"/>
        </w:numPr>
        <w:spacing w:after="200" w:line="276" w:lineRule="auto"/>
        <w:ind w:hanging="357"/>
        <w:contextualSpacing/>
        <w:rPr>
          <w:rFonts w:cs="Open Sans"/>
        </w:rPr>
      </w:pPr>
      <w:r w:rsidRPr="005A4795">
        <w:rPr>
          <w:rFonts w:cs="Open Sans"/>
        </w:rPr>
        <w:t xml:space="preserve">Pursue opportunities for trialling and testing </w:t>
      </w:r>
      <w:r w:rsidR="0026665C" w:rsidRPr="005A4795">
        <w:rPr>
          <w:rFonts w:cs="Open Sans"/>
        </w:rPr>
        <w:t xml:space="preserve">different </w:t>
      </w:r>
      <w:r w:rsidRPr="005A4795">
        <w:rPr>
          <w:rFonts w:cs="Open Sans"/>
        </w:rPr>
        <w:t>approaches</w:t>
      </w:r>
      <w:r w:rsidR="00096F7F" w:rsidRPr="005A4795">
        <w:rPr>
          <w:rFonts w:cs="Open Sans"/>
        </w:rPr>
        <w:t xml:space="preserve">, including </w:t>
      </w:r>
      <w:r w:rsidR="002110DF" w:rsidRPr="005A4795">
        <w:rPr>
          <w:rFonts w:cs="Open Sans"/>
        </w:rPr>
        <w:t xml:space="preserve">for </w:t>
      </w:r>
      <w:r w:rsidR="00096F7F" w:rsidRPr="005A4795">
        <w:rPr>
          <w:rFonts w:cs="Open Sans"/>
        </w:rPr>
        <w:t>early intervention</w:t>
      </w:r>
      <w:r w:rsidR="002110DF" w:rsidRPr="005A4795">
        <w:rPr>
          <w:rFonts w:cs="Open Sans"/>
        </w:rPr>
        <w:t xml:space="preserve"> and prevention</w:t>
      </w:r>
      <w:r w:rsidR="00096F7F" w:rsidRPr="005A4795">
        <w:rPr>
          <w:rFonts w:cs="Open Sans"/>
        </w:rPr>
        <w:t>,</w:t>
      </w:r>
      <w:r w:rsidRPr="005A4795">
        <w:rPr>
          <w:rFonts w:cs="Open Sans"/>
        </w:rPr>
        <w:t xml:space="preserve"> to meet the unique needs of communities</w:t>
      </w:r>
      <w:r w:rsidR="0037156D" w:rsidRPr="005A4795">
        <w:rPr>
          <w:rFonts w:cs="Open Sans"/>
        </w:rPr>
        <w:t>.</w:t>
      </w:r>
    </w:p>
    <w:p w14:paraId="04BD4DC5" w14:textId="4F9E6489" w:rsidR="00D102F9" w:rsidRDefault="00082BF3" w:rsidP="0095013C">
      <w:pPr>
        <w:keepNext/>
        <w:numPr>
          <w:ilvl w:val="0"/>
          <w:numId w:val="4"/>
        </w:numPr>
        <w:spacing w:after="200" w:line="276" w:lineRule="auto"/>
        <w:ind w:hanging="357"/>
        <w:contextualSpacing/>
        <w:rPr>
          <w:rFonts w:cs="Open Sans"/>
        </w:rPr>
      </w:pPr>
      <w:r w:rsidRPr="005A4795">
        <w:rPr>
          <w:rFonts w:cs="Open Sans"/>
        </w:rPr>
        <w:t>Actively engage to listen, understand and share learnings from trials of new approaches</w:t>
      </w:r>
      <w:r w:rsidR="0037156D" w:rsidRPr="005A4795">
        <w:rPr>
          <w:rFonts w:cs="Open Sans"/>
        </w:rPr>
        <w:t>.</w:t>
      </w:r>
    </w:p>
    <w:p w14:paraId="3CC2BD54" w14:textId="77777777" w:rsidR="00E30166" w:rsidRPr="005A4795" w:rsidRDefault="00E30166" w:rsidP="00E30166">
      <w:pPr>
        <w:keepNext/>
        <w:spacing w:after="200" w:line="276" w:lineRule="auto"/>
        <w:ind w:left="720"/>
        <w:contextualSpacing/>
        <w:rPr>
          <w:rFonts w:cs="Open Sans"/>
        </w:rPr>
      </w:pPr>
    </w:p>
    <w:p w14:paraId="5EC6015A" w14:textId="77777777" w:rsidR="00E30166" w:rsidRDefault="00E30166">
      <w:pPr>
        <w:rPr>
          <w:rFonts w:cs="Open Sans"/>
          <w:b/>
          <w:bCs/>
        </w:rPr>
      </w:pPr>
      <w:r>
        <w:rPr>
          <w:rFonts w:cs="Open Sans"/>
          <w:b/>
          <w:bCs/>
        </w:rPr>
        <w:br w:type="page"/>
      </w:r>
    </w:p>
    <w:p w14:paraId="66668AA5" w14:textId="54046929" w:rsidR="00A07C67" w:rsidRPr="005A4795" w:rsidRDefault="00E30166" w:rsidP="00E30166">
      <w:pPr>
        <w:spacing w:after="0" w:line="276" w:lineRule="auto"/>
        <w:rPr>
          <w:rFonts w:cs="Open Sans"/>
          <w:b/>
          <w:bCs/>
        </w:rPr>
      </w:pPr>
      <w:r>
        <w:rPr>
          <w:noProof/>
        </w:rPr>
        <w:lastRenderedPageBreak/>
        <mc:AlternateContent>
          <mc:Choice Requires="wps">
            <w:drawing>
              <wp:anchor distT="0" distB="0" distL="114300" distR="114300" simplePos="0" relativeHeight="251665408" behindDoc="1" locked="0" layoutInCell="1" allowOverlap="1" wp14:anchorId="35AA096C" wp14:editId="38153FBB">
                <wp:simplePos x="0" y="0"/>
                <wp:positionH relativeFrom="margin">
                  <wp:posOffset>-138158</wp:posOffset>
                </wp:positionH>
                <wp:positionV relativeFrom="paragraph">
                  <wp:posOffset>-106409</wp:posOffset>
                </wp:positionV>
                <wp:extent cx="6105525" cy="2016579"/>
                <wp:effectExtent l="76200" t="38100" r="85725" b="117475"/>
                <wp:wrapNone/>
                <wp:docPr id="1385195540"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5525" cy="2016579"/>
                        </a:xfrm>
                        <a:prstGeom prst="roundRect">
                          <a:avLst/>
                        </a:prstGeom>
                        <a:solidFill>
                          <a:schemeClr val="bg1"/>
                        </a:solidFill>
                        <a:ln w="38100">
                          <a:solidFill>
                            <a:srgbClr val="082640"/>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08B8D3" id="Rectangle: Rounded Corners 1" o:spid="_x0000_s1026" alt="&quot;&quot;" style="position:absolute;margin-left:-10.9pt;margin-top:-8.4pt;width:480.75pt;height:158.8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K95wIAAEsGAAAOAAAAZHJzL2Uyb0RvYy54bWysVd9P2zAQfp+0/8Hy+0jSNaVUpKgCMU1C&#10;gCiIZ9dxGmuO7Z3dpt1fv7OTpoWhPUzjwfhy5+/uvvvRy6tdo8hWgJNGFzQ7SykRmptS6nVBX55v&#10;v0wpcZ7pkimjRUH3wtGr+edPl62diZGpjSoFEATRbtbagtbe21mSOF6LhrkzY4VGZWWgYR5FWCcl&#10;sBbRG5WM0nSStAZKC4YL5/DrTaek84hfVYL7h6pywhNVUIzNxxPiuQpnMr9kszUwW0veh8H+IYqG&#10;SY1OB6gb5hnZgPwDqpEcjDOVP+OmSUxVSS5iDphNlr7LZlkzK2IuSI6zA03u/8Hy++3SPgLS0Fo3&#10;c3gNWewqaMJ/jI/sIln7gSyx84Tjx0mW5vkop4SjDoOf5OcXgc7k+NyC89+EaUi4FBTMRpdPWJLI&#10;FNveOd/ZH+yCS2eULG+lUlEIbSCuFZAtwwKu1lnv4Y2V0qQt6NdplqYR+Y3SwXo1AKTT0WQci45R&#10;npihpHRwKGLLYGAx+40XsKzLlqzUBp5YWdA8naITUsqQT+cRBeynfJyGP0qYWuMgeErA+Ffp61jD&#10;QF5ADIkOwawU4z86KpStWZdihOmT7K0jpeYQS5ROwkyOdYs3v1ciuFL6SVREllipUcfKWy4Z50L7&#10;rFPVrBSd/ywPWXRliUMY2I8+I2BArrA4A3YP8DF2B9Pbh6dd3MPjvlx/ezy8iJ6N9sPjRmoDH2Wm&#10;MKvec2eP4Z9QE64rU+4fIZQoNrez/FZiae6Y848McAFgIXGp+Qc8KmWwu0x/o6Q28Ouj78Ee5xK1&#10;lLS4UArqfm4YCErUd40Te5GNsfWIj8I4Px+hAKea1alGb5prgy2f4fq0PF6DvVeHawWmecXdtwhe&#10;UcU0R98F5R4OwrXvFh1uTy4Wi2iGW8cyf6eXlgfwwGpos+fdKwPbz6nHEb83h+XDZu8mtbMNL7VZ&#10;bLypZBzjI68937ixYuP02zWsxFM5Wh1/A+a/AQAA//8DAFBLAwQUAAYACAAAACEAfRQcSOEAAAAL&#10;AQAADwAAAGRycy9kb3ducmV2LnhtbEyPS0/DMBCE70j8B2uRuLV2WhTaEKeKQEhwQKilElc33iZR&#10;/Yhi5wG/nuUEt1ntaOabfDdbw0bsQ+udhGQpgKGrvG5dLeH48bzYAAtROa2MdyjhCwPsiuurXGXa&#10;T26P4yHWjEJcyJSEJsYu4zxUDVoVlr5DR7+z762KdPY1172aKNwavhIi5Va1jhoa1eFjg9XlMFgq&#10;MdO4/7R34wsev9/fXp/KtBxKKW9v5vIBWMQ5/pnhF5/QoSCmkx+cDsxIWKwSQo8kkpQEObbr7T2w&#10;k4S1EBvgRc7/byh+AAAA//8DAFBLAQItABQABgAIAAAAIQC2gziS/gAAAOEBAAATAAAAAAAAAAAA&#10;AAAAAAAAAABbQ29udGVudF9UeXBlc10ueG1sUEsBAi0AFAAGAAgAAAAhADj9If/WAAAAlAEAAAsA&#10;AAAAAAAAAAAAAAAALwEAAF9yZWxzLy5yZWxzUEsBAi0AFAAGAAgAAAAhALOo4r3nAgAASwYAAA4A&#10;AAAAAAAAAAAAAAAALgIAAGRycy9lMm9Eb2MueG1sUEsBAi0AFAAGAAgAAAAhAH0UHEjhAAAACwEA&#10;AA8AAAAAAAAAAAAAAAAAQQUAAGRycy9kb3ducmV2LnhtbFBLBQYAAAAABAAEAPMAAABPBgAAAAA=&#10;" fillcolor="white [3212]" strokecolor="#082640" strokeweight="3pt">
                <v:stroke joinstyle="miter"/>
                <v:shadow on="t" color="black" opacity="26214f" origin=",-.5" offset="0,3pt"/>
                <w10:wrap anchorx="margin"/>
              </v:roundrect>
            </w:pict>
          </mc:Fallback>
        </mc:AlternateContent>
      </w:r>
      <w:r w:rsidR="00EA1EB5" w:rsidRPr="005A4795">
        <w:rPr>
          <w:rFonts w:cs="Open Sans"/>
          <w:b/>
          <w:bCs/>
        </w:rPr>
        <w:t xml:space="preserve">Example </w:t>
      </w:r>
      <w:r w:rsidR="00D84241" w:rsidRPr="005A4795">
        <w:rPr>
          <w:rFonts w:cs="Open Sans"/>
          <w:b/>
          <w:bCs/>
        </w:rPr>
        <w:t xml:space="preserve">that </w:t>
      </w:r>
      <w:r w:rsidR="00A0558C" w:rsidRPr="005A4795">
        <w:rPr>
          <w:rFonts w:cs="Open Sans"/>
          <w:b/>
          <w:bCs/>
        </w:rPr>
        <w:t>demonstrat</w:t>
      </w:r>
      <w:r w:rsidR="00D84241" w:rsidRPr="005A4795">
        <w:rPr>
          <w:rFonts w:cs="Open Sans"/>
          <w:b/>
          <w:bCs/>
        </w:rPr>
        <w:t>e</w:t>
      </w:r>
      <w:r w:rsidR="008108D8" w:rsidRPr="005A4795">
        <w:rPr>
          <w:rFonts w:cs="Open Sans"/>
          <w:b/>
          <w:bCs/>
        </w:rPr>
        <w:t>s</w:t>
      </w:r>
      <w:r w:rsidR="00D970D6" w:rsidRPr="005A4795">
        <w:rPr>
          <w:rFonts w:cs="Open Sans"/>
          <w:b/>
          <w:bCs/>
        </w:rPr>
        <w:t xml:space="preserve"> this principle: </w:t>
      </w:r>
    </w:p>
    <w:bookmarkStart w:id="0" w:name="_Hlk187751621"/>
    <w:p w14:paraId="6A109C65" w14:textId="52837C2F" w:rsidR="00B42984" w:rsidRPr="005A4795" w:rsidRDefault="003126E0" w:rsidP="00E30166">
      <w:pPr>
        <w:rPr>
          <w:rFonts w:cs="Open Sans"/>
        </w:rPr>
      </w:pPr>
      <w:r w:rsidRPr="005A4795">
        <w:rPr>
          <w:rFonts w:cs="Open Sans"/>
        </w:rPr>
        <w:fldChar w:fldCharType="begin"/>
      </w:r>
      <w:r w:rsidRPr="005A4795">
        <w:rPr>
          <w:rFonts w:cs="Open Sans"/>
        </w:rPr>
        <w:instrText>HYPERLINK "https://www.dss.gov.au/stronger-places-stronger-people"</w:instrText>
      </w:r>
      <w:r w:rsidRPr="005A4795">
        <w:rPr>
          <w:rFonts w:cs="Open Sans"/>
        </w:rPr>
      </w:r>
      <w:r w:rsidRPr="005A4795">
        <w:rPr>
          <w:rFonts w:cs="Open Sans"/>
        </w:rPr>
        <w:fldChar w:fldCharType="separate"/>
      </w:r>
      <w:r w:rsidR="00B42984" w:rsidRPr="005A4795">
        <w:rPr>
          <w:rStyle w:val="Hyperlink"/>
          <w:rFonts w:cs="Open Sans"/>
        </w:rPr>
        <w:t>Stronger Places, Stronger People</w:t>
      </w:r>
      <w:r w:rsidRPr="005A4795">
        <w:rPr>
          <w:rFonts w:cs="Open Sans"/>
        </w:rPr>
        <w:fldChar w:fldCharType="end"/>
      </w:r>
      <w:r w:rsidR="00B42984" w:rsidRPr="005A4795">
        <w:rPr>
          <w:rFonts w:cs="Open Sans"/>
        </w:rPr>
        <w:t xml:space="preserve"> – A community-led, </w:t>
      </w:r>
      <w:r w:rsidR="00B30DEA" w:rsidRPr="005A4795">
        <w:rPr>
          <w:rFonts w:cs="Open Sans"/>
        </w:rPr>
        <w:t xml:space="preserve">collective impact initiative designed to improve the lives of children and their families, overseen by the </w:t>
      </w:r>
      <w:r w:rsidR="000126DE" w:rsidRPr="005A4795">
        <w:rPr>
          <w:rFonts w:cs="Open Sans"/>
        </w:rPr>
        <w:t>g</w:t>
      </w:r>
      <w:r w:rsidR="00B30DEA" w:rsidRPr="005A4795">
        <w:rPr>
          <w:rFonts w:cs="Open Sans"/>
        </w:rPr>
        <w:t xml:space="preserve">overnment in partnership with state and territory governments and 10 communities across Australia. Additional funding has been provided </w:t>
      </w:r>
      <w:r w:rsidR="00686C4F" w:rsidRPr="005A4795">
        <w:rPr>
          <w:rFonts w:cs="Open Sans"/>
        </w:rPr>
        <w:t>over 6</w:t>
      </w:r>
      <w:r w:rsidR="000126DE" w:rsidRPr="005A4795">
        <w:rPr>
          <w:rFonts w:cs="Open Sans"/>
        </w:rPr>
        <w:t xml:space="preserve"> </w:t>
      </w:r>
      <w:r w:rsidR="00B30DEA" w:rsidRPr="005A4795">
        <w:rPr>
          <w:rFonts w:cs="Open Sans"/>
        </w:rPr>
        <w:t xml:space="preserve">years </w:t>
      </w:r>
      <w:r w:rsidR="000126DE" w:rsidRPr="005A4795">
        <w:rPr>
          <w:rFonts w:cs="Open Sans"/>
        </w:rPr>
        <w:t>from</w:t>
      </w:r>
      <w:r w:rsidR="00CF1E50" w:rsidRPr="005A4795">
        <w:rPr>
          <w:rFonts w:cs="Open Sans"/>
        </w:rPr>
        <w:t xml:space="preserve"> </w:t>
      </w:r>
      <w:r w:rsidR="00B30DEA" w:rsidRPr="005A4795">
        <w:rPr>
          <w:rFonts w:cs="Open Sans"/>
        </w:rPr>
        <w:t xml:space="preserve">2028–29 to continue and enhance this initiative. Funding is provided to community-led initiatives through a </w:t>
      </w:r>
      <w:r w:rsidR="000126DE" w:rsidRPr="005A4795">
        <w:rPr>
          <w:rFonts w:cs="Open Sans"/>
        </w:rPr>
        <w:t>5</w:t>
      </w:r>
      <w:r w:rsidR="00B30DEA" w:rsidRPr="005A4795">
        <w:rPr>
          <w:rFonts w:cs="Open Sans"/>
        </w:rPr>
        <w:t>-year maturity model, to support the sustained progression of communities in building the capabilities required to work in partnership</w:t>
      </w:r>
      <w:r w:rsidR="00505EB4" w:rsidRPr="005A4795">
        <w:rPr>
          <w:rFonts w:cs="Open Sans"/>
        </w:rPr>
        <w:t>, developing and implementing a local agenda for change and sharing decision-making.</w:t>
      </w:r>
    </w:p>
    <w:bookmarkEnd w:id="0"/>
    <w:p w14:paraId="7CA4DCC1" w14:textId="6A5AB9DB" w:rsidR="00082BF3" w:rsidRPr="007334BE" w:rsidRDefault="00082BF3" w:rsidP="006301C5">
      <w:pPr>
        <w:pStyle w:val="ListParagraph"/>
        <w:numPr>
          <w:ilvl w:val="0"/>
          <w:numId w:val="3"/>
        </w:numPr>
        <w:rPr>
          <w:rFonts w:eastAsia="Times New Roman" w:cs="Open Sans"/>
          <w:color w:val="082640"/>
          <w:sz w:val="28"/>
          <w:szCs w:val="28"/>
        </w:rPr>
      </w:pPr>
      <w:r w:rsidRPr="007334BE">
        <w:rPr>
          <w:rFonts w:eastAsia="Times New Roman" w:cs="Open Sans"/>
          <w:color w:val="082640"/>
          <w:sz w:val="28"/>
          <w:szCs w:val="28"/>
        </w:rPr>
        <w:t>Outcomes focused</w:t>
      </w:r>
    </w:p>
    <w:p w14:paraId="5BB5E248" w14:textId="28C513A0" w:rsidR="00082BF3" w:rsidRPr="005A4795" w:rsidRDefault="00082BF3" w:rsidP="0095013C">
      <w:pPr>
        <w:numPr>
          <w:ilvl w:val="0"/>
          <w:numId w:val="4"/>
        </w:numPr>
        <w:spacing w:after="200" w:line="276" w:lineRule="auto"/>
        <w:contextualSpacing/>
        <w:rPr>
          <w:rFonts w:cs="Open Sans"/>
        </w:rPr>
      </w:pPr>
      <w:r w:rsidRPr="005A4795">
        <w:rPr>
          <w:rFonts w:cs="Open Sans"/>
        </w:rPr>
        <w:t xml:space="preserve">Collect data and evidence to </w:t>
      </w:r>
      <w:r w:rsidR="00400525" w:rsidRPr="005A4795">
        <w:rPr>
          <w:rFonts w:cs="Open Sans"/>
        </w:rPr>
        <w:t xml:space="preserve">build </w:t>
      </w:r>
      <w:r w:rsidR="00AE3A18" w:rsidRPr="005A4795">
        <w:rPr>
          <w:rFonts w:cs="Open Sans"/>
        </w:rPr>
        <w:t>a stronger</w:t>
      </w:r>
      <w:r w:rsidR="00400525" w:rsidRPr="005A4795">
        <w:rPr>
          <w:rFonts w:cs="Open Sans"/>
        </w:rPr>
        <w:t xml:space="preserve"> understanding of </w:t>
      </w:r>
      <w:r w:rsidR="00AE3A18" w:rsidRPr="005A4795">
        <w:rPr>
          <w:rFonts w:cs="Open Sans"/>
        </w:rPr>
        <w:t>individuals, families and communities, including their unique challenges and service need</w:t>
      </w:r>
      <w:r w:rsidR="00E056CB" w:rsidRPr="005A4795">
        <w:rPr>
          <w:rFonts w:cs="Open Sans"/>
        </w:rPr>
        <w:t>s</w:t>
      </w:r>
      <w:r w:rsidR="00900B79" w:rsidRPr="005A4795">
        <w:rPr>
          <w:rFonts w:cs="Open Sans"/>
        </w:rPr>
        <w:t>, by strengthening relationships with relevant subject matter experts</w:t>
      </w:r>
      <w:r w:rsidR="0037156D" w:rsidRPr="005A4795">
        <w:rPr>
          <w:rFonts w:cs="Open Sans"/>
        </w:rPr>
        <w:t>.</w:t>
      </w:r>
    </w:p>
    <w:p w14:paraId="6BB6BBE5" w14:textId="4472B736" w:rsidR="00082BF3" w:rsidRPr="005A4795" w:rsidRDefault="00082BF3" w:rsidP="0095013C">
      <w:pPr>
        <w:numPr>
          <w:ilvl w:val="0"/>
          <w:numId w:val="4"/>
        </w:numPr>
        <w:spacing w:after="200" w:line="276" w:lineRule="auto"/>
        <w:contextualSpacing/>
        <w:rPr>
          <w:rFonts w:cs="Open Sans"/>
        </w:rPr>
      </w:pPr>
      <w:r w:rsidRPr="005A4795">
        <w:rPr>
          <w:rFonts w:cs="Open Sans"/>
        </w:rPr>
        <w:t>Focus</w:t>
      </w:r>
      <w:r w:rsidR="00AE3A18" w:rsidRPr="005A4795">
        <w:rPr>
          <w:rFonts w:cs="Open Sans"/>
        </w:rPr>
        <w:t xml:space="preserve"> more</w:t>
      </w:r>
      <w:r w:rsidRPr="005A4795">
        <w:rPr>
          <w:rFonts w:cs="Open Sans"/>
        </w:rPr>
        <w:t xml:space="preserve"> on measuring outcomes rather than outputs</w:t>
      </w:r>
      <w:r w:rsidR="0037156D" w:rsidRPr="005A4795">
        <w:rPr>
          <w:rFonts w:cs="Open Sans"/>
        </w:rPr>
        <w:t>.</w:t>
      </w:r>
    </w:p>
    <w:p w14:paraId="5C5334EE" w14:textId="5B84E8EA" w:rsidR="00082BF3" w:rsidRDefault="00082BF3" w:rsidP="0095013C">
      <w:pPr>
        <w:numPr>
          <w:ilvl w:val="0"/>
          <w:numId w:val="4"/>
        </w:numPr>
        <w:spacing w:after="0" w:line="276" w:lineRule="auto"/>
        <w:ind w:left="717" w:hanging="357"/>
        <w:rPr>
          <w:rFonts w:cs="Open Sans"/>
        </w:rPr>
      </w:pPr>
      <w:r w:rsidRPr="005A4795">
        <w:rPr>
          <w:rFonts w:cs="Open Sans"/>
        </w:rPr>
        <w:t>Use the evidence base to</w:t>
      </w:r>
      <w:r w:rsidR="00AA4CCB" w:rsidRPr="005A4795">
        <w:rPr>
          <w:rFonts w:cs="Open Sans"/>
        </w:rPr>
        <w:t xml:space="preserve"> </w:t>
      </w:r>
      <w:r w:rsidR="00761ADD" w:rsidRPr="005A4795">
        <w:rPr>
          <w:rFonts w:cs="Open Sans"/>
        </w:rPr>
        <w:t xml:space="preserve">develop </w:t>
      </w:r>
      <w:r w:rsidR="00900B79" w:rsidRPr="005A4795">
        <w:rPr>
          <w:rFonts w:cs="Open Sans"/>
        </w:rPr>
        <w:t xml:space="preserve">and implement </w:t>
      </w:r>
      <w:r w:rsidRPr="005A4795">
        <w:rPr>
          <w:rFonts w:cs="Open Sans"/>
        </w:rPr>
        <w:t>sustainable and enduring</w:t>
      </w:r>
      <w:r w:rsidR="00AE3A18" w:rsidRPr="005A4795">
        <w:rPr>
          <w:rFonts w:cs="Open Sans"/>
        </w:rPr>
        <w:t xml:space="preserve"> policy and program</w:t>
      </w:r>
      <w:r w:rsidRPr="005A4795">
        <w:rPr>
          <w:rFonts w:cs="Open Sans"/>
        </w:rPr>
        <w:t xml:space="preserve"> </w:t>
      </w:r>
      <w:r w:rsidR="00761ADD" w:rsidRPr="005A4795">
        <w:rPr>
          <w:rFonts w:cs="Open Sans"/>
        </w:rPr>
        <w:t>solution</w:t>
      </w:r>
      <w:r w:rsidR="00AE3A18" w:rsidRPr="005A4795">
        <w:rPr>
          <w:rFonts w:cs="Open Sans"/>
        </w:rPr>
        <w:t>s</w:t>
      </w:r>
      <w:r w:rsidR="000126DE" w:rsidRPr="005A4795">
        <w:rPr>
          <w:rFonts w:cs="Open Sans"/>
        </w:rPr>
        <w:t>.</w:t>
      </w:r>
    </w:p>
    <w:p w14:paraId="62584966" w14:textId="101DF1B8" w:rsidR="00E30166" w:rsidRDefault="00E30166" w:rsidP="00E30166">
      <w:pPr>
        <w:spacing w:after="0" w:line="276" w:lineRule="auto"/>
        <w:rPr>
          <w:rFonts w:cs="Open Sans"/>
          <w:b/>
          <w:bCs/>
        </w:rPr>
      </w:pPr>
      <w:r>
        <w:rPr>
          <w:noProof/>
        </w:rPr>
        <mc:AlternateContent>
          <mc:Choice Requires="wps">
            <w:drawing>
              <wp:anchor distT="0" distB="0" distL="114300" distR="114300" simplePos="0" relativeHeight="251667456" behindDoc="1" locked="0" layoutInCell="1" allowOverlap="1" wp14:anchorId="696FBCBB" wp14:editId="11575C8B">
                <wp:simplePos x="0" y="0"/>
                <wp:positionH relativeFrom="page">
                  <wp:posOffset>880382</wp:posOffset>
                </wp:positionH>
                <wp:positionV relativeFrom="paragraph">
                  <wp:posOffset>104775</wp:posOffset>
                </wp:positionV>
                <wp:extent cx="6105525" cy="2147207"/>
                <wp:effectExtent l="76200" t="38100" r="85725" b="120015"/>
                <wp:wrapNone/>
                <wp:docPr id="2114643392"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5525" cy="2147207"/>
                        </a:xfrm>
                        <a:prstGeom prst="roundRect">
                          <a:avLst/>
                        </a:prstGeom>
                        <a:solidFill>
                          <a:schemeClr val="bg1"/>
                        </a:solidFill>
                        <a:ln w="38100">
                          <a:solidFill>
                            <a:srgbClr val="082640"/>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5467E8" id="Rectangle: Rounded Corners 1" o:spid="_x0000_s1026" alt="&quot;&quot;" style="position:absolute;margin-left:69.3pt;margin-top:8.25pt;width:480.75pt;height:169.05pt;z-index:-251649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lU6AIAAEsGAAAOAAAAZHJzL2Uyb0RvYy54bWysVUtv2zAMvg/YfxB0X/1Y3GZBnSJo0WFA&#10;0RZNh54VWY6FyaImKXGyXz9Kdpy0K3YY1oMqmtRH8uMjl1e7VpGtsE6CLml2llIiNIdK6nVJvz/f&#10;fppS4jzTFVOgRUn3wtGr+ccPl52ZiRwaUJWwBEG0m3WmpI33ZpYkjjeiZe4MjNCorMG2zKNo10ll&#10;WYforUryND1POrCVscCFc/j1plfSecSva8H9Q1074YkqKcbm42njuQpnMr9ks7VlppF8CIP9QxQt&#10;kxqdjlA3zDOysfIPqFZyCw5qf8ahTaCuJRcxB8wmS99ks2yYETEXJMeZkSb3/2D5/XZpHi3S0Bk3&#10;c3gNWexq24b/GB/ZRbL2I1li5wnHj+dZWhR5QQlHXZ5NLvL0ItCZHJ8b6/xXAS0Jl5Ja2OjqCUsS&#10;mWLbO+d7+4NdcOlAyepWKhWF0AbiWlmyZVjA1TobPLyyUpp0Jf08zdI0Ir9SOrtejQDpND+fxKJj&#10;lCdmKCkdHIrYMhhYzH7jhV02VUdWamOfWFXSIp2iE1LJkE/vEQXsp2KShj9KmFrjIHhKLPgX6ZtY&#10;w0BeQAyJjsGsFOM/eiqUaVifYoQZkhysI6VwiCVKJ2Emx7rFm98rEVwp/SRqIiusVN6z8ppLxrnQ&#10;PutVDatE7z8rQhZ9WeIQBvajzwgYkGsszog9ALyP3cMM9uFpH/f4eCjX3x6PL6Jn0H583EoN9r3M&#10;FGY1eO7tMfwTasJ1BdX+0YYSxeZ2ht9KLM0dc/6RWVwAWEhcav4Bj1oBdhcMN0oasL/e+x7scS5R&#10;S0mHC6Wk7ueGWUGJ+qZxYr9kE2w94qMwKXBcsEdONatTjd6014Atn+H6NDxeg71Xh2ttoX3B3bcI&#10;XlHFNEffJeXeHoRr3y863J5cLBbRDLeOYf5OLw0P4IHV0GbPuxdmzTCnHkf8Hg7Lh83eTGpvG15q&#10;WGw81DKO8ZHXgW/cWLFxhu0aVuKpHK2OvwHz3wAAAP//AwBQSwMEFAAGAAgAAAAhAJ2Wc5vfAAAA&#10;CwEAAA8AAABkcnMvZG93bnJldi54bWxMj8tKw0AUhveC7zAcwZ2dxLZDiZmUoAi6EGktuJ1mTpPQ&#10;uYTM5KJP7+mq7s7P+fgv+Xa2ho3Yh9Y7CekiAYau8rp1tYTD1+vDBliIymllvEMJPxhgW9ze5CrT&#10;fnI7HPexZmTiQqYkNDF2GeehatCqsPAdOvqdfG9VJNnXXPdqInNr+GOSCG5V6yihUR0+N1id94Ol&#10;EDONu2+7Gt/w8Pv58f5SinIopby/m8snYBHneIXhUp+qQ0Gdjn5wOjBDerkRhNIh1sAuQJokKbCj&#10;hOV6JYAXOf+/ofgDAAD//wMAUEsBAi0AFAAGAAgAAAAhALaDOJL+AAAA4QEAABMAAAAAAAAAAAAA&#10;AAAAAAAAAFtDb250ZW50X1R5cGVzXS54bWxQSwECLQAUAAYACAAAACEAOP0h/9YAAACUAQAACwAA&#10;AAAAAAAAAAAAAAAvAQAAX3JlbHMvLnJlbHNQSwECLQAUAAYACAAAACEAVKmJVOgCAABLBgAADgAA&#10;AAAAAAAAAAAAAAAuAgAAZHJzL2Uyb0RvYy54bWxQSwECLQAUAAYACAAAACEAnZZzm98AAAALAQAA&#10;DwAAAAAAAAAAAAAAAABCBQAAZHJzL2Rvd25yZXYueG1sUEsFBgAAAAAEAAQA8wAAAE4GAAAAAA==&#10;" fillcolor="white [3212]" strokecolor="#082640" strokeweight="3pt">
                <v:stroke joinstyle="miter"/>
                <v:shadow on="t" color="black" opacity="26214f" origin=",-.5" offset="0,3pt"/>
                <w10:wrap anchorx="page"/>
              </v:roundrect>
            </w:pict>
          </mc:Fallback>
        </mc:AlternateContent>
      </w:r>
    </w:p>
    <w:p w14:paraId="4BD878BC" w14:textId="492AAE57" w:rsidR="00A07C67" w:rsidRPr="005A4795" w:rsidRDefault="00EA1EB5" w:rsidP="00E30166">
      <w:pPr>
        <w:spacing w:after="0" w:line="276" w:lineRule="auto"/>
        <w:rPr>
          <w:rFonts w:cs="Open Sans"/>
          <w:b/>
          <w:bCs/>
        </w:rPr>
      </w:pPr>
      <w:r w:rsidRPr="005A4795">
        <w:rPr>
          <w:rFonts w:cs="Open Sans"/>
          <w:b/>
          <w:bCs/>
        </w:rPr>
        <w:t xml:space="preserve">Example </w:t>
      </w:r>
      <w:r w:rsidR="00D84241" w:rsidRPr="005A4795">
        <w:rPr>
          <w:rFonts w:cs="Open Sans"/>
          <w:b/>
          <w:bCs/>
        </w:rPr>
        <w:t>that</w:t>
      </w:r>
      <w:r w:rsidR="006815DF" w:rsidRPr="005A4795">
        <w:rPr>
          <w:rFonts w:cs="Open Sans"/>
          <w:b/>
          <w:bCs/>
        </w:rPr>
        <w:t xml:space="preserve"> </w:t>
      </w:r>
      <w:r w:rsidR="00A0558C" w:rsidRPr="005A4795">
        <w:rPr>
          <w:rFonts w:cs="Open Sans"/>
          <w:b/>
          <w:bCs/>
        </w:rPr>
        <w:t>demonstrat</w:t>
      </w:r>
      <w:r w:rsidR="00D84241" w:rsidRPr="005A4795">
        <w:rPr>
          <w:rFonts w:cs="Open Sans"/>
          <w:b/>
          <w:bCs/>
        </w:rPr>
        <w:t>e</w:t>
      </w:r>
      <w:r w:rsidR="00B42984" w:rsidRPr="005A4795">
        <w:rPr>
          <w:rFonts w:cs="Open Sans"/>
          <w:b/>
          <w:bCs/>
        </w:rPr>
        <w:t>s</w:t>
      </w:r>
      <w:r w:rsidR="006815DF" w:rsidRPr="005A4795">
        <w:rPr>
          <w:rFonts w:cs="Open Sans"/>
          <w:b/>
          <w:bCs/>
        </w:rPr>
        <w:t xml:space="preserve"> this principle</w:t>
      </w:r>
      <w:r w:rsidR="00A07C67" w:rsidRPr="005A4795">
        <w:rPr>
          <w:rFonts w:cs="Open Sans"/>
          <w:b/>
          <w:bCs/>
        </w:rPr>
        <w:t>:</w:t>
      </w:r>
    </w:p>
    <w:p w14:paraId="36EB27C2" w14:textId="539B01C4" w:rsidR="00792111" w:rsidRPr="00792111" w:rsidRDefault="003A79C7" w:rsidP="00E30166">
      <w:pPr>
        <w:rPr>
          <w:rStyle w:val="Hyperlink"/>
          <w:color w:val="auto"/>
          <w:u w:val="none"/>
        </w:rPr>
      </w:pPr>
      <w:hyperlink r:id="rId14" w:history="1">
        <w:r w:rsidRPr="005A4795">
          <w:rPr>
            <w:rStyle w:val="Hyperlink"/>
            <w:rFonts w:cs="Open Sans"/>
          </w:rPr>
          <w:t>Outcomes Fund</w:t>
        </w:r>
      </w:hyperlink>
      <w:r w:rsidRPr="005A4795">
        <w:rPr>
          <w:rFonts w:cs="Open Sans"/>
        </w:rPr>
        <w:t xml:space="preserve"> – The government committed $100 million over 10 years to establish an Outcomes Fund as part of the 2023-24 </w:t>
      </w:r>
      <w:r w:rsidR="00114848" w:rsidRPr="005A4795">
        <w:rPr>
          <w:rFonts w:cs="Open Sans"/>
        </w:rPr>
        <w:t>B</w:t>
      </w:r>
      <w:r w:rsidRPr="005A4795">
        <w:rPr>
          <w:rFonts w:cs="Open Sans"/>
        </w:rPr>
        <w:t xml:space="preserve">udget. It will draw on the learnings from the </w:t>
      </w:r>
      <w:r w:rsidR="00AC1900" w:rsidRPr="005A4795">
        <w:rPr>
          <w:rFonts w:cs="Open Sans"/>
        </w:rPr>
        <w:t>Parliamentary Budget Office (</w:t>
      </w:r>
      <w:r w:rsidRPr="005A4795">
        <w:rPr>
          <w:rFonts w:cs="Open Sans"/>
        </w:rPr>
        <w:t>PBO</w:t>
      </w:r>
      <w:r w:rsidR="00AC1900" w:rsidRPr="005A4795">
        <w:rPr>
          <w:rFonts w:cs="Open Sans"/>
        </w:rPr>
        <w:t>)</w:t>
      </w:r>
      <w:r w:rsidRPr="005A4795">
        <w:rPr>
          <w:rFonts w:cs="Open Sans"/>
        </w:rPr>
        <w:t xml:space="preserve"> Trials and seeks to scale outcomes-based contracting. The fund will make payments to states, territories and service providers for projects that deliver agreed, measurable, positive outcomes for people experiencing entrenched disadvantage</w:t>
      </w:r>
      <w:r w:rsidR="00AC1900" w:rsidRPr="005A4795">
        <w:rPr>
          <w:rFonts w:cs="Open Sans"/>
        </w:rPr>
        <w:t>.</w:t>
      </w:r>
      <w:r w:rsidRPr="005A4795">
        <w:rPr>
          <w:rFonts w:cs="Open Sans"/>
        </w:rPr>
        <w:t xml:space="preserve"> There are </w:t>
      </w:r>
      <w:r w:rsidR="002A3DD5" w:rsidRPr="005A4795">
        <w:rPr>
          <w:rFonts w:cs="Open Sans"/>
        </w:rPr>
        <w:t>3</w:t>
      </w:r>
      <w:r w:rsidRPr="005A4795">
        <w:rPr>
          <w:rFonts w:cs="Open Sans"/>
        </w:rPr>
        <w:t xml:space="preserve"> focus areas, supporting families and children, overcoming barriers to employment and supporting people facing </w:t>
      </w:r>
      <w:r w:rsidR="002A3DD5" w:rsidRPr="005A4795">
        <w:rPr>
          <w:rFonts w:cs="Open Sans"/>
        </w:rPr>
        <w:t>homelessness. Following</w:t>
      </w:r>
      <w:r w:rsidRPr="005A4795">
        <w:rPr>
          <w:rFonts w:cs="Open Sans"/>
        </w:rPr>
        <w:t xml:space="preserve"> an expression of interest process, 3 projects were successfully announced in December 2024</w:t>
      </w:r>
      <w:r>
        <w:t>.</w:t>
      </w:r>
    </w:p>
    <w:p w14:paraId="7EA6C27B" w14:textId="28A6552A" w:rsidR="00E30166" w:rsidRDefault="00E30166" w:rsidP="00277AF6">
      <w:pPr>
        <w:pStyle w:val="Heading1"/>
        <w:rPr>
          <w:rFonts w:eastAsia="Times New Roman"/>
        </w:rPr>
      </w:pPr>
    </w:p>
    <w:p w14:paraId="0AABC6BA" w14:textId="7004AE7C" w:rsidR="006815DF" w:rsidRDefault="00082BF3" w:rsidP="00277AF6">
      <w:pPr>
        <w:pStyle w:val="Heading1"/>
        <w:rPr>
          <w:rFonts w:eastAsia="Times New Roman"/>
        </w:rPr>
      </w:pPr>
      <w:r w:rsidRPr="00604A9C">
        <w:rPr>
          <w:rFonts w:eastAsia="Times New Roman"/>
        </w:rPr>
        <w:t xml:space="preserve">The Community Sector </w:t>
      </w:r>
      <w:r w:rsidR="00C72981">
        <w:rPr>
          <w:rFonts w:eastAsia="Times New Roman"/>
        </w:rPr>
        <w:t>Grants</w:t>
      </w:r>
      <w:r w:rsidR="00212354">
        <w:rPr>
          <w:rFonts w:eastAsia="Times New Roman"/>
        </w:rPr>
        <w:t xml:space="preserve"> </w:t>
      </w:r>
      <w:r w:rsidR="00212354" w:rsidRPr="003239E8">
        <w:rPr>
          <w:rFonts w:eastAsia="Times New Roman"/>
        </w:rPr>
        <w:t>Engagement</w:t>
      </w:r>
      <w:r w:rsidR="00C72981">
        <w:rPr>
          <w:rFonts w:eastAsia="Times New Roman"/>
        </w:rPr>
        <w:t xml:space="preserve"> </w:t>
      </w:r>
      <w:r w:rsidRPr="00604A9C">
        <w:rPr>
          <w:rFonts w:eastAsia="Times New Roman"/>
        </w:rPr>
        <w:t>Framework</w:t>
      </w:r>
    </w:p>
    <w:p w14:paraId="442DDD3F" w14:textId="7591FCFE" w:rsidR="006815DF" w:rsidRPr="005A4795" w:rsidRDefault="00082BF3" w:rsidP="003D62B0">
      <w:pPr>
        <w:widowControl w:val="0"/>
        <w:rPr>
          <w:rFonts w:cs="Open Sans"/>
        </w:rPr>
      </w:pPr>
      <w:r w:rsidRPr="005A4795">
        <w:rPr>
          <w:rFonts w:eastAsia="Calibri" w:cs="Open Sans"/>
        </w:rPr>
        <w:t xml:space="preserve">This statement will support the </w:t>
      </w:r>
      <w:r w:rsidR="00295AF0" w:rsidRPr="005A4795">
        <w:rPr>
          <w:rFonts w:eastAsia="Calibri" w:cs="Open Sans"/>
        </w:rPr>
        <w:t>Framework</w:t>
      </w:r>
      <w:r w:rsidRPr="005A4795">
        <w:rPr>
          <w:rFonts w:eastAsia="Calibri" w:cs="Open Sans"/>
        </w:rPr>
        <w:t xml:space="preserve"> which will drive change through actions organised around 5</w:t>
      </w:r>
      <w:r w:rsidR="00114848" w:rsidRPr="005A4795">
        <w:rPr>
          <w:rFonts w:eastAsia="Calibri" w:cs="Open Sans"/>
        </w:rPr>
        <w:t xml:space="preserve"> pillars</w:t>
      </w:r>
      <w:r w:rsidRPr="005A4795">
        <w:rPr>
          <w:rFonts w:eastAsia="Calibri" w:cs="Open Sans"/>
        </w:rPr>
        <w:t>:</w:t>
      </w:r>
    </w:p>
    <w:p w14:paraId="24307681" w14:textId="4844773B" w:rsidR="00082BF3" w:rsidRPr="005A4795" w:rsidRDefault="00082BF3" w:rsidP="003D62B0">
      <w:pPr>
        <w:widowControl w:val="0"/>
        <w:numPr>
          <w:ilvl w:val="0"/>
          <w:numId w:val="6"/>
        </w:numPr>
        <w:spacing w:after="200" w:line="276" w:lineRule="auto"/>
        <w:contextualSpacing/>
        <w:rPr>
          <w:rFonts w:cs="Open Sans"/>
        </w:rPr>
      </w:pPr>
      <w:r w:rsidRPr="005A4795">
        <w:rPr>
          <w:rFonts w:cs="Open Sans"/>
        </w:rPr>
        <w:t xml:space="preserve">Build and maintain </w:t>
      </w:r>
      <w:r w:rsidR="00E26745" w:rsidRPr="005A4795">
        <w:rPr>
          <w:rFonts w:cs="Open Sans"/>
        </w:rPr>
        <w:t>engagement</w:t>
      </w:r>
    </w:p>
    <w:p w14:paraId="723F0488" w14:textId="059EF1F9" w:rsidR="00082BF3" w:rsidRPr="005A4795" w:rsidRDefault="00D03B0A" w:rsidP="003D62B0">
      <w:pPr>
        <w:widowControl w:val="0"/>
        <w:numPr>
          <w:ilvl w:val="0"/>
          <w:numId w:val="6"/>
        </w:numPr>
        <w:spacing w:after="200" w:line="276" w:lineRule="auto"/>
        <w:contextualSpacing/>
        <w:rPr>
          <w:rFonts w:cs="Open Sans"/>
        </w:rPr>
      </w:pPr>
      <w:r w:rsidRPr="005A4795">
        <w:rPr>
          <w:rFonts w:cs="Open Sans"/>
        </w:rPr>
        <w:t>G</w:t>
      </w:r>
      <w:r w:rsidR="00082BF3" w:rsidRPr="005A4795">
        <w:rPr>
          <w:rFonts w:cs="Open Sans"/>
        </w:rPr>
        <w:t xml:space="preserve">reater certainty </w:t>
      </w:r>
      <w:r w:rsidR="00D33D56" w:rsidRPr="005A4795">
        <w:rPr>
          <w:rFonts w:cs="Open Sans"/>
        </w:rPr>
        <w:t xml:space="preserve">and sufficiency </w:t>
      </w:r>
      <w:r w:rsidR="00082BF3" w:rsidRPr="005A4795">
        <w:rPr>
          <w:rFonts w:cs="Open Sans"/>
        </w:rPr>
        <w:t>of funding</w:t>
      </w:r>
    </w:p>
    <w:p w14:paraId="769DD528" w14:textId="3DB58146" w:rsidR="00082BF3" w:rsidRPr="005A4795" w:rsidRDefault="00D03B0A" w:rsidP="003D62B0">
      <w:pPr>
        <w:widowControl w:val="0"/>
        <w:numPr>
          <w:ilvl w:val="0"/>
          <w:numId w:val="6"/>
        </w:numPr>
        <w:spacing w:after="200" w:line="276" w:lineRule="auto"/>
        <w:contextualSpacing/>
        <w:rPr>
          <w:rFonts w:cs="Open Sans"/>
        </w:rPr>
      </w:pPr>
      <w:r w:rsidRPr="005A4795">
        <w:rPr>
          <w:rFonts w:cs="Open Sans"/>
        </w:rPr>
        <w:t>R</w:t>
      </w:r>
      <w:r w:rsidR="00082BF3" w:rsidRPr="005A4795">
        <w:rPr>
          <w:rFonts w:cs="Open Sans"/>
        </w:rPr>
        <w:t>educed administrative burden</w:t>
      </w:r>
    </w:p>
    <w:p w14:paraId="20075432" w14:textId="772D2D86" w:rsidR="00082BF3" w:rsidRPr="005A4795" w:rsidRDefault="00082BF3" w:rsidP="003D62B0">
      <w:pPr>
        <w:widowControl w:val="0"/>
        <w:numPr>
          <w:ilvl w:val="0"/>
          <w:numId w:val="6"/>
        </w:numPr>
        <w:spacing w:after="200" w:line="276" w:lineRule="auto"/>
        <w:contextualSpacing/>
        <w:rPr>
          <w:rFonts w:cs="Open Sans"/>
        </w:rPr>
      </w:pPr>
      <w:r w:rsidRPr="005A4795">
        <w:rPr>
          <w:rFonts w:cs="Open Sans"/>
        </w:rPr>
        <w:t>Encourage diversity and flexibility</w:t>
      </w:r>
    </w:p>
    <w:p w14:paraId="5435D4F5" w14:textId="5023267F" w:rsidR="00082BF3" w:rsidRPr="005A4795" w:rsidRDefault="00082BF3" w:rsidP="003D62B0">
      <w:pPr>
        <w:widowControl w:val="0"/>
        <w:numPr>
          <w:ilvl w:val="0"/>
          <w:numId w:val="6"/>
        </w:numPr>
        <w:spacing w:after="200" w:line="276" w:lineRule="auto"/>
        <w:rPr>
          <w:rFonts w:cs="Open Sans"/>
        </w:rPr>
      </w:pPr>
      <w:r w:rsidRPr="005A4795">
        <w:rPr>
          <w:rFonts w:cs="Open Sans"/>
        </w:rPr>
        <w:t>Develop capability and promote innovation</w:t>
      </w:r>
      <w:r w:rsidR="002A3DD5" w:rsidRPr="005A4795">
        <w:rPr>
          <w:rFonts w:cs="Open Sans"/>
        </w:rPr>
        <w:t>.</w:t>
      </w:r>
    </w:p>
    <w:p w14:paraId="3037B031" w14:textId="287DC028" w:rsidR="00082BF3" w:rsidRPr="005A4795" w:rsidRDefault="005E16C6" w:rsidP="003239E8">
      <w:pPr>
        <w:pStyle w:val="Heading1"/>
        <w:tabs>
          <w:tab w:val="center" w:pos="4635"/>
        </w:tabs>
        <w:rPr>
          <w:rFonts w:eastAsia="Times New Roman" w:cs="Open Sans"/>
        </w:rPr>
      </w:pPr>
      <w:r w:rsidRPr="005E16C6">
        <w:rPr>
          <w:rFonts w:ascii="Calibri Light" w:eastAsia="Times New Roman" w:hAnsi="Calibri Light" w:cs="Times New Roman"/>
          <w:color w:val="2E74B5" w:themeColor="accent1" w:themeShade="BF"/>
          <w:sz w:val="26"/>
          <w:szCs w:val="26"/>
        </w:rPr>
        <w:br w:type="page"/>
      </w:r>
      <w:r w:rsidR="00082BF3" w:rsidRPr="005A4795">
        <w:rPr>
          <w:rFonts w:eastAsia="Times New Roman" w:cs="Open Sans"/>
        </w:rPr>
        <w:lastRenderedPageBreak/>
        <w:t>Monitoring progress</w:t>
      </w:r>
    </w:p>
    <w:p w14:paraId="5079A302" w14:textId="6AAE8220" w:rsidR="008108D8" w:rsidRPr="00740220" w:rsidRDefault="00082BF3" w:rsidP="00740220">
      <w:pPr>
        <w:keepNext/>
        <w:keepLines/>
        <w:widowControl w:val="0"/>
        <w:spacing w:line="256" w:lineRule="auto"/>
        <w:rPr>
          <w:rFonts w:eastAsia="Calibri" w:cs="Open Sans"/>
        </w:rPr>
      </w:pPr>
      <w:r w:rsidRPr="005A4795">
        <w:rPr>
          <w:rFonts w:eastAsia="Calibri" w:cs="Open Sans"/>
        </w:rPr>
        <w:t xml:space="preserve">An Outcomes Measurement </w:t>
      </w:r>
      <w:r w:rsidR="00502414" w:rsidRPr="005A4795">
        <w:rPr>
          <w:rFonts w:eastAsia="Calibri" w:cs="Open Sans"/>
        </w:rPr>
        <w:t xml:space="preserve">Plan </w:t>
      </w:r>
      <w:r w:rsidRPr="005A4795">
        <w:rPr>
          <w:rFonts w:eastAsia="Calibri" w:cs="Open Sans"/>
        </w:rPr>
        <w:t xml:space="preserve">will monitor and publicly report on </w:t>
      </w:r>
      <w:r w:rsidR="002A3DD5" w:rsidRPr="005A4795">
        <w:rPr>
          <w:rFonts w:eastAsia="Calibri" w:cs="Open Sans"/>
        </w:rPr>
        <w:t xml:space="preserve">the </w:t>
      </w:r>
      <w:r w:rsidRPr="005A4795">
        <w:rPr>
          <w:rFonts w:eastAsia="Calibri" w:cs="Open Sans"/>
        </w:rPr>
        <w:t xml:space="preserve">progress of actions undertaken under the Framework and the Ways of Working Statement. The Outcomes Measurement </w:t>
      </w:r>
      <w:r w:rsidR="00502414" w:rsidRPr="005A4795">
        <w:rPr>
          <w:rFonts w:eastAsia="Calibri" w:cs="Open Sans"/>
        </w:rPr>
        <w:t xml:space="preserve">Plan </w:t>
      </w:r>
      <w:r w:rsidRPr="005A4795">
        <w:rPr>
          <w:rFonts w:eastAsia="Calibri" w:cs="Open Sans"/>
        </w:rPr>
        <w:t xml:space="preserve">will encourage adherence to the Ways of Working Statement by </w:t>
      </w:r>
      <w:r w:rsidR="002A3DD5" w:rsidRPr="005A4795">
        <w:rPr>
          <w:rFonts w:eastAsia="Calibri" w:cs="Open Sans"/>
        </w:rPr>
        <w:t xml:space="preserve">the </w:t>
      </w:r>
      <w:r w:rsidR="0038130B" w:rsidRPr="005A4795">
        <w:rPr>
          <w:rFonts w:eastAsia="Calibri" w:cs="Open Sans"/>
        </w:rPr>
        <w:t>g</w:t>
      </w:r>
      <w:r w:rsidRPr="005A4795">
        <w:rPr>
          <w:rFonts w:eastAsia="Calibri" w:cs="Open Sans"/>
        </w:rPr>
        <w:t xml:space="preserve">overnment </w:t>
      </w:r>
      <w:r w:rsidR="008D1340" w:rsidRPr="005A4795">
        <w:rPr>
          <w:rFonts w:eastAsia="Calibri" w:cs="Open Sans"/>
        </w:rPr>
        <w:t xml:space="preserve">including </w:t>
      </w:r>
      <w:r w:rsidR="00A07F46" w:rsidRPr="005A4795">
        <w:rPr>
          <w:rFonts w:eastAsia="Calibri" w:cs="Open Sans"/>
        </w:rPr>
        <w:t xml:space="preserve">publication of case studies to showcase </w:t>
      </w:r>
      <w:r w:rsidR="00A63A91" w:rsidRPr="005A4795">
        <w:rPr>
          <w:rFonts w:eastAsia="Calibri" w:cs="Open Sans"/>
        </w:rPr>
        <w:t>good</w:t>
      </w:r>
      <w:r w:rsidR="00A07F46" w:rsidRPr="005A4795">
        <w:rPr>
          <w:rFonts w:eastAsia="Calibri" w:cs="Open Sans"/>
        </w:rPr>
        <w:t xml:space="preserve"> practice</w:t>
      </w:r>
      <w:r w:rsidRPr="005A4795">
        <w:rPr>
          <w:rFonts w:eastAsia="Calibri" w:cs="Open Sans"/>
        </w:rPr>
        <w:t>.</w:t>
      </w:r>
    </w:p>
    <w:p w14:paraId="2E9707FE" w14:textId="3BA1E564" w:rsidR="004C7194" w:rsidRPr="005A4795" w:rsidRDefault="00EA475D" w:rsidP="00821994">
      <w:pPr>
        <w:rPr>
          <w:rFonts w:cs="Open Sans"/>
        </w:rPr>
      </w:pPr>
      <w:r w:rsidRPr="005A4795">
        <w:rPr>
          <w:rFonts w:cs="Open Sans"/>
        </w:rPr>
        <w:t>CSOs</w:t>
      </w:r>
      <w:r w:rsidR="005F3F40" w:rsidRPr="005A4795">
        <w:rPr>
          <w:rFonts w:cs="Open Sans"/>
        </w:rPr>
        <w:t xml:space="preserve"> are invited</w:t>
      </w:r>
      <w:r w:rsidR="009E2291" w:rsidRPr="005A4795">
        <w:rPr>
          <w:rFonts w:cs="Open Sans"/>
        </w:rPr>
        <w:t xml:space="preserve"> to</w:t>
      </w:r>
      <w:r w:rsidR="00D84241" w:rsidRPr="005A4795">
        <w:rPr>
          <w:rFonts w:cs="Open Sans"/>
        </w:rPr>
        <w:t xml:space="preserve"> adopt the engagement principles outlined within the Ways of Working Statement</w:t>
      </w:r>
      <w:r w:rsidR="00FF6304" w:rsidRPr="005A4795">
        <w:rPr>
          <w:rFonts w:cs="Open Sans"/>
        </w:rPr>
        <w:t xml:space="preserve">, </w:t>
      </w:r>
      <w:r w:rsidRPr="005A4795">
        <w:rPr>
          <w:rFonts w:cs="Open Sans"/>
        </w:rPr>
        <w:t xml:space="preserve">recognising </w:t>
      </w:r>
      <w:r w:rsidR="00DC3689" w:rsidRPr="005A4795">
        <w:rPr>
          <w:rFonts w:cs="Open Sans"/>
        </w:rPr>
        <w:t xml:space="preserve">the </w:t>
      </w:r>
      <w:r w:rsidR="00BC7EE0" w:rsidRPr="005A4795">
        <w:rPr>
          <w:rFonts w:cs="Open Sans"/>
        </w:rPr>
        <w:t>critical role</w:t>
      </w:r>
      <w:r w:rsidR="00A827F8" w:rsidRPr="005A4795">
        <w:rPr>
          <w:rFonts w:cs="Open Sans"/>
        </w:rPr>
        <w:t xml:space="preserve"> </w:t>
      </w:r>
      <w:r w:rsidR="00916591" w:rsidRPr="005A4795">
        <w:rPr>
          <w:rFonts w:cs="Open Sans"/>
        </w:rPr>
        <w:t>they</w:t>
      </w:r>
      <w:r w:rsidRPr="005A4795">
        <w:rPr>
          <w:rFonts w:cs="Open Sans"/>
        </w:rPr>
        <w:t xml:space="preserve"> play </w:t>
      </w:r>
      <w:r w:rsidR="00DC3689" w:rsidRPr="005A4795">
        <w:rPr>
          <w:rFonts w:cs="Open Sans"/>
        </w:rPr>
        <w:t xml:space="preserve">working together with government </w:t>
      </w:r>
      <w:r w:rsidR="00D84241" w:rsidRPr="005A4795">
        <w:rPr>
          <w:rFonts w:cs="Open Sans"/>
        </w:rPr>
        <w:t>in</w:t>
      </w:r>
      <w:r w:rsidR="00DC3689" w:rsidRPr="005A4795">
        <w:rPr>
          <w:rFonts w:cs="Open Sans"/>
        </w:rPr>
        <w:t xml:space="preserve"> </w:t>
      </w:r>
      <w:r w:rsidR="00D53821" w:rsidRPr="005A4795">
        <w:rPr>
          <w:rFonts w:cs="Open Sans"/>
        </w:rPr>
        <w:t>achieving</w:t>
      </w:r>
      <w:r w:rsidR="00B15645" w:rsidRPr="005A4795">
        <w:rPr>
          <w:rFonts w:cs="Open Sans"/>
        </w:rPr>
        <w:t xml:space="preserve"> outcomes</w:t>
      </w:r>
      <w:r w:rsidR="00BC7EE0" w:rsidRPr="005A4795">
        <w:rPr>
          <w:rFonts w:cs="Open Sans"/>
        </w:rPr>
        <w:t xml:space="preserve"> for Australian communities</w:t>
      </w:r>
      <w:r w:rsidR="00D53821" w:rsidRPr="005A4795">
        <w:rPr>
          <w:rFonts w:cs="Open Sans"/>
        </w:rPr>
        <w:t>.</w:t>
      </w:r>
    </w:p>
    <w:p w14:paraId="4CEA00B9" w14:textId="77777777" w:rsidR="004C7194" w:rsidRDefault="004C7194">
      <w:r>
        <w:br w:type="page"/>
      </w:r>
    </w:p>
    <w:p w14:paraId="604E6C69" w14:textId="6727B1EF" w:rsidR="00CE463F" w:rsidRPr="00082BF3" w:rsidRDefault="004C7194" w:rsidP="00821994">
      <w:r>
        <w:rPr>
          <w:noProof/>
        </w:rPr>
        <w:lastRenderedPageBreak/>
        <w:drawing>
          <wp:anchor distT="0" distB="0" distL="114300" distR="114300" simplePos="0" relativeHeight="251659264" behindDoc="1" locked="0" layoutInCell="1" allowOverlap="1" wp14:anchorId="78E1FE07" wp14:editId="3A03A8CF">
            <wp:simplePos x="0" y="0"/>
            <wp:positionH relativeFrom="column">
              <wp:posOffset>-1022036</wp:posOffset>
            </wp:positionH>
            <wp:positionV relativeFrom="paragraph">
              <wp:posOffset>-882016</wp:posOffset>
            </wp:positionV>
            <wp:extent cx="7572333" cy="10711543"/>
            <wp:effectExtent l="0" t="0" r="0" b="0"/>
            <wp:wrapNone/>
            <wp:docPr id="1793416719" name="Picture 4"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16719" name="Picture 4" descr="Australian Government"/>
                    <pic:cNvPicPr/>
                  </pic:nvPicPr>
                  <pic:blipFill>
                    <a:blip r:embed="rId15">
                      <a:extLst>
                        <a:ext uri="{28A0092B-C50C-407E-A947-70E740481C1C}">
                          <a14:useLocalDpi xmlns:a14="http://schemas.microsoft.com/office/drawing/2010/main" val="0"/>
                        </a:ext>
                      </a:extLst>
                    </a:blip>
                    <a:stretch>
                      <a:fillRect/>
                    </a:stretch>
                  </pic:blipFill>
                  <pic:spPr>
                    <a:xfrm>
                      <a:off x="0" y="0"/>
                      <a:ext cx="7609386" cy="10763957"/>
                    </a:xfrm>
                    <a:prstGeom prst="rect">
                      <a:avLst/>
                    </a:prstGeom>
                  </pic:spPr>
                </pic:pic>
              </a:graphicData>
            </a:graphic>
            <wp14:sizeRelH relativeFrom="page">
              <wp14:pctWidth>0</wp14:pctWidth>
            </wp14:sizeRelH>
            <wp14:sizeRelV relativeFrom="page">
              <wp14:pctHeight>0</wp14:pctHeight>
            </wp14:sizeRelV>
          </wp:anchor>
        </w:drawing>
      </w:r>
    </w:p>
    <w:sectPr w:rsidR="00CE463F" w:rsidRPr="00082BF3" w:rsidSect="00E10C6E">
      <w:headerReference w:type="default" r:id="rId16"/>
      <w:footerReference w:type="default" r:id="rId17"/>
      <w:pgSz w:w="11906" w:h="16838"/>
      <w:pgMar w:top="1016" w:right="1077" w:bottom="588" w:left="1559"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C2F69" w14:textId="77777777" w:rsidR="00ED4F1E" w:rsidRDefault="00ED4F1E" w:rsidP="00240AE0">
      <w:pPr>
        <w:spacing w:after="0" w:line="240" w:lineRule="auto"/>
      </w:pPr>
      <w:r>
        <w:separator/>
      </w:r>
    </w:p>
  </w:endnote>
  <w:endnote w:type="continuationSeparator" w:id="0">
    <w:p w14:paraId="467EC074" w14:textId="77777777" w:rsidR="00ED4F1E" w:rsidRDefault="00ED4F1E" w:rsidP="0024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Sans-Bold">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96603"/>
      <w:docPartObj>
        <w:docPartGallery w:val="Page Numbers (Bottom of Page)"/>
        <w:docPartUnique/>
      </w:docPartObj>
    </w:sdtPr>
    <w:sdtEndPr>
      <w:rPr>
        <w:noProof/>
      </w:rPr>
    </w:sdtEndPr>
    <w:sdtContent>
      <w:p w14:paraId="752E01F2" w14:textId="2C288560" w:rsidR="001C2623" w:rsidRDefault="001C2623">
        <w:pPr>
          <w:pStyle w:val="Footer"/>
          <w:jc w:val="right"/>
        </w:pPr>
        <w:r>
          <w:fldChar w:fldCharType="begin"/>
        </w:r>
        <w:r>
          <w:instrText xml:space="preserve"> PAGE   \* MERGEFORMAT </w:instrText>
        </w:r>
        <w:r>
          <w:fldChar w:fldCharType="separate"/>
        </w:r>
        <w:r w:rsidR="00E54B6A">
          <w:rPr>
            <w:noProof/>
          </w:rPr>
          <w:t>3</w:t>
        </w:r>
        <w:r>
          <w:rPr>
            <w:noProof/>
          </w:rPr>
          <w:fldChar w:fldCharType="end"/>
        </w:r>
      </w:p>
    </w:sdtContent>
  </w:sdt>
  <w:p w14:paraId="010D92F6" w14:textId="77777777" w:rsidR="001C2623" w:rsidRDefault="001C2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4B145" w14:textId="77777777" w:rsidR="00ED4F1E" w:rsidRDefault="00ED4F1E" w:rsidP="00240AE0">
      <w:pPr>
        <w:spacing w:after="0" w:line="240" w:lineRule="auto"/>
      </w:pPr>
      <w:r>
        <w:separator/>
      </w:r>
    </w:p>
  </w:footnote>
  <w:footnote w:type="continuationSeparator" w:id="0">
    <w:p w14:paraId="7369F4CB" w14:textId="77777777" w:rsidR="00ED4F1E" w:rsidRDefault="00ED4F1E" w:rsidP="00240AE0">
      <w:pPr>
        <w:spacing w:after="0" w:line="240" w:lineRule="auto"/>
      </w:pPr>
      <w:r>
        <w:continuationSeparator/>
      </w:r>
    </w:p>
  </w:footnote>
  <w:footnote w:id="1">
    <w:p w14:paraId="36C998CA" w14:textId="61FC26BE" w:rsidR="00DC3689" w:rsidRPr="00C41191" w:rsidRDefault="00DC3689" w:rsidP="00DC3689">
      <w:pPr>
        <w:pStyle w:val="FootnoteText"/>
        <w:rPr>
          <w:sz w:val="18"/>
          <w:szCs w:val="18"/>
        </w:rPr>
      </w:pPr>
      <w:r>
        <w:rPr>
          <w:rStyle w:val="FootnoteReference"/>
        </w:rPr>
        <w:footnoteRef/>
      </w:r>
      <w:r>
        <w:t xml:space="preserve"> </w:t>
      </w:r>
      <w:r w:rsidR="00A55FE6" w:rsidRPr="00C41191">
        <w:rPr>
          <w:sz w:val="18"/>
          <w:szCs w:val="18"/>
        </w:rPr>
        <w:t xml:space="preserve">DSS (Department of Social Services) (2023) </w:t>
      </w:r>
      <w:hyperlink r:id="rId1" w:history="1">
        <w:r w:rsidR="00A55FE6" w:rsidRPr="00C41191">
          <w:rPr>
            <w:rStyle w:val="Hyperlink"/>
            <w:i/>
            <w:iCs/>
            <w:sz w:val="18"/>
            <w:szCs w:val="18"/>
          </w:rPr>
          <w:t>A stronger, more diverse and independent community sector- consultation</w:t>
        </w:r>
      </w:hyperlink>
      <w:r w:rsidR="00A55FE6" w:rsidRPr="00C41191">
        <w:rPr>
          <w:sz w:val="18"/>
          <w:szCs w:val="18"/>
        </w:rPr>
        <w:t xml:space="preserve">, DSS website, accessed </w:t>
      </w:r>
      <w:r w:rsidR="004E04F5" w:rsidRPr="00C41191">
        <w:rPr>
          <w:sz w:val="18"/>
          <w:szCs w:val="18"/>
        </w:rPr>
        <w:t>17</w:t>
      </w:r>
      <w:r w:rsidR="00A55FE6" w:rsidRPr="00C41191">
        <w:rPr>
          <w:sz w:val="18"/>
          <w:szCs w:val="18"/>
        </w:rPr>
        <w:t xml:space="preserve"> January 2025.</w:t>
      </w:r>
    </w:p>
  </w:footnote>
  <w:footnote w:id="2">
    <w:p w14:paraId="0EBCC5D4" w14:textId="28A5C474" w:rsidR="00082BF3" w:rsidRDefault="00082BF3" w:rsidP="00082BF3">
      <w:pPr>
        <w:pStyle w:val="FootnoteText"/>
        <w:rPr>
          <w:rFonts w:cs="Calibri"/>
          <w:sz w:val="18"/>
          <w:szCs w:val="18"/>
        </w:rPr>
      </w:pPr>
      <w:r w:rsidRPr="00C41191">
        <w:rPr>
          <w:rStyle w:val="FootnoteReference"/>
          <w:sz w:val="18"/>
          <w:szCs w:val="18"/>
        </w:rPr>
        <w:footnoteRef/>
      </w:r>
      <w:r w:rsidRPr="00C41191">
        <w:rPr>
          <w:sz w:val="18"/>
          <w:szCs w:val="18"/>
        </w:rPr>
        <w:t xml:space="preserve"> </w:t>
      </w:r>
      <w:r w:rsidR="00A55FE6" w:rsidRPr="00C41191">
        <w:rPr>
          <w:sz w:val="18"/>
          <w:szCs w:val="18"/>
        </w:rPr>
        <w:t>Productivity Commission (2024)</w:t>
      </w:r>
      <w:r w:rsidR="00FD1EA0" w:rsidRPr="00C41191">
        <w:rPr>
          <w:sz w:val="18"/>
          <w:szCs w:val="18"/>
        </w:rPr>
        <w:t xml:space="preserve"> </w:t>
      </w:r>
      <w:hyperlink r:id="rId2" w:history="1">
        <w:r w:rsidR="00FD1EA0" w:rsidRPr="00C41191">
          <w:rPr>
            <w:rStyle w:val="Hyperlink"/>
            <w:i/>
            <w:iCs/>
            <w:sz w:val="18"/>
            <w:szCs w:val="18"/>
          </w:rPr>
          <w:t>Report on Government Services 2024 – F Community Services</w:t>
        </w:r>
      </w:hyperlink>
      <w:r w:rsidR="00FD1EA0" w:rsidRPr="00C41191">
        <w:rPr>
          <w:i/>
          <w:iCs/>
          <w:sz w:val="18"/>
          <w:szCs w:val="18"/>
        </w:rPr>
        <w:t xml:space="preserve">, </w:t>
      </w:r>
      <w:r w:rsidR="00FD1EA0" w:rsidRPr="00C41191">
        <w:rPr>
          <w:sz w:val="18"/>
          <w:szCs w:val="18"/>
        </w:rPr>
        <w:t>Productivity Commission website, accessed 3 January</w:t>
      </w:r>
      <w:r w:rsidR="00FD1EA0">
        <w:rPr>
          <w:sz w:val="18"/>
          <w:szCs w:val="18"/>
        </w:rPr>
        <w:t xml:space="preserve"> 2025.</w:t>
      </w:r>
      <w:r w:rsidR="00A55FE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1047" w14:textId="156F2388" w:rsidR="00240AE0" w:rsidRDefault="00240AE0" w:rsidP="008F1897">
    <w:pPr>
      <w:pStyle w:val="Header"/>
      <w:spacing w:before="240" w:after="240"/>
      <w:jc w:val="right"/>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481E"/>
    <w:multiLevelType w:val="hybridMultilevel"/>
    <w:tmpl w:val="DC681714"/>
    <w:lvl w:ilvl="0" w:tplc="D6F89C84">
      <w:start w:val="1"/>
      <w:numFmt w:val="bullet"/>
      <w:lvlText w:val=""/>
      <w:lvlJc w:val="left"/>
      <w:pPr>
        <w:ind w:left="720" w:hanging="360"/>
      </w:pPr>
      <w:rPr>
        <w:rFonts w:ascii="Symbol" w:hAnsi="Symbol"/>
      </w:rPr>
    </w:lvl>
    <w:lvl w:ilvl="1" w:tplc="F30C947E">
      <w:start w:val="1"/>
      <w:numFmt w:val="bullet"/>
      <w:lvlText w:val=""/>
      <w:lvlJc w:val="left"/>
      <w:pPr>
        <w:ind w:left="720" w:hanging="360"/>
      </w:pPr>
      <w:rPr>
        <w:rFonts w:ascii="Symbol" w:hAnsi="Symbol"/>
      </w:rPr>
    </w:lvl>
    <w:lvl w:ilvl="2" w:tplc="4B2AFBE0">
      <w:start w:val="1"/>
      <w:numFmt w:val="bullet"/>
      <w:lvlText w:val=""/>
      <w:lvlJc w:val="left"/>
      <w:pPr>
        <w:ind w:left="720" w:hanging="360"/>
      </w:pPr>
      <w:rPr>
        <w:rFonts w:ascii="Symbol" w:hAnsi="Symbol"/>
      </w:rPr>
    </w:lvl>
    <w:lvl w:ilvl="3" w:tplc="674C569C">
      <w:start w:val="1"/>
      <w:numFmt w:val="bullet"/>
      <w:lvlText w:val=""/>
      <w:lvlJc w:val="left"/>
      <w:pPr>
        <w:ind w:left="720" w:hanging="360"/>
      </w:pPr>
      <w:rPr>
        <w:rFonts w:ascii="Symbol" w:hAnsi="Symbol"/>
      </w:rPr>
    </w:lvl>
    <w:lvl w:ilvl="4" w:tplc="F52C4414">
      <w:start w:val="1"/>
      <w:numFmt w:val="bullet"/>
      <w:lvlText w:val=""/>
      <w:lvlJc w:val="left"/>
      <w:pPr>
        <w:ind w:left="720" w:hanging="360"/>
      </w:pPr>
      <w:rPr>
        <w:rFonts w:ascii="Symbol" w:hAnsi="Symbol"/>
      </w:rPr>
    </w:lvl>
    <w:lvl w:ilvl="5" w:tplc="41DABEF2">
      <w:start w:val="1"/>
      <w:numFmt w:val="bullet"/>
      <w:lvlText w:val=""/>
      <w:lvlJc w:val="left"/>
      <w:pPr>
        <w:ind w:left="720" w:hanging="360"/>
      </w:pPr>
      <w:rPr>
        <w:rFonts w:ascii="Symbol" w:hAnsi="Symbol"/>
      </w:rPr>
    </w:lvl>
    <w:lvl w:ilvl="6" w:tplc="CF743202">
      <w:start w:val="1"/>
      <w:numFmt w:val="bullet"/>
      <w:lvlText w:val=""/>
      <w:lvlJc w:val="left"/>
      <w:pPr>
        <w:ind w:left="720" w:hanging="360"/>
      </w:pPr>
      <w:rPr>
        <w:rFonts w:ascii="Symbol" w:hAnsi="Symbol"/>
      </w:rPr>
    </w:lvl>
    <w:lvl w:ilvl="7" w:tplc="DD34C91E">
      <w:start w:val="1"/>
      <w:numFmt w:val="bullet"/>
      <w:lvlText w:val=""/>
      <w:lvlJc w:val="left"/>
      <w:pPr>
        <w:ind w:left="720" w:hanging="360"/>
      </w:pPr>
      <w:rPr>
        <w:rFonts w:ascii="Symbol" w:hAnsi="Symbol"/>
      </w:rPr>
    </w:lvl>
    <w:lvl w:ilvl="8" w:tplc="24A4FFB6">
      <w:start w:val="1"/>
      <w:numFmt w:val="bullet"/>
      <w:lvlText w:val=""/>
      <w:lvlJc w:val="left"/>
      <w:pPr>
        <w:ind w:left="720" w:hanging="360"/>
      </w:pPr>
      <w:rPr>
        <w:rFonts w:ascii="Symbol" w:hAnsi="Symbol"/>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FE028A"/>
    <w:multiLevelType w:val="hybridMultilevel"/>
    <w:tmpl w:val="27EAC5A6"/>
    <w:lvl w:ilvl="0" w:tplc="D5CEF88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429405C"/>
    <w:multiLevelType w:val="hybridMultilevel"/>
    <w:tmpl w:val="83525CA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BD64D1D"/>
    <w:multiLevelType w:val="hybridMultilevel"/>
    <w:tmpl w:val="253857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FB2501"/>
    <w:multiLevelType w:val="hybridMultilevel"/>
    <w:tmpl w:val="8DC89E3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CA06A07"/>
    <w:multiLevelType w:val="hybridMultilevel"/>
    <w:tmpl w:val="B7EC887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6775B1D"/>
    <w:multiLevelType w:val="hybridMultilevel"/>
    <w:tmpl w:val="76E6C980"/>
    <w:lvl w:ilvl="0" w:tplc="14F680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9C257D"/>
    <w:multiLevelType w:val="hybridMultilevel"/>
    <w:tmpl w:val="71565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F446CF7"/>
    <w:multiLevelType w:val="hybridMultilevel"/>
    <w:tmpl w:val="698A5F0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24945B4"/>
    <w:multiLevelType w:val="hybridMultilevel"/>
    <w:tmpl w:val="6DB66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42203078">
    <w:abstractNumId w:val="1"/>
  </w:num>
  <w:num w:numId="2" w16cid:durableId="886986498">
    <w:abstractNumId w:val="10"/>
  </w:num>
  <w:num w:numId="3" w16cid:durableId="1583418369">
    <w:abstractNumId w:val="2"/>
  </w:num>
  <w:num w:numId="4" w16cid:durableId="1676881695">
    <w:abstractNumId w:val="4"/>
  </w:num>
  <w:num w:numId="5" w16cid:durableId="378356481">
    <w:abstractNumId w:val="5"/>
  </w:num>
  <w:num w:numId="6" w16cid:durableId="694966126">
    <w:abstractNumId w:val="7"/>
  </w:num>
  <w:num w:numId="7" w16cid:durableId="1634293119">
    <w:abstractNumId w:val="3"/>
  </w:num>
  <w:num w:numId="8" w16cid:durableId="42098435">
    <w:abstractNumId w:val="6"/>
  </w:num>
  <w:num w:numId="9" w16cid:durableId="1234387478">
    <w:abstractNumId w:val="0"/>
  </w:num>
  <w:num w:numId="10" w16cid:durableId="1987733713">
    <w:abstractNumId w:val="8"/>
  </w:num>
  <w:num w:numId="11" w16cid:durableId="231087009">
    <w:abstractNumId w:val="9"/>
  </w:num>
  <w:num w:numId="12" w16cid:durableId="898586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E0"/>
    <w:rsid w:val="000001B2"/>
    <w:rsid w:val="00002ABA"/>
    <w:rsid w:val="00002C20"/>
    <w:rsid w:val="00005FA4"/>
    <w:rsid w:val="00007109"/>
    <w:rsid w:val="00007AA4"/>
    <w:rsid w:val="00010C64"/>
    <w:rsid w:val="00011B13"/>
    <w:rsid w:val="000126DE"/>
    <w:rsid w:val="000128B8"/>
    <w:rsid w:val="00012B1D"/>
    <w:rsid w:val="000133DC"/>
    <w:rsid w:val="00013E40"/>
    <w:rsid w:val="00014220"/>
    <w:rsid w:val="00014297"/>
    <w:rsid w:val="00014AA3"/>
    <w:rsid w:val="00015347"/>
    <w:rsid w:val="00016304"/>
    <w:rsid w:val="00016814"/>
    <w:rsid w:val="000208F5"/>
    <w:rsid w:val="000221DE"/>
    <w:rsid w:val="00022344"/>
    <w:rsid w:val="0002270E"/>
    <w:rsid w:val="0002359D"/>
    <w:rsid w:val="0002439B"/>
    <w:rsid w:val="000267DC"/>
    <w:rsid w:val="00026FBF"/>
    <w:rsid w:val="00031409"/>
    <w:rsid w:val="00036609"/>
    <w:rsid w:val="0003734B"/>
    <w:rsid w:val="00037EE5"/>
    <w:rsid w:val="000404E7"/>
    <w:rsid w:val="00041035"/>
    <w:rsid w:val="00045164"/>
    <w:rsid w:val="000468B3"/>
    <w:rsid w:val="00050CD7"/>
    <w:rsid w:val="00051C3A"/>
    <w:rsid w:val="00052456"/>
    <w:rsid w:val="00052F30"/>
    <w:rsid w:val="0005424F"/>
    <w:rsid w:val="0005526E"/>
    <w:rsid w:val="00056816"/>
    <w:rsid w:val="0005724A"/>
    <w:rsid w:val="000708AF"/>
    <w:rsid w:val="00076556"/>
    <w:rsid w:val="00081D13"/>
    <w:rsid w:val="00082BF3"/>
    <w:rsid w:val="000861A4"/>
    <w:rsid w:val="00087178"/>
    <w:rsid w:val="00087AE4"/>
    <w:rsid w:val="000926A4"/>
    <w:rsid w:val="0009469C"/>
    <w:rsid w:val="00096E95"/>
    <w:rsid w:val="00096F7F"/>
    <w:rsid w:val="000A117F"/>
    <w:rsid w:val="000A275D"/>
    <w:rsid w:val="000A371F"/>
    <w:rsid w:val="000A3FD4"/>
    <w:rsid w:val="000A4526"/>
    <w:rsid w:val="000A4EC0"/>
    <w:rsid w:val="000A59AA"/>
    <w:rsid w:val="000A5E23"/>
    <w:rsid w:val="000B1664"/>
    <w:rsid w:val="000B23ED"/>
    <w:rsid w:val="000B391A"/>
    <w:rsid w:val="000B3D16"/>
    <w:rsid w:val="000B7292"/>
    <w:rsid w:val="000C10D8"/>
    <w:rsid w:val="000C1573"/>
    <w:rsid w:val="000C3CC0"/>
    <w:rsid w:val="000C714B"/>
    <w:rsid w:val="000C761F"/>
    <w:rsid w:val="000D0662"/>
    <w:rsid w:val="000D0FDE"/>
    <w:rsid w:val="000D16F1"/>
    <w:rsid w:val="000D189E"/>
    <w:rsid w:val="000D2B3F"/>
    <w:rsid w:val="000D3182"/>
    <w:rsid w:val="000D5C7F"/>
    <w:rsid w:val="000D5F36"/>
    <w:rsid w:val="000E15CE"/>
    <w:rsid w:val="000E17E6"/>
    <w:rsid w:val="000E22DA"/>
    <w:rsid w:val="000E2D3C"/>
    <w:rsid w:val="000E4288"/>
    <w:rsid w:val="000E6BCE"/>
    <w:rsid w:val="000E7438"/>
    <w:rsid w:val="000F1233"/>
    <w:rsid w:val="000F1E8E"/>
    <w:rsid w:val="000F39F9"/>
    <w:rsid w:val="000F57AC"/>
    <w:rsid w:val="000F5D69"/>
    <w:rsid w:val="000F5E7F"/>
    <w:rsid w:val="000F6DFF"/>
    <w:rsid w:val="000F7C14"/>
    <w:rsid w:val="00100750"/>
    <w:rsid w:val="00101969"/>
    <w:rsid w:val="00101FE4"/>
    <w:rsid w:val="001034E1"/>
    <w:rsid w:val="00106E66"/>
    <w:rsid w:val="00107660"/>
    <w:rsid w:val="0011164A"/>
    <w:rsid w:val="00111D50"/>
    <w:rsid w:val="00112950"/>
    <w:rsid w:val="00113653"/>
    <w:rsid w:val="00114848"/>
    <w:rsid w:val="001179CC"/>
    <w:rsid w:val="00117E75"/>
    <w:rsid w:val="0012203D"/>
    <w:rsid w:val="001220FE"/>
    <w:rsid w:val="00122B28"/>
    <w:rsid w:val="001235DC"/>
    <w:rsid w:val="00123BFF"/>
    <w:rsid w:val="00124856"/>
    <w:rsid w:val="001253A0"/>
    <w:rsid w:val="001258B5"/>
    <w:rsid w:val="00130C89"/>
    <w:rsid w:val="00134519"/>
    <w:rsid w:val="00134994"/>
    <w:rsid w:val="00134F26"/>
    <w:rsid w:val="00135650"/>
    <w:rsid w:val="00135F0A"/>
    <w:rsid w:val="001379A5"/>
    <w:rsid w:val="00140426"/>
    <w:rsid w:val="0014099C"/>
    <w:rsid w:val="00142532"/>
    <w:rsid w:val="00142AD6"/>
    <w:rsid w:val="00144BFF"/>
    <w:rsid w:val="001453E4"/>
    <w:rsid w:val="001460E3"/>
    <w:rsid w:val="00146D5C"/>
    <w:rsid w:val="00150265"/>
    <w:rsid w:val="00150937"/>
    <w:rsid w:val="00152407"/>
    <w:rsid w:val="00156D1A"/>
    <w:rsid w:val="001578EB"/>
    <w:rsid w:val="00160615"/>
    <w:rsid w:val="001614F1"/>
    <w:rsid w:val="00161E36"/>
    <w:rsid w:val="00161EA6"/>
    <w:rsid w:val="001637E1"/>
    <w:rsid w:val="001674E7"/>
    <w:rsid w:val="00170944"/>
    <w:rsid w:val="00170BD9"/>
    <w:rsid w:val="001712F4"/>
    <w:rsid w:val="0017358D"/>
    <w:rsid w:val="00174C5B"/>
    <w:rsid w:val="00176DA4"/>
    <w:rsid w:val="0018194A"/>
    <w:rsid w:val="00184F9B"/>
    <w:rsid w:val="00185D13"/>
    <w:rsid w:val="0019095E"/>
    <w:rsid w:val="001917A2"/>
    <w:rsid w:val="00193091"/>
    <w:rsid w:val="001933F6"/>
    <w:rsid w:val="001959F9"/>
    <w:rsid w:val="00196FA3"/>
    <w:rsid w:val="001A13A8"/>
    <w:rsid w:val="001A187A"/>
    <w:rsid w:val="001A36A4"/>
    <w:rsid w:val="001A3ED4"/>
    <w:rsid w:val="001A4891"/>
    <w:rsid w:val="001A4CD5"/>
    <w:rsid w:val="001A5766"/>
    <w:rsid w:val="001A7FE7"/>
    <w:rsid w:val="001B2996"/>
    <w:rsid w:val="001B2B60"/>
    <w:rsid w:val="001B3E80"/>
    <w:rsid w:val="001B47FC"/>
    <w:rsid w:val="001B640F"/>
    <w:rsid w:val="001C22C2"/>
    <w:rsid w:val="001C2623"/>
    <w:rsid w:val="001C7D1F"/>
    <w:rsid w:val="001D0AC8"/>
    <w:rsid w:val="001D1353"/>
    <w:rsid w:val="001D212E"/>
    <w:rsid w:val="001D3E14"/>
    <w:rsid w:val="001D49B0"/>
    <w:rsid w:val="001D6F8D"/>
    <w:rsid w:val="001E0E5C"/>
    <w:rsid w:val="001E1132"/>
    <w:rsid w:val="001E20B4"/>
    <w:rsid w:val="001E372C"/>
    <w:rsid w:val="001E3EC9"/>
    <w:rsid w:val="001E41C6"/>
    <w:rsid w:val="001F0322"/>
    <w:rsid w:val="001F0A27"/>
    <w:rsid w:val="001F1F33"/>
    <w:rsid w:val="001F3E4F"/>
    <w:rsid w:val="001F55F3"/>
    <w:rsid w:val="001F7366"/>
    <w:rsid w:val="00207382"/>
    <w:rsid w:val="0021014F"/>
    <w:rsid w:val="002110DF"/>
    <w:rsid w:val="00212354"/>
    <w:rsid w:val="002127ED"/>
    <w:rsid w:val="00212B48"/>
    <w:rsid w:val="00212C32"/>
    <w:rsid w:val="00212E50"/>
    <w:rsid w:val="00214D81"/>
    <w:rsid w:val="00216380"/>
    <w:rsid w:val="00216BD4"/>
    <w:rsid w:val="00223AE6"/>
    <w:rsid w:val="0022580B"/>
    <w:rsid w:val="002279C8"/>
    <w:rsid w:val="00230F32"/>
    <w:rsid w:val="0023212F"/>
    <w:rsid w:val="00240AE0"/>
    <w:rsid w:val="002410C8"/>
    <w:rsid w:val="00241F9C"/>
    <w:rsid w:val="002426BC"/>
    <w:rsid w:val="0024339E"/>
    <w:rsid w:val="00244EA7"/>
    <w:rsid w:val="00247A51"/>
    <w:rsid w:val="002504D1"/>
    <w:rsid w:val="00251261"/>
    <w:rsid w:val="00253375"/>
    <w:rsid w:val="00253690"/>
    <w:rsid w:val="00253CB7"/>
    <w:rsid w:val="0025508F"/>
    <w:rsid w:val="00255F0A"/>
    <w:rsid w:val="002569A5"/>
    <w:rsid w:val="002575E9"/>
    <w:rsid w:val="002578E1"/>
    <w:rsid w:val="00262184"/>
    <w:rsid w:val="0026253C"/>
    <w:rsid w:val="00262AE0"/>
    <w:rsid w:val="0026517D"/>
    <w:rsid w:val="0026665C"/>
    <w:rsid w:val="00266918"/>
    <w:rsid w:val="00266D63"/>
    <w:rsid w:val="00271255"/>
    <w:rsid w:val="00272769"/>
    <w:rsid w:val="0027337A"/>
    <w:rsid w:val="00273D7A"/>
    <w:rsid w:val="00273EF5"/>
    <w:rsid w:val="002744BC"/>
    <w:rsid w:val="002757F4"/>
    <w:rsid w:val="00275FAA"/>
    <w:rsid w:val="00276BB6"/>
    <w:rsid w:val="00277AF6"/>
    <w:rsid w:val="0028258D"/>
    <w:rsid w:val="00283155"/>
    <w:rsid w:val="00284583"/>
    <w:rsid w:val="0028499E"/>
    <w:rsid w:val="00284B55"/>
    <w:rsid w:val="00284FC8"/>
    <w:rsid w:val="0028545E"/>
    <w:rsid w:val="00286948"/>
    <w:rsid w:val="00286B60"/>
    <w:rsid w:val="002878F4"/>
    <w:rsid w:val="00290359"/>
    <w:rsid w:val="00290B17"/>
    <w:rsid w:val="002923AA"/>
    <w:rsid w:val="0029542B"/>
    <w:rsid w:val="00295AF0"/>
    <w:rsid w:val="002A179F"/>
    <w:rsid w:val="002A3422"/>
    <w:rsid w:val="002A3DD5"/>
    <w:rsid w:val="002A49A0"/>
    <w:rsid w:val="002B07F4"/>
    <w:rsid w:val="002B0AD5"/>
    <w:rsid w:val="002B112C"/>
    <w:rsid w:val="002B143E"/>
    <w:rsid w:val="002B2390"/>
    <w:rsid w:val="002B2F87"/>
    <w:rsid w:val="002B33E9"/>
    <w:rsid w:val="002B40A9"/>
    <w:rsid w:val="002B6140"/>
    <w:rsid w:val="002B70EC"/>
    <w:rsid w:val="002C0122"/>
    <w:rsid w:val="002C03C3"/>
    <w:rsid w:val="002C2031"/>
    <w:rsid w:val="002C2353"/>
    <w:rsid w:val="002C299C"/>
    <w:rsid w:val="002C2DDA"/>
    <w:rsid w:val="002C3313"/>
    <w:rsid w:val="002C348E"/>
    <w:rsid w:val="002C39A3"/>
    <w:rsid w:val="002C4731"/>
    <w:rsid w:val="002C4AF0"/>
    <w:rsid w:val="002C5039"/>
    <w:rsid w:val="002C6036"/>
    <w:rsid w:val="002D081B"/>
    <w:rsid w:val="002D101C"/>
    <w:rsid w:val="002D1F0E"/>
    <w:rsid w:val="002D2146"/>
    <w:rsid w:val="002D25DD"/>
    <w:rsid w:val="002D2B2E"/>
    <w:rsid w:val="002D2DE9"/>
    <w:rsid w:val="002D422D"/>
    <w:rsid w:val="002D4D34"/>
    <w:rsid w:val="002D6B8D"/>
    <w:rsid w:val="002D7D4D"/>
    <w:rsid w:val="002E186F"/>
    <w:rsid w:val="002E2C09"/>
    <w:rsid w:val="002E4054"/>
    <w:rsid w:val="002E4132"/>
    <w:rsid w:val="002F22F7"/>
    <w:rsid w:val="002F5012"/>
    <w:rsid w:val="002F6F8B"/>
    <w:rsid w:val="002F7900"/>
    <w:rsid w:val="003024C5"/>
    <w:rsid w:val="003025A1"/>
    <w:rsid w:val="00303425"/>
    <w:rsid w:val="003035C5"/>
    <w:rsid w:val="003054E8"/>
    <w:rsid w:val="00307EC9"/>
    <w:rsid w:val="003103F4"/>
    <w:rsid w:val="0031155E"/>
    <w:rsid w:val="003126E0"/>
    <w:rsid w:val="0031285E"/>
    <w:rsid w:val="0031484B"/>
    <w:rsid w:val="00315346"/>
    <w:rsid w:val="003157EB"/>
    <w:rsid w:val="003158E7"/>
    <w:rsid w:val="003165EA"/>
    <w:rsid w:val="00316982"/>
    <w:rsid w:val="0031766F"/>
    <w:rsid w:val="00317D1F"/>
    <w:rsid w:val="00317EF5"/>
    <w:rsid w:val="003228DD"/>
    <w:rsid w:val="003230D3"/>
    <w:rsid w:val="003239E8"/>
    <w:rsid w:val="0032540F"/>
    <w:rsid w:val="0032768D"/>
    <w:rsid w:val="00327CDE"/>
    <w:rsid w:val="00327FD2"/>
    <w:rsid w:val="00330E4A"/>
    <w:rsid w:val="003314C6"/>
    <w:rsid w:val="00332A43"/>
    <w:rsid w:val="00335096"/>
    <w:rsid w:val="00337672"/>
    <w:rsid w:val="00340A5A"/>
    <w:rsid w:val="00340BF2"/>
    <w:rsid w:val="00341C40"/>
    <w:rsid w:val="00341EF9"/>
    <w:rsid w:val="00342A32"/>
    <w:rsid w:val="00344C1E"/>
    <w:rsid w:val="003451EC"/>
    <w:rsid w:val="00346AF7"/>
    <w:rsid w:val="00352866"/>
    <w:rsid w:val="00352C31"/>
    <w:rsid w:val="003532A4"/>
    <w:rsid w:val="0035547A"/>
    <w:rsid w:val="00361B75"/>
    <w:rsid w:val="00363242"/>
    <w:rsid w:val="003647A5"/>
    <w:rsid w:val="0036528E"/>
    <w:rsid w:val="00366C55"/>
    <w:rsid w:val="0036756C"/>
    <w:rsid w:val="00370824"/>
    <w:rsid w:val="0037156D"/>
    <w:rsid w:val="00371A35"/>
    <w:rsid w:val="00371F43"/>
    <w:rsid w:val="00372A9F"/>
    <w:rsid w:val="0037543A"/>
    <w:rsid w:val="00376A1E"/>
    <w:rsid w:val="0038011D"/>
    <w:rsid w:val="0038130B"/>
    <w:rsid w:val="00381AC4"/>
    <w:rsid w:val="00383AC2"/>
    <w:rsid w:val="00384D83"/>
    <w:rsid w:val="0038518D"/>
    <w:rsid w:val="00385462"/>
    <w:rsid w:val="003868FE"/>
    <w:rsid w:val="00387868"/>
    <w:rsid w:val="00387B29"/>
    <w:rsid w:val="00387EB7"/>
    <w:rsid w:val="003927C8"/>
    <w:rsid w:val="00393B05"/>
    <w:rsid w:val="00395159"/>
    <w:rsid w:val="00395E5A"/>
    <w:rsid w:val="00396A35"/>
    <w:rsid w:val="003A05DC"/>
    <w:rsid w:val="003A14C7"/>
    <w:rsid w:val="003A1ABE"/>
    <w:rsid w:val="003A1DBA"/>
    <w:rsid w:val="003A200F"/>
    <w:rsid w:val="003A34BA"/>
    <w:rsid w:val="003A79C7"/>
    <w:rsid w:val="003B206E"/>
    <w:rsid w:val="003B4019"/>
    <w:rsid w:val="003B5FDA"/>
    <w:rsid w:val="003B713D"/>
    <w:rsid w:val="003C0B14"/>
    <w:rsid w:val="003C0D2C"/>
    <w:rsid w:val="003C0FDB"/>
    <w:rsid w:val="003C166A"/>
    <w:rsid w:val="003C481F"/>
    <w:rsid w:val="003C5519"/>
    <w:rsid w:val="003C6018"/>
    <w:rsid w:val="003C6B75"/>
    <w:rsid w:val="003C6E8B"/>
    <w:rsid w:val="003C7A72"/>
    <w:rsid w:val="003D318E"/>
    <w:rsid w:val="003D33DE"/>
    <w:rsid w:val="003D5EAE"/>
    <w:rsid w:val="003D624C"/>
    <w:rsid w:val="003D62B0"/>
    <w:rsid w:val="003E1F2E"/>
    <w:rsid w:val="003E65EA"/>
    <w:rsid w:val="003E743C"/>
    <w:rsid w:val="003F36BA"/>
    <w:rsid w:val="003F4C24"/>
    <w:rsid w:val="003F6895"/>
    <w:rsid w:val="003F7F93"/>
    <w:rsid w:val="00400525"/>
    <w:rsid w:val="004031EE"/>
    <w:rsid w:val="00404CFA"/>
    <w:rsid w:val="00404F31"/>
    <w:rsid w:val="004070C7"/>
    <w:rsid w:val="00407A69"/>
    <w:rsid w:val="00410F1F"/>
    <w:rsid w:val="00413539"/>
    <w:rsid w:val="00413E18"/>
    <w:rsid w:val="004162CD"/>
    <w:rsid w:val="00420C57"/>
    <w:rsid w:val="00430358"/>
    <w:rsid w:val="00431A3E"/>
    <w:rsid w:val="004335A2"/>
    <w:rsid w:val="00434CB1"/>
    <w:rsid w:val="0043505B"/>
    <w:rsid w:val="0043594A"/>
    <w:rsid w:val="00437693"/>
    <w:rsid w:val="00437FE5"/>
    <w:rsid w:val="00444D03"/>
    <w:rsid w:val="0044558B"/>
    <w:rsid w:val="00446078"/>
    <w:rsid w:val="00446B02"/>
    <w:rsid w:val="004470CC"/>
    <w:rsid w:val="00450B04"/>
    <w:rsid w:val="00451B84"/>
    <w:rsid w:val="00452A55"/>
    <w:rsid w:val="0045441B"/>
    <w:rsid w:val="00455E85"/>
    <w:rsid w:val="004631FD"/>
    <w:rsid w:val="00465CA6"/>
    <w:rsid w:val="004670ED"/>
    <w:rsid w:val="004679B5"/>
    <w:rsid w:val="004706F7"/>
    <w:rsid w:val="004713F8"/>
    <w:rsid w:val="0047195C"/>
    <w:rsid w:val="004748C8"/>
    <w:rsid w:val="00474DFA"/>
    <w:rsid w:val="0047542C"/>
    <w:rsid w:val="00476452"/>
    <w:rsid w:val="004801CD"/>
    <w:rsid w:val="0048269D"/>
    <w:rsid w:val="00484664"/>
    <w:rsid w:val="00486D64"/>
    <w:rsid w:val="00487F1D"/>
    <w:rsid w:val="00491C8D"/>
    <w:rsid w:val="004A1A74"/>
    <w:rsid w:val="004A25F2"/>
    <w:rsid w:val="004A2C0D"/>
    <w:rsid w:val="004A2C8C"/>
    <w:rsid w:val="004A3482"/>
    <w:rsid w:val="004A34C8"/>
    <w:rsid w:val="004A5532"/>
    <w:rsid w:val="004A7DFE"/>
    <w:rsid w:val="004B0EF3"/>
    <w:rsid w:val="004B54C8"/>
    <w:rsid w:val="004C1320"/>
    <w:rsid w:val="004C157A"/>
    <w:rsid w:val="004C3568"/>
    <w:rsid w:val="004C3A9A"/>
    <w:rsid w:val="004C3D2A"/>
    <w:rsid w:val="004C5DE7"/>
    <w:rsid w:val="004C640D"/>
    <w:rsid w:val="004C7194"/>
    <w:rsid w:val="004C75F4"/>
    <w:rsid w:val="004D2439"/>
    <w:rsid w:val="004D2B6F"/>
    <w:rsid w:val="004D33F5"/>
    <w:rsid w:val="004D4980"/>
    <w:rsid w:val="004D4F86"/>
    <w:rsid w:val="004E04F5"/>
    <w:rsid w:val="004E16E3"/>
    <w:rsid w:val="004E1858"/>
    <w:rsid w:val="004E3725"/>
    <w:rsid w:val="004E462E"/>
    <w:rsid w:val="004E5CF8"/>
    <w:rsid w:val="004E6011"/>
    <w:rsid w:val="004E7A6C"/>
    <w:rsid w:val="004F0B06"/>
    <w:rsid w:val="004F0D6B"/>
    <w:rsid w:val="004F5E8A"/>
    <w:rsid w:val="004F6930"/>
    <w:rsid w:val="00502414"/>
    <w:rsid w:val="00502989"/>
    <w:rsid w:val="0050345B"/>
    <w:rsid w:val="00503AF1"/>
    <w:rsid w:val="00503E25"/>
    <w:rsid w:val="00504274"/>
    <w:rsid w:val="0050477F"/>
    <w:rsid w:val="00505095"/>
    <w:rsid w:val="00505121"/>
    <w:rsid w:val="00505AD6"/>
    <w:rsid w:val="00505C74"/>
    <w:rsid w:val="00505EB4"/>
    <w:rsid w:val="00506826"/>
    <w:rsid w:val="0051072C"/>
    <w:rsid w:val="00510800"/>
    <w:rsid w:val="00510DA0"/>
    <w:rsid w:val="0051208A"/>
    <w:rsid w:val="00513E28"/>
    <w:rsid w:val="00513F57"/>
    <w:rsid w:val="00515360"/>
    <w:rsid w:val="00517F59"/>
    <w:rsid w:val="005216D8"/>
    <w:rsid w:val="00523A8A"/>
    <w:rsid w:val="00526621"/>
    <w:rsid w:val="00533377"/>
    <w:rsid w:val="00534A6C"/>
    <w:rsid w:val="00536474"/>
    <w:rsid w:val="005368C5"/>
    <w:rsid w:val="00540E4A"/>
    <w:rsid w:val="0054271D"/>
    <w:rsid w:val="005432B1"/>
    <w:rsid w:val="00545C9C"/>
    <w:rsid w:val="005465A5"/>
    <w:rsid w:val="005472BD"/>
    <w:rsid w:val="00551493"/>
    <w:rsid w:val="0055256B"/>
    <w:rsid w:val="005527C0"/>
    <w:rsid w:val="005528BF"/>
    <w:rsid w:val="00552A92"/>
    <w:rsid w:val="0055362F"/>
    <w:rsid w:val="00554523"/>
    <w:rsid w:val="00554EF6"/>
    <w:rsid w:val="005564C0"/>
    <w:rsid w:val="00556F24"/>
    <w:rsid w:val="005620EC"/>
    <w:rsid w:val="00562188"/>
    <w:rsid w:val="00563D1B"/>
    <w:rsid w:val="00567B6A"/>
    <w:rsid w:val="00572681"/>
    <w:rsid w:val="00572A5B"/>
    <w:rsid w:val="00572B76"/>
    <w:rsid w:val="00574551"/>
    <w:rsid w:val="00574622"/>
    <w:rsid w:val="00575A84"/>
    <w:rsid w:val="00580CB2"/>
    <w:rsid w:val="005823EA"/>
    <w:rsid w:val="00584097"/>
    <w:rsid w:val="005841F3"/>
    <w:rsid w:val="005844E0"/>
    <w:rsid w:val="005911A0"/>
    <w:rsid w:val="0059188C"/>
    <w:rsid w:val="005928B4"/>
    <w:rsid w:val="00592BD4"/>
    <w:rsid w:val="0059556D"/>
    <w:rsid w:val="0059626B"/>
    <w:rsid w:val="00596AC7"/>
    <w:rsid w:val="00597B7C"/>
    <w:rsid w:val="005A0842"/>
    <w:rsid w:val="005A170C"/>
    <w:rsid w:val="005A1BAD"/>
    <w:rsid w:val="005A3108"/>
    <w:rsid w:val="005A35CE"/>
    <w:rsid w:val="005A379D"/>
    <w:rsid w:val="005A4795"/>
    <w:rsid w:val="005A66C5"/>
    <w:rsid w:val="005A744E"/>
    <w:rsid w:val="005B2A14"/>
    <w:rsid w:val="005B2F43"/>
    <w:rsid w:val="005B39E8"/>
    <w:rsid w:val="005B47A1"/>
    <w:rsid w:val="005B741E"/>
    <w:rsid w:val="005B7B72"/>
    <w:rsid w:val="005C003B"/>
    <w:rsid w:val="005C1A82"/>
    <w:rsid w:val="005C2BDF"/>
    <w:rsid w:val="005C7385"/>
    <w:rsid w:val="005C7732"/>
    <w:rsid w:val="005C7DB6"/>
    <w:rsid w:val="005D24D0"/>
    <w:rsid w:val="005D2718"/>
    <w:rsid w:val="005D61F1"/>
    <w:rsid w:val="005E16C6"/>
    <w:rsid w:val="005E27BA"/>
    <w:rsid w:val="005E36CF"/>
    <w:rsid w:val="005E5A2B"/>
    <w:rsid w:val="005E6164"/>
    <w:rsid w:val="005E65B0"/>
    <w:rsid w:val="005F03DC"/>
    <w:rsid w:val="005F2022"/>
    <w:rsid w:val="005F3775"/>
    <w:rsid w:val="005F3BC7"/>
    <w:rsid w:val="005F3F40"/>
    <w:rsid w:val="005F3F7D"/>
    <w:rsid w:val="005F5A47"/>
    <w:rsid w:val="005F5F3A"/>
    <w:rsid w:val="005F6528"/>
    <w:rsid w:val="005F7A2A"/>
    <w:rsid w:val="005F7D28"/>
    <w:rsid w:val="00604A9C"/>
    <w:rsid w:val="00604BA8"/>
    <w:rsid w:val="0060519A"/>
    <w:rsid w:val="00605791"/>
    <w:rsid w:val="0060755A"/>
    <w:rsid w:val="00607A8F"/>
    <w:rsid w:val="00607BA1"/>
    <w:rsid w:val="00610BE6"/>
    <w:rsid w:val="00610DBB"/>
    <w:rsid w:val="00611DE0"/>
    <w:rsid w:val="00614780"/>
    <w:rsid w:val="00615093"/>
    <w:rsid w:val="00616DF8"/>
    <w:rsid w:val="0062088F"/>
    <w:rsid w:val="00623F97"/>
    <w:rsid w:val="0062583D"/>
    <w:rsid w:val="00625C12"/>
    <w:rsid w:val="00626353"/>
    <w:rsid w:val="00626CB0"/>
    <w:rsid w:val="0062713B"/>
    <w:rsid w:val="006301C5"/>
    <w:rsid w:val="006301CF"/>
    <w:rsid w:val="006307A2"/>
    <w:rsid w:val="006309D0"/>
    <w:rsid w:val="00632CB5"/>
    <w:rsid w:val="00633D88"/>
    <w:rsid w:val="00636BA6"/>
    <w:rsid w:val="00636F8F"/>
    <w:rsid w:val="006377E0"/>
    <w:rsid w:val="006476AA"/>
    <w:rsid w:val="0065193E"/>
    <w:rsid w:val="006523EF"/>
    <w:rsid w:val="00654BF0"/>
    <w:rsid w:val="00654C39"/>
    <w:rsid w:val="006550B9"/>
    <w:rsid w:val="006562A4"/>
    <w:rsid w:val="006611A0"/>
    <w:rsid w:val="006614DB"/>
    <w:rsid w:val="0066170A"/>
    <w:rsid w:val="0066176D"/>
    <w:rsid w:val="0066303C"/>
    <w:rsid w:val="00664235"/>
    <w:rsid w:val="00665DF5"/>
    <w:rsid w:val="006669E9"/>
    <w:rsid w:val="00667E07"/>
    <w:rsid w:val="00670EBC"/>
    <w:rsid w:val="0067305A"/>
    <w:rsid w:val="00673D34"/>
    <w:rsid w:val="00673E0A"/>
    <w:rsid w:val="00677317"/>
    <w:rsid w:val="006815DF"/>
    <w:rsid w:val="00681D36"/>
    <w:rsid w:val="00682C7C"/>
    <w:rsid w:val="00683BEA"/>
    <w:rsid w:val="00683D98"/>
    <w:rsid w:val="00684675"/>
    <w:rsid w:val="00686C4F"/>
    <w:rsid w:val="0069149F"/>
    <w:rsid w:val="00692603"/>
    <w:rsid w:val="00695255"/>
    <w:rsid w:val="00695914"/>
    <w:rsid w:val="006A04E6"/>
    <w:rsid w:val="006A132C"/>
    <w:rsid w:val="006A1DA0"/>
    <w:rsid w:val="006A1E7A"/>
    <w:rsid w:val="006A23CF"/>
    <w:rsid w:val="006A243E"/>
    <w:rsid w:val="006A3A4F"/>
    <w:rsid w:val="006A671C"/>
    <w:rsid w:val="006B22AD"/>
    <w:rsid w:val="006B2B51"/>
    <w:rsid w:val="006B35CC"/>
    <w:rsid w:val="006B54FE"/>
    <w:rsid w:val="006B59CF"/>
    <w:rsid w:val="006B7B1F"/>
    <w:rsid w:val="006C1940"/>
    <w:rsid w:val="006C1A20"/>
    <w:rsid w:val="006C1BAC"/>
    <w:rsid w:val="006C3C1B"/>
    <w:rsid w:val="006C458C"/>
    <w:rsid w:val="006C7DF8"/>
    <w:rsid w:val="006D005B"/>
    <w:rsid w:val="006D02FB"/>
    <w:rsid w:val="006D07E7"/>
    <w:rsid w:val="006D4BAF"/>
    <w:rsid w:val="006D5DFC"/>
    <w:rsid w:val="006E0189"/>
    <w:rsid w:val="006E0909"/>
    <w:rsid w:val="006E15B3"/>
    <w:rsid w:val="006E1B94"/>
    <w:rsid w:val="006E320B"/>
    <w:rsid w:val="006E38A3"/>
    <w:rsid w:val="006E54DF"/>
    <w:rsid w:val="006E6AD5"/>
    <w:rsid w:val="006F264A"/>
    <w:rsid w:val="006F6DD7"/>
    <w:rsid w:val="007014A7"/>
    <w:rsid w:val="0070207B"/>
    <w:rsid w:val="00703E01"/>
    <w:rsid w:val="0070405B"/>
    <w:rsid w:val="007054AB"/>
    <w:rsid w:val="00713318"/>
    <w:rsid w:val="00713F31"/>
    <w:rsid w:val="0071530E"/>
    <w:rsid w:val="007170B2"/>
    <w:rsid w:val="007171B1"/>
    <w:rsid w:val="00717AC4"/>
    <w:rsid w:val="007209F2"/>
    <w:rsid w:val="0072210C"/>
    <w:rsid w:val="00724CD7"/>
    <w:rsid w:val="0072593D"/>
    <w:rsid w:val="007277C3"/>
    <w:rsid w:val="00730B01"/>
    <w:rsid w:val="007334BE"/>
    <w:rsid w:val="00734C39"/>
    <w:rsid w:val="00735B0D"/>
    <w:rsid w:val="00735DAD"/>
    <w:rsid w:val="0073670B"/>
    <w:rsid w:val="00737A4A"/>
    <w:rsid w:val="00740220"/>
    <w:rsid w:val="00740D36"/>
    <w:rsid w:val="00743439"/>
    <w:rsid w:val="00743615"/>
    <w:rsid w:val="00743DAD"/>
    <w:rsid w:val="0074541D"/>
    <w:rsid w:val="00745E65"/>
    <w:rsid w:val="00747699"/>
    <w:rsid w:val="00750388"/>
    <w:rsid w:val="00750A54"/>
    <w:rsid w:val="0075175F"/>
    <w:rsid w:val="007543AD"/>
    <w:rsid w:val="0075653F"/>
    <w:rsid w:val="007567AD"/>
    <w:rsid w:val="00756E2E"/>
    <w:rsid w:val="00760AE6"/>
    <w:rsid w:val="00761ADD"/>
    <w:rsid w:val="00761D36"/>
    <w:rsid w:val="007623E3"/>
    <w:rsid w:val="0076651A"/>
    <w:rsid w:val="0076675A"/>
    <w:rsid w:val="00766F6D"/>
    <w:rsid w:val="00773686"/>
    <w:rsid w:val="00773793"/>
    <w:rsid w:val="00774321"/>
    <w:rsid w:val="007745B2"/>
    <w:rsid w:val="00774FCE"/>
    <w:rsid w:val="00775BB3"/>
    <w:rsid w:val="00776410"/>
    <w:rsid w:val="00777128"/>
    <w:rsid w:val="00777C2D"/>
    <w:rsid w:val="00784264"/>
    <w:rsid w:val="00784B75"/>
    <w:rsid w:val="0078549E"/>
    <w:rsid w:val="00791AA5"/>
    <w:rsid w:val="00792111"/>
    <w:rsid w:val="007939C6"/>
    <w:rsid w:val="00794584"/>
    <w:rsid w:val="00795B2C"/>
    <w:rsid w:val="00795E4B"/>
    <w:rsid w:val="0079704A"/>
    <w:rsid w:val="007974D2"/>
    <w:rsid w:val="007A0FE4"/>
    <w:rsid w:val="007A1464"/>
    <w:rsid w:val="007A1D01"/>
    <w:rsid w:val="007A3172"/>
    <w:rsid w:val="007A334E"/>
    <w:rsid w:val="007A3830"/>
    <w:rsid w:val="007A42CB"/>
    <w:rsid w:val="007A452C"/>
    <w:rsid w:val="007A4A77"/>
    <w:rsid w:val="007A5C1A"/>
    <w:rsid w:val="007A5E75"/>
    <w:rsid w:val="007A72FC"/>
    <w:rsid w:val="007A7EB1"/>
    <w:rsid w:val="007B4331"/>
    <w:rsid w:val="007B585A"/>
    <w:rsid w:val="007B5DAE"/>
    <w:rsid w:val="007B6944"/>
    <w:rsid w:val="007B6B31"/>
    <w:rsid w:val="007C050C"/>
    <w:rsid w:val="007D1EF8"/>
    <w:rsid w:val="007D4CF3"/>
    <w:rsid w:val="007D50DB"/>
    <w:rsid w:val="007D662A"/>
    <w:rsid w:val="007D73D2"/>
    <w:rsid w:val="007E0C17"/>
    <w:rsid w:val="007E0DF6"/>
    <w:rsid w:val="007E14BC"/>
    <w:rsid w:val="007E2E78"/>
    <w:rsid w:val="007E488B"/>
    <w:rsid w:val="007E5F0A"/>
    <w:rsid w:val="007E64AA"/>
    <w:rsid w:val="007E7ADF"/>
    <w:rsid w:val="007F0886"/>
    <w:rsid w:val="007F0E06"/>
    <w:rsid w:val="007F193C"/>
    <w:rsid w:val="007F2486"/>
    <w:rsid w:val="007F6CE7"/>
    <w:rsid w:val="007F7F5B"/>
    <w:rsid w:val="008012F7"/>
    <w:rsid w:val="00802EEB"/>
    <w:rsid w:val="00803CFB"/>
    <w:rsid w:val="00804129"/>
    <w:rsid w:val="00804E54"/>
    <w:rsid w:val="00806055"/>
    <w:rsid w:val="00806599"/>
    <w:rsid w:val="00806D23"/>
    <w:rsid w:val="008108D8"/>
    <w:rsid w:val="008124C2"/>
    <w:rsid w:val="00814552"/>
    <w:rsid w:val="0081554B"/>
    <w:rsid w:val="00816FCA"/>
    <w:rsid w:val="008170F1"/>
    <w:rsid w:val="0081746F"/>
    <w:rsid w:val="00817B1B"/>
    <w:rsid w:val="00821994"/>
    <w:rsid w:val="00822B4C"/>
    <w:rsid w:val="00822CE0"/>
    <w:rsid w:val="00823A23"/>
    <w:rsid w:val="00823F8C"/>
    <w:rsid w:val="008267F5"/>
    <w:rsid w:val="00830045"/>
    <w:rsid w:val="008312B7"/>
    <w:rsid w:val="0083176D"/>
    <w:rsid w:val="0083348A"/>
    <w:rsid w:val="00833F88"/>
    <w:rsid w:val="00835205"/>
    <w:rsid w:val="008355A6"/>
    <w:rsid w:val="00835A57"/>
    <w:rsid w:val="008360CA"/>
    <w:rsid w:val="00836BEB"/>
    <w:rsid w:val="00837892"/>
    <w:rsid w:val="008406C1"/>
    <w:rsid w:val="00841E34"/>
    <w:rsid w:val="00842738"/>
    <w:rsid w:val="008430AF"/>
    <w:rsid w:val="00843FC2"/>
    <w:rsid w:val="00845DDF"/>
    <w:rsid w:val="00846BE3"/>
    <w:rsid w:val="0084716E"/>
    <w:rsid w:val="0084787C"/>
    <w:rsid w:val="00853750"/>
    <w:rsid w:val="00854D66"/>
    <w:rsid w:val="00862C62"/>
    <w:rsid w:val="00864967"/>
    <w:rsid w:val="008716A6"/>
    <w:rsid w:val="00871F85"/>
    <w:rsid w:val="008742AF"/>
    <w:rsid w:val="008775A4"/>
    <w:rsid w:val="00880D98"/>
    <w:rsid w:val="00883375"/>
    <w:rsid w:val="0088380C"/>
    <w:rsid w:val="00883EBA"/>
    <w:rsid w:val="008844A3"/>
    <w:rsid w:val="008914BA"/>
    <w:rsid w:val="0089265E"/>
    <w:rsid w:val="008926A1"/>
    <w:rsid w:val="008929A5"/>
    <w:rsid w:val="00894419"/>
    <w:rsid w:val="00896522"/>
    <w:rsid w:val="00896DD8"/>
    <w:rsid w:val="00897BCE"/>
    <w:rsid w:val="008A3126"/>
    <w:rsid w:val="008A3A25"/>
    <w:rsid w:val="008A3D78"/>
    <w:rsid w:val="008A44D1"/>
    <w:rsid w:val="008A4FE2"/>
    <w:rsid w:val="008A7853"/>
    <w:rsid w:val="008A7916"/>
    <w:rsid w:val="008B356C"/>
    <w:rsid w:val="008B394F"/>
    <w:rsid w:val="008C090D"/>
    <w:rsid w:val="008D1340"/>
    <w:rsid w:val="008D14A6"/>
    <w:rsid w:val="008D18F8"/>
    <w:rsid w:val="008D4134"/>
    <w:rsid w:val="008D55E0"/>
    <w:rsid w:val="008D7248"/>
    <w:rsid w:val="008E215B"/>
    <w:rsid w:val="008E4E27"/>
    <w:rsid w:val="008E606C"/>
    <w:rsid w:val="008F16D5"/>
    <w:rsid w:val="008F1897"/>
    <w:rsid w:val="008F272F"/>
    <w:rsid w:val="008F2AC6"/>
    <w:rsid w:val="008F3D97"/>
    <w:rsid w:val="008F494C"/>
    <w:rsid w:val="008F513E"/>
    <w:rsid w:val="008F61B9"/>
    <w:rsid w:val="008F6B8E"/>
    <w:rsid w:val="00900B79"/>
    <w:rsid w:val="009028AC"/>
    <w:rsid w:val="009031E1"/>
    <w:rsid w:val="00903F6B"/>
    <w:rsid w:val="009043FA"/>
    <w:rsid w:val="009055F5"/>
    <w:rsid w:val="00906151"/>
    <w:rsid w:val="009067F5"/>
    <w:rsid w:val="009077EA"/>
    <w:rsid w:val="00910B38"/>
    <w:rsid w:val="00911618"/>
    <w:rsid w:val="0091278D"/>
    <w:rsid w:val="009158CE"/>
    <w:rsid w:val="009161E2"/>
    <w:rsid w:val="00916591"/>
    <w:rsid w:val="009172B9"/>
    <w:rsid w:val="00920325"/>
    <w:rsid w:val="009215F9"/>
    <w:rsid w:val="009217C4"/>
    <w:rsid w:val="00921AD3"/>
    <w:rsid w:val="00921FCD"/>
    <w:rsid w:val="00923E30"/>
    <w:rsid w:val="0092781A"/>
    <w:rsid w:val="009278B6"/>
    <w:rsid w:val="00927F0C"/>
    <w:rsid w:val="0093225E"/>
    <w:rsid w:val="00933F3D"/>
    <w:rsid w:val="00934CB3"/>
    <w:rsid w:val="00934D89"/>
    <w:rsid w:val="00936C2A"/>
    <w:rsid w:val="009406F8"/>
    <w:rsid w:val="009424AA"/>
    <w:rsid w:val="009425C3"/>
    <w:rsid w:val="009429AF"/>
    <w:rsid w:val="00944B1A"/>
    <w:rsid w:val="00945C9E"/>
    <w:rsid w:val="00946E78"/>
    <w:rsid w:val="00947AC6"/>
    <w:rsid w:val="0095013C"/>
    <w:rsid w:val="009526A8"/>
    <w:rsid w:val="00955EE4"/>
    <w:rsid w:val="0096029E"/>
    <w:rsid w:val="00960813"/>
    <w:rsid w:val="0096084E"/>
    <w:rsid w:val="009616FD"/>
    <w:rsid w:val="00961CF4"/>
    <w:rsid w:val="009620DF"/>
    <w:rsid w:val="00962903"/>
    <w:rsid w:val="00963A20"/>
    <w:rsid w:val="00964C74"/>
    <w:rsid w:val="00964C9D"/>
    <w:rsid w:val="009664C2"/>
    <w:rsid w:val="0096691B"/>
    <w:rsid w:val="00970A50"/>
    <w:rsid w:val="00971615"/>
    <w:rsid w:val="00976AA7"/>
    <w:rsid w:val="009776EE"/>
    <w:rsid w:val="00984F4B"/>
    <w:rsid w:val="00985D80"/>
    <w:rsid w:val="00986708"/>
    <w:rsid w:val="00986DBF"/>
    <w:rsid w:val="009905E9"/>
    <w:rsid w:val="009907E9"/>
    <w:rsid w:val="00991997"/>
    <w:rsid w:val="00992587"/>
    <w:rsid w:val="00992FF1"/>
    <w:rsid w:val="009932B6"/>
    <w:rsid w:val="00996F8A"/>
    <w:rsid w:val="009A0DFB"/>
    <w:rsid w:val="009A1307"/>
    <w:rsid w:val="009A1E9E"/>
    <w:rsid w:val="009A30B9"/>
    <w:rsid w:val="009A3284"/>
    <w:rsid w:val="009A3855"/>
    <w:rsid w:val="009A49F0"/>
    <w:rsid w:val="009A5CC5"/>
    <w:rsid w:val="009A5DA1"/>
    <w:rsid w:val="009A73CF"/>
    <w:rsid w:val="009B0360"/>
    <w:rsid w:val="009B07F8"/>
    <w:rsid w:val="009B3F7E"/>
    <w:rsid w:val="009B49F6"/>
    <w:rsid w:val="009B4DE2"/>
    <w:rsid w:val="009B5694"/>
    <w:rsid w:val="009B6079"/>
    <w:rsid w:val="009B68C9"/>
    <w:rsid w:val="009B7B34"/>
    <w:rsid w:val="009C096B"/>
    <w:rsid w:val="009C1F88"/>
    <w:rsid w:val="009C1FC6"/>
    <w:rsid w:val="009C4646"/>
    <w:rsid w:val="009D23A6"/>
    <w:rsid w:val="009D2B1B"/>
    <w:rsid w:val="009D32AA"/>
    <w:rsid w:val="009D57D8"/>
    <w:rsid w:val="009D5B71"/>
    <w:rsid w:val="009D78B5"/>
    <w:rsid w:val="009D7E53"/>
    <w:rsid w:val="009E099E"/>
    <w:rsid w:val="009E1A99"/>
    <w:rsid w:val="009E2291"/>
    <w:rsid w:val="009E268B"/>
    <w:rsid w:val="009E3E81"/>
    <w:rsid w:val="009E45C1"/>
    <w:rsid w:val="009E475B"/>
    <w:rsid w:val="009E5FA0"/>
    <w:rsid w:val="009E79EB"/>
    <w:rsid w:val="009F3F7F"/>
    <w:rsid w:val="009F7939"/>
    <w:rsid w:val="00A0029B"/>
    <w:rsid w:val="00A0558C"/>
    <w:rsid w:val="00A07C67"/>
    <w:rsid w:val="00A07F2D"/>
    <w:rsid w:val="00A07F46"/>
    <w:rsid w:val="00A10843"/>
    <w:rsid w:val="00A10DB1"/>
    <w:rsid w:val="00A11026"/>
    <w:rsid w:val="00A12BFA"/>
    <w:rsid w:val="00A13DB1"/>
    <w:rsid w:val="00A143D7"/>
    <w:rsid w:val="00A16BC6"/>
    <w:rsid w:val="00A17AF1"/>
    <w:rsid w:val="00A2270E"/>
    <w:rsid w:val="00A2326A"/>
    <w:rsid w:val="00A23CBB"/>
    <w:rsid w:val="00A23E73"/>
    <w:rsid w:val="00A33D90"/>
    <w:rsid w:val="00A34CCA"/>
    <w:rsid w:val="00A34F98"/>
    <w:rsid w:val="00A4091D"/>
    <w:rsid w:val="00A43B04"/>
    <w:rsid w:val="00A4404F"/>
    <w:rsid w:val="00A44115"/>
    <w:rsid w:val="00A466FD"/>
    <w:rsid w:val="00A51D3A"/>
    <w:rsid w:val="00A52D4B"/>
    <w:rsid w:val="00A54FCA"/>
    <w:rsid w:val="00A55A9B"/>
    <w:rsid w:val="00A55FE6"/>
    <w:rsid w:val="00A568F0"/>
    <w:rsid w:val="00A5765D"/>
    <w:rsid w:val="00A57814"/>
    <w:rsid w:val="00A57816"/>
    <w:rsid w:val="00A60859"/>
    <w:rsid w:val="00A614FF"/>
    <w:rsid w:val="00A638C6"/>
    <w:rsid w:val="00A63A91"/>
    <w:rsid w:val="00A63E46"/>
    <w:rsid w:val="00A648B0"/>
    <w:rsid w:val="00A65D94"/>
    <w:rsid w:val="00A66459"/>
    <w:rsid w:val="00A71861"/>
    <w:rsid w:val="00A7363E"/>
    <w:rsid w:val="00A779E9"/>
    <w:rsid w:val="00A80B1D"/>
    <w:rsid w:val="00A81253"/>
    <w:rsid w:val="00A81862"/>
    <w:rsid w:val="00A821FC"/>
    <w:rsid w:val="00A827F8"/>
    <w:rsid w:val="00A85B85"/>
    <w:rsid w:val="00A860BF"/>
    <w:rsid w:val="00A86F49"/>
    <w:rsid w:val="00A87E74"/>
    <w:rsid w:val="00A93898"/>
    <w:rsid w:val="00A94CAB"/>
    <w:rsid w:val="00A95F3D"/>
    <w:rsid w:val="00A965F5"/>
    <w:rsid w:val="00A97DF8"/>
    <w:rsid w:val="00AA15CC"/>
    <w:rsid w:val="00AA1FE0"/>
    <w:rsid w:val="00AA2113"/>
    <w:rsid w:val="00AA278D"/>
    <w:rsid w:val="00AA27B0"/>
    <w:rsid w:val="00AA287D"/>
    <w:rsid w:val="00AA3045"/>
    <w:rsid w:val="00AA3E17"/>
    <w:rsid w:val="00AA48FA"/>
    <w:rsid w:val="00AA4CCB"/>
    <w:rsid w:val="00AA62C2"/>
    <w:rsid w:val="00AA6FB7"/>
    <w:rsid w:val="00AB1B83"/>
    <w:rsid w:val="00AB2466"/>
    <w:rsid w:val="00AB384E"/>
    <w:rsid w:val="00AB505A"/>
    <w:rsid w:val="00AB74EE"/>
    <w:rsid w:val="00AC070D"/>
    <w:rsid w:val="00AC0B64"/>
    <w:rsid w:val="00AC1900"/>
    <w:rsid w:val="00AC3526"/>
    <w:rsid w:val="00AC35C1"/>
    <w:rsid w:val="00AC3E6B"/>
    <w:rsid w:val="00AC3F11"/>
    <w:rsid w:val="00AC42B4"/>
    <w:rsid w:val="00AC4747"/>
    <w:rsid w:val="00AC6653"/>
    <w:rsid w:val="00AC6792"/>
    <w:rsid w:val="00AC79AC"/>
    <w:rsid w:val="00AC79B9"/>
    <w:rsid w:val="00AD088B"/>
    <w:rsid w:val="00AD29F0"/>
    <w:rsid w:val="00AD3818"/>
    <w:rsid w:val="00AD3C46"/>
    <w:rsid w:val="00AD43F1"/>
    <w:rsid w:val="00AD6FA7"/>
    <w:rsid w:val="00AD7EEC"/>
    <w:rsid w:val="00AE0EA5"/>
    <w:rsid w:val="00AE1D18"/>
    <w:rsid w:val="00AE281C"/>
    <w:rsid w:val="00AE2F2B"/>
    <w:rsid w:val="00AE3A18"/>
    <w:rsid w:val="00AE76E4"/>
    <w:rsid w:val="00AF04E6"/>
    <w:rsid w:val="00AF2C9D"/>
    <w:rsid w:val="00AF5E8C"/>
    <w:rsid w:val="00AF6C51"/>
    <w:rsid w:val="00B0126E"/>
    <w:rsid w:val="00B0423C"/>
    <w:rsid w:val="00B04508"/>
    <w:rsid w:val="00B05BEA"/>
    <w:rsid w:val="00B12934"/>
    <w:rsid w:val="00B1414C"/>
    <w:rsid w:val="00B149F5"/>
    <w:rsid w:val="00B14DB6"/>
    <w:rsid w:val="00B15645"/>
    <w:rsid w:val="00B16533"/>
    <w:rsid w:val="00B169C1"/>
    <w:rsid w:val="00B16FE4"/>
    <w:rsid w:val="00B2020B"/>
    <w:rsid w:val="00B20268"/>
    <w:rsid w:val="00B20A9F"/>
    <w:rsid w:val="00B21561"/>
    <w:rsid w:val="00B22288"/>
    <w:rsid w:val="00B22462"/>
    <w:rsid w:val="00B2384F"/>
    <w:rsid w:val="00B2464F"/>
    <w:rsid w:val="00B24A8D"/>
    <w:rsid w:val="00B24EEF"/>
    <w:rsid w:val="00B25CB5"/>
    <w:rsid w:val="00B27852"/>
    <w:rsid w:val="00B30DEA"/>
    <w:rsid w:val="00B3160A"/>
    <w:rsid w:val="00B316BD"/>
    <w:rsid w:val="00B32D13"/>
    <w:rsid w:val="00B32D8E"/>
    <w:rsid w:val="00B3530D"/>
    <w:rsid w:val="00B365E7"/>
    <w:rsid w:val="00B40ACA"/>
    <w:rsid w:val="00B423AA"/>
    <w:rsid w:val="00B425BD"/>
    <w:rsid w:val="00B42984"/>
    <w:rsid w:val="00B4302E"/>
    <w:rsid w:val="00B44AAD"/>
    <w:rsid w:val="00B460B1"/>
    <w:rsid w:val="00B46AE3"/>
    <w:rsid w:val="00B51C60"/>
    <w:rsid w:val="00B53195"/>
    <w:rsid w:val="00B537D5"/>
    <w:rsid w:val="00B55DEF"/>
    <w:rsid w:val="00B56753"/>
    <w:rsid w:val="00B57562"/>
    <w:rsid w:val="00B62975"/>
    <w:rsid w:val="00B642FC"/>
    <w:rsid w:val="00B64F7B"/>
    <w:rsid w:val="00B67913"/>
    <w:rsid w:val="00B67E87"/>
    <w:rsid w:val="00B70BA7"/>
    <w:rsid w:val="00B7183E"/>
    <w:rsid w:val="00B72059"/>
    <w:rsid w:val="00B733A5"/>
    <w:rsid w:val="00B74356"/>
    <w:rsid w:val="00B770F8"/>
    <w:rsid w:val="00B826F0"/>
    <w:rsid w:val="00B82DFD"/>
    <w:rsid w:val="00B84511"/>
    <w:rsid w:val="00B9207F"/>
    <w:rsid w:val="00B928AA"/>
    <w:rsid w:val="00B929D1"/>
    <w:rsid w:val="00B93E3C"/>
    <w:rsid w:val="00BA1441"/>
    <w:rsid w:val="00BA231C"/>
    <w:rsid w:val="00BA2415"/>
    <w:rsid w:val="00BA336B"/>
    <w:rsid w:val="00BA33D1"/>
    <w:rsid w:val="00BA34C1"/>
    <w:rsid w:val="00BA3A0C"/>
    <w:rsid w:val="00BA4502"/>
    <w:rsid w:val="00BA4930"/>
    <w:rsid w:val="00BA5E1A"/>
    <w:rsid w:val="00BB0299"/>
    <w:rsid w:val="00BB04F9"/>
    <w:rsid w:val="00BB0801"/>
    <w:rsid w:val="00BB233A"/>
    <w:rsid w:val="00BB31C5"/>
    <w:rsid w:val="00BB56B6"/>
    <w:rsid w:val="00BB594B"/>
    <w:rsid w:val="00BB5C2F"/>
    <w:rsid w:val="00BB642C"/>
    <w:rsid w:val="00BB6A5B"/>
    <w:rsid w:val="00BC0D9B"/>
    <w:rsid w:val="00BC1B16"/>
    <w:rsid w:val="00BC3DA1"/>
    <w:rsid w:val="00BC4DC2"/>
    <w:rsid w:val="00BC57B2"/>
    <w:rsid w:val="00BC5F34"/>
    <w:rsid w:val="00BC7EE0"/>
    <w:rsid w:val="00BD03F6"/>
    <w:rsid w:val="00BD040E"/>
    <w:rsid w:val="00BD2878"/>
    <w:rsid w:val="00BD3CB6"/>
    <w:rsid w:val="00BD4340"/>
    <w:rsid w:val="00BD642D"/>
    <w:rsid w:val="00BD6EB5"/>
    <w:rsid w:val="00BE1D90"/>
    <w:rsid w:val="00BE2212"/>
    <w:rsid w:val="00BE3B12"/>
    <w:rsid w:val="00BE522A"/>
    <w:rsid w:val="00BE5DCE"/>
    <w:rsid w:val="00BE5E83"/>
    <w:rsid w:val="00BE7B3C"/>
    <w:rsid w:val="00BF079B"/>
    <w:rsid w:val="00BF0BE9"/>
    <w:rsid w:val="00BF166F"/>
    <w:rsid w:val="00BF4211"/>
    <w:rsid w:val="00BF5B29"/>
    <w:rsid w:val="00BF731F"/>
    <w:rsid w:val="00BF7FA1"/>
    <w:rsid w:val="00C01283"/>
    <w:rsid w:val="00C03326"/>
    <w:rsid w:val="00C050A4"/>
    <w:rsid w:val="00C109F8"/>
    <w:rsid w:val="00C10EDE"/>
    <w:rsid w:val="00C11CBE"/>
    <w:rsid w:val="00C125CE"/>
    <w:rsid w:val="00C1279E"/>
    <w:rsid w:val="00C13636"/>
    <w:rsid w:val="00C16BD0"/>
    <w:rsid w:val="00C17751"/>
    <w:rsid w:val="00C2099D"/>
    <w:rsid w:val="00C2155F"/>
    <w:rsid w:val="00C21B58"/>
    <w:rsid w:val="00C21E52"/>
    <w:rsid w:val="00C226DF"/>
    <w:rsid w:val="00C233F5"/>
    <w:rsid w:val="00C27EA1"/>
    <w:rsid w:val="00C302BD"/>
    <w:rsid w:val="00C30AED"/>
    <w:rsid w:val="00C32AE5"/>
    <w:rsid w:val="00C367B0"/>
    <w:rsid w:val="00C36CE4"/>
    <w:rsid w:val="00C37567"/>
    <w:rsid w:val="00C41113"/>
    <w:rsid w:val="00C41191"/>
    <w:rsid w:val="00C42833"/>
    <w:rsid w:val="00C44788"/>
    <w:rsid w:val="00C5000A"/>
    <w:rsid w:val="00C50D9F"/>
    <w:rsid w:val="00C52E88"/>
    <w:rsid w:val="00C53846"/>
    <w:rsid w:val="00C538C3"/>
    <w:rsid w:val="00C5631D"/>
    <w:rsid w:val="00C5658D"/>
    <w:rsid w:val="00C57FF9"/>
    <w:rsid w:val="00C62682"/>
    <w:rsid w:val="00C62BDB"/>
    <w:rsid w:val="00C63567"/>
    <w:rsid w:val="00C658E7"/>
    <w:rsid w:val="00C66191"/>
    <w:rsid w:val="00C67883"/>
    <w:rsid w:val="00C67AF2"/>
    <w:rsid w:val="00C7117D"/>
    <w:rsid w:val="00C724B8"/>
    <w:rsid w:val="00C72981"/>
    <w:rsid w:val="00C72D24"/>
    <w:rsid w:val="00C76AA2"/>
    <w:rsid w:val="00C80748"/>
    <w:rsid w:val="00C82730"/>
    <w:rsid w:val="00C83A44"/>
    <w:rsid w:val="00C84A9F"/>
    <w:rsid w:val="00C9087C"/>
    <w:rsid w:val="00C9358B"/>
    <w:rsid w:val="00C96A4E"/>
    <w:rsid w:val="00C97837"/>
    <w:rsid w:val="00C97AAC"/>
    <w:rsid w:val="00C97EA1"/>
    <w:rsid w:val="00CA0E0E"/>
    <w:rsid w:val="00CA39AA"/>
    <w:rsid w:val="00CA4373"/>
    <w:rsid w:val="00CA53EA"/>
    <w:rsid w:val="00CA5459"/>
    <w:rsid w:val="00CA5E45"/>
    <w:rsid w:val="00CA63CB"/>
    <w:rsid w:val="00CA7E62"/>
    <w:rsid w:val="00CB2E0D"/>
    <w:rsid w:val="00CB563E"/>
    <w:rsid w:val="00CB7254"/>
    <w:rsid w:val="00CB728B"/>
    <w:rsid w:val="00CB761B"/>
    <w:rsid w:val="00CB7AD7"/>
    <w:rsid w:val="00CC0287"/>
    <w:rsid w:val="00CC1305"/>
    <w:rsid w:val="00CC3791"/>
    <w:rsid w:val="00CC5362"/>
    <w:rsid w:val="00CC5491"/>
    <w:rsid w:val="00CC74F7"/>
    <w:rsid w:val="00CC7F13"/>
    <w:rsid w:val="00CD0A8D"/>
    <w:rsid w:val="00CD1885"/>
    <w:rsid w:val="00CD36FF"/>
    <w:rsid w:val="00CD3F5C"/>
    <w:rsid w:val="00CD63AB"/>
    <w:rsid w:val="00CD7752"/>
    <w:rsid w:val="00CE0913"/>
    <w:rsid w:val="00CE13F9"/>
    <w:rsid w:val="00CE463F"/>
    <w:rsid w:val="00CF1E50"/>
    <w:rsid w:val="00CF24FD"/>
    <w:rsid w:val="00CF537F"/>
    <w:rsid w:val="00CF6158"/>
    <w:rsid w:val="00CF7686"/>
    <w:rsid w:val="00CF79D1"/>
    <w:rsid w:val="00D005C0"/>
    <w:rsid w:val="00D00937"/>
    <w:rsid w:val="00D018CC"/>
    <w:rsid w:val="00D03B0A"/>
    <w:rsid w:val="00D04679"/>
    <w:rsid w:val="00D102F9"/>
    <w:rsid w:val="00D1162D"/>
    <w:rsid w:val="00D120F5"/>
    <w:rsid w:val="00D1226D"/>
    <w:rsid w:val="00D13459"/>
    <w:rsid w:val="00D1672A"/>
    <w:rsid w:val="00D20F14"/>
    <w:rsid w:val="00D22451"/>
    <w:rsid w:val="00D23ACE"/>
    <w:rsid w:val="00D26867"/>
    <w:rsid w:val="00D2738D"/>
    <w:rsid w:val="00D3167D"/>
    <w:rsid w:val="00D32A0B"/>
    <w:rsid w:val="00D33D56"/>
    <w:rsid w:val="00D3486E"/>
    <w:rsid w:val="00D34925"/>
    <w:rsid w:val="00D369E9"/>
    <w:rsid w:val="00D3731E"/>
    <w:rsid w:val="00D4548A"/>
    <w:rsid w:val="00D46F85"/>
    <w:rsid w:val="00D47B64"/>
    <w:rsid w:val="00D50990"/>
    <w:rsid w:val="00D51C82"/>
    <w:rsid w:val="00D52501"/>
    <w:rsid w:val="00D53821"/>
    <w:rsid w:val="00D54ACB"/>
    <w:rsid w:val="00D551F1"/>
    <w:rsid w:val="00D55927"/>
    <w:rsid w:val="00D55DC9"/>
    <w:rsid w:val="00D57E15"/>
    <w:rsid w:val="00D6135A"/>
    <w:rsid w:val="00D62B3E"/>
    <w:rsid w:val="00D651B0"/>
    <w:rsid w:val="00D655CE"/>
    <w:rsid w:val="00D70C92"/>
    <w:rsid w:val="00D713D0"/>
    <w:rsid w:val="00D72A61"/>
    <w:rsid w:val="00D73247"/>
    <w:rsid w:val="00D73EEA"/>
    <w:rsid w:val="00D74443"/>
    <w:rsid w:val="00D756DD"/>
    <w:rsid w:val="00D8121F"/>
    <w:rsid w:val="00D81CF4"/>
    <w:rsid w:val="00D84241"/>
    <w:rsid w:val="00D847BD"/>
    <w:rsid w:val="00D84B52"/>
    <w:rsid w:val="00D85454"/>
    <w:rsid w:val="00D85CF0"/>
    <w:rsid w:val="00D878E1"/>
    <w:rsid w:val="00D9127F"/>
    <w:rsid w:val="00D92F95"/>
    <w:rsid w:val="00D9680A"/>
    <w:rsid w:val="00D970D6"/>
    <w:rsid w:val="00DA0079"/>
    <w:rsid w:val="00DA4B14"/>
    <w:rsid w:val="00DA4E0D"/>
    <w:rsid w:val="00DC3689"/>
    <w:rsid w:val="00DC3942"/>
    <w:rsid w:val="00DC3F4B"/>
    <w:rsid w:val="00DC5753"/>
    <w:rsid w:val="00DC5B15"/>
    <w:rsid w:val="00DC6BA2"/>
    <w:rsid w:val="00DC72E1"/>
    <w:rsid w:val="00DC7CFF"/>
    <w:rsid w:val="00DC7D49"/>
    <w:rsid w:val="00DD01E8"/>
    <w:rsid w:val="00DD2F23"/>
    <w:rsid w:val="00DD52C9"/>
    <w:rsid w:val="00DD596C"/>
    <w:rsid w:val="00DD6A8F"/>
    <w:rsid w:val="00DD7F58"/>
    <w:rsid w:val="00DE126A"/>
    <w:rsid w:val="00DE1EE5"/>
    <w:rsid w:val="00DE2690"/>
    <w:rsid w:val="00DE2D4C"/>
    <w:rsid w:val="00DE3F4A"/>
    <w:rsid w:val="00DE5156"/>
    <w:rsid w:val="00DE7C3D"/>
    <w:rsid w:val="00DF1888"/>
    <w:rsid w:val="00DF358E"/>
    <w:rsid w:val="00E026B1"/>
    <w:rsid w:val="00E056CB"/>
    <w:rsid w:val="00E05DC1"/>
    <w:rsid w:val="00E064D0"/>
    <w:rsid w:val="00E1009D"/>
    <w:rsid w:val="00E10C6E"/>
    <w:rsid w:val="00E1188D"/>
    <w:rsid w:val="00E1277C"/>
    <w:rsid w:val="00E14E73"/>
    <w:rsid w:val="00E15FA8"/>
    <w:rsid w:val="00E221C7"/>
    <w:rsid w:val="00E22318"/>
    <w:rsid w:val="00E223C8"/>
    <w:rsid w:val="00E2506A"/>
    <w:rsid w:val="00E259A3"/>
    <w:rsid w:val="00E26745"/>
    <w:rsid w:val="00E26927"/>
    <w:rsid w:val="00E269C6"/>
    <w:rsid w:val="00E27702"/>
    <w:rsid w:val="00E30166"/>
    <w:rsid w:val="00E34798"/>
    <w:rsid w:val="00E37206"/>
    <w:rsid w:val="00E37C26"/>
    <w:rsid w:val="00E40EED"/>
    <w:rsid w:val="00E4104C"/>
    <w:rsid w:val="00E421D1"/>
    <w:rsid w:val="00E4271E"/>
    <w:rsid w:val="00E4386F"/>
    <w:rsid w:val="00E52D46"/>
    <w:rsid w:val="00E537AD"/>
    <w:rsid w:val="00E53AF7"/>
    <w:rsid w:val="00E541DE"/>
    <w:rsid w:val="00E54AD1"/>
    <w:rsid w:val="00E54B6A"/>
    <w:rsid w:val="00E54EE3"/>
    <w:rsid w:val="00E56DE6"/>
    <w:rsid w:val="00E577FB"/>
    <w:rsid w:val="00E61387"/>
    <w:rsid w:val="00E6335D"/>
    <w:rsid w:val="00E637CE"/>
    <w:rsid w:val="00E6416D"/>
    <w:rsid w:val="00E65C95"/>
    <w:rsid w:val="00E673C1"/>
    <w:rsid w:val="00E703CD"/>
    <w:rsid w:val="00E7160E"/>
    <w:rsid w:val="00E71F2C"/>
    <w:rsid w:val="00E733BA"/>
    <w:rsid w:val="00E74425"/>
    <w:rsid w:val="00E74E60"/>
    <w:rsid w:val="00E7750E"/>
    <w:rsid w:val="00E77CD4"/>
    <w:rsid w:val="00E8014B"/>
    <w:rsid w:val="00E80AAD"/>
    <w:rsid w:val="00E86A96"/>
    <w:rsid w:val="00E87C0D"/>
    <w:rsid w:val="00E924A7"/>
    <w:rsid w:val="00E92A79"/>
    <w:rsid w:val="00EA12E6"/>
    <w:rsid w:val="00EA1845"/>
    <w:rsid w:val="00EA1D2D"/>
    <w:rsid w:val="00EA1EB5"/>
    <w:rsid w:val="00EA286B"/>
    <w:rsid w:val="00EA30B7"/>
    <w:rsid w:val="00EA475D"/>
    <w:rsid w:val="00EA4AD7"/>
    <w:rsid w:val="00EA697B"/>
    <w:rsid w:val="00EA786F"/>
    <w:rsid w:val="00EA7891"/>
    <w:rsid w:val="00EA7FD2"/>
    <w:rsid w:val="00EB08AA"/>
    <w:rsid w:val="00EB0ADD"/>
    <w:rsid w:val="00EB146E"/>
    <w:rsid w:val="00EB27C9"/>
    <w:rsid w:val="00EB2C77"/>
    <w:rsid w:val="00EB419D"/>
    <w:rsid w:val="00EB5F7E"/>
    <w:rsid w:val="00EB6287"/>
    <w:rsid w:val="00EB7599"/>
    <w:rsid w:val="00EC16C8"/>
    <w:rsid w:val="00EC2FF6"/>
    <w:rsid w:val="00EC3AA5"/>
    <w:rsid w:val="00EC641B"/>
    <w:rsid w:val="00EC655C"/>
    <w:rsid w:val="00EC6F7F"/>
    <w:rsid w:val="00ED4F1E"/>
    <w:rsid w:val="00ED657F"/>
    <w:rsid w:val="00ED7275"/>
    <w:rsid w:val="00ED79D5"/>
    <w:rsid w:val="00EE2099"/>
    <w:rsid w:val="00EE26FC"/>
    <w:rsid w:val="00EE3234"/>
    <w:rsid w:val="00EE3DC9"/>
    <w:rsid w:val="00EE4C32"/>
    <w:rsid w:val="00EE5D05"/>
    <w:rsid w:val="00EE5E02"/>
    <w:rsid w:val="00EE6CBA"/>
    <w:rsid w:val="00EF03BD"/>
    <w:rsid w:val="00EF2D68"/>
    <w:rsid w:val="00EF46C3"/>
    <w:rsid w:val="00EF54F7"/>
    <w:rsid w:val="00F00D13"/>
    <w:rsid w:val="00F03FB8"/>
    <w:rsid w:val="00F070DB"/>
    <w:rsid w:val="00F07DC3"/>
    <w:rsid w:val="00F101DF"/>
    <w:rsid w:val="00F10D6A"/>
    <w:rsid w:val="00F122D9"/>
    <w:rsid w:val="00F131B2"/>
    <w:rsid w:val="00F137C9"/>
    <w:rsid w:val="00F14D6B"/>
    <w:rsid w:val="00F14F40"/>
    <w:rsid w:val="00F1593F"/>
    <w:rsid w:val="00F169BB"/>
    <w:rsid w:val="00F16FC8"/>
    <w:rsid w:val="00F24BF3"/>
    <w:rsid w:val="00F32DFF"/>
    <w:rsid w:val="00F35998"/>
    <w:rsid w:val="00F3705C"/>
    <w:rsid w:val="00F41E1A"/>
    <w:rsid w:val="00F424ED"/>
    <w:rsid w:val="00F426E8"/>
    <w:rsid w:val="00F44661"/>
    <w:rsid w:val="00F475B7"/>
    <w:rsid w:val="00F475B8"/>
    <w:rsid w:val="00F47989"/>
    <w:rsid w:val="00F5070B"/>
    <w:rsid w:val="00F52382"/>
    <w:rsid w:val="00F52881"/>
    <w:rsid w:val="00F53457"/>
    <w:rsid w:val="00F535CD"/>
    <w:rsid w:val="00F53A92"/>
    <w:rsid w:val="00F543C2"/>
    <w:rsid w:val="00F553AF"/>
    <w:rsid w:val="00F562C3"/>
    <w:rsid w:val="00F60ED2"/>
    <w:rsid w:val="00F61CD8"/>
    <w:rsid w:val="00F61E06"/>
    <w:rsid w:val="00F63245"/>
    <w:rsid w:val="00F63661"/>
    <w:rsid w:val="00F6583C"/>
    <w:rsid w:val="00F70795"/>
    <w:rsid w:val="00F71BFA"/>
    <w:rsid w:val="00F73879"/>
    <w:rsid w:val="00F75123"/>
    <w:rsid w:val="00F751FB"/>
    <w:rsid w:val="00F7579E"/>
    <w:rsid w:val="00F77DF1"/>
    <w:rsid w:val="00F802D1"/>
    <w:rsid w:val="00F80D79"/>
    <w:rsid w:val="00F80E97"/>
    <w:rsid w:val="00F84F59"/>
    <w:rsid w:val="00F86212"/>
    <w:rsid w:val="00F923CB"/>
    <w:rsid w:val="00F932CE"/>
    <w:rsid w:val="00F93448"/>
    <w:rsid w:val="00F9363C"/>
    <w:rsid w:val="00F94BA8"/>
    <w:rsid w:val="00F963E4"/>
    <w:rsid w:val="00FA0D8F"/>
    <w:rsid w:val="00FA20D0"/>
    <w:rsid w:val="00FA39E1"/>
    <w:rsid w:val="00FA4C8C"/>
    <w:rsid w:val="00FA78C8"/>
    <w:rsid w:val="00FA7CF3"/>
    <w:rsid w:val="00FB112A"/>
    <w:rsid w:val="00FB3439"/>
    <w:rsid w:val="00FB5AED"/>
    <w:rsid w:val="00FB5D6A"/>
    <w:rsid w:val="00FB7777"/>
    <w:rsid w:val="00FC005D"/>
    <w:rsid w:val="00FC17EC"/>
    <w:rsid w:val="00FC1AE9"/>
    <w:rsid w:val="00FC26D2"/>
    <w:rsid w:val="00FC2DF0"/>
    <w:rsid w:val="00FC3CF4"/>
    <w:rsid w:val="00FC5A17"/>
    <w:rsid w:val="00FC6F1C"/>
    <w:rsid w:val="00FC74FD"/>
    <w:rsid w:val="00FD1EA0"/>
    <w:rsid w:val="00FD2B1E"/>
    <w:rsid w:val="00FD72FA"/>
    <w:rsid w:val="00FD7822"/>
    <w:rsid w:val="00FE00E3"/>
    <w:rsid w:val="00FE1A45"/>
    <w:rsid w:val="00FE341A"/>
    <w:rsid w:val="00FE5598"/>
    <w:rsid w:val="00FE6D33"/>
    <w:rsid w:val="00FE75F1"/>
    <w:rsid w:val="00FE79AF"/>
    <w:rsid w:val="00FF0224"/>
    <w:rsid w:val="00FF3720"/>
    <w:rsid w:val="00FF6304"/>
    <w:rsid w:val="00FF71AC"/>
    <w:rsid w:val="00FF7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EAA4"/>
  <w15:chartTrackingRefBased/>
  <w15:docId w15:val="{537CD967-1218-4CC9-84C3-F9E055A2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F8"/>
    <w:rPr>
      <w:rFonts w:ascii="Open Sans" w:hAnsi="Open Sans"/>
    </w:rPr>
  </w:style>
  <w:style w:type="paragraph" w:styleId="Heading1">
    <w:name w:val="heading 1"/>
    <w:basedOn w:val="Normal"/>
    <w:next w:val="Normal"/>
    <w:link w:val="Heading1Char"/>
    <w:uiPriority w:val="2"/>
    <w:qFormat/>
    <w:rsid w:val="005A4795"/>
    <w:pPr>
      <w:spacing w:before="360" w:after="120" w:line="240" w:lineRule="auto"/>
      <w:contextualSpacing/>
      <w:outlineLvl w:val="0"/>
    </w:pPr>
    <w:rPr>
      <w:rFonts w:eastAsiaTheme="majorEastAsia" w:cstheme="majorBidi"/>
      <w:bCs/>
      <w:color w:val="082640"/>
      <w:spacing w:val="4"/>
      <w:sz w:val="42"/>
      <w:szCs w:val="28"/>
      <w:lang w:eastAsia="en-AU"/>
    </w:rPr>
  </w:style>
  <w:style w:type="paragraph" w:styleId="Heading2">
    <w:name w:val="heading 2"/>
    <w:basedOn w:val="Normal"/>
    <w:next w:val="Normal"/>
    <w:link w:val="Heading2Char"/>
    <w:uiPriority w:val="9"/>
    <w:unhideWhenUsed/>
    <w:qFormat/>
    <w:rsid w:val="009A49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72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AE0"/>
  </w:style>
  <w:style w:type="paragraph" w:styleId="Footer">
    <w:name w:val="footer"/>
    <w:basedOn w:val="Normal"/>
    <w:link w:val="FooterChar"/>
    <w:uiPriority w:val="99"/>
    <w:unhideWhenUsed/>
    <w:rsid w:val="00240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AE0"/>
  </w:style>
  <w:style w:type="character" w:customStyle="1" w:styleId="Heading1Char">
    <w:name w:val="Heading 1 Char"/>
    <w:basedOn w:val="DefaultParagraphFont"/>
    <w:link w:val="Heading1"/>
    <w:uiPriority w:val="2"/>
    <w:rsid w:val="005A4795"/>
    <w:rPr>
      <w:rFonts w:ascii="Open Sans" w:eastAsiaTheme="majorEastAsia" w:hAnsi="Open Sans" w:cstheme="majorBidi"/>
      <w:bCs/>
      <w:color w:val="082640"/>
      <w:spacing w:val="4"/>
      <w:sz w:val="42"/>
      <w:szCs w:val="28"/>
      <w:lang w:eastAsia="en-AU"/>
    </w:rPr>
  </w:style>
  <w:style w:type="character" w:styleId="BookTitle">
    <w:name w:val="Book Title"/>
    <w:uiPriority w:val="33"/>
    <w:qFormat/>
    <w:rsid w:val="00240AE0"/>
    <w:rPr>
      <w:i/>
      <w:iCs/>
      <w:smallCaps/>
      <w:spacing w:val="5"/>
    </w:rPr>
  </w:style>
  <w:style w:type="table" w:styleId="LightList-Accent5">
    <w:name w:val="Light List Accent 5"/>
    <w:basedOn w:val="TableNormal"/>
    <w:uiPriority w:val="61"/>
    <w:semiHidden/>
    <w:unhideWhenUsed/>
    <w:rsid w:val="00240AE0"/>
    <w:pPr>
      <w:spacing w:after="0" w:line="240" w:lineRule="auto"/>
    </w:p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5"/>
      </w:tcPr>
    </w:tblStylePr>
    <w:tblStylePr w:type="lastRow">
      <w:pPr>
        <w:spacing w:beforeLines="0" w:before="0" w:beforeAutospacing="0" w:afterLines="0" w:after="0" w:afterAutospacing="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aliases w:val="Recommendation,List Paragraph1,List Paragraph11,L,bullet point list,Key Message Bullets,Bullet List,Bullet list,Bulletr List Paragraph,FooterText,List Paragraph2,List Paragraph21,Listeafsnit1,Listenabsatz,Paragraphe de liste1,numbered,列出段"/>
    <w:basedOn w:val="Normal"/>
    <w:link w:val="ListParagraphChar"/>
    <w:uiPriority w:val="34"/>
    <w:qFormat/>
    <w:rsid w:val="00C52E88"/>
    <w:pPr>
      <w:spacing w:after="0" w:line="240" w:lineRule="auto"/>
      <w:ind w:left="720"/>
      <w:contextualSpacing/>
    </w:pPr>
  </w:style>
  <w:style w:type="character" w:customStyle="1" w:styleId="ListParagraphChar">
    <w:name w:val="List Paragraph Char"/>
    <w:aliases w:val="Recommendation Char,List Paragraph1 Char,List Paragraph11 Char,L Char,bullet point list Char,Key Message Bullets Char,Bullet List Char,Bullet list Char,Bulletr List Paragraph Char,FooterText Char,List Paragraph2 Char,numbered Char"/>
    <w:link w:val="ListParagraph"/>
    <w:uiPriority w:val="34"/>
    <w:qFormat/>
    <w:rsid w:val="00C52E88"/>
  </w:style>
  <w:style w:type="paragraph" w:styleId="BalloonText">
    <w:name w:val="Balloon Text"/>
    <w:basedOn w:val="Normal"/>
    <w:link w:val="BalloonTextChar"/>
    <w:uiPriority w:val="99"/>
    <w:semiHidden/>
    <w:unhideWhenUsed/>
    <w:rsid w:val="00CB7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254"/>
    <w:rPr>
      <w:rFonts w:ascii="Segoe UI" w:hAnsi="Segoe UI" w:cs="Segoe UI"/>
      <w:sz w:val="18"/>
      <w:szCs w:val="18"/>
    </w:rPr>
  </w:style>
  <w:style w:type="paragraph" w:styleId="CommentText">
    <w:name w:val="annotation text"/>
    <w:basedOn w:val="Normal"/>
    <w:link w:val="CommentTextChar"/>
    <w:uiPriority w:val="99"/>
    <w:unhideWhenUsed/>
    <w:rsid w:val="009A49F0"/>
    <w:pPr>
      <w:spacing w:line="240" w:lineRule="auto"/>
    </w:pPr>
    <w:rPr>
      <w:sz w:val="20"/>
      <w:szCs w:val="20"/>
    </w:rPr>
  </w:style>
  <w:style w:type="character" w:customStyle="1" w:styleId="CommentTextChar">
    <w:name w:val="Comment Text Char"/>
    <w:basedOn w:val="DefaultParagraphFont"/>
    <w:link w:val="CommentText"/>
    <w:uiPriority w:val="99"/>
    <w:rsid w:val="009A49F0"/>
    <w:rPr>
      <w:sz w:val="20"/>
      <w:szCs w:val="20"/>
    </w:rPr>
  </w:style>
  <w:style w:type="character" w:styleId="CommentReference">
    <w:name w:val="annotation reference"/>
    <w:basedOn w:val="DefaultParagraphFont"/>
    <w:uiPriority w:val="99"/>
    <w:semiHidden/>
    <w:unhideWhenUsed/>
    <w:rsid w:val="009A49F0"/>
    <w:rPr>
      <w:sz w:val="16"/>
      <w:szCs w:val="16"/>
    </w:rPr>
  </w:style>
  <w:style w:type="character" w:customStyle="1" w:styleId="Heading2Char">
    <w:name w:val="Heading 2 Char"/>
    <w:basedOn w:val="DefaultParagraphFont"/>
    <w:link w:val="Heading2"/>
    <w:uiPriority w:val="9"/>
    <w:rsid w:val="009A49F0"/>
    <w:rPr>
      <w:rFonts w:asciiTheme="majorHAnsi" w:eastAsiaTheme="majorEastAsia" w:hAnsiTheme="majorHAnsi" w:cstheme="majorBidi"/>
      <w:color w:val="2E74B5" w:themeColor="accent1" w:themeShade="BF"/>
      <w:sz w:val="26"/>
      <w:szCs w:val="26"/>
    </w:rPr>
  </w:style>
  <w:style w:type="paragraph" w:styleId="ListBullet">
    <w:name w:val="List Bullet"/>
    <w:basedOn w:val="Normal"/>
    <w:uiPriority w:val="1"/>
    <w:qFormat/>
    <w:rsid w:val="009A49F0"/>
    <w:pPr>
      <w:numPr>
        <w:numId w:val="1"/>
      </w:numPr>
      <w:tabs>
        <w:tab w:val="left" w:pos="170"/>
      </w:tabs>
      <w:spacing w:before="120" w:after="180" w:line="280" w:lineRule="atLeast"/>
    </w:pPr>
    <w:rPr>
      <w:rFonts w:ascii="Arial" w:eastAsia="Times New Roman" w:hAnsi="Arial" w:cs="Times New Roman"/>
      <w:spacing w:val="4"/>
      <w:sz w:val="24"/>
      <w:szCs w:val="24"/>
      <w:lang w:eastAsia="en-AU"/>
    </w:rPr>
  </w:style>
  <w:style w:type="paragraph" w:customStyle="1" w:styleId="prefade">
    <w:name w:val="prefade"/>
    <w:basedOn w:val="Normal"/>
    <w:rsid w:val="003025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D16F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27FD2"/>
    <w:rPr>
      <w:b/>
      <w:bCs/>
    </w:rPr>
  </w:style>
  <w:style w:type="character" w:customStyle="1" w:styleId="CommentSubjectChar">
    <w:name w:val="Comment Subject Char"/>
    <w:basedOn w:val="CommentTextChar"/>
    <w:link w:val="CommentSubject"/>
    <w:uiPriority w:val="99"/>
    <w:semiHidden/>
    <w:rsid w:val="00327FD2"/>
    <w:rPr>
      <w:b/>
      <w:bCs/>
      <w:sz w:val="20"/>
      <w:szCs w:val="20"/>
    </w:rPr>
  </w:style>
  <w:style w:type="character" w:styleId="FollowedHyperlink">
    <w:name w:val="FollowedHyperlink"/>
    <w:basedOn w:val="DefaultParagraphFont"/>
    <w:uiPriority w:val="99"/>
    <w:semiHidden/>
    <w:unhideWhenUsed/>
    <w:rsid w:val="00FE1A45"/>
    <w:rPr>
      <w:color w:val="954F72" w:themeColor="followedHyperlink"/>
      <w:u w:val="single"/>
    </w:rPr>
  </w:style>
  <w:style w:type="paragraph" w:styleId="Revision">
    <w:name w:val="Revision"/>
    <w:hidden/>
    <w:uiPriority w:val="99"/>
    <w:semiHidden/>
    <w:rsid w:val="005F3775"/>
    <w:pPr>
      <w:spacing w:after="0" w:line="240" w:lineRule="auto"/>
    </w:pPr>
  </w:style>
  <w:style w:type="table" w:customStyle="1" w:styleId="GridTable1Light-Accent11">
    <w:name w:val="Grid Table 1 Light - Accent 11"/>
    <w:basedOn w:val="TableNormal"/>
    <w:next w:val="GridTable1Light-Accent1"/>
    <w:uiPriority w:val="46"/>
    <w:rsid w:val="00F475B7"/>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475B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E77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ab Char,CAB - Body Text Char,CAB Body Text Char"/>
    <w:basedOn w:val="DefaultParagraphFont"/>
    <w:link w:val="BodyText"/>
    <w:locked/>
    <w:rsid w:val="00605791"/>
    <w:rPr>
      <w:rFonts w:ascii="Arial" w:hAnsi="Arial" w:cs="Arial"/>
    </w:rPr>
  </w:style>
  <w:style w:type="paragraph" w:styleId="BodyText">
    <w:name w:val="Body Text"/>
    <w:aliases w:val="Body Text Cab,CAB - Body Text,CAB Body Text"/>
    <w:link w:val="BodyTextChar"/>
    <w:unhideWhenUsed/>
    <w:qFormat/>
    <w:rsid w:val="00605791"/>
    <w:pPr>
      <w:spacing w:before="120" w:after="0" w:line="240" w:lineRule="auto"/>
    </w:pPr>
    <w:rPr>
      <w:rFonts w:ascii="Arial" w:hAnsi="Arial" w:cs="Arial"/>
    </w:rPr>
  </w:style>
  <w:style w:type="character" w:customStyle="1" w:styleId="BodyTextChar1">
    <w:name w:val="Body Text Char1"/>
    <w:basedOn w:val="DefaultParagraphFont"/>
    <w:uiPriority w:val="99"/>
    <w:semiHidden/>
    <w:rsid w:val="00605791"/>
  </w:style>
  <w:style w:type="paragraph" w:customStyle="1" w:styleId="Default">
    <w:name w:val="Default"/>
    <w:rsid w:val="009620DF"/>
    <w:pPr>
      <w:autoSpaceDE w:val="0"/>
      <w:autoSpaceDN w:val="0"/>
      <w:adjustRightInd w:val="0"/>
      <w:spacing w:after="0" w:line="240" w:lineRule="auto"/>
    </w:pPr>
    <w:rPr>
      <w:rFonts w:ascii="Lato" w:hAnsi="Lato" w:cs="Lato"/>
      <w:color w:val="000000"/>
      <w:sz w:val="24"/>
      <w:szCs w:val="24"/>
    </w:rPr>
  </w:style>
  <w:style w:type="character" w:customStyle="1" w:styleId="ui-provider">
    <w:name w:val="ui-provider"/>
    <w:basedOn w:val="DefaultParagraphFont"/>
    <w:rsid w:val="00597B7C"/>
  </w:style>
  <w:style w:type="character" w:customStyle="1" w:styleId="Heading3Char">
    <w:name w:val="Heading 3 Char"/>
    <w:basedOn w:val="DefaultParagraphFont"/>
    <w:link w:val="Heading3"/>
    <w:uiPriority w:val="9"/>
    <w:semiHidden/>
    <w:rsid w:val="007A72F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276B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BB6"/>
    <w:rPr>
      <w:sz w:val="20"/>
      <w:szCs w:val="20"/>
    </w:rPr>
  </w:style>
  <w:style w:type="character" w:styleId="FootnoteReference">
    <w:name w:val="footnote reference"/>
    <w:basedOn w:val="DefaultParagraphFont"/>
    <w:uiPriority w:val="99"/>
    <w:semiHidden/>
    <w:unhideWhenUsed/>
    <w:rsid w:val="00276BB6"/>
    <w:rPr>
      <w:vertAlign w:val="superscript"/>
    </w:rPr>
  </w:style>
  <w:style w:type="character" w:styleId="UnresolvedMention">
    <w:name w:val="Unresolved Mention"/>
    <w:basedOn w:val="DefaultParagraphFont"/>
    <w:uiPriority w:val="99"/>
    <w:semiHidden/>
    <w:unhideWhenUsed/>
    <w:rsid w:val="008406C1"/>
    <w:rPr>
      <w:color w:val="605E5C"/>
      <w:shd w:val="clear" w:color="auto" w:fill="E1DFDD"/>
    </w:rPr>
  </w:style>
  <w:style w:type="paragraph" w:styleId="Title">
    <w:name w:val="Title"/>
    <w:basedOn w:val="Normal"/>
    <w:next w:val="Normal"/>
    <w:link w:val="TitleChar"/>
    <w:uiPriority w:val="10"/>
    <w:qFormat/>
    <w:rsid w:val="005A4795"/>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5A4795"/>
    <w:rPr>
      <w:rFonts w:ascii="Open Sans" w:eastAsiaTheme="majorEastAsia" w:hAnsi="Open Sans" w:cstheme="majorBidi"/>
      <w:b/>
      <w:spacing w:val="-10"/>
      <w:kern w:val="28"/>
      <w:sz w:val="56"/>
      <w:szCs w:val="56"/>
    </w:rPr>
  </w:style>
  <w:style w:type="paragraph" w:customStyle="1" w:styleId="H-Title">
    <w:name w:val="H-Title"/>
    <w:basedOn w:val="Normal"/>
    <w:uiPriority w:val="99"/>
    <w:rsid w:val="00E10C6E"/>
    <w:pPr>
      <w:suppressAutoHyphens/>
      <w:autoSpaceDE w:val="0"/>
      <w:autoSpaceDN w:val="0"/>
      <w:adjustRightInd w:val="0"/>
      <w:spacing w:after="200" w:line="288" w:lineRule="auto"/>
      <w:textAlignment w:val="center"/>
    </w:pPr>
    <w:rPr>
      <w:rFonts w:ascii="OpenSans-Bold" w:hAnsi="OpenSans-Bold" w:cs="OpenSans-Bold"/>
      <w:b/>
      <w:bCs/>
      <w:color w:val="000000"/>
      <w:sz w:val="72"/>
      <w:szCs w:val="72"/>
      <w:lang w:val="en-US"/>
    </w:rPr>
  </w:style>
  <w:style w:type="paragraph" w:customStyle="1" w:styleId="Header1">
    <w:name w:val="Header 1"/>
    <w:basedOn w:val="Normal"/>
    <w:uiPriority w:val="99"/>
    <w:rsid w:val="00E10C6E"/>
    <w:pPr>
      <w:suppressAutoHyphens/>
      <w:autoSpaceDE w:val="0"/>
      <w:autoSpaceDN w:val="0"/>
      <w:adjustRightInd w:val="0"/>
      <w:spacing w:before="113" w:after="113" w:line="288" w:lineRule="auto"/>
      <w:textAlignment w:val="center"/>
    </w:pPr>
    <w:rPr>
      <w:rFonts w:ascii="OpenSans-Bold" w:hAnsi="OpenSans-Bold" w:cs="OpenSans-Bold"/>
      <w:b/>
      <w:bCs/>
      <w:color w:val="000000"/>
      <w:sz w:val="42"/>
      <w:szCs w:val="4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0598">
      <w:bodyDiv w:val="1"/>
      <w:marLeft w:val="0"/>
      <w:marRight w:val="0"/>
      <w:marTop w:val="0"/>
      <w:marBottom w:val="0"/>
      <w:divBdr>
        <w:top w:val="none" w:sz="0" w:space="0" w:color="auto"/>
        <w:left w:val="none" w:sz="0" w:space="0" w:color="auto"/>
        <w:bottom w:val="none" w:sz="0" w:space="0" w:color="auto"/>
        <w:right w:val="none" w:sz="0" w:space="0" w:color="auto"/>
      </w:divBdr>
    </w:div>
    <w:div w:id="86271752">
      <w:bodyDiv w:val="1"/>
      <w:marLeft w:val="0"/>
      <w:marRight w:val="0"/>
      <w:marTop w:val="0"/>
      <w:marBottom w:val="0"/>
      <w:divBdr>
        <w:top w:val="none" w:sz="0" w:space="0" w:color="auto"/>
        <w:left w:val="none" w:sz="0" w:space="0" w:color="auto"/>
        <w:bottom w:val="none" w:sz="0" w:space="0" w:color="auto"/>
        <w:right w:val="none" w:sz="0" w:space="0" w:color="auto"/>
      </w:divBdr>
    </w:div>
    <w:div w:id="94906140">
      <w:bodyDiv w:val="1"/>
      <w:marLeft w:val="0"/>
      <w:marRight w:val="0"/>
      <w:marTop w:val="0"/>
      <w:marBottom w:val="0"/>
      <w:divBdr>
        <w:top w:val="none" w:sz="0" w:space="0" w:color="auto"/>
        <w:left w:val="none" w:sz="0" w:space="0" w:color="auto"/>
        <w:bottom w:val="none" w:sz="0" w:space="0" w:color="auto"/>
        <w:right w:val="none" w:sz="0" w:space="0" w:color="auto"/>
      </w:divBdr>
    </w:div>
    <w:div w:id="116997354">
      <w:bodyDiv w:val="1"/>
      <w:marLeft w:val="0"/>
      <w:marRight w:val="0"/>
      <w:marTop w:val="0"/>
      <w:marBottom w:val="0"/>
      <w:divBdr>
        <w:top w:val="none" w:sz="0" w:space="0" w:color="auto"/>
        <w:left w:val="none" w:sz="0" w:space="0" w:color="auto"/>
        <w:bottom w:val="none" w:sz="0" w:space="0" w:color="auto"/>
        <w:right w:val="none" w:sz="0" w:space="0" w:color="auto"/>
      </w:divBdr>
    </w:div>
    <w:div w:id="140083170">
      <w:bodyDiv w:val="1"/>
      <w:marLeft w:val="0"/>
      <w:marRight w:val="0"/>
      <w:marTop w:val="0"/>
      <w:marBottom w:val="0"/>
      <w:divBdr>
        <w:top w:val="none" w:sz="0" w:space="0" w:color="auto"/>
        <w:left w:val="none" w:sz="0" w:space="0" w:color="auto"/>
        <w:bottom w:val="none" w:sz="0" w:space="0" w:color="auto"/>
        <w:right w:val="none" w:sz="0" w:space="0" w:color="auto"/>
      </w:divBdr>
    </w:div>
    <w:div w:id="177622824">
      <w:bodyDiv w:val="1"/>
      <w:marLeft w:val="0"/>
      <w:marRight w:val="0"/>
      <w:marTop w:val="0"/>
      <w:marBottom w:val="0"/>
      <w:divBdr>
        <w:top w:val="none" w:sz="0" w:space="0" w:color="auto"/>
        <w:left w:val="none" w:sz="0" w:space="0" w:color="auto"/>
        <w:bottom w:val="none" w:sz="0" w:space="0" w:color="auto"/>
        <w:right w:val="none" w:sz="0" w:space="0" w:color="auto"/>
      </w:divBdr>
    </w:div>
    <w:div w:id="185676935">
      <w:bodyDiv w:val="1"/>
      <w:marLeft w:val="0"/>
      <w:marRight w:val="0"/>
      <w:marTop w:val="0"/>
      <w:marBottom w:val="0"/>
      <w:divBdr>
        <w:top w:val="none" w:sz="0" w:space="0" w:color="auto"/>
        <w:left w:val="none" w:sz="0" w:space="0" w:color="auto"/>
        <w:bottom w:val="none" w:sz="0" w:space="0" w:color="auto"/>
        <w:right w:val="none" w:sz="0" w:space="0" w:color="auto"/>
      </w:divBdr>
    </w:div>
    <w:div w:id="266625731">
      <w:bodyDiv w:val="1"/>
      <w:marLeft w:val="0"/>
      <w:marRight w:val="0"/>
      <w:marTop w:val="0"/>
      <w:marBottom w:val="0"/>
      <w:divBdr>
        <w:top w:val="none" w:sz="0" w:space="0" w:color="auto"/>
        <w:left w:val="none" w:sz="0" w:space="0" w:color="auto"/>
        <w:bottom w:val="none" w:sz="0" w:space="0" w:color="auto"/>
        <w:right w:val="none" w:sz="0" w:space="0" w:color="auto"/>
      </w:divBdr>
    </w:div>
    <w:div w:id="266886960">
      <w:bodyDiv w:val="1"/>
      <w:marLeft w:val="0"/>
      <w:marRight w:val="0"/>
      <w:marTop w:val="0"/>
      <w:marBottom w:val="0"/>
      <w:divBdr>
        <w:top w:val="none" w:sz="0" w:space="0" w:color="auto"/>
        <w:left w:val="none" w:sz="0" w:space="0" w:color="auto"/>
        <w:bottom w:val="none" w:sz="0" w:space="0" w:color="auto"/>
        <w:right w:val="none" w:sz="0" w:space="0" w:color="auto"/>
      </w:divBdr>
    </w:div>
    <w:div w:id="295182948">
      <w:bodyDiv w:val="1"/>
      <w:marLeft w:val="0"/>
      <w:marRight w:val="0"/>
      <w:marTop w:val="0"/>
      <w:marBottom w:val="0"/>
      <w:divBdr>
        <w:top w:val="none" w:sz="0" w:space="0" w:color="auto"/>
        <w:left w:val="none" w:sz="0" w:space="0" w:color="auto"/>
        <w:bottom w:val="none" w:sz="0" w:space="0" w:color="auto"/>
        <w:right w:val="none" w:sz="0" w:space="0" w:color="auto"/>
      </w:divBdr>
    </w:div>
    <w:div w:id="309099188">
      <w:bodyDiv w:val="1"/>
      <w:marLeft w:val="0"/>
      <w:marRight w:val="0"/>
      <w:marTop w:val="0"/>
      <w:marBottom w:val="0"/>
      <w:divBdr>
        <w:top w:val="none" w:sz="0" w:space="0" w:color="auto"/>
        <w:left w:val="none" w:sz="0" w:space="0" w:color="auto"/>
        <w:bottom w:val="none" w:sz="0" w:space="0" w:color="auto"/>
        <w:right w:val="none" w:sz="0" w:space="0" w:color="auto"/>
      </w:divBdr>
    </w:div>
    <w:div w:id="373625141">
      <w:bodyDiv w:val="1"/>
      <w:marLeft w:val="0"/>
      <w:marRight w:val="0"/>
      <w:marTop w:val="0"/>
      <w:marBottom w:val="0"/>
      <w:divBdr>
        <w:top w:val="none" w:sz="0" w:space="0" w:color="auto"/>
        <w:left w:val="none" w:sz="0" w:space="0" w:color="auto"/>
        <w:bottom w:val="none" w:sz="0" w:space="0" w:color="auto"/>
        <w:right w:val="none" w:sz="0" w:space="0" w:color="auto"/>
      </w:divBdr>
    </w:div>
    <w:div w:id="428701463">
      <w:bodyDiv w:val="1"/>
      <w:marLeft w:val="0"/>
      <w:marRight w:val="0"/>
      <w:marTop w:val="0"/>
      <w:marBottom w:val="0"/>
      <w:divBdr>
        <w:top w:val="none" w:sz="0" w:space="0" w:color="auto"/>
        <w:left w:val="none" w:sz="0" w:space="0" w:color="auto"/>
        <w:bottom w:val="none" w:sz="0" w:space="0" w:color="auto"/>
        <w:right w:val="none" w:sz="0" w:space="0" w:color="auto"/>
      </w:divBdr>
    </w:div>
    <w:div w:id="458911810">
      <w:bodyDiv w:val="1"/>
      <w:marLeft w:val="0"/>
      <w:marRight w:val="0"/>
      <w:marTop w:val="0"/>
      <w:marBottom w:val="0"/>
      <w:divBdr>
        <w:top w:val="none" w:sz="0" w:space="0" w:color="auto"/>
        <w:left w:val="none" w:sz="0" w:space="0" w:color="auto"/>
        <w:bottom w:val="none" w:sz="0" w:space="0" w:color="auto"/>
        <w:right w:val="none" w:sz="0" w:space="0" w:color="auto"/>
      </w:divBdr>
    </w:div>
    <w:div w:id="475879169">
      <w:bodyDiv w:val="1"/>
      <w:marLeft w:val="0"/>
      <w:marRight w:val="0"/>
      <w:marTop w:val="0"/>
      <w:marBottom w:val="0"/>
      <w:divBdr>
        <w:top w:val="none" w:sz="0" w:space="0" w:color="auto"/>
        <w:left w:val="none" w:sz="0" w:space="0" w:color="auto"/>
        <w:bottom w:val="none" w:sz="0" w:space="0" w:color="auto"/>
        <w:right w:val="none" w:sz="0" w:space="0" w:color="auto"/>
      </w:divBdr>
    </w:div>
    <w:div w:id="530654994">
      <w:bodyDiv w:val="1"/>
      <w:marLeft w:val="0"/>
      <w:marRight w:val="0"/>
      <w:marTop w:val="0"/>
      <w:marBottom w:val="0"/>
      <w:divBdr>
        <w:top w:val="none" w:sz="0" w:space="0" w:color="auto"/>
        <w:left w:val="none" w:sz="0" w:space="0" w:color="auto"/>
        <w:bottom w:val="none" w:sz="0" w:space="0" w:color="auto"/>
        <w:right w:val="none" w:sz="0" w:space="0" w:color="auto"/>
      </w:divBdr>
    </w:div>
    <w:div w:id="558518669">
      <w:bodyDiv w:val="1"/>
      <w:marLeft w:val="0"/>
      <w:marRight w:val="0"/>
      <w:marTop w:val="0"/>
      <w:marBottom w:val="0"/>
      <w:divBdr>
        <w:top w:val="none" w:sz="0" w:space="0" w:color="auto"/>
        <w:left w:val="none" w:sz="0" w:space="0" w:color="auto"/>
        <w:bottom w:val="none" w:sz="0" w:space="0" w:color="auto"/>
        <w:right w:val="none" w:sz="0" w:space="0" w:color="auto"/>
      </w:divBdr>
    </w:div>
    <w:div w:id="603733596">
      <w:bodyDiv w:val="1"/>
      <w:marLeft w:val="0"/>
      <w:marRight w:val="0"/>
      <w:marTop w:val="0"/>
      <w:marBottom w:val="0"/>
      <w:divBdr>
        <w:top w:val="none" w:sz="0" w:space="0" w:color="auto"/>
        <w:left w:val="none" w:sz="0" w:space="0" w:color="auto"/>
        <w:bottom w:val="none" w:sz="0" w:space="0" w:color="auto"/>
        <w:right w:val="none" w:sz="0" w:space="0" w:color="auto"/>
      </w:divBdr>
    </w:div>
    <w:div w:id="630282590">
      <w:bodyDiv w:val="1"/>
      <w:marLeft w:val="0"/>
      <w:marRight w:val="0"/>
      <w:marTop w:val="0"/>
      <w:marBottom w:val="0"/>
      <w:divBdr>
        <w:top w:val="none" w:sz="0" w:space="0" w:color="auto"/>
        <w:left w:val="none" w:sz="0" w:space="0" w:color="auto"/>
        <w:bottom w:val="none" w:sz="0" w:space="0" w:color="auto"/>
        <w:right w:val="none" w:sz="0" w:space="0" w:color="auto"/>
      </w:divBdr>
    </w:div>
    <w:div w:id="667558999">
      <w:bodyDiv w:val="1"/>
      <w:marLeft w:val="0"/>
      <w:marRight w:val="0"/>
      <w:marTop w:val="0"/>
      <w:marBottom w:val="0"/>
      <w:divBdr>
        <w:top w:val="none" w:sz="0" w:space="0" w:color="auto"/>
        <w:left w:val="none" w:sz="0" w:space="0" w:color="auto"/>
        <w:bottom w:val="none" w:sz="0" w:space="0" w:color="auto"/>
        <w:right w:val="none" w:sz="0" w:space="0" w:color="auto"/>
      </w:divBdr>
    </w:div>
    <w:div w:id="701788471">
      <w:bodyDiv w:val="1"/>
      <w:marLeft w:val="0"/>
      <w:marRight w:val="0"/>
      <w:marTop w:val="0"/>
      <w:marBottom w:val="0"/>
      <w:divBdr>
        <w:top w:val="none" w:sz="0" w:space="0" w:color="auto"/>
        <w:left w:val="none" w:sz="0" w:space="0" w:color="auto"/>
        <w:bottom w:val="none" w:sz="0" w:space="0" w:color="auto"/>
        <w:right w:val="none" w:sz="0" w:space="0" w:color="auto"/>
      </w:divBdr>
    </w:div>
    <w:div w:id="937569015">
      <w:bodyDiv w:val="1"/>
      <w:marLeft w:val="0"/>
      <w:marRight w:val="0"/>
      <w:marTop w:val="0"/>
      <w:marBottom w:val="0"/>
      <w:divBdr>
        <w:top w:val="none" w:sz="0" w:space="0" w:color="auto"/>
        <w:left w:val="none" w:sz="0" w:space="0" w:color="auto"/>
        <w:bottom w:val="none" w:sz="0" w:space="0" w:color="auto"/>
        <w:right w:val="none" w:sz="0" w:space="0" w:color="auto"/>
      </w:divBdr>
    </w:div>
    <w:div w:id="995259816">
      <w:bodyDiv w:val="1"/>
      <w:marLeft w:val="0"/>
      <w:marRight w:val="0"/>
      <w:marTop w:val="0"/>
      <w:marBottom w:val="0"/>
      <w:divBdr>
        <w:top w:val="none" w:sz="0" w:space="0" w:color="auto"/>
        <w:left w:val="none" w:sz="0" w:space="0" w:color="auto"/>
        <w:bottom w:val="none" w:sz="0" w:space="0" w:color="auto"/>
        <w:right w:val="none" w:sz="0" w:space="0" w:color="auto"/>
      </w:divBdr>
    </w:div>
    <w:div w:id="1018114963">
      <w:bodyDiv w:val="1"/>
      <w:marLeft w:val="0"/>
      <w:marRight w:val="0"/>
      <w:marTop w:val="0"/>
      <w:marBottom w:val="0"/>
      <w:divBdr>
        <w:top w:val="none" w:sz="0" w:space="0" w:color="auto"/>
        <w:left w:val="none" w:sz="0" w:space="0" w:color="auto"/>
        <w:bottom w:val="none" w:sz="0" w:space="0" w:color="auto"/>
        <w:right w:val="none" w:sz="0" w:space="0" w:color="auto"/>
      </w:divBdr>
    </w:div>
    <w:div w:id="1033968501">
      <w:bodyDiv w:val="1"/>
      <w:marLeft w:val="0"/>
      <w:marRight w:val="0"/>
      <w:marTop w:val="0"/>
      <w:marBottom w:val="0"/>
      <w:divBdr>
        <w:top w:val="none" w:sz="0" w:space="0" w:color="auto"/>
        <w:left w:val="none" w:sz="0" w:space="0" w:color="auto"/>
        <w:bottom w:val="none" w:sz="0" w:space="0" w:color="auto"/>
        <w:right w:val="none" w:sz="0" w:space="0" w:color="auto"/>
      </w:divBdr>
    </w:div>
    <w:div w:id="1144850628">
      <w:bodyDiv w:val="1"/>
      <w:marLeft w:val="0"/>
      <w:marRight w:val="0"/>
      <w:marTop w:val="0"/>
      <w:marBottom w:val="0"/>
      <w:divBdr>
        <w:top w:val="none" w:sz="0" w:space="0" w:color="auto"/>
        <w:left w:val="none" w:sz="0" w:space="0" w:color="auto"/>
        <w:bottom w:val="none" w:sz="0" w:space="0" w:color="auto"/>
        <w:right w:val="none" w:sz="0" w:space="0" w:color="auto"/>
      </w:divBdr>
    </w:div>
    <w:div w:id="1192496777">
      <w:bodyDiv w:val="1"/>
      <w:marLeft w:val="0"/>
      <w:marRight w:val="0"/>
      <w:marTop w:val="0"/>
      <w:marBottom w:val="0"/>
      <w:divBdr>
        <w:top w:val="none" w:sz="0" w:space="0" w:color="auto"/>
        <w:left w:val="none" w:sz="0" w:space="0" w:color="auto"/>
        <w:bottom w:val="none" w:sz="0" w:space="0" w:color="auto"/>
        <w:right w:val="none" w:sz="0" w:space="0" w:color="auto"/>
      </w:divBdr>
    </w:div>
    <w:div w:id="1233546234">
      <w:bodyDiv w:val="1"/>
      <w:marLeft w:val="0"/>
      <w:marRight w:val="0"/>
      <w:marTop w:val="0"/>
      <w:marBottom w:val="0"/>
      <w:divBdr>
        <w:top w:val="none" w:sz="0" w:space="0" w:color="auto"/>
        <w:left w:val="none" w:sz="0" w:space="0" w:color="auto"/>
        <w:bottom w:val="none" w:sz="0" w:space="0" w:color="auto"/>
        <w:right w:val="none" w:sz="0" w:space="0" w:color="auto"/>
      </w:divBdr>
    </w:div>
    <w:div w:id="1266232703">
      <w:bodyDiv w:val="1"/>
      <w:marLeft w:val="0"/>
      <w:marRight w:val="0"/>
      <w:marTop w:val="0"/>
      <w:marBottom w:val="0"/>
      <w:divBdr>
        <w:top w:val="none" w:sz="0" w:space="0" w:color="auto"/>
        <w:left w:val="none" w:sz="0" w:space="0" w:color="auto"/>
        <w:bottom w:val="none" w:sz="0" w:space="0" w:color="auto"/>
        <w:right w:val="none" w:sz="0" w:space="0" w:color="auto"/>
      </w:divBdr>
    </w:div>
    <w:div w:id="1336959895">
      <w:bodyDiv w:val="1"/>
      <w:marLeft w:val="0"/>
      <w:marRight w:val="0"/>
      <w:marTop w:val="0"/>
      <w:marBottom w:val="0"/>
      <w:divBdr>
        <w:top w:val="none" w:sz="0" w:space="0" w:color="auto"/>
        <w:left w:val="none" w:sz="0" w:space="0" w:color="auto"/>
        <w:bottom w:val="none" w:sz="0" w:space="0" w:color="auto"/>
        <w:right w:val="none" w:sz="0" w:space="0" w:color="auto"/>
      </w:divBdr>
    </w:div>
    <w:div w:id="1339307103">
      <w:bodyDiv w:val="1"/>
      <w:marLeft w:val="0"/>
      <w:marRight w:val="0"/>
      <w:marTop w:val="0"/>
      <w:marBottom w:val="0"/>
      <w:divBdr>
        <w:top w:val="none" w:sz="0" w:space="0" w:color="auto"/>
        <w:left w:val="none" w:sz="0" w:space="0" w:color="auto"/>
        <w:bottom w:val="none" w:sz="0" w:space="0" w:color="auto"/>
        <w:right w:val="none" w:sz="0" w:space="0" w:color="auto"/>
      </w:divBdr>
    </w:div>
    <w:div w:id="1406730317">
      <w:bodyDiv w:val="1"/>
      <w:marLeft w:val="0"/>
      <w:marRight w:val="0"/>
      <w:marTop w:val="0"/>
      <w:marBottom w:val="0"/>
      <w:divBdr>
        <w:top w:val="none" w:sz="0" w:space="0" w:color="auto"/>
        <w:left w:val="none" w:sz="0" w:space="0" w:color="auto"/>
        <w:bottom w:val="none" w:sz="0" w:space="0" w:color="auto"/>
        <w:right w:val="none" w:sz="0" w:space="0" w:color="auto"/>
      </w:divBdr>
    </w:div>
    <w:div w:id="1835221792">
      <w:bodyDiv w:val="1"/>
      <w:marLeft w:val="0"/>
      <w:marRight w:val="0"/>
      <w:marTop w:val="0"/>
      <w:marBottom w:val="0"/>
      <w:divBdr>
        <w:top w:val="none" w:sz="0" w:space="0" w:color="auto"/>
        <w:left w:val="none" w:sz="0" w:space="0" w:color="auto"/>
        <w:bottom w:val="none" w:sz="0" w:space="0" w:color="auto"/>
        <w:right w:val="none" w:sz="0" w:space="0" w:color="auto"/>
      </w:divBdr>
    </w:div>
    <w:div w:id="1851286120">
      <w:bodyDiv w:val="1"/>
      <w:marLeft w:val="0"/>
      <w:marRight w:val="0"/>
      <w:marTop w:val="0"/>
      <w:marBottom w:val="0"/>
      <w:divBdr>
        <w:top w:val="none" w:sz="0" w:space="0" w:color="auto"/>
        <w:left w:val="none" w:sz="0" w:space="0" w:color="auto"/>
        <w:bottom w:val="none" w:sz="0" w:space="0" w:color="auto"/>
        <w:right w:val="none" w:sz="0" w:space="0" w:color="auto"/>
      </w:divBdr>
    </w:div>
    <w:div w:id="1881084822">
      <w:bodyDiv w:val="1"/>
      <w:marLeft w:val="0"/>
      <w:marRight w:val="0"/>
      <w:marTop w:val="0"/>
      <w:marBottom w:val="0"/>
      <w:divBdr>
        <w:top w:val="none" w:sz="0" w:space="0" w:color="auto"/>
        <w:left w:val="none" w:sz="0" w:space="0" w:color="auto"/>
        <w:bottom w:val="none" w:sz="0" w:space="0" w:color="auto"/>
        <w:right w:val="none" w:sz="0" w:space="0" w:color="auto"/>
      </w:divBdr>
    </w:div>
    <w:div w:id="1900095703">
      <w:bodyDiv w:val="1"/>
      <w:marLeft w:val="0"/>
      <w:marRight w:val="0"/>
      <w:marTop w:val="0"/>
      <w:marBottom w:val="0"/>
      <w:divBdr>
        <w:top w:val="none" w:sz="0" w:space="0" w:color="auto"/>
        <w:left w:val="none" w:sz="0" w:space="0" w:color="auto"/>
        <w:bottom w:val="none" w:sz="0" w:space="0" w:color="auto"/>
        <w:right w:val="none" w:sz="0" w:space="0" w:color="auto"/>
      </w:divBdr>
    </w:div>
    <w:div w:id="20250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s.gov.au/child-protection/safe-and-supported-implementation/protecting-first-nations-childr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s.gov.au/social-impact-investing/commonwealth-outcomes-fun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c.gov.au/ongoing/report-on-government-services/2024/community-services" TargetMode="External"/><Relationship Id="rId1" Type="http://schemas.openxmlformats.org/officeDocument/2006/relationships/hyperlink" Target="https://engage.dss.gov.au/a-stronger-more-diverse-and-independent-community-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DD36B2926859445A7ECB5D2E67CA672" ma:contentTypeVersion="" ma:contentTypeDescription="PDMS Document Site Content Type" ma:contentTypeScope="" ma:versionID="2974bab0dd0e9cbb7b9d48b7a9d9a591">
  <xsd:schema xmlns:xsd="http://www.w3.org/2001/XMLSchema" xmlns:xs="http://www.w3.org/2001/XMLSchema" xmlns:p="http://schemas.microsoft.com/office/2006/metadata/properties" xmlns:ns2="D9B8DC4D-FEE9-400A-A6BD-5DBAE9F050CA" targetNamespace="http://schemas.microsoft.com/office/2006/metadata/properties" ma:root="true" ma:fieldsID="bb28cf1eaa814d5baab5a6bcaa0bf6c8" ns2:_="">
    <xsd:import namespace="D9B8DC4D-FEE9-400A-A6BD-5DBAE9F050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8DC4D-FEE9-400A-A6BD-5DBAE9F050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9B8DC4D-FEE9-400A-A6BD-5DBAE9F050CA" xsi:nil="true"/>
  </documentManagement>
</p:properties>
</file>

<file path=customXml/itemProps1.xml><?xml version="1.0" encoding="utf-8"?>
<ds:datastoreItem xmlns:ds="http://schemas.openxmlformats.org/officeDocument/2006/customXml" ds:itemID="{F86D548F-0863-42EA-87F6-2BC419C0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8DC4D-FEE9-400A-A6BD-5DBAE9F05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D9374-F006-44BB-AC16-B80196A6E62E}">
  <ds:schemaRefs>
    <ds:schemaRef ds:uri="http://schemas.microsoft.com/sharepoint/v3/contenttype/forms"/>
  </ds:schemaRefs>
</ds:datastoreItem>
</file>

<file path=customXml/itemProps3.xml><?xml version="1.0" encoding="utf-8"?>
<ds:datastoreItem xmlns:ds="http://schemas.openxmlformats.org/officeDocument/2006/customXml" ds:itemID="{4A5938CB-F9C1-4024-80CB-B6D2C2E15A33}">
  <ds:schemaRefs>
    <ds:schemaRef ds:uri="http://schemas.openxmlformats.org/officeDocument/2006/bibliography"/>
  </ds:schemaRefs>
</ds:datastoreItem>
</file>

<file path=customXml/itemProps4.xml><?xml version="1.0" encoding="utf-8"?>
<ds:datastoreItem xmlns:ds="http://schemas.openxmlformats.org/officeDocument/2006/customXml" ds:itemID="{407C7DDD-20E2-454D-ADA9-C74E0B068D1F}">
  <ds:schemaRefs>
    <ds:schemaRef ds:uri="http://schemas.microsoft.com/office/2006/metadata/properties"/>
    <ds:schemaRef ds:uri="http://schemas.microsoft.com/office/infopath/2007/PartnerControls"/>
    <ds:schemaRef ds:uri="D9B8DC4D-FEE9-400A-A6BD-5DBAE9F050C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1600</Words>
  <Characters>9779</Characters>
  <Application>Microsoft Office Word</Application>
  <DocSecurity>0</DocSecurity>
  <Lines>195</Lines>
  <Paragraphs>79</Paragraphs>
  <ScaleCrop>false</ScaleCrop>
  <HeadingPairs>
    <vt:vector size="2" baseType="variant">
      <vt:variant>
        <vt:lpstr>Title</vt:lpstr>
      </vt:variant>
      <vt:variant>
        <vt:i4>1</vt:i4>
      </vt:variant>
    </vt:vector>
  </HeadingPairs>
  <TitlesOfParts>
    <vt:vector size="1" baseType="lpstr">
      <vt:lpstr>Ways of Working Statement (WWS)</vt:lpstr>
    </vt:vector>
  </TitlesOfParts>
  <Company>Australian Government</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of Working Statement (WWS)</dc:title>
  <dc:subject/>
  <dc:creator>NARDI, Frances</dc:creator>
  <cp:keywords>[SEC=OFFICIAL]</cp:keywords>
  <dc:description/>
  <cp:lastModifiedBy>MILLER, Vicky</cp:lastModifiedBy>
  <cp:revision>4</cp:revision>
  <cp:lastPrinted>2024-06-16T22:12:00Z</cp:lastPrinted>
  <dcterms:created xsi:type="dcterms:W3CDTF">2025-03-04T00:54:00Z</dcterms:created>
  <dcterms:modified xsi:type="dcterms:W3CDTF">2025-03-04T02:31:00Z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B2114259FDDE47548EB5A983BE1C3C76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2024-02-28T03:12:41Z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A0AD78CEA42D2587C2CAF7ABE4FA8FB8</vt:lpwstr>
  </property>
  <property fmtid="{D5CDD505-2E9C-101B-9397-08002B2CF9AE}" pid="21" name="PM_Hash_Salt">
    <vt:lpwstr>ED0C7502C25C51C66E0D05115E202D05</vt:lpwstr>
  </property>
  <property fmtid="{D5CDD505-2E9C-101B-9397-08002B2CF9AE}" pid="22" name="PM_Hash_SHA1">
    <vt:lpwstr>AF3C4999678F4FB4A573326F7140F112FA7E4BB2</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ContentTypeId">
    <vt:lpwstr>0x010100266966F133664895A6EE3632470D45F5001DD36B2926859445A7ECB5D2E67CA672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HMAC">
    <vt:lpwstr>v=2022.1;a=SHA256;h=0C3A2E5AEF6208EE5CBE6555CEFA48CF94B254CBFC3CF3471432514B3F545E38</vt:lpwstr>
  </property>
  <property fmtid="{D5CDD505-2E9C-101B-9397-08002B2CF9AE}" pid="29" name="MSIP_Label_eb34d90b-fc41-464d-af60-f74d721d0790_SetDate">
    <vt:lpwstr>2024-02-28T03:12:41Z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e4b39f78209c451fa917e0986c007272</vt:lpwstr>
  </property>
  <property fmtid="{D5CDD505-2E9C-101B-9397-08002B2CF9AE}" pid="36" name="PMUuid">
    <vt:lpwstr>v=2022.2;d=gov.au;g=46DD6D7C-8107-577B-BC6E-F348953B2E44</vt:lpwstr>
  </property>
</Properties>
</file>